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276"/>
        <w:gridCol w:w="2268"/>
        <w:gridCol w:w="3260"/>
        <w:gridCol w:w="2835"/>
      </w:tblGrid>
      <w:tr w:rsidR="007B49B4" w14:paraId="603EB704" w14:textId="77777777">
        <w:trPr>
          <w:cantSplit/>
          <w:trHeight w:hRule="exact" w:val="851"/>
        </w:trPr>
        <w:tc>
          <w:tcPr>
            <w:tcW w:w="1276" w:type="dxa"/>
            <w:tcBorders>
              <w:bottom w:val="single" w:sz="4" w:space="0" w:color="auto"/>
            </w:tcBorders>
            <w:vAlign w:val="bottom"/>
          </w:tcPr>
          <w:p w14:paraId="78B4E711" w14:textId="77777777" w:rsidR="006D2FB1" w:rsidRDefault="006D2FB1">
            <w:pPr>
              <w:spacing w:after="80"/>
            </w:pPr>
          </w:p>
        </w:tc>
        <w:tc>
          <w:tcPr>
            <w:tcW w:w="2268" w:type="dxa"/>
            <w:tcBorders>
              <w:bottom w:val="single" w:sz="4" w:space="0" w:color="auto"/>
            </w:tcBorders>
            <w:vAlign w:val="bottom"/>
          </w:tcPr>
          <w:p w14:paraId="4F116000" w14:textId="09BD4B7F" w:rsidR="006D2FB1" w:rsidRDefault="006D2FB1">
            <w:pPr>
              <w:spacing w:after="80" w:line="300" w:lineRule="exact"/>
              <w:rPr>
                <w:b/>
                <w:sz w:val="24"/>
                <w:szCs w:val="24"/>
              </w:rPr>
            </w:pPr>
          </w:p>
        </w:tc>
        <w:tc>
          <w:tcPr>
            <w:tcW w:w="6095" w:type="dxa"/>
            <w:gridSpan w:val="2"/>
            <w:tcBorders>
              <w:bottom w:val="single" w:sz="4" w:space="0" w:color="auto"/>
            </w:tcBorders>
            <w:vAlign w:val="bottom"/>
          </w:tcPr>
          <w:p w14:paraId="689CBE55" w14:textId="77777777" w:rsidR="006D2FB1" w:rsidRDefault="00025690">
            <w:pPr>
              <w:suppressAutoHyphens w:val="0"/>
              <w:spacing w:after="20"/>
              <w:jc w:val="right"/>
            </w:pPr>
            <w:r>
              <w:rPr>
                <w:sz w:val="40"/>
              </w:rPr>
              <w:t>CEDAW</w:t>
            </w:r>
            <w:r>
              <w:t>/C/ZAF/6</w:t>
            </w:r>
          </w:p>
        </w:tc>
      </w:tr>
      <w:tr w:rsidR="007B49B4" w14:paraId="7B9C0753" w14:textId="77777777">
        <w:trPr>
          <w:cantSplit/>
          <w:trHeight w:hRule="exact" w:val="2835"/>
        </w:trPr>
        <w:tc>
          <w:tcPr>
            <w:tcW w:w="1276" w:type="dxa"/>
            <w:tcBorders>
              <w:top w:val="single" w:sz="4" w:space="0" w:color="auto"/>
              <w:bottom w:val="single" w:sz="12" w:space="0" w:color="auto"/>
            </w:tcBorders>
          </w:tcPr>
          <w:p w14:paraId="6100031F" w14:textId="3E05F764" w:rsidR="006D2FB1" w:rsidRDefault="006D2FB1">
            <w:pPr>
              <w:spacing w:before="120"/>
              <w:jc w:val="center"/>
            </w:pPr>
          </w:p>
        </w:tc>
        <w:tc>
          <w:tcPr>
            <w:tcW w:w="5528" w:type="dxa"/>
            <w:gridSpan w:val="2"/>
            <w:tcBorders>
              <w:top w:val="single" w:sz="4" w:space="0" w:color="auto"/>
              <w:bottom w:val="single" w:sz="12" w:space="0" w:color="auto"/>
            </w:tcBorders>
          </w:tcPr>
          <w:p w14:paraId="5884A0F7" w14:textId="3E7F27F5" w:rsidR="006D2FB1" w:rsidRDefault="00B65A90">
            <w:pPr>
              <w:spacing w:before="120" w:line="380" w:lineRule="exact"/>
              <w:rPr>
                <w:b/>
                <w:sz w:val="34"/>
                <w:szCs w:val="40"/>
              </w:rPr>
            </w:pPr>
            <w:r>
              <w:rPr>
                <w:b/>
                <w:sz w:val="34"/>
                <w:szCs w:val="40"/>
              </w:rPr>
              <w:t>Advance unedited version</w:t>
            </w:r>
          </w:p>
        </w:tc>
        <w:tc>
          <w:tcPr>
            <w:tcW w:w="2835" w:type="dxa"/>
            <w:tcBorders>
              <w:top w:val="single" w:sz="4" w:space="0" w:color="auto"/>
              <w:bottom w:val="single" w:sz="12" w:space="0" w:color="auto"/>
            </w:tcBorders>
          </w:tcPr>
          <w:p w14:paraId="7320025D" w14:textId="77777777" w:rsidR="006D2FB1" w:rsidRPr="003614D9" w:rsidRDefault="00025690">
            <w:pPr>
              <w:suppressAutoHyphens w:val="0"/>
              <w:spacing w:before="240" w:line="240" w:lineRule="exact"/>
              <w:rPr>
                <w:lang w:val="en-US"/>
              </w:rPr>
            </w:pPr>
            <w:r w:rsidRPr="003614D9">
              <w:rPr>
                <w:lang w:val="en-US"/>
              </w:rPr>
              <w:t>Distr.: General</w:t>
            </w:r>
          </w:p>
          <w:p w14:paraId="2E07936F" w14:textId="69576F90" w:rsidR="006D2FB1" w:rsidRPr="003614D9" w:rsidRDefault="00741165">
            <w:pPr>
              <w:suppressAutoHyphens w:val="0"/>
              <w:rPr>
                <w:lang w:val="en-US"/>
              </w:rPr>
            </w:pPr>
            <w:r>
              <w:rPr>
                <w:lang w:val="en-US"/>
              </w:rPr>
              <w:t>27 July</w:t>
            </w:r>
            <w:r w:rsidR="00446122" w:rsidRPr="003614D9">
              <w:rPr>
                <w:lang w:val="en-US"/>
              </w:rPr>
              <w:t xml:space="preserve"> 2026</w:t>
            </w:r>
          </w:p>
          <w:p w14:paraId="73AFE7A8" w14:textId="77777777" w:rsidR="006D2FB1" w:rsidRPr="003614D9" w:rsidRDefault="006D2FB1">
            <w:pPr>
              <w:suppressAutoHyphens w:val="0"/>
              <w:rPr>
                <w:lang w:val="en-US"/>
              </w:rPr>
            </w:pPr>
          </w:p>
          <w:p w14:paraId="3E570C2C" w14:textId="77777777" w:rsidR="006D2FB1" w:rsidRPr="003614D9" w:rsidRDefault="00025690">
            <w:pPr>
              <w:suppressAutoHyphens w:val="0"/>
              <w:rPr>
                <w:lang w:val="en-US"/>
              </w:rPr>
            </w:pPr>
            <w:r w:rsidRPr="003614D9">
              <w:rPr>
                <w:lang w:val="en-US"/>
              </w:rPr>
              <w:t>Original: English</w:t>
            </w:r>
          </w:p>
          <w:p w14:paraId="2C7ABC71" w14:textId="77777777" w:rsidR="006D2FB1" w:rsidRDefault="00446122">
            <w:pPr>
              <w:suppressAutoHyphens w:val="0"/>
            </w:pPr>
            <w:r>
              <w:t>English, French and Spanish only</w:t>
            </w:r>
          </w:p>
        </w:tc>
      </w:tr>
    </w:tbl>
    <w:p w14:paraId="2BD1F7E9" w14:textId="77777777" w:rsidR="006D2FB1" w:rsidRDefault="00025690">
      <w:pPr>
        <w:spacing w:before="120"/>
        <w:rPr>
          <w:b/>
          <w:sz w:val="24"/>
        </w:rPr>
      </w:pPr>
      <w:r>
        <w:rPr>
          <w:b/>
          <w:sz w:val="24"/>
          <w:szCs w:val="24"/>
        </w:rPr>
        <w:t xml:space="preserve">Committee on the Elimination of Discrimination </w:t>
      </w:r>
      <w:r>
        <w:rPr>
          <w:b/>
          <w:sz w:val="24"/>
          <w:szCs w:val="24"/>
        </w:rPr>
        <w:br/>
        <w:t>against Women</w:t>
      </w:r>
    </w:p>
    <w:p w14:paraId="312069C1" w14:textId="0B73A8BB" w:rsidR="006D2FB1" w:rsidRDefault="00025690">
      <w:pPr>
        <w:pStyle w:val="HMG"/>
      </w:pPr>
      <w:r>
        <w:tab/>
      </w:r>
      <w:r>
        <w:tab/>
      </w:r>
      <w:r w:rsidR="00A065FD">
        <w:t>Sixth periodic report</w:t>
      </w:r>
      <w:r w:rsidR="00E67615">
        <w:t xml:space="preserve"> </w:t>
      </w:r>
      <w:r>
        <w:t xml:space="preserve">submitted by </w:t>
      </w:r>
      <w:r w:rsidR="001507EF">
        <w:t>South Africa</w:t>
      </w:r>
      <w:r>
        <w:t xml:space="preserve"> under article 18 of the Convention, due in </w:t>
      </w:r>
      <w:r w:rsidR="00741165" w:rsidRPr="00741165">
        <w:t>2025</w:t>
      </w:r>
      <w:r>
        <w:rPr>
          <w:rStyle w:val="FootnoteReference"/>
          <w:b w:val="0"/>
          <w:sz w:val="20"/>
          <w:vertAlign w:val="baseline"/>
        </w:rPr>
        <w:footnoteReference w:customMarkFollows="1" w:id="2"/>
        <w:t>*</w:t>
      </w:r>
    </w:p>
    <w:p w14:paraId="4385EF39" w14:textId="624F05C8" w:rsidR="006D2FB1" w:rsidRPr="00954028" w:rsidRDefault="00025690">
      <w:pPr>
        <w:pStyle w:val="SingleTxtG"/>
        <w:jc w:val="right"/>
      </w:pPr>
      <w:r>
        <w:t>[</w:t>
      </w:r>
      <w:r w:rsidRPr="00954028">
        <w:t>Date received:</w:t>
      </w:r>
      <w:r w:rsidR="00741165" w:rsidRPr="00954028">
        <w:t xml:space="preserve"> </w:t>
      </w:r>
      <w:r w:rsidR="00954028" w:rsidRPr="00954028">
        <w:t>21 July 2026</w:t>
      </w:r>
      <w:r w:rsidRPr="00954028">
        <w:t>]</w:t>
      </w:r>
    </w:p>
    <w:p w14:paraId="747C62CB" w14:textId="402A1F4C" w:rsidR="00040123" w:rsidRPr="00040123" w:rsidRDefault="008C2C7F" w:rsidP="00040123">
      <w:pPr>
        <w:suppressAutoHyphens w:val="0"/>
        <w:spacing w:after="200" w:line="276" w:lineRule="auto"/>
        <w:rPr>
          <w:rFonts w:eastAsiaTheme="minorHAnsi"/>
          <w:color w:val="0000FF"/>
        </w:rPr>
      </w:pPr>
      <w:r>
        <w:rPr>
          <w:color w:val="0000FF"/>
        </w:rPr>
        <w:br w:type="page"/>
      </w:r>
    </w:p>
    <w:p w14:paraId="1C4035A9" w14:textId="77777777" w:rsidR="003A7F5E" w:rsidRDefault="003A7F5E" w:rsidP="003A7F5E">
      <w:pPr>
        <w:spacing w:after="120"/>
        <w:rPr>
          <w:sz w:val="28"/>
        </w:rPr>
      </w:pPr>
      <w:r>
        <w:rPr>
          <w:sz w:val="28"/>
        </w:rPr>
        <w:lastRenderedPageBreak/>
        <w:t>Contents</w:t>
      </w:r>
    </w:p>
    <w:p w14:paraId="6657544E" w14:textId="77777777" w:rsidR="003A7F5E" w:rsidRDefault="003A7F5E" w:rsidP="003A7F5E">
      <w:pPr>
        <w:tabs>
          <w:tab w:val="right" w:pos="9638"/>
        </w:tabs>
        <w:spacing w:after="120"/>
        <w:ind w:left="283"/>
        <w:rPr>
          <w:sz w:val="18"/>
        </w:rPr>
      </w:pPr>
      <w:r>
        <w:rPr>
          <w:i/>
          <w:sz w:val="18"/>
        </w:rPr>
        <w:tab/>
        <w:t>Page</w:t>
      </w:r>
    </w:p>
    <w:p w14:paraId="3FBD4102" w14:textId="491E4F0E" w:rsidR="00CE1DE0" w:rsidRDefault="00127A1B" w:rsidP="00127A1B">
      <w:pPr>
        <w:tabs>
          <w:tab w:val="right" w:pos="850"/>
          <w:tab w:val="left" w:pos="1134"/>
          <w:tab w:val="left" w:pos="1559"/>
          <w:tab w:val="left" w:pos="1984"/>
          <w:tab w:val="left" w:leader="dot" w:pos="8929"/>
          <w:tab w:val="right" w:pos="9638"/>
        </w:tabs>
        <w:spacing w:after="120"/>
      </w:pPr>
      <w:r>
        <w:t>Acronyms</w:t>
      </w:r>
      <w:r>
        <w:tab/>
      </w:r>
      <w:r>
        <w:tab/>
      </w:r>
      <w:r>
        <w:tab/>
      </w:r>
      <w:r>
        <w:tab/>
      </w:r>
      <w:r w:rsidR="00CE1DE0">
        <w:tab/>
      </w:r>
      <w:r>
        <w:tab/>
      </w:r>
      <w:r w:rsidR="007706FB">
        <w:t>3</w:t>
      </w:r>
    </w:p>
    <w:p w14:paraId="5A73B6FA" w14:textId="15CEC2CF" w:rsidR="00CE1DE0" w:rsidRDefault="00127A1B" w:rsidP="00127A1B">
      <w:pPr>
        <w:tabs>
          <w:tab w:val="right" w:pos="850"/>
          <w:tab w:val="left" w:pos="1134"/>
          <w:tab w:val="left" w:pos="1559"/>
          <w:tab w:val="left" w:pos="1984"/>
          <w:tab w:val="left" w:leader="dot" w:pos="8929"/>
          <w:tab w:val="right" w:pos="9638"/>
        </w:tabs>
        <w:spacing w:after="120"/>
      </w:pPr>
      <w:r>
        <w:t>Introduction</w:t>
      </w:r>
      <w:r>
        <w:tab/>
      </w:r>
      <w:r>
        <w:tab/>
      </w:r>
      <w:r>
        <w:tab/>
      </w:r>
      <w:r>
        <w:tab/>
      </w:r>
      <w:r>
        <w:tab/>
      </w:r>
      <w:r w:rsidR="00575ADD">
        <w:t>4</w:t>
      </w:r>
    </w:p>
    <w:p w14:paraId="243F7914" w14:textId="7DB47CCE" w:rsidR="00CE1DE0" w:rsidRDefault="00CE1DE0" w:rsidP="00127A1B">
      <w:pPr>
        <w:tabs>
          <w:tab w:val="right" w:pos="850"/>
          <w:tab w:val="left" w:pos="1134"/>
          <w:tab w:val="left" w:pos="1559"/>
          <w:tab w:val="left" w:pos="1984"/>
          <w:tab w:val="left" w:leader="dot" w:pos="8929"/>
          <w:tab w:val="right" w:pos="9638"/>
        </w:tabs>
        <w:spacing w:after="120"/>
      </w:pPr>
      <w:r>
        <w:t xml:space="preserve">Background and </w:t>
      </w:r>
      <w:r w:rsidR="00127A1B">
        <w:t>s</w:t>
      </w:r>
      <w:r>
        <w:t xml:space="preserve">cope of the </w:t>
      </w:r>
      <w:r w:rsidR="00127A1B">
        <w:t>r</w:t>
      </w:r>
      <w:r>
        <w:t>eport</w:t>
      </w:r>
      <w:r w:rsidR="00127A1B">
        <w:tab/>
      </w:r>
      <w:r>
        <w:tab/>
      </w:r>
      <w:r w:rsidR="00575ADD">
        <w:t>5</w:t>
      </w:r>
    </w:p>
    <w:p w14:paraId="3214A917" w14:textId="71824596" w:rsidR="00CE1DE0" w:rsidRDefault="00CE1DE0" w:rsidP="00127A1B">
      <w:pPr>
        <w:tabs>
          <w:tab w:val="right" w:pos="850"/>
          <w:tab w:val="left" w:pos="1134"/>
          <w:tab w:val="left" w:pos="1559"/>
          <w:tab w:val="left" w:pos="1984"/>
          <w:tab w:val="left" w:leader="dot" w:pos="8929"/>
          <w:tab w:val="right" w:pos="9638"/>
        </w:tabs>
        <w:spacing w:after="120"/>
      </w:pPr>
      <w:r>
        <w:t>Overview</w:t>
      </w:r>
      <w:r w:rsidR="00127A1B">
        <w:tab/>
      </w:r>
      <w:r w:rsidR="00127A1B">
        <w:tab/>
      </w:r>
      <w:r w:rsidR="00127A1B">
        <w:tab/>
      </w:r>
      <w:r w:rsidR="00127A1B">
        <w:tab/>
      </w:r>
      <w:r w:rsidR="00127A1B">
        <w:tab/>
      </w:r>
      <w:r>
        <w:tab/>
      </w:r>
      <w:r w:rsidR="00575ADD">
        <w:t>5</w:t>
      </w:r>
    </w:p>
    <w:p w14:paraId="5DA7B35E" w14:textId="0126AB96" w:rsidR="00CE1DE0" w:rsidRDefault="00CE1DE0" w:rsidP="00127A1B">
      <w:pPr>
        <w:tabs>
          <w:tab w:val="right" w:pos="850"/>
          <w:tab w:val="left" w:pos="1134"/>
          <w:tab w:val="left" w:pos="1559"/>
          <w:tab w:val="left" w:pos="1984"/>
          <w:tab w:val="left" w:leader="dot" w:pos="8929"/>
          <w:tab w:val="right" w:pos="9638"/>
        </w:tabs>
        <w:spacing w:after="120"/>
      </w:pPr>
      <w:r>
        <w:t xml:space="preserve">Constitutional and </w:t>
      </w:r>
      <w:r w:rsidR="00127A1B">
        <w:t>l</w:t>
      </w:r>
      <w:r>
        <w:t xml:space="preserve">egal </w:t>
      </w:r>
      <w:r w:rsidR="00127A1B">
        <w:t>f</w:t>
      </w:r>
      <w:r>
        <w:t>ramework</w:t>
      </w:r>
      <w:r w:rsidR="00127A1B">
        <w:tab/>
      </w:r>
      <w:r>
        <w:tab/>
      </w:r>
      <w:r w:rsidR="00575ADD">
        <w:t>5</w:t>
      </w:r>
    </w:p>
    <w:p w14:paraId="0598F917" w14:textId="03F1FC73" w:rsidR="00CE1DE0" w:rsidRDefault="00CE1DE0" w:rsidP="00127A1B">
      <w:pPr>
        <w:tabs>
          <w:tab w:val="right" w:pos="850"/>
          <w:tab w:val="left" w:pos="1134"/>
          <w:tab w:val="left" w:pos="1559"/>
          <w:tab w:val="left" w:pos="1984"/>
          <w:tab w:val="left" w:leader="dot" w:pos="8929"/>
          <w:tab w:val="right" w:pos="9638"/>
        </w:tabs>
        <w:spacing w:after="120"/>
      </w:pPr>
      <w:r>
        <w:t>Development Goal (SDG) 5 on Women Empowerment and Gender Equality</w:t>
      </w:r>
      <w:r>
        <w:tab/>
      </w:r>
      <w:r w:rsidR="00127A1B">
        <w:tab/>
      </w:r>
      <w:r>
        <w:t>6</w:t>
      </w:r>
    </w:p>
    <w:p w14:paraId="589895F6" w14:textId="6E3DBF48" w:rsidR="00CE1DE0" w:rsidRDefault="00CE1DE0" w:rsidP="00127A1B">
      <w:pPr>
        <w:tabs>
          <w:tab w:val="right" w:pos="850"/>
          <w:tab w:val="left" w:pos="1134"/>
          <w:tab w:val="left" w:pos="1559"/>
          <w:tab w:val="left" w:pos="1984"/>
          <w:tab w:val="left" w:leader="dot" w:pos="8929"/>
          <w:tab w:val="right" w:pos="9638"/>
        </w:tabs>
        <w:spacing w:after="120"/>
      </w:pPr>
      <w:r>
        <w:t>Parliament / Legislatures and other Institutional Mechanisms</w:t>
      </w:r>
      <w:r>
        <w:tab/>
      </w:r>
      <w:r w:rsidR="00127A1B">
        <w:tab/>
      </w:r>
      <w:r w:rsidR="0065184C">
        <w:t>7</w:t>
      </w:r>
    </w:p>
    <w:p w14:paraId="70BDD774" w14:textId="2BAED073" w:rsidR="00CE1DE0" w:rsidRDefault="00CE1DE0" w:rsidP="00127A1B">
      <w:pPr>
        <w:tabs>
          <w:tab w:val="right" w:pos="850"/>
          <w:tab w:val="left" w:pos="1134"/>
          <w:tab w:val="left" w:pos="1559"/>
          <w:tab w:val="left" w:pos="1984"/>
          <w:tab w:val="left" w:leader="dot" w:pos="8929"/>
          <w:tab w:val="right" w:pos="9638"/>
        </w:tabs>
        <w:spacing w:after="120"/>
      </w:pPr>
      <w:r>
        <w:t>Institutional Mechanisms</w:t>
      </w:r>
      <w:r>
        <w:tab/>
      </w:r>
      <w:r w:rsidR="00127A1B">
        <w:tab/>
      </w:r>
      <w:r>
        <w:t>7</w:t>
      </w:r>
    </w:p>
    <w:p w14:paraId="3DFF7C38" w14:textId="200DD609" w:rsidR="00CE1DE0" w:rsidRDefault="00CE1DE0" w:rsidP="00127A1B">
      <w:pPr>
        <w:tabs>
          <w:tab w:val="right" w:pos="850"/>
          <w:tab w:val="left" w:pos="1134"/>
          <w:tab w:val="left" w:pos="1559"/>
          <w:tab w:val="left" w:pos="1984"/>
          <w:tab w:val="left" w:leader="dot" w:pos="8929"/>
          <w:tab w:val="right" w:pos="9638"/>
        </w:tabs>
        <w:spacing w:after="120"/>
      </w:pPr>
      <w:r>
        <w:t>Socio-Economic Context</w:t>
      </w:r>
      <w:r>
        <w:tab/>
      </w:r>
      <w:r w:rsidR="00127A1B">
        <w:tab/>
      </w:r>
      <w:r w:rsidR="0065184C">
        <w:t>9</w:t>
      </w:r>
    </w:p>
    <w:p w14:paraId="0D4D4C95" w14:textId="14594B5C" w:rsidR="00CE1DE0" w:rsidRDefault="00CE1DE0" w:rsidP="00127A1B">
      <w:pPr>
        <w:tabs>
          <w:tab w:val="right" w:pos="850"/>
          <w:tab w:val="left" w:pos="1134"/>
          <w:tab w:val="left" w:pos="1559"/>
          <w:tab w:val="left" w:pos="1984"/>
          <w:tab w:val="left" w:leader="dot" w:pos="8929"/>
          <w:tab w:val="right" w:pos="9638"/>
        </w:tabs>
        <w:spacing w:after="120"/>
      </w:pPr>
      <w:r>
        <w:t>P</w:t>
      </w:r>
      <w:r w:rsidR="00127A1B">
        <w:t>art</w:t>
      </w:r>
      <w:r>
        <w:t xml:space="preserve"> I A</w:t>
      </w:r>
      <w:r w:rsidR="00127A1B">
        <w:t>rticle</w:t>
      </w:r>
      <w:r>
        <w:t xml:space="preserve"> 1 -8</w:t>
      </w:r>
      <w:r>
        <w:tab/>
      </w:r>
      <w:r w:rsidR="00127A1B">
        <w:tab/>
      </w:r>
      <w:r w:rsidR="00127A1B">
        <w:tab/>
      </w:r>
      <w:r w:rsidR="00127A1B">
        <w:tab/>
      </w:r>
      <w:r>
        <w:t>1</w:t>
      </w:r>
      <w:r w:rsidR="0065184C">
        <w:t>0</w:t>
      </w:r>
    </w:p>
    <w:p w14:paraId="697FBA9B" w14:textId="3DBF9795" w:rsidR="00CE1DE0" w:rsidRDefault="00CE1DE0" w:rsidP="00127A1B">
      <w:pPr>
        <w:tabs>
          <w:tab w:val="right" w:pos="850"/>
          <w:tab w:val="left" w:pos="1134"/>
          <w:tab w:val="left" w:pos="1559"/>
          <w:tab w:val="left" w:pos="1984"/>
          <w:tab w:val="left" w:leader="dot" w:pos="8929"/>
          <w:tab w:val="right" w:pos="9638"/>
        </w:tabs>
        <w:spacing w:after="120"/>
      </w:pPr>
      <w:r>
        <w:t xml:space="preserve">Article 1: Definition of discrimination against </w:t>
      </w:r>
      <w:r w:rsidR="00E51DDB">
        <w:t>w</w:t>
      </w:r>
      <w:r>
        <w:t>omen</w:t>
      </w:r>
      <w:r>
        <w:tab/>
      </w:r>
      <w:r w:rsidR="00127A1B">
        <w:tab/>
      </w:r>
      <w:r>
        <w:t>1</w:t>
      </w:r>
      <w:r w:rsidR="0065184C">
        <w:t>0</w:t>
      </w:r>
    </w:p>
    <w:p w14:paraId="6426BB47" w14:textId="4368281B" w:rsidR="00CE1DE0" w:rsidRDefault="00CE1DE0" w:rsidP="00127A1B">
      <w:pPr>
        <w:tabs>
          <w:tab w:val="right" w:pos="850"/>
          <w:tab w:val="left" w:pos="1134"/>
          <w:tab w:val="left" w:pos="1559"/>
          <w:tab w:val="left" w:pos="1984"/>
          <w:tab w:val="left" w:leader="dot" w:pos="8929"/>
          <w:tab w:val="right" w:pos="9638"/>
        </w:tabs>
        <w:spacing w:after="120"/>
      </w:pPr>
      <w:r>
        <w:t>Article 2: Duty of state and measures to eliminate discrimination</w:t>
      </w:r>
      <w:r>
        <w:tab/>
      </w:r>
      <w:r w:rsidR="00127A1B">
        <w:tab/>
      </w:r>
      <w:r>
        <w:t>1</w:t>
      </w:r>
      <w:r w:rsidR="0065184C">
        <w:t>1</w:t>
      </w:r>
    </w:p>
    <w:p w14:paraId="3CEB6D02" w14:textId="1D98FF57" w:rsidR="00CE1DE0" w:rsidRDefault="00CE1DE0" w:rsidP="00127A1B">
      <w:pPr>
        <w:tabs>
          <w:tab w:val="right" w:pos="850"/>
          <w:tab w:val="left" w:pos="1134"/>
          <w:tab w:val="left" w:pos="1559"/>
          <w:tab w:val="left" w:pos="1984"/>
          <w:tab w:val="left" w:leader="dot" w:pos="8929"/>
          <w:tab w:val="right" w:pos="9638"/>
        </w:tabs>
        <w:spacing w:after="120"/>
      </w:pPr>
      <w:r>
        <w:t>Article 3 - Equality - Guarantee of Basic Human Rights and Fundamental Freedoms</w:t>
      </w:r>
      <w:r>
        <w:tab/>
      </w:r>
      <w:r w:rsidR="00127A1B">
        <w:tab/>
      </w:r>
      <w:r>
        <w:t>1</w:t>
      </w:r>
      <w:r w:rsidR="0065184C">
        <w:t>4</w:t>
      </w:r>
    </w:p>
    <w:p w14:paraId="2EC1B3E1" w14:textId="069E546F" w:rsidR="00CE1DE0" w:rsidRDefault="00CE1DE0" w:rsidP="00127A1B">
      <w:pPr>
        <w:tabs>
          <w:tab w:val="right" w:pos="850"/>
          <w:tab w:val="left" w:pos="1134"/>
          <w:tab w:val="left" w:pos="1559"/>
          <w:tab w:val="left" w:pos="1984"/>
          <w:tab w:val="left" w:leader="dot" w:pos="8929"/>
          <w:tab w:val="right" w:pos="9638"/>
        </w:tabs>
        <w:spacing w:after="120"/>
      </w:pPr>
      <w:r>
        <w:t>Article 4: Special measures aimed at accelerating equality between men and women</w:t>
      </w:r>
      <w:r>
        <w:tab/>
      </w:r>
      <w:r w:rsidR="00127A1B">
        <w:tab/>
      </w:r>
      <w:r w:rsidR="0065184C">
        <w:t>15</w:t>
      </w:r>
    </w:p>
    <w:p w14:paraId="581E8385" w14:textId="43F5311B" w:rsidR="00CE1DE0" w:rsidRDefault="00CE1DE0" w:rsidP="00127A1B">
      <w:pPr>
        <w:tabs>
          <w:tab w:val="right" w:pos="850"/>
          <w:tab w:val="left" w:pos="1134"/>
          <w:tab w:val="left" w:pos="1559"/>
          <w:tab w:val="left" w:pos="1984"/>
          <w:tab w:val="left" w:leader="dot" w:pos="8929"/>
          <w:tab w:val="right" w:pos="9638"/>
        </w:tabs>
        <w:spacing w:after="120"/>
      </w:pPr>
      <w:r>
        <w:t>Article 5: Measures to address Sex Role Stereotyping and prejudice</w:t>
      </w:r>
      <w:r>
        <w:tab/>
      </w:r>
      <w:r w:rsidR="00127A1B">
        <w:tab/>
      </w:r>
      <w:r w:rsidR="0065184C">
        <w:t>16</w:t>
      </w:r>
    </w:p>
    <w:p w14:paraId="25A87BC8" w14:textId="52221CE8" w:rsidR="00CE1DE0" w:rsidRDefault="00CE1DE0" w:rsidP="00127A1B">
      <w:pPr>
        <w:tabs>
          <w:tab w:val="right" w:pos="850"/>
          <w:tab w:val="left" w:pos="1134"/>
          <w:tab w:val="left" w:pos="1559"/>
          <w:tab w:val="left" w:pos="1984"/>
          <w:tab w:val="left" w:leader="dot" w:pos="8929"/>
          <w:tab w:val="right" w:pos="9638"/>
        </w:tabs>
        <w:spacing w:after="120"/>
      </w:pPr>
      <w:r>
        <w:t xml:space="preserve">Article 6: Trafficking in </w:t>
      </w:r>
      <w:r w:rsidR="00821BF3">
        <w:t>w</w:t>
      </w:r>
      <w:r>
        <w:t>omen and exploitation of prostitution</w:t>
      </w:r>
      <w:r>
        <w:tab/>
      </w:r>
      <w:r w:rsidR="00127A1B">
        <w:tab/>
      </w:r>
      <w:r w:rsidR="0065184C">
        <w:t>22</w:t>
      </w:r>
    </w:p>
    <w:p w14:paraId="4BA161CD" w14:textId="230BA917" w:rsidR="00CE1DE0" w:rsidRDefault="00CE1DE0" w:rsidP="00127A1B">
      <w:pPr>
        <w:tabs>
          <w:tab w:val="right" w:pos="850"/>
          <w:tab w:val="left" w:pos="1134"/>
          <w:tab w:val="left" w:pos="1559"/>
          <w:tab w:val="left" w:pos="1984"/>
          <w:tab w:val="left" w:leader="dot" w:pos="8929"/>
          <w:tab w:val="right" w:pos="9638"/>
        </w:tabs>
        <w:spacing w:after="120"/>
      </w:pPr>
      <w:r>
        <w:t>P</w:t>
      </w:r>
      <w:r w:rsidR="00821BF3">
        <w:t>art</w:t>
      </w:r>
      <w:r>
        <w:t xml:space="preserve"> II: A</w:t>
      </w:r>
      <w:r w:rsidR="00821BF3">
        <w:t>rticle</w:t>
      </w:r>
      <w:r>
        <w:t xml:space="preserve"> 7-9</w:t>
      </w:r>
      <w:r>
        <w:tab/>
      </w:r>
      <w:r w:rsidR="00127A1B">
        <w:tab/>
      </w:r>
      <w:r w:rsidR="00127A1B">
        <w:tab/>
      </w:r>
      <w:r w:rsidR="00186774">
        <w:tab/>
        <w:t>23</w:t>
      </w:r>
    </w:p>
    <w:p w14:paraId="0931CD84" w14:textId="649C8598" w:rsidR="00CE1DE0" w:rsidRDefault="00CE1DE0" w:rsidP="00127A1B">
      <w:pPr>
        <w:tabs>
          <w:tab w:val="right" w:pos="850"/>
          <w:tab w:val="left" w:pos="1134"/>
          <w:tab w:val="left" w:pos="1559"/>
          <w:tab w:val="left" w:pos="1984"/>
          <w:tab w:val="left" w:leader="dot" w:pos="8929"/>
          <w:tab w:val="right" w:pos="9638"/>
        </w:tabs>
        <w:spacing w:after="120"/>
      </w:pPr>
      <w:r>
        <w:t xml:space="preserve">Article 7: Elimination of </w:t>
      </w:r>
      <w:r w:rsidR="004A4823">
        <w:t>d</w:t>
      </w:r>
      <w:r>
        <w:t xml:space="preserve">iscrimination against women in </w:t>
      </w:r>
      <w:r w:rsidR="00EC5054">
        <w:t>p</w:t>
      </w:r>
      <w:r>
        <w:t>olitical and public life</w:t>
      </w:r>
      <w:r>
        <w:tab/>
      </w:r>
      <w:r w:rsidR="00127A1B">
        <w:tab/>
      </w:r>
      <w:r w:rsidR="00186774">
        <w:t>23</w:t>
      </w:r>
    </w:p>
    <w:p w14:paraId="56A604D6" w14:textId="12E6EC57" w:rsidR="00CE1DE0" w:rsidRDefault="00CE1DE0" w:rsidP="00127A1B">
      <w:pPr>
        <w:tabs>
          <w:tab w:val="right" w:pos="850"/>
          <w:tab w:val="left" w:pos="1134"/>
          <w:tab w:val="left" w:pos="1559"/>
          <w:tab w:val="left" w:pos="1984"/>
          <w:tab w:val="left" w:leader="dot" w:pos="8929"/>
          <w:tab w:val="right" w:pos="9638"/>
        </w:tabs>
        <w:spacing w:after="120"/>
      </w:pPr>
      <w:r>
        <w:t>Article 8: Participation at the international level</w:t>
      </w:r>
      <w:r>
        <w:tab/>
      </w:r>
      <w:r w:rsidR="00127A1B">
        <w:tab/>
      </w:r>
      <w:r w:rsidR="00BD1341">
        <w:t>2</w:t>
      </w:r>
      <w:r>
        <w:t>4</w:t>
      </w:r>
    </w:p>
    <w:p w14:paraId="3A147550" w14:textId="6B14CEE0" w:rsidR="00CE1DE0" w:rsidRPr="00BD1341" w:rsidRDefault="00CE1DE0" w:rsidP="00127A1B">
      <w:pPr>
        <w:tabs>
          <w:tab w:val="right" w:pos="850"/>
          <w:tab w:val="left" w:pos="1134"/>
          <w:tab w:val="left" w:pos="1559"/>
          <w:tab w:val="left" w:pos="1984"/>
          <w:tab w:val="left" w:leader="dot" w:pos="8929"/>
          <w:tab w:val="right" w:pos="9638"/>
        </w:tabs>
        <w:spacing w:after="120"/>
        <w:rPr>
          <w:lang w:val="fr-FR"/>
        </w:rPr>
      </w:pPr>
      <w:r w:rsidRPr="00BD1341">
        <w:rPr>
          <w:lang w:val="fr-FR"/>
        </w:rPr>
        <w:t>Article 9: Nationality</w:t>
      </w:r>
      <w:r w:rsidRPr="00BD1341">
        <w:rPr>
          <w:lang w:val="fr-FR"/>
        </w:rPr>
        <w:tab/>
      </w:r>
      <w:r w:rsidR="00127A1B" w:rsidRPr="00BD1341">
        <w:rPr>
          <w:lang w:val="fr-FR"/>
        </w:rPr>
        <w:tab/>
      </w:r>
      <w:r w:rsidR="00127A1B" w:rsidRPr="00BD1341">
        <w:rPr>
          <w:lang w:val="fr-FR"/>
        </w:rPr>
        <w:tab/>
      </w:r>
      <w:r w:rsidR="009E4F6D">
        <w:rPr>
          <w:lang w:val="fr-FR"/>
        </w:rPr>
        <w:t>2</w:t>
      </w:r>
      <w:r w:rsidRPr="00BD1341">
        <w:rPr>
          <w:lang w:val="fr-FR"/>
        </w:rPr>
        <w:t>5</w:t>
      </w:r>
    </w:p>
    <w:p w14:paraId="3DE5434C" w14:textId="1F46A3DC" w:rsidR="00CE1DE0" w:rsidRPr="00BD1341" w:rsidRDefault="00CE1DE0" w:rsidP="00127A1B">
      <w:pPr>
        <w:tabs>
          <w:tab w:val="right" w:pos="850"/>
          <w:tab w:val="left" w:pos="1134"/>
          <w:tab w:val="left" w:pos="1559"/>
          <w:tab w:val="left" w:pos="1984"/>
          <w:tab w:val="left" w:leader="dot" w:pos="8929"/>
          <w:tab w:val="right" w:pos="9638"/>
        </w:tabs>
        <w:spacing w:after="120"/>
        <w:rPr>
          <w:lang w:val="fr-FR"/>
        </w:rPr>
      </w:pPr>
      <w:r w:rsidRPr="00BD1341">
        <w:rPr>
          <w:lang w:val="fr-FR"/>
        </w:rPr>
        <w:t>P</w:t>
      </w:r>
      <w:r w:rsidR="002672A7" w:rsidRPr="00BD1341">
        <w:rPr>
          <w:lang w:val="fr-FR"/>
        </w:rPr>
        <w:t>art</w:t>
      </w:r>
      <w:r w:rsidRPr="00BD1341">
        <w:rPr>
          <w:lang w:val="fr-FR"/>
        </w:rPr>
        <w:t xml:space="preserve"> III: A</w:t>
      </w:r>
      <w:r w:rsidR="002672A7" w:rsidRPr="00BD1341">
        <w:rPr>
          <w:lang w:val="fr-FR"/>
        </w:rPr>
        <w:t>rticle</w:t>
      </w:r>
      <w:r w:rsidRPr="00BD1341">
        <w:rPr>
          <w:lang w:val="fr-FR"/>
        </w:rPr>
        <w:t xml:space="preserve"> 10-14</w:t>
      </w:r>
      <w:r w:rsidRPr="00BD1341">
        <w:rPr>
          <w:lang w:val="fr-FR"/>
        </w:rPr>
        <w:tab/>
      </w:r>
      <w:r w:rsidR="00127A1B" w:rsidRPr="00BD1341">
        <w:rPr>
          <w:lang w:val="fr-FR"/>
        </w:rPr>
        <w:tab/>
      </w:r>
      <w:r w:rsidR="002672A7" w:rsidRPr="00BD1341">
        <w:rPr>
          <w:lang w:val="fr-FR"/>
        </w:rPr>
        <w:tab/>
      </w:r>
      <w:r w:rsidR="009E4F6D">
        <w:rPr>
          <w:lang w:val="fr-FR"/>
        </w:rPr>
        <w:t>26</w:t>
      </w:r>
    </w:p>
    <w:p w14:paraId="1F538E28" w14:textId="06BA1833" w:rsidR="00CE1DE0" w:rsidRPr="009E4F6D" w:rsidRDefault="00CE1DE0" w:rsidP="00127A1B">
      <w:pPr>
        <w:tabs>
          <w:tab w:val="right" w:pos="850"/>
          <w:tab w:val="left" w:pos="1134"/>
          <w:tab w:val="left" w:pos="1559"/>
          <w:tab w:val="left" w:pos="1984"/>
          <w:tab w:val="left" w:leader="dot" w:pos="8929"/>
          <w:tab w:val="right" w:pos="9638"/>
        </w:tabs>
        <w:spacing w:after="120"/>
        <w:rPr>
          <w:lang w:val="en-US"/>
        </w:rPr>
      </w:pPr>
      <w:r w:rsidRPr="009E4F6D">
        <w:rPr>
          <w:lang w:val="en-US"/>
        </w:rPr>
        <w:t>Article 10: Education</w:t>
      </w:r>
      <w:r w:rsidRPr="009E4F6D">
        <w:rPr>
          <w:lang w:val="en-US"/>
        </w:rPr>
        <w:tab/>
      </w:r>
      <w:r w:rsidR="00127A1B" w:rsidRPr="009E4F6D">
        <w:rPr>
          <w:lang w:val="en-US"/>
        </w:rPr>
        <w:tab/>
      </w:r>
      <w:r w:rsidR="00127A1B" w:rsidRPr="009E4F6D">
        <w:rPr>
          <w:lang w:val="en-US"/>
        </w:rPr>
        <w:tab/>
      </w:r>
      <w:r w:rsidR="009E4F6D" w:rsidRPr="009E4F6D">
        <w:rPr>
          <w:lang w:val="en-US"/>
        </w:rPr>
        <w:t>26</w:t>
      </w:r>
    </w:p>
    <w:p w14:paraId="63815C50" w14:textId="395505B5" w:rsidR="00CE1DE0" w:rsidRDefault="00CE1DE0" w:rsidP="00127A1B">
      <w:pPr>
        <w:tabs>
          <w:tab w:val="right" w:pos="850"/>
          <w:tab w:val="left" w:pos="1134"/>
          <w:tab w:val="left" w:pos="1559"/>
          <w:tab w:val="left" w:pos="1984"/>
          <w:tab w:val="left" w:leader="dot" w:pos="8929"/>
          <w:tab w:val="right" w:pos="9638"/>
        </w:tabs>
        <w:spacing w:after="120"/>
      </w:pPr>
      <w:r>
        <w:t>Article 11: Employment</w:t>
      </w:r>
      <w:r>
        <w:tab/>
      </w:r>
      <w:r w:rsidR="00127A1B">
        <w:tab/>
      </w:r>
      <w:r w:rsidR="00127A1B">
        <w:tab/>
      </w:r>
      <w:r w:rsidR="009E4F6D">
        <w:t>27</w:t>
      </w:r>
    </w:p>
    <w:p w14:paraId="74BF4359" w14:textId="67F59067" w:rsidR="00CE1DE0" w:rsidRDefault="00CE1DE0" w:rsidP="00127A1B">
      <w:pPr>
        <w:tabs>
          <w:tab w:val="right" w:pos="850"/>
          <w:tab w:val="left" w:pos="1134"/>
          <w:tab w:val="left" w:pos="1559"/>
          <w:tab w:val="left" w:pos="1984"/>
          <w:tab w:val="left" w:leader="dot" w:pos="8929"/>
          <w:tab w:val="right" w:pos="9638"/>
        </w:tabs>
        <w:spacing w:after="120"/>
      </w:pPr>
      <w:r>
        <w:t>Article 12: Health</w:t>
      </w:r>
      <w:r>
        <w:tab/>
      </w:r>
      <w:r w:rsidR="00127A1B">
        <w:tab/>
      </w:r>
      <w:r w:rsidR="00127A1B">
        <w:tab/>
      </w:r>
      <w:r w:rsidR="00127A1B">
        <w:tab/>
      </w:r>
      <w:r w:rsidR="009E4F6D">
        <w:t>29</w:t>
      </w:r>
    </w:p>
    <w:p w14:paraId="6887A8D0" w14:textId="26A0537D" w:rsidR="00CE1DE0" w:rsidRDefault="00CE1DE0" w:rsidP="00127A1B">
      <w:pPr>
        <w:tabs>
          <w:tab w:val="right" w:pos="850"/>
          <w:tab w:val="left" w:pos="1134"/>
          <w:tab w:val="left" w:pos="1559"/>
          <w:tab w:val="left" w:pos="1984"/>
          <w:tab w:val="left" w:leader="dot" w:pos="8929"/>
          <w:tab w:val="right" w:pos="9638"/>
        </w:tabs>
        <w:spacing w:after="120"/>
      </w:pPr>
      <w:r>
        <w:t>Article 13: Economic empowerment of women and social benefits</w:t>
      </w:r>
      <w:r>
        <w:tab/>
      </w:r>
      <w:r w:rsidR="00127A1B">
        <w:tab/>
      </w:r>
      <w:r w:rsidR="009E4F6D">
        <w:t>31</w:t>
      </w:r>
    </w:p>
    <w:p w14:paraId="37641A97" w14:textId="4DE72769" w:rsidR="00CE1DE0" w:rsidRDefault="00CE1DE0" w:rsidP="00127A1B">
      <w:pPr>
        <w:tabs>
          <w:tab w:val="right" w:pos="850"/>
          <w:tab w:val="left" w:pos="1134"/>
          <w:tab w:val="left" w:pos="1559"/>
          <w:tab w:val="left" w:pos="1984"/>
          <w:tab w:val="left" w:leader="dot" w:pos="8929"/>
          <w:tab w:val="right" w:pos="9638"/>
        </w:tabs>
        <w:spacing w:after="120"/>
      </w:pPr>
      <w:r>
        <w:t>Article 14: Rural women empowerment</w:t>
      </w:r>
      <w:r>
        <w:tab/>
      </w:r>
      <w:r w:rsidR="00127A1B">
        <w:tab/>
      </w:r>
      <w:r w:rsidR="009E4F6D">
        <w:t>32</w:t>
      </w:r>
    </w:p>
    <w:p w14:paraId="165CE355" w14:textId="534AC366" w:rsidR="00CE1DE0" w:rsidRDefault="00CE1DE0" w:rsidP="00127A1B">
      <w:pPr>
        <w:tabs>
          <w:tab w:val="right" w:pos="850"/>
          <w:tab w:val="left" w:pos="1134"/>
          <w:tab w:val="left" w:pos="1559"/>
          <w:tab w:val="left" w:pos="1984"/>
          <w:tab w:val="left" w:leader="dot" w:pos="8929"/>
          <w:tab w:val="right" w:pos="9638"/>
        </w:tabs>
        <w:spacing w:after="120"/>
      </w:pPr>
      <w:r>
        <w:t>P</w:t>
      </w:r>
      <w:r w:rsidR="00E95844">
        <w:t>art</w:t>
      </w:r>
      <w:r>
        <w:t xml:space="preserve"> IV: A</w:t>
      </w:r>
      <w:r w:rsidR="00E95844">
        <w:t>rticle</w:t>
      </w:r>
      <w:r>
        <w:t xml:space="preserve"> 15-16</w:t>
      </w:r>
      <w:r>
        <w:tab/>
      </w:r>
      <w:r w:rsidR="00127A1B">
        <w:tab/>
      </w:r>
      <w:r w:rsidR="00E95844">
        <w:tab/>
      </w:r>
      <w:r w:rsidR="009E4F6D">
        <w:t>34</w:t>
      </w:r>
    </w:p>
    <w:p w14:paraId="0489EA81" w14:textId="3256BB93" w:rsidR="00CE1DE0" w:rsidRDefault="00CE1DE0" w:rsidP="00127A1B">
      <w:pPr>
        <w:tabs>
          <w:tab w:val="right" w:pos="850"/>
          <w:tab w:val="left" w:pos="1134"/>
          <w:tab w:val="left" w:pos="1559"/>
          <w:tab w:val="left" w:pos="1984"/>
          <w:tab w:val="left" w:leader="dot" w:pos="8929"/>
          <w:tab w:val="right" w:pos="9638"/>
        </w:tabs>
        <w:spacing w:after="120"/>
      </w:pPr>
      <w:r>
        <w:t>Article 15: Equality before the law</w:t>
      </w:r>
      <w:r>
        <w:tab/>
      </w:r>
      <w:r w:rsidR="00127A1B">
        <w:tab/>
      </w:r>
      <w:r w:rsidR="009E4F6D">
        <w:t>34</w:t>
      </w:r>
    </w:p>
    <w:p w14:paraId="39F61A4D" w14:textId="130F31E7" w:rsidR="00CE1DE0" w:rsidRDefault="00CE1DE0" w:rsidP="00127A1B">
      <w:pPr>
        <w:tabs>
          <w:tab w:val="right" w:pos="850"/>
          <w:tab w:val="left" w:pos="1134"/>
          <w:tab w:val="left" w:pos="1559"/>
          <w:tab w:val="left" w:pos="1984"/>
          <w:tab w:val="left" w:leader="dot" w:pos="8929"/>
          <w:tab w:val="right" w:pos="9638"/>
        </w:tabs>
        <w:spacing w:after="120"/>
      </w:pPr>
      <w:r>
        <w:t>Article 16: Marriage and family life</w:t>
      </w:r>
      <w:r>
        <w:tab/>
      </w:r>
      <w:r w:rsidR="00127A1B">
        <w:tab/>
      </w:r>
      <w:r w:rsidR="009E4F6D">
        <w:t>34</w:t>
      </w:r>
    </w:p>
    <w:p w14:paraId="315BC1BB" w14:textId="1E35D5EE" w:rsidR="00CE1DE0" w:rsidRDefault="00CE1DE0" w:rsidP="00127A1B">
      <w:pPr>
        <w:tabs>
          <w:tab w:val="right" w:pos="850"/>
          <w:tab w:val="left" w:pos="1134"/>
          <w:tab w:val="left" w:pos="1559"/>
          <w:tab w:val="left" w:pos="1984"/>
          <w:tab w:val="left" w:leader="dot" w:pos="8929"/>
          <w:tab w:val="right" w:pos="9638"/>
        </w:tabs>
        <w:spacing w:after="120"/>
      </w:pPr>
      <w:r>
        <w:t>C</w:t>
      </w:r>
      <w:r w:rsidR="004E5C80">
        <w:t>onclusion</w:t>
      </w:r>
      <w:r>
        <w:tab/>
      </w:r>
      <w:r w:rsidR="00127A1B">
        <w:tab/>
      </w:r>
      <w:r w:rsidR="00127A1B">
        <w:tab/>
      </w:r>
      <w:r w:rsidR="00127A1B">
        <w:tab/>
      </w:r>
      <w:r w:rsidR="004E5C80">
        <w:tab/>
      </w:r>
      <w:r w:rsidR="009E4F6D">
        <w:t>35</w:t>
      </w:r>
    </w:p>
    <w:p w14:paraId="24C1E68A" w14:textId="77777777" w:rsidR="00040123" w:rsidRDefault="00040123" w:rsidP="00040123">
      <w:pPr>
        <w:pStyle w:val="SingleTxtG"/>
      </w:pPr>
    </w:p>
    <w:p w14:paraId="5315B606" w14:textId="2AFF71EA" w:rsidR="00040123" w:rsidRDefault="00040123">
      <w:pPr>
        <w:suppressAutoHyphens w:val="0"/>
        <w:spacing w:after="200" w:line="276" w:lineRule="auto"/>
        <w:rPr>
          <w:rFonts w:eastAsiaTheme="minorHAnsi"/>
          <w:b/>
          <w:sz w:val="24"/>
        </w:rPr>
      </w:pPr>
      <w:r>
        <w:br w:type="page"/>
      </w:r>
    </w:p>
    <w:p w14:paraId="46F59A57" w14:textId="5BBDFCD8" w:rsidR="00EC3352" w:rsidRDefault="001C2B87" w:rsidP="00B52FA5">
      <w:pPr>
        <w:spacing w:before="120" w:after="120"/>
        <w:rPr>
          <w:sz w:val="28"/>
          <w:szCs w:val="28"/>
        </w:rPr>
      </w:pPr>
      <w:r w:rsidRPr="00B52FA5">
        <w:rPr>
          <w:sz w:val="28"/>
          <w:szCs w:val="28"/>
        </w:rPr>
        <w:lastRenderedPageBreak/>
        <w:t>Acronyms</w:t>
      </w:r>
    </w:p>
    <w:p w14:paraId="572EE46E" w14:textId="5F4A5363" w:rsidR="00EC3352" w:rsidRDefault="00EC3352" w:rsidP="00B52FA5">
      <w:pPr>
        <w:spacing w:before="120" w:after="120"/>
      </w:pPr>
      <w:r>
        <w:t>AIDS</w:t>
      </w:r>
      <w:r>
        <w:tab/>
      </w:r>
      <w:r w:rsidR="001C2B87">
        <w:tab/>
      </w:r>
      <w:r w:rsidR="001C2B87">
        <w:tab/>
      </w:r>
      <w:r>
        <w:t>Acquired Immunodeficiency Syndrome</w:t>
      </w:r>
    </w:p>
    <w:p w14:paraId="3CFE2E39" w14:textId="1E708573" w:rsidR="00EC3352" w:rsidRDefault="00EC3352" w:rsidP="00B52FA5">
      <w:pPr>
        <w:spacing w:before="120" w:after="120"/>
      </w:pPr>
      <w:r>
        <w:t>AU-CEVAWG</w:t>
      </w:r>
      <w:r w:rsidR="001C2B87">
        <w:tab/>
      </w:r>
      <w:r>
        <w:t>African Union Convention on Ending Violence Against Women and Girls</w:t>
      </w:r>
    </w:p>
    <w:p w14:paraId="7E400783" w14:textId="416DD5C1" w:rsidR="00EC3352" w:rsidRDefault="00EC3352" w:rsidP="00B52FA5">
      <w:pPr>
        <w:spacing w:before="120" w:after="120"/>
      </w:pPr>
      <w:r>
        <w:t>BBBEE</w:t>
      </w:r>
      <w:r>
        <w:tab/>
      </w:r>
      <w:r w:rsidR="001C2B87">
        <w:tab/>
      </w:r>
      <w:r>
        <w:t xml:space="preserve">Broad-Based Black Economic Empowerment </w:t>
      </w:r>
    </w:p>
    <w:p w14:paraId="796D1F60" w14:textId="2DAE3052" w:rsidR="00EC3352" w:rsidRDefault="00EC3352" w:rsidP="00B52FA5">
      <w:pPr>
        <w:spacing w:before="120" w:after="120"/>
      </w:pPr>
      <w:r>
        <w:t>CCMA</w:t>
      </w:r>
      <w:r>
        <w:tab/>
      </w:r>
      <w:r w:rsidR="001C2B87">
        <w:tab/>
      </w:r>
      <w:r>
        <w:t xml:space="preserve">Commission for Conciliation, Mediation and Arbitration </w:t>
      </w:r>
    </w:p>
    <w:p w14:paraId="6A59B091" w14:textId="11C54C0A" w:rsidR="00EC3352" w:rsidRDefault="00EC3352" w:rsidP="00B52FA5">
      <w:pPr>
        <w:spacing w:before="120" w:after="120"/>
      </w:pPr>
      <w:r>
        <w:t>CEDAW</w:t>
      </w:r>
      <w:r>
        <w:tab/>
      </w:r>
      <w:r w:rsidR="001C2B87">
        <w:tab/>
      </w:r>
      <w:r>
        <w:t>Convention on the Elimination of All Forms of Discrimination against Women</w:t>
      </w:r>
    </w:p>
    <w:p w14:paraId="0DD78CE9" w14:textId="53FAC025" w:rsidR="00EC3352" w:rsidRDefault="00EC3352" w:rsidP="00B52FA5">
      <w:pPr>
        <w:spacing w:before="120" w:after="120"/>
      </w:pPr>
      <w:r>
        <w:t>CGE</w:t>
      </w:r>
      <w:r>
        <w:tab/>
      </w:r>
      <w:r w:rsidR="001C2B87">
        <w:tab/>
      </w:r>
      <w:r w:rsidR="001C2B87">
        <w:tab/>
      </w:r>
      <w:r>
        <w:t>Commission for Gender Equality</w:t>
      </w:r>
    </w:p>
    <w:p w14:paraId="21457F25" w14:textId="55AA3337" w:rsidR="00EC3352" w:rsidRDefault="00EC3352" w:rsidP="00B52FA5">
      <w:pPr>
        <w:spacing w:before="120" w:after="120"/>
      </w:pPr>
      <w:r>
        <w:t>CRDP</w:t>
      </w:r>
      <w:r>
        <w:tab/>
      </w:r>
      <w:r w:rsidR="001C2B87">
        <w:tab/>
      </w:r>
      <w:r w:rsidR="001C2B87">
        <w:tab/>
      </w:r>
      <w:r>
        <w:t xml:space="preserve">Comprehensive Rural Development Programme </w:t>
      </w:r>
    </w:p>
    <w:p w14:paraId="022B6046" w14:textId="7D7BB4C5" w:rsidR="00EC3352" w:rsidRDefault="00EC3352" w:rsidP="00B52FA5">
      <w:pPr>
        <w:spacing w:before="120" w:after="120"/>
      </w:pPr>
      <w:r>
        <w:t>CYPR</w:t>
      </w:r>
      <w:r>
        <w:tab/>
      </w:r>
      <w:r w:rsidR="001C2B87">
        <w:tab/>
      </w:r>
      <w:r w:rsidR="001C2B87">
        <w:tab/>
      </w:r>
      <w:r>
        <w:t xml:space="preserve">Couple Year Protection Rate </w:t>
      </w:r>
    </w:p>
    <w:p w14:paraId="551908E3" w14:textId="6F6A7BCB" w:rsidR="00EC3352" w:rsidRDefault="00EC3352" w:rsidP="00B52FA5">
      <w:pPr>
        <w:spacing w:before="120" w:after="120"/>
      </w:pPr>
      <w:r>
        <w:t>DPME</w:t>
      </w:r>
      <w:r>
        <w:tab/>
      </w:r>
      <w:r w:rsidR="001C2B87">
        <w:tab/>
      </w:r>
      <w:r w:rsidR="001C2B87">
        <w:tab/>
      </w:r>
      <w:r>
        <w:t>Department of Planning, Monitoring and Evaluation</w:t>
      </w:r>
    </w:p>
    <w:p w14:paraId="3C76D3CB" w14:textId="46C45F4D" w:rsidR="00EC3352" w:rsidRDefault="00EC3352" w:rsidP="00B52FA5">
      <w:pPr>
        <w:spacing w:before="120" w:after="120"/>
      </w:pPr>
      <w:r>
        <w:t>DSD</w:t>
      </w:r>
      <w:r>
        <w:tab/>
      </w:r>
      <w:r w:rsidR="001C2B87">
        <w:tab/>
      </w:r>
      <w:r w:rsidR="001C2B87">
        <w:tab/>
      </w:r>
      <w:r>
        <w:t xml:space="preserve">Department of Social Development </w:t>
      </w:r>
    </w:p>
    <w:p w14:paraId="35A7EFBC" w14:textId="7AF7C328" w:rsidR="00EC3352" w:rsidRDefault="00EC3352" w:rsidP="00B52FA5">
      <w:pPr>
        <w:spacing w:before="120" w:after="120"/>
      </w:pPr>
      <w:r>
        <w:t>DPWI</w:t>
      </w:r>
      <w:r>
        <w:tab/>
      </w:r>
      <w:r w:rsidR="001C2B87">
        <w:tab/>
      </w:r>
      <w:r w:rsidR="001C2B87">
        <w:tab/>
      </w:r>
      <w:r>
        <w:t xml:space="preserve">Department of Public Works and Infrastructure </w:t>
      </w:r>
    </w:p>
    <w:p w14:paraId="06A4C2BC" w14:textId="0E06D07E" w:rsidR="00EC3352" w:rsidRDefault="00EC3352" w:rsidP="00B52FA5">
      <w:pPr>
        <w:spacing w:before="120" w:after="120"/>
      </w:pPr>
      <w:r>
        <w:t>DWYPD</w:t>
      </w:r>
      <w:r>
        <w:tab/>
      </w:r>
      <w:r w:rsidR="001C2B87">
        <w:tab/>
      </w:r>
      <w:r>
        <w:t>Department of Women, Youth and Persons with Disabilities</w:t>
      </w:r>
    </w:p>
    <w:p w14:paraId="79CF6C0D" w14:textId="36792819" w:rsidR="00EC3352" w:rsidRDefault="00EC3352" w:rsidP="00B52FA5">
      <w:pPr>
        <w:spacing w:before="120" w:after="120"/>
      </w:pPr>
      <w:r>
        <w:t>EWWG</w:t>
      </w:r>
      <w:r>
        <w:tab/>
      </w:r>
      <w:r w:rsidR="001C2B87">
        <w:tab/>
      </w:r>
      <w:r>
        <w:t>Empowerment of Women Working Group (G20)</w:t>
      </w:r>
    </w:p>
    <w:p w14:paraId="2571330C" w14:textId="74A6C3F7" w:rsidR="00EC3352" w:rsidRDefault="00EC3352" w:rsidP="00B52FA5">
      <w:pPr>
        <w:spacing w:before="120" w:after="120"/>
      </w:pPr>
      <w:r>
        <w:t>EPWP</w:t>
      </w:r>
      <w:r>
        <w:tab/>
      </w:r>
      <w:r w:rsidR="001C2B87">
        <w:tab/>
      </w:r>
      <w:r w:rsidR="001C2B87">
        <w:tab/>
      </w:r>
      <w:r>
        <w:t xml:space="preserve">Expanded Public Works Programme </w:t>
      </w:r>
    </w:p>
    <w:p w14:paraId="02C024CF" w14:textId="1B18701F" w:rsidR="00EC3352" w:rsidRDefault="00EC3352" w:rsidP="00B52FA5">
      <w:pPr>
        <w:spacing w:before="120" w:after="120"/>
      </w:pPr>
      <w:r>
        <w:t>ERRP</w:t>
      </w:r>
      <w:r>
        <w:tab/>
      </w:r>
      <w:r w:rsidR="001C2B87">
        <w:tab/>
      </w:r>
      <w:r w:rsidR="001C2B87">
        <w:tab/>
      </w:r>
      <w:r>
        <w:t xml:space="preserve">Economic Reconstruction and Recovery Plan </w:t>
      </w:r>
    </w:p>
    <w:p w14:paraId="2050DDB0" w14:textId="67CD0525" w:rsidR="00EC3352" w:rsidRDefault="00EC3352" w:rsidP="00B52FA5">
      <w:pPr>
        <w:spacing w:before="120" w:after="120"/>
      </w:pPr>
      <w:r>
        <w:t>GBV</w:t>
      </w:r>
      <w:r>
        <w:tab/>
      </w:r>
      <w:r w:rsidR="001C2B87">
        <w:tab/>
      </w:r>
      <w:r w:rsidR="001C2B87">
        <w:tab/>
      </w:r>
      <w:r>
        <w:t>Gender Based violence</w:t>
      </w:r>
    </w:p>
    <w:p w14:paraId="59555D2A" w14:textId="4DD51FD4" w:rsidR="00EC3352" w:rsidRDefault="00EC3352" w:rsidP="00B52FA5">
      <w:pPr>
        <w:spacing w:before="120" w:after="120"/>
      </w:pPr>
      <w:r>
        <w:t>GRPBMEAF</w:t>
      </w:r>
      <w:r>
        <w:tab/>
      </w:r>
      <w:r w:rsidR="001C2B87">
        <w:tab/>
      </w:r>
      <w:r>
        <w:t>Gender Responsive Planning, Budgeting, Monitoring, Evaluation and Auditing Framework</w:t>
      </w:r>
    </w:p>
    <w:p w14:paraId="3AE3F5E4" w14:textId="629064CD" w:rsidR="00EC3352" w:rsidRDefault="00EC3352" w:rsidP="00B52FA5">
      <w:pPr>
        <w:spacing w:before="120" w:after="120"/>
      </w:pPr>
      <w:r>
        <w:t>HIV</w:t>
      </w:r>
      <w:r>
        <w:tab/>
      </w:r>
      <w:r w:rsidR="001C2B87">
        <w:tab/>
      </w:r>
      <w:r w:rsidR="001C2B87">
        <w:tab/>
      </w:r>
      <w:r>
        <w:t>Human Immunodeficiency Virus</w:t>
      </w:r>
    </w:p>
    <w:p w14:paraId="565CF94E" w14:textId="587808A1" w:rsidR="00EC3352" w:rsidRDefault="00EC3352" w:rsidP="00B52FA5">
      <w:pPr>
        <w:spacing w:before="120" w:after="120"/>
      </w:pPr>
      <w:r>
        <w:t>LGBTQIA+</w:t>
      </w:r>
      <w:r>
        <w:tab/>
      </w:r>
      <w:r w:rsidR="001C2B87">
        <w:tab/>
      </w:r>
      <w:r>
        <w:t>Lesbian, Gay, Bisexual, Trans, Intersex, and Queer or Questioning</w:t>
      </w:r>
    </w:p>
    <w:p w14:paraId="47D4F822" w14:textId="00AAE39D" w:rsidR="00EC3352" w:rsidRDefault="00EC3352" w:rsidP="00B52FA5">
      <w:pPr>
        <w:spacing w:before="120" w:after="120"/>
      </w:pPr>
      <w:r>
        <w:t>MTDP</w:t>
      </w:r>
      <w:r>
        <w:tab/>
      </w:r>
      <w:r w:rsidR="001C2B87">
        <w:tab/>
      </w:r>
      <w:r w:rsidR="001C2B87">
        <w:tab/>
      </w:r>
      <w:r>
        <w:t xml:space="preserve">Medium Term Development Plan </w:t>
      </w:r>
    </w:p>
    <w:p w14:paraId="503FFF2D" w14:textId="65A2D502" w:rsidR="00EC3352" w:rsidRDefault="00EC3352" w:rsidP="00B52FA5">
      <w:pPr>
        <w:spacing w:before="120" w:after="120"/>
      </w:pPr>
      <w:r>
        <w:t>MTSF</w:t>
      </w:r>
      <w:r>
        <w:tab/>
      </w:r>
      <w:r w:rsidR="001C2B87">
        <w:tab/>
      </w:r>
      <w:r w:rsidR="001C2B87">
        <w:tab/>
      </w:r>
      <w:r>
        <w:t>Medium term Strategic Framework</w:t>
      </w:r>
    </w:p>
    <w:p w14:paraId="422D3E7C" w14:textId="32D2ABAF" w:rsidR="00EC3352" w:rsidRDefault="00EC3352" w:rsidP="00B52FA5">
      <w:pPr>
        <w:spacing w:before="120" w:after="120"/>
      </w:pPr>
      <w:r>
        <w:t>MPWC</w:t>
      </w:r>
      <w:r>
        <w:tab/>
      </w:r>
      <w:r w:rsidR="001C2B87">
        <w:tab/>
      </w:r>
      <w:r>
        <w:t xml:space="preserve">Multi-Party Women’s Caucus </w:t>
      </w:r>
    </w:p>
    <w:p w14:paraId="5CC2EC6B" w14:textId="45F96A05" w:rsidR="00EC3352" w:rsidRDefault="00EC3352" w:rsidP="00B52FA5">
      <w:pPr>
        <w:spacing w:before="120" w:after="120"/>
      </w:pPr>
      <w:r>
        <w:t>MTEF</w:t>
      </w:r>
      <w:r>
        <w:tab/>
      </w:r>
      <w:r w:rsidR="001C2B87">
        <w:tab/>
      </w:r>
      <w:r w:rsidR="001C2B87">
        <w:tab/>
      </w:r>
      <w:r>
        <w:t xml:space="preserve">Medium-Term Expenditure Framework </w:t>
      </w:r>
    </w:p>
    <w:p w14:paraId="3CF4A8C0" w14:textId="0C652B2B" w:rsidR="00EC3352" w:rsidRDefault="00EC3352" w:rsidP="00B52FA5">
      <w:pPr>
        <w:spacing w:before="120" w:after="120"/>
      </w:pPr>
      <w:r>
        <w:t>NARYSEC</w:t>
      </w:r>
      <w:r>
        <w:tab/>
      </w:r>
      <w:r w:rsidR="001C2B87">
        <w:tab/>
      </w:r>
      <w:r>
        <w:t xml:space="preserve">National Rural Youth Service Corps </w:t>
      </w:r>
    </w:p>
    <w:p w14:paraId="10FAAC76" w14:textId="2035D2EF" w:rsidR="00EC3352" w:rsidRDefault="00EC3352" w:rsidP="00B52FA5">
      <w:pPr>
        <w:spacing w:before="120" w:after="120"/>
      </w:pPr>
      <w:r>
        <w:t>NCGBVF</w:t>
      </w:r>
      <w:r>
        <w:tab/>
      </w:r>
      <w:r w:rsidR="001C2B87">
        <w:tab/>
      </w:r>
      <w:r>
        <w:t xml:space="preserve">National Council on Gender-Based Violence and Femicide </w:t>
      </w:r>
    </w:p>
    <w:p w14:paraId="7BB6F51E" w14:textId="67EEDFDA" w:rsidR="00EC3352" w:rsidRDefault="00EC3352" w:rsidP="00B52FA5">
      <w:pPr>
        <w:spacing w:before="120" w:after="120"/>
      </w:pPr>
      <w:r>
        <w:t>NDP</w:t>
      </w:r>
      <w:r>
        <w:tab/>
      </w:r>
      <w:r w:rsidR="001C2B87">
        <w:tab/>
      </w:r>
      <w:r w:rsidR="001C2B87">
        <w:tab/>
      </w:r>
      <w:r>
        <w:t>National Development Plan</w:t>
      </w:r>
    </w:p>
    <w:p w14:paraId="34E68054" w14:textId="1626092C" w:rsidR="00EC3352" w:rsidRDefault="00EC3352" w:rsidP="00B52FA5">
      <w:pPr>
        <w:spacing w:before="120" w:after="120"/>
      </w:pPr>
      <w:r>
        <w:t>NEF</w:t>
      </w:r>
      <w:r>
        <w:tab/>
      </w:r>
      <w:r w:rsidR="001C2B87">
        <w:tab/>
      </w:r>
      <w:r w:rsidR="001C2B87">
        <w:tab/>
      </w:r>
      <w:r>
        <w:t xml:space="preserve">National Empowerment Fund </w:t>
      </w:r>
    </w:p>
    <w:p w14:paraId="09D5D6E2" w14:textId="7F711D44" w:rsidR="00EC3352" w:rsidRDefault="00EC3352" w:rsidP="00B52FA5">
      <w:pPr>
        <w:spacing w:before="120" w:after="120"/>
      </w:pPr>
      <w:r>
        <w:t>NGM</w:t>
      </w:r>
      <w:r>
        <w:tab/>
      </w:r>
      <w:r w:rsidR="001C2B87">
        <w:tab/>
      </w:r>
      <w:r w:rsidR="001C2B87">
        <w:tab/>
      </w:r>
      <w:r>
        <w:t xml:space="preserve">National Gender Machinery </w:t>
      </w:r>
    </w:p>
    <w:p w14:paraId="6BA150B3" w14:textId="317CB93B" w:rsidR="00EC3352" w:rsidRDefault="00EC3352" w:rsidP="00B52FA5">
      <w:pPr>
        <w:spacing w:before="120" w:after="120"/>
      </w:pPr>
      <w:r>
        <w:t>NICTIP</w:t>
      </w:r>
      <w:r>
        <w:tab/>
      </w:r>
      <w:r w:rsidR="001C2B87">
        <w:tab/>
      </w:r>
      <w:r>
        <w:t xml:space="preserve">National Intersectoral Committee on Trafficking in Persons </w:t>
      </w:r>
    </w:p>
    <w:p w14:paraId="26A1D080" w14:textId="233D4301" w:rsidR="00EC3352" w:rsidRDefault="00EC3352" w:rsidP="00B52FA5">
      <w:pPr>
        <w:spacing w:before="120" w:after="120"/>
      </w:pPr>
      <w:r>
        <w:t>NIS SOGIESC</w:t>
      </w:r>
      <w:r>
        <w:tab/>
        <w:t xml:space="preserve">National Intervention Strategy on Sexual Orientation, Gender Identity, Expression and Sex </w:t>
      </w:r>
      <w:r w:rsidR="00EF1DC6">
        <w:tab/>
      </w:r>
      <w:r w:rsidR="00EF1DC6">
        <w:tab/>
      </w:r>
      <w:r w:rsidR="00EF1DC6">
        <w:tab/>
      </w:r>
      <w:r w:rsidR="00EF1DC6">
        <w:tab/>
      </w:r>
      <w:r>
        <w:t xml:space="preserve">Characteristics </w:t>
      </w:r>
    </w:p>
    <w:p w14:paraId="28C88083" w14:textId="6C366DA9" w:rsidR="00EC3352" w:rsidRDefault="00EC3352" w:rsidP="00B52FA5">
      <w:pPr>
        <w:spacing w:before="120" w:after="120"/>
      </w:pPr>
      <w:r>
        <w:t>NPA</w:t>
      </w:r>
      <w:r>
        <w:tab/>
      </w:r>
      <w:r w:rsidR="00FA110D">
        <w:tab/>
      </w:r>
      <w:r w:rsidR="00FA110D">
        <w:tab/>
      </w:r>
      <w:r>
        <w:t>National Prosecuting Authority</w:t>
      </w:r>
    </w:p>
    <w:p w14:paraId="2EF6FC68" w14:textId="18DAEC45" w:rsidR="00EC3352" w:rsidRDefault="00EC3352" w:rsidP="00B52FA5">
      <w:pPr>
        <w:spacing w:before="120" w:after="120"/>
      </w:pPr>
      <w:r>
        <w:t>NSFAS</w:t>
      </w:r>
      <w:r>
        <w:tab/>
      </w:r>
      <w:r w:rsidR="001C2B87">
        <w:tab/>
      </w:r>
      <w:r>
        <w:t xml:space="preserve">National Student Financial Aid Scheme </w:t>
      </w:r>
    </w:p>
    <w:p w14:paraId="543DDAF3" w14:textId="21A6D2C2" w:rsidR="00EC3352" w:rsidRDefault="00EC3352" w:rsidP="00B52FA5">
      <w:pPr>
        <w:spacing w:before="120" w:after="120"/>
      </w:pPr>
      <w:r>
        <w:t>NSP-GBVF</w:t>
      </w:r>
      <w:r>
        <w:tab/>
      </w:r>
      <w:r w:rsidR="001C2B87">
        <w:tab/>
      </w:r>
      <w:r>
        <w:t>National Strategic Plan on Gender Based Violence and Femicide.</w:t>
      </w:r>
    </w:p>
    <w:p w14:paraId="64058CD1" w14:textId="17F01F17" w:rsidR="00EC3352" w:rsidRDefault="00EC3352" w:rsidP="00B52FA5">
      <w:pPr>
        <w:spacing w:before="120" w:after="120"/>
      </w:pPr>
      <w:r>
        <w:t>PEPUDA</w:t>
      </w:r>
      <w:r>
        <w:tab/>
      </w:r>
      <w:r w:rsidR="001C2B87">
        <w:tab/>
      </w:r>
      <w:r>
        <w:t xml:space="preserve">Promotion of Equality and Prevention of Unfair Discrimination Act </w:t>
      </w:r>
    </w:p>
    <w:p w14:paraId="43F82762" w14:textId="0BB3C55F" w:rsidR="00EC3352" w:rsidRDefault="00EC3352" w:rsidP="00B52FA5">
      <w:pPr>
        <w:spacing w:before="120" w:after="120"/>
      </w:pPr>
      <w:r>
        <w:t>RSA</w:t>
      </w:r>
      <w:r>
        <w:tab/>
      </w:r>
      <w:r w:rsidR="001C2B87">
        <w:tab/>
      </w:r>
      <w:r w:rsidR="001C2B87">
        <w:tab/>
      </w:r>
      <w:r>
        <w:t>Republic of South Africa</w:t>
      </w:r>
    </w:p>
    <w:p w14:paraId="220BC54D" w14:textId="5529514F" w:rsidR="00EC3352" w:rsidRDefault="00EC3352" w:rsidP="00B52FA5">
      <w:pPr>
        <w:spacing w:before="120" w:after="120"/>
      </w:pPr>
      <w:r>
        <w:t>PSET</w:t>
      </w:r>
      <w:r>
        <w:tab/>
      </w:r>
      <w:r w:rsidR="001C2B87">
        <w:tab/>
      </w:r>
      <w:r w:rsidR="001C2B87">
        <w:tab/>
      </w:r>
      <w:r>
        <w:t xml:space="preserve">Post-School Education and Training </w:t>
      </w:r>
    </w:p>
    <w:p w14:paraId="389CE7A0" w14:textId="6AAAC679" w:rsidR="00EC3352" w:rsidRDefault="00EC3352" w:rsidP="00B52FA5">
      <w:pPr>
        <w:spacing w:before="120" w:after="120"/>
      </w:pPr>
      <w:r>
        <w:t>RRTs</w:t>
      </w:r>
      <w:r>
        <w:tab/>
      </w:r>
      <w:r w:rsidR="001C2B87">
        <w:tab/>
      </w:r>
      <w:r w:rsidR="001C2B87">
        <w:tab/>
      </w:r>
      <w:r>
        <w:t xml:space="preserve">Rapid Response Teams </w:t>
      </w:r>
    </w:p>
    <w:p w14:paraId="766EB7FE" w14:textId="230242F3" w:rsidR="00EC3352" w:rsidRDefault="00EC3352" w:rsidP="00B52FA5">
      <w:pPr>
        <w:spacing w:before="120" w:after="120"/>
      </w:pPr>
      <w:r>
        <w:t>SADC</w:t>
      </w:r>
      <w:r>
        <w:tab/>
      </w:r>
      <w:r w:rsidR="001C2B87">
        <w:tab/>
      </w:r>
      <w:r w:rsidR="001C2B87">
        <w:tab/>
      </w:r>
      <w:r>
        <w:t>Southern African Development Community</w:t>
      </w:r>
    </w:p>
    <w:p w14:paraId="1095876F" w14:textId="2BB25A14" w:rsidR="00EC3352" w:rsidRDefault="00EC3352" w:rsidP="00B52FA5">
      <w:pPr>
        <w:spacing w:before="120" w:after="120"/>
      </w:pPr>
      <w:r>
        <w:lastRenderedPageBreak/>
        <w:t>SAJEI</w:t>
      </w:r>
      <w:r>
        <w:tab/>
      </w:r>
      <w:r w:rsidR="001C2B87">
        <w:tab/>
      </w:r>
      <w:r w:rsidR="001C2B87">
        <w:tab/>
      </w:r>
      <w:r>
        <w:t>South African Judicial Education Institute</w:t>
      </w:r>
    </w:p>
    <w:p w14:paraId="5379600D" w14:textId="74368D80" w:rsidR="00EC3352" w:rsidRDefault="00EC3352" w:rsidP="00B52FA5">
      <w:pPr>
        <w:spacing w:before="120" w:after="120"/>
      </w:pPr>
      <w:r>
        <w:t>SALGA</w:t>
      </w:r>
      <w:r>
        <w:tab/>
      </w:r>
      <w:r w:rsidR="001C2B87">
        <w:tab/>
      </w:r>
      <w:r>
        <w:t xml:space="preserve">South African Local Government Association </w:t>
      </w:r>
    </w:p>
    <w:p w14:paraId="7266AB6F" w14:textId="724CF0B9" w:rsidR="00EC3352" w:rsidRDefault="00EC3352" w:rsidP="00B52FA5">
      <w:pPr>
        <w:spacing w:before="120" w:after="120"/>
      </w:pPr>
      <w:r>
        <w:t>SAPS</w:t>
      </w:r>
      <w:r>
        <w:tab/>
      </w:r>
      <w:r w:rsidR="001C2B87">
        <w:tab/>
      </w:r>
      <w:r w:rsidR="001C2B87">
        <w:tab/>
      </w:r>
      <w:r>
        <w:t xml:space="preserve">South African Police Service </w:t>
      </w:r>
    </w:p>
    <w:p w14:paraId="67CBC3EC" w14:textId="0CBBD170" w:rsidR="00EC3352" w:rsidRDefault="00EC3352" w:rsidP="00B52FA5">
      <w:pPr>
        <w:spacing w:before="120" w:after="120"/>
      </w:pPr>
      <w:r>
        <w:t>SANAC</w:t>
      </w:r>
      <w:r>
        <w:tab/>
      </w:r>
      <w:r w:rsidR="001C2B87">
        <w:tab/>
      </w:r>
      <w:r>
        <w:t xml:space="preserve">South African national Aids </w:t>
      </w:r>
    </w:p>
    <w:p w14:paraId="0F2825A8" w14:textId="6B06D82C" w:rsidR="00EC3352" w:rsidRDefault="00EC3352" w:rsidP="00B52FA5">
      <w:pPr>
        <w:spacing w:before="120" w:after="120"/>
      </w:pPr>
      <w:r>
        <w:t>SDGs</w:t>
      </w:r>
      <w:r>
        <w:tab/>
      </w:r>
      <w:r w:rsidR="001C2B87">
        <w:tab/>
      </w:r>
      <w:r w:rsidR="001C2B87">
        <w:tab/>
      </w:r>
      <w:r>
        <w:t xml:space="preserve">Sustainable Development Goals </w:t>
      </w:r>
    </w:p>
    <w:p w14:paraId="1239473F" w14:textId="009FFBA9" w:rsidR="00EC3352" w:rsidRDefault="00EC3352" w:rsidP="00B52FA5">
      <w:pPr>
        <w:spacing w:before="120" w:after="120"/>
      </w:pPr>
      <w:r>
        <w:t>SRH&amp;R</w:t>
      </w:r>
      <w:r>
        <w:tab/>
      </w:r>
      <w:r w:rsidR="001C2B87">
        <w:tab/>
      </w:r>
      <w:r>
        <w:t xml:space="preserve">Sexual and Reproductive Health and Rights </w:t>
      </w:r>
    </w:p>
    <w:p w14:paraId="3A6EEB9E" w14:textId="1F46A2C2" w:rsidR="00EC3352" w:rsidRDefault="00EC3352" w:rsidP="00B52FA5">
      <w:pPr>
        <w:spacing w:before="120" w:after="120"/>
      </w:pPr>
      <w:r>
        <w:t>SOGIESC</w:t>
      </w:r>
      <w:r>
        <w:tab/>
      </w:r>
      <w:r w:rsidR="001C2B87">
        <w:tab/>
      </w:r>
      <w:r>
        <w:t>Sexual Orientation, Gender Identity, Expression and Sex Characteristics</w:t>
      </w:r>
    </w:p>
    <w:p w14:paraId="4C51DAEC" w14:textId="641BAA5F" w:rsidR="00EC3352" w:rsidRDefault="00EC3352" w:rsidP="00B52FA5">
      <w:pPr>
        <w:spacing w:before="120" w:after="120"/>
      </w:pPr>
      <w:r>
        <w:t>TCCs</w:t>
      </w:r>
      <w:r>
        <w:tab/>
      </w:r>
      <w:r w:rsidR="001C2B87">
        <w:tab/>
      </w:r>
      <w:r w:rsidR="001C2B87">
        <w:tab/>
      </w:r>
      <w:r>
        <w:t xml:space="preserve">Thuthuzela Care Centres </w:t>
      </w:r>
    </w:p>
    <w:p w14:paraId="7B48775B" w14:textId="56783A78" w:rsidR="00EC3352" w:rsidRDefault="00EC3352" w:rsidP="00B52FA5">
      <w:pPr>
        <w:spacing w:before="120" w:after="120"/>
      </w:pPr>
      <w:r>
        <w:t>TIP</w:t>
      </w:r>
      <w:r>
        <w:tab/>
      </w:r>
      <w:r w:rsidR="001C2B87">
        <w:tab/>
      </w:r>
      <w:r w:rsidR="001C2B87">
        <w:tab/>
      </w:r>
      <w:r>
        <w:t>Trafficking in Persons</w:t>
      </w:r>
    </w:p>
    <w:p w14:paraId="2617E648" w14:textId="76C19802" w:rsidR="00EC3352" w:rsidRDefault="00EC3352" w:rsidP="00B52FA5">
      <w:pPr>
        <w:spacing w:before="120" w:after="120"/>
      </w:pPr>
      <w:r>
        <w:t>TVET</w:t>
      </w:r>
      <w:r>
        <w:tab/>
      </w:r>
      <w:r w:rsidR="001C2B87">
        <w:tab/>
      </w:r>
      <w:r w:rsidR="001C2B87">
        <w:tab/>
      </w:r>
      <w:r>
        <w:t xml:space="preserve">Technical and Vocational Education and Training </w:t>
      </w:r>
    </w:p>
    <w:p w14:paraId="7DEA1452" w14:textId="7BF18C1E" w:rsidR="00EC3352" w:rsidRDefault="00EC3352" w:rsidP="00B52FA5">
      <w:pPr>
        <w:spacing w:before="120" w:after="120"/>
      </w:pPr>
      <w:r>
        <w:t>WECONA</w:t>
      </w:r>
      <w:r>
        <w:tab/>
      </w:r>
      <w:r w:rsidR="001C2B87">
        <w:tab/>
      </w:r>
      <w:r>
        <w:t xml:space="preserve">Women’s Economic Assembly </w:t>
      </w:r>
    </w:p>
    <w:p w14:paraId="41CF39E7" w14:textId="23963731" w:rsidR="004C59D6" w:rsidRDefault="00EC3352" w:rsidP="00B52FA5">
      <w:pPr>
        <w:spacing w:before="120" w:after="120"/>
      </w:pPr>
      <w:r>
        <w:t>WFIF</w:t>
      </w:r>
      <w:r>
        <w:tab/>
      </w:r>
      <w:r w:rsidR="001C2B87">
        <w:tab/>
      </w:r>
      <w:r w:rsidR="001C2B87">
        <w:tab/>
      </w:r>
      <w:r>
        <w:t>Women Financial Inclusion Framework</w:t>
      </w:r>
    </w:p>
    <w:p w14:paraId="65F08636" w14:textId="77777777" w:rsidR="004C59D6" w:rsidRDefault="004C59D6">
      <w:pPr>
        <w:suppressAutoHyphens w:val="0"/>
        <w:spacing w:after="200" w:line="276" w:lineRule="auto"/>
        <w:rPr>
          <w:rFonts w:eastAsiaTheme="minorHAnsi"/>
        </w:rPr>
      </w:pPr>
      <w:r>
        <w:br w:type="page"/>
      </w:r>
    </w:p>
    <w:p w14:paraId="0CD30953" w14:textId="5029B882" w:rsidR="0049619B" w:rsidRPr="0049619B" w:rsidRDefault="00805B90" w:rsidP="00805B90">
      <w:pPr>
        <w:pStyle w:val="HChG"/>
        <w:rPr>
          <w:lang w:val="en-ZA"/>
        </w:rPr>
      </w:pPr>
      <w:bookmarkStart w:id="0" w:name="_Toc232855583"/>
      <w:r>
        <w:rPr>
          <w:lang w:val="en-ZA"/>
        </w:rPr>
        <w:lastRenderedPageBreak/>
        <w:tab/>
      </w:r>
      <w:r>
        <w:rPr>
          <w:lang w:val="en-ZA"/>
        </w:rPr>
        <w:tab/>
      </w:r>
      <w:r w:rsidRPr="0049619B">
        <w:rPr>
          <w:lang w:val="en-ZA"/>
        </w:rPr>
        <w:t>Introduction</w:t>
      </w:r>
      <w:bookmarkEnd w:id="0"/>
      <w:r w:rsidRPr="0049619B">
        <w:rPr>
          <w:lang w:val="en-ZA"/>
        </w:rPr>
        <w:t xml:space="preserve"> </w:t>
      </w:r>
    </w:p>
    <w:p w14:paraId="17196D94" w14:textId="40A391CB" w:rsidR="0049619B" w:rsidRPr="0049619B" w:rsidRDefault="00805B90" w:rsidP="00805B90">
      <w:pPr>
        <w:pStyle w:val="H1G"/>
        <w:rPr>
          <w:lang w:val="en-ZA"/>
        </w:rPr>
      </w:pPr>
      <w:bookmarkStart w:id="1" w:name="_Toc232855584"/>
      <w:r>
        <w:rPr>
          <w:lang w:val="en-ZA"/>
        </w:rPr>
        <w:tab/>
      </w:r>
      <w:r>
        <w:rPr>
          <w:lang w:val="en-ZA"/>
        </w:rPr>
        <w:tab/>
      </w:r>
      <w:r w:rsidR="0049619B" w:rsidRPr="0049619B">
        <w:rPr>
          <w:lang w:val="en-ZA"/>
        </w:rPr>
        <w:t>Bac</w:t>
      </w:r>
      <w:r w:rsidR="00584555" w:rsidRPr="0049619B">
        <w:rPr>
          <w:lang w:val="en-ZA"/>
        </w:rPr>
        <w:t>kground and scope of the report</w:t>
      </w:r>
      <w:bookmarkEnd w:id="1"/>
      <w:r w:rsidR="00584555" w:rsidRPr="0049619B">
        <w:rPr>
          <w:lang w:val="en-ZA"/>
        </w:rPr>
        <w:t xml:space="preserve"> </w:t>
      </w:r>
    </w:p>
    <w:p w14:paraId="458D71A0" w14:textId="77777777" w:rsidR="0049619B" w:rsidRPr="0049619B" w:rsidRDefault="0049619B" w:rsidP="00805B90">
      <w:pPr>
        <w:pStyle w:val="SingleTxtG"/>
        <w:numPr>
          <w:ilvl w:val="0"/>
          <w:numId w:val="21"/>
        </w:numPr>
        <w:ind w:left="1134" w:firstLine="0"/>
        <w:rPr>
          <w:lang w:val="en-ZA"/>
        </w:rPr>
      </w:pPr>
      <w:r w:rsidRPr="0049619B">
        <w:rPr>
          <w:lang w:val="en-ZA"/>
        </w:rPr>
        <w:t>The Government of the Republic of South Africa submits this 6</w:t>
      </w:r>
      <w:r w:rsidRPr="0049619B">
        <w:rPr>
          <w:vertAlign w:val="superscript"/>
          <w:lang w:val="en-ZA"/>
        </w:rPr>
        <w:t>th</w:t>
      </w:r>
      <w:r w:rsidRPr="0049619B">
        <w:rPr>
          <w:lang w:val="en-ZA"/>
        </w:rPr>
        <w:t xml:space="preserve"> Periodic Report which focuses on the implementation of the Convention on the Elimination of All Forms of Discrimination Against Women (CEDAW) for the period 2015 – 2024, in accordance with Article 18 of the Convention.  </w:t>
      </w:r>
    </w:p>
    <w:p w14:paraId="5E4CDD11" w14:textId="77777777" w:rsidR="0049619B" w:rsidRPr="0049619B" w:rsidRDefault="0049619B" w:rsidP="002A6281">
      <w:pPr>
        <w:pStyle w:val="SingleTxtG"/>
        <w:numPr>
          <w:ilvl w:val="0"/>
          <w:numId w:val="21"/>
        </w:numPr>
        <w:ind w:left="1134" w:firstLine="0"/>
        <w:rPr>
          <w:b/>
          <w:bCs/>
          <w:lang w:val="en-ZA"/>
        </w:rPr>
      </w:pPr>
      <w:r w:rsidRPr="0049619B">
        <w:rPr>
          <w:lang w:val="en-ZA"/>
        </w:rPr>
        <w:t>The report is responding to the CEDAW Committee’s Concluding Observations (CEDAW/C/ZAF/CO/5) issued on 23 November 2021</w:t>
      </w:r>
      <w:r w:rsidRPr="0049619B">
        <w:rPr>
          <w:b/>
          <w:bCs/>
          <w:lang w:val="en-ZA"/>
        </w:rPr>
        <w:t xml:space="preserve">. </w:t>
      </w:r>
      <w:r w:rsidRPr="0049619B">
        <w:rPr>
          <w:lang w:val="en-ZA"/>
        </w:rPr>
        <w:t xml:space="preserve">The report responds to Committee’s concluding observation by integrating progress under relevant convention articles and by cross referencing the Committee’s specific recommendations. </w:t>
      </w:r>
    </w:p>
    <w:p w14:paraId="45C9BC21" w14:textId="77777777" w:rsidR="0049619B" w:rsidRPr="002A6281" w:rsidRDefault="0049619B" w:rsidP="0051151F">
      <w:pPr>
        <w:pStyle w:val="SingleTxtG"/>
        <w:numPr>
          <w:ilvl w:val="0"/>
          <w:numId w:val="21"/>
        </w:numPr>
        <w:ind w:left="1134" w:firstLine="0"/>
      </w:pPr>
      <w:r w:rsidRPr="002A6281">
        <w:t xml:space="preserve">The current periodic reporting coincides with significant developments in the national gender policy space, including the implementation of: (i) the National Strategic Plan on Gender Based Violence and femicide (NSP-GBVF, 2020 – 2030), (ii) the Gender Responsive Planning, Budgeting, Monitoring, Evaluation and Auditing Framework (2019), (iii) 30 years of democracy (1994 -2024) in South Africa, (iv) the 30 Years of implementation of the Beijing Declaration and Platform for Action, (v) The African Union Convention on Ending Violence Against Women and Girls (AU-CEVAWG) (February 2025), (vi) the United Nations Agenda 2030 and the Sustainable Development Goals, as well as other global, Continental and regional instruments.  These have been key in improving the status of women and women’s rights in the country, in line with the principle of the Constitution and subsequent national legislative frameworks on the promotion and protection of women’s empowerment, development and rights.  </w:t>
      </w:r>
    </w:p>
    <w:p w14:paraId="6743077E" w14:textId="77777777" w:rsidR="0049619B" w:rsidRPr="0049619B" w:rsidRDefault="0049619B" w:rsidP="002A6281">
      <w:pPr>
        <w:pStyle w:val="SingleTxtG"/>
        <w:numPr>
          <w:ilvl w:val="0"/>
          <w:numId w:val="21"/>
        </w:numPr>
        <w:ind w:left="1134" w:firstLine="0"/>
        <w:rPr>
          <w:lang w:val="en-ZA"/>
        </w:rPr>
      </w:pPr>
      <w:r w:rsidRPr="0049619B">
        <w:rPr>
          <w:lang w:val="en-ZA"/>
        </w:rPr>
        <w:t>This report builds upon South Africa’s 5th Periodic Report (2009–2014) and incorporates recommendations from the CEDAW Committee’s Concluding Observations, highlighting progress made, achievements and challenges in the implementation of the Convention for the period (2015 -2024), toward achieving substantive equality between women and men.</w:t>
      </w:r>
    </w:p>
    <w:p w14:paraId="11834DE2" w14:textId="7ACED62C" w:rsidR="0049619B" w:rsidRPr="0049619B" w:rsidRDefault="00350BC7" w:rsidP="00E57E75">
      <w:pPr>
        <w:pStyle w:val="H1G"/>
        <w:rPr>
          <w:lang w:val="en-ZA"/>
        </w:rPr>
      </w:pPr>
      <w:bookmarkStart w:id="2" w:name="_Toc232855585"/>
      <w:r>
        <w:rPr>
          <w:lang w:val="en-ZA"/>
        </w:rPr>
        <w:tab/>
      </w:r>
      <w:r>
        <w:rPr>
          <w:lang w:val="en-ZA"/>
        </w:rPr>
        <w:tab/>
      </w:r>
      <w:r w:rsidR="0049619B" w:rsidRPr="0049619B">
        <w:rPr>
          <w:lang w:val="en-ZA"/>
        </w:rPr>
        <w:t>Overview</w:t>
      </w:r>
      <w:bookmarkEnd w:id="2"/>
    </w:p>
    <w:p w14:paraId="754F9A29" w14:textId="7DC4AE40" w:rsidR="0049619B" w:rsidRPr="0049619B" w:rsidRDefault="0049619B" w:rsidP="002A6281">
      <w:pPr>
        <w:pStyle w:val="SingleTxtG"/>
        <w:numPr>
          <w:ilvl w:val="0"/>
          <w:numId w:val="21"/>
        </w:numPr>
        <w:ind w:left="1134" w:firstLine="0"/>
        <w:rPr>
          <w:lang w:val="en-ZA"/>
        </w:rPr>
      </w:pPr>
      <w:r w:rsidRPr="0049619B">
        <w:rPr>
          <w:lang w:val="en-ZA"/>
        </w:rPr>
        <w:t>The results of the 2022 Census shows that female population account for 51,5% while the male population was 48,5% in 2022. In all reporting years, females consistently accounted for the highest proportion of the population relative to their male counterparts. Both the male and female population remained stable from 2022 to 2025 (48,9% and 51,1% respectively)</w:t>
      </w:r>
      <w:r w:rsidR="00F23399">
        <w:rPr>
          <w:lang w:val="en-ZA"/>
        </w:rPr>
        <w:t>.</w:t>
      </w:r>
    </w:p>
    <w:p w14:paraId="09DA068B" w14:textId="77777777" w:rsidR="0049619B" w:rsidRPr="0049619B" w:rsidRDefault="0049619B" w:rsidP="002A6281">
      <w:pPr>
        <w:pStyle w:val="SingleTxtG"/>
        <w:numPr>
          <w:ilvl w:val="0"/>
          <w:numId w:val="21"/>
        </w:numPr>
        <w:ind w:left="1134" w:firstLine="0"/>
        <w:rPr>
          <w:lang w:val="en-ZA"/>
        </w:rPr>
      </w:pPr>
      <w:r w:rsidRPr="0049619B">
        <w:rPr>
          <w:lang w:val="en-ZA"/>
        </w:rPr>
        <w:t>The Census data (2022) shows a higher distribution among the younger age cohorts compared to the elderly. A slightly higher number of males were observed at ages 0–4 years, while the number of females was higher than males at advanced ages, showing a typical declining proportion of males with advancing age as compared to that of females.</w:t>
      </w:r>
    </w:p>
    <w:p w14:paraId="0C39A87D" w14:textId="77777777" w:rsidR="0049619B" w:rsidRPr="0049619B" w:rsidRDefault="0049619B" w:rsidP="002A6281">
      <w:pPr>
        <w:pStyle w:val="SingleTxtG"/>
        <w:numPr>
          <w:ilvl w:val="0"/>
          <w:numId w:val="21"/>
        </w:numPr>
        <w:ind w:left="1134" w:firstLine="0"/>
        <w:rPr>
          <w:lang w:val="en-ZA"/>
        </w:rPr>
      </w:pPr>
      <w:r w:rsidRPr="0049619B">
        <w:rPr>
          <w:lang w:val="en-ZA"/>
        </w:rPr>
        <w:t xml:space="preserve">There were 19,6 million households in South Africa in 2024, and 8,3 million (42,4%) were headed by females.  Higher proportion of female headed households (47,1%) are in rural areas compared to 40,4% in urban areas. </w:t>
      </w:r>
    </w:p>
    <w:p w14:paraId="1B017A69" w14:textId="210C75BA" w:rsidR="0049619B" w:rsidRPr="0049619B" w:rsidRDefault="00F23399" w:rsidP="00E57E75">
      <w:pPr>
        <w:pStyle w:val="H1G"/>
        <w:rPr>
          <w:lang w:val="en-ZA"/>
        </w:rPr>
      </w:pPr>
      <w:bookmarkStart w:id="3" w:name="_Toc232855586"/>
      <w:r>
        <w:rPr>
          <w:lang w:val="en-ZA"/>
        </w:rPr>
        <w:tab/>
      </w:r>
      <w:r>
        <w:rPr>
          <w:lang w:val="en-ZA"/>
        </w:rPr>
        <w:tab/>
      </w:r>
      <w:r w:rsidR="0049619B" w:rsidRPr="0049619B">
        <w:rPr>
          <w:lang w:val="en-ZA"/>
        </w:rPr>
        <w:t xml:space="preserve">Constitutional and </w:t>
      </w:r>
      <w:r w:rsidRPr="0049619B">
        <w:rPr>
          <w:lang w:val="en-ZA"/>
        </w:rPr>
        <w:t>legal framework</w:t>
      </w:r>
      <w:bookmarkEnd w:id="3"/>
    </w:p>
    <w:p w14:paraId="22C1CE0F" w14:textId="77777777" w:rsidR="0049619B" w:rsidRPr="0049619B" w:rsidRDefault="0049619B" w:rsidP="002A6281">
      <w:pPr>
        <w:pStyle w:val="SingleTxtG"/>
        <w:numPr>
          <w:ilvl w:val="0"/>
          <w:numId w:val="21"/>
        </w:numPr>
        <w:ind w:left="1134" w:firstLine="0"/>
        <w:rPr>
          <w:lang w:val="en-ZA"/>
        </w:rPr>
      </w:pPr>
      <w:r w:rsidRPr="0049619B">
        <w:rPr>
          <w:lang w:val="en-ZA"/>
        </w:rPr>
        <w:t>The Constitution (1996) remains the supreme law in the country, guaranteeing equality and non-discrimination (Section 9) and affirm the rights of everyone to equal protection and benefit of the law, and provides explicit recognition of gender equality as a foundational value of the Republic.</w:t>
      </w:r>
    </w:p>
    <w:p w14:paraId="000AECF8" w14:textId="77777777" w:rsidR="0049619B" w:rsidRPr="0049619B" w:rsidRDefault="0049619B" w:rsidP="002A6281">
      <w:pPr>
        <w:pStyle w:val="SingleTxtG"/>
        <w:numPr>
          <w:ilvl w:val="0"/>
          <w:numId w:val="21"/>
        </w:numPr>
        <w:ind w:left="1134" w:firstLine="0"/>
        <w:rPr>
          <w:lang w:val="en-ZA"/>
        </w:rPr>
      </w:pPr>
      <w:r w:rsidRPr="0049619B">
        <w:rPr>
          <w:lang w:val="en-ZA"/>
        </w:rPr>
        <w:t>Key legislative and policy instruments supporting gender equality include:</w:t>
      </w:r>
    </w:p>
    <w:p w14:paraId="3E319F90" w14:textId="4F529EA6" w:rsidR="0049619B" w:rsidRPr="00F23399" w:rsidRDefault="00F23399" w:rsidP="00F23399">
      <w:pPr>
        <w:pStyle w:val="SingleTxtG"/>
      </w:pPr>
      <w:r>
        <w:tab/>
        <w:t>(a)</w:t>
      </w:r>
      <w:r>
        <w:tab/>
      </w:r>
      <w:r w:rsidR="0049619B" w:rsidRPr="00F23399">
        <w:t xml:space="preserve">The Promotion of Equality and Prevention of Unfair Discrimination Act (PEPUDA), 2000 prohibits unfair discrimination, harassment, and hate speech. It applies </w:t>
      </w:r>
      <w:r w:rsidR="0049619B" w:rsidRPr="00F23399">
        <w:lastRenderedPageBreak/>
        <w:t>across sectors (employment, education, healthcare, etc.). The Act also establishes Equality Courts for accessible justice</w:t>
      </w:r>
      <w:r>
        <w:t>;</w:t>
      </w:r>
    </w:p>
    <w:p w14:paraId="10C33D5F" w14:textId="79119069" w:rsidR="0049619B" w:rsidRPr="00F23399" w:rsidRDefault="00F23399" w:rsidP="00F23399">
      <w:pPr>
        <w:pStyle w:val="SingleTxtG"/>
      </w:pPr>
      <w:r>
        <w:tab/>
        <w:t>(b)</w:t>
      </w:r>
      <w:r>
        <w:tab/>
      </w:r>
      <w:r w:rsidR="0049619B" w:rsidRPr="00F23399">
        <w:t>The Employment Equity Act, 1998 (and subsequent amendments) promotes affirmative action in workplaces and ensures representation of women in employment and leadership</w:t>
      </w:r>
      <w:r>
        <w:t>;</w:t>
      </w:r>
    </w:p>
    <w:p w14:paraId="2D160F66" w14:textId="3305FD13" w:rsidR="0049619B" w:rsidRPr="00F23399" w:rsidRDefault="00F23399" w:rsidP="00F23399">
      <w:pPr>
        <w:pStyle w:val="SingleTxtG"/>
      </w:pPr>
      <w:r>
        <w:tab/>
        <w:t>(c)</w:t>
      </w:r>
      <w:r>
        <w:tab/>
      </w:r>
      <w:r w:rsidR="0049619B" w:rsidRPr="00F23399">
        <w:t>The Domestic Violence Amendment Act, 2021 protects victims of domestic abuse through expanded protections to strengthen enforcement</w:t>
      </w:r>
      <w:r>
        <w:t>;</w:t>
      </w:r>
    </w:p>
    <w:p w14:paraId="42598423" w14:textId="2CEED919" w:rsidR="0049619B" w:rsidRPr="00F23399" w:rsidRDefault="00F23399" w:rsidP="00F23399">
      <w:pPr>
        <w:pStyle w:val="SingleTxtG"/>
      </w:pPr>
      <w:r>
        <w:tab/>
        <w:t>(d)</w:t>
      </w:r>
      <w:r>
        <w:tab/>
      </w:r>
      <w:r w:rsidR="0049619B" w:rsidRPr="00F23399">
        <w:t>The Criminal Law (Sexual Offences and Related Matters) Amendment Act, 2022 strengthens and improves protection for victims of sexual offences</w:t>
      </w:r>
      <w:r>
        <w:t>;</w:t>
      </w:r>
    </w:p>
    <w:p w14:paraId="7F2F0283" w14:textId="5C98A65D" w:rsidR="0049619B" w:rsidRPr="00F23399" w:rsidRDefault="00F23399" w:rsidP="00F23399">
      <w:pPr>
        <w:pStyle w:val="SingleTxtG"/>
      </w:pPr>
      <w:r>
        <w:tab/>
        <w:t>(e)</w:t>
      </w:r>
      <w:r>
        <w:tab/>
      </w:r>
      <w:r w:rsidR="0049619B" w:rsidRPr="00F23399">
        <w:t>Maintenance Act, 1998 is enacted to ensure the effective recovery of maintenance payments, primarily for children, by providing faster, more efficient legal mechanisms (especially benefiting women and children)</w:t>
      </w:r>
      <w:r>
        <w:t>;</w:t>
      </w:r>
    </w:p>
    <w:p w14:paraId="49804696" w14:textId="1E2259D4" w:rsidR="0049619B" w:rsidRPr="00F23399" w:rsidRDefault="00F23399" w:rsidP="00F23399">
      <w:pPr>
        <w:pStyle w:val="SingleTxtG"/>
      </w:pPr>
      <w:r>
        <w:tab/>
        <w:t>(f)</w:t>
      </w:r>
      <w:r>
        <w:tab/>
      </w:r>
      <w:r w:rsidR="0049619B" w:rsidRPr="00F23399">
        <w:t>The National Gender Policy Framework, 2000 outlines South Africa’s vision for gender equality and provides a base for a comprehensive, multi-sectoral approach to achieving gender equality and mainstreaming gender issues into all government policies, practices, and programs in the country</w:t>
      </w:r>
      <w:r>
        <w:t>;</w:t>
      </w:r>
    </w:p>
    <w:p w14:paraId="5920D104" w14:textId="63A6B25D" w:rsidR="0049619B" w:rsidRPr="00F23399" w:rsidRDefault="00F23399" w:rsidP="00F23399">
      <w:pPr>
        <w:pStyle w:val="SingleTxtG"/>
      </w:pPr>
      <w:r>
        <w:tab/>
        <w:t>(g)</w:t>
      </w:r>
      <w:r>
        <w:tab/>
      </w:r>
      <w:r w:rsidR="0049619B" w:rsidRPr="00F23399">
        <w:t>The National Strategic Plan on GBVF (2020–2030) provides guidance in coordinating the national response to gender-based violence focusing on legal reforms, victim support and prevention strategies. This is underpinned by the establishment of a National Council against Gender Based Violence (NCGBV) in line with the NCGBV Act of 2024</w:t>
      </w:r>
      <w:r>
        <w:t>;</w:t>
      </w:r>
    </w:p>
    <w:p w14:paraId="5AFF6F34" w14:textId="470F57A5" w:rsidR="0049619B" w:rsidRPr="00F23399" w:rsidRDefault="00DF12D5" w:rsidP="00F23399">
      <w:pPr>
        <w:pStyle w:val="SingleTxtG"/>
      </w:pPr>
      <w:r>
        <w:tab/>
      </w:r>
      <w:r w:rsidR="00F23399">
        <w:t>(h)</w:t>
      </w:r>
      <w:r>
        <w:tab/>
      </w:r>
      <w:r w:rsidR="0049619B" w:rsidRPr="00F23399">
        <w:t>The National Development Plan: Vision 2030 (NDP) is South Africa’s overarching framework aimed at eliminating poverty and reducing inequality by 2030. The NDP prioritises the significant role of women, youth and people with disabilities in society, with women’s empowerment and gender equality treated as cross-cutting priorities to be mainstreamed across economic, social, political, and institutional sectors and across all programmes of government</w:t>
      </w:r>
      <w:r>
        <w:t>;</w:t>
      </w:r>
    </w:p>
    <w:p w14:paraId="1459F52F" w14:textId="09E60ED2" w:rsidR="0049619B" w:rsidRPr="00F23399" w:rsidRDefault="00DF12D5" w:rsidP="00F23399">
      <w:pPr>
        <w:pStyle w:val="SingleTxtG"/>
      </w:pPr>
      <w:r>
        <w:tab/>
      </w:r>
      <w:r w:rsidR="00F23399">
        <w:t>(i)</w:t>
      </w:r>
      <w:r>
        <w:tab/>
      </w:r>
      <w:r w:rsidR="0049619B" w:rsidRPr="00F23399">
        <w:t>The Medium-Term Strategic Framework (MTSF) 2019 -2024 served as the government's five-year implementation plan for the National Development Plan</w:t>
      </w:r>
      <w:r>
        <w:t>;</w:t>
      </w:r>
    </w:p>
    <w:p w14:paraId="5A1FD700" w14:textId="16A0641F" w:rsidR="0049619B" w:rsidRPr="00F23399" w:rsidRDefault="00DF12D5" w:rsidP="00F23399">
      <w:pPr>
        <w:pStyle w:val="SingleTxtG"/>
      </w:pPr>
      <w:r>
        <w:tab/>
      </w:r>
      <w:r w:rsidR="00F23399">
        <w:t>(j)</w:t>
      </w:r>
      <w:r>
        <w:tab/>
      </w:r>
      <w:r w:rsidR="0049619B" w:rsidRPr="00F23399">
        <w:t>The Medium-Term Development Plan (MTDP) 2024–2029, which serves as the implementation framework for the 7th Administration of South Africa, places women’s empowerment and gender equality at the centre of its developmental agenda, transitioning from the previous MTSF 2019-2024. The MTDP 2024-2029 is aligned with the priorities of the 7th Administration and the National Development Plan (NDP) 2030, seeks to accelerate economic inclusion, combat gender-based violence, and mainstream gender across all government programmes.</w:t>
      </w:r>
    </w:p>
    <w:p w14:paraId="12880D6B" w14:textId="77777777" w:rsidR="0049619B" w:rsidRPr="0049619B" w:rsidRDefault="0049619B" w:rsidP="002A6281">
      <w:pPr>
        <w:pStyle w:val="SingleTxtG"/>
        <w:numPr>
          <w:ilvl w:val="0"/>
          <w:numId w:val="21"/>
        </w:numPr>
        <w:ind w:left="1134" w:firstLine="0"/>
        <w:rPr>
          <w:lang w:val="en-ZA"/>
        </w:rPr>
      </w:pPr>
      <w:r w:rsidRPr="0049619B">
        <w:rPr>
          <w:lang w:val="en-ZA"/>
        </w:rPr>
        <w:t>These frameworks collectively reinforce South Africa’s commitment to addressing systemic gender inequalities, gender-based violence, and women’s empowerment in all spheres.</w:t>
      </w:r>
    </w:p>
    <w:p w14:paraId="0877835D" w14:textId="0550FB62" w:rsidR="0049619B" w:rsidRPr="0049619B" w:rsidRDefault="00DF12D5" w:rsidP="007F62DA">
      <w:pPr>
        <w:pStyle w:val="H1G"/>
        <w:rPr>
          <w:lang w:val="en-ZA"/>
        </w:rPr>
      </w:pPr>
      <w:bookmarkStart w:id="4" w:name="_Toc232855587"/>
      <w:r>
        <w:rPr>
          <w:lang w:val="en-ZA"/>
        </w:rPr>
        <w:tab/>
      </w:r>
      <w:r>
        <w:rPr>
          <w:lang w:val="en-ZA"/>
        </w:rPr>
        <w:tab/>
      </w:r>
      <w:r w:rsidR="0049619B" w:rsidRPr="0049619B">
        <w:rPr>
          <w:lang w:val="en-ZA"/>
        </w:rPr>
        <w:t xml:space="preserve">Sustainable Development Goal (SDG) 5 on </w:t>
      </w:r>
      <w:r w:rsidRPr="0049619B">
        <w:rPr>
          <w:lang w:val="en-ZA"/>
        </w:rPr>
        <w:t>women empowerment and gender equality</w:t>
      </w:r>
      <w:bookmarkEnd w:id="4"/>
    </w:p>
    <w:p w14:paraId="6BF730D1" w14:textId="77777777" w:rsidR="0049619B" w:rsidRPr="0049619B" w:rsidRDefault="0049619B" w:rsidP="002A6281">
      <w:pPr>
        <w:pStyle w:val="SingleTxtG"/>
        <w:numPr>
          <w:ilvl w:val="0"/>
          <w:numId w:val="21"/>
        </w:numPr>
        <w:ind w:left="1134" w:firstLine="0"/>
        <w:rPr>
          <w:lang w:val="en-ZA"/>
        </w:rPr>
      </w:pPr>
      <w:r w:rsidRPr="0049619B">
        <w:rPr>
          <w:lang w:val="en-ZA"/>
        </w:rPr>
        <w:t>The current SDG country report demonstrates a comprehensive gender mainstreaming approach across all 17 SDGs, recognising gender equality as both a stand-alone objective under SDG 5 and a cross-cutting enabler of sustainable development. This has been done by defining national set of indicators for monitoring progress on the SDGs which included an increase in the availability of gender-disaggregated across the 17 SDG Goals in the latest country report.</w:t>
      </w:r>
    </w:p>
    <w:p w14:paraId="0518BE50" w14:textId="77777777" w:rsidR="0049619B" w:rsidRPr="0049619B" w:rsidRDefault="0049619B" w:rsidP="002A6281">
      <w:pPr>
        <w:pStyle w:val="SingleTxtG"/>
        <w:numPr>
          <w:ilvl w:val="0"/>
          <w:numId w:val="21"/>
        </w:numPr>
        <w:ind w:left="1134" w:firstLine="0"/>
        <w:rPr>
          <w:lang w:val="en-ZA"/>
        </w:rPr>
      </w:pPr>
      <w:r w:rsidRPr="0049619B">
        <w:rPr>
          <w:lang w:val="en-ZA"/>
        </w:rPr>
        <w:t>South Africa has made significant progress in meeting the targets of SDG 5. While South Africa’s legal and institutional frameworks align well with the SDG and its targets, challenges remain in ensuring effective implementation and enforcement across all sectors.</w:t>
      </w:r>
    </w:p>
    <w:p w14:paraId="2149A442" w14:textId="77777777" w:rsidR="0049619B" w:rsidRPr="0049619B" w:rsidRDefault="0049619B" w:rsidP="002A6281">
      <w:pPr>
        <w:pStyle w:val="SingleTxtG"/>
        <w:numPr>
          <w:ilvl w:val="0"/>
          <w:numId w:val="21"/>
        </w:numPr>
        <w:ind w:left="1134" w:firstLine="0"/>
        <w:rPr>
          <w:lang w:val="en-ZA"/>
        </w:rPr>
      </w:pPr>
      <w:r w:rsidRPr="0049619B">
        <w:rPr>
          <w:lang w:val="en-ZA"/>
        </w:rPr>
        <w:lastRenderedPageBreak/>
        <w:t>South Africa made positive gains in reporting on the SDGs, notwithstanding various data challenges experienced. In the first SDG Country Report in 2019, South Africa was able to report on 64% of SDG indicators, increasing to 72% in 2023 and 89.0% in the 2025 reporting cycle, with the proportion of the indicators in 2025 with updated data points available being only 80.6%. One of the reasons is the lack of new reported data points since the 2019 report because of the periodicity of certain surveys.</w:t>
      </w:r>
    </w:p>
    <w:p w14:paraId="212F3D5D" w14:textId="64FCA28D" w:rsidR="0049619B" w:rsidRPr="0049619B" w:rsidRDefault="00DF12D5" w:rsidP="00DF12D5">
      <w:pPr>
        <w:pStyle w:val="H1G"/>
        <w:rPr>
          <w:lang w:val="en-ZA"/>
        </w:rPr>
      </w:pPr>
      <w:bookmarkStart w:id="5" w:name="_Toc232855588"/>
      <w:r>
        <w:rPr>
          <w:lang w:val="en-ZA"/>
        </w:rPr>
        <w:tab/>
      </w:r>
      <w:r>
        <w:rPr>
          <w:lang w:val="en-ZA"/>
        </w:rPr>
        <w:tab/>
      </w:r>
      <w:r w:rsidR="0049619B" w:rsidRPr="0049619B">
        <w:rPr>
          <w:lang w:val="en-ZA"/>
        </w:rPr>
        <w:t xml:space="preserve">Parliament / </w:t>
      </w:r>
      <w:r w:rsidRPr="0049619B">
        <w:rPr>
          <w:lang w:val="en-ZA"/>
        </w:rPr>
        <w:t>legislatures and other institutional mechanisms</w:t>
      </w:r>
      <w:bookmarkEnd w:id="5"/>
      <w:r w:rsidRPr="0049619B">
        <w:rPr>
          <w:lang w:val="en-ZA"/>
        </w:rPr>
        <w:t xml:space="preserve"> </w:t>
      </w:r>
    </w:p>
    <w:p w14:paraId="2C51D3E8" w14:textId="77777777" w:rsidR="0049619B" w:rsidRPr="0049619B" w:rsidRDefault="0049619B" w:rsidP="002A6281">
      <w:pPr>
        <w:pStyle w:val="SingleTxtG"/>
        <w:numPr>
          <w:ilvl w:val="0"/>
          <w:numId w:val="21"/>
        </w:numPr>
        <w:ind w:left="1134" w:firstLine="0"/>
        <w:rPr>
          <w:lang w:val="en-ZA"/>
        </w:rPr>
      </w:pPr>
      <w:r w:rsidRPr="0049619B">
        <w:rPr>
          <w:lang w:val="en-ZA"/>
        </w:rPr>
        <w:t xml:space="preserve">The South African Parliament plays a central and constitutional role in promoting women empowerment and gender equality through law-making, oversight, budgeting, and public participation. Between 2015 and 2025, Parliament has taken concrete steps to promote women’s advancement, especially in addressing gender-based violence, economic inequality, and representation of women. </w:t>
      </w:r>
    </w:p>
    <w:p w14:paraId="5A3B2AD2" w14:textId="77777777" w:rsidR="0049619B" w:rsidRPr="0049619B" w:rsidRDefault="0049619B" w:rsidP="002A6281">
      <w:pPr>
        <w:pStyle w:val="SingleTxtG"/>
        <w:numPr>
          <w:ilvl w:val="0"/>
          <w:numId w:val="21"/>
        </w:numPr>
        <w:ind w:left="1134" w:firstLine="0"/>
        <w:rPr>
          <w:lang w:val="en-ZA"/>
        </w:rPr>
      </w:pPr>
      <w:r w:rsidRPr="0049619B">
        <w:rPr>
          <w:lang w:val="en-ZA"/>
        </w:rPr>
        <w:t xml:space="preserve">The Joint Multi-Party Women’s Caucus in the National Legislature, a cross-party parliamentary body, together with the Parliamentary Portfolio Committee on Women, Youth and Persons with Disabilities, an oversight body, focuses on promoting accountability for mainstreaming gender equality, influencing legislation, and strengthening oversight on women’s issues in the country. This includes elevating gender-based violence as a central parliamentary oversight priority, especially in response to the rising GBV and femicide cases in the country, convening sessions with the various organs / departments within the criminal justice system to assess progress on GBV cases, policing capacity, and victim support systems. These parliamentary bodies also monitored and influenced women’s participation in electoral processes and political structures and conducted public hearings and dialogues on several gender issues, including emerging issues affecting women and girls and their lives and livelihoods. </w:t>
      </w:r>
    </w:p>
    <w:p w14:paraId="2AE69554" w14:textId="77777777" w:rsidR="0049619B" w:rsidRPr="0049619B" w:rsidRDefault="0049619B" w:rsidP="002A6281">
      <w:pPr>
        <w:pStyle w:val="SingleTxtG"/>
        <w:numPr>
          <w:ilvl w:val="0"/>
          <w:numId w:val="21"/>
        </w:numPr>
        <w:ind w:left="1134" w:firstLine="0"/>
        <w:rPr>
          <w:lang w:val="en-ZA"/>
        </w:rPr>
      </w:pPr>
      <w:r w:rsidRPr="0049619B">
        <w:rPr>
          <w:lang w:val="en-ZA"/>
        </w:rPr>
        <w:t xml:space="preserve">The Parliamentary Portfolio Committee on Women, Youth and Persons with Disability play a critical role in monitoring the state on the implementation of CEDAW concluding observations and recommendation as well as other instruments. The Committee also overseeing the financial and non-financial performance of the Department of Women, Youth and Persons with Disabilities in line with its mandate. </w:t>
      </w:r>
    </w:p>
    <w:p w14:paraId="6AFB8597" w14:textId="77777777" w:rsidR="0049619B" w:rsidRPr="0049619B" w:rsidRDefault="0049619B" w:rsidP="002A6281">
      <w:pPr>
        <w:pStyle w:val="SingleTxtG"/>
        <w:numPr>
          <w:ilvl w:val="0"/>
          <w:numId w:val="21"/>
        </w:numPr>
        <w:ind w:left="1134" w:firstLine="0"/>
        <w:rPr>
          <w:lang w:val="en-ZA"/>
        </w:rPr>
      </w:pPr>
      <w:r w:rsidRPr="0049619B">
        <w:rPr>
          <w:lang w:val="en-ZA"/>
        </w:rPr>
        <w:t>The National Parliament launched the Women’s Charter for Accelerated Development in 2021 which is a national framework developed through consulting women across all provinces. It built on both the Women’s Charter of 1954, and the Charter for Effective Equality, 1994 and sets a 25-year vision for improving the lives of women in South Africa. It is meant to guide government planning, budgeting, and legislation so that women’s needs are fully included, with key issues for priority action including effecting specific gender sensitive amendments to development policy design, budget policy and legislative framework design, including all government’s strategic development programmes (which are key for anchoring mandatory, gender sensitive state actions and processes).</w:t>
      </w:r>
    </w:p>
    <w:p w14:paraId="4E40D609" w14:textId="4B9660C0" w:rsidR="0049619B" w:rsidRPr="0049619B" w:rsidRDefault="00DF12D5" w:rsidP="00DF12D5">
      <w:pPr>
        <w:pStyle w:val="H1G"/>
        <w:rPr>
          <w:lang w:val="en-ZA"/>
        </w:rPr>
      </w:pPr>
      <w:bookmarkStart w:id="6" w:name="_Toc232855589"/>
      <w:r>
        <w:rPr>
          <w:lang w:val="en-ZA"/>
        </w:rPr>
        <w:tab/>
      </w:r>
      <w:r>
        <w:rPr>
          <w:lang w:val="en-ZA"/>
        </w:rPr>
        <w:tab/>
      </w:r>
      <w:r w:rsidR="0049619B" w:rsidRPr="0049619B">
        <w:rPr>
          <w:lang w:val="en-ZA"/>
        </w:rPr>
        <w:t xml:space="preserve">Institutional </w:t>
      </w:r>
      <w:r>
        <w:rPr>
          <w:lang w:val="en-ZA"/>
        </w:rPr>
        <w:t>m</w:t>
      </w:r>
      <w:r w:rsidR="0049619B" w:rsidRPr="0049619B">
        <w:rPr>
          <w:lang w:val="en-ZA"/>
        </w:rPr>
        <w:t>echanisms</w:t>
      </w:r>
      <w:bookmarkEnd w:id="6"/>
    </w:p>
    <w:p w14:paraId="285FEB91" w14:textId="77777777" w:rsidR="0049619B" w:rsidRPr="0049619B" w:rsidRDefault="0049619B" w:rsidP="002A6281">
      <w:pPr>
        <w:pStyle w:val="SingleTxtG"/>
        <w:numPr>
          <w:ilvl w:val="0"/>
          <w:numId w:val="21"/>
        </w:numPr>
        <w:ind w:left="1134" w:firstLine="0"/>
        <w:rPr>
          <w:lang w:val="en-ZA"/>
        </w:rPr>
      </w:pPr>
      <w:r w:rsidRPr="0049619B">
        <w:rPr>
          <w:lang w:val="en-ZA"/>
        </w:rPr>
        <w:t>The National Gender Machinery (NGM) serves as the coordination mechanism for implementing CEDAW. It comprises of government, parliament, independent bodies and civil society.</w:t>
      </w:r>
    </w:p>
    <w:p w14:paraId="02DCDA6B" w14:textId="77777777" w:rsidR="0049619B" w:rsidRPr="0049619B" w:rsidRDefault="0049619B" w:rsidP="002A6281">
      <w:pPr>
        <w:pStyle w:val="SingleTxtG"/>
        <w:numPr>
          <w:ilvl w:val="0"/>
          <w:numId w:val="21"/>
        </w:numPr>
        <w:ind w:left="1134" w:firstLine="0"/>
        <w:rPr>
          <w:lang w:val="en-ZA"/>
        </w:rPr>
      </w:pPr>
      <w:r w:rsidRPr="0049619B">
        <w:rPr>
          <w:lang w:val="en-ZA"/>
        </w:rPr>
        <w:t>The Minister in the Presidency for Women, Youth and Persons with Disabilities is the Executive Authority of the NGM, with the concomitant Department, the coordinating agent of the NGM, and the Commission for Gender Equality (CGE) as one of the independent oversight bodies.</w:t>
      </w:r>
    </w:p>
    <w:p w14:paraId="6DB3EBF2" w14:textId="77777777" w:rsidR="0049619B" w:rsidRPr="0049619B" w:rsidRDefault="0049619B" w:rsidP="002A6281">
      <w:pPr>
        <w:pStyle w:val="SingleTxtG"/>
        <w:numPr>
          <w:ilvl w:val="0"/>
          <w:numId w:val="21"/>
        </w:numPr>
        <w:ind w:left="1134" w:firstLine="0"/>
        <w:rPr>
          <w:lang w:val="en-ZA"/>
        </w:rPr>
      </w:pPr>
      <w:r w:rsidRPr="0049619B">
        <w:rPr>
          <w:lang w:val="en-ZA"/>
        </w:rPr>
        <w:t>The Gender Focal Points (GFPs) across all government departments at national and provincial level and in municipalities serves as the institutional mechanisms for the promotion of women empowerment and gender equality across different sectors and spheres.</w:t>
      </w:r>
    </w:p>
    <w:p w14:paraId="2A6FA225" w14:textId="77777777" w:rsidR="0049619B" w:rsidRPr="0049619B" w:rsidRDefault="0049619B" w:rsidP="002A6281">
      <w:pPr>
        <w:pStyle w:val="SingleTxtG"/>
        <w:numPr>
          <w:ilvl w:val="0"/>
          <w:numId w:val="21"/>
        </w:numPr>
        <w:ind w:left="1134" w:firstLine="0"/>
        <w:rPr>
          <w:lang w:val="en-ZA"/>
        </w:rPr>
      </w:pPr>
      <w:r w:rsidRPr="0049619B">
        <w:rPr>
          <w:lang w:val="en-ZA"/>
        </w:rPr>
        <w:t xml:space="preserve">The South African Local Government Association (SALGA) established the Women’s Commission, to oversee gender transformation in local government; and </w:t>
      </w:r>
      <w:r w:rsidRPr="0049619B">
        <w:rPr>
          <w:lang w:val="en-ZA"/>
        </w:rPr>
        <w:lastRenderedPageBreak/>
        <w:t>established Multi-Party Women’s Commissions in municipalities as oversight structures for gender transformation; and a network of civil society and private sector partners promoting gender equality initiatives.</w:t>
      </w:r>
    </w:p>
    <w:p w14:paraId="17AC4055" w14:textId="77777777" w:rsidR="0049619B" w:rsidRPr="0049619B" w:rsidRDefault="0049619B" w:rsidP="002A6281">
      <w:pPr>
        <w:pStyle w:val="SingleTxtG"/>
        <w:numPr>
          <w:ilvl w:val="0"/>
          <w:numId w:val="21"/>
        </w:numPr>
        <w:ind w:left="1134" w:firstLine="0"/>
        <w:rPr>
          <w:lang w:val="en-ZA"/>
        </w:rPr>
      </w:pPr>
      <w:r w:rsidRPr="0049619B">
        <w:rPr>
          <w:lang w:val="en-ZA"/>
        </w:rPr>
        <w:t>The institutional framework has been strengthened through:</w:t>
      </w:r>
    </w:p>
    <w:p w14:paraId="462CBD04" w14:textId="6622D62A" w:rsidR="0049619B" w:rsidRPr="00E57E75" w:rsidRDefault="000666B8" w:rsidP="00E57E75">
      <w:pPr>
        <w:pStyle w:val="SingleTxtG"/>
      </w:pPr>
      <w:r>
        <w:tab/>
        <w:t>(a)</w:t>
      </w:r>
      <w:r>
        <w:tab/>
      </w:r>
      <w:r w:rsidR="0049619B" w:rsidRPr="00E57E75">
        <w:t>The National Council on Gender-Based Violence and Femicide Act 09 of 2024, which establishes the National Council on Gender-Based Violence and Femicide. The Council will oversee the implementation of the National Strategic Plan on Gender Based Violence Femicide (2020 -2030)</w:t>
      </w:r>
      <w:r>
        <w:t>;</w:t>
      </w:r>
    </w:p>
    <w:p w14:paraId="3D5C2EE0" w14:textId="72A02E42" w:rsidR="0049619B" w:rsidRPr="00E57E75" w:rsidRDefault="000666B8" w:rsidP="00E57E75">
      <w:pPr>
        <w:pStyle w:val="SingleTxtG"/>
      </w:pPr>
      <w:r>
        <w:tab/>
        <w:t>(b)</w:t>
      </w:r>
      <w:r>
        <w:tab/>
      </w:r>
      <w:r w:rsidR="0049619B" w:rsidRPr="00E57E75">
        <w:t>Increased budget allocations for gender-responsive programmes</w:t>
      </w:r>
      <w:r>
        <w:t>;</w:t>
      </w:r>
    </w:p>
    <w:p w14:paraId="147F1AD9" w14:textId="4768730B" w:rsidR="0049619B" w:rsidRPr="00E57E75" w:rsidRDefault="000666B8" w:rsidP="00E57E75">
      <w:pPr>
        <w:pStyle w:val="SingleTxtG"/>
      </w:pPr>
      <w:r>
        <w:tab/>
        <w:t>(c)</w:t>
      </w:r>
      <w:r>
        <w:tab/>
      </w:r>
      <w:r w:rsidR="0049619B" w:rsidRPr="00E57E75">
        <w:t>The integration of the various pillars of the Gender Responsive Planning, Budgeting, Monitoring, Evaluation and Auditing Framework in government planning cycles</w:t>
      </w:r>
      <w:r>
        <w:t>;</w:t>
      </w:r>
    </w:p>
    <w:p w14:paraId="6B35B7A5" w14:textId="116AEEF6" w:rsidR="0049619B" w:rsidRPr="00E57E75" w:rsidRDefault="000666B8" w:rsidP="00E57E75">
      <w:pPr>
        <w:pStyle w:val="SingleTxtG"/>
      </w:pPr>
      <w:r>
        <w:tab/>
        <w:t>(d)</w:t>
      </w:r>
      <w:r>
        <w:tab/>
      </w:r>
      <w:r w:rsidR="0049619B" w:rsidRPr="00E57E75">
        <w:t xml:space="preserve">Mainstreaming of gender across all Strategic plans, Annual Performance Plans (APPs), Integrated Development Plans (IDPs) as well as into the One-Plans in the District Development Model (DDM) for each municipality. </w:t>
      </w:r>
    </w:p>
    <w:p w14:paraId="06D3135B" w14:textId="77777777" w:rsidR="0049619B" w:rsidRDefault="0049619B" w:rsidP="00FD7CC0">
      <w:pPr>
        <w:pStyle w:val="SingleTxtG"/>
        <w:numPr>
          <w:ilvl w:val="0"/>
          <w:numId w:val="21"/>
        </w:numPr>
        <w:ind w:left="1134" w:firstLine="0"/>
      </w:pPr>
      <w:r w:rsidRPr="00FD7CC0">
        <w:t xml:space="preserve">In response to recommendation 28 (a) regarding adequate human, technical and financial resources to the Department of Women, Youth and Persons with Disabilities, Government taken steps during the reporting period (2019–2024) to strengthen the institutional capacity of the Department to </w:t>
      </w:r>
      <w:r w:rsidRPr="00FD7CC0">
        <w:rPr>
          <w:lang w:val="en-ZA"/>
        </w:rPr>
        <w:t>effectively</w:t>
      </w:r>
      <w:r w:rsidRPr="00FD7CC0">
        <w:t xml:space="preserve"> coordinate, monitor and evaluate the implementation of gender equality commitments, including obligations under the Convention, the budget allocation to DWYPD has remained relatively modest but stable over the Medium-Term Expenditure Framework (MTEF) period, with marginal increases to support core programmes.</w:t>
      </w:r>
    </w:p>
    <w:tbl>
      <w:tblPr>
        <w:tblStyle w:val="GridTable1Light"/>
        <w:tblW w:w="737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608"/>
        <w:gridCol w:w="1960"/>
        <w:gridCol w:w="3802"/>
      </w:tblGrid>
      <w:tr w:rsidR="00922112" w:rsidRPr="00922112" w14:paraId="028D75E3" w14:textId="77777777" w:rsidTr="0092211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08" w:type="dxa"/>
            <w:tcBorders>
              <w:top w:val="single" w:sz="4" w:space="0" w:color="auto"/>
              <w:bottom w:val="single" w:sz="12" w:space="0" w:color="auto"/>
            </w:tcBorders>
            <w:vAlign w:val="bottom"/>
            <w:hideMark/>
          </w:tcPr>
          <w:p w14:paraId="69412C9C" w14:textId="77777777" w:rsidR="00922112" w:rsidRPr="00922112" w:rsidRDefault="00922112" w:rsidP="00922112">
            <w:pPr>
              <w:spacing w:before="80" w:after="80" w:line="200" w:lineRule="exact"/>
              <w:ind w:right="113"/>
              <w:rPr>
                <w:rFonts w:eastAsia="Aptos"/>
                <w:b w:val="0"/>
                <w:bCs w:val="0"/>
                <w:i/>
                <w:sz w:val="16"/>
              </w:rPr>
            </w:pPr>
            <w:r w:rsidRPr="00922112">
              <w:rPr>
                <w:rFonts w:eastAsia="Aptos"/>
                <w:b w:val="0"/>
                <w:i/>
                <w:sz w:val="16"/>
              </w:rPr>
              <w:t>Financial Year</w:t>
            </w:r>
          </w:p>
        </w:tc>
        <w:tc>
          <w:tcPr>
            <w:tcW w:w="1960" w:type="dxa"/>
            <w:tcBorders>
              <w:top w:val="single" w:sz="4" w:space="0" w:color="auto"/>
              <w:bottom w:val="single" w:sz="12" w:space="0" w:color="auto"/>
            </w:tcBorders>
            <w:vAlign w:val="bottom"/>
            <w:hideMark/>
          </w:tcPr>
          <w:p w14:paraId="04594FC4" w14:textId="77777777" w:rsidR="00922112" w:rsidRPr="00922112" w:rsidRDefault="00922112" w:rsidP="00922112">
            <w:pPr>
              <w:spacing w:before="80" w:after="80" w:line="200" w:lineRule="exact"/>
              <w:ind w:right="113"/>
              <w:cnfStyle w:val="100000000000" w:firstRow="1" w:lastRow="0" w:firstColumn="0" w:lastColumn="0" w:oddVBand="0" w:evenVBand="0" w:oddHBand="0" w:evenHBand="0" w:firstRowFirstColumn="0" w:firstRowLastColumn="0" w:lastRowFirstColumn="0" w:lastRowLastColumn="0"/>
              <w:rPr>
                <w:rFonts w:eastAsia="Aptos"/>
                <w:b w:val="0"/>
                <w:bCs w:val="0"/>
                <w:i/>
                <w:sz w:val="16"/>
              </w:rPr>
            </w:pPr>
            <w:r w:rsidRPr="00922112">
              <w:rPr>
                <w:rFonts w:eastAsia="Aptos"/>
                <w:b w:val="0"/>
                <w:i/>
                <w:sz w:val="16"/>
              </w:rPr>
              <w:t>Adjusted Budget</w:t>
            </w:r>
          </w:p>
        </w:tc>
        <w:tc>
          <w:tcPr>
            <w:tcW w:w="3802" w:type="dxa"/>
            <w:tcBorders>
              <w:top w:val="single" w:sz="4" w:space="0" w:color="auto"/>
              <w:bottom w:val="single" w:sz="12" w:space="0" w:color="auto"/>
            </w:tcBorders>
            <w:vAlign w:val="bottom"/>
            <w:hideMark/>
          </w:tcPr>
          <w:p w14:paraId="7155C5AD" w14:textId="77777777" w:rsidR="00922112" w:rsidRPr="00922112" w:rsidRDefault="00922112" w:rsidP="00922112">
            <w:pPr>
              <w:spacing w:before="80" w:after="80" w:line="200" w:lineRule="exact"/>
              <w:ind w:right="113"/>
              <w:cnfStyle w:val="100000000000" w:firstRow="1" w:lastRow="0" w:firstColumn="0" w:lastColumn="0" w:oddVBand="0" w:evenVBand="0" w:oddHBand="0" w:evenHBand="0" w:firstRowFirstColumn="0" w:firstRowLastColumn="0" w:lastRowFirstColumn="0" w:lastRowLastColumn="0"/>
              <w:rPr>
                <w:rFonts w:eastAsia="Aptos"/>
                <w:b w:val="0"/>
                <w:bCs w:val="0"/>
                <w:i/>
                <w:sz w:val="16"/>
              </w:rPr>
            </w:pPr>
            <w:r w:rsidRPr="00922112">
              <w:rPr>
                <w:rFonts w:eastAsia="Aptos"/>
                <w:b w:val="0"/>
                <w:i/>
                <w:sz w:val="16"/>
              </w:rPr>
              <w:t>Actual Expenditure</w:t>
            </w:r>
          </w:p>
        </w:tc>
      </w:tr>
      <w:tr w:rsidR="00922112" w:rsidRPr="00922112" w14:paraId="13652B2D" w14:textId="77777777" w:rsidTr="00922112">
        <w:trPr>
          <w:trHeight w:hRule="exact" w:val="113"/>
        </w:trPr>
        <w:tc>
          <w:tcPr>
            <w:cnfStyle w:val="001000000000" w:firstRow="0" w:lastRow="0" w:firstColumn="1" w:lastColumn="0" w:oddVBand="0" w:evenVBand="0" w:oddHBand="0" w:evenHBand="0" w:firstRowFirstColumn="0" w:firstRowLastColumn="0" w:lastRowFirstColumn="0" w:lastRowLastColumn="0"/>
            <w:tcW w:w="1608" w:type="dxa"/>
            <w:tcBorders>
              <w:top w:val="single" w:sz="12" w:space="0" w:color="auto"/>
            </w:tcBorders>
          </w:tcPr>
          <w:p w14:paraId="18F70D53" w14:textId="77777777" w:rsidR="00922112" w:rsidRPr="00922112" w:rsidRDefault="00922112" w:rsidP="00922112">
            <w:pPr>
              <w:spacing w:before="40" w:after="120"/>
              <w:ind w:right="113"/>
              <w:rPr>
                <w:rFonts w:eastAsia="Aptos"/>
              </w:rPr>
            </w:pPr>
          </w:p>
        </w:tc>
        <w:tc>
          <w:tcPr>
            <w:tcW w:w="1960" w:type="dxa"/>
            <w:tcBorders>
              <w:top w:val="single" w:sz="12" w:space="0" w:color="auto"/>
            </w:tcBorders>
          </w:tcPr>
          <w:p w14:paraId="58C6F8CD"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p>
        </w:tc>
        <w:tc>
          <w:tcPr>
            <w:tcW w:w="3802" w:type="dxa"/>
            <w:tcBorders>
              <w:top w:val="single" w:sz="12" w:space="0" w:color="auto"/>
            </w:tcBorders>
          </w:tcPr>
          <w:p w14:paraId="6443AD88"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p>
        </w:tc>
      </w:tr>
      <w:tr w:rsidR="00922112" w:rsidRPr="00922112" w14:paraId="5B3E7BD1" w14:textId="77777777" w:rsidTr="00922112">
        <w:tc>
          <w:tcPr>
            <w:cnfStyle w:val="001000000000" w:firstRow="0" w:lastRow="0" w:firstColumn="1" w:lastColumn="0" w:oddVBand="0" w:evenVBand="0" w:oddHBand="0" w:evenHBand="0" w:firstRowFirstColumn="0" w:firstRowLastColumn="0" w:lastRowFirstColumn="0" w:lastRowLastColumn="0"/>
            <w:tcW w:w="1608" w:type="dxa"/>
            <w:hideMark/>
          </w:tcPr>
          <w:p w14:paraId="07F038A5" w14:textId="77777777" w:rsidR="00922112" w:rsidRPr="00922112" w:rsidRDefault="00922112" w:rsidP="00922112">
            <w:pPr>
              <w:spacing w:before="40" w:after="120"/>
              <w:ind w:right="113"/>
              <w:rPr>
                <w:rFonts w:eastAsia="Aptos"/>
                <w:b w:val="0"/>
                <w:bCs w:val="0"/>
              </w:rPr>
            </w:pPr>
            <w:r w:rsidRPr="00922112">
              <w:rPr>
                <w:rFonts w:eastAsia="Aptos"/>
              </w:rPr>
              <w:t>2020/21</w:t>
            </w:r>
          </w:p>
        </w:tc>
        <w:tc>
          <w:tcPr>
            <w:tcW w:w="1960" w:type="dxa"/>
            <w:hideMark/>
          </w:tcPr>
          <w:p w14:paraId="25B9C7BF"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r w:rsidRPr="00922112">
              <w:rPr>
                <w:rFonts w:eastAsia="Aptos"/>
              </w:rPr>
              <w:t>R620 976 000</w:t>
            </w:r>
          </w:p>
        </w:tc>
        <w:tc>
          <w:tcPr>
            <w:tcW w:w="3802" w:type="dxa"/>
            <w:hideMark/>
          </w:tcPr>
          <w:p w14:paraId="63309E87"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r w:rsidRPr="00922112">
              <w:rPr>
                <w:rFonts w:eastAsia="Aptos"/>
              </w:rPr>
              <w:t>R602 401 000</w:t>
            </w:r>
          </w:p>
        </w:tc>
      </w:tr>
      <w:tr w:rsidR="00922112" w:rsidRPr="00922112" w14:paraId="503BEB37" w14:textId="77777777" w:rsidTr="00922112">
        <w:tc>
          <w:tcPr>
            <w:cnfStyle w:val="001000000000" w:firstRow="0" w:lastRow="0" w:firstColumn="1" w:lastColumn="0" w:oddVBand="0" w:evenVBand="0" w:oddHBand="0" w:evenHBand="0" w:firstRowFirstColumn="0" w:firstRowLastColumn="0" w:lastRowFirstColumn="0" w:lastRowLastColumn="0"/>
            <w:tcW w:w="1608" w:type="dxa"/>
            <w:hideMark/>
          </w:tcPr>
          <w:p w14:paraId="0720F020" w14:textId="77777777" w:rsidR="00922112" w:rsidRPr="00922112" w:rsidRDefault="00922112" w:rsidP="00922112">
            <w:pPr>
              <w:spacing w:before="40" w:after="120"/>
              <w:ind w:right="113"/>
              <w:rPr>
                <w:rFonts w:eastAsia="Aptos"/>
                <w:b w:val="0"/>
                <w:bCs w:val="0"/>
              </w:rPr>
            </w:pPr>
            <w:r w:rsidRPr="00922112">
              <w:rPr>
                <w:rFonts w:eastAsia="Aptos"/>
              </w:rPr>
              <w:t>2021/22</w:t>
            </w:r>
          </w:p>
        </w:tc>
        <w:tc>
          <w:tcPr>
            <w:tcW w:w="1960" w:type="dxa"/>
            <w:hideMark/>
          </w:tcPr>
          <w:p w14:paraId="15A89E05"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r w:rsidRPr="00922112">
              <w:rPr>
                <w:rFonts w:eastAsia="Aptos"/>
              </w:rPr>
              <w:t>R1 195 508 000</w:t>
            </w:r>
          </w:p>
        </w:tc>
        <w:tc>
          <w:tcPr>
            <w:tcW w:w="3802" w:type="dxa"/>
            <w:hideMark/>
          </w:tcPr>
          <w:p w14:paraId="00C2E79C"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r w:rsidRPr="00922112">
              <w:rPr>
                <w:rFonts w:eastAsia="Aptos"/>
              </w:rPr>
              <w:t>R1 164 423 000</w:t>
            </w:r>
          </w:p>
        </w:tc>
      </w:tr>
      <w:tr w:rsidR="00922112" w:rsidRPr="00922112" w14:paraId="51AD67D7" w14:textId="77777777" w:rsidTr="00922112">
        <w:tc>
          <w:tcPr>
            <w:cnfStyle w:val="001000000000" w:firstRow="0" w:lastRow="0" w:firstColumn="1" w:lastColumn="0" w:oddVBand="0" w:evenVBand="0" w:oddHBand="0" w:evenHBand="0" w:firstRowFirstColumn="0" w:firstRowLastColumn="0" w:lastRowFirstColumn="0" w:lastRowLastColumn="0"/>
            <w:tcW w:w="1608" w:type="dxa"/>
            <w:hideMark/>
          </w:tcPr>
          <w:p w14:paraId="25BB88E1" w14:textId="77777777" w:rsidR="00922112" w:rsidRPr="00922112" w:rsidRDefault="00922112" w:rsidP="00922112">
            <w:pPr>
              <w:spacing w:before="40" w:after="120"/>
              <w:ind w:right="113"/>
              <w:rPr>
                <w:rFonts w:eastAsia="Aptos"/>
                <w:b w:val="0"/>
                <w:bCs w:val="0"/>
              </w:rPr>
            </w:pPr>
            <w:r w:rsidRPr="00922112">
              <w:rPr>
                <w:rFonts w:eastAsia="Aptos"/>
              </w:rPr>
              <w:t>2022/23</w:t>
            </w:r>
          </w:p>
        </w:tc>
        <w:tc>
          <w:tcPr>
            <w:tcW w:w="1960" w:type="dxa"/>
            <w:hideMark/>
          </w:tcPr>
          <w:p w14:paraId="267EF442"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r w:rsidRPr="00922112">
              <w:rPr>
                <w:rFonts w:eastAsia="Aptos"/>
              </w:rPr>
              <w:t>R991 714 000</w:t>
            </w:r>
          </w:p>
        </w:tc>
        <w:tc>
          <w:tcPr>
            <w:tcW w:w="3802" w:type="dxa"/>
            <w:hideMark/>
          </w:tcPr>
          <w:p w14:paraId="6F6D5D9E"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r w:rsidRPr="00922112">
              <w:rPr>
                <w:rFonts w:eastAsia="Aptos"/>
              </w:rPr>
              <w:t>R983 259 000</w:t>
            </w:r>
          </w:p>
        </w:tc>
      </w:tr>
      <w:tr w:rsidR="00922112" w:rsidRPr="00922112" w14:paraId="16BCFD24" w14:textId="77777777" w:rsidTr="00922112">
        <w:tc>
          <w:tcPr>
            <w:cnfStyle w:val="001000000000" w:firstRow="0" w:lastRow="0" w:firstColumn="1" w:lastColumn="0" w:oddVBand="0" w:evenVBand="0" w:oddHBand="0" w:evenHBand="0" w:firstRowFirstColumn="0" w:firstRowLastColumn="0" w:lastRowFirstColumn="0" w:lastRowLastColumn="0"/>
            <w:tcW w:w="1608" w:type="dxa"/>
            <w:hideMark/>
          </w:tcPr>
          <w:p w14:paraId="04757D40" w14:textId="77777777" w:rsidR="00922112" w:rsidRPr="00922112" w:rsidRDefault="00922112" w:rsidP="00922112">
            <w:pPr>
              <w:spacing w:before="40" w:after="120"/>
              <w:ind w:right="113"/>
              <w:rPr>
                <w:rFonts w:eastAsia="Aptos"/>
                <w:b w:val="0"/>
                <w:bCs w:val="0"/>
              </w:rPr>
            </w:pPr>
            <w:r w:rsidRPr="00922112">
              <w:rPr>
                <w:rFonts w:eastAsia="Aptos"/>
              </w:rPr>
              <w:t>2023/24</w:t>
            </w:r>
          </w:p>
        </w:tc>
        <w:tc>
          <w:tcPr>
            <w:tcW w:w="1960" w:type="dxa"/>
            <w:hideMark/>
          </w:tcPr>
          <w:p w14:paraId="2A52A112"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r w:rsidRPr="00922112">
              <w:rPr>
                <w:rFonts w:eastAsia="Aptos"/>
              </w:rPr>
              <w:t>R993 944 000</w:t>
            </w:r>
          </w:p>
        </w:tc>
        <w:tc>
          <w:tcPr>
            <w:tcW w:w="3802" w:type="dxa"/>
            <w:hideMark/>
          </w:tcPr>
          <w:p w14:paraId="3EF9F872"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r w:rsidRPr="00922112">
              <w:rPr>
                <w:rFonts w:eastAsia="Aptos"/>
              </w:rPr>
              <w:t>R991 625 000</w:t>
            </w:r>
          </w:p>
        </w:tc>
      </w:tr>
      <w:tr w:rsidR="00922112" w:rsidRPr="00922112" w14:paraId="60668EB1" w14:textId="77777777" w:rsidTr="00922112">
        <w:tc>
          <w:tcPr>
            <w:cnfStyle w:val="001000000000" w:firstRow="0" w:lastRow="0" w:firstColumn="1" w:lastColumn="0" w:oddVBand="0" w:evenVBand="0" w:oddHBand="0" w:evenHBand="0" w:firstRowFirstColumn="0" w:firstRowLastColumn="0" w:lastRowFirstColumn="0" w:lastRowLastColumn="0"/>
            <w:tcW w:w="1608" w:type="dxa"/>
            <w:hideMark/>
          </w:tcPr>
          <w:p w14:paraId="6B480BBE" w14:textId="77777777" w:rsidR="00922112" w:rsidRPr="00922112" w:rsidRDefault="00922112" w:rsidP="00922112">
            <w:pPr>
              <w:spacing w:before="40" w:after="120"/>
              <w:ind w:right="113"/>
              <w:rPr>
                <w:rFonts w:eastAsia="Aptos"/>
                <w:b w:val="0"/>
                <w:bCs w:val="0"/>
              </w:rPr>
            </w:pPr>
            <w:r w:rsidRPr="00922112">
              <w:rPr>
                <w:rFonts w:eastAsia="Aptos"/>
              </w:rPr>
              <w:t>2024/25</w:t>
            </w:r>
          </w:p>
        </w:tc>
        <w:tc>
          <w:tcPr>
            <w:tcW w:w="1960" w:type="dxa"/>
            <w:hideMark/>
          </w:tcPr>
          <w:p w14:paraId="45F764AB"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r w:rsidRPr="00922112">
              <w:rPr>
                <w:rFonts w:eastAsia="Aptos"/>
              </w:rPr>
              <w:t>R1 020 712 000</w:t>
            </w:r>
          </w:p>
        </w:tc>
        <w:tc>
          <w:tcPr>
            <w:tcW w:w="3802" w:type="dxa"/>
            <w:hideMark/>
          </w:tcPr>
          <w:p w14:paraId="3EDDDCA5"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r w:rsidRPr="00922112">
              <w:rPr>
                <w:rFonts w:eastAsia="Aptos"/>
              </w:rPr>
              <w:t>R1 011 019 000</w:t>
            </w:r>
          </w:p>
        </w:tc>
      </w:tr>
      <w:tr w:rsidR="00922112" w:rsidRPr="00922112" w14:paraId="55738369" w14:textId="77777777" w:rsidTr="00922112">
        <w:tc>
          <w:tcPr>
            <w:cnfStyle w:val="001000000000" w:firstRow="0" w:lastRow="0" w:firstColumn="1" w:lastColumn="0" w:oddVBand="0" w:evenVBand="0" w:oddHBand="0" w:evenHBand="0" w:firstRowFirstColumn="0" w:firstRowLastColumn="0" w:lastRowFirstColumn="0" w:lastRowLastColumn="0"/>
            <w:tcW w:w="1608" w:type="dxa"/>
            <w:tcBorders>
              <w:bottom w:val="single" w:sz="12" w:space="0" w:color="auto"/>
            </w:tcBorders>
            <w:hideMark/>
          </w:tcPr>
          <w:p w14:paraId="597CF397" w14:textId="77777777" w:rsidR="00922112" w:rsidRPr="00922112" w:rsidRDefault="00922112" w:rsidP="00922112">
            <w:pPr>
              <w:spacing w:before="40" w:after="120"/>
              <w:ind w:right="113"/>
              <w:rPr>
                <w:rFonts w:eastAsia="Aptos"/>
                <w:b w:val="0"/>
                <w:bCs w:val="0"/>
              </w:rPr>
            </w:pPr>
            <w:r w:rsidRPr="00922112">
              <w:rPr>
                <w:rFonts w:eastAsia="Aptos"/>
              </w:rPr>
              <w:t>2025/26</w:t>
            </w:r>
          </w:p>
        </w:tc>
        <w:tc>
          <w:tcPr>
            <w:tcW w:w="1960" w:type="dxa"/>
            <w:tcBorders>
              <w:bottom w:val="single" w:sz="12" w:space="0" w:color="auto"/>
            </w:tcBorders>
            <w:hideMark/>
          </w:tcPr>
          <w:p w14:paraId="2999D926"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r w:rsidRPr="00922112">
              <w:rPr>
                <w:rFonts w:eastAsia="Aptos"/>
              </w:rPr>
              <w:t>R1 361 686 0000</w:t>
            </w:r>
          </w:p>
        </w:tc>
        <w:tc>
          <w:tcPr>
            <w:tcW w:w="3802" w:type="dxa"/>
            <w:tcBorders>
              <w:bottom w:val="single" w:sz="12" w:space="0" w:color="auto"/>
            </w:tcBorders>
            <w:hideMark/>
          </w:tcPr>
          <w:p w14:paraId="0E2C52DC" w14:textId="77777777" w:rsidR="00922112" w:rsidRPr="00922112" w:rsidRDefault="00922112" w:rsidP="00922112">
            <w:pPr>
              <w:spacing w:before="40" w:after="120"/>
              <w:ind w:right="113"/>
              <w:cnfStyle w:val="000000000000" w:firstRow="0" w:lastRow="0" w:firstColumn="0" w:lastColumn="0" w:oddVBand="0" w:evenVBand="0" w:oddHBand="0" w:evenHBand="0" w:firstRowFirstColumn="0" w:firstRowLastColumn="0" w:lastRowFirstColumn="0" w:lastRowLastColumn="0"/>
              <w:rPr>
                <w:rFonts w:eastAsia="Aptos"/>
              </w:rPr>
            </w:pPr>
            <w:r w:rsidRPr="00922112">
              <w:rPr>
                <w:rFonts w:eastAsia="Aptos"/>
              </w:rPr>
              <w:t xml:space="preserve">R1 356 798 000 (Preliminary Expenditure) </w:t>
            </w:r>
          </w:p>
        </w:tc>
      </w:tr>
    </w:tbl>
    <w:p w14:paraId="45756ACE" w14:textId="77777777" w:rsidR="0049619B" w:rsidRPr="0049619B" w:rsidRDefault="0049619B" w:rsidP="002A6281">
      <w:pPr>
        <w:pStyle w:val="SingleTxtG"/>
        <w:numPr>
          <w:ilvl w:val="0"/>
          <w:numId w:val="21"/>
        </w:numPr>
        <w:ind w:left="1134" w:firstLine="0"/>
        <w:rPr>
          <w:lang w:val="en-ZA"/>
        </w:rPr>
      </w:pPr>
      <w:r w:rsidRPr="0049619B">
        <w:rPr>
          <w:lang w:val="en-ZA"/>
        </w:rPr>
        <w:t>Regarding human resources, the DWYPD has maintained a relatively small but specialised workforce.  As of 31 March 2025, the Department's staff establishment comprised 140 approved posts, of which 125 were filled and 15 remain vacant, reflecting a vacancy rate of 10,7%. The staff complement includes policy analysts and gender specialists, monitoring and evaluation experts, programme and stakeholder coordination officials, and administrative and corporate support staff. The core programmes still experience limited human capacity to fully and effectively execute their mandate.</w:t>
      </w:r>
    </w:p>
    <w:p w14:paraId="448F3C79" w14:textId="77777777" w:rsidR="0049619B" w:rsidRPr="0049619B" w:rsidRDefault="0049619B" w:rsidP="002A6281">
      <w:pPr>
        <w:pStyle w:val="SingleTxtG"/>
        <w:numPr>
          <w:ilvl w:val="0"/>
          <w:numId w:val="21"/>
        </w:numPr>
        <w:ind w:left="1134" w:firstLine="0"/>
        <w:rPr>
          <w:lang w:val="en-ZA"/>
        </w:rPr>
      </w:pPr>
      <w:r w:rsidRPr="0049619B">
        <w:rPr>
          <w:lang w:val="en-ZA"/>
        </w:rPr>
        <w:t xml:space="preserve">The Department has made progress in strengthening technical capacity through development and rollout of: (i) the Gender Responsive Planning, Budgeting, Monitoring, Evaluation and Auditing Framework and its toolkit; (ii) monitoring tools for the NSP-GBVF; (iii) Gender Responsive Budgeting through the National Treasury by supporting gender mainstreaming across the pilot departments for their planning and budgeting in the MTEC process; and (iii) capacity building for mainstreaming which is also rolled-out across government. This includes the development and roll-out of an online training course on Gender-Based Analysis Plus (GBA+) by the DWYPD, which is a free, certificated and self-administered training programme available to all government and non-government persons in the country. This training was developed in partnership with the Government of Canada. The training is compulsory for all government officials as directed through a circular issued by the Department of Public Service and Administration in 2025. </w:t>
      </w:r>
    </w:p>
    <w:p w14:paraId="460FCD6A" w14:textId="77777777" w:rsidR="0049619B" w:rsidRPr="0049619B" w:rsidRDefault="0049619B" w:rsidP="002A6281">
      <w:pPr>
        <w:pStyle w:val="SingleTxtG"/>
        <w:numPr>
          <w:ilvl w:val="0"/>
          <w:numId w:val="21"/>
        </w:numPr>
        <w:ind w:left="1134" w:firstLine="0"/>
        <w:rPr>
          <w:lang w:val="en-ZA"/>
        </w:rPr>
      </w:pPr>
      <w:r w:rsidRPr="0049619B">
        <w:rPr>
          <w:lang w:val="en-ZA"/>
        </w:rPr>
        <w:lastRenderedPageBreak/>
        <w:t>In response to</w:t>
      </w:r>
      <w:r w:rsidRPr="0049619B">
        <w:rPr>
          <w:b/>
          <w:bCs/>
          <w:lang w:val="en-ZA"/>
        </w:rPr>
        <w:t xml:space="preserve"> </w:t>
      </w:r>
      <w:r w:rsidRPr="00834BED">
        <w:rPr>
          <w:lang w:val="en-ZA"/>
        </w:rPr>
        <w:t>Recommendation 28(b) on number of gender focal points (GFP), the South African National Policy Framework (2000) make provision for the establishment</w:t>
      </w:r>
      <w:r w:rsidRPr="0049619B">
        <w:rPr>
          <w:lang w:val="en-ZA"/>
        </w:rPr>
        <w:t xml:space="preserve"> of gender units with GFPs in all government departments at provincial and national level. GFPs have also been provided for at the local government level through the Gender Policy at Local Government of the Department of Cooperative Governance. GFP maintains the autonomy to determine their own programme towards gender equality, guided by the principles outlined in the Framework and their sectoral policies, prescripts and mandates, and as informed by the specific needs of the local contexts where they are located. The National Gender Machinery Diagnostic Review Report, (DWYPD, 2021) demonstrate that GFPs are neither positioned to serve as the strategic interface between women’s empowerment and government planning and implementation, nor as an effective interface between government and communities.</w:t>
      </w:r>
    </w:p>
    <w:p w14:paraId="67484514" w14:textId="62B6E69B" w:rsidR="0049619B" w:rsidRPr="0049619B" w:rsidRDefault="0049619B" w:rsidP="002A6281">
      <w:pPr>
        <w:pStyle w:val="SingleTxtG"/>
        <w:numPr>
          <w:ilvl w:val="0"/>
          <w:numId w:val="21"/>
        </w:numPr>
        <w:ind w:left="1134" w:firstLine="0"/>
        <w:rPr>
          <w:lang w:val="en-ZA"/>
        </w:rPr>
      </w:pPr>
      <w:r w:rsidRPr="0049619B">
        <w:rPr>
          <w:lang w:val="en-ZA"/>
        </w:rPr>
        <w:t>The National Gender Policy Framework provides a clear governance framework for strengthening the authority, institutional positioning, and participation in decision-making of GFPs within departments. Progress remains uneven across departments, as this provision has not yet been fully implemented, and GFPs are still largely designated at the middle-management and lower levels. The focus remains on reinforcing compliance with the prescribed institutional arrangement to strengthen gender mainstreaming capacity and participation in departmental decision-making structures.</w:t>
      </w:r>
    </w:p>
    <w:p w14:paraId="5A8F0DD8" w14:textId="1F9C4BA7" w:rsidR="0049619B" w:rsidRPr="0049619B" w:rsidRDefault="00834BED" w:rsidP="00834BED">
      <w:pPr>
        <w:pStyle w:val="H1G"/>
        <w:rPr>
          <w:lang w:val="en-ZA"/>
        </w:rPr>
      </w:pPr>
      <w:bookmarkStart w:id="7" w:name="_Toc232855590"/>
      <w:r>
        <w:rPr>
          <w:lang w:val="en-ZA"/>
        </w:rPr>
        <w:tab/>
      </w:r>
      <w:r>
        <w:rPr>
          <w:lang w:val="en-ZA"/>
        </w:rPr>
        <w:tab/>
      </w:r>
      <w:r w:rsidR="0049619B" w:rsidRPr="0049619B">
        <w:rPr>
          <w:lang w:val="en-ZA"/>
        </w:rPr>
        <w:t>Socio-</w:t>
      </w:r>
      <w:r>
        <w:rPr>
          <w:lang w:val="en-ZA"/>
        </w:rPr>
        <w:t>e</w:t>
      </w:r>
      <w:r w:rsidR="0049619B" w:rsidRPr="0049619B">
        <w:rPr>
          <w:lang w:val="en-ZA"/>
        </w:rPr>
        <w:t xml:space="preserve">conomic </w:t>
      </w:r>
      <w:r>
        <w:rPr>
          <w:lang w:val="en-ZA"/>
        </w:rPr>
        <w:t>c</w:t>
      </w:r>
      <w:r w:rsidR="0049619B" w:rsidRPr="0049619B">
        <w:rPr>
          <w:lang w:val="en-ZA"/>
        </w:rPr>
        <w:t>ontext</w:t>
      </w:r>
      <w:bookmarkEnd w:id="7"/>
    </w:p>
    <w:p w14:paraId="3D1301CB" w14:textId="77777777" w:rsidR="0049619B" w:rsidRPr="0049619B" w:rsidRDefault="0049619B" w:rsidP="002A6281">
      <w:pPr>
        <w:pStyle w:val="SingleTxtG"/>
        <w:numPr>
          <w:ilvl w:val="0"/>
          <w:numId w:val="21"/>
        </w:numPr>
        <w:ind w:left="1134" w:firstLine="0"/>
        <w:rPr>
          <w:lang w:val="en-ZA"/>
        </w:rPr>
      </w:pPr>
      <w:r w:rsidRPr="0049619B">
        <w:rPr>
          <w:lang w:val="en-ZA"/>
        </w:rPr>
        <w:t>Between 2015 and 2024, South Africa experienced both advances and challenges in achieving gender equality, highlighted as follows:</w:t>
      </w:r>
    </w:p>
    <w:p w14:paraId="1D3898EC" w14:textId="0B49FDAD" w:rsidR="0049619B" w:rsidRPr="00F33E81" w:rsidRDefault="00291A5B" w:rsidP="00F33E81">
      <w:pPr>
        <w:pStyle w:val="SingleTxtG"/>
      </w:pPr>
      <w:r>
        <w:tab/>
      </w:r>
      <w:r w:rsidR="00F33E81">
        <w:t>(a)</w:t>
      </w:r>
      <w:r>
        <w:tab/>
      </w:r>
      <w:r w:rsidR="0049619B" w:rsidRPr="00F33E81">
        <w:t>South Africa is among the better-performing countries globally in female political representation. Women’s representation in Parliament stood at 43.45% following the 2024 National Elections</w:t>
      </w:r>
      <w:r>
        <w:t>;</w:t>
      </w:r>
    </w:p>
    <w:p w14:paraId="1F4F56D9" w14:textId="32532182" w:rsidR="0049619B" w:rsidRPr="00F33E81" w:rsidRDefault="00291A5B" w:rsidP="00F33E81">
      <w:pPr>
        <w:pStyle w:val="SingleTxtG"/>
      </w:pPr>
      <w:r>
        <w:tab/>
      </w:r>
      <w:r w:rsidR="00F33E81">
        <w:t>(b)</w:t>
      </w:r>
      <w:r>
        <w:tab/>
      </w:r>
      <w:r w:rsidR="0049619B" w:rsidRPr="00F33E81">
        <w:t>Access to education for girls continued to improve. South Africa has achieved near gender parity in education, particularly in basic and tertiary enrolment. Women increasingly outperform men in higher education participation</w:t>
      </w:r>
      <w:r w:rsidR="00B0713B">
        <w:t>;</w:t>
      </w:r>
    </w:p>
    <w:p w14:paraId="41C396C0" w14:textId="26E6F56B" w:rsidR="0049619B" w:rsidRPr="00F33E81" w:rsidRDefault="00B0713B" w:rsidP="00F33E81">
      <w:pPr>
        <w:pStyle w:val="SingleTxtG"/>
      </w:pPr>
      <w:r>
        <w:tab/>
      </w:r>
      <w:r w:rsidR="00F33E81">
        <w:t>(c)</w:t>
      </w:r>
      <w:r>
        <w:tab/>
      </w:r>
      <w:r w:rsidR="0049619B" w:rsidRPr="00F33E81">
        <w:t>The gain in education is not translating into equal labour market outcomes. The skills mismatches and structural unemployment limit returns on education. This shows that education alone has not been sufficient to overcome systemic gender inequality in economic participation</w:t>
      </w:r>
      <w:r>
        <w:t>;</w:t>
      </w:r>
    </w:p>
    <w:p w14:paraId="077B2E60" w14:textId="6B87556B" w:rsidR="0049619B" w:rsidRPr="00F33E81" w:rsidRDefault="00B0713B" w:rsidP="00F33E81">
      <w:pPr>
        <w:pStyle w:val="SingleTxtG"/>
      </w:pPr>
      <w:r>
        <w:tab/>
      </w:r>
      <w:r w:rsidR="00F33E81">
        <w:t>(d)</w:t>
      </w:r>
      <w:r>
        <w:tab/>
      </w:r>
      <w:r w:rsidR="0049619B" w:rsidRPr="00F33E81">
        <w:t>Women remain disproportionately affected by unemployment and economic exclusion. Women’s unemployment remained high (35.4% in 2024), and participation in the labour force also remains unequal</w:t>
      </w:r>
      <w:r>
        <w:t>;</w:t>
      </w:r>
    </w:p>
    <w:p w14:paraId="1BAEDE90" w14:textId="76445055" w:rsidR="0049619B" w:rsidRPr="00F33E81" w:rsidRDefault="00B0713B" w:rsidP="00F33E81">
      <w:pPr>
        <w:pStyle w:val="SingleTxtG"/>
      </w:pPr>
      <w:r>
        <w:tab/>
      </w:r>
      <w:r w:rsidR="00F33E81">
        <w:t>(e)</w:t>
      </w:r>
      <w:r>
        <w:tab/>
      </w:r>
      <w:r w:rsidR="0049619B" w:rsidRPr="00F33E81">
        <w:t>The challenge of gender-based violence and femicide (GBVF) persists at higher rates. GBV was classified a national disaster in 2025 under the National Disaster Management Act. This is a recognition that dealing with this scourge demands exceptional measures. This classification strengthens the mandates of the respective government departments dealing with the scourge</w:t>
      </w:r>
      <w:r>
        <w:t>;</w:t>
      </w:r>
    </w:p>
    <w:p w14:paraId="1E9CEAF1" w14:textId="14012742" w:rsidR="0049619B" w:rsidRPr="00F33E81" w:rsidRDefault="00B0713B" w:rsidP="00F33E81">
      <w:pPr>
        <w:pStyle w:val="SingleTxtG"/>
      </w:pPr>
      <w:r>
        <w:tab/>
      </w:r>
      <w:r w:rsidR="00F33E81">
        <w:t>(f)</w:t>
      </w:r>
      <w:r>
        <w:tab/>
      </w:r>
      <w:r w:rsidR="0049619B" w:rsidRPr="00F33E81">
        <w:t xml:space="preserve">The COVID-19 pandemic (2020–2022) exacerbated gender inequalities, particularly in informal employment and in care responsibilities. In response to Recommendation 11 to 15, South Africa introduced the South African Economic Reconstruction and Recovery Plan (ERRP) which includes interventions to restore the economy while controlling the health risks; and build a sustainable and inclusive economy. The plan prioritizes the inclusion of women in all economic tiers, supported through various initiatives like infrastructure development, industrial localization, small business support, skills enhancement, and financial access. To ensure the realisation of the ERRP, a Strategy for Economic Empowerment of Women, Youth and Persons with Disabilities has been developed. This strategy is being implemented across the Economic Sectors departments. Regarding women’s benefit from economic stimulus packages, government has initiated various programs to improve the economic position of women in collaboration with partners. The Presidential Employment Stimulus provided work and employment opportunities to </w:t>
      </w:r>
      <w:r w:rsidR="0049619B" w:rsidRPr="00F33E81">
        <w:lastRenderedPageBreak/>
        <w:t>more than a million people since it was launched in 2020. Of these more than 60% were women. Similarly, of the 140,000 small-scale farmers to whom government provided vouchers to buy seeds, fertiliser and equipment, 68% were women</w:t>
      </w:r>
      <w:r>
        <w:t>;</w:t>
      </w:r>
    </w:p>
    <w:p w14:paraId="04EDF4F9" w14:textId="0E556F9F" w:rsidR="0049619B" w:rsidRPr="00F33E81" w:rsidRDefault="00F33E81" w:rsidP="00F33E81">
      <w:pPr>
        <w:pStyle w:val="SingleTxtG"/>
      </w:pPr>
      <w:r>
        <w:tab/>
        <w:t>(g)</w:t>
      </w:r>
      <w:r>
        <w:tab/>
      </w:r>
      <w:r w:rsidR="0049619B" w:rsidRPr="00F33E81">
        <w:t xml:space="preserve">The reporting period takes place during South Africa’s G20 presidency in 2025. South Africa positioned the Empowerment of Women Working Group (EWWG) as a key platform to advance a practical, development-oriented agenda on gender equality. South Africa framed this work within the broader G20 Presidency theme of “Solidarity, Equality, Sustainability”, and anchored the EWWG around three policy priorities: </w:t>
      </w:r>
    </w:p>
    <w:p w14:paraId="37DBAAA2" w14:textId="20F35EF5" w:rsidR="0049619B" w:rsidRPr="00EB22C3" w:rsidRDefault="00EB22C3" w:rsidP="00EB22C3">
      <w:pPr>
        <w:pStyle w:val="SingleTxtG"/>
      </w:pPr>
      <w:r>
        <w:tab/>
        <w:t>(i)</w:t>
      </w:r>
      <w:r>
        <w:tab/>
      </w:r>
      <w:r w:rsidR="0049619B" w:rsidRPr="00EB22C3">
        <w:t xml:space="preserve">The care economy (paid and unpaid care work and household </w:t>
      </w:r>
      <w:r>
        <w:tab/>
      </w:r>
      <w:r w:rsidR="0049619B" w:rsidRPr="00EB22C3">
        <w:t>responsibilities)</w:t>
      </w:r>
      <w:r w:rsidR="00F33E81" w:rsidRPr="00EB22C3">
        <w:t>;</w:t>
      </w:r>
    </w:p>
    <w:p w14:paraId="012DC8D8" w14:textId="3601E770" w:rsidR="0049619B" w:rsidRPr="00EB22C3" w:rsidRDefault="00EB22C3" w:rsidP="00EB22C3">
      <w:pPr>
        <w:pStyle w:val="SingleTxtG"/>
      </w:pPr>
      <w:r>
        <w:tab/>
        <w:t>(ii)</w:t>
      </w:r>
      <w:r>
        <w:tab/>
      </w:r>
      <w:r w:rsidR="0049619B" w:rsidRPr="00EB22C3">
        <w:t>Promoting financial inclusion of and for women</w:t>
      </w:r>
      <w:r w:rsidR="00F33E81" w:rsidRPr="00EB22C3">
        <w:t>;</w:t>
      </w:r>
    </w:p>
    <w:p w14:paraId="547EBE97" w14:textId="45EA4580" w:rsidR="0049619B" w:rsidRPr="00EB22C3" w:rsidRDefault="00E054E4" w:rsidP="00EB22C3">
      <w:pPr>
        <w:pStyle w:val="SingleTxtG"/>
      </w:pPr>
      <w:r>
        <w:tab/>
        <w:t>(iii)</w:t>
      </w:r>
      <w:r w:rsidR="00291A5B">
        <w:tab/>
      </w:r>
      <w:r w:rsidR="0049619B" w:rsidRPr="00EB22C3">
        <w:t>Addressing gender-based violence and femicide (GBVF)</w:t>
      </w:r>
      <w:r w:rsidR="00F33E81" w:rsidRPr="00EB22C3">
        <w:t>;</w:t>
      </w:r>
    </w:p>
    <w:p w14:paraId="1D628292" w14:textId="214C59C0" w:rsidR="0049619B" w:rsidRPr="00F33E81" w:rsidRDefault="00F33E81" w:rsidP="00F33E81">
      <w:pPr>
        <w:pStyle w:val="SingleTxtG"/>
      </w:pPr>
      <w:r>
        <w:tab/>
        <w:t>(h)</w:t>
      </w:r>
      <w:r>
        <w:tab/>
      </w:r>
      <w:r w:rsidR="0049619B" w:rsidRPr="00F33E81">
        <w:t xml:space="preserve">South Africa resolved to dedicate the next five years (2024 – 2029) to actions that will advance three strategic priorities. These are; (i) to drive inclusive growth and job creation;(ii) to reduce poverty and tackle the high cost of living; and (iii) to build a capable, ethical and developmental state. </w:t>
      </w:r>
    </w:p>
    <w:p w14:paraId="6737E691" w14:textId="77777777" w:rsidR="0049619B" w:rsidRPr="0049619B" w:rsidRDefault="0049619B" w:rsidP="002A6281">
      <w:pPr>
        <w:pStyle w:val="SingleTxtG"/>
        <w:numPr>
          <w:ilvl w:val="0"/>
          <w:numId w:val="21"/>
        </w:numPr>
        <w:ind w:left="1134" w:firstLine="0"/>
        <w:rPr>
          <w:lang w:val="en-ZA"/>
        </w:rPr>
      </w:pPr>
      <w:r w:rsidRPr="0049619B">
        <w:rPr>
          <w:lang w:val="en-ZA"/>
        </w:rPr>
        <w:t>The government’s response emphasized social protection, economic empowerment, and inclusion through programmes such as the Women’s Economic Assembly (WECONA), Women Empowerment Fund, and Expanded Public Works Programme (EPWP) for women.</w:t>
      </w:r>
    </w:p>
    <w:p w14:paraId="6695261C" w14:textId="77777777" w:rsidR="0049619B" w:rsidRPr="0049619B" w:rsidRDefault="0049619B" w:rsidP="002A6281">
      <w:pPr>
        <w:pStyle w:val="SingleTxtG"/>
        <w:numPr>
          <w:ilvl w:val="0"/>
          <w:numId w:val="21"/>
        </w:numPr>
        <w:ind w:left="1134" w:firstLine="0"/>
        <w:rPr>
          <w:lang w:val="en-ZA"/>
        </w:rPr>
      </w:pPr>
      <w:r w:rsidRPr="0049619B">
        <w:rPr>
          <w:lang w:val="en-ZA"/>
        </w:rPr>
        <w:t>Social protection measures have mitigated extreme poverty but has not reduced structural inequality. A large proportion of households depend on grants, which are often accessed and managed by women. They play a central role in household survival but remain economically vulnerable.</w:t>
      </w:r>
    </w:p>
    <w:p w14:paraId="02E3ED6C" w14:textId="33628EAE" w:rsidR="0049619B" w:rsidRPr="0049619B" w:rsidRDefault="00D65BFD" w:rsidP="00D65BFD">
      <w:pPr>
        <w:pStyle w:val="HChG"/>
        <w:rPr>
          <w:lang w:val="en-ZA"/>
        </w:rPr>
      </w:pPr>
      <w:bookmarkStart w:id="8" w:name="_Toc232855591"/>
      <w:r>
        <w:rPr>
          <w:lang w:val="en-ZA"/>
        </w:rPr>
        <w:tab/>
      </w:r>
      <w:r>
        <w:rPr>
          <w:lang w:val="en-ZA"/>
        </w:rPr>
        <w:tab/>
      </w:r>
      <w:r w:rsidR="0049619B" w:rsidRPr="0049619B">
        <w:rPr>
          <w:lang w:val="en-ZA"/>
        </w:rPr>
        <w:t>P</w:t>
      </w:r>
      <w:r w:rsidRPr="0049619B">
        <w:rPr>
          <w:lang w:val="en-ZA"/>
        </w:rPr>
        <w:t>art</w:t>
      </w:r>
      <w:r w:rsidR="0049619B" w:rsidRPr="0049619B">
        <w:rPr>
          <w:lang w:val="en-ZA"/>
        </w:rPr>
        <w:t xml:space="preserve"> I A</w:t>
      </w:r>
      <w:r w:rsidRPr="0049619B">
        <w:rPr>
          <w:lang w:val="en-ZA"/>
        </w:rPr>
        <w:t>rticle</w:t>
      </w:r>
      <w:r w:rsidR="0049619B" w:rsidRPr="0049619B">
        <w:rPr>
          <w:lang w:val="en-ZA"/>
        </w:rPr>
        <w:t xml:space="preserve"> 1 -</w:t>
      </w:r>
      <w:r>
        <w:rPr>
          <w:lang w:val="en-ZA"/>
        </w:rPr>
        <w:t xml:space="preserve"> </w:t>
      </w:r>
      <w:r w:rsidR="0049619B" w:rsidRPr="0049619B">
        <w:rPr>
          <w:lang w:val="en-ZA"/>
        </w:rPr>
        <w:t>8</w:t>
      </w:r>
      <w:bookmarkEnd w:id="8"/>
    </w:p>
    <w:p w14:paraId="7D17F543" w14:textId="0E869ED1" w:rsidR="0049619B" w:rsidRPr="0049619B" w:rsidRDefault="00D65BFD" w:rsidP="00D65BFD">
      <w:pPr>
        <w:pStyle w:val="H1G"/>
        <w:rPr>
          <w:lang w:val="en-ZA"/>
        </w:rPr>
      </w:pPr>
      <w:bookmarkStart w:id="9" w:name="_Toc232855592"/>
      <w:r>
        <w:rPr>
          <w:lang w:val="en-ZA"/>
        </w:rPr>
        <w:tab/>
      </w:r>
      <w:r>
        <w:rPr>
          <w:lang w:val="en-ZA"/>
        </w:rPr>
        <w:tab/>
      </w:r>
      <w:r w:rsidR="0049619B" w:rsidRPr="0049619B">
        <w:rPr>
          <w:lang w:val="en-ZA"/>
        </w:rPr>
        <w:t xml:space="preserve">Article 1: Definition of discrimination against </w:t>
      </w:r>
      <w:r w:rsidR="00793F62">
        <w:rPr>
          <w:lang w:val="en-ZA"/>
        </w:rPr>
        <w:t>w</w:t>
      </w:r>
      <w:r w:rsidR="0049619B" w:rsidRPr="0049619B">
        <w:rPr>
          <w:lang w:val="en-ZA"/>
        </w:rPr>
        <w:t>omen</w:t>
      </w:r>
      <w:bookmarkEnd w:id="9"/>
      <w:r w:rsidR="0049619B" w:rsidRPr="0049619B">
        <w:rPr>
          <w:lang w:val="en-ZA"/>
        </w:rPr>
        <w:t xml:space="preserve"> </w:t>
      </w:r>
    </w:p>
    <w:p w14:paraId="1B2911EA" w14:textId="77777777" w:rsidR="0049619B" w:rsidRPr="0049619B" w:rsidRDefault="0049619B" w:rsidP="002A6281">
      <w:pPr>
        <w:pStyle w:val="SingleTxtG"/>
        <w:numPr>
          <w:ilvl w:val="0"/>
          <w:numId w:val="21"/>
        </w:numPr>
        <w:ind w:left="1134" w:firstLine="0"/>
        <w:rPr>
          <w:lang w:val="en-ZA"/>
        </w:rPr>
      </w:pPr>
      <w:r w:rsidRPr="0049619B">
        <w:rPr>
          <w:lang w:val="en-ZA"/>
        </w:rPr>
        <w:t xml:space="preserve">As reported in the previous reports, the Constitution provides for the enactment of national legislation to prevent or prohibit unfair discrimination and to promote the achievement of equality. </w:t>
      </w:r>
    </w:p>
    <w:p w14:paraId="11A11142" w14:textId="77777777" w:rsidR="0049619B" w:rsidRPr="0049619B" w:rsidRDefault="0049619B" w:rsidP="002A6281">
      <w:pPr>
        <w:pStyle w:val="SingleTxtG"/>
        <w:numPr>
          <w:ilvl w:val="0"/>
          <w:numId w:val="21"/>
        </w:numPr>
        <w:ind w:left="1134" w:firstLine="0"/>
        <w:rPr>
          <w:lang w:val="en-ZA"/>
        </w:rPr>
      </w:pPr>
      <w:r w:rsidRPr="0049619B">
        <w:rPr>
          <w:lang w:val="en-ZA"/>
        </w:rPr>
        <w:t xml:space="preserve">The </w:t>
      </w:r>
      <w:r w:rsidRPr="00D65BFD">
        <w:rPr>
          <w:lang w:val="en-ZA"/>
        </w:rPr>
        <w:t>Promotion of Equality and Prevention of Unfair Discrimination Act (PEPUDA)</w:t>
      </w:r>
      <w:r w:rsidRPr="0049619B">
        <w:rPr>
          <w:lang w:val="en-ZA"/>
        </w:rPr>
        <w:t xml:space="preserve"> (Act 4 of 2000) provide a comprehensive definition of discrimination which covers all elements in alignment with the CEDAW Convention.</w:t>
      </w:r>
    </w:p>
    <w:p w14:paraId="6B1FBCE2" w14:textId="749060E9" w:rsidR="0049619B" w:rsidRPr="0049619B" w:rsidRDefault="0049619B" w:rsidP="002A6281">
      <w:pPr>
        <w:pStyle w:val="SingleTxtG"/>
        <w:numPr>
          <w:ilvl w:val="0"/>
          <w:numId w:val="21"/>
        </w:numPr>
        <w:ind w:left="1134" w:firstLine="0"/>
        <w:rPr>
          <w:lang w:val="en-ZA"/>
        </w:rPr>
      </w:pPr>
      <w:r w:rsidRPr="0049619B">
        <w:rPr>
          <w:lang w:val="en-ZA"/>
        </w:rPr>
        <w:t xml:space="preserve">In </w:t>
      </w:r>
      <w:r w:rsidR="00D65BFD">
        <w:rPr>
          <w:lang w:val="en-ZA"/>
        </w:rPr>
        <w:t>r</w:t>
      </w:r>
      <w:r w:rsidRPr="00D65BFD">
        <w:rPr>
          <w:lang w:val="en-ZA"/>
        </w:rPr>
        <w:t xml:space="preserve">esponse to recommendation 20 (a) </w:t>
      </w:r>
      <w:r w:rsidRPr="0049619B">
        <w:rPr>
          <w:lang w:val="en-ZA"/>
        </w:rPr>
        <w:t xml:space="preserve">regarding the adoption of comprehensive gender equality law, the process of developing the Promotion of Women’s Rights is still in progress since the previous Bill [B 50B—2013] lapsed during the previous Administration before it could be enacted. Recognising the continued need for a strengthened legislative framework to advance gender equality and women’s empowerment, the government has re-initiated the process of reviewing and updating the Bill to ensure alignment with current policy priorities, constitutional imperatives, and emerging socio-economic realities. This Bill will be re-introduced in parliament in 2026/2027. This legislation will establish a legislative framework for the empowerment of women which will align all aspects of laws and implementation of laws relating to women empowerment, and the appointment and representation of women in decision making positions and structures. </w:t>
      </w:r>
    </w:p>
    <w:p w14:paraId="3B9E14E0" w14:textId="77777777" w:rsidR="0049619B" w:rsidRPr="0049619B" w:rsidRDefault="0049619B" w:rsidP="002A6281">
      <w:pPr>
        <w:pStyle w:val="SingleTxtG"/>
        <w:numPr>
          <w:ilvl w:val="0"/>
          <w:numId w:val="21"/>
        </w:numPr>
        <w:ind w:left="1134" w:firstLine="0"/>
        <w:rPr>
          <w:lang w:val="en-ZA"/>
        </w:rPr>
      </w:pPr>
      <w:r w:rsidRPr="0049619B">
        <w:rPr>
          <w:lang w:val="en-ZA"/>
        </w:rPr>
        <w:t xml:space="preserve">With regard to </w:t>
      </w:r>
      <w:r w:rsidRPr="00D65BFD">
        <w:rPr>
          <w:lang w:val="en-ZA"/>
        </w:rPr>
        <w:t>the definition of discrimination against women that covers both direct and indirect discrimination</w:t>
      </w:r>
      <w:r w:rsidRPr="0049619B">
        <w:rPr>
          <w:b/>
          <w:bCs/>
          <w:lang w:val="en-ZA"/>
        </w:rPr>
        <w:t xml:space="preserve"> </w:t>
      </w:r>
      <w:r w:rsidRPr="0049619B">
        <w:rPr>
          <w:lang w:val="en-ZA"/>
        </w:rPr>
        <w:t>in the public and private spheres, including intersecting forms of discrimination, in accordance with articles 1 and 2 of the Convention, Section 9 (Equality Clause) of the Constitution prohibits direct and indirect discrimination by the state (public sector) and by private persons or organizations (private sector).</w:t>
      </w:r>
    </w:p>
    <w:p w14:paraId="3A93A912" w14:textId="77777777" w:rsidR="0049619B" w:rsidRPr="0049619B" w:rsidRDefault="0049619B" w:rsidP="002A6281">
      <w:pPr>
        <w:pStyle w:val="SingleTxtG"/>
        <w:numPr>
          <w:ilvl w:val="0"/>
          <w:numId w:val="21"/>
        </w:numPr>
        <w:ind w:left="1134" w:firstLine="0"/>
        <w:rPr>
          <w:lang w:val="en-ZA"/>
        </w:rPr>
      </w:pPr>
      <w:r w:rsidRPr="00532791">
        <w:rPr>
          <w:lang w:val="en-ZA"/>
        </w:rPr>
        <w:t>In response to recommendation 20 (b) on the question of substantive equality into law and strengthening existing legislations</w:t>
      </w:r>
      <w:r w:rsidRPr="0049619B">
        <w:rPr>
          <w:b/>
          <w:bCs/>
          <w:lang w:val="en-ZA"/>
        </w:rPr>
        <w:t>,</w:t>
      </w:r>
      <w:r w:rsidRPr="0049619B">
        <w:rPr>
          <w:lang w:val="en-ZA"/>
        </w:rPr>
        <w:t xml:space="preserve"> Section 9(2) of the Constitution of the Republic </w:t>
      </w:r>
      <w:r w:rsidRPr="0049619B">
        <w:rPr>
          <w:lang w:val="en-ZA"/>
        </w:rPr>
        <w:lastRenderedPageBreak/>
        <w:t>explicitly promotes substantive equality, allowing for affirmative action and measures designed to protect or advance disadvantaged groups. It states: “Equality includes the full and equal enjoyment of all rights and freedoms. To promote the achievement of equality, legislative and other measures designed to protect or advance persons disadvantaged by unfair discrimination may be taken.”</w:t>
      </w:r>
    </w:p>
    <w:p w14:paraId="4DC9ED42" w14:textId="77777777" w:rsidR="0049619B" w:rsidRPr="0049619B" w:rsidRDefault="0049619B" w:rsidP="002A6281">
      <w:pPr>
        <w:pStyle w:val="SingleTxtG"/>
        <w:numPr>
          <w:ilvl w:val="0"/>
          <w:numId w:val="21"/>
        </w:numPr>
        <w:ind w:left="1134" w:firstLine="0"/>
        <w:rPr>
          <w:lang w:val="en-ZA"/>
        </w:rPr>
      </w:pPr>
      <w:r w:rsidRPr="0049619B">
        <w:rPr>
          <w:lang w:val="en-ZA"/>
        </w:rPr>
        <w:t>Substantive equality is operationalised through legislations such as Promotion of Equality and Prevention of Unfair Discrimination Act (PEPUDA), 2000, Employment Equity Act (EEA), 1998, Broad-Based Black Economic Empowerment Act (BBBEE), 2003, among others.</w:t>
      </w:r>
    </w:p>
    <w:p w14:paraId="569FCF06" w14:textId="7669E165" w:rsidR="0049619B" w:rsidRPr="0049619B" w:rsidRDefault="00532791" w:rsidP="00532791">
      <w:pPr>
        <w:pStyle w:val="H1G"/>
        <w:rPr>
          <w:lang w:val="en-ZA"/>
        </w:rPr>
      </w:pPr>
      <w:bookmarkStart w:id="10" w:name="_Toc232855593"/>
      <w:r>
        <w:rPr>
          <w:lang w:val="en-ZA"/>
        </w:rPr>
        <w:tab/>
      </w:r>
      <w:r>
        <w:rPr>
          <w:lang w:val="en-ZA"/>
        </w:rPr>
        <w:tab/>
      </w:r>
      <w:r w:rsidR="0049619B" w:rsidRPr="0049619B">
        <w:rPr>
          <w:lang w:val="en-ZA"/>
        </w:rPr>
        <w:t xml:space="preserve">Article 2: </w:t>
      </w:r>
      <w:bookmarkStart w:id="11" w:name="_Hlk221009719"/>
      <w:r w:rsidR="0049619B" w:rsidRPr="0049619B">
        <w:rPr>
          <w:lang w:val="en-ZA"/>
        </w:rPr>
        <w:t>Duty of state and measures to eliminate discrimination</w:t>
      </w:r>
      <w:bookmarkEnd w:id="10"/>
    </w:p>
    <w:bookmarkEnd w:id="11"/>
    <w:p w14:paraId="4BD5EF0C" w14:textId="77777777" w:rsidR="0049619B" w:rsidRPr="0049619B" w:rsidRDefault="0049619B" w:rsidP="002A6281">
      <w:pPr>
        <w:pStyle w:val="SingleTxtG"/>
        <w:numPr>
          <w:ilvl w:val="0"/>
          <w:numId w:val="21"/>
        </w:numPr>
        <w:ind w:left="1134" w:firstLine="0"/>
        <w:rPr>
          <w:lang w:val="en-ZA"/>
        </w:rPr>
      </w:pPr>
      <w:r w:rsidRPr="0049619B">
        <w:rPr>
          <w:lang w:val="en-ZA"/>
        </w:rPr>
        <w:t>The South African Constitution protects all individuals from discrimination. Chapter 2 of the Constitution contains a Bill of Rights, where section 9 specifically confirms that everyone is equal before the law and has the right to equal protection and benefit of the law. Section 9 of the Constitution provides for the enactment of national legislation to prevent or prohibit unfair discrimination and to promote the achievement of equality; This implies the advancement, by special legal and other measures, of historically disadvantaged individuals, communities and social groups who were dispossessed of their land and resources, deprived of their human dignity and who continue to endure the consequences.</w:t>
      </w:r>
    </w:p>
    <w:p w14:paraId="69407F57" w14:textId="77777777" w:rsidR="0049619B" w:rsidRPr="0049619B" w:rsidRDefault="0049619B" w:rsidP="002A6281">
      <w:pPr>
        <w:pStyle w:val="SingleTxtG"/>
        <w:numPr>
          <w:ilvl w:val="0"/>
          <w:numId w:val="21"/>
        </w:numPr>
        <w:ind w:left="1134" w:firstLine="0"/>
        <w:rPr>
          <w:lang w:val="en-ZA"/>
        </w:rPr>
      </w:pPr>
      <w:r w:rsidRPr="0049619B">
        <w:rPr>
          <w:lang w:val="en-ZA"/>
        </w:rPr>
        <w:t>Sections 9(3) and 9(4) prohibit direct or indirect discrimination (policies or laws which, though neutral in their formulation, have a discriminatory impact on certain individuals or groups of individuals) on a host of grounds, such as  race, gender, sex, sexual orientation, pregnancy, marital status, ethnic or social origin, colour, age, disability, religion, conscience, belief, culture, language and birth. However, this list is by no means exhaustive and there is nothing to preclude discrimination on any additional ground that is not included within the ambit of Section 9(3).</w:t>
      </w:r>
    </w:p>
    <w:p w14:paraId="6A622098" w14:textId="77777777" w:rsidR="0049619B" w:rsidRPr="0049619B" w:rsidRDefault="0049619B" w:rsidP="002A6281">
      <w:pPr>
        <w:pStyle w:val="SingleTxtG"/>
        <w:numPr>
          <w:ilvl w:val="0"/>
          <w:numId w:val="21"/>
        </w:numPr>
        <w:ind w:left="1134" w:firstLine="0"/>
        <w:rPr>
          <w:lang w:val="en-ZA"/>
        </w:rPr>
      </w:pPr>
      <w:r w:rsidRPr="0049619B">
        <w:rPr>
          <w:lang w:val="en-ZA"/>
        </w:rPr>
        <w:t xml:space="preserve">The Republic of South Africa demonstrated the duty of the state to eliminate discrimination against women during the current reporting period by developing new legislations and strengthening existing legislations protecting women from violence and inequality, implementing interventions to promote and protect the rights of women in social, economic and decision making. </w:t>
      </w:r>
    </w:p>
    <w:p w14:paraId="1A9A223A" w14:textId="1CEBFDA5" w:rsidR="0049619B" w:rsidRPr="0049619B" w:rsidRDefault="00532791" w:rsidP="00532791">
      <w:pPr>
        <w:pStyle w:val="H1G"/>
      </w:pPr>
      <w:r>
        <w:tab/>
      </w:r>
      <w:r>
        <w:tab/>
      </w:r>
      <w:r w:rsidR="0049619B" w:rsidRPr="0049619B">
        <w:t xml:space="preserve">Legislative </w:t>
      </w:r>
      <w:r>
        <w:t>m</w:t>
      </w:r>
      <w:r w:rsidR="0049619B" w:rsidRPr="0049619B">
        <w:t xml:space="preserve">easures </w:t>
      </w:r>
    </w:p>
    <w:p w14:paraId="261FC298" w14:textId="77777777" w:rsidR="0049619B" w:rsidRPr="0049619B" w:rsidRDefault="0049619B" w:rsidP="002A6281">
      <w:pPr>
        <w:pStyle w:val="SingleTxtG"/>
        <w:numPr>
          <w:ilvl w:val="0"/>
          <w:numId w:val="21"/>
        </w:numPr>
        <w:ind w:left="1134" w:firstLine="0"/>
      </w:pPr>
      <w:r w:rsidRPr="0049619B">
        <w:t xml:space="preserve">The </w:t>
      </w:r>
      <w:r w:rsidRPr="00532791">
        <w:t>Promotion of Equality and Prevention of Unfair Discrimination Act, 2000 (PEPUDA or the Equality Act, Act No. 4 of 2000)</w:t>
      </w:r>
      <w:r w:rsidRPr="0049619B">
        <w:t xml:space="preserve"> is a comprehensive South African anti-discrimination law. It prohibits unfair discrimination by the government and by private organisations and individuals and forbids hate speech and harassment. </w:t>
      </w:r>
    </w:p>
    <w:p w14:paraId="2B790B8D" w14:textId="77777777" w:rsidR="0049619B" w:rsidRPr="0049619B" w:rsidRDefault="0049619B" w:rsidP="002A6281">
      <w:pPr>
        <w:pStyle w:val="SingleTxtG"/>
        <w:numPr>
          <w:ilvl w:val="0"/>
          <w:numId w:val="21"/>
        </w:numPr>
        <w:ind w:left="1134" w:firstLine="0"/>
      </w:pPr>
      <w:r w:rsidRPr="0049619B">
        <w:t xml:space="preserve">To promote equality and prevent unfair discrimination at workplace, government enacted the </w:t>
      </w:r>
      <w:r w:rsidRPr="00532791">
        <w:t>Employment Equity Act, 1998 (Act 55 of 1998).</w:t>
      </w:r>
      <w:r w:rsidRPr="0049619B">
        <w:t xml:space="preserve"> The Act prohibits discrimination based on various grounds, including gender, and mandates affirmative action to address past disadvantages experienced by designated groups, primarily women and previously disadvantaged racial groups. The Chapter on Unfair Discrimination provides that no person may discriminate against an employee on, among others, the grounds of sex, gender, family responsibility, and pregnancy and HIV status.  It prohibits testing of an employee’s HIV status unless permission is granted by the Labour Court. The definition of family responsibility includes same sex partnerships and partnerships outside of marriage, and the definition of pregnancy includes circumstances relating to termination of pregnancy and intended pregnancy. The Act states that harassment, including sexual harassment, is a form of unfair discrimination. The legislation provides a direct, legislated remedial action for sexual harassment. The Chapter on Affirmative Action expressly includes women as a designated group in respect of whom positive steps must be taken to ensure their equitable representation in the workforce and eradication of all barriers to equal participation and advancement in the workplace.</w:t>
      </w:r>
    </w:p>
    <w:p w14:paraId="5DBCDAE4" w14:textId="1FC38CD1" w:rsidR="0049619B" w:rsidRPr="00800085" w:rsidRDefault="0049619B" w:rsidP="0009658B">
      <w:pPr>
        <w:pStyle w:val="SingleTxtG"/>
        <w:numPr>
          <w:ilvl w:val="0"/>
          <w:numId w:val="21"/>
        </w:numPr>
        <w:ind w:left="1134" w:firstLine="0"/>
      </w:pPr>
      <w:r w:rsidRPr="00800085">
        <w:lastRenderedPageBreak/>
        <w:t>Basic Conditions of Employment Act, 1997 (Act 75 of 1997) regulates conditions in the workplace including hours of work and leave;  provides that an employee is entitled to at least four months maternity leave; ; three days of paternity leave ; Protection is provided for the health of pregnant women. , including  a Code of Good Practice on the Protection of Pregnant Employees during Pregnancy. These provisions fulfil the CEDAW obligation to provide special protection to women during pregnancy in types of work proved to be harmful to them</w:t>
      </w:r>
      <w:r w:rsidR="00BA2647">
        <w:t>;</w:t>
      </w:r>
    </w:p>
    <w:p w14:paraId="31263F49" w14:textId="3812C0F9" w:rsidR="0049619B" w:rsidRPr="00800085" w:rsidRDefault="0049619B" w:rsidP="0009658B">
      <w:pPr>
        <w:pStyle w:val="SingleTxtG"/>
        <w:numPr>
          <w:ilvl w:val="0"/>
          <w:numId w:val="21"/>
        </w:numPr>
        <w:ind w:left="1134" w:firstLine="0"/>
      </w:pPr>
      <w:r w:rsidRPr="00800085">
        <w:t>Prevention and combating of Hate Crimes and Hate speech Act No 16 of 2023 criminalizes hate crimes and hate speech and establishes measures to prevent and combat them. Its purpose is to give effect to the country's constitutional and international obligations regarding discrimination based on factors like race, religion, and sexual orientation. The Act defines hate speech and hate-crimes, sets out penalties, and includes provisions for enforcement and victim support</w:t>
      </w:r>
      <w:r w:rsidR="00BA2647">
        <w:t>;</w:t>
      </w:r>
    </w:p>
    <w:p w14:paraId="2356A0EC" w14:textId="60D9C1A2" w:rsidR="0049619B" w:rsidRPr="00800085" w:rsidRDefault="0049619B" w:rsidP="0009658B">
      <w:pPr>
        <w:pStyle w:val="SingleTxtG"/>
        <w:numPr>
          <w:ilvl w:val="0"/>
          <w:numId w:val="21"/>
        </w:numPr>
        <w:ind w:left="1134" w:firstLine="0"/>
      </w:pPr>
      <w:r w:rsidRPr="00800085">
        <w:t>Other instruments &amp; bodies — Labour Relations Act (labour remedies), Sexual Offences legislation (criminal law response to GBV), the Commission for Gender Equality (monitoring, investigations), and international commitments (e.g., CEDAW reporting).</w:t>
      </w:r>
    </w:p>
    <w:p w14:paraId="4D684990" w14:textId="77777777" w:rsidR="0049619B" w:rsidRPr="00BA2647" w:rsidRDefault="0049619B" w:rsidP="00BA2647">
      <w:pPr>
        <w:pStyle w:val="SingleTxtG"/>
        <w:numPr>
          <w:ilvl w:val="0"/>
          <w:numId w:val="21"/>
        </w:numPr>
        <w:ind w:left="1134" w:firstLine="0"/>
      </w:pPr>
      <w:r w:rsidRPr="00BA2647">
        <w:t xml:space="preserve">On the number and outcomes of cases in which provisions of the Convention have been invoked, applied or referred to annually in the court proceedings, the examples are provided in the table below: </w:t>
      </w:r>
    </w:p>
    <w:tbl>
      <w:tblPr>
        <w:tblStyle w:val="TableGrid"/>
        <w:tblW w:w="737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5"/>
        <w:gridCol w:w="3338"/>
        <w:gridCol w:w="3407"/>
      </w:tblGrid>
      <w:tr w:rsidR="0049619B" w:rsidRPr="0096441D" w14:paraId="7A22A0B4" w14:textId="77777777" w:rsidTr="0096441D">
        <w:trPr>
          <w:tblHeader/>
        </w:trPr>
        <w:tc>
          <w:tcPr>
            <w:tcW w:w="625" w:type="dxa"/>
            <w:tcBorders>
              <w:top w:val="single" w:sz="4" w:space="0" w:color="auto"/>
              <w:bottom w:val="single" w:sz="12" w:space="0" w:color="auto"/>
            </w:tcBorders>
            <w:vAlign w:val="bottom"/>
          </w:tcPr>
          <w:p w14:paraId="34DAEC42" w14:textId="77777777" w:rsidR="0049619B" w:rsidRPr="0096441D" w:rsidRDefault="0049619B" w:rsidP="0096441D">
            <w:pPr>
              <w:spacing w:before="80" w:after="80" w:line="200" w:lineRule="exact"/>
              <w:ind w:right="113"/>
              <w:rPr>
                <w:rFonts w:eastAsiaTheme="minorHAnsi"/>
                <w:i/>
                <w:sz w:val="16"/>
                <w:lang w:val="en-ZA"/>
              </w:rPr>
            </w:pPr>
            <w:r w:rsidRPr="0096441D">
              <w:rPr>
                <w:rFonts w:eastAsiaTheme="minorHAnsi"/>
                <w:i/>
                <w:sz w:val="16"/>
                <w:lang w:val="en-ZA"/>
              </w:rPr>
              <w:t xml:space="preserve">Year </w:t>
            </w:r>
          </w:p>
        </w:tc>
        <w:tc>
          <w:tcPr>
            <w:tcW w:w="3338" w:type="dxa"/>
            <w:tcBorders>
              <w:top w:val="single" w:sz="4" w:space="0" w:color="auto"/>
              <w:bottom w:val="single" w:sz="12" w:space="0" w:color="auto"/>
            </w:tcBorders>
            <w:vAlign w:val="bottom"/>
          </w:tcPr>
          <w:p w14:paraId="4DA67CBD" w14:textId="77777777" w:rsidR="0049619B" w:rsidRPr="0096441D" w:rsidRDefault="0049619B" w:rsidP="0096441D">
            <w:pPr>
              <w:spacing w:before="80" w:after="80" w:line="200" w:lineRule="exact"/>
              <w:ind w:right="113"/>
              <w:rPr>
                <w:rFonts w:eastAsiaTheme="minorHAnsi"/>
                <w:i/>
                <w:sz w:val="16"/>
                <w:lang w:val="en-ZA"/>
              </w:rPr>
            </w:pPr>
            <w:r w:rsidRPr="0096441D">
              <w:rPr>
                <w:rFonts w:eastAsiaTheme="minorHAnsi"/>
                <w:i/>
                <w:sz w:val="16"/>
                <w:lang w:val="en-ZA"/>
              </w:rPr>
              <w:t>Known Cases Involving CEDAW References</w:t>
            </w:r>
          </w:p>
        </w:tc>
        <w:tc>
          <w:tcPr>
            <w:tcW w:w="3407" w:type="dxa"/>
            <w:tcBorders>
              <w:top w:val="single" w:sz="4" w:space="0" w:color="auto"/>
              <w:bottom w:val="single" w:sz="12" w:space="0" w:color="auto"/>
            </w:tcBorders>
            <w:vAlign w:val="bottom"/>
          </w:tcPr>
          <w:p w14:paraId="070C338F" w14:textId="77777777" w:rsidR="0049619B" w:rsidRPr="0096441D" w:rsidRDefault="0049619B" w:rsidP="0096441D">
            <w:pPr>
              <w:spacing w:before="80" w:after="80" w:line="200" w:lineRule="exact"/>
              <w:ind w:right="113"/>
              <w:rPr>
                <w:rFonts w:eastAsiaTheme="minorHAnsi"/>
                <w:i/>
                <w:sz w:val="16"/>
                <w:lang w:val="en-ZA"/>
              </w:rPr>
            </w:pPr>
            <w:r w:rsidRPr="0096441D">
              <w:rPr>
                <w:rFonts w:eastAsiaTheme="minorHAnsi"/>
                <w:i/>
                <w:sz w:val="16"/>
                <w:lang w:val="en-ZA"/>
              </w:rPr>
              <w:t>Outcome</w:t>
            </w:r>
          </w:p>
        </w:tc>
      </w:tr>
      <w:tr w:rsidR="0096441D" w:rsidRPr="0096441D" w14:paraId="1337976C" w14:textId="77777777" w:rsidTr="0096441D">
        <w:trPr>
          <w:trHeight w:hRule="exact" w:val="113"/>
        </w:trPr>
        <w:tc>
          <w:tcPr>
            <w:tcW w:w="625" w:type="dxa"/>
            <w:tcBorders>
              <w:top w:val="single" w:sz="12" w:space="0" w:color="auto"/>
            </w:tcBorders>
          </w:tcPr>
          <w:p w14:paraId="02E93432" w14:textId="77777777" w:rsidR="0096441D" w:rsidRPr="0096441D" w:rsidRDefault="0096441D" w:rsidP="0096441D">
            <w:pPr>
              <w:spacing w:before="40" w:after="120"/>
              <w:ind w:right="113"/>
              <w:rPr>
                <w:rFonts w:eastAsiaTheme="minorHAnsi"/>
                <w:lang w:val="en-ZA"/>
              </w:rPr>
            </w:pPr>
          </w:p>
        </w:tc>
        <w:tc>
          <w:tcPr>
            <w:tcW w:w="3338" w:type="dxa"/>
            <w:tcBorders>
              <w:top w:val="single" w:sz="12" w:space="0" w:color="auto"/>
            </w:tcBorders>
          </w:tcPr>
          <w:p w14:paraId="47840C33" w14:textId="77777777" w:rsidR="0096441D" w:rsidRPr="0096441D" w:rsidRDefault="0096441D" w:rsidP="0096441D">
            <w:pPr>
              <w:spacing w:before="40" w:after="120"/>
              <w:ind w:right="113"/>
              <w:rPr>
                <w:rFonts w:eastAsiaTheme="minorHAnsi"/>
                <w:lang w:val="en-ZA"/>
              </w:rPr>
            </w:pPr>
          </w:p>
        </w:tc>
        <w:tc>
          <w:tcPr>
            <w:tcW w:w="3407" w:type="dxa"/>
            <w:tcBorders>
              <w:top w:val="single" w:sz="12" w:space="0" w:color="auto"/>
            </w:tcBorders>
          </w:tcPr>
          <w:p w14:paraId="2FD4D68C" w14:textId="77777777" w:rsidR="0096441D" w:rsidRPr="0096441D" w:rsidRDefault="0096441D" w:rsidP="0096441D">
            <w:pPr>
              <w:spacing w:before="40" w:after="120"/>
              <w:ind w:right="113"/>
              <w:rPr>
                <w:rFonts w:eastAsiaTheme="minorHAnsi"/>
                <w:lang w:val="en-ZA"/>
              </w:rPr>
            </w:pPr>
          </w:p>
        </w:tc>
      </w:tr>
      <w:tr w:rsidR="0049619B" w:rsidRPr="0096441D" w14:paraId="08136D93" w14:textId="77777777" w:rsidTr="0096441D">
        <w:tc>
          <w:tcPr>
            <w:tcW w:w="625" w:type="dxa"/>
          </w:tcPr>
          <w:p w14:paraId="1D7C1C98" w14:textId="77777777" w:rsidR="0049619B" w:rsidRPr="0096441D" w:rsidRDefault="0049619B" w:rsidP="0096441D">
            <w:pPr>
              <w:spacing w:before="40" w:after="120"/>
              <w:ind w:right="113"/>
              <w:rPr>
                <w:rFonts w:eastAsiaTheme="minorHAnsi"/>
                <w:lang w:val="en-ZA"/>
              </w:rPr>
            </w:pPr>
            <w:r w:rsidRPr="0096441D">
              <w:rPr>
                <w:rFonts w:eastAsiaTheme="minorHAnsi"/>
                <w:lang w:val="en-ZA"/>
              </w:rPr>
              <w:t>2022</w:t>
            </w:r>
          </w:p>
        </w:tc>
        <w:tc>
          <w:tcPr>
            <w:tcW w:w="3338" w:type="dxa"/>
          </w:tcPr>
          <w:p w14:paraId="3D61A8CB" w14:textId="77777777" w:rsidR="0049619B" w:rsidRPr="0096441D" w:rsidRDefault="0049619B" w:rsidP="0096441D">
            <w:pPr>
              <w:spacing w:before="40" w:after="120"/>
              <w:ind w:right="113"/>
              <w:rPr>
                <w:rFonts w:eastAsiaTheme="minorHAnsi"/>
                <w:lang w:val="en-ZA"/>
              </w:rPr>
            </w:pPr>
            <w:r w:rsidRPr="0096441D">
              <w:rPr>
                <w:rFonts w:eastAsiaTheme="minorHAnsi"/>
                <w:lang w:val="en-ZA"/>
              </w:rPr>
              <w:t>Women’s Legal Centre Trust v President (Muslim marriages) — CEDAW was analyzed and used to argue the state’s obligations regarding equality for women in marriage contexts.</w:t>
            </w:r>
          </w:p>
        </w:tc>
        <w:tc>
          <w:tcPr>
            <w:tcW w:w="3407" w:type="dxa"/>
          </w:tcPr>
          <w:p w14:paraId="669548B6" w14:textId="77777777" w:rsidR="0049619B" w:rsidRPr="0096441D" w:rsidRDefault="0049619B" w:rsidP="0096441D">
            <w:pPr>
              <w:spacing w:before="40" w:after="120"/>
              <w:ind w:right="113"/>
              <w:rPr>
                <w:rFonts w:eastAsiaTheme="minorHAnsi"/>
                <w:lang w:val="en-ZA"/>
              </w:rPr>
            </w:pPr>
            <w:r w:rsidRPr="0096441D">
              <w:rPr>
                <w:rFonts w:eastAsiaTheme="minorHAnsi"/>
                <w:lang w:val="en-ZA"/>
              </w:rPr>
              <w:t>The Constitutional Court confirmed Parliament’s obligation to address discriminatory gaps in marriage recognition</w:t>
            </w:r>
          </w:p>
        </w:tc>
      </w:tr>
      <w:tr w:rsidR="0049619B" w:rsidRPr="0096441D" w14:paraId="00119356" w14:textId="77777777" w:rsidTr="0096441D">
        <w:tc>
          <w:tcPr>
            <w:tcW w:w="625" w:type="dxa"/>
          </w:tcPr>
          <w:p w14:paraId="6C5F52C0" w14:textId="77777777" w:rsidR="0049619B" w:rsidRPr="0096441D" w:rsidRDefault="0049619B" w:rsidP="0096441D">
            <w:pPr>
              <w:spacing w:before="40" w:after="120"/>
              <w:ind w:right="113"/>
              <w:rPr>
                <w:rFonts w:eastAsiaTheme="minorHAnsi"/>
                <w:lang w:val="en-ZA"/>
              </w:rPr>
            </w:pPr>
            <w:r w:rsidRPr="0096441D">
              <w:rPr>
                <w:rFonts w:eastAsiaTheme="minorHAnsi"/>
                <w:lang w:val="en-ZA"/>
              </w:rPr>
              <w:t>2023</w:t>
            </w:r>
          </w:p>
        </w:tc>
        <w:tc>
          <w:tcPr>
            <w:tcW w:w="3338" w:type="dxa"/>
          </w:tcPr>
          <w:p w14:paraId="1FF6925A" w14:textId="77777777" w:rsidR="0049619B" w:rsidRPr="0096441D" w:rsidRDefault="0049619B" w:rsidP="0096441D">
            <w:pPr>
              <w:spacing w:before="40" w:after="120"/>
              <w:ind w:right="113"/>
              <w:rPr>
                <w:rFonts w:eastAsiaTheme="minorHAnsi"/>
                <w:lang w:val="en-ZA"/>
              </w:rPr>
            </w:pPr>
            <w:r w:rsidRPr="0096441D">
              <w:rPr>
                <w:rFonts w:eastAsiaTheme="minorHAnsi"/>
                <w:lang w:val="en-ZA"/>
              </w:rPr>
              <w:t>EB (born S) v ER (born B) and Others; KG v Minister of Home Affairs and Others [2023] ZACC 32 - Constitutional Court case involving property rights and discrimination in marriage dissolution.</w:t>
            </w:r>
          </w:p>
          <w:p w14:paraId="51595140" w14:textId="77777777" w:rsidR="0049619B" w:rsidRPr="0096441D" w:rsidRDefault="0049619B" w:rsidP="0096441D">
            <w:pPr>
              <w:spacing w:before="40" w:after="120"/>
              <w:ind w:right="113"/>
              <w:rPr>
                <w:rFonts w:eastAsiaTheme="minorHAnsi"/>
                <w:lang w:val="en-ZA"/>
              </w:rPr>
            </w:pPr>
            <w:r w:rsidRPr="0096441D">
              <w:rPr>
                <w:rFonts w:eastAsiaTheme="minorHAnsi"/>
                <w:lang w:val="en-ZA"/>
              </w:rPr>
              <w:t>CEDAW was cited by the Commission for Gender Equality as part of arguments about state obligations under Article 16</w:t>
            </w:r>
          </w:p>
        </w:tc>
        <w:tc>
          <w:tcPr>
            <w:tcW w:w="3407" w:type="dxa"/>
          </w:tcPr>
          <w:p w14:paraId="6A8ED3D2" w14:textId="77777777" w:rsidR="0049619B" w:rsidRPr="0096441D" w:rsidRDefault="0049619B" w:rsidP="0096441D">
            <w:pPr>
              <w:spacing w:before="40" w:after="120"/>
              <w:ind w:right="113"/>
              <w:rPr>
                <w:rFonts w:eastAsiaTheme="minorHAnsi"/>
                <w:lang w:val="en-ZA"/>
              </w:rPr>
            </w:pPr>
            <w:r w:rsidRPr="0096441D">
              <w:rPr>
                <w:rFonts w:eastAsiaTheme="minorHAnsi"/>
                <w:lang w:val="en-ZA"/>
              </w:rPr>
              <w:t>Constitutional Court confirmed discrimination; ordered legislative remedy</w:t>
            </w:r>
          </w:p>
          <w:p w14:paraId="04611BC0" w14:textId="77777777" w:rsidR="0049619B" w:rsidRPr="0096441D" w:rsidRDefault="0049619B" w:rsidP="0096441D">
            <w:pPr>
              <w:spacing w:before="40" w:after="120"/>
              <w:ind w:right="113"/>
              <w:rPr>
                <w:rFonts w:eastAsiaTheme="minorHAnsi"/>
                <w:lang w:val="en-ZA"/>
              </w:rPr>
            </w:pPr>
          </w:p>
          <w:p w14:paraId="1C723CEA" w14:textId="77777777" w:rsidR="0049619B" w:rsidRPr="0096441D" w:rsidRDefault="0049619B" w:rsidP="0096441D">
            <w:pPr>
              <w:spacing w:before="40" w:after="120"/>
              <w:ind w:right="113"/>
              <w:rPr>
                <w:rFonts w:eastAsiaTheme="minorHAnsi"/>
                <w:lang w:val="en-ZA"/>
              </w:rPr>
            </w:pPr>
          </w:p>
          <w:p w14:paraId="65979E45" w14:textId="77777777" w:rsidR="0049619B" w:rsidRPr="0096441D" w:rsidRDefault="0049619B" w:rsidP="0096441D">
            <w:pPr>
              <w:spacing w:before="40" w:after="120"/>
              <w:ind w:right="113"/>
              <w:rPr>
                <w:rFonts w:eastAsiaTheme="minorHAnsi"/>
                <w:lang w:val="en-ZA"/>
              </w:rPr>
            </w:pPr>
          </w:p>
          <w:p w14:paraId="049F9EED" w14:textId="77777777" w:rsidR="0049619B" w:rsidRPr="0096441D" w:rsidRDefault="0049619B" w:rsidP="0096441D">
            <w:pPr>
              <w:spacing w:before="40" w:after="120"/>
              <w:ind w:right="113"/>
              <w:rPr>
                <w:rFonts w:eastAsiaTheme="minorHAnsi"/>
                <w:lang w:val="en-ZA"/>
              </w:rPr>
            </w:pPr>
          </w:p>
          <w:p w14:paraId="7AA0A61D" w14:textId="77777777" w:rsidR="0049619B" w:rsidRPr="0096441D" w:rsidRDefault="0049619B" w:rsidP="0096441D">
            <w:pPr>
              <w:spacing w:before="40" w:after="120"/>
              <w:ind w:right="113"/>
              <w:rPr>
                <w:rFonts w:eastAsiaTheme="minorHAnsi"/>
                <w:lang w:val="en-ZA"/>
              </w:rPr>
            </w:pPr>
          </w:p>
        </w:tc>
      </w:tr>
      <w:tr w:rsidR="0049619B" w:rsidRPr="0096441D" w14:paraId="73173138" w14:textId="77777777" w:rsidTr="0096441D">
        <w:tc>
          <w:tcPr>
            <w:tcW w:w="625" w:type="dxa"/>
            <w:tcBorders>
              <w:bottom w:val="single" w:sz="12" w:space="0" w:color="auto"/>
            </w:tcBorders>
          </w:tcPr>
          <w:p w14:paraId="3D4DF3D4" w14:textId="77777777" w:rsidR="0049619B" w:rsidRPr="0096441D" w:rsidRDefault="0049619B" w:rsidP="0096441D">
            <w:pPr>
              <w:spacing w:before="40" w:after="120"/>
              <w:ind w:right="113"/>
              <w:rPr>
                <w:rFonts w:eastAsiaTheme="minorHAnsi"/>
                <w:lang w:val="en-ZA"/>
              </w:rPr>
            </w:pPr>
            <w:r w:rsidRPr="0096441D">
              <w:rPr>
                <w:rFonts w:eastAsiaTheme="minorHAnsi"/>
                <w:lang w:val="en-ZA"/>
              </w:rPr>
              <w:t>2025</w:t>
            </w:r>
          </w:p>
        </w:tc>
        <w:tc>
          <w:tcPr>
            <w:tcW w:w="3338" w:type="dxa"/>
            <w:tcBorders>
              <w:bottom w:val="single" w:sz="12" w:space="0" w:color="auto"/>
            </w:tcBorders>
          </w:tcPr>
          <w:p w14:paraId="728FDE96" w14:textId="77777777" w:rsidR="0049619B" w:rsidRPr="0096441D" w:rsidRDefault="0049619B" w:rsidP="0096441D">
            <w:pPr>
              <w:spacing w:before="40" w:after="120"/>
              <w:ind w:right="113"/>
              <w:rPr>
                <w:rFonts w:eastAsiaTheme="minorHAnsi"/>
                <w:lang w:val="en-ZA"/>
              </w:rPr>
            </w:pPr>
            <w:r w:rsidRPr="0096441D">
              <w:rPr>
                <w:rFonts w:eastAsiaTheme="minorHAnsi"/>
                <w:lang w:val="en-ZA"/>
              </w:rPr>
              <w:t>Zondi v S (AR333/2024) [2025] ZAKZPHC 108 (24 October 2025): The court explicitly referenced South Africa's international obligations under the Convention on the Elimination of All Forms of Discrimination against Women (CEDAW) in the context of legislative efforts to combat gender-based violence (GBV).</w:t>
            </w:r>
          </w:p>
          <w:p w14:paraId="145B0E6A" w14:textId="77777777" w:rsidR="0049619B" w:rsidRPr="0096441D" w:rsidRDefault="0049619B" w:rsidP="0096441D">
            <w:pPr>
              <w:spacing w:before="40" w:after="120"/>
              <w:ind w:right="113"/>
              <w:rPr>
                <w:rFonts w:eastAsiaTheme="minorHAnsi"/>
                <w:lang w:val="en-ZA"/>
              </w:rPr>
            </w:pPr>
          </w:p>
          <w:p w14:paraId="0444BDF8" w14:textId="77777777" w:rsidR="0049619B" w:rsidRPr="0096441D" w:rsidRDefault="0049619B" w:rsidP="0096441D">
            <w:pPr>
              <w:spacing w:before="40" w:after="120"/>
              <w:ind w:right="113"/>
              <w:rPr>
                <w:rFonts w:eastAsiaTheme="minorHAnsi"/>
                <w:lang w:val="en-ZA"/>
              </w:rPr>
            </w:pPr>
          </w:p>
          <w:p w14:paraId="5C38952E" w14:textId="77777777" w:rsidR="0049619B" w:rsidRPr="0096441D" w:rsidRDefault="0049619B" w:rsidP="0096441D">
            <w:pPr>
              <w:spacing w:before="40" w:after="120"/>
              <w:ind w:right="113"/>
              <w:rPr>
                <w:rFonts w:eastAsiaTheme="minorHAnsi"/>
                <w:lang w:val="en-ZA"/>
              </w:rPr>
            </w:pPr>
          </w:p>
          <w:p w14:paraId="01BFE77F" w14:textId="77777777" w:rsidR="0049619B" w:rsidRPr="0096441D" w:rsidRDefault="0049619B" w:rsidP="0096441D">
            <w:pPr>
              <w:spacing w:before="40" w:after="120"/>
              <w:ind w:right="113"/>
              <w:rPr>
                <w:rFonts w:eastAsiaTheme="minorHAnsi"/>
                <w:lang w:val="en-ZA"/>
              </w:rPr>
            </w:pPr>
          </w:p>
          <w:p w14:paraId="3A20A830" w14:textId="77777777" w:rsidR="0049619B" w:rsidRPr="0096441D" w:rsidRDefault="0049619B" w:rsidP="0096441D">
            <w:pPr>
              <w:spacing w:before="40" w:after="120"/>
              <w:ind w:right="113"/>
              <w:rPr>
                <w:rFonts w:eastAsiaTheme="minorHAnsi"/>
                <w:lang w:val="en-ZA"/>
              </w:rPr>
            </w:pPr>
          </w:p>
        </w:tc>
        <w:tc>
          <w:tcPr>
            <w:tcW w:w="3407" w:type="dxa"/>
            <w:tcBorders>
              <w:bottom w:val="single" w:sz="12" w:space="0" w:color="auto"/>
            </w:tcBorders>
          </w:tcPr>
          <w:p w14:paraId="11E103FF" w14:textId="77777777" w:rsidR="0049619B" w:rsidRPr="0096441D" w:rsidRDefault="0049619B" w:rsidP="0096441D">
            <w:pPr>
              <w:spacing w:before="40" w:after="120"/>
              <w:ind w:right="113"/>
              <w:rPr>
                <w:rFonts w:eastAsiaTheme="minorHAnsi"/>
                <w:lang w:val="en-ZA"/>
              </w:rPr>
            </w:pPr>
            <w:r w:rsidRPr="0096441D">
              <w:rPr>
                <w:rFonts w:eastAsiaTheme="minorHAnsi"/>
                <w:lang w:val="en-ZA"/>
              </w:rPr>
              <w:t xml:space="preserve">The High Court dismissed an appeal against a sentence for domestic violence offenses, specifically assault with intent to do grievous bodily harm and contravention of a protection order. </w:t>
            </w:r>
          </w:p>
          <w:p w14:paraId="00630DDB" w14:textId="77777777" w:rsidR="0049619B" w:rsidRPr="0096441D" w:rsidRDefault="0049619B" w:rsidP="0096441D">
            <w:pPr>
              <w:spacing w:before="40" w:after="120"/>
              <w:ind w:right="113"/>
              <w:rPr>
                <w:rFonts w:eastAsiaTheme="minorHAnsi"/>
                <w:lang w:val="en-ZA"/>
              </w:rPr>
            </w:pPr>
            <w:r w:rsidRPr="0096441D">
              <w:rPr>
                <w:rFonts w:eastAsiaTheme="minorHAnsi"/>
                <w:lang w:val="en-ZA"/>
              </w:rPr>
              <w:t xml:space="preserve">The appellant in Zondi v S appealed the severity of the sentence he received from the Regional Court for domestic violence charges, including assault with intent to do grievous bodily harm. The High Court emphasized the commitment within South African law to address domestic and gender-based violence. The court noted that the Domestic Violence Act considers the state's international obligations to end violence </w:t>
            </w:r>
            <w:r w:rsidRPr="0096441D">
              <w:rPr>
                <w:rFonts w:eastAsiaTheme="minorHAnsi"/>
                <w:lang w:val="en-ZA"/>
              </w:rPr>
              <w:lastRenderedPageBreak/>
              <w:t>against women and children, including those under CEDAW.</w:t>
            </w:r>
          </w:p>
        </w:tc>
      </w:tr>
    </w:tbl>
    <w:p w14:paraId="288F3A1A" w14:textId="2015D4E9" w:rsidR="0049619B" w:rsidRPr="0049619B" w:rsidRDefault="00556480" w:rsidP="00556480">
      <w:pPr>
        <w:pStyle w:val="H1G"/>
        <w:rPr>
          <w:lang w:val="en-ZA"/>
        </w:rPr>
      </w:pPr>
      <w:r>
        <w:rPr>
          <w:lang w:val="en-ZA"/>
        </w:rPr>
        <w:lastRenderedPageBreak/>
        <w:tab/>
      </w:r>
      <w:r>
        <w:rPr>
          <w:lang w:val="en-ZA"/>
        </w:rPr>
        <w:tab/>
      </w:r>
      <w:r w:rsidR="0049619B" w:rsidRPr="0049619B">
        <w:rPr>
          <w:lang w:val="en-ZA"/>
        </w:rPr>
        <w:t xml:space="preserve">Women’s </w:t>
      </w:r>
      <w:r>
        <w:rPr>
          <w:lang w:val="en-ZA"/>
        </w:rPr>
        <w:t>a</w:t>
      </w:r>
      <w:r w:rsidR="0049619B" w:rsidRPr="0049619B">
        <w:rPr>
          <w:lang w:val="en-ZA"/>
        </w:rPr>
        <w:t xml:space="preserve">ccess to </w:t>
      </w:r>
      <w:r>
        <w:rPr>
          <w:lang w:val="en-ZA"/>
        </w:rPr>
        <w:t>j</w:t>
      </w:r>
      <w:r w:rsidR="0049619B" w:rsidRPr="0049619B">
        <w:rPr>
          <w:lang w:val="en-ZA"/>
        </w:rPr>
        <w:t xml:space="preserve">ustice </w:t>
      </w:r>
    </w:p>
    <w:p w14:paraId="19B4AE25" w14:textId="77777777" w:rsidR="0049619B" w:rsidRPr="0049619B" w:rsidRDefault="0049619B" w:rsidP="00FD7CC0">
      <w:pPr>
        <w:pStyle w:val="SingleTxtG"/>
        <w:numPr>
          <w:ilvl w:val="0"/>
          <w:numId w:val="21"/>
        </w:numPr>
        <w:ind w:left="1134" w:firstLine="0"/>
        <w:rPr>
          <w:lang w:val="en-ZA"/>
        </w:rPr>
      </w:pPr>
      <w:r w:rsidRPr="0049619B">
        <w:rPr>
          <w:lang w:val="en-ZA"/>
        </w:rPr>
        <w:t>South Africa continued to strengthen measures aimed at enhancing women’s access to justice, with particular emphasis on addressing gender-based violence and femicide, domestic violence, and sexual offences, undertaken through legislative reform, institutional strengthening and the implementation of the National Strategic Plan on Gender-Based Violence and Femicide (2020–2030).</w:t>
      </w:r>
    </w:p>
    <w:p w14:paraId="43898BD8" w14:textId="77777777" w:rsidR="0049619B" w:rsidRPr="0049619B" w:rsidRDefault="0049619B" w:rsidP="00FD7CC0">
      <w:pPr>
        <w:pStyle w:val="SingleTxtG"/>
        <w:numPr>
          <w:ilvl w:val="0"/>
          <w:numId w:val="21"/>
        </w:numPr>
        <w:ind w:left="1134" w:firstLine="0"/>
        <w:rPr>
          <w:lang w:val="en-ZA"/>
        </w:rPr>
      </w:pPr>
      <w:r w:rsidRPr="0049619B">
        <w:rPr>
          <w:lang w:val="en-ZA"/>
        </w:rPr>
        <w:t xml:space="preserve">Key measures included the strengthening of specialised justice mechanisms and survivor-centred services, including Thuthuzela Care Centres, Sexual Offences Courts, and integrated support services intended to improve reporting, case management, prosecution and victim support. </w:t>
      </w:r>
    </w:p>
    <w:p w14:paraId="0EC6C579" w14:textId="77777777" w:rsidR="0049619B" w:rsidRPr="0049619B" w:rsidRDefault="0049619B" w:rsidP="00FD7CC0">
      <w:pPr>
        <w:pStyle w:val="SingleTxtG"/>
        <w:numPr>
          <w:ilvl w:val="0"/>
          <w:numId w:val="21"/>
        </w:numPr>
        <w:ind w:left="1134" w:firstLine="0"/>
        <w:rPr>
          <w:lang w:val="en-ZA"/>
        </w:rPr>
      </w:pPr>
      <w:r w:rsidRPr="0049619B">
        <w:rPr>
          <w:lang w:val="en-ZA"/>
        </w:rPr>
        <w:t xml:space="preserve">At the end of the 2024/25 reporting period, there were 65 Thuthuzela Care Centres (TCCs). These centres are a critical part of South Africa’s anti-rape strategy, aiming to reduce secondary victimisation and to build a case ready for successful prosecution as part of the government's commitment to integrated service delivery. </w:t>
      </w:r>
    </w:p>
    <w:p w14:paraId="7A926AED" w14:textId="77777777" w:rsidR="0049619B" w:rsidRPr="0049619B" w:rsidRDefault="0049619B" w:rsidP="00FD7CC0">
      <w:pPr>
        <w:pStyle w:val="SingleTxtG"/>
        <w:numPr>
          <w:ilvl w:val="0"/>
          <w:numId w:val="21"/>
        </w:numPr>
        <w:ind w:left="1134" w:firstLine="0"/>
        <w:rPr>
          <w:lang w:val="en-ZA"/>
        </w:rPr>
      </w:pPr>
      <w:r w:rsidRPr="0049619B">
        <w:rPr>
          <w:lang w:val="en-ZA"/>
        </w:rPr>
        <w:t>The online application for protection orders, especially for domestic violence, is a significant contribution to reducing secondary victimisation and facilitating access to justice.</w:t>
      </w:r>
    </w:p>
    <w:p w14:paraId="5E1CFA3C" w14:textId="0095C3B1" w:rsidR="0049619B" w:rsidRPr="00556480" w:rsidRDefault="0049619B" w:rsidP="00FD7CC0">
      <w:pPr>
        <w:pStyle w:val="SingleTxtG"/>
        <w:numPr>
          <w:ilvl w:val="0"/>
          <w:numId w:val="21"/>
        </w:numPr>
        <w:ind w:left="1134" w:firstLine="0"/>
        <w:rPr>
          <w:lang w:val="en-ZA"/>
        </w:rPr>
      </w:pPr>
      <w:r w:rsidRPr="0049619B">
        <w:rPr>
          <w:lang w:val="en-ZA"/>
        </w:rPr>
        <w:t xml:space="preserve">Efforts to combat sexual violence, against women and children include the reintroduction of the Sexual Offences Courts in the country with the aim to (i) reduce secondary victimisation often suffered by the victims when they engage with the criminal justice system, particularly the court system; (ii) reduce the turnaround time in the finalisation of these cases; and (iii) improve the conviction rate in sexual offence cases. As of April 2022, </w:t>
      </w:r>
      <w:r w:rsidRPr="00556480">
        <w:rPr>
          <w:lang w:val="en-ZA"/>
        </w:rPr>
        <w:t>116 regional courts were upgraded to Sexual Offences Courts</w:t>
      </w:r>
      <w:r w:rsidR="00556480">
        <w:rPr>
          <w:lang w:val="en-ZA"/>
        </w:rPr>
        <w:t>.</w:t>
      </w:r>
    </w:p>
    <w:p w14:paraId="18B8BE9E" w14:textId="77777777" w:rsidR="0049619B" w:rsidRPr="00556480" w:rsidRDefault="0049619B" w:rsidP="00FD7CC0">
      <w:pPr>
        <w:pStyle w:val="SingleTxtG"/>
        <w:numPr>
          <w:ilvl w:val="0"/>
          <w:numId w:val="21"/>
        </w:numPr>
        <w:ind w:left="1134" w:firstLine="0"/>
        <w:rPr>
          <w:lang w:val="en-ZA"/>
        </w:rPr>
      </w:pPr>
      <w:r w:rsidRPr="0049619B">
        <w:rPr>
          <w:lang w:val="en-ZA"/>
        </w:rPr>
        <w:t xml:space="preserve">To increase access to justice for persons with disabilities, the Department of Justice developed Minimum Standards for Reasonable Accommodations to Access Justice for Court Users with Disabilities and upgraded lower courts into disability-centric courts that provide physical and language accessibility, as well as emotional support. </w:t>
      </w:r>
      <w:r w:rsidRPr="00556480">
        <w:rPr>
          <w:lang w:val="en-ZA"/>
        </w:rPr>
        <w:t xml:space="preserve">A total of 287 courts were upgraded in line with the Minimum Standards to provide reasonable accommodations and disability-centric support services between 2021/2022 and 2024/2025 financial year. This include sign language interpretation (upon request), private testifying services, private waiting room service, a dedicated space for a guide dog, dog bed/ mat, dog water bowl, information products accessible to different types of disability (e.g. braille, large print information booklets, audio-visual and audio information products), court preparation service, intermediary service, witness fee service, ramps and wheelchairs for physical accessibility. This has increased accessibility for women and girls with disabilities. </w:t>
      </w:r>
    </w:p>
    <w:p w14:paraId="02757FAE" w14:textId="77777777" w:rsidR="0049619B" w:rsidRPr="0049619B" w:rsidRDefault="0049619B" w:rsidP="00FD7CC0">
      <w:pPr>
        <w:pStyle w:val="SingleTxtG"/>
        <w:numPr>
          <w:ilvl w:val="0"/>
          <w:numId w:val="21"/>
        </w:numPr>
        <w:ind w:left="1134" w:firstLine="0"/>
        <w:rPr>
          <w:lang w:val="en-ZA"/>
        </w:rPr>
      </w:pPr>
      <w:r w:rsidRPr="0049619B">
        <w:rPr>
          <w:lang w:val="en-ZA"/>
        </w:rPr>
        <w:t>Despite the reported progress and developments, implementation gaps, capacity constraints and service delivery challenges continued to impede the full and effective realisation of women’s rights in practice especially in resource-poor contexts, such as rural areas. These include delays in the investigation and finalisation of cases, inconsistent implementation and enforcement of protection measures, limited access to legal, psychosocial and court support services, particularly in rural, poor and underserved communities. The absence of fully equipped GBV desks, specialised services (especially for people with disabilities), and safe access for LGBTQIA+ persons at several points remains a challenge and widens the gap. Accounts of secondary victimisation have also been noted.</w:t>
      </w:r>
    </w:p>
    <w:p w14:paraId="70AFE63D" w14:textId="77777777" w:rsidR="0049619B" w:rsidRPr="0049619B" w:rsidRDefault="0049619B" w:rsidP="00FD7CC0">
      <w:pPr>
        <w:pStyle w:val="SingleTxtG"/>
        <w:numPr>
          <w:ilvl w:val="0"/>
          <w:numId w:val="21"/>
        </w:numPr>
        <w:ind w:left="1134" w:firstLine="0"/>
        <w:rPr>
          <w:i/>
          <w:iCs/>
          <w:lang w:val="en-ZA"/>
        </w:rPr>
      </w:pPr>
      <w:r w:rsidRPr="0049619B">
        <w:rPr>
          <w:lang w:val="en-ZA"/>
        </w:rPr>
        <w:t xml:space="preserve">In </w:t>
      </w:r>
      <w:r w:rsidRPr="00556480">
        <w:rPr>
          <w:lang w:val="en-ZA"/>
        </w:rPr>
        <w:t>response to recommendation 22 (a)</w:t>
      </w:r>
      <w:r w:rsidRPr="0049619B">
        <w:rPr>
          <w:lang w:val="en-ZA"/>
        </w:rPr>
        <w:t xml:space="preserve"> on ensuring that Legal Aid South Africa has adequate human, technical and financial resources to deliver on its mandate, Legal Aid SA has a national footprint of 64 Local Offices and 64 Satellite Offices managed by six Provincial Offices. The Local Offices and Satellite Offices provide court coverage of the criminal courts nationally. The National Operations Department, headed by the Chief </w:t>
      </w:r>
      <w:r w:rsidRPr="0049619B">
        <w:rPr>
          <w:lang w:val="en-ZA"/>
        </w:rPr>
        <w:lastRenderedPageBreak/>
        <w:t>Operations Officer, is responsible for the implementation and oversight of the Act within Legal Aid SA.</w:t>
      </w:r>
    </w:p>
    <w:p w14:paraId="27209C90" w14:textId="77777777" w:rsidR="0049619B" w:rsidRPr="0049619B" w:rsidRDefault="0049619B" w:rsidP="00FD7CC0">
      <w:pPr>
        <w:pStyle w:val="SingleTxtG"/>
        <w:numPr>
          <w:ilvl w:val="0"/>
          <w:numId w:val="21"/>
        </w:numPr>
        <w:ind w:left="1134" w:firstLine="0"/>
        <w:rPr>
          <w:i/>
          <w:iCs/>
          <w:lang w:val="en-ZA"/>
        </w:rPr>
      </w:pPr>
      <w:r w:rsidRPr="00556480">
        <w:rPr>
          <w:lang w:val="en-ZA"/>
        </w:rPr>
        <w:t>On financial resources, Legal Aid South Africa faces financial constraints due to mandated annual 10% budget cut</w:t>
      </w:r>
      <w:r w:rsidRPr="0049619B">
        <w:rPr>
          <w:lang w:val="en-ZA"/>
        </w:rPr>
        <w:t xml:space="preserve"> which has resulted in the reduction of budget for the MTEF period 2024/2025 – 2025/2027. </w:t>
      </w:r>
    </w:p>
    <w:p w14:paraId="2923082C"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terms </w:t>
      </w:r>
      <w:r w:rsidRPr="00556480">
        <w:rPr>
          <w:lang w:val="en-ZA"/>
        </w:rPr>
        <w:t>of human resources,</w:t>
      </w:r>
      <w:r w:rsidRPr="0049619B">
        <w:rPr>
          <w:lang w:val="en-ZA"/>
        </w:rPr>
        <w:t xml:space="preserve"> Legal Aid SA renders legal representation at State expense, where substantial injustice would otherwise result. The Entity’s Planned Court Coverage Plan ensures that Legal Practitioners are available at all courts to ensure that all accused persons who qualify for assistance in legal representation for sexual offence matters can access legal representation. Experienced Legal Practitioners with at least five years of post-admission experience are assigned to courts where sexual offence matters are adjudicated. Legal Aid SA covers all identified Sexual Offences Courts on a ‘practitioner per court’ model.</w:t>
      </w:r>
    </w:p>
    <w:p w14:paraId="3FFD3AE1" w14:textId="77777777" w:rsidR="0049619B" w:rsidRPr="0049619B" w:rsidRDefault="0049619B" w:rsidP="00FD7CC0">
      <w:pPr>
        <w:pStyle w:val="SingleTxtG"/>
        <w:numPr>
          <w:ilvl w:val="0"/>
          <w:numId w:val="21"/>
        </w:numPr>
        <w:ind w:left="1134" w:firstLine="0"/>
        <w:rPr>
          <w:lang w:val="en-ZA"/>
        </w:rPr>
      </w:pPr>
      <w:r w:rsidRPr="0049619B">
        <w:rPr>
          <w:lang w:val="en-ZA"/>
        </w:rPr>
        <w:t xml:space="preserve">There has been increase in the number of sexual offence cases handled by Legal Aid South Africa from 24 549 cases in 2021/2022 reporting period to 26 311 cases in 2024/2025 reporting period. </w:t>
      </w:r>
    </w:p>
    <w:p w14:paraId="5AE505B2" w14:textId="6C490D6B" w:rsidR="0049619B" w:rsidRPr="0049619B" w:rsidRDefault="00556480" w:rsidP="00556480">
      <w:pPr>
        <w:pStyle w:val="H1G"/>
        <w:rPr>
          <w:lang w:val="en-ZA"/>
        </w:rPr>
      </w:pPr>
      <w:bookmarkStart w:id="12" w:name="_Toc232855594"/>
      <w:r>
        <w:rPr>
          <w:lang w:val="en-ZA"/>
        </w:rPr>
        <w:tab/>
      </w:r>
      <w:r>
        <w:rPr>
          <w:lang w:val="en-ZA"/>
        </w:rPr>
        <w:tab/>
      </w:r>
      <w:r w:rsidR="0049619B" w:rsidRPr="0049619B">
        <w:rPr>
          <w:lang w:val="en-ZA"/>
        </w:rPr>
        <w:t xml:space="preserve">Article 3 </w:t>
      </w:r>
      <w:bookmarkStart w:id="13" w:name="_Hlk221011237"/>
      <w:r w:rsidR="0049619B" w:rsidRPr="0049619B">
        <w:rPr>
          <w:lang w:val="en-ZA"/>
        </w:rPr>
        <w:t xml:space="preserve">- Equality - </w:t>
      </w:r>
      <w:r>
        <w:rPr>
          <w:lang w:val="en-ZA"/>
        </w:rPr>
        <w:t>G</w:t>
      </w:r>
      <w:r w:rsidRPr="0049619B">
        <w:rPr>
          <w:lang w:val="en-ZA"/>
        </w:rPr>
        <w:t>uarantee of basic human rights and fundamental freedoms</w:t>
      </w:r>
      <w:bookmarkEnd w:id="12"/>
      <w:bookmarkEnd w:id="13"/>
    </w:p>
    <w:p w14:paraId="1F1870FB" w14:textId="77777777" w:rsidR="0049619B" w:rsidRPr="0049619B" w:rsidRDefault="0049619B" w:rsidP="00FD7CC0">
      <w:pPr>
        <w:pStyle w:val="SingleTxtG"/>
        <w:numPr>
          <w:ilvl w:val="0"/>
          <w:numId w:val="21"/>
        </w:numPr>
        <w:ind w:left="1134" w:firstLine="0"/>
        <w:rPr>
          <w:lang w:val="en-ZA"/>
        </w:rPr>
      </w:pPr>
      <w:r w:rsidRPr="0049619B">
        <w:rPr>
          <w:lang w:val="en-ZA"/>
        </w:rPr>
        <w:t xml:space="preserve"> While several legislations have been highlighted in the previous country Periodic reports, the following significant gender legislation and frameworks were introduced during the current reporting period, most notably related to addressing the scourge of gender-based violence (GBV) and reinforcing the existing national policy framework including:</w:t>
      </w:r>
    </w:p>
    <w:p w14:paraId="07B31591" w14:textId="19841BC5" w:rsidR="0049619B" w:rsidRPr="00217A2F" w:rsidRDefault="00217A2F" w:rsidP="00217A2F">
      <w:pPr>
        <w:pStyle w:val="SingleTxtG"/>
      </w:pPr>
      <w:r>
        <w:tab/>
        <w:t>(a)</w:t>
      </w:r>
      <w:r>
        <w:tab/>
      </w:r>
      <w:r w:rsidR="0049619B" w:rsidRPr="00217A2F">
        <w:t>The Gender Responsive Planning, Budgeting, Monitoring, Evaluation and Auditing Framework (GRPBMEA), 2019. The framework was approved by Cabinet in 2019 and sets out the country’s approach to mainstreaming gender across the public policy cycle</w:t>
      </w:r>
      <w:r>
        <w:t>;</w:t>
      </w:r>
      <w:r w:rsidR="0049619B" w:rsidRPr="00217A2F">
        <w:t xml:space="preserve"> </w:t>
      </w:r>
    </w:p>
    <w:p w14:paraId="7C4F20FB" w14:textId="3A723385" w:rsidR="0049619B" w:rsidRPr="00217A2F" w:rsidRDefault="00217A2F" w:rsidP="00217A2F">
      <w:pPr>
        <w:pStyle w:val="SingleTxtG"/>
      </w:pPr>
      <w:r>
        <w:tab/>
        <w:t>(b)</w:t>
      </w:r>
      <w:r>
        <w:tab/>
      </w:r>
      <w:r w:rsidR="0049619B" w:rsidRPr="00217A2F">
        <w:t>National Strategic Plan on Gender-Based Violence and Femicide (NSP on GBVF): This is a comprehensive, multi-sectoral national framework for tackling all forms of violence and abuse against women and children. Since its adoption in 2020, several new interventions have been implemented including: (i) extensive legal reform; (ii) support for survivors through the provision of evidence kits at police stations; (iii) psychological and social services; (iv) the establishment of a GBVF Response Fund; (v) support for Thuthuzela and Khuseleka Care Centres which provide vital services for GBV survivors; and (vi)  dedicated financial resources to the implementation of the six pillars of the plan, including the economic empowerment of women</w:t>
      </w:r>
      <w:r>
        <w:t>;</w:t>
      </w:r>
    </w:p>
    <w:p w14:paraId="02B13E10" w14:textId="27589391" w:rsidR="0049619B" w:rsidRPr="00217A2F" w:rsidRDefault="00217A2F" w:rsidP="00217A2F">
      <w:pPr>
        <w:pStyle w:val="SingleTxtG"/>
      </w:pPr>
      <w:r>
        <w:tab/>
        <w:t>(c)</w:t>
      </w:r>
      <w:r>
        <w:tab/>
      </w:r>
      <w:r w:rsidR="0049619B" w:rsidRPr="00217A2F">
        <w:t>National Council on Gender-Based Violence and Femicide Act, 9 of 2024 was enacted in May 2024 to provide a statutory framework for establishing the National Council on Gender-Based Violence and Femicide (NCGBVF). The Council is tasked with providing strategic leadership and overseeing the implementation of the NSP on GBVF</w:t>
      </w:r>
      <w:r>
        <w:t>;</w:t>
      </w:r>
    </w:p>
    <w:p w14:paraId="64A6AF79" w14:textId="46C1E800" w:rsidR="0049619B" w:rsidRPr="00217A2F" w:rsidRDefault="00217A2F" w:rsidP="00217A2F">
      <w:pPr>
        <w:pStyle w:val="SingleTxtG"/>
      </w:pPr>
      <w:r>
        <w:tab/>
        <w:t>(d)</w:t>
      </w:r>
      <w:r>
        <w:tab/>
      </w:r>
      <w:r w:rsidR="0049619B" w:rsidRPr="00217A2F">
        <w:t>Criminal Law (Sexual Offences and Related Matters) Amendment Act (Amendments): Various amendments have been made to existing laws, including the Criminal Law (Sexual Offences and Related Matters) Amendment Act Amendment Act 13 of 2022, The Criminal and Related Matters Amendment Act 12 of 2022, and The Domestic Violence Amendment Act 14 of 2022, to enhance victim protection, improve court processes, and ensure stricter sentencing for perpetrators of GBV</w:t>
      </w:r>
      <w:r>
        <w:t>;</w:t>
      </w:r>
    </w:p>
    <w:p w14:paraId="69A68F9F" w14:textId="78EEF994" w:rsidR="0049619B" w:rsidRPr="00217A2F" w:rsidRDefault="00217A2F" w:rsidP="00217A2F">
      <w:pPr>
        <w:pStyle w:val="SingleTxtG"/>
      </w:pPr>
      <w:r>
        <w:tab/>
        <w:t>(e)</w:t>
      </w:r>
      <w:r>
        <w:tab/>
      </w:r>
      <w:r w:rsidR="0049619B" w:rsidRPr="00217A2F">
        <w:t>Dedicated Gender Based Violence desks: Government is making progress in establishing dedicated desks at police stations in GBVF hotspots. The desks are staffed by police officers who are specifically trained to provide victim-centred assistance and support</w:t>
      </w:r>
      <w:r>
        <w:t>;</w:t>
      </w:r>
    </w:p>
    <w:p w14:paraId="35E0AF5D" w14:textId="56A826A7" w:rsidR="0049619B" w:rsidRPr="00217A2F" w:rsidRDefault="00217A2F" w:rsidP="00217A2F">
      <w:pPr>
        <w:pStyle w:val="SingleTxtG"/>
      </w:pPr>
      <w:r>
        <w:tab/>
        <w:t>(f)</w:t>
      </w:r>
      <w:r>
        <w:tab/>
      </w:r>
      <w:r w:rsidR="0049619B" w:rsidRPr="00217A2F">
        <w:t>Medium-Term Strategic Framework (MTSF) 2019-2024: Gender was specifically prioritised as a cross-cutting focus area within this national planning framework, aiming to mainstream gender considerations into all government programs and interventions, with a strong emphasis on women's economic empowerment and transforming unequal gender relations.</w:t>
      </w:r>
    </w:p>
    <w:p w14:paraId="07B44C25" w14:textId="77777777" w:rsidR="0049619B" w:rsidRPr="0049619B" w:rsidRDefault="0049619B" w:rsidP="00FD7CC0">
      <w:pPr>
        <w:pStyle w:val="SingleTxtG"/>
        <w:numPr>
          <w:ilvl w:val="0"/>
          <w:numId w:val="21"/>
        </w:numPr>
        <w:ind w:left="1134" w:firstLine="0"/>
        <w:rPr>
          <w:lang w:val="en-ZA"/>
        </w:rPr>
      </w:pPr>
      <w:r w:rsidRPr="0049619B">
        <w:rPr>
          <w:lang w:val="en-ZA"/>
        </w:rPr>
        <w:lastRenderedPageBreak/>
        <w:t>Government continues to undertake legislative, administrative and judiciary measure towards the realisation of equality between men and women.</w:t>
      </w:r>
    </w:p>
    <w:p w14:paraId="2AD9D440"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response to </w:t>
      </w:r>
      <w:r w:rsidRPr="00217A2F">
        <w:rPr>
          <w:lang w:val="en-ZA"/>
        </w:rPr>
        <w:t>CEDAW Committee recommendation 10(a) regarding awareness raising of women’s human rights</w:t>
      </w:r>
      <w:r w:rsidRPr="0049619B">
        <w:rPr>
          <w:lang w:val="en-ZA"/>
        </w:rPr>
        <w:t xml:space="preserve"> among traditional and community leaders and the general public, Government has partnerships with traditional leadership institutions, civil society, faith-based organisations, schools and local communities towards the implementation of the National Strategic Plan on Gender-Based Violence and Femicide (2020 -2020). </w:t>
      </w:r>
    </w:p>
    <w:p w14:paraId="01B0668F" w14:textId="77777777" w:rsidR="0049619B" w:rsidRPr="0049619B" w:rsidRDefault="0049619B" w:rsidP="00FD7CC0">
      <w:pPr>
        <w:pStyle w:val="SingleTxtG"/>
        <w:numPr>
          <w:ilvl w:val="0"/>
          <w:numId w:val="21"/>
        </w:numPr>
        <w:ind w:left="1134" w:firstLine="0"/>
        <w:rPr>
          <w:lang w:val="en-ZA"/>
        </w:rPr>
      </w:pPr>
      <w:r w:rsidRPr="0049619B">
        <w:rPr>
          <w:lang w:val="en-ZA"/>
        </w:rPr>
        <w:t>South Africa has also prioritised the engagement of traditional leaders and traditional institutions. This has included training and sensitisation of Houses of Traditional Leaders on gender-based violence and femicide, consultative engagements with traditional leaders, and community imbizos aimed at strengthening awareness of women’s rights and addressing harmful social norms.</w:t>
      </w:r>
    </w:p>
    <w:p w14:paraId="675B1E1D" w14:textId="77777777" w:rsidR="0049619B" w:rsidRPr="0049619B" w:rsidRDefault="0049619B" w:rsidP="00FD7CC0">
      <w:pPr>
        <w:pStyle w:val="SingleTxtG"/>
        <w:numPr>
          <w:ilvl w:val="0"/>
          <w:numId w:val="21"/>
        </w:numPr>
        <w:ind w:left="1134" w:firstLine="0"/>
        <w:rPr>
          <w:lang w:val="en-ZA"/>
        </w:rPr>
      </w:pPr>
      <w:r w:rsidRPr="0049619B">
        <w:rPr>
          <w:lang w:val="en-ZA"/>
        </w:rPr>
        <w:t xml:space="preserve">Government used annual national public campaigns to increase awareness of women’s rights and challenge discriminatory social norms. Government has consistently implemented and supported nationwide advocacy under the 16 Days of Activism for No Violence Against Women and Children, within the 365-day programme of activism rather than a once-off annual event. These campaigns are used to communicate that violence against women is a human rights violation, to promote help-seeking, and to mobilise communities, men and boys, local leaders and institutions </w:t>
      </w:r>
    </w:p>
    <w:p w14:paraId="2D9F3826" w14:textId="77777777" w:rsidR="0049619B" w:rsidRPr="0049619B" w:rsidRDefault="0049619B" w:rsidP="00FD7CC0">
      <w:pPr>
        <w:pStyle w:val="SingleTxtG"/>
        <w:numPr>
          <w:ilvl w:val="0"/>
          <w:numId w:val="21"/>
        </w:numPr>
        <w:ind w:left="1134" w:firstLine="0"/>
        <w:rPr>
          <w:lang w:val="en-ZA"/>
        </w:rPr>
      </w:pPr>
      <w:r w:rsidRPr="0049619B">
        <w:rPr>
          <w:lang w:val="en-ZA"/>
        </w:rPr>
        <w:t xml:space="preserve">Furthermore, government is implementing the National Intervention Strategy on Sexual Orientation, Gender Identity, Expression and Sex Characteristics (NIS SOGIESC) 2023–2027 which is a key policy framework guiding South Africa’s coordinated, multi-sectoral response to violence, discrimination, and inequality experienced by persons of diverse SOGIESC. The State provides targeted training initiatives to support the effective implementation of this strategy. </w:t>
      </w:r>
    </w:p>
    <w:p w14:paraId="5039CCB7" w14:textId="77777777" w:rsidR="0049619B" w:rsidRPr="0049619B" w:rsidRDefault="0049619B" w:rsidP="00FD7CC0">
      <w:pPr>
        <w:pStyle w:val="SingleTxtG"/>
        <w:numPr>
          <w:ilvl w:val="0"/>
          <w:numId w:val="21"/>
        </w:numPr>
        <w:ind w:left="1134" w:firstLine="0"/>
        <w:rPr>
          <w:lang w:val="en-ZA"/>
        </w:rPr>
      </w:pPr>
      <w:r w:rsidRPr="0049619B">
        <w:rPr>
          <w:lang w:val="en-ZA"/>
        </w:rPr>
        <w:t>During the 2024/2025 financial year, training was delivered to strengthen the capacity of the Provincial Task Teams by promoting a deeper understanding of the Strategy, encouraging interactive and participatory learning approaches, and fostering collaboration. Further objectives of the training included the integration of NIS SOGIESC 2023–2027 principles at the service delivery level, raising awareness and promoting equality across the public service, and improving the mapping and prosecution of SOGIESC-based hate crimes. By strengthening the identification, documentation, and prosecution of such offences at municipal, provincial and national levels, the training contributed to ensuring the equal enjoyment of rights and protections for all, irrespective of sex, gender, or sexual orientation. A total 204 participants were trained on the NIS SOGIESC during the 2024/2025 financial year.</w:t>
      </w:r>
    </w:p>
    <w:p w14:paraId="546F6A30" w14:textId="4DBAA7F5" w:rsidR="0049619B" w:rsidRPr="0049619B" w:rsidRDefault="00217A2F" w:rsidP="00217A2F">
      <w:pPr>
        <w:pStyle w:val="H1G"/>
        <w:rPr>
          <w:lang w:val="en-ZA"/>
        </w:rPr>
      </w:pPr>
      <w:bookmarkStart w:id="14" w:name="_Toc232855595"/>
      <w:r>
        <w:rPr>
          <w:lang w:val="en-ZA"/>
        </w:rPr>
        <w:tab/>
      </w:r>
      <w:r>
        <w:rPr>
          <w:lang w:val="en-ZA"/>
        </w:rPr>
        <w:tab/>
      </w:r>
      <w:r w:rsidR="0049619B" w:rsidRPr="0049619B">
        <w:rPr>
          <w:lang w:val="en-ZA"/>
        </w:rPr>
        <w:t>Article 4: Special measures aimed at accelerating equality between men and women</w:t>
      </w:r>
      <w:bookmarkEnd w:id="14"/>
    </w:p>
    <w:p w14:paraId="514987E2" w14:textId="77777777" w:rsidR="0049619B" w:rsidRPr="0049619B" w:rsidRDefault="0049619B" w:rsidP="00FD7CC0">
      <w:pPr>
        <w:pStyle w:val="SingleTxtG"/>
        <w:numPr>
          <w:ilvl w:val="0"/>
          <w:numId w:val="21"/>
        </w:numPr>
        <w:ind w:left="1134" w:firstLine="0"/>
        <w:rPr>
          <w:lang w:val="en-ZA"/>
        </w:rPr>
      </w:pPr>
      <w:r w:rsidRPr="0049619B">
        <w:rPr>
          <w:lang w:val="en-ZA"/>
        </w:rPr>
        <w:t>South Africa prioritises gender equality and women’s empowerment through the enactment of progressive legislations and promotion of human rights, demonstrated through the ratification of several international, continental and regional instruments.</w:t>
      </w:r>
    </w:p>
    <w:p w14:paraId="0CEEB7C8" w14:textId="77777777" w:rsidR="0049619B" w:rsidRPr="0049619B" w:rsidRDefault="0049619B" w:rsidP="00FD7CC0">
      <w:pPr>
        <w:pStyle w:val="SingleTxtG"/>
        <w:numPr>
          <w:ilvl w:val="0"/>
          <w:numId w:val="21"/>
        </w:numPr>
        <w:ind w:left="1134" w:firstLine="0"/>
        <w:rPr>
          <w:lang w:val="en-ZA"/>
        </w:rPr>
      </w:pPr>
      <w:r w:rsidRPr="0049619B">
        <w:rPr>
          <w:lang w:val="en-ZA"/>
        </w:rPr>
        <w:t>Between 2016 and 2024, South Africa implemented several special measures and legislative reforms aimed at accelerating gender equality, focusing particularly on combating gender-based violence (GBV), promoting economic empowerment, and increasing representation in decision-making.</w:t>
      </w:r>
    </w:p>
    <w:p w14:paraId="3D0D1C7E" w14:textId="77777777" w:rsidR="0049619B" w:rsidRPr="0049619B" w:rsidRDefault="0049619B" w:rsidP="00FD7CC0">
      <w:pPr>
        <w:pStyle w:val="SingleTxtG"/>
        <w:numPr>
          <w:ilvl w:val="0"/>
          <w:numId w:val="21"/>
        </w:numPr>
        <w:ind w:left="1134" w:firstLine="0"/>
        <w:rPr>
          <w:lang w:val="en-ZA"/>
        </w:rPr>
      </w:pPr>
      <w:r w:rsidRPr="0049619B">
        <w:rPr>
          <w:lang w:val="en-ZA"/>
        </w:rPr>
        <w:t xml:space="preserve">Promotion of and implementation of the </w:t>
      </w:r>
      <w:r w:rsidRPr="007877D5">
        <w:rPr>
          <w:lang w:val="en-ZA"/>
        </w:rPr>
        <w:t>Gender-Responsive Planning, Budgeting, Monitoring, Evaluation, and Auditing (GRPBMEA)</w:t>
      </w:r>
      <w:r w:rsidRPr="0049619B">
        <w:rPr>
          <w:lang w:val="en-ZA"/>
        </w:rPr>
        <w:t xml:space="preserve"> framework across the different spheres of government is one of the special measures to accelerate equality between men and women. </w:t>
      </w:r>
    </w:p>
    <w:p w14:paraId="3B0AE763" w14:textId="77777777" w:rsidR="0049619B" w:rsidRPr="0049619B" w:rsidRDefault="0049619B" w:rsidP="00FD7CC0">
      <w:pPr>
        <w:pStyle w:val="SingleTxtG"/>
        <w:numPr>
          <w:ilvl w:val="0"/>
          <w:numId w:val="21"/>
        </w:numPr>
        <w:ind w:left="1134" w:firstLine="0"/>
        <w:rPr>
          <w:lang w:val="en-ZA"/>
        </w:rPr>
      </w:pPr>
      <w:r w:rsidRPr="0049619B">
        <w:rPr>
          <w:lang w:val="en-ZA"/>
        </w:rPr>
        <w:t xml:space="preserve">National Treasury is championing the implementation of </w:t>
      </w:r>
      <w:r w:rsidRPr="007877D5">
        <w:rPr>
          <w:lang w:val="en-ZA"/>
        </w:rPr>
        <w:t xml:space="preserve">Gender Responsive Budgeting </w:t>
      </w:r>
      <w:r w:rsidRPr="0049619B">
        <w:rPr>
          <w:lang w:val="en-ZA"/>
        </w:rPr>
        <w:t xml:space="preserve">in collaboration with the DWYPD, DPME and Statistics South Africa.  The Gender Responsive Guidelines have been developed and are currently being rolled out in its pilot phase through the MTEC process.  The tools include Gender Expenditure Tagging, </w:t>
      </w:r>
      <w:r w:rsidRPr="0049619B">
        <w:rPr>
          <w:lang w:val="en-ZA"/>
        </w:rPr>
        <w:lastRenderedPageBreak/>
        <w:t>Gender Budget Statements, and Gender Impact Assessments. Currently the pilot is targeting some departments within the economic sector and human capital sector.</w:t>
      </w:r>
    </w:p>
    <w:p w14:paraId="2C5BA419" w14:textId="77777777" w:rsidR="0049619B" w:rsidRPr="0049619B" w:rsidRDefault="0049619B" w:rsidP="00FD7CC0">
      <w:pPr>
        <w:pStyle w:val="SingleTxtG"/>
        <w:numPr>
          <w:ilvl w:val="0"/>
          <w:numId w:val="21"/>
        </w:numPr>
        <w:ind w:left="1134" w:firstLine="0"/>
        <w:rPr>
          <w:lang w:val="en-ZA"/>
        </w:rPr>
      </w:pPr>
      <w:r w:rsidRPr="007877D5">
        <w:rPr>
          <w:lang w:val="en-ZA"/>
        </w:rPr>
        <w:t>40% Procurement Target: Government</w:t>
      </w:r>
      <w:r w:rsidRPr="0049619B">
        <w:rPr>
          <w:lang w:val="en-ZA"/>
        </w:rPr>
        <w:t xml:space="preserve"> of South Africa is committed to utilise public procurement to drive women’s empowerment. This commitment is demonstrated by the President’s pronouncement in 2020 of a </w:t>
      </w:r>
      <w:r w:rsidRPr="007877D5">
        <w:rPr>
          <w:lang w:val="en-ZA"/>
        </w:rPr>
        <w:t>40% procurement target for all government</w:t>
      </w:r>
      <w:r w:rsidRPr="0049619B">
        <w:rPr>
          <w:b/>
          <w:bCs/>
          <w:lang w:val="en-ZA"/>
        </w:rPr>
        <w:t xml:space="preserve"> </w:t>
      </w:r>
      <w:r w:rsidRPr="007877D5">
        <w:rPr>
          <w:lang w:val="en-ZA"/>
        </w:rPr>
        <w:t xml:space="preserve">procurement to be allocated for Women Owned Businesses </w:t>
      </w:r>
      <w:r w:rsidRPr="0049619B">
        <w:rPr>
          <w:lang w:val="en-ZA"/>
        </w:rPr>
        <w:t xml:space="preserve">(WOBs). This commitment requires national, provincial, and local government departments to create economic opportunities for women, with monitoring and reporting mechanisms implemented to track progress. </w:t>
      </w:r>
    </w:p>
    <w:p w14:paraId="52B31278" w14:textId="2992C866" w:rsidR="0049619B" w:rsidRPr="00860F72" w:rsidRDefault="00C450FE" w:rsidP="00860F72">
      <w:pPr>
        <w:pStyle w:val="SingleTxtG"/>
      </w:pPr>
      <w:r>
        <w:tab/>
        <w:t>(a)</w:t>
      </w:r>
      <w:r>
        <w:tab/>
      </w:r>
      <w:r w:rsidR="0049619B" w:rsidRPr="00860F72">
        <w:t>The enactment of the Public Procurement Act 28 of 2024, marks a significant milestone towards the incorporation of gender equality and empowerment provisions into the legal framework. The Act prioritises procurement from businesses owned by women, youth, and persons with disabilities, making inclusion a statutory consideration in awarding government contracts. This Act also create a legal basis for affirmative procurement set asides, strengthen support for inclusive participation in public tenders and provides a framework to operationalise targets set</w:t>
      </w:r>
      <w:r>
        <w:t>;</w:t>
      </w:r>
    </w:p>
    <w:p w14:paraId="3AD8790F" w14:textId="7448AC64" w:rsidR="0049619B" w:rsidRPr="00860F72" w:rsidRDefault="00C450FE" w:rsidP="00860F72">
      <w:pPr>
        <w:pStyle w:val="SingleTxtG"/>
      </w:pPr>
      <w:r>
        <w:tab/>
        <w:t>(b)</w:t>
      </w:r>
      <w:r>
        <w:tab/>
      </w:r>
      <w:r w:rsidR="0049619B" w:rsidRPr="00860F72">
        <w:t>The Women’s Economic Assembly (WECONA) was launched in 2021 to enable women-owned enterprises to participate in local industry value chains. The WECONA plays a pivotal role in promoting women’s economic empowerment by embedding them into essential value chains within sectors such as agriculture, manufacturing, automotive and other sectors. Through collaboration with provincial governments and private-sector leaders, WECONA creates and sustains critical procurement and supplier opportunities. WECONA’s impact aligns directly with the goal of reaching 40% preferential procurement for women-owned enterprises</w:t>
      </w:r>
      <w:r>
        <w:t>;</w:t>
      </w:r>
    </w:p>
    <w:p w14:paraId="1DA90AC5" w14:textId="63A20C72" w:rsidR="0049619B" w:rsidRPr="00860F72" w:rsidRDefault="00C450FE" w:rsidP="00860F72">
      <w:pPr>
        <w:pStyle w:val="SingleTxtG"/>
      </w:pPr>
      <w:r>
        <w:tab/>
        <w:t>(c)</w:t>
      </w:r>
      <w:r>
        <w:tab/>
      </w:r>
      <w:r w:rsidR="0049619B" w:rsidRPr="00860F72">
        <w:t xml:space="preserve">Presidential Employment Stimulus (PES) is a large-scale government initiative launched in October 2020 by the President of South Africa. It was introduced as part of South Africa’s Economic Reconstruction and Recovery Plan (ERRP) to respond to the deep economic and labour market fallout caused by the COVID-19 pandemic. The programme is coordinated centrally by the Presidency and implemented through a ‘whole of government’ approach, with various national departments, provinces, municipalities, and partners (civil society, business) involved. The Presidential Employment Stimulus and Presidential Youth Employment Intervention have enabled the most rapid expansion of public employment in South African history. Reports show that 66% of Presidential Employment Stimulus beneficiaries are women and 70% of the Presidential Youth employment Intervention opportunities are secured by young women. Approximately 1.7 million beneficiaries have been reached. </w:t>
      </w:r>
    </w:p>
    <w:p w14:paraId="790EE4A1" w14:textId="77777777" w:rsidR="0049619B" w:rsidRPr="0049619B" w:rsidRDefault="0049619B" w:rsidP="00FD7CC0">
      <w:pPr>
        <w:pStyle w:val="SingleTxtG"/>
        <w:numPr>
          <w:ilvl w:val="0"/>
          <w:numId w:val="21"/>
        </w:numPr>
        <w:ind w:left="1134" w:firstLine="0"/>
        <w:rPr>
          <w:lang w:val="en-ZA"/>
        </w:rPr>
      </w:pPr>
      <w:r w:rsidRPr="00C450FE">
        <w:rPr>
          <w:lang w:val="en-ZA"/>
        </w:rPr>
        <w:t xml:space="preserve">National Empowerment Fund (NEF) </w:t>
      </w:r>
      <w:r w:rsidRPr="0049619B">
        <w:rPr>
          <w:lang w:val="en-ZA"/>
        </w:rPr>
        <w:t>is dedicated to advancing economic transformation by increasing support for black-owned enterprises, particularly those led by women, youth, and people living with disability. Through targeted funding, the NEF fosters a more inclusive economy by helping these groups access financial resources, participate in key sectors, and contribute to national growth. The NEF Women Empowerment Fund is aimed at accelerating the provision of funding to businesses owned by black women using a range of funding instruments. The NEF disbursed 38.6% of its fund to businesses owned by women, youth and people living with disability during the 2024/2025 financial year. These groups often face compounded challenges, including limited access to finance and markets. The data shows that there has been an increase in the procurement from majority black-women-owned business from 26.39% in 2021 to 43.83% in 2025. This demonstrates efforts to support and empower black-women-owned businesses (National Empowerment Fund Integrated Report, 2025).</w:t>
      </w:r>
    </w:p>
    <w:p w14:paraId="4B65F61D" w14:textId="07472519" w:rsidR="0049619B" w:rsidRPr="0049619B" w:rsidRDefault="009D4EAF" w:rsidP="00C450FE">
      <w:pPr>
        <w:pStyle w:val="H1G"/>
        <w:rPr>
          <w:lang w:val="en-ZA"/>
        </w:rPr>
      </w:pPr>
      <w:bookmarkStart w:id="15" w:name="_Toc232855596"/>
      <w:r>
        <w:rPr>
          <w:lang w:val="en-ZA"/>
        </w:rPr>
        <w:tab/>
      </w:r>
      <w:r>
        <w:rPr>
          <w:lang w:val="en-ZA"/>
        </w:rPr>
        <w:tab/>
      </w:r>
      <w:r w:rsidR="0049619B" w:rsidRPr="0049619B">
        <w:rPr>
          <w:lang w:val="en-ZA"/>
        </w:rPr>
        <w:t xml:space="preserve">Article 5: Measures to address </w:t>
      </w:r>
      <w:r w:rsidRPr="0049619B">
        <w:rPr>
          <w:lang w:val="en-ZA"/>
        </w:rPr>
        <w:t>sex role stereotyping and prejudice</w:t>
      </w:r>
      <w:bookmarkEnd w:id="15"/>
    </w:p>
    <w:p w14:paraId="219F99AB" w14:textId="77777777" w:rsidR="0049619B" w:rsidRPr="0049619B" w:rsidRDefault="0049619B" w:rsidP="00FD7CC0">
      <w:pPr>
        <w:pStyle w:val="SingleTxtG"/>
        <w:numPr>
          <w:ilvl w:val="0"/>
          <w:numId w:val="21"/>
        </w:numPr>
        <w:ind w:left="1134" w:firstLine="0"/>
        <w:rPr>
          <w:lang w:val="en-ZA"/>
        </w:rPr>
      </w:pPr>
      <w:r w:rsidRPr="0049619B">
        <w:rPr>
          <w:lang w:val="en-ZA"/>
        </w:rPr>
        <w:t xml:space="preserve"> The National Strategic Plan on Gender Based Violence and Femicide (2020 – 2030) provides direction on addressing issues of sex role stereotyping and prejudice through Pillar Two: Prevention and Rebuilding Social Cohesion. Under this Pillar, there are specific outcomes that guides all implementing stakeholders to address stereotyping and prejudice. </w:t>
      </w:r>
      <w:r w:rsidRPr="0049619B">
        <w:rPr>
          <w:lang w:val="en-ZA"/>
        </w:rPr>
        <w:lastRenderedPageBreak/>
        <w:t xml:space="preserve">These include objective 2.2: Changed behaviour and social norms within key groups because of the rollout of evidence-based prevention interventions; and Objective 2.3: Shifts away from toxic masculinities towards embracing positive alternative approaches for expressing masculinities and other sexual and gender identities, within specific communities/groups. </w:t>
      </w:r>
    </w:p>
    <w:p w14:paraId="02D6F484" w14:textId="77777777" w:rsidR="0049619B" w:rsidRPr="0049619B" w:rsidRDefault="0049619B" w:rsidP="00FD7CC0">
      <w:pPr>
        <w:pStyle w:val="SingleTxtG"/>
        <w:numPr>
          <w:ilvl w:val="0"/>
          <w:numId w:val="21"/>
        </w:numPr>
        <w:ind w:left="1134" w:firstLine="0"/>
        <w:rPr>
          <w:lang w:val="en-ZA"/>
        </w:rPr>
      </w:pPr>
      <w:r w:rsidRPr="0049619B">
        <w:rPr>
          <w:lang w:val="en-ZA"/>
        </w:rPr>
        <w:t xml:space="preserve">As indicated in Article 3, paragraph 52 above, South Africa is implementing the </w:t>
      </w:r>
      <w:r w:rsidRPr="009D4EAF">
        <w:rPr>
          <w:lang w:val="en-ZA"/>
        </w:rPr>
        <w:t>Revised National Intervention Strategy on Sexual Orientation, Gender Identity, Expression, and Sex Characteristics (SOGIESC): 2023–2027.</w:t>
      </w:r>
      <w:r w:rsidRPr="0049619B">
        <w:rPr>
          <w:lang w:val="en-ZA"/>
        </w:rPr>
        <w:t xml:space="preserve"> This is an intersectional, survivor-focused, and evidence-driven policy approved by Cabinet in August 2023. It aims to prevent and respond to violence, discrimination, and hate speech against persons of diverse sexual orientation, gender identity, expression, and sex characteristics (SOGIESC). The strategy strengthens institutional, legislative, and accountability mechanisms through a multi-sectoral approach. The Strategy is aligned with the NSP GBVF and acknowledges the layered vulnerabilities experienced by persons of diverse SOGIESC—particularly those who also face marginalisation due to an intersection of race, class, disability, nationality, or migration status. This is a community-owned instrument, creating space for meaningful participation by civil society, intergovernmental forums, Chapter 9 institutions, and affected communities themselves.</w:t>
      </w:r>
    </w:p>
    <w:p w14:paraId="0B6F12B2" w14:textId="77777777" w:rsidR="0049619B" w:rsidRPr="0049619B" w:rsidRDefault="0049619B" w:rsidP="00FD7CC0">
      <w:pPr>
        <w:pStyle w:val="SingleTxtG"/>
        <w:numPr>
          <w:ilvl w:val="0"/>
          <w:numId w:val="21"/>
        </w:numPr>
        <w:ind w:left="1134" w:firstLine="0"/>
        <w:rPr>
          <w:lang w:val="en-ZA"/>
        </w:rPr>
      </w:pPr>
      <w:r w:rsidRPr="0049619B">
        <w:rPr>
          <w:lang w:val="en-ZA"/>
        </w:rPr>
        <w:t>A total of 13 activities were undertaken during the 2024/2025 financial year. These include Nine workshops on the revised National Intervention Strategy on SOGIESC with Provincial Task Teams (NC, FS, EC, KZN, MP, GP, LP, NW and WC) and one quarterly National Task Team meeting (DOJ&amp;CD Annual Report, Vote 25, 2024/2025).</w:t>
      </w:r>
    </w:p>
    <w:p w14:paraId="3F2CE69F" w14:textId="77777777" w:rsidR="0049619B" w:rsidRPr="0049619B" w:rsidRDefault="0049619B" w:rsidP="00FD7CC0">
      <w:pPr>
        <w:pStyle w:val="SingleTxtG"/>
        <w:numPr>
          <w:ilvl w:val="0"/>
          <w:numId w:val="21"/>
        </w:numPr>
        <w:ind w:left="1134" w:firstLine="0"/>
        <w:rPr>
          <w:lang w:val="en-ZA"/>
        </w:rPr>
      </w:pPr>
      <w:r w:rsidRPr="0049619B">
        <w:rPr>
          <w:lang w:val="en-ZA"/>
        </w:rPr>
        <w:t xml:space="preserve">South African Justice System plays a critical role in preventing prejudice based on gender stereotyping. For example, through the case of: </w:t>
      </w:r>
      <w:r w:rsidRPr="0049619B">
        <w:rPr>
          <w:i/>
          <w:iCs/>
          <w:lang w:val="en-ZA"/>
        </w:rPr>
        <w:t xml:space="preserve">VJV and Another v Minister of Social Development and Another (CCT 94/22) [2023] ZACC 21; 2023 (10) BCLR 1250 (CC); 2023 (6) SA 87 (CC) (29 June 2023). </w:t>
      </w:r>
      <w:r w:rsidRPr="0049619B">
        <w:rPr>
          <w:lang w:val="en-ZA"/>
        </w:rPr>
        <w:t>The Constitutional Court handed down judgment in an application for confirmation of constitutional invalidity granted by the High Court of South Africa, Gauteng Division, Pretoria (High Court). The High Court declared section 40 of the Children’s Act 38 of 2005 (Children’s Act) unconstitutional to the extent that it excludes permanent life partners as the recipients of automatic parental rights and responsibilities arising from the birth of children born because of artificial fertilisation. It ordered that the words “permanent life partner” be read in after the word “spouse” and “husband”, wherever such words appear in section 40 of the Children’s Act (impugned provisions). The applicants, two women in a permanent life partnership, held a desire to have their own children and to establish their own family. choice made by married partners. Its impact rendered it manifestly unfair, and the Court concluded that the impugned provisions resulted in unfair discrimination based on marital status.</w:t>
      </w:r>
    </w:p>
    <w:p w14:paraId="389835D3"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instances where the Marriage legislation discriminates against women, the Courts intervened to the provisions unconstitutional.  For example, </w:t>
      </w:r>
      <w:r w:rsidRPr="0049619B">
        <w:rPr>
          <w:i/>
          <w:iCs/>
          <w:lang w:val="en-ZA"/>
        </w:rPr>
        <w:t>in Jordaan and Others v Minister of Home Affairs and Another (CCT 296/24) [2025] ZACC 19</w:t>
      </w:r>
      <w:r w:rsidRPr="0049619B">
        <w:rPr>
          <w:lang w:val="en-ZA"/>
        </w:rPr>
        <w:t xml:space="preserve">, the South Africa’s Constitutional Court delivered a landmark ruling declaring that men have the right to adopt their wives’ surnames upon marriage, striking down legislation that the court found constituted unfair gender discrimination. While acknowledging that the law deprived men of naming choices, the Constitutional Court emphasised that the discrimination had far more profound implications for women in South African society. “The discrimination is far more insidious for women. It reinforces patriarchal gender norms, which prescribe how women may express their identity, and it makes this expression relational to their husband, as a governmental and cultural default.” The Constitutional Court’s decision represents a significant step toward gender equality in South African family law, dismantling legal structure rooted in patriarchal traditions.  </w:t>
      </w:r>
    </w:p>
    <w:p w14:paraId="4255A290" w14:textId="321B5814" w:rsidR="0049619B" w:rsidRPr="0049619B" w:rsidRDefault="005238B4" w:rsidP="005238B4">
      <w:pPr>
        <w:pStyle w:val="H1G"/>
        <w:rPr>
          <w:lang w:val="en-ZA"/>
        </w:rPr>
      </w:pPr>
      <w:r>
        <w:rPr>
          <w:lang w:val="en-ZA"/>
        </w:rPr>
        <w:tab/>
      </w:r>
      <w:r>
        <w:rPr>
          <w:lang w:val="en-ZA"/>
        </w:rPr>
        <w:tab/>
      </w:r>
      <w:r w:rsidR="0049619B" w:rsidRPr="0049619B">
        <w:rPr>
          <w:lang w:val="en-ZA"/>
        </w:rPr>
        <w:t xml:space="preserve">Crime against </w:t>
      </w:r>
      <w:r>
        <w:rPr>
          <w:lang w:val="en-ZA"/>
        </w:rPr>
        <w:t>w</w:t>
      </w:r>
      <w:r w:rsidR="0049619B" w:rsidRPr="0049619B">
        <w:rPr>
          <w:lang w:val="en-ZA"/>
        </w:rPr>
        <w:t xml:space="preserve">omen </w:t>
      </w:r>
    </w:p>
    <w:p w14:paraId="6A4A5004" w14:textId="77777777" w:rsidR="0049619B" w:rsidRPr="0049619B" w:rsidRDefault="0049619B" w:rsidP="00FD7CC0">
      <w:pPr>
        <w:pStyle w:val="SingleTxtG"/>
        <w:numPr>
          <w:ilvl w:val="0"/>
          <w:numId w:val="21"/>
        </w:numPr>
        <w:ind w:left="1134" w:firstLine="0"/>
        <w:rPr>
          <w:b/>
          <w:bCs/>
          <w:lang w:val="en-ZA"/>
        </w:rPr>
      </w:pPr>
      <w:r w:rsidRPr="0049619B">
        <w:rPr>
          <w:lang w:val="en-ZA"/>
        </w:rPr>
        <w:t xml:space="preserve">Crime and violence against women remain a challenge which violates women’s human rights and directly undermines their fundamental freedoms and dignity. While the South African Police Service are implementing the Integrated Crime and Violence Prevention Strategy (2022) to reduce contact crime against women and children; there has </w:t>
      </w:r>
      <w:r w:rsidRPr="0049619B">
        <w:rPr>
          <w:lang w:val="en-ZA"/>
        </w:rPr>
        <w:lastRenderedPageBreak/>
        <w:t>been an increase in the reported incidence of contact crime against women 18 years and above over the past years.  The reported the reported incidence of contact crime against women increase Increased, by 15,6% from 155 062, in 2020/21 to 179 208, in 2021/22; increased, by 8,1% from 179 208, in 2021/22 to 193 669, in 2022/23, and increased, by 4,6% from 193 669, in 2022/23 to 202 633, in 2023/24.</w:t>
      </w:r>
    </w:p>
    <w:p w14:paraId="3FECA443" w14:textId="53265ED6" w:rsidR="0049619B" w:rsidRPr="0049619B" w:rsidRDefault="005238B4" w:rsidP="005238B4">
      <w:pPr>
        <w:pStyle w:val="H1G"/>
        <w:rPr>
          <w:lang w:val="en-ZA"/>
        </w:rPr>
      </w:pPr>
      <w:r>
        <w:rPr>
          <w:lang w:val="en-ZA"/>
        </w:rPr>
        <w:tab/>
      </w:r>
      <w:r>
        <w:rPr>
          <w:lang w:val="en-ZA"/>
        </w:rPr>
        <w:tab/>
      </w:r>
      <w:r w:rsidR="0049619B" w:rsidRPr="0049619B">
        <w:rPr>
          <w:lang w:val="en-ZA"/>
        </w:rPr>
        <w:t>Actions prioritized by South Africa to address gender-based violence</w:t>
      </w:r>
    </w:p>
    <w:p w14:paraId="74666D03" w14:textId="77777777" w:rsidR="0049619B" w:rsidRPr="0049619B" w:rsidRDefault="0049619B" w:rsidP="00FD7CC0">
      <w:pPr>
        <w:pStyle w:val="SingleTxtG"/>
        <w:numPr>
          <w:ilvl w:val="0"/>
          <w:numId w:val="21"/>
        </w:numPr>
        <w:ind w:left="1134" w:firstLine="0"/>
        <w:rPr>
          <w:lang w:val="en-ZA"/>
        </w:rPr>
      </w:pPr>
      <w:r w:rsidRPr="0049619B">
        <w:rPr>
          <w:lang w:val="en-ZA"/>
        </w:rPr>
        <w:t>The NSP on GBVF adopted in 2020 is a society-wide programme to end gender-based violence and femicide. The Plan is organized around six pillars, which are aimed at: (i) Accountability, coordination and leadership; (ii) prevention; (ii) strengthening the criminal justice response; (iv) providing support, care and healing to survivors; (v) Economic power; and (vi) research and evidence- based monitoring. The NSP on GBVF provides a multi-sectoral, coherent strategic policy and programming framework to ensure a coordinated national response to the crisis of GBVF by South Africa collectively.</w:t>
      </w:r>
    </w:p>
    <w:p w14:paraId="187101A8" w14:textId="77777777" w:rsidR="0049619B" w:rsidRPr="0049619B" w:rsidRDefault="0049619B" w:rsidP="00FD7CC0">
      <w:pPr>
        <w:pStyle w:val="SingleTxtG"/>
        <w:numPr>
          <w:ilvl w:val="0"/>
          <w:numId w:val="21"/>
        </w:numPr>
        <w:ind w:left="1134" w:firstLine="0"/>
        <w:rPr>
          <w:lang w:val="en-ZA"/>
        </w:rPr>
      </w:pPr>
      <w:r w:rsidRPr="005238B4">
        <w:rPr>
          <w:lang w:val="en-ZA"/>
        </w:rPr>
        <w:t>End Gender Based Violence and Femicide (GBVF) 100-Day Challenges in municipalities:</w:t>
      </w:r>
      <w:r w:rsidRPr="0049619B">
        <w:rPr>
          <w:b/>
          <w:bCs/>
          <w:lang w:val="en-ZA"/>
        </w:rPr>
        <w:t xml:space="preserve"> </w:t>
      </w:r>
      <w:r w:rsidRPr="0049619B">
        <w:rPr>
          <w:lang w:val="en-ZA"/>
        </w:rPr>
        <w:t>which uses a structured approach to accelerate and localise the implementation of the NSP on GBVF. Teams set ambitious 100-day goals and developed innovative plans through intense collaboration, continuous innovation and disciplined implementation.  The movement is supported by various stakeholders, that is government, civil society and the private sector.</w:t>
      </w:r>
    </w:p>
    <w:p w14:paraId="42593D5B" w14:textId="77777777" w:rsidR="0049619B" w:rsidRPr="0049619B" w:rsidRDefault="0049619B" w:rsidP="00FD7CC0">
      <w:pPr>
        <w:pStyle w:val="SingleTxtG"/>
        <w:numPr>
          <w:ilvl w:val="0"/>
          <w:numId w:val="21"/>
        </w:numPr>
        <w:ind w:left="1134" w:firstLine="0"/>
        <w:rPr>
          <w:lang w:val="en-ZA"/>
        </w:rPr>
      </w:pPr>
      <w:r w:rsidRPr="0049619B">
        <w:rPr>
          <w:lang w:val="en-ZA"/>
        </w:rPr>
        <w:t xml:space="preserve">The participation of the municipalities in the 100-Day Challenges Programme emanates from the 2023 SALGA Women’s Commission (SWC) National Lekgotla resolution adopted on 28 September 2023. The resolution committed SALGA to supporting municipalities to participate in the 100-Day Challenge as a mechanism to support the localisation of the implementation of the NSP on GBVF). The programme has demonstrated significant scale-up, with municipal participation increasing from 13 municipalities in 2023, 38 in 2024 to 50 municipalities in 2025 across all nine provinces. </w:t>
      </w:r>
    </w:p>
    <w:p w14:paraId="7493B627" w14:textId="77777777" w:rsidR="0049619B" w:rsidRPr="0049619B" w:rsidRDefault="0049619B" w:rsidP="00FD7CC0">
      <w:pPr>
        <w:pStyle w:val="SingleTxtG"/>
        <w:numPr>
          <w:ilvl w:val="0"/>
          <w:numId w:val="21"/>
        </w:numPr>
        <w:ind w:left="1134" w:firstLine="0"/>
        <w:rPr>
          <w:lang w:val="en-ZA"/>
        </w:rPr>
      </w:pPr>
      <w:r w:rsidRPr="0049619B">
        <w:rPr>
          <w:lang w:val="en-ZA"/>
        </w:rPr>
        <w:t xml:space="preserve">Municipal commitments include formal agreements, budget alignment, communication support and participation in monitoring and reporting. Key achievements included development of integrated GBVF work plans and transition from 100-day plans to 365-day implementation cycles.  Impact examples included increased youth participation in positive activities, improved victim support services and strengthened collaboration with other role players. Municipal initiatives established GBV hotlines and help desks operating 24/7, adopted trial-and-error approaches to improve referral systems and achieved improved accountability and service coverage. Results showed improved GBVF-related performance, system insights, transformative leadership experiences and sustained improvements beyond the 100-day period. </w:t>
      </w:r>
    </w:p>
    <w:p w14:paraId="61BFFE29" w14:textId="77777777" w:rsidR="0049619B" w:rsidRPr="0049619B" w:rsidRDefault="0049619B" w:rsidP="00FD7CC0">
      <w:pPr>
        <w:pStyle w:val="SingleTxtG"/>
        <w:numPr>
          <w:ilvl w:val="0"/>
          <w:numId w:val="21"/>
        </w:numPr>
        <w:ind w:left="1134" w:firstLine="0"/>
        <w:rPr>
          <w:lang w:val="en-ZA"/>
        </w:rPr>
      </w:pPr>
      <w:r w:rsidRPr="0049619B">
        <w:rPr>
          <w:lang w:val="en-ZA"/>
        </w:rPr>
        <w:t>The following actions were prioritised in line with the pillars of the NSP: (i) accountability has been strengthened across government system for implementation through institutionalisation of the NSP on GBVF and enforcement of compliance with monthly reporting by government departments to the President; (ii) establishment of an Inter-Ministerial Committee on GBVF which provides political guidance and oversight; (iii) GBVF Response Fund established and functional; (iv) END GBVF established and functional as a multi-sectoral structure driving collaborative implementation; (iv) ring-fenced funding for secretariat functions towards the establishment of a National Council on Gender Based Violence and Femicide since 2020 –R5 Million per financial year since 2020; (v) Parliamentary oversight framework in place; (vi) establishment and revitalisation of existing coordination structures at provincial, district and local levels established in some areas.</w:t>
      </w:r>
    </w:p>
    <w:p w14:paraId="1D865ED0" w14:textId="77777777" w:rsidR="0049619B" w:rsidRPr="0049619B" w:rsidRDefault="0049619B" w:rsidP="00FD7CC0">
      <w:pPr>
        <w:pStyle w:val="SingleTxtG"/>
        <w:numPr>
          <w:ilvl w:val="0"/>
          <w:numId w:val="21"/>
        </w:numPr>
        <w:ind w:left="1134" w:firstLine="0"/>
        <w:rPr>
          <w:lang w:val="en-ZA"/>
        </w:rPr>
      </w:pPr>
      <w:r w:rsidRPr="009B2357">
        <w:rPr>
          <w:lang w:val="en-ZA"/>
        </w:rPr>
        <w:t>In Response to recommendation 12. (a) on the establishment of the National Council on Gender Based Violence and Femicide as well as resourcing, South</w:t>
      </w:r>
      <w:r w:rsidRPr="0049619B">
        <w:rPr>
          <w:lang w:val="en-ZA"/>
        </w:rPr>
        <w:t xml:space="preserve"> Africa has made substantial legislative and institutional progress towards the establishment of the National Council on Gender-Based Violence and Femicide (NCGBVF) as a permanent statutory mechanism to coordinate the national response to gender-based violence and femicide.  The enactment of the National Council on Gender-Based Violence and Femicide Act, 2024 (Act No. 9 of 2024) into law on 24 May 2024 which subsequently came into operation on 15 </w:t>
      </w:r>
      <w:r w:rsidRPr="0049619B">
        <w:rPr>
          <w:lang w:val="en-ZA"/>
        </w:rPr>
        <w:lastRenderedPageBreak/>
        <w:t>November 2024 serves as a key milestone. The commencement of the Act gave legal effect to the establishment of the Council as a statutory body mandated to provide strategic leadership, coordination, oversight, monitoring and accountability in the prevention of and response to GBVF in South Africa.</w:t>
      </w:r>
    </w:p>
    <w:p w14:paraId="46F004F7" w14:textId="77777777" w:rsidR="0049619B" w:rsidRPr="0049619B" w:rsidRDefault="0049619B" w:rsidP="00FD7CC0">
      <w:pPr>
        <w:pStyle w:val="SingleTxtG"/>
        <w:numPr>
          <w:ilvl w:val="0"/>
          <w:numId w:val="21"/>
        </w:numPr>
        <w:ind w:left="1134" w:firstLine="0"/>
        <w:rPr>
          <w:lang w:val="en-ZA"/>
        </w:rPr>
      </w:pPr>
      <w:r w:rsidRPr="0049619B">
        <w:rPr>
          <w:lang w:val="en-ZA"/>
        </w:rPr>
        <w:t>Following the enactment and commencement of the legislation, South Africa moved into the operationalisation phase of the NCGBVF. Progress has included the initiation of processes to appoint the Council’s governing structures and to transition from an interim coordination arrangement to a fully functional statutory institution. Parliament’s Portfolio Committee on Women, Youth and Persons with Disabilities has played an oversight role in this regard, including overseeing processes relating to the appointment of members to the Council. Parliament finalised the interviews for candidates to serve on the National Council in March 2026. This represents a significant step towards constituting the Council’s leadership and enabling it to begin functioning in accordance with the Act. On the question of resources to ensure that the National Council fulfils its critical functions, National Treasury has approved the Council as a separate sub programme with ring-fenced funds from 1 April 2026.</w:t>
      </w:r>
    </w:p>
    <w:p w14:paraId="00FB4270" w14:textId="77777777" w:rsidR="0049619B" w:rsidRPr="0049619B" w:rsidRDefault="0049619B" w:rsidP="00FD7CC0">
      <w:pPr>
        <w:pStyle w:val="SingleTxtG"/>
        <w:numPr>
          <w:ilvl w:val="0"/>
          <w:numId w:val="21"/>
        </w:numPr>
        <w:ind w:left="1134" w:firstLine="0"/>
        <w:rPr>
          <w:lang w:val="en-ZA"/>
        </w:rPr>
      </w:pPr>
      <w:r w:rsidRPr="0049619B">
        <w:t>National Treasury issued a 2026 MTEF Preliminary Allocation in which allocations have been made to operationalise and strengthen the capacity of the National Council over the medium-term framework, namely R48.085 million in 2026/27, R49.976 million in 2027/28, and R52.186 million in 2028/29.</w:t>
      </w:r>
    </w:p>
    <w:p w14:paraId="423079D6" w14:textId="77777777" w:rsidR="0049619B" w:rsidRPr="0049619B" w:rsidRDefault="0049619B" w:rsidP="00FD7CC0">
      <w:pPr>
        <w:pStyle w:val="SingleTxtG"/>
        <w:numPr>
          <w:ilvl w:val="0"/>
          <w:numId w:val="21"/>
        </w:numPr>
        <w:ind w:left="1134" w:firstLine="0"/>
        <w:rPr>
          <w:lang w:val="en-ZA"/>
        </w:rPr>
      </w:pPr>
      <w:r w:rsidRPr="0049619B">
        <w:rPr>
          <w:lang w:val="en-ZA"/>
        </w:rPr>
        <w:t>In response to</w:t>
      </w:r>
      <w:r w:rsidRPr="0049619B">
        <w:rPr>
          <w:b/>
          <w:bCs/>
          <w:lang w:val="en-ZA"/>
        </w:rPr>
        <w:t xml:space="preserve"> </w:t>
      </w:r>
      <w:r w:rsidRPr="009B2357">
        <w:rPr>
          <w:lang w:val="en-ZA"/>
        </w:rPr>
        <w:t>recommendation 12(b)</w:t>
      </w:r>
      <w:r w:rsidRPr="0049619B">
        <w:rPr>
          <w:lang w:val="en-ZA"/>
        </w:rPr>
        <w:t xml:space="preserve"> on the resourcing for implementation of the NSP on GBVF, the funds are made available through the voted funds of different line function departments which are the implementing departments in line with their mandate. The Gender Based Violence Private Sector Fund 1 which was launched by the President on the 3</w:t>
      </w:r>
      <w:r w:rsidRPr="0049619B">
        <w:rPr>
          <w:vertAlign w:val="superscript"/>
          <w:lang w:val="en-ZA"/>
        </w:rPr>
        <w:t>rd</w:t>
      </w:r>
      <w:r w:rsidRPr="0049619B">
        <w:rPr>
          <w:lang w:val="en-ZA"/>
        </w:rPr>
        <w:t xml:space="preserve"> of February 2021 to raise, manage and allocate resources effectively to strengthen the national response to GBV is responsible for disbursing financial resources to civil society. A total budget of R57,2 billion was allocated to GBVF for the period 2020-2025, of which R36,2 billion was spent as of February 2025 (DWYPD, 2024) across the six pillars. National Treasury also ringfenced R5 million per annum over the Medium-Term Expenditure Framework (2019-2024). </w:t>
      </w:r>
    </w:p>
    <w:p w14:paraId="58BED498" w14:textId="77777777" w:rsidR="0049619B" w:rsidRPr="0049619B" w:rsidRDefault="0049619B" w:rsidP="00FD7CC0">
      <w:pPr>
        <w:pStyle w:val="SingleTxtG"/>
        <w:numPr>
          <w:ilvl w:val="0"/>
          <w:numId w:val="21"/>
        </w:numPr>
        <w:ind w:left="1134" w:firstLine="0"/>
        <w:rPr>
          <w:lang w:val="en-ZA"/>
        </w:rPr>
      </w:pPr>
      <w:r w:rsidRPr="00CF412B">
        <w:rPr>
          <w:lang w:val="en-ZA"/>
        </w:rPr>
        <w:t>The classification of Gender Based Violence and Femicide as a National Disaster in November 2025 i</w:t>
      </w:r>
      <w:r w:rsidRPr="0049619B">
        <w:rPr>
          <w:lang w:val="en-ZA"/>
        </w:rPr>
        <w:t>s a major milestone which recognises that dealing with this scourge demands exceptional measures. This classification strengthens the mandates of the respective government departments, such as Social Development, Justice, Health, Police and Basic Education, to tackle GBVF. The classification will allow for expanded access to shelters, safe spaces, psycho-social counselling and community-based prevention programmes. It will enable faster emergency resource allocation for survivor services, enhanced monitoring and reporting mechanisms, and strengthen oversight.</w:t>
      </w:r>
    </w:p>
    <w:p w14:paraId="2BEEA5F5" w14:textId="77777777" w:rsidR="0049619B" w:rsidRPr="0049619B" w:rsidRDefault="0049619B" w:rsidP="00FD7CC0">
      <w:pPr>
        <w:pStyle w:val="SingleTxtG"/>
        <w:numPr>
          <w:ilvl w:val="0"/>
          <w:numId w:val="21"/>
        </w:numPr>
        <w:ind w:left="1134" w:firstLine="0"/>
        <w:rPr>
          <w:lang w:val="en-ZA"/>
        </w:rPr>
      </w:pPr>
      <w:r w:rsidRPr="00CF412B">
        <w:rPr>
          <w:lang w:val="en-ZA"/>
        </w:rPr>
        <w:t>South Africa has also placed priority on accelerating prosecution on GBVF cases in the country. In</w:t>
      </w:r>
      <w:r w:rsidRPr="0049619B">
        <w:rPr>
          <w:lang w:val="en-ZA"/>
        </w:rPr>
        <w:t xml:space="preserve"> terms of increased prosecution of perpetrators for rape and other forms of GBV by gender/ sex, age and disability shows that: (i) conviction rate for femicide prosecutions stood at 91.9% in 2022/2023; and (ii) the conviction rate for sexual offences was 74.9% 2022/2023, while the conviction rate in intimate partner femicide was at 92.2% in 2022/2023. </w:t>
      </w:r>
    </w:p>
    <w:p w14:paraId="7D618091"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response to Concluding Observation (CEDAW/C/ZAF/5) and </w:t>
      </w:r>
      <w:r w:rsidRPr="00CF412B">
        <w:rPr>
          <w:lang w:val="en-ZA"/>
        </w:rPr>
        <w:t>recommendation contained in para 10 (b)</w:t>
      </w:r>
      <w:r w:rsidRPr="0049619B">
        <w:rPr>
          <w:lang w:val="en-ZA"/>
        </w:rPr>
        <w:t xml:space="preserve"> on </w:t>
      </w:r>
      <w:r w:rsidRPr="0049619B">
        <w:t>systematic training for judges, prosecutors, police officers and other law enforcement officers</w:t>
      </w:r>
      <w:r w:rsidRPr="0049619B">
        <w:rPr>
          <w:lang w:val="en-ZA"/>
        </w:rPr>
        <w:t xml:space="preserve">, training is offered by different institutions in line with their mandate. The </w:t>
      </w:r>
      <w:r w:rsidRPr="0049619B">
        <w:t xml:space="preserve">South African Judicial Education Institute (SAJEI) provide judicial education to judges, magistrates and those who aspire to be judicial officers. During the 2024/2025 reporting period, a total of 450 Magistrates, 163 court administrators and 884 justice and court administrative personnel received training on the sexual offences and related matters. </w:t>
      </w:r>
    </w:p>
    <w:p w14:paraId="208E2F57" w14:textId="77777777" w:rsidR="0049619B" w:rsidRPr="0049619B" w:rsidRDefault="0049619B" w:rsidP="00FD7CC0">
      <w:pPr>
        <w:pStyle w:val="SingleTxtG"/>
        <w:numPr>
          <w:ilvl w:val="0"/>
          <w:numId w:val="21"/>
        </w:numPr>
        <w:ind w:left="1134" w:firstLine="0"/>
        <w:rPr>
          <w:lang w:val="en-ZA"/>
        </w:rPr>
      </w:pPr>
      <w:r w:rsidRPr="0049619B">
        <w:t xml:space="preserve">The National Prosecuting Authority provided sexual offences training to a total of 1103 officials during the 2024/2025 financial year as detailed below: </w:t>
      </w:r>
    </w:p>
    <w:tbl>
      <w:tblPr>
        <w:tblStyle w:val="GridTable4-Accent1"/>
        <w:tblW w:w="737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67"/>
        <w:gridCol w:w="2331"/>
        <w:gridCol w:w="2372"/>
      </w:tblGrid>
      <w:tr w:rsidR="0049619B" w:rsidRPr="00B27B06" w14:paraId="594DA8C4" w14:textId="77777777" w:rsidTr="00B27B0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09" w:type="pct"/>
            <w:tcBorders>
              <w:top w:val="single" w:sz="4" w:space="0" w:color="auto"/>
              <w:left w:val="none" w:sz="0" w:space="0" w:color="auto"/>
              <w:bottom w:val="single" w:sz="12" w:space="0" w:color="auto"/>
              <w:right w:val="none" w:sz="0" w:space="0" w:color="auto"/>
            </w:tcBorders>
            <w:shd w:val="clear" w:color="auto" w:fill="auto"/>
            <w:vAlign w:val="bottom"/>
          </w:tcPr>
          <w:p w14:paraId="09BAEF68" w14:textId="77777777" w:rsidR="0049619B" w:rsidRPr="00B27B06" w:rsidRDefault="0049619B" w:rsidP="00B27B06">
            <w:pPr>
              <w:pStyle w:val="SingleTxtG"/>
              <w:tabs>
                <w:tab w:val="clear" w:pos="1701"/>
                <w:tab w:val="clear" w:pos="2268"/>
                <w:tab w:val="clear" w:pos="2835"/>
              </w:tabs>
              <w:suppressAutoHyphens w:val="0"/>
              <w:spacing w:before="80" w:after="80" w:line="200" w:lineRule="exact"/>
              <w:ind w:left="0" w:right="0"/>
              <w:jc w:val="left"/>
              <w:rPr>
                <w:b w:val="0"/>
                <w:i/>
                <w:color w:val="auto"/>
                <w:sz w:val="16"/>
                <w:lang w:val="en-ZA"/>
              </w:rPr>
            </w:pPr>
            <w:r w:rsidRPr="00B27B06">
              <w:rPr>
                <w:b w:val="0"/>
                <w:i/>
                <w:color w:val="auto"/>
                <w:sz w:val="16"/>
                <w:lang w:val="en-ZA"/>
              </w:rPr>
              <w:lastRenderedPageBreak/>
              <w:t>Training interventions</w:t>
            </w:r>
          </w:p>
        </w:tc>
        <w:tc>
          <w:tcPr>
            <w:tcW w:w="1581" w:type="pct"/>
            <w:tcBorders>
              <w:top w:val="single" w:sz="4" w:space="0" w:color="auto"/>
              <w:left w:val="none" w:sz="0" w:space="0" w:color="auto"/>
              <w:bottom w:val="single" w:sz="12" w:space="0" w:color="auto"/>
              <w:right w:val="none" w:sz="0" w:space="0" w:color="auto"/>
            </w:tcBorders>
            <w:shd w:val="clear" w:color="auto" w:fill="auto"/>
            <w:vAlign w:val="bottom"/>
          </w:tcPr>
          <w:p w14:paraId="637F113E" w14:textId="77777777" w:rsidR="0049619B" w:rsidRPr="00B27B06" w:rsidRDefault="0049619B" w:rsidP="00B27B06">
            <w:pPr>
              <w:pStyle w:val="SingleTxtG"/>
              <w:tabs>
                <w:tab w:val="clear" w:pos="1701"/>
                <w:tab w:val="clear" w:pos="2268"/>
                <w:tab w:val="clear" w:pos="2835"/>
              </w:tabs>
              <w:suppressAutoHyphens w:val="0"/>
              <w:spacing w:before="80" w:after="80" w:line="200" w:lineRule="exact"/>
              <w:ind w:left="0" w:right="0"/>
              <w:jc w:val="right"/>
              <w:cnfStyle w:val="100000000000" w:firstRow="1" w:lastRow="0" w:firstColumn="0" w:lastColumn="0" w:oddVBand="0" w:evenVBand="0" w:oddHBand="0" w:evenHBand="0" w:firstRowFirstColumn="0" w:firstRowLastColumn="0" w:lastRowFirstColumn="0" w:lastRowLastColumn="0"/>
              <w:rPr>
                <w:b w:val="0"/>
                <w:i/>
                <w:color w:val="auto"/>
                <w:sz w:val="16"/>
                <w:lang w:val="en-ZA"/>
              </w:rPr>
            </w:pPr>
            <w:r w:rsidRPr="00B27B06">
              <w:rPr>
                <w:b w:val="0"/>
                <w:i/>
                <w:color w:val="auto"/>
                <w:sz w:val="16"/>
                <w:lang w:val="en-ZA"/>
              </w:rPr>
              <w:t>No of sessions</w:t>
            </w:r>
          </w:p>
        </w:tc>
        <w:tc>
          <w:tcPr>
            <w:tcW w:w="1609" w:type="pct"/>
            <w:tcBorders>
              <w:top w:val="single" w:sz="4" w:space="0" w:color="auto"/>
              <w:left w:val="none" w:sz="0" w:space="0" w:color="auto"/>
              <w:bottom w:val="single" w:sz="12" w:space="0" w:color="auto"/>
              <w:right w:val="none" w:sz="0" w:space="0" w:color="auto"/>
            </w:tcBorders>
            <w:shd w:val="clear" w:color="auto" w:fill="auto"/>
            <w:vAlign w:val="bottom"/>
          </w:tcPr>
          <w:p w14:paraId="1CC554A9" w14:textId="77777777" w:rsidR="0049619B" w:rsidRPr="00B27B06" w:rsidRDefault="0049619B" w:rsidP="00B27B06">
            <w:pPr>
              <w:pStyle w:val="SingleTxtG"/>
              <w:tabs>
                <w:tab w:val="clear" w:pos="1701"/>
                <w:tab w:val="clear" w:pos="2268"/>
                <w:tab w:val="clear" w:pos="2835"/>
              </w:tabs>
              <w:suppressAutoHyphens w:val="0"/>
              <w:spacing w:before="80" w:after="80" w:line="200" w:lineRule="exact"/>
              <w:ind w:left="0" w:right="0"/>
              <w:jc w:val="right"/>
              <w:cnfStyle w:val="100000000000" w:firstRow="1" w:lastRow="0" w:firstColumn="0" w:lastColumn="0" w:oddVBand="0" w:evenVBand="0" w:oddHBand="0" w:evenHBand="0" w:firstRowFirstColumn="0" w:firstRowLastColumn="0" w:lastRowFirstColumn="0" w:lastRowLastColumn="0"/>
              <w:rPr>
                <w:b w:val="0"/>
                <w:i/>
                <w:color w:val="auto"/>
                <w:sz w:val="16"/>
                <w:lang w:val="en-ZA"/>
              </w:rPr>
            </w:pPr>
            <w:r w:rsidRPr="00B27B06">
              <w:rPr>
                <w:b w:val="0"/>
                <w:i/>
                <w:color w:val="auto"/>
                <w:sz w:val="16"/>
                <w:lang w:val="en-ZA"/>
              </w:rPr>
              <w:t xml:space="preserve">No Officials </w:t>
            </w:r>
          </w:p>
        </w:tc>
      </w:tr>
      <w:tr w:rsidR="0049619B" w:rsidRPr="00B27B06" w14:paraId="439213FC" w14:textId="77777777" w:rsidTr="00B27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pct"/>
            <w:tcBorders>
              <w:top w:val="single" w:sz="12" w:space="0" w:color="auto"/>
            </w:tcBorders>
            <w:shd w:val="clear" w:color="auto" w:fill="auto"/>
          </w:tcPr>
          <w:p w14:paraId="13504B16"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left"/>
              <w:rPr>
                <w:sz w:val="18"/>
                <w:lang w:val="en-ZA"/>
              </w:rPr>
            </w:pPr>
            <w:r w:rsidRPr="00B27B06">
              <w:rPr>
                <w:sz w:val="18"/>
                <w:lang w:val="en-ZA"/>
              </w:rPr>
              <w:t>Sexual offences</w:t>
            </w:r>
          </w:p>
        </w:tc>
        <w:tc>
          <w:tcPr>
            <w:tcW w:w="1581" w:type="pct"/>
            <w:tcBorders>
              <w:top w:val="single" w:sz="12" w:space="0" w:color="auto"/>
            </w:tcBorders>
            <w:shd w:val="clear" w:color="auto" w:fill="auto"/>
            <w:vAlign w:val="bottom"/>
          </w:tcPr>
          <w:p w14:paraId="0A5D4358"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B27B06">
              <w:rPr>
                <w:sz w:val="18"/>
                <w:lang w:val="en-ZA"/>
              </w:rPr>
              <w:t>3</w:t>
            </w:r>
          </w:p>
        </w:tc>
        <w:tc>
          <w:tcPr>
            <w:tcW w:w="1609" w:type="pct"/>
            <w:tcBorders>
              <w:top w:val="single" w:sz="12" w:space="0" w:color="auto"/>
            </w:tcBorders>
            <w:shd w:val="clear" w:color="auto" w:fill="auto"/>
            <w:vAlign w:val="bottom"/>
          </w:tcPr>
          <w:p w14:paraId="36ED2ADC"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B27B06">
              <w:rPr>
                <w:sz w:val="18"/>
                <w:lang w:val="en-ZA"/>
              </w:rPr>
              <w:t>175</w:t>
            </w:r>
          </w:p>
        </w:tc>
      </w:tr>
      <w:tr w:rsidR="0049619B" w:rsidRPr="00B27B06" w14:paraId="464C6C01" w14:textId="77777777" w:rsidTr="00B27B06">
        <w:tc>
          <w:tcPr>
            <w:cnfStyle w:val="001000000000" w:firstRow="0" w:lastRow="0" w:firstColumn="1" w:lastColumn="0" w:oddVBand="0" w:evenVBand="0" w:oddHBand="0" w:evenHBand="0" w:firstRowFirstColumn="0" w:firstRowLastColumn="0" w:lastRowFirstColumn="0" w:lastRowLastColumn="0"/>
            <w:tcW w:w="1809" w:type="pct"/>
          </w:tcPr>
          <w:p w14:paraId="5615911F"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left"/>
              <w:rPr>
                <w:sz w:val="18"/>
                <w:lang w:val="en-ZA"/>
              </w:rPr>
            </w:pPr>
            <w:r w:rsidRPr="00B27B06">
              <w:rPr>
                <w:sz w:val="18"/>
                <w:lang w:val="en-ZA"/>
              </w:rPr>
              <w:t xml:space="preserve">Trafficking in persons </w:t>
            </w:r>
          </w:p>
        </w:tc>
        <w:tc>
          <w:tcPr>
            <w:tcW w:w="1581" w:type="pct"/>
            <w:vAlign w:val="bottom"/>
          </w:tcPr>
          <w:p w14:paraId="146D45A7"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B27B06">
              <w:rPr>
                <w:sz w:val="18"/>
                <w:lang w:val="en-ZA"/>
              </w:rPr>
              <w:t>3</w:t>
            </w:r>
          </w:p>
        </w:tc>
        <w:tc>
          <w:tcPr>
            <w:tcW w:w="1609" w:type="pct"/>
            <w:vAlign w:val="bottom"/>
          </w:tcPr>
          <w:p w14:paraId="3F15E704"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B27B06">
              <w:rPr>
                <w:sz w:val="18"/>
                <w:lang w:val="en-ZA"/>
              </w:rPr>
              <w:t>192</w:t>
            </w:r>
          </w:p>
        </w:tc>
      </w:tr>
      <w:tr w:rsidR="0049619B" w:rsidRPr="00B27B06" w14:paraId="72776B74" w14:textId="77777777" w:rsidTr="00B27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pct"/>
            <w:shd w:val="clear" w:color="auto" w:fill="auto"/>
          </w:tcPr>
          <w:p w14:paraId="7CD83D3F"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left"/>
              <w:rPr>
                <w:sz w:val="18"/>
                <w:lang w:val="en-ZA"/>
              </w:rPr>
            </w:pPr>
            <w:r w:rsidRPr="00B27B06">
              <w:rPr>
                <w:sz w:val="18"/>
                <w:lang w:val="en-ZA"/>
              </w:rPr>
              <w:t xml:space="preserve">Ad hoc training </w:t>
            </w:r>
          </w:p>
        </w:tc>
        <w:tc>
          <w:tcPr>
            <w:tcW w:w="1581" w:type="pct"/>
            <w:shd w:val="clear" w:color="auto" w:fill="auto"/>
            <w:vAlign w:val="bottom"/>
          </w:tcPr>
          <w:p w14:paraId="0EB2A6C1"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B27B06">
              <w:rPr>
                <w:sz w:val="18"/>
                <w:lang w:val="en-ZA"/>
              </w:rPr>
              <w:t>22</w:t>
            </w:r>
          </w:p>
        </w:tc>
        <w:tc>
          <w:tcPr>
            <w:tcW w:w="1609" w:type="pct"/>
            <w:shd w:val="clear" w:color="auto" w:fill="auto"/>
            <w:vAlign w:val="bottom"/>
          </w:tcPr>
          <w:p w14:paraId="76B4002B"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B27B06">
              <w:rPr>
                <w:sz w:val="18"/>
                <w:lang w:val="en-ZA"/>
              </w:rPr>
              <w:t>264</w:t>
            </w:r>
          </w:p>
        </w:tc>
      </w:tr>
      <w:tr w:rsidR="0049619B" w:rsidRPr="00B27B06" w14:paraId="4FFBA8E4" w14:textId="77777777" w:rsidTr="00B27B06">
        <w:tc>
          <w:tcPr>
            <w:cnfStyle w:val="001000000000" w:firstRow="0" w:lastRow="0" w:firstColumn="1" w:lastColumn="0" w:oddVBand="0" w:evenVBand="0" w:oddHBand="0" w:evenHBand="0" w:firstRowFirstColumn="0" w:firstRowLastColumn="0" w:lastRowFirstColumn="0" w:lastRowLastColumn="0"/>
            <w:tcW w:w="1809" w:type="pct"/>
          </w:tcPr>
          <w:p w14:paraId="6A622877"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left"/>
              <w:rPr>
                <w:sz w:val="18"/>
                <w:lang w:val="en-ZA"/>
              </w:rPr>
            </w:pPr>
            <w:r w:rsidRPr="00B27B06">
              <w:rPr>
                <w:sz w:val="18"/>
                <w:lang w:val="en-ZA"/>
              </w:rPr>
              <w:t xml:space="preserve">Human Trafficking institute </w:t>
            </w:r>
          </w:p>
        </w:tc>
        <w:tc>
          <w:tcPr>
            <w:tcW w:w="1581" w:type="pct"/>
            <w:vAlign w:val="bottom"/>
          </w:tcPr>
          <w:p w14:paraId="52B749A7"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B27B06">
              <w:rPr>
                <w:sz w:val="18"/>
                <w:lang w:val="en-ZA"/>
              </w:rPr>
              <w:t>1</w:t>
            </w:r>
          </w:p>
        </w:tc>
        <w:tc>
          <w:tcPr>
            <w:tcW w:w="1609" w:type="pct"/>
            <w:vAlign w:val="bottom"/>
          </w:tcPr>
          <w:p w14:paraId="5C915F23"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B27B06">
              <w:rPr>
                <w:sz w:val="18"/>
                <w:lang w:val="en-ZA"/>
              </w:rPr>
              <w:t>112</w:t>
            </w:r>
          </w:p>
        </w:tc>
      </w:tr>
      <w:tr w:rsidR="0049619B" w:rsidRPr="00B27B06" w14:paraId="4CEA2F4F" w14:textId="77777777" w:rsidTr="00B27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pct"/>
            <w:shd w:val="clear" w:color="auto" w:fill="auto"/>
          </w:tcPr>
          <w:p w14:paraId="048B113E"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left"/>
              <w:rPr>
                <w:sz w:val="18"/>
                <w:lang w:val="en-ZA"/>
              </w:rPr>
            </w:pPr>
            <w:r w:rsidRPr="00B27B06">
              <w:rPr>
                <w:sz w:val="18"/>
                <w:lang w:val="en-ZA"/>
              </w:rPr>
              <w:t>TCC Stakeholders</w:t>
            </w:r>
          </w:p>
        </w:tc>
        <w:tc>
          <w:tcPr>
            <w:tcW w:w="1581" w:type="pct"/>
            <w:shd w:val="clear" w:color="auto" w:fill="auto"/>
            <w:vAlign w:val="bottom"/>
          </w:tcPr>
          <w:p w14:paraId="662125E7"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B27B06">
              <w:rPr>
                <w:sz w:val="18"/>
                <w:lang w:val="en-ZA"/>
              </w:rPr>
              <w:t>20</w:t>
            </w:r>
          </w:p>
        </w:tc>
        <w:tc>
          <w:tcPr>
            <w:tcW w:w="1609" w:type="pct"/>
            <w:shd w:val="clear" w:color="auto" w:fill="auto"/>
            <w:vAlign w:val="bottom"/>
          </w:tcPr>
          <w:p w14:paraId="20B7F978"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B27B06">
              <w:rPr>
                <w:sz w:val="18"/>
                <w:lang w:val="en-ZA"/>
              </w:rPr>
              <w:t>187</w:t>
            </w:r>
          </w:p>
        </w:tc>
      </w:tr>
      <w:tr w:rsidR="0049619B" w:rsidRPr="00B27B06" w14:paraId="3D7D30E5" w14:textId="77777777" w:rsidTr="00B27B06">
        <w:tc>
          <w:tcPr>
            <w:cnfStyle w:val="001000000000" w:firstRow="0" w:lastRow="0" w:firstColumn="1" w:lastColumn="0" w:oddVBand="0" w:evenVBand="0" w:oddHBand="0" w:evenHBand="0" w:firstRowFirstColumn="0" w:firstRowLastColumn="0" w:lastRowFirstColumn="0" w:lastRowLastColumn="0"/>
            <w:tcW w:w="1809" w:type="pct"/>
          </w:tcPr>
          <w:p w14:paraId="4F25C4D0"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left"/>
              <w:rPr>
                <w:sz w:val="18"/>
                <w:lang w:val="en-ZA"/>
              </w:rPr>
            </w:pPr>
            <w:r w:rsidRPr="00B27B06">
              <w:rPr>
                <w:sz w:val="18"/>
                <w:lang w:val="en-ZA"/>
              </w:rPr>
              <w:t>Military police</w:t>
            </w:r>
          </w:p>
        </w:tc>
        <w:tc>
          <w:tcPr>
            <w:tcW w:w="1581" w:type="pct"/>
            <w:vAlign w:val="bottom"/>
          </w:tcPr>
          <w:p w14:paraId="76FC349A"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B27B06">
              <w:rPr>
                <w:sz w:val="18"/>
                <w:lang w:val="en-ZA"/>
              </w:rPr>
              <w:t>1</w:t>
            </w:r>
          </w:p>
        </w:tc>
        <w:tc>
          <w:tcPr>
            <w:tcW w:w="1609" w:type="pct"/>
            <w:vAlign w:val="bottom"/>
          </w:tcPr>
          <w:p w14:paraId="447AFE5E"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B27B06">
              <w:rPr>
                <w:sz w:val="18"/>
                <w:lang w:val="en-ZA"/>
              </w:rPr>
              <w:t>35</w:t>
            </w:r>
          </w:p>
        </w:tc>
      </w:tr>
      <w:tr w:rsidR="0049619B" w:rsidRPr="00B27B06" w14:paraId="67ACF828" w14:textId="77777777" w:rsidTr="00B27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pct"/>
            <w:shd w:val="clear" w:color="auto" w:fill="auto"/>
          </w:tcPr>
          <w:p w14:paraId="06C98561"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left"/>
              <w:rPr>
                <w:sz w:val="18"/>
                <w:lang w:val="en-ZA"/>
              </w:rPr>
            </w:pPr>
            <w:r w:rsidRPr="00B27B06">
              <w:rPr>
                <w:sz w:val="18"/>
                <w:lang w:val="en-ZA"/>
              </w:rPr>
              <w:t xml:space="preserve">Court Preparation </w:t>
            </w:r>
          </w:p>
        </w:tc>
        <w:tc>
          <w:tcPr>
            <w:tcW w:w="1581" w:type="pct"/>
            <w:shd w:val="clear" w:color="auto" w:fill="auto"/>
            <w:vAlign w:val="bottom"/>
          </w:tcPr>
          <w:p w14:paraId="7C0E98F3"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B27B06">
              <w:rPr>
                <w:sz w:val="18"/>
                <w:lang w:val="en-ZA"/>
              </w:rPr>
              <w:t>2</w:t>
            </w:r>
          </w:p>
        </w:tc>
        <w:tc>
          <w:tcPr>
            <w:tcW w:w="1609" w:type="pct"/>
            <w:shd w:val="clear" w:color="auto" w:fill="auto"/>
            <w:vAlign w:val="bottom"/>
          </w:tcPr>
          <w:p w14:paraId="570EA3C1"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B27B06">
              <w:rPr>
                <w:sz w:val="18"/>
                <w:lang w:val="en-ZA"/>
              </w:rPr>
              <w:t>138</w:t>
            </w:r>
          </w:p>
        </w:tc>
      </w:tr>
      <w:tr w:rsidR="0049619B" w:rsidRPr="00B27B06" w14:paraId="2EA20628" w14:textId="77777777" w:rsidTr="00B27B06">
        <w:tc>
          <w:tcPr>
            <w:cnfStyle w:val="001000000000" w:firstRow="0" w:lastRow="0" w:firstColumn="1" w:lastColumn="0" w:oddVBand="0" w:evenVBand="0" w:oddHBand="0" w:evenHBand="0" w:firstRowFirstColumn="0" w:firstRowLastColumn="0" w:lastRowFirstColumn="0" w:lastRowLastColumn="0"/>
            <w:tcW w:w="1809" w:type="pct"/>
            <w:tcBorders>
              <w:bottom w:val="single" w:sz="12" w:space="0" w:color="auto"/>
            </w:tcBorders>
          </w:tcPr>
          <w:p w14:paraId="71B8F696"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left"/>
              <w:rPr>
                <w:sz w:val="18"/>
                <w:lang w:val="en-ZA"/>
              </w:rPr>
            </w:pPr>
            <w:r w:rsidRPr="00B27B06">
              <w:rPr>
                <w:sz w:val="18"/>
                <w:lang w:val="en-ZA"/>
              </w:rPr>
              <w:t>Total</w:t>
            </w:r>
          </w:p>
        </w:tc>
        <w:tc>
          <w:tcPr>
            <w:tcW w:w="1581" w:type="pct"/>
            <w:tcBorders>
              <w:bottom w:val="single" w:sz="12" w:space="0" w:color="auto"/>
            </w:tcBorders>
            <w:vAlign w:val="bottom"/>
          </w:tcPr>
          <w:p w14:paraId="5FD8D373"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b/>
                <w:bCs/>
                <w:sz w:val="18"/>
                <w:lang w:val="en-ZA"/>
              </w:rPr>
            </w:pPr>
            <w:r w:rsidRPr="00B27B06">
              <w:rPr>
                <w:b/>
                <w:bCs/>
                <w:sz w:val="18"/>
                <w:lang w:val="en-ZA"/>
              </w:rPr>
              <w:t>52</w:t>
            </w:r>
          </w:p>
        </w:tc>
        <w:tc>
          <w:tcPr>
            <w:tcW w:w="1609" w:type="pct"/>
            <w:tcBorders>
              <w:bottom w:val="single" w:sz="12" w:space="0" w:color="auto"/>
            </w:tcBorders>
            <w:vAlign w:val="bottom"/>
          </w:tcPr>
          <w:p w14:paraId="1C34BF77"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b/>
                <w:bCs/>
                <w:sz w:val="18"/>
                <w:lang w:val="en-ZA"/>
              </w:rPr>
            </w:pPr>
            <w:r w:rsidRPr="00B27B06">
              <w:rPr>
                <w:b/>
                <w:bCs/>
                <w:sz w:val="18"/>
                <w:lang w:val="en-ZA"/>
              </w:rPr>
              <w:t>1103</w:t>
            </w:r>
          </w:p>
        </w:tc>
      </w:tr>
    </w:tbl>
    <w:p w14:paraId="721E4263" w14:textId="77777777" w:rsidR="0049619B" w:rsidRPr="0049619B" w:rsidRDefault="0049619B" w:rsidP="00FD7CC0">
      <w:pPr>
        <w:pStyle w:val="SingleTxtG"/>
        <w:numPr>
          <w:ilvl w:val="0"/>
          <w:numId w:val="21"/>
        </w:numPr>
        <w:ind w:left="1134" w:firstLine="0"/>
        <w:rPr>
          <w:lang w:val="en-ZA"/>
        </w:rPr>
      </w:pPr>
      <w:r w:rsidRPr="0049619B">
        <w:rPr>
          <w:lang w:val="en-ZA"/>
        </w:rPr>
        <w:t xml:space="preserve">All prosecutors are trained to implement the Sexual Offences and Related Matters Act and ensure impactful prosecutions which has resulted in the National Prosecuting Authority consistently achieving a target of 70% conviction rate. </w:t>
      </w:r>
    </w:p>
    <w:p w14:paraId="0DE5D5B7" w14:textId="77777777" w:rsidR="0049619B" w:rsidRPr="0049619B" w:rsidRDefault="0049619B" w:rsidP="0049619B">
      <w:pPr>
        <w:pStyle w:val="SingleTxtG"/>
        <w:rPr>
          <w:b/>
          <w:bCs/>
          <w:lang w:val="en-ZA"/>
        </w:rPr>
      </w:pPr>
      <w:r w:rsidRPr="0049619B">
        <w:rPr>
          <w:b/>
          <w:bCs/>
          <w:lang w:val="en-ZA"/>
        </w:rPr>
        <w:t>Convictions on Sexual offences cases</w:t>
      </w:r>
    </w:p>
    <w:tbl>
      <w:tblPr>
        <w:tblStyle w:val="TableGrid"/>
        <w:tblW w:w="737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51"/>
        <w:gridCol w:w="1224"/>
        <w:gridCol w:w="1224"/>
        <w:gridCol w:w="1224"/>
        <w:gridCol w:w="1224"/>
        <w:gridCol w:w="1223"/>
      </w:tblGrid>
      <w:tr w:rsidR="0049619B" w:rsidRPr="00B27B06" w14:paraId="1270A0FD" w14:textId="77777777" w:rsidTr="00B27B06">
        <w:trPr>
          <w:tblHeader/>
        </w:trPr>
        <w:tc>
          <w:tcPr>
            <w:tcW w:w="848" w:type="pct"/>
            <w:tcBorders>
              <w:top w:val="single" w:sz="4" w:space="0" w:color="auto"/>
              <w:bottom w:val="single" w:sz="12" w:space="0" w:color="auto"/>
            </w:tcBorders>
            <w:vAlign w:val="bottom"/>
          </w:tcPr>
          <w:p w14:paraId="454489CC" w14:textId="77777777" w:rsidR="0049619B" w:rsidRPr="00B27B06" w:rsidRDefault="0049619B" w:rsidP="00B27B06">
            <w:pPr>
              <w:pStyle w:val="SingleTxtG"/>
              <w:tabs>
                <w:tab w:val="clear" w:pos="1701"/>
                <w:tab w:val="clear" w:pos="2268"/>
                <w:tab w:val="clear" w:pos="2835"/>
              </w:tabs>
              <w:suppressAutoHyphens w:val="0"/>
              <w:spacing w:before="80" w:after="80" w:line="200" w:lineRule="exact"/>
              <w:ind w:left="0" w:right="0"/>
              <w:jc w:val="left"/>
              <w:rPr>
                <w:bCs/>
                <w:i/>
                <w:sz w:val="16"/>
                <w:lang w:val="en-ZA"/>
              </w:rPr>
            </w:pPr>
            <w:r w:rsidRPr="00B27B06">
              <w:rPr>
                <w:bCs/>
                <w:i/>
                <w:sz w:val="16"/>
                <w:lang w:val="en-ZA"/>
              </w:rPr>
              <w:t xml:space="preserve">Financial Years </w:t>
            </w:r>
          </w:p>
        </w:tc>
        <w:tc>
          <w:tcPr>
            <w:tcW w:w="830" w:type="pct"/>
            <w:tcBorders>
              <w:top w:val="single" w:sz="4" w:space="0" w:color="auto"/>
              <w:bottom w:val="single" w:sz="12" w:space="0" w:color="auto"/>
            </w:tcBorders>
            <w:vAlign w:val="bottom"/>
          </w:tcPr>
          <w:p w14:paraId="7167396A" w14:textId="77777777" w:rsidR="0049619B" w:rsidRPr="00B27B06" w:rsidRDefault="0049619B" w:rsidP="00B27B06">
            <w:pPr>
              <w:pStyle w:val="SingleTxtG"/>
              <w:tabs>
                <w:tab w:val="clear" w:pos="1701"/>
                <w:tab w:val="clear" w:pos="2268"/>
                <w:tab w:val="clear" w:pos="2835"/>
              </w:tabs>
              <w:suppressAutoHyphens w:val="0"/>
              <w:spacing w:before="80" w:after="80" w:line="200" w:lineRule="exact"/>
              <w:ind w:left="0" w:right="0"/>
              <w:jc w:val="right"/>
              <w:rPr>
                <w:bCs/>
                <w:i/>
                <w:sz w:val="16"/>
                <w:lang w:val="en-ZA"/>
              </w:rPr>
            </w:pPr>
            <w:r w:rsidRPr="00B27B06">
              <w:rPr>
                <w:bCs/>
                <w:i/>
                <w:sz w:val="16"/>
                <w:lang w:val="en-ZA"/>
              </w:rPr>
              <w:t>2020/2021</w:t>
            </w:r>
          </w:p>
        </w:tc>
        <w:tc>
          <w:tcPr>
            <w:tcW w:w="830" w:type="pct"/>
            <w:tcBorders>
              <w:top w:val="single" w:sz="4" w:space="0" w:color="auto"/>
              <w:bottom w:val="single" w:sz="12" w:space="0" w:color="auto"/>
            </w:tcBorders>
            <w:vAlign w:val="bottom"/>
          </w:tcPr>
          <w:p w14:paraId="20127D56" w14:textId="77777777" w:rsidR="0049619B" w:rsidRPr="00B27B06" w:rsidRDefault="0049619B" w:rsidP="00B27B06">
            <w:pPr>
              <w:pStyle w:val="SingleTxtG"/>
              <w:tabs>
                <w:tab w:val="clear" w:pos="1701"/>
                <w:tab w:val="clear" w:pos="2268"/>
                <w:tab w:val="clear" w:pos="2835"/>
              </w:tabs>
              <w:suppressAutoHyphens w:val="0"/>
              <w:spacing w:before="80" w:after="80" w:line="200" w:lineRule="exact"/>
              <w:ind w:left="0" w:right="0"/>
              <w:jc w:val="right"/>
              <w:rPr>
                <w:bCs/>
                <w:i/>
                <w:sz w:val="16"/>
                <w:lang w:val="en-ZA"/>
              </w:rPr>
            </w:pPr>
            <w:r w:rsidRPr="00B27B06">
              <w:rPr>
                <w:bCs/>
                <w:i/>
                <w:sz w:val="16"/>
                <w:lang w:val="en-ZA"/>
              </w:rPr>
              <w:t>2021/2022</w:t>
            </w:r>
          </w:p>
        </w:tc>
        <w:tc>
          <w:tcPr>
            <w:tcW w:w="830" w:type="pct"/>
            <w:tcBorders>
              <w:top w:val="single" w:sz="4" w:space="0" w:color="auto"/>
              <w:bottom w:val="single" w:sz="12" w:space="0" w:color="auto"/>
            </w:tcBorders>
            <w:vAlign w:val="bottom"/>
          </w:tcPr>
          <w:p w14:paraId="005F2064" w14:textId="77777777" w:rsidR="0049619B" w:rsidRPr="00B27B06" w:rsidRDefault="0049619B" w:rsidP="00B27B06">
            <w:pPr>
              <w:pStyle w:val="SingleTxtG"/>
              <w:tabs>
                <w:tab w:val="clear" w:pos="1701"/>
                <w:tab w:val="clear" w:pos="2268"/>
                <w:tab w:val="clear" w:pos="2835"/>
              </w:tabs>
              <w:suppressAutoHyphens w:val="0"/>
              <w:spacing w:before="80" w:after="80" w:line="200" w:lineRule="exact"/>
              <w:ind w:left="0" w:right="0"/>
              <w:jc w:val="right"/>
              <w:rPr>
                <w:bCs/>
                <w:i/>
                <w:sz w:val="16"/>
                <w:lang w:val="en-ZA"/>
              </w:rPr>
            </w:pPr>
            <w:r w:rsidRPr="00B27B06">
              <w:rPr>
                <w:bCs/>
                <w:i/>
                <w:sz w:val="16"/>
                <w:lang w:val="en-ZA"/>
              </w:rPr>
              <w:t>2022/2023</w:t>
            </w:r>
          </w:p>
        </w:tc>
        <w:tc>
          <w:tcPr>
            <w:tcW w:w="830" w:type="pct"/>
            <w:tcBorders>
              <w:top w:val="single" w:sz="4" w:space="0" w:color="auto"/>
              <w:bottom w:val="single" w:sz="12" w:space="0" w:color="auto"/>
            </w:tcBorders>
            <w:vAlign w:val="bottom"/>
          </w:tcPr>
          <w:p w14:paraId="5C6A4F21" w14:textId="77777777" w:rsidR="0049619B" w:rsidRPr="00B27B06" w:rsidRDefault="0049619B" w:rsidP="00B27B06">
            <w:pPr>
              <w:pStyle w:val="SingleTxtG"/>
              <w:tabs>
                <w:tab w:val="clear" w:pos="1701"/>
                <w:tab w:val="clear" w:pos="2268"/>
                <w:tab w:val="clear" w:pos="2835"/>
              </w:tabs>
              <w:suppressAutoHyphens w:val="0"/>
              <w:spacing w:before="80" w:after="80" w:line="200" w:lineRule="exact"/>
              <w:ind w:left="0" w:right="0"/>
              <w:jc w:val="right"/>
              <w:rPr>
                <w:bCs/>
                <w:i/>
                <w:sz w:val="16"/>
                <w:lang w:val="en-ZA"/>
              </w:rPr>
            </w:pPr>
            <w:r w:rsidRPr="00B27B06">
              <w:rPr>
                <w:bCs/>
                <w:i/>
                <w:sz w:val="16"/>
                <w:lang w:val="en-ZA"/>
              </w:rPr>
              <w:t>2023/2024</w:t>
            </w:r>
          </w:p>
        </w:tc>
        <w:tc>
          <w:tcPr>
            <w:tcW w:w="830" w:type="pct"/>
            <w:tcBorders>
              <w:top w:val="single" w:sz="4" w:space="0" w:color="auto"/>
              <w:bottom w:val="single" w:sz="12" w:space="0" w:color="auto"/>
            </w:tcBorders>
            <w:vAlign w:val="bottom"/>
          </w:tcPr>
          <w:p w14:paraId="756A84AC" w14:textId="77777777" w:rsidR="0049619B" w:rsidRPr="00B27B06" w:rsidRDefault="0049619B" w:rsidP="00B27B06">
            <w:pPr>
              <w:pStyle w:val="SingleTxtG"/>
              <w:tabs>
                <w:tab w:val="clear" w:pos="1701"/>
                <w:tab w:val="clear" w:pos="2268"/>
                <w:tab w:val="clear" w:pos="2835"/>
              </w:tabs>
              <w:suppressAutoHyphens w:val="0"/>
              <w:spacing w:before="80" w:after="80" w:line="200" w:lineRule="exact"/>
              <w:ind w:left="0" w:right="0"/>
              <w:jc w:val="right"/>
              <w:rPr>
                <w:bCs/>
                <w:i/>
                <w:sz w:val="16"/>
                <w:lang w:val="en-ZA"/>
              </w:rPr>
            </w:pPr>
            <w:r w:rsidRPr="00B27B06">
              <w:rPr>
                <w:bCs/>
                <w:i/>
                <w:sz w:val="16"/>
                <w:lang w:val="en-ZA"/>
              </w:rPr>
              <w:t>2024/2025</w:t>
            </w:r>
          </w:p>
        </w:tc>
      </w:tr>
      <w:tr w:rsidR="0049619B" w:rsidRPr="00B27B06" w14:paraId="4982838B" w14:textId="77777777" w:rsidTr="00B27B06">
        <w:tc>
          <w:tcPr>
            <w:tcW w:w="848" w:type="pct"/>
            <w:tcBorders>
              <w:top w:val="single" w:sz="12" w:space="0" w:color="auto"/>
            </w:tcBorders>
          </w:tcPr>
          <w:p w14:paraId="05DCCFF9"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left"/>
              <w:rPr>
                <w:sz w:val="18"/>
                <w:lang w:val="en-ZA"/>
              </w:rPr>
            </w:pPr>
            <w:r w:rsidRPr="00B27B06">
              <w:rPr>
                <w:sz w:val="18"/>
                <w:lang w:val="en-ZA"/>
              </w:rPr>
              <w:t>Conviction %</w:t>
            </w:r>
          </w:p>
        </w:tc>
        <w:tc>
          <w:tcPr>
            <w:tcW w:w="830" w:type="pct"/>
            <w:tcBorders>
              <w:top w:val="single" w:sz="12" w:space="0" w:color="auto"/>
            </w:tcBorders>
            <w:vAlign w:val="bottom"/>
          </w:tcPr>
          <w:p w14:paraId="03233091"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75.8%</w:t>
            </w:r>
          </w:p>
        </w:tc>
        <w:tc>
          <w:tcPr>
            <w:tcW w:w="830" w:type="pct"/>
            <w:tcBorders>
              <w:top w:val="single" w:sz="12" w:space="0" w:color="auto"/>
            </w:tcBorders>
            <w:vAlign w:val="bottom"/>
          </w:tcPr>
          <w:p w14:paraId="780AEB7C"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74.2%</w:t>
            </w:r>
          </w:p>
        </w:tc>
        <w:tc>
          <w:tcPr>
            <w:tcW w:w="830" w:type="pct"/>
            <w:tcBorders>
              <w:top w:val="single" w:sz="12" w:space="0" w:color="auto"/>
            </w:tcBorders>
            <w:vAlign w:val="bottom"/>
          </w:tcPr>
          <w:p w14:paraId="55F8F8D2"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74.9%</w:t>
            </w:r>
          </w:p>
        </w:tc>
        <w:tc>
          <w:tcPr>
            <w:tcW w:w="830" w:type="pct"/>
            <w:tcBorders>
              <w:top w:val="single" w:sz="12" w:space="0" w:color="auto"/>
            </w:tcBorders>
            <w:vAlign w:val="bottom"/>
          </w:tcPr>
          <w:p w14:paraId="4B6E7C1C"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72.3%</w:t>
            </w:r>
          </w:p>
        </w:tc>
        <w:tc>
          <w:tcPr>
            <w:tcW w:w="830" w:type="pct"/>
            <w:tcBorders>
              <w:top w:val="single" w:sz="12" w:space="0" w:color="auto"/>
            </w:tcBorders>
            <w:vAlign w:val="bottom"/>
          </w:tcPr>
          <w:p w14:paraId="689C269F"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70.5%</w:t>
            </w:r>
          </w:p>
        </w:tc>
      </w:tr>
      <w:tr w:rsidR="0049619B" w:rsidRPr="00B27B06" w14:paraId="314670E4" w14:textId="77777777" w:rsidTr="00B27B06">
        <w:tc>
          <w:tcPr>
            <w:tcW w:w="848" w:type="pct"/>
          </w:tcPr>
          <w:p w14:paraId="2EFD46E9"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left"/>
              <w:rPr>
                <w:sz w:val="18"/>
                <w:lang w:val="en-ZA"/>
              </w:rPr>
            </w:pPr>
            <w:r w:rsidRPr="00B27B06">
              <w:rPr>
                <w:sz w:val="18"/>
                <w:lang w:val="en-ZA"/>
              </w:rPr>
              <w:t>Actual convictions</w:t>
            </w:r>
          </w:p>
        </w:tc>
        <w:tc>
          <w:tcPr>
            <w:tcW w:w="830" w:type="pct"/>
            <w:vAlign w:val="bottom"/>
          </w:tcPr>
          <w:p w14:paraId="45962333"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2539</w:t>
            </w:r>
          </w:p>
        </w:tc>
        <w:tc>
          <w:tcPr>
            <w:tcW w:w="830" w:type="pct"/>
            <w:vAlign w:val="bottom"/>
          </w:tcPr>
          <w:p w14:paraId="2BD12B1A"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3402</w:t>
            </w:r>
          </w:p>
        </w:tc>
        <w:tc>
          <w:tcPr>
            <w:tcW w:w="830" w:type="pct"/>
            <w:vAlign w:val="bottom"/>
          </w:tcPr>
          <w:p w14:paraId="126F5A8B"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3451</w:t>
            </w:r>
          </w:p>
        </w:tc>
        <w:tc>
          <w:tcPr>
            <w:tcW w:w="830" w:type="pct"/>
            <w:vAlign w:val="bottom"/>
          </w:tcPr>
          <w:p w14:paraId="54F12EA8"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3813</w:t>
            </w:r>
          </w:p>
        </w:tc>
        <w:tc>
          <w:tcPr>
            <w:tcW w:w="830" w:type="pct"/>
            <w:vAlign w:val="bottom"/>
          </w:tcPr>
          <w:p w14:paraId="4397CAA8"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3724</w:t>
            </w:r>
          </w:p>
        </w:tc>
      </w:tr>
      <w:tr w:rsidR="0049619B" w:rsidRPr="00B27B06" w14:paraId="2520DF79" w14:textId="77777777" w:rsidTr="00B27B06">
        <w:tc>
          <w:tcPr>
            <w:tcW w:w="848" w:type="pct"/>
            <w:tcBorders>
              <w:bottom w:val="single" w:sz="12" w:space="0" w:color="auto"/>
            </w:tcBorders>
          </w:tcPr>
          <w:p w14:paraId="766596D8"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left"/>
              <w:rPr>
                <w:sz w:val="18"/>
                <w:lang w:val="en-ZA"/>
              </w:rPr>
            </w:pPr>
            <w:r w:rsidRPr="00B27B06">
              <w:rPr>
                <w:sz w:val="18"/>
                <w:lang w:val="en-ZA"/>
              </w:rPr>
              <w:t>Finalised cases</w:t>
            </w:r>
          </w:p>
        </w:tc>
        <w:tc>
          <w:tcPr>
            <w:tcW w:w="830" w:type="pct"/>
            <w:tcBorders>
              <w:bottom w:val="single" w:sz="12" w:space="0" w:color="auto"/>
            </w:tcBorders>
            <w:vAlign w:val="bottom"/>
          </w:tcPr>
          <w:p w14:paraId="3258C944"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3349</w:t>
            </w:r>
          </w:p>
        </w:tc>
        <w:tc>
          <w:tcPr>
            <w:tcW w:w="830" w:type="pct"/>
            <w:tcBorders>
              <w:bottom w:val="single" w:sz="12" w:space="0" w:color="auto"/>
            </w:tcBorders>
            <w:vAlign w:val="bottom"/>
          </w:tcPr>
          <w:p w14:paraId="132E05A8"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4564</w:t>
            </w:r>
          </w:p>
        </w:tc>
        <w:tc>
          <w:tcPr>
            <w:tcW w:w="830" w:type="pct"/>
            <w:tcBorders>
              <w:bottom w:val="single" w:sz="12" w:space="0" w:color="auto"/>
            </w:tcBorders>
            <w:vAlign w:val="bottom"/>
          </w:tcPr>
          <w:p w14:paraId="679BAA3D"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4606</w:t>
            </w:r>
          </w:p>
        </w:tc>
        <w:tc>
          <w:tcPr>
            <w:tcW w:w="830" w:type="pct"/>
            <w:tcBorders>
              <w:bottom w:val="single" w:sz="12" w:space="0" w:color="auto"/>
            </w:tcBorders>
            <w:vAlign w:val="bottom"/>
          </w:tcPr>
          <w:p w14:paraId="59DEC671"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5276</w:t>
            </w:r>
          </w:p>
        </w:tc>
        <w:tc>
          <w:tcPr>
            <w:tcW w:w="830" w:type="pct"/>
            <w:tcBorders>
              <w:bottom w:val="single" w:sz="12" w:space="0" w:color="auto"/>
            </w:tcBorders>
            <w:vAlign w:val="bottom"/>
          </w:tcPr>
          <w:p w14:paraId="526FC68D" w14:textId="77777777" w:rsidR="0049619B" w:rsidRPr="00B27B06" w:rsidRDefault="0049619B" w:rsidP="00B27B06">
            <w:pPr>
              <w:pStyle w:val="SingleTxtG"/>
              <w:tabs>
                <w:tab w:val="clear" w:pos="1701"/>
                <w:tab w:val="clear" w:pos="2268"/>
                <w:tab w:val="clear" w:pos="2835"/>
              </w:tabs>
              <w:suppressAutoHyphens w:val="0"/>
              <w:spacing w:before="40" w:after="40" w:line="220" w:lineRule="exact"/>
              <w:ind w:left="0" w:right="0"/>
              <w:jc w:val="right"/>
              <w:rPr>
                <w:sz w:val="18"/>
                <w:lang w:val="en-ZA"/>
              </w:rPr>
            </w:pPr>
            <w:r w:rsidRPr="00B27B06">
              <w:rPr>
                <w:sz w:val="18"/>
                <w:lang w:val="en-ZA"/>
              </w:rPr>
              <w:t>5283</w:t>
            </w:r>
          </w:p>
        </w:tc>
      </w:tr>
    </w:tbl>
    <w:p w14:paraId="7929ED09" w14:textId="42D0ED9B" w:rsidR="0049619B" w:rsidRPr="007D7D33" w:rsidRDefault="0049619B" w:rsidP="007D7D33">
      <w:pPr>
        <w:pStyle w:val="SingleTxtG"/>
      </w:pPr>
      <w:r w:rsidRPr="007D7D33">
        <w:t>Source: SORMA, 2024/2025</w:t>
      </w:r>
    </w:p>
    <w:p w14:paraId="5877686E" w14:textId="77777777" w:rsidR="0049619B" w:rsidRPr="0049619B" w:rsidRDefault="0049619B" w:rsidP="00FD7CC0">
      <w:pPr>
        <w:pStyle w:val="SingleTxtG"/>
        <w:numPr>
          <w:ilvl w:val="0"/>
          <w:numId w:val="21"/>
        </w:numPr>
        <w:ind w:left="1134" w:firstLine="0"/>
        <w:rPr>
          <w:lang w:val="en-ZA"/>
        </w:rPr>
      </w:pPr>
      <w:r w:rsidRPr="0049619B">
        <w:rPr>
          <w:lang w:val="en-ZA"/>
        </w:rPr>
        <w:t xml:space="preserve">The Department of Correctional Services provide training to correctional service officials on the management of Lesbians, Gays, Bisexual, Transgender, Intersex, and Queer, Asexual Plus (LGBTIQA+) inmates. A cumulative number of 4 498 correctional service officials received training on LGBTQI+ management between the financial year 2020/2021 and 2024/2025. </w:t>
      </w:r>
    </w:p>
    <w:p w14:paraId="77EE2F08" w14:textId="77777777" w:rsidR="0049619B" w:rsidRPr="0049619B" w:rsidRDefault="0049619B" w:rsidP="00FD7CC0">
      <w:pPr>
        <w:pStyle w:val="SingleTxtG"/>
        <w:numPr>
          <w:ilvl w:val="0"/>
          <w:numId w:val="21"/>
        </w:numPr>
        <w:ind w:left="1134" w:firstLine="0"/>
        <w:rPr>
          <w:lang w:val="en-ZA"/>
        </w:rPr>
      </w:pPr>
      <w:r w:rsidRPr="0049619B">
        <w:t xml:space="preserve">In response to </w:t>
      </w:r>
      <w:r w:rsidRPr="00EB2656">
        <w:t>recommendation 10 (c),</w:t>
      </w:r>
      <w:r w:rsidRPr="0049619B">
        <w:t xml:space="preserve"> </w:t>
      </w:r>
      <w:r w:rsidRPr="0049619B">
        <w:rPr>
          <w:lang w:val="en-ZA"/>
        </w:rPr>
        <w:t>the Department of Social Development (DSD) provides psychosocial services to victims of crime and violence. This aligns with Pillar 4 (Response, Care, Support and Healing) of the NSP-GBVF. This pillar focuses on strengthening existing response, care and support services in ways that are victim centred, and survivor focused and trauma informed to facilitate recovery and healing. Criminal Asset Recovery Account allocated funds for the continuation of support to Civil Society Organisations. This support was channelled through the Victim Empowerment Programme (VEP) located in the Department of Social Development, as part of the delivery of services to victims of GBV. A total of R85,7 million was disbursed to 312 Organisations across the nine provinces.</w:t>
      </w:r>
    </w:p>
    <w:p w14:paraId="078F3567" w14:textId="77777777" w:rsidR="0049619B" w:rsidRPr="0049619B" w:rsidRDefault="0049619B" w:rsidP="00FD7CC0">
      <w:pPr>
        <w:pStyle w:val="SingleTxtG"/>
        <w:numPr>
          <w:ilvl w:val="0"/>
          <w:numId w:val="21"/>
        </w:numPr>
        <w:ind w:left="1134" w:firstLine="0"/>
        <w:rPr>
          <w:lang w:val="en-ZA"/>
        </w:rPr>
      </w:pPr>
      <w:r w:rsidRPr="0049619B">
        <w:rPr>
          <w:lang w:val="en-ZA"/>
        </w:rPr>
        <w:t xml:space="preserve">The National Prosecuting Authority (NPA) expanded the Thuthuzela Care Centres (TCCs) to 66 facilities nation-wide. The integration of survivor-centred services reduced secondary trauma, improved conviction rates and enhanced the success of prosecutions. Over the 2024/2025 reporting period, 44 147 victims were supported through the multi-sectoral TCC model, ensuring the uncompromising priority of justice for victims of sexual and domestic violence. </w:t>
      </w:r>
    </w:p>
    <w:p w14:paraId="1C006EB0" w14:textId="77777777" w:rsidR="0049619B" w:rsidRPr="0049619B" w:rsidRDefault="0049619B" w:rsidP="00FD7CC0">
      <w:pPr>
        <w:pStyle w:val="SingleTxtG"/>
        <w:numPr>
          <w:ilvl w:val="0"/>
          <w:numId w:val="21"/>
        </w:numPr>
        <w:ind w:left="1134" w:firstLine="0"/>
        <w:rPr>
          <w:b/>
          <w:bCs/>
        </w:rPr>
      </w:pPr>
      <w:r w:rsidRPr="0049619B">
        <w:rPr>
          <w:lang w:val="en-ZA"/>
        </w:rPr>
        <w:t>The South African Police Service and the National Prosecuting Authority (NPA), through its Sexual Offences and Community Affairs Unit, has prioritised DNA backlogs, initially in respect of gender-based violence and femicide matters, and later expanded to include murder matters. The initiative has, since its implementation in October 2020, reaped substantial successes: to date, a total of 58 177 DNA reports has been sent to court prosecutors to expedite cases. This has also given rise to a prioritisation project targeting serial rapists, linked through DNA, across the country</w:t>
      </w:r>
      <w:r w:rsidRPr="0049619B">
        <w:rPr>
          <w:b/>
          <w:bCs/>
          <w:lang w:val="en-ZA"/>
        </w:rPr>
        <w:t>.</w:t>
      </w:r>
    </w:p>
    <w:p w14:paraId="57A3073D" w14:textId="77777777" w:rsidR="0049619B" w:rsidRPr="0049619B" w:rsidRDefault="0049619B" w:rsidP="00FD7CC0">
      <w:pPr>
        <w:pStyle w:val="SingleTxtG"/>
        <w:numPr>
          <w:ilvl w:val="0"/>
          <w:numId w:val="21"/>
        </w:numPr>
        <w:ind w:left="1134" w:firstLine="0"/>
        <w:rPr>
          <w:b/>
          <w:bCs/>
        </w:rPr>
      </w:pPr>
      <w:r w:rsidRPr="0049619B">
        <w:rPr>
          <w:lang w:val="en-ZA"/>
        </w:rPr>
        <w:t xml:space="preserve">On </w:t>
      </w:r>
      <w:r w:rsidRPr="00340AC8">
        <w:t>adequately funded shelters and safe houses</w:t>
      </w:r>
      <w:r w:rsidRPr="0049619B">
        <w:t xml:space="preserve">, the Department of Social Development carries the responsibility to establish shelters for victims of crime and violence particularly abused women and their children. These include the establishment of White Doors and Khuseleka One Stop Centres. The Sheltering services are provincial located and </w:t>
      </w:r>
      <w:r w:rsidRPr="0049619B">
        <w:lastRenderedPageBreak/>
        <w:t>managed. Together with the Department of Public Works and Infrastructure (DPWI), the Department of Social Development is progressing with identification of infrastructure/buildings to be handed over for the purpose of GBV as part of the Emergency Response Plan on GBV led by the Presidency.</w:t>
      </w:r>
      <w:r w:rsidRPr="0049619B">
        <w:rPr>
          <w:b/>
          <w:bCs/>
        </w:rPr>
        <w:t xml:space="preserve"> </w:t>
      </w:r>
      <w:r w:rsidRPr="0049619B">
        <w:t>The Strong intersectoral collaboration led the DPWI resulted in 46 buildings made available for shelters and interim housing for survivors of gender-based violence.</w:t>
      </w:r>
      <w:r w:rsidRPr="0049619B">
        <w:rPr>
          <w:b/>
          <w:bCs/>
        </w:rPr>
        <w:t xml:space="preserve"> </w:t>
      </w:r>
    </w:p>
    <w:p w14:paraId="24599CEF" w14:textId="77777777" w:rsidR="0049619B" w:rsidRPr="0049619B" w:rsidRDefault="0049619B" w:rsidP="004D2700">
      <w:pPr>
        <w:pStyle w:val="Heading1"/>
        <w:jc w:val="center"/>
        <w:rPr>
          <w:lang w:val="en-ZA"/>
        </w:rPr>
      </w:pPr>
      <w:r w:rsidRPr="0049619B">
        <w:rPr>
          <w:lang w:val="en-ZA"/>
        </w:rPr>
        <w:t>Summary of the Sheltering Service (2024/2025)</w:t>
      </w:r>
    </w:p>
    <w:tbl>
      <w:tblPr>
        <w:tblStyle w:val="GridTable5Dark-Accent1"/>
        <w:tblW w:w="737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603"/>
        <w:gridCol w:w="1411"/>
        <w:gridCol w:w="1341"/>
        <w:gridCol w:w="1501"/>
        <w:gridCol w:w="1514"/>
      </w:tblGrid>
      <w:tr w:rsidR="0049619B" w:rsidRPr="00DF7E33" w14:paraId="08711256" w14:textId="77777777" w:rsidTr="00DF7E3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8" w:type="pct"/>
            <w:tcBorders>
              <w:top w:val="single" w:sz="4" w:space="0" w:color="auto"/>
              <w:left w:val="none" w:sz="0" w:space="0" w:color="auto"/>
              <w:bottom w:val="single" w:sz="12" w:space="0" w:color="auto"/>
              <w:right w:val="none" w:sz="0" w:space="0" w:color="auto"/>
            </w:tcBorders>
            <w:shd w:val="clear" w:color="auto" w:fill="auto"/>
            <w:vAlign w:val="bottom"/>
          </w:tcPr>
          <w:p w14:paraId="1CE63446" w14:textId="77777777" w:rsidR="0049619B" w:rsidRPr="00DF7E33" w:rsidRDefault="0049619B" w:rsidP="00DF7E33">
            <w:pPr>
              <w:pStyle w:val="SingleTxtG"/>
              <w:tabs>
                <w:tab w:val="clear" w:pos="1701"/>
                <w:tab w:val="clear" w:pos="2268"/>
                <w:tab w:val="clear" w:pos="2835"/>
              </w:tabs>
              <w:suppressAutoHyphens w:val="0"/>
              <w:spacing w:before="80" w:after="80" w:line="200" w:lineRule="exact"/>
              <w:ind w:left="0" w:right="0"/>
              <w:jc w:val="left"/>
              <w:rPr>
                <w:b w:val="0"/>
                <w:i/>
                <w:color w:val="auto"/>
                <w:sz w:val="16"/>
                <w:lang w:val="en-ZA"/>
              </w:rPr>
            </w:pPr>
            <w:r w:rsidRPr="00DF7E33">
              <w:rPr>
                <w:b w:val="0"/>
                <w:i/>
                <w:color w:val="auto"/>
                <w:sz w:val="16"/>
                <w:lang w:val="en-ZA"/>
              </w:rPr>
              <w:t xml:space="preserve">Province </w:t>
            </w:r>
          </w:p>
        </w:tc>
        <w:tc>
          <w:tcPr>
            <w:tcW w:w="957" w:type="pct"/>
            <w:tcBorders>
              <w:top w:val="single" w:sz="4" w:space="0" w:color="auto"/>
              <w:left w:val="none" w:sz="0" w:space="0" w:color="auto"/>
              <w:bottom w:val="single" w:sz="12" w:space="0" w:color="auto"/>
              <w:right w:val="none" w:sz="0" w:space="0" w:color="auto"/>
            </w:tcBorders>
            <w:shd w:val="clear" w:color="auto" w:fill="auto"/>
            <w:vAlign w:val="bottom"/>
          </w:tcPr>
          <w:p w14:paraId="467024CA" w14:textId="77777777" w:rsidR="0049619B" w:rsidRPr="00DF7E33" w:rsidRDefault="0049619B" w:rsidP="00DF7E33">
            <w:pPr>
              <w:pStyle w:val="SingleTxtG"/>
              <w:tabs>
                <w:tab w:val="clear" w:pos="1701"/>
                <w:tab w:val="clear" w:pos="2268"/>
                <w:tab w:val="clear" w:pos="2835"/>
              </w:tabs>
              <w:suppressAutoHyphens w:val="0"/>
              <w:spacing w:before="80" w:after="80" w:line="200" w:lineRule="exact"/>
              <w:ind w:left="0" w:right="0"/>
              <w:jc w:val="right"/>
              <w:cnfStyle w:val="100000000000" w:firstRow="1" w:lastRow="0" w:firstColumn="0" w:lastColumn="0" w:oddVBand="0" w:evenVBand="0" w:oddHBand="0" w:evenHBand="0" w:firstRowFirstColumn="0" w:firstRowLastColumn="0" w:lastRowFirstColumn="0" w:lastRowLastColumn="0"/>
              <w:rPr>
                <w:b w:val="0"/>
                <w:i/>
                <w:color w:val="auto"/>
                <w:sz w:val="16"/>
                <w:lang w:val="en-ZA"/>
              </w:rPr>
            </w:pPr>
            <w:r w:rsidRPr="00DF7E33">
              <w:rPr>
                <w:b w:val="0"/>
                <w:i/>
                <w:color w:val="auto"/>
                <w:sz w:val="16"/>
                <w:lang w:val="en-ZA"/>
              </w:rPr>
              <w:t xml:space="preserve">No. of Shelters </w:t>
            </w:r>
          </w:p>
        </w:tc>
        <w:tc>
          <w:tcPr>
            <w:tcW w:w="910" w:type="pct"/>
            <w:tcBorders>
              <w:top w:val="single" w:sz="4" w:space="0" w:color="auto"/>
              <w:left w:val="none" w:sz="0" w:space="0" w:color="auto"/>
              <w:bottom w:val="single" w:sz="12" w:space="0" w:color="auto"/>
              <w:right w:val="none" w:sz="0" w:space="0" w:color="auto"/>
            </w:tcBorders>
            <w:shd w:val="clear" w:color="auto" w:fill="auto"/>
            <w:vAlign w:val="bottom"/>
          </w:tcPr>
          <w:p w14:paraId="57403E89" w14:textId="77777777" w:rsidR="0049619B" w:rsidRPr="00DF7E33" w:rsidRDefault="0049619B" w:rsidP="00DF7E33">
            <w:pPr>
              <w:pStyle w:val="SingleTxtG"/>
              <w:tabs>
                <w:tab w:val="clear" w:pos="1701"/>
                <w:tab w:val="clear" w:pos="2268"/>
                <w:tab w:val="clear" w:pos="2835"/>
              </w:tabs>
              <w:suppressAutoHyphens w:val="0"/>
              <w:spacing w:before="80" w:after="80" w:line="200" w:lineRule="exact"/>
              <w:ind w:left="0" w:right="0"/>
              <w:jc w:val="right"/>
              <w:cnfStyle w:val="100000000000" w:firstRow="1" w:lastRow="0" w:firstColumn="0" w:lastColumn="0" w:oddVBand="0" w:evenVBand="0" w:oddHBand="0" w:evenHBand="0" w:firstRowFirstColumn="0" w:firstRowLastColumn="0" w:lastRowFirstColumn="0" w:lastRowLastColumn="0"/>
              <w:rPr>
                <w:b w:val="0"/>
                <w:i/>
                <w:color w:val="auto"/>
                <w:sz w:val="16"/>
                <w:lang w:val="en-ZA"/>
              </w:rPr>
            </w:pPr>
            <w:r w:rsidRPr="00DF7E33">
              <w:rPr>
                <w:b w:val="0"/>
                <w:i/>
                <w:color w:val="auto"/>
                <w:sz w:val="16"/>
                <w:lang w:val="en-ZA"/>
              </w:rPr>
              <w:t>No. of White doors</w:t>
            </w:r>
          </w:p>
        </w:tc>
        <w:tc>
          <w:tcPr>
            <w:tcW w:w="1018" w:type="pct"/>
            <w:tcBorders>
              <w:top w:val="single" w:sz="4" w:space="0" w:color="auto"/>
              <w:left w:val="none" w:sz="0" w:space="0" w:color="auto"/>
              <w:bottom w:val="single" w:sz="12" w:space="0" w:color="auto"/>
              <w:right w:val="none" w:sz="0" w:space="0" w:color="auto"/>
            </w:tcBorders>
            <w:shd w:val="clear" w:color="auto" w:fill="auto"/>
            <w:vAlign w:val="bottom"/>
          </w:tcPr>
          <w:p w14:paraId="56ABEFD9" w14:textId="77777777" w:rsidR="0049619B" w:rsidRPr="00DF7E33" w:rsidRDefault="0049619B" w:rsidP="00DF7E33">
            <w:pPr>
              <w:pStyle w:val="SingleTxtG"/>
              <w:tabs>
                <w:tab w:val="clear" w:pos="1701"/>
                <w:tab w:val="clear" w:pos="2268"/>
                <w:tab w:val="clear" w:pos="2835"/>
              </w:tabs>
              <w:suppressAutoHyphens w:val="0"/>
              <w:spacing w:before="80" w:after="80" w:line="200" w:lineRule="exact"/>
              <w:ind w:left="0" w:right="0"/>
              <w:jc w:val="right"/>
              <w:cnfStyle w:val="100000000000" w:firstRow="1" w:lastRow="0" w:firstColumn="0" w:lastColumn="0" w:oddVBand="0" w:evenVBand="0" w:oddHBand="0" w:evenHBand="0" w:firstRowFirstColumn="0" w:firstRowLastColumn="0" w:lastRowFirstColumn="0" w:lastRowLastColumn="0"/>
              <w:rPr>
                <w:b w:val="0"/>
                <w:i/>
                <w:color w:val="auto"/>
                <w:sz w:val="16"/>
                <w:lang w:val="en-ZA"/>
              </w:rPr>
            </w:pPr>
            <w:r w:rsidRPr="00DF7E33">
              <w:rPr>
                <w:b w:val="0"/>
                <w:i/>
                <w:color w:val="auto"/>
                <w:sz w:val="16"/>
                <w:lang w:val="en-ZA"/>
              </w:rPr>
              <w:t xml:space="preserve">No. of Khuseleka </w:t>
            </w:r>
          </w:p>
        </w:tc>
        <w:tc>
          <w:tcPr>
            <w:tcW w:w="1027" w:type="pct"/>
            <w:tcBorders>
              <w:top w:val="single" w:sz="4" w:space="0" w:color="auto"/>
              <w:left w:val="none" w:sz="0" w:space="0" w:color="auto"/>
              <w:bottom w:val="single" w:sz="12" w:space="0" w:color="auto"/>
              <w:right w:val="none" w:sz="0" w:space="0" w:color="auto"/>
            </w:tcBorders>
            <w:shd w:val="clear" w:color="auto" w:fill="auto"/>
            <w:vAlign w:val="bottom"/>
          </w:tcPr>
          <w:p w14:paraId="1D1D4F1F" w14:textId="77777777" w:rsidR="0049619B" w:rsidRPr="00DF7E33" w:rsidRDefault="0049619B" w:rsidP="00DF7E33">
            <w:pPr>
              <w:pStyle w:val="SingleTxtG"/>
              <w:tabs>
                <w:tab w:val="clear" w:pos="1701"/>
                <w:tab w:val="clear" w:pos="2268"/>
                <w:tab w:val="clear" w:pos="2835"/>
              </w:tabs>
              <w:suppressAutoHyphens w:val="0"/>
              <w:spacing w:before="80" w:after="80" w:line="200" w:lineRule="exact"/>
              <w:ind w:left="0" w:right="0"/>
              <w:jc w:val="right"/>
              <w:cnfStyle w:val="100000000000" w:firstRow="1" w:lastRow="0" w:firstColumn="0" w:lastColumn="0" w:oddVBand="0" w:evenVBand="0" w:oddHBand="0" w:evenHBand="0" w:firstRowFirstColumn="0" w:firstRowLastColumn="0" w:lastRowFirstColumn="0" w:lastRowLastColumn="0"/>
              <w:rPr>
                <w:b w:val="0"/>
                <w:i/>
                <w:color w:val="auto"/>
                <w:sz w:val="16"/>
                <w:lang w:val="en-ZA"/>
              </w:rPr>
            </w:pPr>
            <w:r w:rsidRPr="00DF7E33">
              <w:rPr>
                <w:b w:val="0"/>
                <w:i/>
                <w:color w:val="auto"/>
                <w:sz w:val="16"/>
                <w:lang w:val="en-ZA"/>
              </w:rPr>
              <w:t>No of admissions</w:t>
            </w:r>
          </w:p>
        </w:tc>
      </w:tr>
      <w:tr w:rsidR="0049619B" w:rsidRPr="00DF7E33" w14:paraId="60061B7F" w14:textId="77777777" w:rsidTr="00DF7E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 w:type="pct"/>
            <w:tcBorders>
              <w:top w:val="single" w:sz="12" w:space="0" w:color="auto"/>
              <w:left w:val="none" w:sz="0" w:space="0" w:color="auto"/>
            </w:tcBorders>
            <w:shd w:val="clear" w:color="auto" w:fill="auto"/>
          </w:tcPr>
          <w:p w14:paraId="74D917F3"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left"/>
              <w:rPr>
                <w:color w:val="auto"/>
                <w:sz w:val="18"/>
                <w:lang w:val="en-ZA"/>
              </w:rPr>
            </w:pPr>
            <w:r w:rsidRPr="00DF7E33">
              <w:rPr>
                <w:color w:val="auto"/>
                <w:sz w:val="18"/>
                <w:lang w:val="en-ZA"/>
              </w:rPr>
              <w:t>Gauteng</w:t>
            </w:r>
          </w:p>
        </w:tc>
        <w:tc>
          <w:tcPr>
            <w:tcW w:w="957" w:type="pct"/>
            <w:tcBorders>
              <w:top w:val="single" w:sz="12" w:space="0" w:color="auto"/>
            </w:tcBorders>
            <w:shd w:val="clear" w:color="auto" w:fill="auto"/>
            <w:vAlign w:val="bottom"/>
          </w:tcPr>
          <w:p w14:paraId="4778B3A6"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 xml:space="preserve">17 </w:t>
            </w:r>
          </w:p>
        </w:tc>
        <w:tc>
          <w:tcPr>
            <w:tcW w:w="910" w:type="pct"/>
            <w:tcBorders>
              <w:top w:val="single" w:sz="12" w:space="0" w:color="auto"/>
            </w:tcBorders>
            <w:shd w:val="clear" w:color="auto" w:fill="auto"/>
            <w:vAlign w:val="bottom"/>
          </w:tcPr>
          <w:p w14:paraId="7C90B035"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44</w:t>
            </w:r>
          </w:p>
        </w:tc>
        <w:tc>
          <w:tcPr>
            <w:tcW w:w="1018" w:type="pct"/>
            <w:tcBorders>
              <w:top w:val="single" w:sz="12" w:space="0" w:color="auto"/>
            </w:tcBorders>
            <w:shd w:val="clear" w:color="auto" w:fill="auto"/>
            <w:vAlign w:val="bottom"/>
          </w:tcPr>
          <w:p w14:paraId="55C4D757"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w:t>
            </w:r>
          </w:p>
        </w:tc>
        <w:tc>
          <w:tcPr>
            <w:tcW w:w="1027" w:type="pct"/>
            <w:tcBorders>
              <w:top w:val="single" w:sz="12" w:space="0" w:color="auto"/>
            </w:tcBorders>
            <w:shd w:val="clear" w:color="auto" w:fill="auto"/>
            <w:vAlign w:val="bottom"/>
          </w:tcPr>
          <w:p w14:paraId="7B8608A2"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1456</w:t>
            </w:r>
          </w:p>
        </w:tc>
      </w:tr>
      <w:tr w:rsidR="0049619B" w:rsidRPr="00DF7E33" w14:paraId="41939E30" w14:textId="77777777" w:rsidTr="00DF7E33">
        <w:tc>
          <w:tcPr>
            <w:cnfStyle w:val="001000000000" w:firstRow="0" w:lastRow="0" w:firstColumn="1" w:lastColumn="0" w:oddVBand="0" w:evenVBand="0" w:oddHBand="0" w:evenHBand="0" w:firstRowFirstColumn="0" w:firstRowLastColumn="0" w:lastRowFirstColumn="0" w:lastRowLastColumn="0"/>
            <w:tcW w:w="1088" w:type="pct"/>
            <w:tcBorders>
              <w:left w:val="none" w:sz="0" w:space="0" w:color="auto"/>
            </w:tcBorders>
            <w:shd w:val="clear" w:color="auto" w:fill="auto"/>
          </w:tcPr>
          <w:p w14:paraId="6559BFA9"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left"/>
              <w:rPr>
                <w:color w:val="auto"/>
                <w:sz w:val="18"/>
                <w:lang w:val="en-ZA"/>
              </w:rPr>
            </w:pPr>
            <w:r w:rsidRPr="00DF7E33">
              <w:rPr>
                <w:color w:val="auto"/>
                <w:sz w:val="18"/>
                <w:lang w:val="en-ZA"/>
              </w:rPr>
              <w:t>Western Cape</w:t>
            </w:r>
          </w:p>
        </w:tc>
        <w:tc>
          <w:tcPr>
            <w:tcW w:w="957" w:type="pct"/>
            <w:shd w:val="clear" w:color="auto" w:fill="auto"/>
            <w:vAlign w:val="bottom"/>
          </w:tcPr>
          <w:p w14:paraId="3F1A9F25"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31</w:t>
            </w:r>
          </w:p>
        </w:tc>
        <w:tc>
          <w:tcPr>
            <w:tcW w:w="910" w:type="pct"/>
            <w:shd w:val="clear" w:color="auto" w:fill="auto"/>
            <w:vAlign w:val="bottom"/>
          </w:tcPr>
          <w:p w14:paraId="7B5825BB"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w:t>
            </w:r>
          </w:p>
        </w:tc>
        <w:tc>
          <w:tcPr>
            <w:tcW w:w="1018" w:type="pct"/>
            <w:shd w:val="clear" w:color="auto" w:fill="auto"/>
            <w:vAlign w:val="bottom"/>
          </w:tcPr>
          <w:p w14:paraId="7FAC6839"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01 (Civil Society)</w:t>
            </w:r>
          </w:p>
        </w:tc>
        <w:tc>
          <w:tcPr>
            <w:tcW w:w="1027" w:type="pct"/>
            <w:shd w:val="clear" w:color="auto" w:fill="auto"/>
            <w:vAlign w:val="bottom"/>
          </w:tcPr>
          <w:p w14:paraId="14274520"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2050</w:t>
            </w:r>
          </w:p>
        </w:tc>
      </w:tr>
      <w:tr w:rsidR="0049619B" w:rsidRPr="00DF7E33" w14:paraId="711057D2" w14:textId="77777777" w:rsidTr="00DF7E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 w:type="pct"/>
            <w:tcBorders>
              <w:left w:val="none" w:sz="0" w:space="0" w:color="auto"/>
            </w:tcBorders>
            <w:shd w:val="clear" w:color="auto" w:fill="auto"/>
          </w:tcPr>
          <w:p w14:paraId="57286ECE"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left"/>
              <w:rPr>
                <w:color w:val="auto"/>
                <w:sz w:val="18"/>
                <w:lang w:val="en-ZA"/>
              </w:rPr>
            </w:pPr>
            <w:r w:rsidRPr="00DF7E33">
              <w:rPr>
                <w:color w:val="auto"/>
                <w:sz w:val="18"/>
                <w:lang w:val="en-ZA"/>
              </w:rPr>
              <w:t>Mpumalanga</w:t>
            </w:r>
          </w:p>
        </w:tc>
        <w:tc>
          <w:tcPr>
            <w:tcW w:w="957" w:type="pct"/>
            <w:shd w:val="clear" w:color="auto" w:fill="auto"/>
            <w:vAlign w:val="bottom"/>
          </w:tcPr>
          <w:p w14:paraId="452FA6BC"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26</w:t>
            </w:r>
          </w:p>
        </w:tc>
        <w:tc>
          <w:tcPr>
            <w:tcW w:w="910" w:type="pct"/>
            <w:shd w:val="clear" w:color="auto" w:fill="auto"/>
            <w:vAlign w:val="bottom"/>
          </w:tcPr>
          <w:p w14:paraId="501C423A"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01</w:t>
            </w:r>
          </w:p>
        </w:tc>
        <w:tc>
          <w:tcPr>
            <w:tcW w:w="1018" w:type="pct"/>
            <w:shd w:val="clear" w:color="auto" w:fill="auto"/>
            <w:vAlign w:val="bottom"/>
          </w:tcPr>
          <w:p w14:paraId="6725934B"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w:t>
            </w:r>
          </w:p>
        </w:tc>
        <w:tc>
          <w:tcPr>
            <w:tcW w:w="1027" w:type="pct"/>
            <w:shd w:val="clear" w:color="auto" w:fill="auto"/>
            <w:vAlign w:val="bottom"/>
          </w:tcPr>
          <w:p w14:paraId="2790977D"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295</w:t>
            </w:r>
          </w:p>
        </w:tc>
      </w:tr>
      <w:tr w:rsidR="0049619B" w:rsidRPr="00DF7E33" w14:paraId="26754C25" w14:textId="77777777" w:rsidTr="00DF7E33">
        <w:tc>
          <w:tcPr>
            <w:cnfStyle w:val="001000000000" w:firstRow="0" w:lastRow="0" w:firstColumn="1" w:lastColumn="0" w:oddVBand="0" w:evenVBand="0" w:oddHBand="0" w:evenHBand="0" w:firstRowFirstColumn="0" w:firstRowLastColumn="0" w:lastRowFirstColumn="0" w:lastRowLastColumn="0"/>
            <w:tcW w:w="1088" w:type="pct"/>
            <w:tcBorders>
              <w:left w:val="none" w:sz="0" w:space="0" w:color="auto"/>
            </w:tcBorders>
            <w:shd w:val="clear" w:color="auto" w:fill="auto"/>
          </w:tcPr>
          <w:p w14:paraId="1B060316"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left"/>
              <w:rPr>
                <w:color w:val="auto"/>
                <w:sz w:val="18"/>
                <w:lang w:val="en-ZA"/>
              </w:rPr>
            </w:pPr>
            <w:r w:rsidRPr="00DF7E33">
              <w:rPr>
                <w:color w:val="auto"/>
                <w:sz w:val="18"/>
                <w:lang w:val="en-ZA"/>
              </w:rPr>
              <w:t>KwaZulu-Natal</w:t>
            </w:r>
          </w:p>
        </w:tc>
        <w:tc>
          <w:tcPr>
            <w:tcW w:w="957" w:type="pct"/>
            <w:shd w:val="clear" w:color="auto" w:fill="auto"/>
            <w:vAlign w:val="bottom"/>
          </w:tcPr>
          <w:p w14:paraId="50B116C4"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46</w:t>
            </w:r>
          </w:p>
        </w:tc>
        <w:tc>
          <w:tcPr>
            <w:tcW w:w="910" w:type="pct"/>
            <w:shd w:val="clear" w:color="auto" w:fill="auto"/>
            <w:vAlign w:val="bottom"/>
          </w:tcPr>
          <w:p w14:paraId="34C34AC0"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10</w:t>
            </w:r>
          </w:p>
        </w:tc>
        <w:tc>
          <w:tcPr>
            <w:tcW w:w="1018" w:type="pct"/>
            <w:shd w:val="clear" w:color="auto" w:fill="auto"/>
            <w:vAlign w:val="bottom"/>
          </w:tcPr>
          <w:p w14:paraId="431770A8"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w:t>
            </w:r>
          </w:p>
        </w:tc>
        <w:tc>
          <w:tcPr>
            <w:tcW w:w="1027" w:type="pct"/>
            <w:shd w:val="clear" w:color="auto" w:fill="auto"/>
            <w:vAlign w:val="bottom"/>
          </w:tcPr>
          <w:p w14:paraId="7549ACC1"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2386</w:t>
            </w:r>
          </w:p>
        </w:tc>
      </w:tr>
      <w:tr w:rsidR="0049619B" w:rsidRPr="00DF7E33" w14:paraId="18A5B165" w14:textId="77777777" w:rsidTr="00DF7E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 w:type="pct"/>
            <w:tcBorders>
              <w:left w:val="none" w:sz="0" w:space="0" w:color="auto"/>
            </w:tcBorders>
            <w:shd w:val="clear" w:color="auto" w:fill="auto"/>
          </w:tcPr>
          <w:p w14:paraId="7CF6EDCC"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left"/>
              <w:rPr>
                <w:color w:val="auto"/>
                <w:sz w:val="18"/>
                <w:lang w:val="en-ZA"/>
              </w:rPr>
            </w:pPr>
            <w:r w:rsidRPr="00DF7E33">
              <w:rPr>
                <w:color w:val="auto"/>
                <w:sz w:val="18"/>
                <w:lang w:val="en-ZA"/>
              </w:rPr>
              <w:t>North-West</w:t>
            </w:r>
          </w:p>
        </w:tc>
        <w:tc>
          <w:tcPr>
            <w:tcW w:w="957" w:type="pct"/>
            <w:shd w:val="clear" w:color="auto" w:fill="auto"/>
            <w:vAlign w:val="bottom"/>
          </w:tcPr>
          <w:p w14:paraId="280D9A74"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17</w:t>
            </w:r>
          </w:p>
        </w:tc>
        <w:tc>
          <w:tcPr>
            <w:tcW w:w="910" w:type="pct"/>
            <w:shd w:val="clear" w:color="auto" w:fill="auto"/>
            <w:vAlign w:val="bottom"/>
          </w:tcPr>
          <w:p w14:paraId="2CEB2AFC"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01</w:t>
            </w:r>
          </w:p>
        </w:tc>
        <w:tc>
          <w:tcPr>
            <w:tcW w:w="1018" w:type="pct"/>
            <w:shd w:val="clear" w:color="auto" w:fill="auto"/>
            <w:vAlign w:val="bottom"/>
          </w:tcPr>
          <w:p w14:paraId="54DCCD07"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01 (State owned)</w:t>
            </w:r>
          </w:p>
        </w:tc>
        <w:tc>
          <w:tcPr>
            <w:tcW w:w="1027" w:type="pct"/>
            <w:shd w:val="clear" w:color="auto" w:fill="auto"/>
            <w:vAlign w:val="bottom"/>
          </w:tcPr>
          <w:p w14:paraId="35B26A53"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4946</w:t>
            </w:r>
          </w:p>
        </w:tc>
      </w:tr>
      <w:tr w:rsidR="0049619B" w:rsidRPr="00DF7E33" w14:paraId="7EF1DD37" w14:textId="77777777" w:rsidTr="00DF7E33">
        <w:tc>
          <w:tcPr>
            <w:cnfStyle w:val="001000000000" w:firstRow="0" w:lastRow="0" w:firstColumn="1" w:lastColumn="0" w:oddVBand="0" w:evenVBand="0" w:oddHBand="0" w:evenHBand="0" w:firstRowFirstColumn="0" w:firstRowLastColumn="0" w:lastRowFirstColumn="0" w:lastRowLastColumn="0"/>
            <w:tcW w:w="1088" w:type="pct"/>
            <w:tcBorders>
              <w:left w:val="none" w:sz="0" w:space="0" w:color="auto"/>
            </w:tcBorders>
            <w:shd w:val="clear" w:color="auto" w:fill="auto"/>
          </w:tcPr>
          <w:p w14:paraId="27932EDC"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left"/>
              <w:rPr>
                <w:color w:val="auto"/>
                <w:sz w:val="18"/>
                <w:lang w:val="en-ZA"/>
              </w:rPr>
            </w:pPr>
            <w:r w:rsidRPr="00DF7E33">
              <w:rPr>
                <w:color w:val="auto"/>
                <w:sz w:val="18"/>
                <w:lang w:val="en-ZA"/>
              </w:rPr>
              <w:t>Eastern Cape</w:t>
            </w:r>
          </w:p>
        </w:tc>
        <w:tc>
          <w:tcPr>
            <w:tcW w:w="957" w:type="pct"/>
            <w:shd w:val="clear" w:color="auto" w:fill="auto"/>
            <w:vAlign w:val="bottom"/>
          </w:tcPr>
          <w:p w14:paraId="5479661E"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15</w:t>
            </w:r>
          </w:p>
        </w:tc>
        <w:tc>
          <w:tcPr>
            <w:tcW w:w="910" w:type="pct"/>
            <w:shd w:val="clear" w:color="auto" w:fill="auto"/>
            <w:vAlign w:val="bottom"/>
          </w:tcPr>
          <w:p w14:paraId="504F6F94"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146</w:t>
            </w:r>
          </w:p>
        </w:tc>
        <w:tc>
          <w:tcPr>
            <w:tcW w:w="1018" w:type="pct"/>
            <w:shd w:val="clear" w:color="auto" w:fill="auto"/>
            <w:vAlign w:val="bottom"/>
          </w:tcPr>
          <w:p w14:paraId="12786313"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01 (State owned)</w:t>
            </w:r>
          </w:p>
        </w:tc>
        <w:tc>
          <w:tcPr>
            <w:tcW w:w="1027" w:type="pct"/>
            <w:shd w:val="clear" w:color="auto" w:fill="auto"/>
            <w:vAlign w:val="bottom"/>
          </w:tcPr>
          <w:p w14:paraId="2F7D8F5E"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1485</w:t>
            </w:r>
          </w:p>
        </w:tc>
      </w:tr>
      <w:tr w:rsidR="0049619B" w:rsidRPr="00DF7E33" w14:paraId="24B3CE6E" w14:textId="77777777" w:rsidTr="00DF7E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 w:type="pct"/>
            <w:tcBorders>
              <w:left w:val="none" w:sz="0" w:space="0" w:color="auto"/>
            </w:tcBorders>
            <w:shd w:val="clear" w:color="auto" w:fill="auto"/>
          </w:tcPr>
          <w:p w14:paraId="1FC07F8B"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left"/>
              <w:rPr>
                <w:color w:val="auto"/>
                <w:sz w:val="18"/>
                <w:lang w:val="en-ZA"/>
              </w:rPr>
            </w:pPr>
            <w:r w:rsidRPr="00DF7E33">
              <w:rPr>
                <w:color w:val="auto"/>
                <w:sz w:val="18"/>
                <w:lang w:val="en-ZA"/>
              </w:rPr>
              <w:t>Northern Cape</w:t>
            </w:r>
          </w:p>
        </w:tc>
        <w:tc>
          <w:tcPr>
            <w:tcW w:w="957" w:type="pct"/>
            <w:shd w:val="clear" w:color="auto" w:fill="auto"/>
            <w:vAlign w:val="bottom"/>
          </w:tcPr>
          <w:p w14:paraId="36E9B503"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09</w:t>
            </w:r>
          </w:p>
        </w:tc>
        <w:tc>
          <w:tcPr>
            <w:tcW w:w="910" w:type="pct"/>
            <w:shd w:val="clear" w:color="auto" w:fill="auto"/>
            <w:vAlign w:val="bottom"/>
          </w:tcPr>
          <w:p w14:paraId="3ED212CD"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02</w:t>
            </w:r>
          </w:p>
        </w:tc>
        <w:tc>
          <w:tcPr>
            <w:tcW w:w="1018" w:type="pct"/>
            <w:shd w:val="clear" w:color="auto" w:fill="auto"/>
            <w:vAlign w:val="bottom"/>
          </w:tcPr>
          <w:p w14:paraId="1C280CBB"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w:t>
            </w:r>
          </w:p>
        </w:tc>
        <w:tc>
          <w:tcPr>
            <w:tcW w:w="1027" w:type="pct"/>
            <w:shd w:val="clear" w:color="auto" w:fill="auto"/>
            <w:vAlign w:val="bottom"/>
          </w:tcPr>
          <w:p w14:paraId="477D15A2"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199</w:t>
            </w:r>
          </w:p>
        </w:tc>
      </w:tr>
      <w:tr w:rsidR="0049619B" w:rsidRPr="00DF7E33" w14:paraId="377D5CCA" w14:textId="77777777" w:rsidTr="00DF7E33">
        <w:tc>
          <w:tcPr>
            <w:cnfStyle w:val="001000000000" w:firstRow="0" w:lastRow="0" w:firstColumn="1" w:lastColumn="0" w:oddVBand="0" w:evenVBand="0" w:oddHBand="0" w:evenHBand="0" w:firstRowFirstColumn="0" w:firstRowLastColumn="0" w:lastRowFirstColumn="0" w:lastRowLastColumn="0"/>
            <w:tcW w:w="1088" w:type="pct"/>
            <w:tcBorders>
              <w:left w:val="none" w:sz="0" w:space="0" w:color="auto"/>
            </w:tcBorders>
            <w:shd w:val="clear" w:color="auto" w:fill="auto"/>
          </w:tcPr>
          <w:p w14:paraId="21031EFD"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left"/>
              <w:rPr>
                <w:color w:val="auto"/>
                <w:sz w:val="18"/>
                <w:lang w:val="en-ZA"/>
              </w:rPr>
            </w:pPr>
            <w:r w:rsidRPr="00DF7E33">
              <w:rPr>
                <w:color w:val="auto"/>
                <w:sz w:val="18"/>
                <w:lang w:val="en-ZA"/>
              </w:rPr>
              <w:t>Limpopo</w:t>
            </w:r>
          </w:p>
        </w:tc>
        <w:tc>
          <w:tcPr>
            <w:tcW w:w="957" w:type="pct"/>
            <w:shd w:val="clear" w:color="auto" w:fill="auto"/>
            <w:vAlign w:val="bottom"/>
          </w:tcPr>
          <w:p w14:paraId="0FC89F43"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02</w:t>
            </w:r>
          </w:p>
        </w:tc>
        <w:tc>
          <w:tcPr>
            <w:tcW w:w="910" w:type="pct"/>
            <w:shd w:val="clear" w:color="auto" w:fill="auto"/>
            <w:vAlign w:val="bottom"/>
          </w:tcPr>
          <w:p w14:paraId="1E928E88"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1</w:t>
            </w:r>
          </w:p>
        </w:tc>
        <w:tc>
          <w:tcPr>
            <w:tcW w:w="1018" w:type="pct"/>
            <w:shd w:val="clear" w:color="auto" w:fill="auto"/>
            <w:vAlign w:val="bottom"/>
          </w:tcPr>
          <w:p w14:paraId="7772ABEE"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01 (State owned)</w:t>
            </w:r>
          </w:p>
        </w:tc>
        <w:tc>
          <w:tcPr>
            <w:tcW w:w="1027" w:type="pct"/>
            <w:shd w:val="clear" w:color="auto" w:fill="auto"/>
            <w:vAlign w:val="bottom"/>
          </w:tcPr>
          <w:p w14:paraId="053AAFF7"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sz w:val="18"/>
                <w:lang w:val="en-ZA"/>
              </w:rPr>
            </w:pPr>
            <w:r w:rsidRPr="00DF7E33">
              <w:rPr>
                <w:sz w:val="18"/>
                <w:lang w:val="en-ZA"/>
              </w:rPr>
              <w:t>672</w:t>
            </w:r>
          </w:p>
        </w:tc>
      </w:tr>
      <w:tr w:rsidR="0049619B" w:rsidRPr="00DF7E33" w14:paraId="68FD7DB9" w14:textId="77777777" w:rsidTr="00DF7E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 w:type="pct"/>
            <w:tcBorders>
              <w:left w:val="none" w:sz="0" w:space="0" w:color="auto"/>
            </w:tcBorders>
            <w:shd w:val="clear" w:color="auto" w:fill="auto"/>
          </w:tcPr>
          <w:p w14:paraId="5F5D84DA"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left"/>
              <w:rPr>
                <w:color w:val="auto"/>
                <w:sz w:val="18"/>
                <w:lang w:val="en-ZA"/>
              </w:rPr>
            </w:pPr>
            <w:r w:rsidRPr="00DF7E33">
              <w:rPr>
                <w:color w:val="auto"/>
                <w:sz w:val="18"/>
                <w:lang w:val="en-ZA"/>
              </w:rPr>
              <w:t>Free State</w:t>
            </w:r>
          </w:p>
        </w:tc>
        <w:tc>
          <w:tcPr>
            <w:tcW w:w="957" w:type="pct"/>
            <w:shd w:val="clear" w:color="auto" w:fill="auto"/>
            <w:vAlign w:val="bottom"/>
          </w:tcPr>
          <w:p w14:paraId="21BE8660"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07</w:t>
            </w:r>
          </w:p>
        </w:tc>
        <w:tc>
          <w:tcPr>
            <w:tcW w:w="910" w:type="pct"/>
            <w:shd w:val="clear" w:color="auto" w:fill="auto"/>
            <w:vAlign w:val="bottom"/>
          </w:tcPr>
          <w:p w14:paraId="2535C8EC"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01</w:t>
            </w:r>
          </w:p>
        </w:tc>
        <w:tc>
          <w:tcPr>
            <w:tcW w:w="1018" w:type="pct"/>
            <w:shd w:val="clear" w:color="auto" w:fill="auto"/>
            <w:vAlign w:val="bottom"/>
          </w:tcPr>
          <w:p w14:paraId="1B69DA7B"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w:t>
            </w:r>
          </w:p>
        </w:tc>
        <w:tc>
          <w:tcPr>
            <w:tcW w:w="1027" w:type="pct"/>
            <w:shd w:val="clear" w:color="auto" w:fill="auto"/>
            <w:vAlign w:val="bottom"/>
          </w:tcPr>
          <w:p w14:paraId="46EF64DE"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100000" w:firstRow="0" w:lastRow="0" w:firstColumn="0" w:lastColumn="0" w:oddVBand="0" w:evenVBand="0" w:oddHBand="1" w:evenHBand="0" w:firstRowFirstColumn="0" w:firstRowLastColumn="0" w:lastRowFirstColumn="0" w:lastRowLastColumn="0"/>
              <w:rPr>
                <w:sz w:val="18"/>
                <w:lang w:val="en-ZA"/>
              </w:rPr>
            </w:pPr>
            <w:r w:rsidRPr="00DF7E33">
              <w:rPr>
                <w:sz w:val="18"/>
                <w:lang w:val="en-ZA"/>
              </w:rPr>
              <w:t>186</w:t>
            </w:r>
          </w:p>
        </w:tc>
      </w:tr>
      <w:tr w:rsidR="0049619B" w:rsidRPr="00DF7E33" w14:paraId="0EB25DA0" w14:textId="77777777" w:rsidTr="00DF7E33">
        <w:tc>
          <w:tcPr>
            <w:cnfStyle w:val="001000000000" w:firstRow="0" w:lastRow="0" w:firstColumn="1" w:lastColumn="0" w:oddVBand="0" w:evenVBand="0" w:oddHBand="0" w:evenHBand="0" w:firstRowFirstColumn="0" w:firstRowLastColumn="0" w:lastRowFirstColumn="0" w:lastRowLastColumn="0"/>
            <w:tcW w:w="1088" w:type="pct"/>
            <w:tcBorders>
              <w:left w:val="none" w:sz="0" w:space="0" w:color="auto"/>
            </w:tcBorders>
            <w:shd w:val="clear" w:color="auto" w:fill="auto"/>
          </w:tcPr>
          <w:p w14:paraId="5FCD23AE"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left"/>
              <w:rPr>
                <w:color w:val="auto"/>
                <w:sz w:val="18"/>
                <w:lang w:val="en-ZA"/>
              </w:rPr>
            </w:pPr>
            <w:r w:rsidRPr="00DF7E33">
              <w:rPr>
                <w:color w:val="auto"/>
                <w:sz w:val="18"/>
                <w:lang w:val="en-ZA"/>
              </w:rPr>
              <w:t>Total</w:t>
            </w:r>
          </w:p>
        </w:tc>
        <w:tc>
          <w:tcPr>
            <w:tcW w:w="957" w:type="pct"/>
            <w:shd w:val="clear" w:color="auto" w:fill="auto"/>
            <w:vAlign w:val="bottom"/>
          </w:tcPr>
          <w:p w14:paraId="5BDEC59E"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b/>
                <w:bCs/>
                <w:sz w:val="18"/>
                <w:lang w:val="en-ZA"/>
              </w:rPr>
            </w:pPr>
            <w:r w:rsidRPr="00DF7E33">
              <w:rPr>
                <w:b/>
                <w:bCs/>
                <w:sz w:val="18"/>
                <w:lang w:val="en-ZA"/>
              </w:rPr>
              <w:t>170</w:t>
            </w:r>
          </w:p>
        </w:tc>
        <w:tc>
          <w:tcPr>
            <w:tcW w:w="910" w:type="pct"/>
            <w:shd w:val="clear" w:color="auto" w:fill="auto"/>
            <w:vAlign w:val="bottom"/>
          </w:tcPr>
          <w:p w14:paraId="0C501E76"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b/>
                <w:bCs/>
                <w:sz w:val="18"/>
                <w:lang w:val="en-ZA"/>
              </w:rPr>
            </w:pPr>
            <w:r w:rsidRPr="00DF7E33">
              <w:rPr>
                <w:b/>
                <w:bCs/>
                <w:sz w:val="18"/>
                <w:lang w:val="en-ZA"/>
              </w:rPr>
              <w:t>206</w:t>
            </w:r>
          </w:p>
        </w:tc>
        <w:tc>
          <w:tcPr>
            <w:tcW w:w="1018" w:type="pct"/>
            <w:shd w:val="clear" w:color="auto" w:fill="auto"/>
            <w:vAlign w:val="bottom"/>
          </w:tcPr>
          <w:p w14:paraId="78AD4318"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b/>
                <w:bCs/>
                <w:sz w:val="18"/>
                <w:lang w:val="en-ZA"/>
              </w:rPr>
            </w:pPr>
            <w:r w:rsidRPr="00DF7E33">
              <w:rPr>
                <w:b/>
                <w:bCs/>
                <w:sz w:val="18"/>
                <w:lang w:val="en-ZA"/>
              </w:rPr>
              <w:t>04</w:t>
            </w:r>
          </w:p>
        </w:tc>
        <w:tc>
          <w:tcPr>
            <w:tcW w:w="1027" w:type="pct"/>
            <w:shd w:val="clear" w:color="auto" w:fill="auto"/>
            <w:vAlign w:val="bottom"/>
          </w:tcPr>
          <w:p w14:paraId="29F3F2B2" w14:textId="77777777" w:rsidR="0049619B" w:rsidRPr="00DF7E33" w:rsidRDefault="0049619B" w:rsidP="00DF7E33">
            <w:pPr>
              <w:pStyle w:val="SingleTxtG"/>
              <w:tabs>
                <w:tab w:val="clear" w:pos="1701"/>
                <w:tab w:val="clear" w:pos="2268"/>
                <w:tab w:val="clear" w:pos="2835"/>
              </w:tabs>
              <w:suppressAutoHyphens w:val="0"/>
              <w:spacing w:before="40" w:after="40" w:line="220" w:lineRule="exact"/>
              <w:ind w:left="0" w:right="0"/>
              <w:jc w:val="right"/>
              <w:cnfStyle w:val="000000000000" w:firstRow="0" w:lastRow="0" w:firstColumn="0" w:lastColumn="0" w:oddVBand="0" w:evenVBand="0" w:oddHBand="0" w:evenHBand="0" w:firstRowFirstColumn="0" w:firstRowLastColumn="0" w:lastRowFirstColumn="0" w:lastRowLastColumn="0"/>
              <w:rPr>
                <w:b/>
                <w:bCs/>
                <w:sz w:val="18"/>
                <w:lang w:val="en-ZA"/>
              </w:rPr>
            </w:pPr>
            <w:r w:rsidRPr="00DF7E33">
              <w:rPr>
                <w:b/>
                <w:bCs/>
                <w:sz w:val="18"/>
                <w:lang w:val="en-ZA"/>
              </w:rPr>
              <w:t>13 675</w:t>
            </w:r>
          </w:p>
        </w:tc>
      </w:tr>
      <w:tr w:rsidR="0049619B" w:rsidRPr="00DF7E33" w14:paraId="04ECE2B7" w14:textId="77777777" w:rsidTr="00DF7E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tcBorders>
              <w:left w:val="none" w:sz="0" w:space="0" w:color="auto"/>
              <w:bottom w:val="single" w:sz="12" w:space="0" w:color="auto"/>
            </w:tcBorders>
            <w:shd w:val="clear" w:color="auto" w:fill="auto"/>
          </w:tcPr>
          <w:p w14:paraId="6BBE771F" w14:textId="77777777" w:rsidR="0049619B" w:rsidRPr="00ED2EE7" w:rsidRDefault="0049619B" w:rsidP="00DF7E33">
            <w:pPr>
              <w:pStyle w:val="SingleTxtG"/>
              <w:tabs>
                <w:tab w:val="clear" w:pos="1701"/>
                <w:tab w:val="clear" w:pos="2268"/>
                <w:tab w:val="clear" w:pos="2835"/>
              </w:tabs>
              <w:suppressAutoHyphens w:val="0"/>
              <w:spacing w:before="40" w:after="40" w:line="220" w:lineRule="exact"/>
              <w:ind w:left="0" w:right="0"/>
              <w:jc w:val="left"/>
              <w:rPr>
                <w:b w:val="0"/>
                <w:bCs w:val="0"/>
                <w:color w:val="auto"/>
                <w:sz w:val="18"/>
                <w:lang w:val="en-ZA"/>
              </w:rPr>
            </w:pPr>
            <w:r w:rsidRPr="00ED2EE7">
              <w:rPr>
                <w:b w:val="0"/>
                <w:bCs w:val="0"/>
                <w:color w:val="auto"/>
                <w:sz w:val="18"/>
                <w:lang w:val="en-ZA"/>
              </w:rPr>
              <w:t>Source: SORMA Annual Report – 2024/2025 (Department of Social Development pp27)</w:t>
            </w:r>
          </w:p>
        </w:tc>
      </w:tr>
    </w:tbl>
    <w:p w14:paraId="4D94EDE6" w14:textId="77777777" w:rsidR="0049619B" w:rsidRPr="0049619B" w:rsidRDefault="0049619B" w:rsidP="00FD7CC0">
      <w:pPr>
        <w:pStyle w:val="SingleTxtG"/>
        <w:numPr>
          <w:ilvl w:val="0"/>
          <w:numId w:val="21"/>
        </w:numPr>
        <w:ind w:left="1134" w:firstLine="0"/>
        <w:rPr>
          <w:lang w:val="en-ZA"/>
        </w:rPr>
      </w:pPr>
      <w:r w:rsidRPr="0049619B">
        <w:rPr>
          <w:lang w:val="en-ZA"/>
        </w:rPr>
        <w:t>The establishment and rollout of Rapid Response Teams (RRTs) at the local level are reported to be mechanisms for providing timely responses to victims. Despite these efforts, the lack of standardisation and norms guiding shelters across the country, coupled with uneven service delivery and limited access to specialised services, remains a challenge for survivors and continues to be a point of contention for affected communities.</w:t>
      </w:r>
    </w:p>
    <w:p w14:paraId="657765E5" w14:textId="77777777" w:rsidR="0049619B" w:rsidRPr="0049619B" w:rsidRDefault="0049619B" w:rsidP="00FD7CC0">
      <w:pPr>
        <w:pStyle w:val="SingleTxtG"/>
        <w:numPr>
          <w:ilvl w:val="0"/>
          <w:numId w:val="21"/>
        </w:numPr>
        <w:ind w:left="1134" w:firstLine="0"/>
        <w:rPr>
          <w:lang w:val="en-ZA"/>
        </w:rPr>
      </w:pPr>
      <w:r w:rsidRPr="003A7D89">
        <w:rPr>
          <w:lang w:val="en-ZA"/>
        </w:rPr>
        <w:t>In response to recommendation 14 (b) and recommendation 14 (d) on the adoption of legislation to specifically criminalise domestic violence and femicide, and recommendation 14 (d) on ensuring</w:t>
      </w:r>
      <w:r w:rsidRPr="0049619B">
        <w:rPr>
          <w:lang w:val="en-ZA"/>
        </w:rPr>
        <w:t xml:space="preserve"> that all cases of domestic violence and femicide are investigated and prosecuted including issuance of protection orders, the Domestic Violence Amendment Act 14 of 2021 was signed into law in January 2022, amending  the Domestic Violence Act 116 of 1998, to address practical challenges, gaps and anomalies which have manifested since the Act came into operation in December 1999. The amendments include new definitions, such as “controlling behaviour” and “coercive behaviour”, and expands existing definitions, such as “domestic violence”, to include spiritual abuse, elder abuse, coercive behaviour, controlling behaviour, and/or exposing/subjecting children to certain of listed behaviours. The Amendment Act introduces online applications for protection order against acts of domestic violence and imposes obligations on functionaries in the Departments of Health and Social Development to provide certain services to victims of domestic violence. The Amendment Act aligns with the provisions of the Protection from Harassment Act 17 of 2011.</w:t>
      </w:r>
    </w:p>
    <w:p w14:paraId="308CFE20" w14:textId="77777777" w:rsidR="0049619B" w:rsidRPr="0049619B" w:rsidRDefault="0049619B" w:rsidP="00FD7CC0">
      <w:pPr>
        <w:pStyle w:val="SingleTxtG"/>
        <w:numPr>
          <w:ilvl w:val="0"/>
          <w:numId w:val="21"/>
        </w:numPr>
        <w:ind w:left="1134" w:firstLine="0"/>
        <w:rPr>
          <w:lang w:val="en-ZA"/>
        </w:rPr>
      </w:pPr>
      <w:r w:rsidRPr="003A7D89">
        <w:rPr>
          <w:lang w:val="en-ZA"/>
        </w:rPr>
        <w:t>In response to recommendation 14 (c) re</w:t>
      </w:r>
      <w:r w:rsidRPr="0049619B">
        <w:rPr>
          <w:lang w:val="en-ZA"/>
        </w:rPr>
        <w:t xml:space="preserve">garding the adoption of the domestic Violence bill, the Criminal and related matters bill and Criminal Law (sexual offences and Related Matters) Amendment Act bill, all the amendment bills were signed into law in January 2022. </w:t>
      </w:r>
    </w:p>
    <w:p w14:paraId="2BFDD5BD" w14:textId="77777777" w:rsidR="0049619B" w:rsidRPr="0049619B" w:rsidRDefault="0049619B" w:rsidP="00FD7CC0">
      <w:pPr>
        <w:pStyle w:val="SingleTxtG"/>
        <w:numPr>
          <w:ilvl w:val="0"/>
          <w:numId w:val="21"/>
        </w:numPr>
        <w:ind w:left="1134" w:firstLine="0"/>
        <w:rPr>
          <w:lang w:val="en-ZA"/>
        </w:rPr>
      </w:pPr>
      <w:r w:rsidRPr="0049619B">
        <w:rPr>
          <w:lang w:val="en-ZA"/>
        </w:rPr>
        <w:t xml:space="preserve">On the issue of provision of statistical data on scope and extent of domestic violence and other forms of gender-based violence as highlighted in </w:t>
      </w:r>
      <w:r w:rsidRPr="003A7D89">
        <w:rPr>
          <w:lang w:val="en-ZA"/>
        </w:rPr>
        <w:t>recommendation 14 (e),</w:t>
      </w:r>
      <w:r w:rsidRPr="0049619B">
        <w:rPr>
          <w:lang w:val="en-ZA"/>
        </w:rPr>
        <w:t xml:space="preserve"> South Africa’s First South African National Gender-Based Violence Study was released by the Human Science Research Council at the end of 2024. This report detailed the prevalence of physical, sexual, emotional, psychological and economic violence experienced by women across all nine provinces. The South African Police Services release crime statistics on a quarterly basis. These statistics provide the number of Sexual Offenses cases reported as well as those detected through police action. These cases are broken down to specifically provide number in terms Rape, Sexual Assault, Attempted Sexual offences, contact Sexual Offences. The National Prosecuting Authority also provide statistics on number of registered cases and conviction rate for sexual offences. The Inter-departmental Annual Report on the </w:t>
      </w:r>
      <w:r w:rsidRPr="0049619B">
        <w:rPr>
          <w:lang w:val="en-ZA"/>
        </w:rPr>
        <w:lastRenderedPageBreak/>
        <w:t xml:space="preserve">Implementation of     Implementation of the Criminal Law (Sexual Offences and Related Matters) Amendment Act, 2007 (Act No. 32 of 2007) provides statistical data on sexual offences cases registered, disposed of and the outstanding cases which provides useful information on progress in prosecution of these cases. </w:t>
      </w:r>
    </w:p>
    <w:p w14:paraId="43FD6B68"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w:t>
      </w:r>
      <w:r w:rsidRPr="003A7D89">
        <w:rPr>
          <w:lang w:val="en-ZA"/>
        </w:rPr>
        <w:t>response to recommendation 34, Customary</w:t>
      </w:r>
      <w:r w:rsidRPr="0049619B">
        <w:rPr>
          <w:lang w:val="en-ZA"/>
        </w:rPr>
        <w:t xml:space="preserve"> Initiation Act 2 of 2021 confirms that in terms of section 12(4) of the Children’s Act, virginity testing of children under the age of 16 is prohibited and therefore the consent contemplated in this section may not include consent to such virginity testing in the case of children under the age of 16. (c) The Act underscores that virginity testing of any person who is 18 or older may only be performed if such person has given written consent for such virginity testing and that no child or any other person may be forced or coerced to undergo virginity testing. The Act also underscore that in terms of section 12(3) of the Children’s Act, genital mutilation or circumcision of female children is prohibited and therefore the consent contemplated in this section may not include consent to such mutilation or circumcision and may not form part of any initiation practice.</w:t>
      </w:r>
    </w:p>
    <w:p w14:paraId="6C0E5403" w14:textId="77777777" w:rsidR="0049619B" w:rsidRPr="0049619B" w:rsidRDefault="0049619B" w:rsidP="00FD7CC0">
      <w:pPr>
        <w:pStyle w:val="SingleTxtG"/>
        <w:numPr>
          <w:ilvl w:val="0"/>
          <w:numId w:val="21"/>
        </w:numPr>
        <w:ind w:left="1134" w:firstLine="0"/>
        <w:rPr>
          <w:lang w:val="en-ZA"/>
        </w:rPr>
      </w:pPr>
      <w:r w:rsidRPr="0049619B">
        <w:rPr>
          <w:lang w:val="en-ZA"/>
        </w:rPr>
        <w:t xml:space="preserve">With regards to harmful practices such as ukuthwala, the Domestic Violence Amendment Act 14 of 2021 broadens protections against various forms of abuse, including coercive and controlling behaviour. </w:t>
      </w:r>
    </w:p>
    <w:p w14:paraId="7CB9F21E"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response to </w:t>
      </w:r>
      <w:r w:rsidRPr="003A7D89">
        <w:rPr>
          <w:lang w:val="en-ZA"/>
        </w:rPr>
        <w:t>Recommendation 30 (b) on the South African Human Rights Commission,</w:t>
      </w:r>
      <w:r w:rsidRPr="0049619B">
        <w:rPr>
          <w:lang w:val="en-ZA"/>
        </w:rPr>
        <w:t xml:space="preserve"> efforts have been made to strengthen institutional culture, ensure ethical leadership and restore public confidence in our operations. The SAHRC has prioritised governance and compliance and continues to re-evaluate its internal processes and strengthen identified gaps through key governance structures. This has resulted in improved financial controls and in building a more responsive and accountable institution. Various oversight mechanisms have made a positive impact on the work of the Secretariat in fostering a high-performance culture, in reporting and accountability and in achieving institutional targets. However, the Commission face constraints in relation to budget limitations which impacts the ability of the SAHRC to expand on its reach.</w:t>
      </w:r>
    </w:p>
    <w:p w14:paraId="048A72FF"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w:t>
      </w:r>
      <w:r w:rsidRPr="003A7D89">
        <w:rPr>
          <w:lang w:val="en-ZA"/>
        </w:rPr>
        <w:t>Response to recommendation 30 (a)</w:t>
      </w:r>
      <w:r w:rsidRPr="0049619B">
        <w:rPr>
          <w:lang w:val="en-ZA"/>
        </w:rPr>
        <w:t xml:space="preserve"> regarding the allocation of adequate human and technical resources to the Commission for Gender Equality, the Commission had a staff complement of 110 funded positions with 93 positions filled and a vacancy rate of 16% as at 31 March 2025. The Commission’s programmes are mainly funded by National Treasury, through the baseline allocations which are made under a Budget Vote for the National Department for Women, Youth and Persons with Disabilities. The Commission has experienced fiscal constrains which has an impact on its potential to carry out fully its intended large scale impactful initiatives.</w:t>
      </w:r>
    </w:p>
    <w:p w14:paraId="4E6A4B1F" w14:textId="56EF51A7" w:rsidR="0049619B" w:rsidRPr="0049619B" w:rsidRDefault="003A7D89" w:rsidP="003A7D89">
      <w:pPr>
        <w:pStyle w:val="H1G"/>
        <w:rPr>
          <w:lang w:val="en-ZA"/>
        </w:rPr>
      </w:pPr>
      <w:bookmarkStart w:id="16" w:name="_Toc232855597"/>
      <w:r>
        <w:rPr>
          <w:lang w:val="en-ZA"/>
        </w:rPr>
        <w:tab/>
      </w:r>
      <w:r>
        <w:rPr>
          <w:lang w:val="en-ZA"/>
        </w:rPr>
        <w:tab/>
      </w:r>
      <w:r w:rsidR="0049619B" w:rsidRPr="0049619B">
        <w:rPr>
          <w:lang w:val="en-ZA"/>
        </w:rPr>
        <w:t xml:space="preserve">Article 6: Trafficking in </w:t>
      </w:r>
      <w:r w:rsidRPr="0049619B">
        <w:rPr>
          <w:lang w:val="en-ZA"/>
        </w:rPr>
        <w:t>women and exploitation of prostitution</w:t>
      </w:r>
      <w:bookmarkEnd w:id="16"/>
    </w:p>
    <w:p w14:paraId="5ED0BDB9" w14:textId="77777777" w:rsidR="0049619B" w:rsidRPr="0049619B" w:rsidRDefault="0049619B" w:rsidP="00FD7CC0">
      <w:pPr>
        <w:pStyle w:val="SingleTxtG"/>
        <w:numPr>
          <w:ilvl w:val="0"/>
          <w:numId w:val="21"/>
        </w:numPr>
        <w:ind w:left="1134" w:firstLine="0"/>
        <w:rPr>
          <w:lang w:val="en-ZA"/>
        </w:rPr>
      </w:pPr>
      <w:r w:rsidRPr="0049619B">
        <w:rPr>
          <w:lang w:val="en-ZA"/>
        </w:rPr>
        <w:t>The Prevention and Combating of Trafficking in Persons National Policy Framework was adopted in April 2019 including an integrated Strategy and Action Plan (2019 – 2022). This framework seeks to ensure all government departments and other engaged stakeholders from civil society are collectively guided in the implementation of anti-trafficking responses and of their statutory responsibilities. The Framework intends to support the implementation of the Prevention and Combating of Trafficking in Persons, 2013 (Act No. 7 of 2013), as reported in the 5</w:t>
      </w:r>
      <w:r w:rsidRPr="0049619B">
        <w:rPr>
          <w:vertAlign w:val="superscript"/>
          <w:lang w:val="en-ZA"/>
        </w:rPr>
        <w:t>th</w:t>
      </w:r>
      <w:r w:rsidRPr="0049619B">
        <w:rPr>
          <w:lang w:val="en-ZA"/>
        </w:rPr>
        <w:t xml:space="preserve"> periodic report. As a strategic planning tool, the National Policy Framework is also key to secure political and financial support and to ensure rational use of resources and effective responses. </w:t>
      </w:r>
    </w:p>
    <w:p w14:paraId="090B5DC4" w14:textId="77777777" w:rsidR="0049619B" w:rsidRPr="0049619B" w:rsidRDefault="0049619B" w:rsidP="00FD7CC0">
      <w:pPr>
        <w:pStyle w:val="SingleTxtG"/>
        <w:numPr>
          <w:ilvl w:val="0"/>
          <w:numId w:val="21"/>
        </w:numPr>
        <w:ind w:left="1134" w:firstLine="0"/>
        <w:rPr>
          <w:lang w:val="en-ZA"/>
        </w:rPr>
      </w:pPr>
      <w:r w:rsidRPr="0049619B">
        <w:rPr>
          <w:lang w:val="en-ZA"/>
        </w:rPr>
        <w:t xml:space="preserve">South Africa have adopted an integrated and collaborative approach to address trafficking in persons.  Through this approach, South Africa identified 234 victims of trafficking who were rescued and assisted during the 2024/2025 financial year. </w:t>
      </w:r>
    </w:p>
    <w:p w14:paraId="1418EFD6"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w:t>
      </w:r>
      <w:r w:rsidRPr="003A7D89">
        <w:rPr>
          <w:lang w:val="en-ZA"/>
        </w:rPr>
        <w:t>response to recommendation 36 (a-d), a</w:t>
      </w:r>
      <w:r w:rsidRPr="0049619B">
        <w:rPr>
          <w:lang w:val="en-ZA"/>
        </w:rPr>
        <w:t xml:space="preserve"> National Intersectoral Committee on Trafficking in Persons (NICTIP) is in place and convenes quarterly and comprises relevant government departments and civil society organisations. In addition, there are Provincial Task Teams and Rapid Response Teams that are operational in all nine provinces - supporting </w:t>
      </w:r>
      <w:r w:rsidRPr="0049619B">
        <w:rPr>
          <w:lang w:val="en-ZA"/>
        </w:rPr>
        <w:lastRenderedPageBreak/>
        <w:t>localised anti-trafficking responses. The Frontline personnel are trained using integrated Standard Operating Procedures to ensure uniform victim identification and referrals.</w:t>
      </w:r>
    </w:p>
    <w:p w14:paraId="1BB5B119" w14:textId="77777777" w:rsidR="0049619B" w:rsidRPr="0049619B" w:rsidRDefault="0049619B" w:rsidP="00FD7CC0">
      <w:pPr>
        <w:pStyle w:val="SingleTxtG"/>
        <w:numPr>
          <w:ilvl w:val="0"/>
          <w:numId w:val="21"/>
        </w:numPr>
        <w:ind w:left="1134" w:firstLine="0"/>
        <w:rPr>
          <w:lang w:val="en-ZA"/>
        </w:rPr>
      </w:pPr>
      <w:r w:rsidRPr="0049619B">
        <w:rPr>
          <w:lang w:val="en-ZA"/>
        </w:rPr>
        <w:t xml:space="preserve">Through a network of accredited shelters and designated safe houses, protection and accommodation is available to trafficking victims. Government, with the assistance of civil society and other stakeholders, have intensified the coordinated efforts to prevent and combat trafficking. These initiatives are bearing fruit, as South Africa was upgraded to Tier Two in the 2024 US Department of State’s Trafficking in Persons Report. </w:t>
      </w:r>
    </w:p>
    <w:p w14:paraId="2457C315" w14:textId="77777777" w:rsidR="0049619B" w:rsidRPr="0049619B" w:rsidRDefault="0049619B" w:rsidP="00FD7CC0">
      <w:pPr>
        <w:pStyle w:val="SingleTxtG"/>
        <w:numPr>
          <w:ilvl w:val="0"/>
          <w:numId w:val="21"/>
        </w:numPr>
        <w:ind w:left="1134" w:firstLine="0"/>
        <w:rPr>
          <w:lang w:val="en-ZA"/>
        </w:rPr>
      </w:pPr>
      <w:r w:rsidRPr="0049619B">
        <w:rPr>
          <w:lang w:val="en-ZA"/>
        </w:rPr>
        <w:t>About 32 new trafficking prosecutions involving 57 accused persons have been instituted during the 2025/2026 financial year. There are 67 ongoing trafficking cases involving 156 accused persons and 428 charges - across various courts in South Africa.</w:t>
      </w:r>
    </w:p>
    <w:p w14:paraId="55E3BC8B" w14:textId="77777777" w:rsidR="0049619B" w:rsidRPr="0049619B" w:rsidRDefault="0049619B" w:rsidP="00FD7CC0">
      <w:pPr>
        <w:pStyle w:val="SingleTxtG"/>
        <w:numPr>
          <w:ilvl w:val="0"/>
          <w:numId w:val="21"/>
        </w:numPr>
        <w:ind w:left="1134" w:firstLine="0"/>
        <w:rPr>
          <w:lang w:val="en-ZA"/>
        </w:rPr>
      </w:pPr>
      <w:r w:rsidRPr="0049619B">
        <w:rPr>
          <w:lang w:val="en-ZA"/>
        </w:rPr>
        <w:t>In the 2024/25 financial year, 23 TIP cases, involving multiple accused persons, were finalized with a verdict. In 11 cases the accused persons were convicted of 146 Trafficking in Persons counts. In ten cases, the accused were convicted of other offences. Thirty-four (34) sentences of life imprisonment were imposed for ten accused. Sentences of 20 years were imposed for a further eight accused and two accused persons received sentences of ten years. This means that 20 convicted persons received long-term prison sentences of 10 years or more for TIP convictions.</w:t>
      </w:r>
    </w:p>
    <w:p w14:paraId="1CC4F804" w14:textId="77777777" w:rsidR="0049619B" w:rsidRPr="0049619B" w:rsidRDefault="0049619B" w:rsidP="00FD7CC0">
      <w:pPr>
        <w:pStyle w:val="SingleTxtG"/>
        <w:numPr>
          <w:ilvl w:val="0"/>
          <w:numId w:val="21"/>
        </w:numPr>
        <w:ind w:left="1134" w:firstLine="0"/>
        <w:rPr>
          <w:lang w:val="en-ZA"/>
        </w:rPr>
      </w:pPr>
      <w:r w:rsidRPr="0049619B">
        <w:rPr>
          <w:lang w:val="en-ZA"/>
        </w:rPr>
        <w:t>In May 2025, the High Court convicted three perpetrators of trafficking in persons for the purpose of exploitation and kidnapping of Joshlin Smith. The Court found that she was sold for slavery or practices like slavery and handed down sentences of life imprisonment for human trafficking and 10 years for kidnapping to all three convicted persons.</w:t>
      </w:r>
    </w:p>
    <w:p w14:paraId="4B6B6AEC" w14:textId="77777777" w:rsidR="0049619B" w:rsidRPr="0049619B" w:rsidRDefault="0049619B" w:rsidP="00FD7CC0">
      <w:pPr>
        <w:pStyle w:val="SingleTxtG"/>
        <w:numPr>
          <w:ilvl w:val="0"/>
          <w:numId w:val="21"/>
        </w:numPr>
        <w:ind w:left="1134" w:firstLine="0"/>
        <w:rPr>
          <w:lang w:val="en-ZA"/>
        </w:rPr>
      </w:pPr>
      <w:r w:rsidRPr="0049619B">
        <w:rPr>
          <w:lang w:val="en-ZA"/>
        </w:rPr>
        <w:t xml:space="preserve">Prevention through education and community empowerment is critical to curbing trafficking in persons. To suppress trafficking in women and exploitation, the National Prosecuting Authority provides several public education and awareness programs throughout the country. During the 2024/2025 financial year, a total of 991 sessions were coordinated focusing on different subject matters including trafficking in persons specifically for sexual exploitation of victims including children. </w:t>
      </w:r>
    </w:p>
    <w:p w14:paraId="72F1C5C9"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response </w:t>
      </w:r>
      <w:r w:rsidRPr="00F77A24">
        <w:rPr>
          <w:lang w:val="en-ZA"/>
        </w:rPr>
        <w:t>to recommendation 38 (c) government</w:t>
      </w:r>
      <w:r w:rsidRPr="0049619B">
        <w:rPr>
          <w:lang w:val="en-ZA"/>
        </w:rPr>
        <w:t xml:space="preserve"> identified lack of access to economic opportunities as well as awareness of initiatives aimed at women empowerment which limit the participation of women in economic and development initiatives and driving them to prostitution. Several advocacy programme to popularise different initiatives and opportunities across government and private sector has been implemented through different platforms coordinated by the Department of Women, Youth and Persons with Disabilities. There is dedicated efforts to coordinate training of women entrepreneurs to take part in public procurement opportunities. </w:t>
      </w:r>
    </w:p>
    <w:p w14:paraId="403D98FF" w14:textId="4B67237D" w:rsidR="0049619B" w:rsidRPr="0049619B" w:rsidRDefault="00F77A24" w:rsidP="00F77A24">
      <w:pPr>
        <w:pStyle w:val="HChG"/>
        <w:rPr>
          <w:lang w:val="en-ZA"/>
        </w:rPr>
      </w:pPr>
      <w:bookmarkStart w:id="17" w:name="_Toc232855598"/>
      <w:r>
        <w:rPr>
          <w:lang w:val="en-ZA"/>
        </w:rPr>
        <w:tab/>
      </w:r>
      <w:r>
        <w:rPr>
          <w:lang w:val="en-ZA"/>
        </w:rPr>
        <w:tab/>
      </w:r>
      <w:r w:rsidR="0049619B" w:rsidRPr="0049619B">
        <w:rPr>
          <w:lang w:val="en-ZA"/>
        </w:rPr>
        <w:t>P</w:t>
      </w:r>
      <w:r w:rsidRPr="0049619B">
        <w:rPr>
          <w:lang w:val="en-ZA"/>
        </w:rPr>
        <w:t>art</w:t>
      </w:r>
      <w:r w:rsidR="0049619B" w:rsidRPr="0049619B">
        <w:rPr>
          <w:lang w:val="en-ZA"/>
        </w:rPr>
        <w:t xml:space="preserve"> II: A</w:t>
      </w:r>
      <w:r w:rsidRPr="0049619B">
        <w:rPr>
          <w:lang w:val="en-ZA"/>
        </w:rPr>
        <w:t>rticle</w:t>
      </w:r>
      <w:r w:rsidR="0049619B" w:rsidRPr="0049619B">
        <w:rPr>
          <w:lang w:val="en-ZA"/>
        </w:rPr>
        <w:t xml:space="preserve"> 7-9</w:t>
      </w:r>
      <w:bookmarkEnd w:id="17"/>
    </w:p>
    <w:p w14:paraId="1623348C" w14:textId="48D10123" w:rsidR="0049619B" w:rsidRPr="0049619B" w:rsidRDefault="00F77A24" w:rsidP="00F77A24">
      <w:pPr>
        <w:pStyle w:val="H1G"/>
        <w:rPr>
          <w:lang w:val="en-ZA"/>
        </w:rPr>
      </w:pPr>
      <w:bookmarkStart w:id="18" w:name="_Toc232855599"/>
      <w:r>
        <w:rPr>
          <w:lang w:val="en-ZA"/>
        </w:rPr>
        <w:tab/>
      </w:r>
      <w:r>
        <w:rPr>
          <w:lang w:val="en-ZA"/>
        </w:rPr>
        <w:tab/>
      </w:r>
      <w:r w:rsidR="0049619B" w:rsidRPr="0049619B">
        <w:rPr>
          <w:lang w:val="en-ZA"/>
        </w:rPr>
        <w:t xml:space="preserve">Article 7: Elimination of </w:t>
      </w:r>
      <w:r>
        <w:rPr>
          <w:lang w:val="en-ZA"/>
        </w:rPr>
        <w:t>d</w:t>
      </w:r>
      <w:r w:rsidR="0049619B" w:rsidRPr="0049619B">
        <w:rPr>
          <w:lang w:val="en-ZA"/>
        </w:rPr>
        <w:t xml:space="preserve">iscrimination against women in </w:t>
      </w:r>
      <w:r>
        <w:rPr>
          <w:lang w:val="en-ZA"/>
        </w:rPr>
        <w:t>p</w:t>
      </w:r>
      <w:r w:rsidR="0049619B" w:rsidRPr="0049619B">
        <w:rPr>
          <w:lang w:val="en-ZA"/>
        </w:rPr>
        <w:t>olitical and public life</w:t>
      </w:r>
      <w:bookmarkEnd w:id="18"/>
    </w:p>
    <w:p w14:paraId="5FA3A464" w14:textId="77777777" w:rsidR="0049619B" w:rsidRPr="0049619B" w:rsidRDefault="0049619B" w:rsidP="00FD7CC0">
      <w:pPr>
        <w:pStyle w:val="SingleTxtG"/>
        <w:numPr>
          <w:ilvl w:val="0"/>
          <w:numId w:val="21"/>
        </w:numPr>
        <w:ind w:left="1134" w:firstLine="0"/>
        <w:rPr>
          <w:b/>
          <w:bCs/>
          <w:lang w:val="en-ZA"/>
        </w:rPr>
      </w:pPr>
      <w:r w:rsidRPr="0049619B">
        <w:rPr>
          <w:lang w:val="en-ZA"/>
        </w:rPr>
        <w:t>With regard to women’s participation and representation in political levels, the Electoral Code of Conduct of the South African Electoral Act (Act 73 of 1998) (Section 2) states that every registered party and every candidate must: (i) respect the right of women to communicate freely with parties and candidates; (ii) facilitate the full and equal participation of women in political activities; (iii) ensure the free access of women to all public political meetings, marches, demonstrations, rallies and other public political events; and (iv) take all reasonable steps to ensure that women are free to engage in any political activities.</w:t>
      </w:r>
    </w:p>
    <w:p w14:paraId="23E67FC0" w14:textId="77777777" w:rsidR="0049619B" w:rsidRPr="0049619B" w:rsidRDefault="0049619B" w:rsidP="00FD7CC0">
      <w:pPr>
        <w:pStyle w:val="SingleTxtG"/>
        <w:numPr>
          <w:ilvl w:val="0"/>
          <w:numId w:val="21"/>
        </w:numPr>
        <w:ind w:left="1134" w:firstLine="0"/>
        <w:rPr>
          <w:lang w:val="en-ZA"/>
        </w:rPr>
      </w:pPr>
      <w:r w:rsidRPr="00F77A24">
        <w:rPr>
          <w:lang w:val="en-ZA"/>
        </w:rPr>
        <w:t>In response to CEDAW Committee recommendation 32,</w:t>
      </w:r>
      <w:r w:rsidRPr="0049619B">
        <w:rPr>
          <w:lang w:val="en-ZA"/>
        </w:rPr>
        <w:t xml:space="preserve"> on the adoption of temporary special measures to increase the participation of women in political and public life, education and employment, a key development in this area is the update in the Employment Equity (EE) Amendment Act, 2022 (EE Amendment Act, 2022) and its implications. This amended Act was signed by the President in November 2024 and published in the Government Gazette in December 2024. Subsequently, it came into effect from 1 January 2025. The key objectives </w:t>
      </w:r>
      <w:r w:rsidRPr="0049619B">
        <w:rPr>
          <w:lang w:val="en-ZA"/>
        </w:rPr>
        <w:lastRenderedPageBreak/>
        <w:t>and implications of the EE Amendment Act, 2022 include the regulation of sector specific employment equity numerical targets in order to ensure the equitable representation of suitably qualified people from the designated groups as well as promulgation of section 53 of the Employment Equity Act for the issuing of the Employment Equity Compliance Certificate as a prerequisite for access to state contracts and doing business with any organ of state.</w:t>
      </w:r>
    </w:p>
    <w:p w14:paraId="5CBFA00C" w14:textId="77777777" w:rsidR="0049619B" w:rsidRPr="0049619B" w:rsidRDefault="0049619B" w:rsidP="00FD7CC0">
      <w:pPr>
        <w:pStyle w:val="SingleTxtG"/>
        <w:numPr>
          <w:ilvl w:val="0"/>
          <w:numId w:val="21"/>
        </w:numPr>
        <w:ind w:left="1134" w:firstLine="0"/>
        <w:rPr>
          <w:b/>
          <w:bCs/>
          <w:lang w:val="en-ZA"/>
        </w:rPr>
      </w:pPr>
      <w:r w:rsidRPr="0049619B">
        <w:rPr>
          <w:lang w:val="en-ZA"/>
        </w:rPr>
        <w:t xml:space="preserve">The </w:t>
      </w:r>
      <w:r w:rsidRPr="00F77A24">
        <w:rPr>
          <w:lang w:val="en-ZA"/>
        </w:rPr>
        <w:t>response to recommendation 40(a)</w:t>
      </w:r>
      <w:r w:rsidRPr="0049619B">
        <w:rPr>
          <w:lang w:val="en-ZA"/>
        </w:rPr>
        <w:t xml:space="preserve"> has been provided in paragraph 35 of the report regarding progress towards the finalisation of the Promotion of Women’s Rights, Empowerment and Gender Equality in South Africa. The draft bill makes provision for equal representation and participation of women.  The draft bill provides for a minimum of 50% representation and meaningful participation of women in decision-making structures.</w:t>
      </w:r>
    </w:p>
    <w:p w14:paraId="3E6BC826" w14:textId="77777777" w:rsidR="0049619B" w:rsidRPr="0049619B" w:rsidRDefault="0049619B" w:rsidP="00FD7CC0">
      <w:pPr>
        <w:pStyle w:val="SingleTxtG"/>
        <w:numPr>
          <w:ilvl w:val="0"/>
          <w:numId w:val="21"/>
        </w:numPr>
        <w:ind w:left="1134" w:firstLine="0"/>
        <w:rPr>
          <w:b/>
          <w:bCs/>
          <w:lang w:val="en-ZA"/>
        </w:rPr>
      </w:pPr>
      <w:r w:rsidRPr="00F77A24">
        <w:rPr>
          <w:lang w:val="en-ZA"/>
        </w:rPr>
        <w:t>In response to recommendation 40(b),</w:t>
      </w:r>
      <w:r w:rsidRPr="0049619B">
        <w:rPr>
          <w:b/>
          <w:bCs/>
          <w:lang w:val="en-ZA"/>
        </w:rPr>
        <w:t xml:space="preserve"> </w:t>
      </w:r>
      <w:r w:rsidRPr="0049619B">
        <w:rPr>
          <w:lang w:val="en-ZA"/>
        </w:rPr>
        <w:t xml:space="preserve">currently, South Africa do not have legislated quotas for women representation in Cabinet. However, there has been deliberate commitment to increase representation of women in ministerial positions and in municipal councils. </w:t>
      </w:r>
      <w:r w:rsidRPr="0049619B">
        <w:rPr>
          <w:b/>
          <w:bCs/>
          <w:lang w:val="en-ZA"/>
        </w:rPr>
        <w:t xml:space="preserve"> </w:t>
      </w:r>
    </w:p>
    <w:p w14:paraId="47EA20D6" w14:textId="77777777" w:rsidR="0049619B" w:rsidRPr="0049619B" w:rsidRDefault="0049619B" w:rsidP="00FD7CC0">
      <w:pPr>
        <w:pStyle w:val="SingleTxtG"/>
        <w:numPr>
          <w:ilvl w:val="0"/>
          <w:numId w:val="21"/>
        </w:numPr>
        <w:ind w:left="1134" w:firstLine="0"/>
        <w:rPr>
          <w:b/>
          <w:bCs/>
          <w:lang w:val="en-ZA"/>
        </w:rPr>
      </w:pPr>
      <w:r w:rsidRPr="0049619B">
        <w:rPr>
          <w:lang w:val="en-ZA"/>
        </w:rPr>
        <w:t>There has been a steady increase in the number of women elected as Speakers, Ministers, Deputy Ministers, Premiers, Members of Parliament, Mayors, Councillors, and Chairpersons of Portfolio Committees in the National and Provincial Legislatures over the past three decades in the country.</w:t>
      </w:r>
    </w:p>
    <w:p w14:paraId="7BFA9312" w14:textId="77777777" w:rsidR="0049619B" w:rsidRPr="0049619B" w:rsidRDefault="0049619B" w:rsidP="00FD7CC0">
      <w:pPr>
        <w:pStyle w:val="SingleTxtG"/>
        <w:numPr>
          <w:ilvl w:val="0"/>
          <w:numId w:val="21"/>
        </w:numPr>
        <w:ind w:left="1134" w:firstLine="0"/>
        <w:rPr>
          <w:iCs/>
          <w:lang w:val="en-ZA"/>
        </w:rPr>
      </w:pPr>
      <w:r w:rsidRPr="0049619B">
        <w:rPr>
          <w:iCs/>
          <w:lang w:val="en-ZA"/>
        </w:rPr>
        <w:t xml:space="preserve">There has been a steady increase in the representation of women holding seats in National Parliament in South Africa </w:t>
      </w:r>
      <w:r w:rsidRPr="0049619B">
        <w:rPr>
          <w:lang w:val="en-ZA"/>
        </w:rPr>
        <w:t>from 25.0% in 1994 to 45.4% in 2024</w:t>
      </w:r>
      <w:r w:rsidRPr="0049619B">
        <w:rPr>
          <w:iCs/>
          <w:lang w:val="en-ZA"/>
        </w:rPr>
        <w:t xml:space="preserve">. Unfortunately following the 2024 elections, there is a 3% regression from 2019 in the representation of women holding seats given the results of the 2024 National Elections.  South Africa had achieved 50% parity in terms of representation of women Ministers in Cabinet following 2019 national elections. However, the representation of women Ministers stood at 44% following the 2024 National Elections. </w:t>
      </w:r>
    </w:p>
    <w:p w14:paraId="56E917DE" w14:textId="77777777" w:rsidR="0049619B" w:rsidRPr="0049619B" w:rsidRDefault="0049619B" w:rsidP="00FD7CC0">
      <w:pPr>
        <w:pStyle w:val="SingleTxtG"/>
        <w:numPr>
          <w:ilvl w:val="0"/>
          <w:numId w:val="21"/>
        </w:numPr>
        <w:ind w:left="1134" w:firstLine="0"/>
        <w:rPr>
          <w:lang w:val="en-ZA"/>
        </w:rPr>
      </w:pPr>
      <w:r w:rsidRPr="0049619B">
        <w:rPr>
          <w:lang w:val="en-ZA"/>
        </w:rPr>
        <w:t>Representation in the National Council of Provinces (NCOP) mimics a similar trend to that of the national assembly where women’s representation rose from 17.8% in 1994 to 44.4% in 2024, with the biggest rise occurring during the 1994 and 1999 election years, with a 13.7 percentage point increase.</w:t>
      </w:r>
    </w:p>
    <w:p w14:paraId="47458314" w14:textId="77777777" w:rsidR="0049619B" w:rsidRPr="0049619B" w:rsidRDefault="0049619B" w:rsidP="00FD7CC0">
      <w:pPr>
        <w:pStyle w:val="SingleTxtG"/>
        <w:numPr>
          <w:ilvl w:val="0"/>
          <w:numId w:val="21"/>
        </w:numPr>
        <w:ind w:left="1134" w:firstLine="0"/>
        <w:rPr>
          <w:lang w:val="en-ZA"/>
        </w:rPr>
      </w:pPr>
      <w:r w:rsidRPr="0049619B">
        <w:rPr>
          <w:lang w:val="en-ZA"/>
        </w:rPr>
        <w:t>There has been a steady increase in women’s political participation in local government since 2018. There are provincial differences with some provinces showing higher levels of women’s political representation in local government, such as Northern Cape and the Eastern Cape, both at over 40.0% in 2023.</w:t>
      </w:r>
    </w:p>
    <w:p w14:paraId="50C27187" w14:textId="77777777" w:rsidR="0049619B" w:rsidRPr="0049619B" w:rsidRDefault="0049619B" w:rsidP="00FD7CC0">
      <w:pPr>
        <w:pStyle w:val="SingleTxtG"/>
        <w:numPr>
          <w:ilvl w:val="0"/>
          <w:numId w:val="21"/>
        </w:numPr>
        <w:ind w:left="1134" w:firstLine="0"/>
        <w:rPr>
          <w:lang w:val="en-ZA"/>
        </w:rPr>
      </w:pPr>
      <w:r w:rsidRPr="0049619B">
        <w:rPr>
          <w:lang w:val="en-ZA"/>
        </w:rPr>
        <w:t>Composition of the judiciary depicts substantial progress in terms of women representation. As of August 2025, approximately 37,5% of Constitutional Court judges are women, 47,8% of Supreme Court of Appeal judges are women and 43,6% of High Court Judges are women. Out of a total of 1717 permanent magistrates, 54% are women. At senior level, of the 9 Regional Court Presidents, 5 are women, and of the 311 Regional Magistrates, 163 are women. Out of a total of 248 judges, 122 are women which equates to 49%. African women make up 25% of South Africa’s total judiciary.</w:t>
      </w:r>
    </w:p>
    <w:p w14:paraId="4E8A2B06" w14:textId="77777777" w:rsidR="0049619B" w:rsidRPr="0049619B" w:rsidRDefault="0049619B" w:rsidP="00FD7CC0">
      <w:pPr>
        <w:pStyle w:val="SingleTxtG"/>
        <w:numPr>
          <w:ilvl w:val="0"/>
          <w:numId w:val="21"/>
        </w:numPr>
        <w:ind w:left="1134" w:firstLine="0"/>
        <w:rPr>
          <w:lang w:val="en-ZA"/>
        </w:rPr>
      </w:pPr>
      <w:r w:rsidRPr="0049619B">
        <w:rPr>
          <w:lang w:val="en-ZA"/>
        </w:rPr>
        <w:t xml:space="preserve">The judiciary is currently lead by a female Chief Justice since 24 July 2024. This position is held by a woman for the first time in the history of South Africa demonstrating the critical role of women in leadership. </w:t>
      </w:r>
    </w:p>
    <w:p w14:paraId="25A15CFF" w14:textId="77777777" w:rsidR="0049619B" w:rsidRPr="0049619B" w:rsidRDefault="0049619B" w:rsidP="00FD7CC0">
      <w:pPr>
        <w:pStyle w:val="SingleTxtG"/>
        <w:numPr>
          <w:ilvl w:val="0"/>
          <w:numId w:val="21"/>
        </w:numPr>
        <w:ind w:left="1134" w:firstLine="0"/>
        <w:rPr>
          <w:lang w:val="en-ZA"/>
        </w:rPr>
      </w:pPr>
      <w:r w:rsidRPr="0049619B">
        <w:rPr>
          <w:lang w:val="en-ZA"/>
        </w:rPr>
        <w:t xml:space="preserve">Important strides have also been made in increasing the number of women in senior management positions in the public service.  There is a steady increase in the representation of women in the Senior Management Services in the Public Service over the past five years. Currently, women occupy 45.6% of the senior management positions within the public service. </w:t>
      </w:r>
    </w:p>
    <w:p w14:paraId="3A7977FB" w14:textId="2B8D68C8" w:rsidR="0049619B" w:rsidRPr="0049619B" w:rsidRDefault="00F77A24" w:rsidP="00F77A24">
      <w:pPr>
        <w:pStyle w:val="H1G"/>
        <w:rPr>
          <w:lang w:val="en-ZA"/>
        </w:rPr>
      </w:pPr>
      <w:bookmarkStart w:id="19" w:name="_Toc232855600"/>
      <w:r>
        <w:rPr>
          <w:lang w:val="en-ZA"/>
        </w:rPr>
        <w:tab/>
      </w:r>
      <w:r>
        <w:rPr>
          <w:lang w:val="en-ZA"/>
        </w:rPr>
        <w:tab/>
      </w:r>
      <w:r w:rsidR="0049619B" w:rsidRPr="0049619B">
        <w:rPr>
          <w:lang w:val="en-ZA"/>
        </w:rPr>
        <w:t>Article 8: Participation at the international level</w:t>
      </w:r>
      <w:bookmarkEnd w:id="19"/>
    </w:p>
    <w:p w14:paraId="60FCADC0" w14:textId="77777777" w:rsidR="0049619B" w:rsidRPr="0049619B" w:rsidRDefault="0049619B" w:rsidP="00FD7CC0">
      <w:pPr>
        <w:pStyle w:val="SingleTxtG"/>
        <w:numPr>
          <w:ilvl w:val="0"/>
          <w:numId w:val="21"/>
        </w:numPr>
        <w:ind w:left="1134" w:firstLine="0"/>
        <w:rPr>
          <w:lang w:val="en-ZA"/>
        </w:rPr>
      </w:pPr>
      <w:r w:rsidRPr="0049619B">
        <w:rPr>
          <w:lang w:val="en-ZA"/>
        </w:rPr>
        <w:t xml:space="preserve">South Africa has actively participated in international platforms aimed at advancing the interests of women such as multilateral forums (UN, AU, SADC, G20, IBSA, BRICS, NAM, Commonwealth, IORA) and in peacekeeping initiatives, which highlights the </w:t>
      </w:r>
      <w:r w:rsidRPr="0049619B">
        <w:rPr>
          <w:lang w:val="en-ZA"/>
        </w:rPr>
        <w:lastRenderedPageBreak/>
        <w:t>country’s strategy to mainstream women’s voices in global governance and security dialogues.</w:t>
      </w:r>
    </w:p>
    <w:p w14:paraId="58A28939" w14:textId="77777777" w:rsidR="0049619B" w:rsidRPr="0049619B" w:rsidRDefault="0049619B" w:rsidP="00FD7CC0">
      <w:pPr>
        <w:pStyle w:val="SingleTxtG"/>
        <w:numPr>
          <w:ilvl w:val="0"/>
          <w:numId w:val="21"/>
        </w:numPr>
        <w:ind w:left="1134" w:firstLine="0"/>
        <w:rPr>
          <w:lang w:val="en-ZA"/>
        </w:rPr>
      </w:pPr>
      <w:r w:rsidRPr="0049619B">
        <w:rPr>
          <w:lang w:val="en-ZA"/>
        </w:rPr>
        <w:t>South Africa adopted its National Action Plan on Women, Peace and Security (2020–2025) which outlines its commitments to advance women’s meaningful participation in peace processes and international decision-making. The National Action plan focuses on advancing women’s leadership in diplomacy, peace negotiations, and international institutional roles.</w:t>
      </w:r>
    </w:p>
    <w:p w14:paraId="6E772DD1" w14:textId="77777777" w:rsidR="0049619B" w:rsidRPr="0049619B" w:rsidRDefault="0049619B" w:rsidP="00FD7CC0">
      <w:pPr>
        <w:pStyle w:val="SingleTxtG"/>
        <w:numPr>
          <w:ilvl w:val="0"/>
          <w:numId w:val="21"/>
        </w:numPr>
        <w:ind w:left="1134" w:firstLine="0"/>
        <w:rPr>
          <w:lang w:val="en-ZA"/>
        </w:rPr>
      </w:pPr>
      <w:r w:rsidRPr="0049619B">
        <w:rPr>
          <w:lang w:val="en-ZA"/>
        </w:rPr>
        <w:t>Current data shows that females account for the higher number of the country’s Consul Generals and High Commissioners, while majority of ambassadorial positions are held by males.  Current trends demonstrate an increase in the representation of women as ambassadors from 40,3% in 2023 to 45,7% in 2024 demonstrating South Africa’s commitment to promoting women’s meaningful participation at the international level.</w:t>
      </w:r>
    </w:p>
    <w:p w14:paraId="6D258A28" w14:textId="51442BBD" w:rsidR="0049619B" w:rsidRPr="0049619B" w:rsidRDefault="00F77A24" w:rsidP="00F77A24">
      <w:pPr>
        <w:pStyle w:val="H1G"/>
        <w:rPr>
          <w:lang w:val="en-ZA"/>
        </w:rPr>
      </w:pPr>
      <w:bookmarkStart w:id="20" w:name="_Toc232855601"/>
      <w:r>
        <w:rPr>
          <w:lang w:val="en-ZA"/>
        </w:rPr>
        <w:tab/>
      </w:r>
      <w:r>
        <w:rPr>
          <w:lang w:val="en-ZA"/>
        </w:rPr>
        <w:tab/>
      </w:r>
      <w:r w:rsidR="0049619B" w:rsidRPr="0049619B">
        <w:rPr>
          <w:lang w:val="en-ZA"/>
        </w:rPr>
        <w:t>Article 9: Nationality</w:t>
      </w:r>
      <w:bookmarkEnd w:id="20"/>
      <w:r w:rsidR="0049619B" w:rsidRPr="0049619B">
        <w:rPr>
          <w:lang w:val="en-ZA"/>
        </w:rPr>
        <w:t xml:space="preserve"> </w:t>
      </w:r>
    </w:p>
    <w:p w14:paraId="54321BA3" w14:textId="77777777" w:rsidR="0049619B" w:rsidRPr="0049619B" w:rsidRDefault="0049619B" w:rsidP="00FD7CC0">
      <w:pPr>
        <w:pStyle w:val="SingleTxtG"/>
        <w:numPr>
          <w:ilvl w:val="0"/>
          <w:numId w:val="21"/>
        </w:numPr>
        <w:ind w:left="1134" w:firstLine="0"/>
        <w:rPr>
          <w:lang w:val="en-ZA"/>
        </w:rPr>
      </w:pPr>
      <w:r w:rsidRPr="0049619B">
        <w:rPr>
          <w:lang w:val="en-ZA"/>
        </w:rPr>
        <w:t>The rights of women to nationality are protected by a progressive, gender-neutral legal framework that prohibits discrimination based on sex or gender, ensuring that women have equal rights to acquire, change, retain, or pass on their nationality to their children. The primary laws governing this are the Constitution of 1996 and the South African Citizenship Act 88 of 1995 and as amended most recently in 2010.</w:t>
      </w:r>
    </w:p>
    <w:p w14:paraId="215B26D7" w14:textId="33474E57" w:rsidR="0049619B" w:rsidRPr="0049619B" w:rsidRDefault="00442F1D" w:rsidP="00442F1D">
      <w:pPr>
        <w:pStyle w:val="H23G"/>
        <w:rPr>
          <w:lang w:val="en-ZA"/>
        </w:rPr>
      </w:pPr>
      <w:r>
        <w:rPr>
          <w:lang w:val="en-ZA"/>
        </w:rPr>
        <w:tab/>
      </w:r>
      <w:r>
        <w:rPr>
          <w:lang w:val="en-ZA"/>
        </w:rPr>
        <w:tab/>
      </w:r>
      <w:r w:rsidR="0049619B" w:rsidRPr="0049619B">
        <w:rPr>
          <w:lang w:val="en-ZA"/>
        </w:rPr>
        <w:t>Case of Jordaan and Others v Minister of Home Affairs and Another (2025)</w:t>
      </w:r>
    </w:p>
    <w:p w14:paraId="40EDCBCA" w14:textId="77777777" w:rsidR="0049619B" w:rsidRPr="0049619B" w:rsidRDefault="0049619B" w:rsidP="00FD7CC0">
      <w:pPr>
        <w:pStyle w:val="SingleTxtG"/>
        <w:numPr>
          <w:ilvl w:val="0"/>
          <w:numId w:val="21"/>
        </w:numPr>
        <w:ind w:left="1134" w:firstLine="0"/>
        <w:rPr>
          <w:lang w:val="en-ZA"/>
        </w:rPr>
      </w:pPr>
      <w:r w:rsidRPr="0049619B">
        <w:rPr>
          <w:lang w:val="en-ZA"/>
        </w:rPr>
        <w:t xml:space="preserve">This application concerns the constitutionality of section 26(1)(a)–(c) of the Births and Deaths Registration Act 51 of 1992. This section regulates the amendment of the forenames and surnames of South African citizens and is linked to regulation 18(2)(a) of the Regulations on the Registration of Births and Deaths, 2014.  The Constitutional Court confirmed that section 26(1)(a) -(c) of the Births and Deaths Registration Act 51 of 1992 is unconstitutional. The law unfairly discriminated based on gender, as it permitted women to change their surnames upon marriage, but required men to prove "good cause". This ruling upholds the rights to equality and dignity, allowing all spouses, regardless of gender, to choose their surname. </w:t>
      </w:r>
    </w:p>
    <w:p w14:paraId="7DAFDB5F" w14:textId="77777777" w:rsidR="0049619B" w:rsidRPr="0049619B" w:rsidRDefault="0049619B" w:rsidP="00FD7CC0">
      <w:pPr>
        <w:pStyle w:val="SingleTxtG"/>
        <w:numPr>
          <w:ilvl w:val="0"/>
          <w:numId w:val="21"/>
        </w:numPr>
        <w:ind w:left="1134" w:firstLine="0"/>
        <w:rPr>
          <w:lang w:val="en-ZA"/>
        </w:rPr>
      </w:pPr>
      <w:r w:rsidRPr="00C10D31">
        <w:rPr>
          <w:lang w:val="en-ZA"/>
        </w:rPr>
        <w:t>In response to recommendation 42 (a) on access to birth registration and identity document for women and girls, progress</w:t>
      </w:r>
      <w:r w:rsidRPr="0049619B">
        <w:rPr>
          <w:lang w:val="en-ZA"/>
        </w:rPr>
        <w:t xml:space="preserve"> has been made in increasing accessibility to birth registration and identity documents through the Department of Home Affairs (DHA). The expansion of mobile unit outreach, bolstered by a budget allocation for additional units in the fiscal year 2022/2023, reflects a move towards enhancing service delivery and potentially aiding in improving access to birth registration and identity documents. These mobile units are critical in rural and informal urban areas where access to government services can be particularly challenging. </w:t>
      </w:r>
    </w:p>
    <w:p w14:paraId="5E7FC74B" w14:textId="77777777" w:rsidR="0049619B" w:rsidRPr="0049619B" w:rsidRDefault="0049619B" w:rsidP="00FD7CC0">
      <w:pPr>
        <w:pStyle w:val="SingleTxtG"/>
        <w:numPr>
          <w:ilvl w:val="0"/>
          <w:numId w:val="21"/>
        </w:numPr>
        <w:ind w:left="1134" w:firstLine="0"/>
        <w:rPr>
          <w:lang w:val="en-ZA"/>
        </w:rPr>
      </w:pPr>
      <w:r w:rsidRPr="0049619B">
        <w:rPr>
          <w:lang w:val="en-ZA"/>
        </w:rPr>
        <w:t>The roll-out of the Online Birth Registration System in health facilities was re-introduced in 2019, when 1 445 public health facilities with maternity wards were identified to fall within the scope of the project. From 2021 to 2022, the project established a functional Online Birth Registration infrastructure in 161 health facilities with a dedicated network infrastructure. Full-time officials from the Department of Home Affairs are allocated to these health facilities to provide Birth Registration services. By the end of 2024/25 financial year, the roll-out of the of Online Birth Registration project was completed in 47 health facilities, in addition to the 252 health facilities completed in 2023/24. This brought the total number of health facilities that can register and issue birth certificates to 299. This has contributed to the registration of 724 999 births within 30 calendar days during the 2024/25 financial year.</w:t>
      </w:r>
    </w:p>
    <w:p w14:paraId="670D64C8" w14:textId="77777777" w:rsidR="0049619B" w:rsidRPr="0049619B" w:rsidRDefault="0049619B" w:rsidP="00FD7CC0">
      <w:pPr>
        <w:pStyle w:val="SingleTxtG"/>
        <w:numPr>
          <w:ilvl w:val="0"/>
          <w:numId w:val="21"/>
        </w:numPr>
        <w:ind w:left="1134" w:firstLine="0"/>
        <w:rPr>
          <w:lang w:val="en-ZA"/>
        </w:rPr>
      </w:pPr>
      <w:r w:rsidRPr="0049619B">
        <w:rPr>
          <w:lang w:val="en-ZA"/>
        </w:rPr>
        <w:t xml:space="preserve">Citizens are provided with Smart ID cards when they turn 16 years of age. Government has intensified its efforts of ensuring that all citizens are issued with an Identity Document. Service delivery takes place at 325 frontline offices and through 220 mobile units. The partnership between the Department of Home Affairs and the Department of Basic Education (DBE) expand access to identity documents to learners to. Mobile trucks are deployed nationwide to increase access to identity documents more especially in rural and </w:t>
      </w:r>
      <w:r w:rsidRPr="0049619B">
        <w:rPr>
          <w:lang w:val="en-ZA"/>
        </w:rPr>
        <w:lastRenderedPageBreak/>
        <w:t xml:space="preserve">informal settlements. More than 24 million citizens have been issued with smart ID cards since inception in 2013. </w:t>
      </w:r>
    </w:p>
    <w:p w14:paraId="07E03303" w14:textId="77777777" w:rsidR="0049619B" w:rsidRPr="0049619B" w:rsidRDefault="0049619B" w:rsidP="00FD7CC0">
      <w:pPr>
        <w:pStyle w:val="SingleTxtG"/>
        <w:numPr>
          <w:ilvl w:val="0"/>
          <w:numId w:val="21"/>
        </w:numPr>
        <w:ind w:left="1134" w:firstLine="0"/>
        <w:rPr>
          <w:lang w:val="en-ZA"/>
        </w:rPr>
      </w:pPr>
      <w:r w:rsidRPr="0049619B">
        <w:rPr>
          <w:lang w:val="en-ZA"/>
        </w:rPr>
        <w:t>In</w:t>
      </w:r>
      <w:r w:rsidRPr="00C10D31">
        <w:rPr>
          <w:lang w:val="en-ZA"/>
        </w:rPr>
        <w:t xml:space="preserve"> response to recommendation 42 (b), th</w:t>
      </w:r>
      <w:r w:rsidRPr="0049619B">
        <w:rPr>
          <w:lang w:val="en-ZA"/>
        </w:rPr>
        <w:t>e law provides for mothers and fathers to have equal rights to transmit citizenship to their children and spouses. The recent Gauteng High Court ruling in M.M.E and Others v Director General, Department of Home Affairs and Another (21970/2021) [2025] ZAGPPHC 202 (12 March 2025) represents a pivotal moment in reinforcing the constitutional rights of children. Section 28(1)(a) of the Constitution states that every child has the right to a name and nationality from birth. This decision reaffirms South Africa’s constitutional duty to prevent statelessness and protect children's right to nationality. The ruling serves as a powerful precedent for other children born to refugees or stateless parents in South Africa. It confirms that legislation must be interpreted and implemented in a manner that upholds the best interests of the child.</w:t>
      </w:r>
    </w:p>
    <w:p w14:paraId="3F11B236" w14:textId="77777777" w:rsidR="0049619B" w:rsidRPr="0049619B" w:rsidRDefault="0049619B" w:rsidP="00FD7CC0">
      <w:pPr>
        <w:pStyle w:val="SingleTxtG"/>
        <w:numPr>
          <w:ilvl w:val="0"/>
          <w:numId w:val="21"/>
        </w:numPr>
        <w:ind w:left="1134" w:firstLine="0"/>
        <w:rPr>
          <w:lang w:val="en-ZA"/>
        </w:rPr>
      </w:pPr>
      <w:r w:rsidRPr="0049619B">
        <w:rPr>
          <w:lang w:val="en-ZA"/>
        </w:rPr>
        <w:t>Challenges also remain in instances were children born in South Africa and do not acquire the nationality of one of their parents at birth have struggled to obtain South African citizenship. Parents who lack identity documents may be unable to register the births of their children, putting those children at risk of being unable to assert their citizenship.</w:t>
      </w:r>
    </w:p>
    <w:p w14:paraId="711685F1" w14:textId="459CADD9" w:rsidR="0049619B" w:rsidRPr="00FE72CE" w:rsidRDefault="0000792A" w:rsidP="00C10D31">
      <w:pPr>
        <w:pStyle w:val="HChG"/>
        <w:rPr>
          <w:lang w:val="fr-FR"/>
        </w:rPr>
      </w:pPr>
      <w:bookmarkStart w:id="21" w:name="_Toc232855602"/>
      <w:r w:rsidRPr="00C43B09">
        <w:rPr>
          <w:lang w:val="en-US"/>
        </w:rPr>
        <w:tab/>
      </w:r>
      <w:r w:rsidRPr="00C43B09">
        <w:rPr>
          <w:lang w:val="en-US"/>
        </w:rPr>
        <w:tab/>
      </w:r>
      <w:r w:rsidR="0049619B" w:rsidRPr="00FE72CE">
        <w:rPr>
          <w:lang w:val="fr-FR"/>
        </w:rPr>
        <w:t>P</w:t>
      </w:r>
      <w:r w:rsidRPr="00FE72CE">
        <w:rPr>
          <w:lang w:val="fr-FR"/>
        </w:rPr>
        <w:t>art</w:t>
      </w:r>
      <w:r w:rsidR="0049619B" w:rsidRPr="00FE72CE">
        <w:rPr>
          <w:lang w:val="fr-FR"/>
        </w:rPr>
        <w:t xml:space="preserve"> III: A</w:t>
      </w:r>
      <w:r w:rsidRPr="00FE72CE">
        <w:rPr>
          <w:lang w:val="fr-FR"/>
        </w:rPr>
        <w:t>rticle</w:t>
      </w:r>
      <w:r w:rsidR="0049619B" w:rsidRPr="00FE72CE">
        <w:rPr>
          <w:lang w:val="fr-FR"/>
        </w:rPr>
        <w:t xml:space="preserve"> 10-14</w:t>
      </w:r>
      <w:bookmarkEnd w:id="21"/>
    </w:p>
    <w:p w14:paraId="081D5402" w14:textId="189FBE5D" w:rsidR="0049619B" w:rsidRPr="00FE72CE" w:rsidRDefault="00716B4D" w:rsidP="0000792A">
      <w:pPr>
        <w:pStyle w:val="H1G"/>
        <w:rPr>
          <w:lang w:val="fr-FR"/>
        </w:rPr>
      </w:pPr>
      <w:bookmarkStart w:id="22" w:name="_Toc232855603"/>
      <w:r>
        <w:rPr>
          <w:lang w:val="fr-FR"/>
        </w:rPr>
        <w:tab/>
      </w:r>
      <w:r>
        <w:rPr>
          <w:lang w:val="fr-FR"/>
        </w:rPr>
        <w:tab/>
      </w:r>
      <w:r w:rsidR="0049619B" w:rsidRPr="00FE72CE">
        <w:rPr>
          <w:lang w:val="fr-FR"/>
        </w:rPr>
        <w:t>Article 10: Education</w:t>
      </w:r>
      <w:bookmarkEnd w:id="22"/>
    </w:p>
    <w:p w14:paraId="682C821A" w14:textId="77777777" w:rsidR="0049619B" w:rsidRPr="0049619B" w:rsidRDefault="0049619B" w:rsidP="00FD7CC0">
      <w:pPr>
        <w:pStyle w:val="SingleTxtG"/>
        <w:numPr>
          <w:ilvl w:val="0"/>
          <w:numId w:val="21"/>
        </w:numPr>
        <w:ind w:left="1134" w:firstLine="0"/>
        <w:rPr>
          <w:lang w:val="en-ZA"/>
        </w:rPr>
      </w:pPr>
      <w:r w:rsidRPr="0049619B">
        <w:rPr>
          <w:lang w:val="en-ZA"/>
        </w:rPr>
        <w:t xml:space="preserve">South Africa’s education policy framework is rooted in the Constitution of the Republic of South Africa (1996), which guarantees the right to basic and further education, and is operationalized by the South African Schools Act (1996), which created a uniform system for governance and access, and has been strengthened through the Basic Education Laws Amendment Act (2024). The latter has modernized admissions, governance, and home education policy, while introducing compulsory Grade R, thereby extending access to foundational learning. </w:t>
      </w:r>
    </w:p>
    <w:p w14:paraId="0E881430" w14:textId="77777777" w:rsidR="0049619B" w:rsidRPr="0049619B" w:rsidRDefault="0049619B" w:rsidP="00FD7CC0">
      <w:pPr>
        <w:pStyle w:val="SingleTxtG"/>
        <w:numPr>
          <w:ilvl w:val="0"/>
          <w:numId w:val="21"/>
        </w:numPr>
        <w:ind w:left="1134" w:firstLine="0"/>
        <w:rPr>
          <w:lang w:val="en-ZA"/>
        </w:rPr>
      </w:pPr>
      <w:r w:rsidRPr="0049619B">
        <w:rPr>
          <w:lang w:val="en-ZA"/>
        </w:rPr>
        <w:t xml:space="preserve">South Africa has made progress in facilitating gender equality and equity in education. By 2009, South Africa achieved universal enrolment of all children of primary school–going age, as well as gender parity, in schools across the country. </w:t>
      </w:r>
    </w:p>
    <w:p w14:paraId="157B28C4" w14:textId="77777777" w:rsidR="0049619B" w:rsidRPr="0049619B" w:rsidRDefault="0049619B" w:rsidP="00FD7CC0">
      <w:pPr>
        <w:pStyle w:val="SingleTxtG"/>
        <w:numPr>
          <w:ilvl w:val="0"/>
          <w:numId w:val="21"/>
        </w:numPr>
        <w:ind w:left="1134" w:firstLine="0"/>
        <w:rPr>
          <w:lang w:val="en-ZA"/>
        </w:rPr>
      </w:pPr>
      <w:r w:rsidRPr="0049619B">
        <w:rPr>
          <w:lang w:val="en-ZA"/>
        </w:rPr>
        <w:t>Over the years, the number of women in education has increase, and they now represent a substantial portion of the student population in various fields of study.</w:t>
      </w:r>
    </w:p>
    <w:p w14:paraId="30D7AAF1" w14:textId="77777777" w:rsidR="0049619B" w:rsidRPr="0049619B" w:rsidRDefault="0049619B" w:rsidP="00FD7CC0">
      <w:pPr>
        <w:pStyle w:val="SingleTxtG"/>
        <w:numPr>
          <w:ilvl w:val="0"/>
          <w:numId w:val="21"/>
        </w:numPr>
        <w:ind w:left="1134" w:firstLine="0"/>
        <w:rPr>
          <w:lang w:val="en-ZA"/>
        </w:rPr>
      </w:pPr>
      <w:r w:rsidRPr="0049619B">
        <w:rPr>
          <w:lang w:val="en-ZA"/>
        </w:rPr>
        <w:t>The No-Fee School Policy (2006) covers most public schools, complemented by fee- exemption mechanisms in fee-paying schools. As at March 2025, the National School Nutrition Programme provides daily meals to 9.7 million learners per day, directly addressing hunger and improving attendance, concentration, and educational outcomes. The Learner Transport Scheme and infrastructure investment, including through the Accelerated Schools Infrastructure Delivery Initiative, have reduced access barriers and improved safety, particularly in rural and under- resourced areas.</w:t>
      </w:r>
    </w:p>
    <w:p w14:paraId="5CC59AD1" w14:textId="77777777" w:rsidR="0049619B" w:rsidRPr="0049619B" w:rsidRDefault="0049619B" w:rsidP="00FD7CC0">
      <w:pPr>
        <w:pStyle w:val="SingleTxtG"/>
        <w:numPr>
          <w:ilvl w:val="0"/>
          <w:numId w:val="21"/>
        </w:numPr>
        <w:ind w:left="1134" w:firstLine="0"/>
        <w:rPr>
          <w:lang w:val="en-ZA"/>
        </w:rPr>
      </w:pPr>
      <w:r w:rsidRPr="00716B4D">
        <w:rPr>
          <w:lang w:val="en-ZA"/>
        </w:rPr>
        <w:t>In response to recommendation 44, the</w:t>
      </w:r>
      <w:r w:rsidRPr="0049619B">
        <w:rPr>
          <w:lang w:val="en-ZA"/>
        </w:rPr>
        <w:t xml:space="preserve"> Policy on the Prevention and Management of was gazetted in December 2021 to promoting the constitutional right of learners to basic education by ensuring that they are not excluded from schools because of pregnancy and childbirth. In addition, the policy mandates schools to provide a supportive and inclusive environment for learners to continue and complete their basic education.</w:t>
      </w:r>
    </w:p>
    <w:p w14:paraId="23D137C4" w14:textId="77777777" w:rsidR="0049619B" w:rsidRPr="0049619B" w:rsidRDefault="0049619B" w:rsidP="00FD7CC0">
      <w:pPr>
        <w:pStyle w:val="SingleTxtG"/>
        <w:numPr>
          <w:ilvl w:val="0"/>
          <w:numId w:val="21"/>
        </w:numPr>
        <w:ind w:left="1134" w:firstLine="0"/>
        <w:rPr>
          <w:lang w:val="en-ZA"/>
        </w:rPr>
      </w:pPr>
      <w:r w:rsidRPr="0049619B">
        <w:rPr>
          <w:lang w:val="en-ZA"/>
        </w:rPr>
        <w:t>The purpose of the guide is to provide the necessary information about the management of learner pregnancy in schools. Furthermore, to ensure that schools are safe, free of stigma and provide a non-discriminatory environment for learners during and after their pregnancy.</w:t>
      </w:r>
    </w:p>
    <w:p w14:paraId="2C552D00" w14:textId="77777777" w:rsidR="0049619B" w:rsidRPr="0049619B" w:rsidRDefault="0049619B" w:rsidP="00FD7CC0">
      <w:pPr>
        <w:pStyle w:val="SingleTxtG"/>
        <w:numPr>
          <w:ilvl w:val="0"/>
          <w:numId w:val="21"/>
        </w:numPr>
        <w:ind w:left="1134" w:firstLine="0"/>
        <w:rPr>
          <w:lang w:val="en-ZA"/>
        </w:rPr>
      </w:pPr>
      <w:r w:rsidRPr="0049619B">
        <w:rPr>
          <w:lang w:val="en-ZA"/>
        </w:rPr>
        <w:t xml:space="preserve">Gender Parity Index for tertiary education has been consistently reported above 1, ranging from 1.20 to 1.70 for all population groups, meaning that women were more likely than men to be enrolled in a tertiary institution between 2015 and 2022. The sustained female predominance in tertiary education enrolment may be attributed to the progressive implementation of gender-sensitive educational policies and initiatives aimed at promoting </w:t>
      </w:r>
      <w:r w:rsidRPr="0049619B">
        <w:rPr>
          <w:lang w:val="en-ZA"/>
        </w:rPr>
        <w:lastRenderedPageBreak/>
        <w:t>female participation in higher education. The data underscores the importance of continued efforts to ensure balanced educational opportunities for all.</w:t>
      </w:r>
    </w:p>
    <w:p w14:paraId="5AAC27D3" w14:textId="77777777" w:rsidR="0049619B" w:rsidRPr="0049619B" w:rsidRDefault="0049619B" w:rsidP="00FD7CC0">
      <w:pPr>
        <w:pStyle w:val="SingleTxtG"/>
        <w:numPr>
          <w:ilvl w:val="0"/>
          <w:numId w:val="21"/>
        </w:numPr>
        <w:ind w:left="1134" w:firstLine="0"/>
        <w:rPr>
          <w:lang w:val="en-ZA"/>
        </w:rPr>
      </w:pPr>
      <w:r w:rsidRPr="0049619B">
        <w:rPr>
          <w:lang w:val="en-ZA"/>
        </w:rPr>
        <w:t xml:space="preserve">The Gender Parity Index in the Technical and Vocational Education and Training (TVET) colleges shows comparatively high female participation rate from 2014 to 2021. </w:t>
      </w:r>
    </w:p>
    <w:p w14:paraId="1980A6CA" w14:textId="77777777" w:rsidR="0049619B" w:rsidRPr="0049619B" w:rsidRDefault="0049619B" w:rsidP="00FD7CC0">
      <w:pPr>
        <w:pStyle w:val="SingleTxtG"/>
        <w:numPr>
          <w:ilvl w:val="0"/>
          <w:numId w:val="21"/>
        </w:numPr>
        <w:ind w:left="1134" w:firstLine="0"/>
        <w:rPr>
          <w:lang w:val="en-ZA"/>
        </w:rPr>
      </w:pPr>
      <w:r w:rsidRPr="0049619B">
        <w:rPr>
          <w:lang w:val="en-ZA"/>
        </w:rPr>
        <w:t>In 2023, almost two-thirds of students in TVET colleges were female (360 378 or 63.9%), while males accounted for 203 711 (36.1%). Female enrolment exceeded that of males in almost all programmes, except for skills programmes, where 1 759 more males than females enrolled. The highest female proportion was observed in Level 5 and 6 Qualifications (79.0%), while males’ proportion was higher in skills programmes (62.6%). In 2023, females made up 62.7% of total enrolments in public higher education institutions (HEIs), compared to 37.3% for males. Female enrolment was higher than male enrolment in both contact and distance mode of learning. The difference was particularly notable in the distance mode, where the proportion of females exceeded that of males by 43.8 percentage points.</w:t>
      </w:r>
    </w:p>
    <w:p w14:paraId="778B64C0" w14:textId="77777777" w:rsidR="0049619B" w:rsidRPr="0049619B" w:rsidRDefault="0049619B" w:rsidP="00FD7CC0">
      <w:pPr>
        <w:pStyle w:val="SingleTxtG"/>
        <w:numPr>
          <w:ilvl w:val="0"/>
          <w:numId w:val="21"/>
        </w:numPr>
        <w:ind w:left="1134" w:firstLine="0"/>
        <w:rPr>
          <w:lang w:val="en-ZA"/>
        </w:rPr>
      </w:pPr>
      <w:r w:rsidRPr="0049619B">
        <w:rPr>
          <w:lang w:val="en-ZA"/>
        </w:rPr>
        <w:t>In 2023, female enrolment reached 671 988, which was 272 730 higher than male enrolment (399 258). Female enrolment exceeded male enrolment across all fields of study, with the largest gap in the Other Humanities field of study, where 106 752 more females than males were enrolled. It should also be noted that nearly three quarters of enrolments in the Education field of study were females (74.0% or 137 132), compared to 26.0% (48 160) males. Similarly, in the Other Humanities field of study female enrolment was higher 68.0% (201 335) compared to 32.0% (94 583) males.</w:t>
      </w:r>
    </w:p>
    <w:p w14:paraId="39A523FE" w14:textId="77777777" w:rsidR="0049619B" w:rsidRPr="0049619B" w:rsidRDefault="0049619B" w:rsidP="00FD7CC0">
      <w:pPr>
        <w:pStyle w:val="SingleTxtG"/>
        <w:numPr>
          <w:ilvl w:val="0"/>
          <w:numId w:val="21"/>
        </w:numPr>
        <w:ind w:left="1134" w:firstLine="0"/>
        <w:rPr>
          <w:lang w:val="en-ZA"/>
        </w:rPr>
      </w:pPr>
      <w:r w:rsidRPr="0049619B">
        <w:rPr>
          <w:lang w:val="en-ZA"/>
        </w:rPr>
        <w:t xml:space="preserve">Graduation rates (for universities) and certification rates (for TVET colleges) are two indicators of success in the Post-School Education and Training (PSET) system. In 2023, almost two thirds of the graduates were females (65.4% or 144 287), while 34.6% (76 389) were males. The number of female graduates were higher in almost all qualification types (except doctoral degrees), with the largest gender disparities observed for undergraduate degrees (33 691) and undergraduate certificates and diplomas (17 086). </w:t>
      </w:r>
    </w:p>
    <w:p w14:paraId="0F62A610" w14:textId="77777777" w:rsidR="0049619B" w:rsidRPr="0049619B" w:rsidRDefault="0049619B" w:rsidP="00FD7CC0">
      <w:pPr>
        <w:pStyle w:val="SingleTxtG"/>
        <w:numPr>
          <w:ilvl w:val="0"/>
          <w:numId w:val="21"/>
        </w:numPr>
        <w:ind w:left="1134" w:firstLine="0"/>
        <w:rPr>
          <w:lang w:val="en-ZA"/>
        </w:rPr>
      </w:pPr>
      <w:r w:rsidRPr="0049619B">
        <w:rPr>
          <w:lang w:val="en-ZA"/>
        </w:rPr>
        <w:t xml:space="preserve">Male graduates for doctoral degrees outnumbered females by 134. However, a sizable portion of both male and female graduates obtained their doctoral degrees in the Science, Engineering and Technology field of study (953 and 811 respectively). In 2023, the number of female graduates exceeded male graduates by 67 898. Across all fields of study, female graduates out-numbered males, particularly in the Education and Other Humanities, where 22 065 and 23 790 more females than males completed their degrees. </w:t>
      </w:r>
    </w:p>
    <w:p w14:paraId="56895EAC" w14:textId="77777777" w:rsidR="0049619B" w:rsidRPr="0049619B" w:rsidRDefault="0049619B" w:rsidP="00FD7CC0">
      <w:pPr>
        <w:pStyle w:val="SingleTxtG"/>
        <w:numPr>
          <w:ilvl w:val="0"/>
          <w:numId w:val="21"/>
        </w:numPr>
        <w:ind w:left="1134" w:firstLine="0"/>
        <w:rPr>
          <w:lang w:val="en-ZA"/>
        </w:rPr>
      </w:pPr>
      <w:r w:rsidRPr="0049619B">
        <w:rPr>
          <w:lang w:val="en-ZA"/>
        </w:rPr>
        <w:t>Over 77% of graduates in the Education field of study were females (31 312 out of the overall total of 40 562). In addition. more than 70% of graduates in the Other Humanities field of study were also female (40 259 out of the overall total of 56 771). Female graduates in the Science, Engineering and Technology field of study surpassed males by 6 777, while the gender disparities were more pronounced in the Other Humanities and Education fields of study, with 23 790 and 22 065 more females than males respectively.</w:t>
      </w:r>
    </w:p>
    <w:p w14:paraId="6F01C26D" w14:textId="77777777" w:rsidR="0049619B" w:rsidRPr="0049619B" w:rsidRDefault="0049619B" w:rsidP="00FD7CC0">
      <w:pPr>
        <w:pStyle w:val="SingleTxtG"/>
        <w:numPr>
          <w:ilvl w:val="0"/>
          <w:numId w:val="21"/>
        </w:numPr>
        <w:ind w:left="1134" w:firstLine="0"/>
        <w:rPr>
          <w:lang w:val="en-ZA"/>
        </w:rPr>
      </w:pPr>
      <w:r w:rsidRPr="0049619B">
        <w:rPr>
          <w:lang w:val="en-ZA"/>
        </w:rPr>
        <w:t>The National Student Financial Aid Scheme (NSFAS) provides provide financial aid in the form of bursaries and loans to eligible students from poor and working-class families to access post-school education. Evidence shows that most of the beneficiaries are female students. In 2022, a total of 810 532 students met both the academic and financial eligibility criteria to benefit from the Bursary Scheme, administered by NSFAS. Of these, 67% (541 843) were females and 33% (268 689) were male. The proportional representation of women is consistent, for Technical and Vocational Education and Training (TVET) Colleges and Universities at 67%</w:t>
      </w:r>
    </w:p>
    <w:p w14:paraId="7E4408E0" w14:textId="37870D7A" w:rsidR="0049619B" w:rsidRPr="0049619B" w:rsidRDefault="00716B4D" w:rsidP="00716B4D">
      <w:pPr>
        <w:pStyle w:val="H1G"/>
        <w:rPr>
          <w:lang w:val="en-ZA"/>
        </w:rPr>
      </w:pPr>
      <w:bookmarkStart w:id="23" w:name="_Toc232855604"/>
      <w:r>
        <w:rPr>
          <w:lang w:val="en-ZA"/>
        </w:rPr>
        <w:tab/>
      </w:r>
      <w:r>
        <w:rPr>
          <w:lang w:val="en-ZA"/>
        </w:rPr>
        <w:tab/>
      </w:r>
      <w:r w:rsidR="0049619B" w:rsidRPr="0049619B">
        <w:rPr>
          <w:lang w:val="en-ZA"/>
        </w:rPr>
        <w:t>Article 11: Employment</w:t>
      </w:r>
      <w:bookmarkEnd w:id="23"/>
    </w:p>
    <w:p w14:paraId="1315686C" w14:textId="77777777" w:rsidR="0049619B" w:rsidRPr="0049619B" w:rsidRDefault="0049619B" w:rsidP="00FD7CC0">
      <w:pPr>
        <w:pStyle w:val="SingleTxtG"/>
        <w:numPr>
          <w:ilvl w:val="0"/>
          <w:numId w:val="21"/>
        </w:numPr>
        <w:ind w:left="1134" w:firstLine="0"/>
        <w:rPr>
          <w:lang w:val="en-ZA"/>
        </w:rPr>
      </w:pPr>
      <w:r w:rsidRPr="0049619B">
        <w:rPr>
          <w:lang w:val="en-ZA"/>
        </w:rPr>
        <w:t>South Africa’s approach to promoting sustained economic growth and decent work is firmly anchored in the Constitution of the Republic of South Africa (1996), which guarantees the right to fair labour practices and underpins socio-economic policy. These commitments are operationalized through the NDP Vision 2030 and the MTDP 2024–2029, which emphasize inclusive growth, job creation and productivity improvements.</w:t>
      </w:r>
    </w:p>
    <w:p w14:paraId="3753B234" w14:textId="77777777" w:rsidR="0049619B" w:rsidRPr="0049619B" w:rsidRDefault="0049619B" w:rsidP="00FD7CC0">
      <w:pPr>
        <w:pStyle w:val="SingleTxtG"/>
        <w:numPr>
          <w:ilvl w:val="0"/>
          <w:numId w:val="21"/>
        </w:numPr>
        <w:ind w:left="1134" w:firstLine="0"/>
        <w:rPr>
          <w:lang w:val="en-ZA"/>
        </w:rPr>
      </w:pPr>
      <w:r w:rsidRPr="0049619B">
        <w:rPr>
          <w:lang w:val="en-ZA"/>
        </w:rPr>
        <w:lastRenderedPageBreak/>
        <w:t xml:space="preserve">Employment creation is supported through large-scale public programmes such as the Expanded Public Works Programme (2004 to present) and the Community Works Programme (2010 to present). Complementing these, the Jobs Fund (2011) has channelled billions of rand into matched-funding initiatives that support enterprise development, work seeker support, infrastructure, and institutional strengthening. The Expanded Publics Works Programme created approximately 924,457 Work Opportunities from 01 April 2025 to 31 March 2026). Women constituted the majority (68.22%) of beneficiaries. </w:t>
      </w:r>
    </w:p>
    <w:p w14:paraId="20E84CDC" w14:textId="77777777" w:rsidR="0049619B" w:rsidRPr="0049619B" w:rsidRDefault="0049619B" w:rsidP="00FD7CC0">
      <w:pPr>
        <w:pStyle w:val="SingleTxtG"/>
        <w:numPr>
          <w:ilvl w:val="0"/>
          <w:numId w:val="21"/>
        </w:numPr>
        <w:ind w:left="1134" w:firstLine="0"/>
        <w:rPr>
          <w:lang w:val="en-ZA"/>
        </w:rPr>
      </w:pPr>
      <w:r w:rsidRPr="0049619B">
        <w:rPr>
          <w:lang w:val="en-ZA"/>
        </w:rPr>
        <w:t>The Broad-Based Black Economic Empowerment Amendment Act (2003) advances equity and participation. The National Small Enterprise Amendment Act (2024) strengthens support for small enterprises and cooperatives, with the Co-operative Amendment Act (2013) improving governance and accountability. Women form a large part of the SMME sector.</w:t>
      </w:r>
    </w:p>
    <w:p w14:paraId="0AD950D8" w14:textId="77777777" w:rsidR="0049619B" w:rsidRPr="0049619B" w:rsidRDefault="0049619B" w:rsidP="00FD7CC0">
      <w:pPr>
        <w:pStyle w:val="SingleTxtG"/>
        <w:numPr>
          <w:ilvl w:val="0"/>
          <w:numId w:val="21"/>
        </w:numPr>
        <w:ind w:left="1134" w:firstLine="0"/>
        <w:rPr>
          <w:b/>
          <w:bCs/>
          <w:lang w:val="en-ZA"/>
        </w:rPr>
      </w:pPr>
      <w:r w:rsidRPr="0049619B">
        <w:rPr>
          <w:lang w:val="en-ZA"/>
        </w:rPr>
        <w:t xml:space="preserve">Unemployment, especially among youth and women, remains relatively high, underscoring the need for labour-absorbing growth and stronger pathways into the labour market. Government reforms under the Economic Reconstruction and Recovery Plan (ERRP), supported by the NDP and MTDP, focus on boosting industrialisation, improving the business environment, enhancing skills development, and supporting SMMEs and the informal sector. At the same time, efforts to advance decent work, strengthen labour protections and promote inclusive participation in the economy remain central to achieving the socio-economic empowerment of women. </w:t>
      </w:r>
    </w:p>
    <w:p w14:paraId="4DFF156E"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South Africa, </w:t>
      </w:r>
      <w:r w:rsidRPr="00716B4D">
        <w:rPr>
          <w:lang w:val="en-ZA"/>
        </w:rPr>
        <w:t>wage discrimination c</w:t>
      </w:r>
      <w:r w:rsidRPr="0049619B">
        <w:rPr>
          <w:lang w:val="en-ZA"/>
        </w:rPr>
        <w:t xml:space="preserve">ontinues to be a challenge to the working woman. This form of inequality in the country has been overt and practiced indiscriminately and with impunity, because the workforce is skewed towards men and lies fundamentally in the hands of men, mainly white males.  Wage discrimination continues despite prohibition under the Labour Relations Act, no 66 of 1995 and the Wage Act, no 5 of 1957. However, both acts had little impact over the past two decades as they related only to minimum wages. </w:t>
      </w:r>
    </w:p>
    <w:p w14:paraId="4DE6082F" w14:textId="77777777" w:rsidR="0049619B" w:rsidRPr="0049619B" w:rsidRDefault="0049619B" w:rsidP="00FD7CC0">
      <w:pPr>
        <w:pStyle w:val="SingleTxtG"/>
        <w:numPr>
          <w:ilvl w:val="0"/>
          <w:numId w:val="21"/>
        </w:numPr>
        <w:ind w:left="1134" w:firstLine="0"/>
        <w:rPr>
          <w:lang w:val="en-ZA"/>
        </w:rPr>
      </w:pPr>
      <w:r w:rsidRPr="0049619B">
        <w:rPr>
          <w:lang w:val="en-ZA"/>
        </w:rPr>
        <w:t xml:space="preserve">South Africa introduced multiple mechanisms to eliminate discrimination within the employment environment. These includes the labour courts, equality courts, Commission for Gender Equality, Commission for Conciliation, Mediation and Arbitration (CCMA) in line with the constitutional and legal obligations. Section 10 of the Employment Equity Act provides that dispute arising from Chapter II, Prohibition of Unfair Discrimination, may be referred to the Commission for Conciliation, Mediation and Arbitration (the “CCMA”) for conciliation. Section 10(6) of the EEA provides that if a dispute remains unresolved after conciliation, a party may refer it to the Labour Court for adjudication. If the employee alleges sexual harassment, that employee also has the option to refer the dispute to the CCMA for arbitration. </w:t>
      </w:r>
    </w:p>
    <w:p w14:paraId="0CD4CA25" w14:textId="77777777" w:rsidR="0049619B" w:rsidRPr="0049619B" w:rsidRDefault="0049619B" w:rsidP="00FD7CC0">
      <w:pPr>
        <w:pStyle w:val="SingleTxtG"/>
        <w:numPr>
          <w:ilvl w:val="0"/>
          <w:numId w:val="21"/>
        </w:numPr>
        <w:ind w:left="1134" w:firstLine="0"/>
        <w:rPr>
          <w:lang w:val="en-ZA"/>
        </w:rPr>
      </w:pPr>
      <w:r w:rsidRPr="0049619B">
        <w:rPr>
          <w:lang w:val="en-ZA"/>
        </w:rPr>
        <w:t>Issues of unfair discrimination on arbitrary ground constitute most employment equity act referrals followed by issues on equal pay for work of equal value, and sexual harassment from 01 April 2021/ 31 March 2022 reporting period to 01 April 2024 to 31 January 2025 reporting period.</w:t>
      </w:r>
    </w:p>
    <w:p w14:paraId="5A5BA377" w14:textId="77777777" w:rsidR="0049619B" w:rsidRPr="0049619B" w:rsidRDefault="0049619B" w:rsidP="00FD7CC0">
      <w:pPr>
        <w:pStyle w:val="SingleTxtG"/>
        <w:numPr>
          <w:ilvl w:val="0"/>
          <w:numId w:val="21"/>
        </w:numPr>
        <w:ind w:left="1134" w:firstLine="0"/>
        <w:rPr>
          <w:lang w:val="en-ZA"/>
        </w:rPr>
      </w:pPr>
      <w:r w:rsidRPr="0049619B">
        <w:rPr>
          <w:lang w:val="en-ZA"/>
        </w:rPr>
        <w:t xml:space="preserve">On the issue of the </w:t>
      </w:r>
      <w:r w:rsidRPr="00716B4D">
        <w:rPr>
          <w:lang w:val="en-ZA"/>
        </w:rPr>
        <w:t xml:space="preserve">promoting the economic empowerment of women in South Africa, </w:t>
      </w:r>
      <w:r w:rsidRPr="0049619B">
        <w:rPr>
          <w:lang w:val="en-ZA"/>
        </w:rPr>
        <w:t xml:space="preserve">the National Development Plan: Vision 2030 (NDP) indicates that women make up a large percentage of the poor, particularly in rural areas, and therefore takes gender, race and geographic location as intersecting variables, into account, proposing a range of measures to advance women's equality. The NDP recommends that: (i) public employment should be expanded to provide work for the unemployed, with a specific focus on youth and women; (ii) the transformation of the economy should involve the active participation and empowerment of women. Although the country’s institutional framework and its broad economic and social trends have contributed to gradual deracialisation, and to improve the lives of women, persisting discrimination, patriarchal attitudes and poor access by women to economic opportunities, persists – thus keeping women very much on the margins of mainstream economy. </w:t>
      </w:r>
    </w:p>
    <w:p w14:paraId="089AE4A6" w14:textId="77777777" w:rsidR="0049619B" w:rsidRPr="0049619B" w:rsidRDefault="0049619B" w:rsidP="00FD7CC0">
      <w:pPr>
        <w:pStyle w:val="SingleTxtG"/>
        <w:numPr>
          <w:ilvl w:val="0"/>
          <w:numId w:val="21"/>
        </w:numPr>
        <w:ind w:left="1134" w:firstLine="0"/>
        <w:rPr>
          <w:lang w:val="en-ZA"/>
        </w:rPr>
      </w:pPr>
      <w:r w:rsidRPr="0049619B">
        <w:rPr>
          <w:lang w:val="en-ZA"/>
        </w:rPr>
        <w:t xml:space="preserve">South Africa has several measures put in place to address the economic empowerment of women, including laws such as the Broad Based Black Economic Empowerment Act, no 53 of 2003, and related regulations: the Mineral and Petroleum Resources Development Act 28 of 2002 and related Codes outlining quotas for women in the mining sector. Public Procurement Act 28 of 2024 establishes a unified framework for South African state </w:t>
      </w:r>
      <w:r w:rsidRPr="0049619B">
        <w:rPr>
          <w:lang w:val="en-ZA"/>
        </w:rPr>
        <w:lastRenderedPageBreak/>
        <w:t xml:space="preserve">procurement, prioritizing women's economic empowerment through mandatory set-asides and preferential treatment. It addresses historical disparities by enabling, in sections 17-19, the reservation of contracts for women-owned businesses. </w:t>
      </w:r>
    </w:p>
    <w:p w14:paraId="394274AB" w14:textId="77777777" w:rsidR="0049619B" w:rsidRPr="0049619B" w:rsidRDefault="0049619B" w:rsidP="00FD7CC0">
      <w:pPr>
        <w:pStyle w:val="SingleTxtG"/>
        <w:numPr>
          <w:ilvl w:val="0"/>
          <w:numId w:val="21"/>
        </w:numPr>
        <w:ind w:left="1134" w:firstLine="0"/>
        <w:rPr>
          <w:lang w:val="en-ZA"/>
        </w:rPr>
      </w:pPr>
      <w:r w:rsidRPr="00716B4D">
        <w:rPr>
          <w:lang w:val="en-ZA"/>
        </w:rPr>
        <w:t>Domestic workers</w:t>
      </w:r>
      <w:r w:rsidRPr="0049619B">
        <w:rPr>
          <w:lang w:val="en-ZA"/>
        </w:rPr>
        <w:t xml:space="preserve"> in South Africa receive protection through sectoral determinations under the Basic Conditions of Employment Act in 2002, which was amended in 2020 to enable domestic workers to claim from the Compensation fund for work related injuries or illness. In </w:t>
      </w:r>
      <w:r w:rsidRPr="00716B4D">
        <w:rPr>
          <w:lang w:val="en-ZA"/>
        </w:rPr>
        <w:t>response to recommendation 50 (a)</w:t>
      </w:r>
      <w:r w:rsidRPr="0049619B">
        <w:rPr>
          <w:lang w:val="en-ZA"/>
        </w:rPr>
        <w:t xml:space="preserve"> Domestic workers are covered under COIDA, entitling them to claim compensation for occupational injuries and diseases. In Mahlangu and Another v Minister of Labour (CCT306/19) [2020] ZACC 24, Sylvia Bongi Mahlangu, the daughter of a South African domestic worker, Maria Mahlangu, sued the government’s labour office when she was denied benefits under CODIA after her mother’s death in a work accident. The judgment found that the denial of benefits to individuals employed as domestic workers and to their families under COIDA was unconstitutional, thereby extending COIDA coverage to domestic workers, obliging employers to register and pay annual contributions to the compensation fund. The Constitutional Court held that it violated constitutional rights to equality, dignity and social security.</w:t>
      </w:r>
    </w:p>
    <w:p w14:paraId="45829F16" w14:textId="77777777" w:rsidR="0049619B" w:rsidRPr="00716B4D" w:rsidRDefault="0049619B" w:rsidP="00FD7CC0">
      <w:pPr>
        <w:pStyle w:val="SingleTxtG"/>
        <w:numPr>
          <w:ilvl w:val="0"/>
          <w:numId w:val="21"/>
        </w:numPr>
        <w:ind w:left="1134" w:firstLine="0"/>
        <w:rPr>
          <w:lang w:val="en-ZA"/>
        </w:rPr>
      </w:pPr>
      <w:r w:rsidRPr="00716B4D">
        <w:rPr>
          <w:lang w:val="en-ZA"/>
        </w:rPr>
        <w:t>The Basic Conditions of employment Act 75 of 1997 guarantees paid maternity leave, including antenatal, post-natal and family leave. The purpose of this Act is to align the minimum terms and conditions of employment for workers, with the constitutional right to fair labour practices as set out in Section 23(1) of the Constitution. It should inform the basis of any employment contract. In addition to providing the minimum employment standards, the BCEA also ensures fair treatment within the workplace.</w:t>
      </w:r>
    </w:p>
    <w:p w14:paraId="3F1DD619" w14:textId="68EADD40" w:rsidR="0049619B" w:rsidRPr="0049619B" w:rsidRDefault="00716B4D" w:rsidP="00716B4D">
      <w:pPr>
        <w:pStyle w:val="H1G"/>
        <w:rPr>
          <w:lang w:val="en-ZA"/>
        </w:rPr>
      </w:pPr>
      <w:bookmarkStart w:id="24" w:name="_Toc232855605"/>
      <w:r>
        <w:rPr>
          <w:lang w:val="en-ZA"/>
        </w:rPr>
        <w:tab/>
      </w:r>
      <w:r>
        <w:rPr>
          <w:lang w:val="en-ZA"/>
        </w:rPr>
        <w:tab/>
      </w:r>
      <w:r w:rsidR="0049619B" w:rsidRPr="0049619B">
        <w:rPr>
          <w:lang w:val="en-ZA"/>
        </w:rPr>
        <w:t>Article 12: Health</w:t>
      </w:r>
      <w:bookmarkEnd w:id="24"/>
    </w:p>
    <w:p w14:paraId="76AB6561" w14:textId="77777777" w:rsidR="0049619B" w:rsidRPr="0049619B" w:rsidRDefault="0049619B" w:rsidP="00FD7CC0">
      <w:pPr>
        <w:pStyle w:val="SingleTxtG"/>
        <w:numPr>
          <w:ilvl w:val="0"/>
          <w:numId w:val="21"/>
        </w:numPr>
        <w:ind w:left="1134" w:firstLine="0"/>
        <w:rPr>
          <w:lang w:val="en-ZA"/>
        </w:rPr>
      </w:pPr>
      <w:r w:rsidRPr="0049619B">
        <w:rPr>
          <w:lang w:val="en-ZA"/>
        </w:rPr>
        <w:t xml:space="preserve">Several transformative policies and legislations aimed at advancing women’s empowerment and gender equality has been put in place. Notable progress has been recorded in some indicators suggesting improvement in the quality of life of women over the years. The right of everyone to access healthcare services, including reproductive health care is enshrined in the Constitution. The National Health Act (2003) establishes a unified national health system and clarifying the responsibilities of national, provincial, and local government in ensuring equitable access and accountability across the health sector. </w:t>
      </w:r>
    </w:p>
    <w:p w14:paraId="285D3473" w14:textId="77777777" w:rsidR="0049619B" w:rsidRPr="0049619B" w:rsidRDefault="0049619B" w:rsidP="00FD7CC0">
      <w:pPr>
        <w:pStyle w:val="SingleTxtG"/>
        <w:numPr>
          <w:ilvl w:val="0"/>
          <w:numId w:val="21"/>
        </w:numPr>
        <w:ind w:left="1134" w:firstLine="0"/>
        <w:rPr>
          <w:lang w:val="en-ZA"/>
        </w:rPr>
      </w:pPr>
      <w:r w:rsidRPr="0049619B">
        <w:rPr>
          <w:lang w:val="en-ZA"/>
        </w:rPr>
        <w:t>The Medium-Term Strategic Framework implemented from 2019 to 2024 prioritized strengthening primary health care as the foundation of the system, integrating responses to both communicable and non-communicable diseases, and accelerating digital health innovations. Priorities include improving maternal and child health outcomes, enhancing community level responsiveness, and narrowing disparities in access and quality.</w:t>
      </w:r>
    </w:p>
    <w:p w14:paraId="1AB1DD25" w14:textId="77777777" w:rsidR="0049619B" w:rsidRPr="0049619B" w:rsidRDefault="0049619B" w:rsidP="00FD7CC0">
      <w:pPr>
        <w:pStyle w:val="SingleTxtG"/>
        <w:numPr>
          <w:ilvl w:val="0"/>
          <w:numId w:val="21"/>
        </w:numPr>
        <w:ind w:left="1134" w:firstLine="0"/>
        <w:rPr>
          <w:lang w:val="en-ZA"/>
        </w:rPr>
      </w:pPr>
      <w:r w:rsidRPr="0049619B">
        <w:rPr>
          <w:lang w:val="en-ZA"/>
        </w:rPr>
        <w:t>The National Health Insurance Act (2023) aims to establish the National Health Insurance Fund which promote strategic purchasing of health services, reduce financial barriers, and guarantee equitable access to essential care. These reforms will be supported by fiscal allocations to stabilize health services, sustain public sector capacity, and protect key programmes, including those vulnerable to reductions in international donor funding.</w:t>
      </w:r>
    </w:p>
    <w:p w14:paraId="347DA537" w14:textId="77777777" w:rsidR="0049619B" w:rsidRPr="0049619B" w:rsidRDefault="0049619B" w:rsidP="00FD7CC0">
      <w:pPr>
        <w:pStyle w:val="SingleTxtG"/>
        <w:numPr>
          <w:ilvl w:val="0"/>
          <w:numId w:val="21"/>
        </w:numPr>
        <w:ind w:left="1134" w:firstLine="0"/>
        <w:rPr>
          <w:lang w:val="en-ZA"/>
        </w:rPr>
      </w:pPr>
      <w:r w:rsidRPr="0049619B">
        <w:rPr>
          <w:lang w:val="en-ZA"/>
        </w:rPr>
        <w:t xml:space="preserve">The National Strategic Plan for HIV, Tuberculosis and STIs 2023–2028 integrates prevention, testing, treatment and stigma reduction. </w:t>
      </w:r>
    </w:p>
    <w:p w14:paraId="5338017A" w14:textId="77777777" w:rsidR="0049619B" w:rsidRPr="0049619B" w:rsidRDefault="0049619B" w:rsidP="00FD7CC0">
      <w:pPr>
        <w:pStyle w:val="SingleTxtG"/>
        <w:numPr>
          <w:ilvl w:val="0"/>
          <w:numId w:val="21"/>
        </w:numPr>
        <w:ind w:left="1134" w:firstLine="0"/>
        <w:rPr>
          <w:lang w:val="en-ZA"/>
        </w:rPr>
      </w:pPr>
      <w:r w:rsidRPr="0049619B">
        <w:rPr>
          <w:lang w:val="en-ZA"/>
        </w:rPr>
        <w:t>The National Strategic Plan for the Prevention and Control of Non-Communicable Diseases 2022– 2027 adopts a people-centered and integrated approach, addressing conditions such as diabetes, hypertension, and cancers through strengthened primary health care.</w:t>
      </w:r>
    </w:p>
    <w:p w14:paraId="269D7EA3" w14:textId="4C419544" w:rsidR="0049619B" w:rsidRPr="0049619B" w:rsidRDefault="00716B4D" w:rsidP="00716B4D">
      <w:pPr>
        <w:pStyle w:val="H1G"/>
        <w:rPr>
          <w:lang w:val="en-ZA"/>
        </w:rPr>
      </w:pPr>
      <w:r>
        <w:rPr>
          <w:lang w:val="en-ZA"/>
        </w:rPr>
        <w:tab/>
      </w:r>
      <w:r>
        <w:rPr>
          <w:lang w:val="en-ZA"/>
        </w:rPr>
        <w:tab/>
      </w:r>
      <w:r w:rsidR="0049619B" w:rsidRPr="0049619B">
        <w:rPr>
          <w:lang w:val="en-ZA"/>
        </w:rPr>
        <w:t>Access to healthcare</w:t>
      </w:r>
    </w:p>
    <w:p w14:paraId="030FFA7A" w14:textId="77777777" w:rsidR="0049619B" w:rsidRPr="0049619B" w:rsidRDefault="0049619B" w:rsidP="00FD7CC0">
      <w:pPr>
        <w:pStyle w:val="SingleTxtG"/>
        <w:numPr>
          <w:ilvl w:val="0"/>
          <w:numId w:val="21"/>
        </w:numPr>
        <w:ind w:left="1134" w:firstLine="0"/>
        <w:rPr>
          <w:lang w:val="en-ZA"/>
        </w:rPr>
      </w:pPr>
      <w:r w:rsidRPr="0049619B">
        <w:rPr>
          <w:lang w:val="en-ZA"/>
        </w:rPr>
        <w:t xml:space="preserve">The type of healthcare facility consulted by household members is influenced by factors such as households’ proximity to facilities as well as personal preferences based on factors such as affordability and the perceived quality of services. </w:t>
      </w:r>
    </w:p>
    <w:p w14:paraId="1708C3D5" w14:textId="77777777" w:rsidR="0049619B" w:rsidRPr="0049619B" w:rsidRDefault="0049619B" w:rsidP="00FD7CC0">
      <w:pPr>
        <w:pStyle w:val="SingleTxtG"/>
        <w:numPr>
          <w:ilvl w:val="0"/>
          <w:numId w:val="21"/>
        </w:numPr>
        <w:ind w:left="1134" w:firstLine="0"/>
        <w:rPr>
          <w:lang w:val="en-ZA"/>
        </w:rPr>
      </w:pPr>
      <w:r w:rsidRPr="0049619B">
        <w:rPr>
          <w:lang w:val="en-ZA"/>
        </w:rPr>
        <w:lastRenderedPageBreak/>
        <w:t xml:space="preserve">In 2024, 73,1% of households said that they would first go to public clinics, hospitals or other public institutions, while 25,3% of households said that they would first consult a private doctor, private clinic or hospital. </w:t>
      </w:r>
    </w:p>
    <w:p w14:paraId="464D8DFC" w14:textId="77777777" w:rsidR="0049619B" w:rsidRPr="0049619B" w:rsidRDefault="0049619B" w:rsidP="00FD7CC0">
      <w:pPr>
        <w:pStyle w:val="SingleTxtG"/>
        <w:numPr>
          <w:ilvl w:val="0"/>
          <w:numId w:val="21"/>
        </w:numPr>
        <w:ind w:left="1134" w:firstLine="0"/>
        <w:rPr>
          <w:lang w:val="en-ZA"/>
        </w:rPr>
      </w:pPr>
      <w:r w:rsidRPr="0049619B">
        <w:rPr>
          <w:lang w:val="en-ZA"/>
        </w:rPr>
        <w:t xml:space="preserve">The majority (83,7%) of the population lives less than 30 minutes from a health care facility which demonstrate accessibility of health care facilities. </w:t>
      </w:r>
    </w:p>
    <w:p w14:paraId="26116DEA" w14:textId="2D96C286" w:rsidR="0049619B" w:rsidRPr="0049619B" w:rsidRDefault="00716B4D" w:rsidP="00716B4D">
      <w:pPr>
        <w:pStyle w:val="H23G"/>
        <w:rPr>
          <w:lang w:val="en-ZA"/>
        </w:rPr>
      </w:pPr>
      <w:r>
        <w:rPr>
          <w:lang w:val="en-ZA"/>
        </w:rPr>
        <w:tab/>
      </w:r>
      <w:r>
        <w:rPr>
          <w:lang w:val="en-ZA"/>
        </w:rPr>
        <w:tab/>
      </w:r>
      <w:r w:rsidR="0049619B" w:rsidRPr="0049619B">
        <w:rPr>
          <w:lang w:val="en-ZA"/>
        </w:rPr>
        <w:t>Proportion of women of reproductive age (aged 15–49 years) who have their need for family planning satisfied with modern methods</w:t>
      </w:r>
    </w:p>
    <w:p w14:paraId="05B27E9B" w14:textId="77777777" w:rsidR="0049619B" w:rsidRPr="0049619B" w:rsidRDefault="0049619B" w:rsidP="00FD7CC0">
      <w:pPr>
        <w:pStyle w:val="SingleTxtG"/>
        <w:numPr>
          <w:ilvl w:val="0"/>
          <w:numId w:val="21"/>
        </w:numPr>
        <w:ind w:left="1134" w:firstLine="0"/>
        <w:rPr>
          <w:b/>
          <w:bCs/>
          <w:lang w:val="en-ZA"/>
        </w:rPr>
      </w:pPr>
      <w:r w:rsidRPr="0049619B">
        <w:rPr>
          <w:lang w:val="en-ZA"/>
        </w:rPr>
        <w:t>The South African Demographic Health Survey show that the overall use of modern contraception was 75.7% in 2016, with a wide range of methods being utilised. The use of the pill, injectable contraceptives and sterilisations has declined since 1998, while the use of male condoms for contraception has increased. In 2017, 15.0% of women and their partners used male condoms as their contraceptive method (Stats SA, 2017). Despite the relatively high contraceptive prevalence rate there are still problems with service delivery, equitable access, and correct, consistent, and continuous use of contraception, especially among certain groups such as young or rural women (Harries et al., 2019).</w:t>
      </w:r>
    </w:p>
    <w:p w14:paraId="0EFB52E9" w14:textId="0E9D75C5" w:rsidR="0049619B" w:rsidRPr="0049619B" w:rsidRDefault="000346E3" w:rsidP="000346E3">
      <w:pPr>
        <w:pStyle w:val="H23G"/>
        <w:rPr>
          <w:lang w:val="en-ZA"/>
        </w:rPr>
      </w:pPr>
      <w:r>
        <w:rPr>
          <w:lang w:val="en-ZA"/>
        </w:rPr>
        <w:tab/>
      </w:r>
      <w:r>
        <w:rPr>
          <w:lang w:val="en-ZA"/>
        </w:rPr>
        <w:tab/>
      </w:r>
      <w:r w:rsidR="0049619B" w:rsidRPr="0049619B">
        <w:rPr>
          <w:lang w:val="en-ZA"/>
        </w:rPr>
        <w:t>Sexual and Reproductive Health and Rights (SRHR)</w:t>
      </w:r>
    </w:p>
    <w:p w14:paraId="5AA868A5" w14:textId="77777777" w:rsidR="0049619B" w:rsidRPr="0049619B" w:rsidRDefault="0049619B" w:rsidP="00FD7CC0">
      <w:pPr>
        <w:pStyle w:val="SingleTxtG"/>
        <w:numPr>
          <w:ilvl w:val="0"/>
          <w:numId w:val="21"/>
        </w:numPr>
        <w:ind w:left="1134" w:firstLine="0"/>
        <w:rPr>
          <w:b/>
          <w:bCs/>
          <w:lang w:val="en-ZA"/>
        </w:rPr>
      </w:pPr>
      <w:r w:rsidRPr="000346E3">
        <w:rPr>
          <w:lang w:val="en-ZA"/>
        </w:rPr>
        <w:t>Proportion of women of reproductive age (aged 15–49 years) who have their need for family planning satisfied with modern methods: The</w:t>
      </w:r>
      <w:r w:rsidRPr="0049619B">
        <w:rPr>
          <w:lang w:val="en-ZA"/>
        </w:rPr>
        <w:t xml:space="preserve"> South African Demographic Health Survey shows that the overall use of modern contraception was 75.7% in 2016, with a wide range of methods being utilised. The use of the pill, injectable contraceptives and sterilisations has declined since 1998, while the use of male condoms for contraception has increased. In 2017, 15.0% of women and their partners used male condoms as their contraceptive method (Stats SA, 2017). Despite the relatively high contraceptive prevalence rate there are still problems with service delivery, equitable access, and correct, consistent, and continuous use of contraception, especially among certain groups such as young or rural women (Harries et al., 2019).</w:t>
      </w:r>
    </w:p>
    <w:p w14:paraId="09C35E08" w14:textId="77777777" w:rsidR="0049619B" w:rsidRPr="0049619B" w:rsidRDefault="0049619B" w:rsidP="00FD7CC0">
      <w:pPr>
        <w:pStyle w:val="SingleTxtG"/>
        <w:numPr>
          <w:ilvl w:val="0"/>
          <w:numId w:val="21"/>
        </w:numPr>
        <w:ind w:left="1134" w:firstLine="0"/>
        <w:rPr>
          <w:lang w:val="en-ZA"/>
        </w:rPr>
      </w:pPr>
      <w:r w:rsidRPr="000346E3">
        <w:rPr>
          <w:lang w:val="en-ZA"/>
        </w:rPr>
        <w:t xml:space="preserve">Sexual and Reproductive Health and Rights (SRHR): </w:t>
      </w:r>
      <w:r w:rsidRPr="0049619B">
        <w:rPr>
          <w:lang w:val="en-ZA"/>
        </w:rPr>
        <w:t xml:space="preserve">South Africa set a target to ensure, by 2030, universal access to sexual and reproductive health-care services, including family planning, information and education, and the integration of reproductive health into national strategies and programmes. The Couple Year Protection rate (CYPR) is an important indicator used to assess the effectiveness of family planning programmes. There has been an increase in the CYPR from 59.7% in 2015 to 61.5% in 2024. </w:t>
      </w:r>
    </w:p>
    <w:p w14:paraId="26FB1573" w14:textId="77777777" w:rsidR="0049619B" w:rsidRPr="0049619B" w:rsidRDefault="0049619B" w:rsidP="00FD7CC0">
      <w:pPr>
        <w:pStyle w:val="SingleTxtG"/>
        <w:numPr>
          <w:ilvl w:val="0"/>
          <w:numId w:val="21"/>
        </w:numPr>
        <w:ind w:left="1134" w:firstLine="0"/>
        <w:rPr>
          <w:lang w:val="en-ZA"/>
        </w:rPr>
      </w:pPr>
      <w:r w:rsidRPr="000346E3">
        <w:rPr>
          <w:lang w:val="en-ZA"/>
        </w:rPr>
        <w:t xml:space="preserve">In response to recommendation 54(a) on </w:t>
      </w:r>
      <w:r w:rsidRPr="0049619B">
        <w:rPr>
          <w:lang w:val="en-ZA"/>
        </w:rPr>
        <w:t xml:space="preserve">women’s access to sexual and reproductive health services such as safe abortion and post-abortion services, South Africa’s laws and policies support a rights-based framework for its sexual and reproductive health programme that is aligned with global frameworks and commitments. Government introduced the National Clinical Guideline for Implementation of the Choice on Termination of Pregnancy Act in 2019, introduced to address the barriers for access to high quality legal services on termination of pregnancy and expand service delivery and reaffirming all citizens’ right to comprehensive reproductive health care. The South Africa National Integrated Sexual and Reproductive Health and Rights (SRH&amp;R) Policy (2019) provides a comprehensive, rights-based framework aimed at improving the quality and accessibility of sexual health services. As of December 2024, a total of 346 healthcare facilities comply with Section 3(1) (a-k) of the Choice of Termination of Pregnancy Act, 92 of 1996 as amended in 2008 across South Africa. In 2024, a total of 118 509 pregnancy terminations were performed in public health facilities. Approximately 107 165 terminations were done between 0 – 12 weeks gestational stages while 113 44 were done within 13 -20 weeks gestational stage. </w:t>
      </w:r>
    </w:p>
    <w:p w14:paraId="0972ADA1" w14:textId="77777777" w:rsidR="0049619B" w:rsidRPr="0049619B" w:rsidRDefault="0049619B" w:rsidP="00FD7CC0">
      <w:pPr>
        <w:pStyle w:val="SingleTxtG"/>
        <w:numPr>
          <w:ilvl w:val="0"/>
          <w:numId w:val="21"/>
        </w:numPr>
        <w:ind w:left="1134" w:firstLine="0"/>
        <w:rPr>
          <w:lang w:val="en-ZA"/>
        </w:rPr>
      </w:pPr>
      <w:r w:rsidRPr="000346E3">
        <w:rPr>
          <w:lang w:val="en-ZA"/>
        </w:rPr>
        <w:t>In response to recommendation 54 (b) on ensuring access to information for adolescent girls and young women about sexual and reproductive</w:t>
      </w:r>
      <w:r w:rsidRPr="0049619B">
        <w:rPr>
          <w:lang w:val="en-ZA"/>
        </w:rPr>
        <w:t xml:space="preserve"> health rights, including on the prevention of early pregnancy and sexual transmitted infections, Government and other stakeholders have implemented a series of advocacy programmes and campaigns over the reporting period.  </w:t>
      </w:r>
    </w:p>
    <w:p w14:paraId="0F7BAC98"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w:t>
      </w:r>
      <w:r w:rsidRPr="000346E3">
        <w:rPr>
          <w:lang w:val="en-ZA"/>
        </w:rPr>
        <w:t>response to recommendation 54 (c)</w:t>
      </w:r>
      <w:r w:rsidRPr="0049619B">
        <w:rPr>
          <w:lang w:val="en-ZA"/>
        </w:rPr>
        <w:t xml:space="preserve"> regarding forced sterilisation of women living with HIV and AIDS, South Africa affirms that forced or coerced sterilisation constitutes a </w:t>
      </w:r>
      <w:r w:rsidRPr="0049619B">
        <w:rPr>
          <w:lang w:val="en-ZA"/>
        </w:rPr>
        <w:lastRenderedPageBreak/>
        <w:t xml:space="preserve">violation of women’s human rights, including the rights to dignity, bodily integrity, equality, and access to healthcare. practices. In this regard the Sterilization Act, no 44 of 1998 provides for the right to sterilization; to determine the circumstances under which such sterilization may be performed and the circumstances under which sterilization may be performed on persons incapable of consenting or incompetent to consent due to mental disability; and to provide for matters connected therewith. The promotion of this right is based on the non-derogable rights outlined in the Constitution in particular the rights to bodily and psychological integrity of persons which include the right to make decisions concerning reproduction and the right to security in and control over their bodies. </w:t>
      </w:r>
    </w:p>
    <w:p w14:paraId="1698F20D" w14:textId="77777777" w:rsidR="0049619B" w:rsidRPr="0049619B" w:rsidRDefault="0049619B" w:rsidP="00FD7CC0">
      <w:pPr>
        <w:pStyle w:val="SingleTxtG"/>
        <w:numPr>
          <w:ilvl w:val="0"/>
          <w:numId w:val="21"/>
        </w:numPr>
        <w:ind w:left="1134" w:firstLine="0"/>
        <w:rPr>
          <w:lang w:val="en-ZA"/>
        </w:rPr>
      </w:pPr>
      <w:r w:rsidRPr="000346E3">
        <w:rPr>
          <w:lang w:val="en-ZA"/>
        </w:rPr>
        <w:t>Health workforce:</w:t>
      </w:r>
      <w:r w:rsidRPr="0049619B">
        <w:rPr>
          <w:b/>
          <w:bCs/>
          <w:lang w:val="en-ZA"/>
        </w:rPr>
        <w:t xml:space="preserve"> </w:t>
      </w:r>
      <w:r w:rsidRPr="0049619B">
        <w:rPr>
          <w:lang w:val="en-ZA"/>
        </w:rPr>
        <w:t>South Africa’s health workforce is predominantly female, with women comprising at least 78.0 per 10 000 population over the period 2021 and 2023. The female distribution varies across the different occupations, with the majority being professional nurses at over 87.0 per 10 000 population for the period 2021–2023. Female pharmacist distribution stands at 68.6 per 10 000 population, followed by dentists at 62.4 per 10 000 population and medical doctors at 53.6 per 10 000 population, over the 2023 period .</w:t>
      </w:r>
    </w:p>
    <w:p w14:paraId="048AA45C" w14:textId="2059CB9C" w:rsidR="0049619B" w:rsidRPr="0049619B" w:rsidRDefault="000346E3" w:rsidP="000346E3">
      <w:pPr>
        <w:pStyle w:val="H1G"/>
        <w:rPr>
          <w:lang w:val="en-ZA"/>
        </w:rPr>
      </w:pPr>
      <w:bookmarkStart w:id="25" w:name="_Toc232855606"/>
      <w:r>
        <w:rPr>
          <w:lang w:val="en-ZA"/>
        </w:rPr>
        <w:tab/>
      </w:r>
      <w:r>
        <w:rPr>
          <w:lang w:val="en-ZA"/>
        </w:rPr>
        <w:tab/>
      </w:r>
      <w:r w:rsidR="0049619B" w:rsidRPr="0049619B">
        <w:rPr>
          <w:lang w:val="en-ZA"/>
        </w:rPr>
        <w:t>Article 13: Economic empowerment of women and social benefits</w:t>
      </w:r>
      <w:bookmarkEnd w:id="25"/>
    </w:p>
    <w:p w14:paraId="55D00369" w14:textId="77777777" w:rsidR="0049619B" w:rsidRPr="0049619B" w:rsidRDefault="0049619B" w:rsidP="00FD7CC0">
      <w:pPr>
        <w:pStyle w:val="SingleTxtG"/>
        <w:numPr>
          <w:ilvl w:val="0"/>
          <w:numId w:val="21"/>
        </w:numPr>
        <w:ind w:left="1134" w:firstLine="0"/>
        <w:rPr>
          <w:lang w:val="en-ZA"/>
        </w:rPr>
      </w:pPr>
      <w:r w:rsidRPr="0049619B">
        <w:rPr>
          <w:lang w:val="en-ZA"/>
        </w:rPr>
        <w:t>The Procurement Act 28 of 2024 in section 17 requires that procuring institution must set aside in preference of a category of persons previously disadvantaged including women. The data below shows majority ownership for companies on the central supplier database as well as past few years spending for female owned companies.</w:t>
      </w:r>
    </w:p>
    <w:p w14:paraId="281FB082" w14:textId="77777777" w:rsidR="0049619B" w:rsidRPr="0049619B" w:rsidRDefault="0049619B" w:rsidP="00FD7CC0">
      <w:pPr>
        <w:pStyle w:val="SingleTxtG"/>
        <w:numPr>
          <w:ilvl w:val="0"/>
          <w:numId w:val="21"/>
        </w:numPr>
        <w:ind w:left="1134" w:firstLine="0"/>
        <w:rPr>
          <w:lang w:val="en-ZA"/>
        </w:rPr>
      </w:pPr>
      <w:r w:rsidRPr="0049619B">
        <w:rPr>
          <w:lang w:val="en-ZA"/>
        </w:rPr>
        <w:t xml:space="preserve">This section addresses the ownership gap as eluded under status of women economic empowerment. </w:t>
      </w:r>
    </w:p>
    <w:p w14:paraId="62C32B23" w14:textId="77777777" w:rsidR="0049619B" w:rsidRPr="0049619B" w:rsidRDefault="0049619B" w:rsidP="00FD7CC0">
      <w:pPr>
        <w:pStyle w:val="SingleTxtG"/>
        <w:numPr>
          <w:ilvl w:val="0"/>
          <w:numId w:val="21"/>
        </w:numPr>
        <w:ind w:left="1134" w:firstLine="0"/>
        <w:rPr>
          <w:lang w:val="en-ZA"/>
        </w:rPr>
      </w:pPr>
      <w:r w:rsidRPr="000346E3">
        <w:rPr>
          <w:lang w:val="en-ZA"/>
        </w:rPr>
        <w:t>In response to Recommendation 52, the</w:t>
      </w:r>
      <w:r w:rsidRPr="0049619B">
        <w:rPr>
          <w:lang w:val="en-ZA"/>
        </w:rPr>
        <w:t xml:space="preserve"> government of South Africa introduced the Financial Inclusion Policy Framework (2023) “An Inclusive Financial Sector for All”, a policy framework seeking to deepen inclusion for individuals especially women and low-income households, expand access for Small, Medium, and Micro Enterprises (notably women-owned), and encourage diverse financial service providers and channels. </w:t>
      </w:r>
    </w:p>
    <w:p w14:paraId="745ADB97" w14:textId="77777777" w:rsidR="0049619B" w:rsidRPr="0049619B" w:rsidRDefault="0049619B" w:rsidP="00FD7CC0">
      <w:pPr>
        <w:pStyle w:val="SingleTxtG"/>
        <w:numPr>
          <w:ilvl w:val="0"/>
          <w:numId w:val="21"/>
        </w:numPr>
        <w:ind w:left="1134" w:firstLine="0"/>
        <w:rPr>
          <w:lang w:val="en-ZA"/>
        </w:rPr>
      </w:pPr>
      <w:r w:rsidRPr="0049619B">
        <w:rPr>
          <w:lang w:val="en-ZA"/>
        </w:rPr>
        <w:t>South Africa also developed the Women Financial Inclusion Framework (WFIF) (2023), which aims to address the gender gap in financial inclusion, ensuring that women are not only included in the financial system but also able to actively participate, contribute, and benefit equally from all sectors of the economy. WFIF addresses various barriers women face, such as limited access to credit, financial literacy, and digital financial services. The framework on Women’s Financial Inclusion will improve guided efforts towards gender equality and women’s economic empowerment from a government perspective to achieve gender equality and empower all women and girls by 2030.</w:t>
      </w:r>
    </w:p>
    <w:p w14:paraId="5CA7360D" w14:textId="77777777" w:rsidR="0049619B" w:rsidRPr="0049619B" w:rsidRDefault="0049619B" w:rsidP="00FD7CC0">
      <w:pPr>
        <w:pStyle w:val="SingleTxtG"/>
        <w:numPr>
          <w:ilvl w:val="0"/>
          <w:numId w:val="21"/>
        </w:numPr>
        <w:ind w:left="1134" w:firstLine="0"/>
        <w:rPr>
          <w:lang w:val="en-ZA"/>
        </w:rPr>
      </w:pPr>
      <w:r w:rsidRPr="0049619B">
        <w:rPr>
          <w:lang w:val="en-ZA"/>
        </w:rPr>
        <w:t>Legislative measures have been introduced to address structural inequalities faced by women and girls in sport. The Women in Sport Policy was approved by Cabinet in December 2024 demonstrating South Africa’s commitment and determination to build a sporting environment that celebrates the achievements of women and position them as equal contributors to sporting excellence.</w:t>
      </w:r>
    </w:p>
    <w:p w14:paraId="15D176DA" w14:textId="77777777" w:rsidR="0049619B" w:rsidRPr="0049619B" w:rsidRDefault="0049619B" w:rsidP="00FD7CC0">
      <w:pPr>
        <w:pStyle w:val="SingleTxtG"/>
        <w:numPr>
          <w:ilvl w:val="0"/>
          <w:numId w:val="21"/>
        </w:numPr>
        <w:ind w:left="1134" w:firstLine="0"/>
        <w:rPr>
          <w:lang w:val="en-ZA"/>
        </w:rPr>
      </w:pPr>
      <w:r w:rsidRPr="0049619B">
        <w:rPr>
          <w:lang w:val="en-ZA"/>
        </w:rPr>
        <w:t xml:space="preserve">The policy addresses multiple areas of gender disparity, including participation, leadership, governance and visibility. The policy outlines a set of measures that will promote and support women in sport and ensure that programmes are in place to address gender disparities in sporting codes and structures. </w:t>
      </w:r>
    </w:p>
    <w:p w14:paraId="1FC952C7" w14:textId="77777777" w:rsidR="0049619B" w:rsidRPr="0049619B" w:rsidRDefault="0049619B" w:rsidP="00FD7CC0">
      <w:pPr>
        <w:pStyle w:val="SingleTxtG"/>
        <w:numPr>
          <w:ilvl w:val="0"/>
          <w:numId w:val="21"/>
        </w:numPr>
        <w:ind w:left="1134" w:firstLine="0"/>
        <w:rPr>
          <w:lang w:val="en-ZA"/>
        </w:rPr>
      </w:pPr>
      <w:r w:rsidRPr="0049619B">
        <w:rPr>
          <w:lang w:val="en-ZA"/>
        </w:rPr>
        <w:t xml:space="preserve">Increasing participation in sport is a major challenge because local government (municipality) continue to fail to provide basic sport facilities as well as maintain existing sport facilities to promote sport development. Those who suffer most are women and girls in rural and peri-rural communities where there is a lack of usable sport facilities in schools where the majority of those not being given opportunities to participate in sport are found. </w:t>
      </w:r>
    </w:p>
    <w:p w14:paraId="09795E02"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w:t>
      </w:r>
      <w:r w:rsidRPr="000346E3">
        <w:rPr>
          <w:lang w:val="en-ZA"/>
        </w:rPr>
        <w:t>response to recommendation</w:t>
      </w:r>
      <w:r w:rsidRPr="0049619B">
        <w:rPr>
          <w:b/>
          <w:bCs/>
          <w:lang w:val="en-ZA"/>
        </w:rPr>
        <w:t xml:space="preserve"> </w:t>
      </w:r>
      <w:r w:rsidRPr="00FD7CC0">
        <w:rPr>
          <w:lang w:val="en-ZA"/>
        </w:rPr>
        <w:t>52</w:t>
      </w:r>
      <w:r w:rsidRPr="0049619B">
        <w:rPr>
          <w:b/>
          <w:bCs/>
          <w:lang w:val="en-ZA"/>
        </w:rPr>
        <w:t xml:space="preserve"> </w:t>
      </w:r>
      <w:r w:rsidRPr="000346E3">
        <w:rPr>
          <w:lang w:val="en-ZA"/>
        </w:rPr>
        <w:t>(c),</w:t>
      </w:r>
      <w:r w:rsidRPr="0049619B">
        <w:rPr>
          <w:lang w:val="en-ZA"/>
        </w:rPr>
        <w:t xml:space="preserve"> government encourage a culture of entrepreneurship among women and have made resources available to assist women to start their own businesses. Initiatives include the National Empowerment Fund, Women </w:t>
      </w:r>
      <w:r w:rsidRPr="0049619B">
        <w:rPr>
          <w:lang w:val="en-ZA"/>
        </w:rPr>
        <w:lastRenderedPageBreak/>
        <w:t>Empowerment Fund which provides funding of R250 000 to R75 million for businesses owned by black women, across a range of sectors. Women can also acquire funding through the Small Enterprise Finance Agency, National Infrastructure Fund and the Industrial Development Corporation. These and other avenues enable female entrepreneurs to gain market access, finance, skills and the resources to grow their business, while helping to grow the economy.</w:t>
      </w:r>
    </w:p>
    <w:p w14:paraId="101831AB" w14:textId="77777777" w:rsidR="0049619B" w:rsidRPr="0049619B" w:rsidRDefault="0049619B" w:rsidP="00FD7CC0">
      <w:pPr>
        <w:pStyle w:val="SingleTxtG"/>
        <w:numPr>
          <w:ilvl w:val="0"/>
          <w:numId w:val="21"/>
        </w:numPr>
        <w:ind w:left="1134" w:firstLine="0"/>
        <w:rPr>
          <w:lang w:val="en-ZA"/>
        </w:rPr>
      </w:pPr>
      <w:r w:rsidRPr="000346E3">
        <w:rPr>
          <w:lang w:val="en-ZA"/>
        </w:rPr>
        <w:t>Township and Rural Entrepreneurship Programme (TREP)</w:t>
      </w:r>
      <w:r w:rsidRPr="0049619B">
        <w:rPr>
          <w:lang w:val="en-ZA"/>
        </w:rPr>
        <w:t xml:space="preserve"> is a dedicated programme to provide financial and/or non-financial support to the township and rural enterprises with emphasis on enterprises owned and managed by the designated groups (Women, Youth and PWDs). During the year 2019 to 2024, the scheme increased economic participation, ownership, access to resources, opportunities and wage equality for women, youth and Persons with Disabilities.  Approximately 27 526 township and rural enterprises were supported financially and/or non-financially, bringing the total to 116 837 township and rural enterprises supported up to the end of 2024/25 financial year, since inception of TREP in 2020. </w:t>
      </w:r>
    </w:p>
    <w:p w14:paraId="0B3636C7" w14:textId="07484AE4" w:rsidR="0049619B" w:rsidRPr="0049619B" w:rsidRDefault="000346E3" w:rsidP="000346E3">
      <w:pPr>
        <w:pStyle w:val="H1G"/>
        <w:rPr>
          <w:lang w:val="en-ZA"/>
        </w:rPr>
      </w:pPr>
      <w:bookmarkStart w:id="26" w:name="_Toc232855607"/>
      <w:r>
        <w:rPr>
          <w:lang w:val="en-ZA"/>
        </w:rPr>
        <w:tab/>
      </w:r>
      <w:r>
        <w:rPr>
          <w:lang w:val="en-ZA"/>
        </w:rPr>
        <w:tab/>
      </w:r>
      <w:r w:rsidR="0049619B" w:rsidRPr="0049619B">
        <w:rPr>
          <w:lang w:val="en-ZA"/>
        </w:rPr>
        <w:t>Article 14: Rural women empowerment</w:t>
      </w:r>
      <w:bookmarkEnd w:id="26"/>
    </w:p>
    <w:p w14:paraId="39E038F9" w14:textId="77777777" w:rsidR="0049619B" w:rsidRPr="0049619B" w:rsidRDefault="0049619B" w:rsidP="00FD7CC0">
      <w:pPr>
        <w:pStyle w:val="SingleTxtG"/>
        <w:numPr>
          <w:ilvl w:val="0"/>
          <w:numId w:val="21"/>
        </w:numPr>
        <w:ind w:left="1134" w:firstLine="0"/>
        <w:rPr>
          <w:lang w:val="en-ZA"/>
        </w:rPr>
      </w:pPr>
      <w:r w:rsidRPr="0049619B">
        <w:rPr>
          <w:lang w:val="en-ZA"/>
        </w:rPr>
        <w:t xml:space="preserve">Government of South Africa introduced the Comprehensive Rural Development Programme (CRDP) in 2009 to empower women in rural areas. This is a strategic initiative ensuring a coordinated approach to achieving sustainable development and rural transformation. </w:t>
      </w:r>
    </w:p>
    <w:p w14:paraId="69F689A3" w14:textId="77777777" w:rsidR="0049619B" w:rsidRPr="0049619B" w:rsidRDefault="0049619B" w:rsidP="00FD7CC0">
      <w:pPr>
        <w:pStyle w:val="SingleTxtG"/>
        <w:numPr>
          <w:ilvl w:val="0"/>
          <w:numId w:val="21"/>
        </w:numPr>
        <w:ind w:left="1134" w:firstLine="0"/>
        <w:rPr>
          <w:lang w:val="en-ZA"/>
        </w:rPr>
      </w:pPr>
      <w:r w:rsidRPr="0049619B">
        <w:rPr>
          <w:lang w:val="en-ZA"/>
        </w:rPr>
        <w:t>The National Rural Youth Service Corps (NARYSEC). a flagship programme contributes towards alleviating the high levels of unemployment among young people in rural area. This program equips unemployed youth (aged 18–35) with skills, improving household income, and fostering community service, aiming to reduce poverty and create jobs. It provides character building, technical training, and entrepreneurial opportunities, transitioning participants into the workforce, particularly in agriculture.</w:t>
      </w:r>
    </w:p>
    <w:p w14:paraId="320B229C" w14:textId="77777777" w:rsidR="0049619B" w:rsidRPr="0049619B" w:rsidRDefault="0049619B" w:rsidP="00FD7CC0">
      <w:pPr>
        <w:pStyle w:val="SingleTxtG"/>
        <w:numPr>
          <w:ilvl w:val="0"/>
          <w:numId w:val="21"/>
        </w:numPr>
        <w:ind w:left="1134" w:firstLine="0"/>
        <w:rPr>
          <w:b/>
          <w:bCs/>
          <w:lang w:val="en-ZA"/>
        </w:rPr>
      </w:pPr>
      <w:r w:rsidRPr="0049619B">
        <w:rPr>
          <w:lang w:val="en-ZA"/>
        </w:rPr>
        <w:t xml:space="preserve">Approximately 9249 young people from rural areas were trained through NARYSEC between 2021/22 and 2024/2025 financial years.  Female youth constitute the majority (56.3%) of those who benefitted from the programme over the past five years. </w:t>
      </w:r>
    </w:p>
    <w:p w14:paraId="703B7FD4" w14:textId="77777777" w:rsidR="0049619B" w:rsidRPr="0049619B" w:rsidRDefault="0049619B" w:rsidP="00FD7CC0">
      <w:pPr>
        <w:pStyle w:val="SingleTxtG"/>
        <w:numPr>
          <w:ilvl w:val="0"/>
          <w:numId w:val="21"/>
        </w:numPr>
        <w:ind w:left="1134" w:firstLine="0"/>
        <w:rPr>
          <w:b/>
          <w:bCs/>
          <w:lang w:val="en-ZA"/>
        </w:rPr>
      </w:pPr>
      <w:r w:rsidRPr="00E8411C">
        <w:rPr>
          <w:lang w:val="en-ZA"/>
        </w:rPr>
        <w:t xml:space="preserve">Social security: </w:t>
      </w:r>
      <w:r w:rsidRPr="0049619B">
        <w:rPr>
          <w:lang w:val="en-ZA"/>
        </w:rPr>
        <w:t>Government of South Africa is implementing the social assistance programme known as social grants to promote social protection.  Nearly two-thirds of the population (64.0%) are covered. In 2023/24, 51.5% of government funds were spent on the country’s social wage. There is an extensive system of unconditional cash transfers, including grants for children, persons with disabilities, older people and recently, adult with insufficient means. Social grants include the Older Persons Grant; War Veterans Grant; Disability Grant; Child Support Grant including the child support grant Top Up; Care Dependency Grant; Foster Child Grant; Grant-in-Aid and the recently implemented COVID-19 Social Relief of Distress grant.</w:t>
      </w:r>
    </w:p>
    <w:p w14:paraId="35A3DAF5" w14:textId="77777777" w:rsidR="0049619B" w:rsidRPr="0049619B" w:rsidRDefault="0049619B" w:rsidP="00FD7CC0">
      <w:pPr>
        <w:pStyle w:val="SingleTxtG"/>
        <w:numPr>
          <w:ilvl w:val="0"/>
          <w:numId w:val="21"/>
        </w:numPr>
        <w:ind w:left="1134" w:firstLine="0"/>
        <w:rPr>
          <w:b/>
          <w:bCs/>
          <w:lang w:val="en-ZA"/>
        </w:rPr>
      </w:pPr>
      <w:r w:rsidRPr="00E8411C">
        <w:rPr>
          <w:lang w:val="en-ZA"/>
        </w:rPr>
        <w:t>In responding to CEDAW Committee recommendation 56(a)</w:t>
      </w:r>
      <w:r w:rsidRPr="0049619B">
        <w:rPr>
          <w:lang w:val="en-ZA"/>
        </w:rPr>
        <w:t xml:space="preserve"> on ensuring that legislation and policies on land reform and land use fully recognise and protect the rights of rural women to land ownership and use, the Upgrading of Land Tenure Rights Amendment Act, 6 of 2021, came in force from 1 June 2024 along with regulations on converting a land tenure right into an ownership right. The amendment Act gives effect to a 2018 Constitutional Court ruling on sub-section 2(1) of the principal statute, which was found to be in violation of women’s rights. The Amendment Act strengthens women’s land rights by allowing for applications to convert insecure or lesser forms of tenure into ownership. This reform is particularly important for women in rural areas and customary tenure areas, where they historically experienced exclusion from formal recognition of land rights, registration, and inheritance. The Land Court Act 6 of 2023, which commenced on 5 April 2024, strengthens the institutional framework for enforcing land rights. For rural women, this is important because it improves the enforceability of land rights in disputes involving tenure insecurity, eviction, land allocation conflicts, inheritance-related occupation disputes; and access to remedies where administrative decisions or local power structures exclude women. The Act </w:t>
      </w:r>
      <w:r w:rsidRPr="0049619B">
        <w:rPr>
          <w:lang w:val="en-ZA"/>
        </w:rPr>
        <w:lastRenderedPageBreak/>
        <w:t xml:space="preserve">is especially significant in a context where many rural women face practical barriers to justice, including cost, distance, legal complexity, and male-dominated local dispute systems. </w:t>
      </w:r>
    </w:p>
    <w:p w14:paraId="6A13B50E"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w:t>
      </w:r>
      <w:r w:rsidRPr="00E8411C">
        <w:rPr>
          <w:lang w:val="en-ZA"/>
        </w:rPr>
        <w:t>response to CEDAW Committee recommendation 56 (b) on ensuring rural women’s access to basic services</w:t>
      </w:r>
      <w:r w:rsidRPr="0049619B">
        <w:rPr>
          <w:lang w:val="en-ZA"/>
        </w:rPr>
        <w:t>, in 2024, 93.7% of people in South Africa had access to electricity, 85.1% had access to drinking water facilities and 82.7% to sanitation services, while only 58.9% of people had access to waste removal services.</w:t>
      </w:r>
    </w:p>
    <w:p w14:paraId="1115C1F1" w14:textId="0DE560F1" w:rsidR="0049619B" w:rsidRPr="0049619B" w:rsidRDefault="0049619B" w:rsidP="00E8411C">
      <w:pPr>
        <w:pStyle w:val="Heading1"/>
        <w:jc w:val="center"/>
        <w:rPr>
          <w:lang w:val="en-ZA"/>
        </w:rPr>
      </w:pPr>
      <w:r w:rsidRPr="0049619B">
        <w:rPr>
          <w:lang w:val="en-ZA"/>
        </w:rPr>
        <w:t>Proportion of the population with access to services</w:t>
      </w:r>
    </w:p>
    <w:p w14:paraId="0ABDE497" w14:textId="77777777" w:rsidR="0049619B" w:rsidRPr="0049619B" w:rsidRDefault="0049619B" w:rsidP="0049619B">
      <w:pPr>
        <w:pStyle w:val="SingleTxtG"/>
        <w:rPr>
          <w:lang w:val="en-ZA"/>
        </w:rPr>
      </w:pPr>
      <w:r w:rsidRPr="0049619B">
        <w:rPr>
          <w:noProof/>
          <w:lang w:val="en-ZA"/>
        </w:rPr>
        <w:drawing>
          <wp:inline distT="0" distB="0" distL="0" distR="0" wp14:anchorId="6D4F0744" wp14:editId="0BD6A6B4">
            <wp:extent cx="5773420" cy="2883535"/>
            <wp:effectExtent l="0" t="0" r="0" b="0"/>
            <wp:docPr id="1593867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3420" cy="2883535"/>
                    </a:xfrm>
                    <a:prstGeom prst="rect">
                      <a:avLst/>
                    </a:prstGeom>
                    <a:noFill/>
                  </pic:spPr>
                </pic:pic>
              </a:graphicData>
            </a:graphic>
          </wp:inline>
        </w:drawing>
      </w:r>
    </w:p>
    <w:p w14:paraId="31F72483" w14:textId="77777777" w:rsidR="0049619B" w:rsidRPr="0049619B" w:rsidRDefault="0049619B" w:rsidP="00FD7CC0">
      <w:pPr>
        <w:pStyle w:val="SingleTxtG"/>
        <w:numPr>
          <w:ilvl w:val="0"/>
          <w:numId w:val="21"/>
        </w:numPr>
        <w:ind w:left="1134" w:firstLine="0"/>
        <w:rPr>
          <w:b/>
          <w:bCs/>
          <w:lang w:val="en-ZA"/>
        </w:rPr>
      </w:pPr>
      <w:r w:rsidRPr="0049619B">
        <w:rPr>
          <w:lang w:val="en-ZA"/>
        </w:rPr>
        <w:t>In</w:t>
      </w:r>
      <w:r w:rsidRPr="0049619B">
        <w:rPr>
          <w:b/>
          <w:bCs/>
          <w:lang w:val="en-ZA"/>
        </w:rPr>
        <w:t xml:space="preserve"> </w:t>
      </w:r>
      <w:r w:rsidRPr="00E8411C">
        <w:rPr>
          <w:lang w:val="en-ZA"/>
        </w:rPr>
        <w:t>response to recommendation 56 (c),</w:t>
      </w:r>
      <w:r w:rsidRPr="0049619B">
        <w:rPr>
          <w:lang w:val="en-ZA"/>
        </w:rPr>
        <w:t xml:space="preserve"> a total of 30 530 ha of land were acquired for farm dwellers and or labour tenants between 2019 – 2024. This has benefitted over 1 500 beneficiaries of whom 665 (44,3%) are women and 448 (29,8%) are young people. In terms of land allocation to deserving farmers in line with the Beneficiary Selection and Allocation Policy, approximately 127 252 ha were allocated to women, 111 071 ha of land to youth and 2 781 ha to persons with disabilities within the period 2019 – 2024. </w:t>
      </w:r>
    </w:p>
    <w:p w14:paraId="71407D25" w14:textId="5722F558" w:rsidR="0049619B" w:rsidRPr="0049619B" w:rsidRDefault="00E8411C" w:rsidP="00E8411C">
      <w:pPr>
        <w:pStyle w:val="H1G"/>
        <w:rPr>
          <w:lang w:val="en-ZA"/>
        </w:rPr>
      </w:pPr>
      <w:r>
        <w:rPr>
          <w:lang w:val="en-ZA"/>
        </w:rPr>
        <w:tab/>
      </w:r>
      <w:r>
        <w:rPr>
          <w:lang w:val="en-ZA"/>
        </w:rPr>
        <w:tab/>
      </w:r>
      <w:r w:rsidR="0049619B" w:rsidRPr="0049619B">
        <w:rPr>
          <w:lang w:val="en-ZA"/>
        </w:rPr>
        <w:t xml:space="preserve">Climate </w:t>
      </w:r>
      <w:r w:rsidRPr="0049619B">
        <w:rPr>
          <w:lang w:val="en-ZA"/>
        </w:rPr>
        <w:t>change and disaster risk reduction</w:t>
      </w:r>
    </w:p>
    <w:p w14:paraId="520DE030" w14:textId="77777777" w:rsidR="0049619B" w:rsidRPr="0049619B" w:rsidRDefault="0049619B" w:rsidP="00FD7CC0">
      <w:pPr>
        <w:pStyle w:val="SingleTxtG"/>
        <w:numPr>
          <w:ilvl w:val="0"/>
          <w:numId w:val="21"/>
        </w:numPr>
        <w:ind w:left="1134" w:firstLine="0"/>
        <w:rPr>
          <w:lang w:val="en-ZA"/>
        </w:rPr>
      </w:pPr>
      <w:r w:rsidRPr="00E8411C">
        <w:rPr>
          <w:lang w:val="en-ZA"/>
        </w:rPr>
        <w:t>In response to recommendation 58 (a-c),</w:t>
      </w:r>
      <w:r w:rsidRPr="0049619B">
        <w:rPr>
          <w:b/>
          <w:bCs/>
          <w:lang w:val="en-ZA"/>
        </w:rPr>
        <w:t xml:space="preserve"> </w:t>
      </w:r>
      <w:r w:rsidRPr="0049619B">
        <w:rPr>
          <w:lang w:val="en-ZA"/>
        </w:rPr>
        <w:t xml:space="preserve">South Africa introduced legislative and implementation initiatives between 2020 and 2024.  The Climate Change Act 22 of 2024 was assented to on 23 July 2024. The President proclaimed its commencement under section 38 on 17 March 2025; however not all provisions are in force. The principles of the Act in Section 3(f) emphasise the need for decision-making to consider the special needs and circumstances of localities and people that are particularly vulnerable to the adverse effects of climate change, including vulnerable workers and groups such as women, especially poor and rural women, children, especially infants and child-headed families, the aged, the poor, the sick and persons with disabilities. </w:t>
      </w:r>
    </w:p>
    <w:p w14:paraId="795E7311" w14:textId="77777777" w:rsidR="0049619B" w:rsidRPr="0049619B" w:rsidRDefault="0049619B" w:rsidP="00FD7CC0">
      <w:pPr>
        <w:pStyle w:val="SingleTxtG"/>
        <w:numPr>
          <w:ilvl w:val="0"/>
          <w:numId w:val="21"/>
        </w:numPr>
        <w:ind w:left="1134" w:firstLine="0"/>
        <w:rPr>
          <w:lang w:val="en-ZA"/>
        </w:rPr>
      </w:pPr>
      <w:r w:rsidRPr="0049619B">
        <w:rPr>
          <w:lang w:val="en-ZA"/>
        </w:rPr>
        <w:t>A Draft National Climate Change Gender Action Plan (GAP) was developed in 2022, which aims to address the country’s challenges related to gender-climate mainstreaming. This is through six strategic actions namely to; (i) revise and clarify institutional arrangements for gender-climate mainstreaming; (ii) formalise relationships for sectoral gender mainstreaming across South Africa’s National Gender Machinery; (iii) strengthen sectoral gender-climate policies; (iv) establish robust, participatory monitoring and evaluation frameworks for gender-climate mainstreaming; (v) align funding streams for gender-climate mainstreaming; and (vi) implement a gender awareness  raising and capacity-building programme.</w:t>
      </w:r>
    </w:p>
    <w:p w14:paraId="37714704" w14:textId="77777777" w:rsidR="0049619B" w:rsidRPr="0049619B" w:rsidRDefault="0049619B" w:rsidP="00FD7CC0">
      <w:pPr>
        <w:pStyle w:val="SingleTxtG"/>
        <w:numPr>
          <w:ilvl w:val="0"/>
          <w:numId w:val="21"/>
        </w:numPr>
        <w:ind w:left="1134" w:firstLine="0"/>
        <w:rPr>
          <w:lang w:val="en-ZA"/>
        </w:rPr>
      </w:pPr>
      <w:r w:rsidRPr="0049619B">
        <w:rPr>
          <w:lang w:val="en-ZA"/>
        </w:rPr>
        <w:t xml:space="preserve">South Africa’s provincial environmental departments have collectively prioritized the following at provincial and local levels: (i) increasing the number of women beneficiaries and opportunities in environmental sector programmes; (ii) increasing the number of women </w:t>
      </w:r>
      <w:r w:rsidRPr="0049619B">
        <w:rPr>
          <w:lang w:val="en-ZA"/>
        </w:rPr>
        <w:lastRenderedPageBreak/>
        <w:t xml:space="preserve">in senior management positions and the skilling and upskilling of women professionals through skills development initiatives; (iii) increasing the number of women beneficiaries in environmental funding and job opportunities. </w:t>
      </w:r>
    </w:p>
    <w:p w14:paraId="0FBE3767" w14:textId="77777777" w:rsidR="0049619B" w:rsidRPr="0049619B" w:rsidRDefault="0049619B" w:rsidP="00FD7CC0">
      <w:pPr>
        <w:pStyle w:val="SingleTxtG"/>
        <w:numPr>
          <w:ilvl w:val="0"/>
          <w:numId w:val="21"/>
        </w:numPr>
        <w:ind w:left="1134" w:firstLine="0"/>
        <w:rPr>
          <w:lang w:val="en-ZA"/>
        </w:rPr>
      </w:pPr>
      <w:r w:rsidRPr="0049619B">
        <w:rPr>
          <w:lang w:val="en-ZA"/>
        </w:rPr>
        <w:t xml:space="preserve">In response to </w:t>
      </w:r>
      <w:r w:rsidRPr="00E8411C">
        <w:rPr>
          <w:lang w:val="en-ZA"/>
        </w:rPr>
        <w:t xml:space="preserve">recommendation 58 (b) </w:t>
      </w:r>
      <w:r w:rsidRPr="0049619B">
        <w:rPr>
          <w:lang w:val="en-ZA"/>
        </w:rPr>
        <w:t xml:space="preserve">South Africa have implemented several capacity building interventions targeting women, youth and persons with disabilities to take up opportunities in value chains in the Green Economy Sector. Capacity building has been implemented targeting government officials to improve the implementation of Gender responsive Green Economic and industrial policies to meet the objectives of economic empowerment of women entrepreneurs in the green economy. </w:t>
      </w:r>
    </w:p>
    <w:p w14:paraId="0F6020D2" w14:textId="75FDEEF4" w:rsidR="0049619B" w:rsidRPr="0049619B" w:rsidRDefault="00E8411C" w:rsidP="00E8411C">
      <w:pPr>
        <w:pStyle w:val="HChG"/>
        <w:rPr>
          <w:lang w:val="en-ZA"/>
        </w:rPr>
      </w:pPr>
      <w:bookmarkStart w:id="27" w:name="_Toc232855608"/>
      <w:r>
        <w:rPr>
          <w:lang w:val="en-ZA"/>
        </w:rPr>
        <w:tab/>
      </w:r>
      <w:r>
        <w:rPr>
          <w:lang w:val="en-ZA"/>
        </w:rPr>
        <w:tab/>
      </w:r>
      <w:r w:rsidR="0049619B" w:rsidRPr="0049619B">
        <w:rPr>
          <w:lang w:val="en-ZA"/>
        </w:rPr>
        <w:t>P</w:t>
      </w:r>
      <w:r w:rsidRPr="0049619B">
        <w:rPr>
          <w:lang w:val="en-ZA"/>
        </w:rPr>
        <w:t>art</w:t>
      </w:r>
      <w:r w:rsidR="0049619B" w:rsidRPr="0049619B">
        <w:rPr>
          <w:lang w:val="en-ZA"/>
        </w:rPr>
        <w:t xml:space="preserve"> IV: A</w:t>
      </w:r>
      <w:r w:rsidRPr="0049619B">
        <w:rPr>
          <w:lang w:val="en-ZA"/>
        </w:rPr>
        <w:t>rticle</w:t>
      </w:r>
      <w:r w:rsidR="0049619B" w:rsidRPr="0049619B">
        <w:rPr>
          <w:lang w:val="en-ZA"/>
        </w:rPr>
        <w:t xml:space="preserve"> 15-16</w:t>
      </w:r>
      <w:bookmarkEnd w:id="27"/>
    </w:p>
    <w:p w14:paraId="75D7C6D1" w14:textId="6D135EF1" w:rsidR="0049619B" w:rsidRPr="0049619B" w:rsidRDefault="00E8411C" w:rsidP="00E8411C">
      <w:pPr>
        <w:pStyle w:val="H1G"/>
        <w:rPr>
          <w:lang w:val="en-ZA"/>
        </w:rPr>
      </w:pPr>
      <w:bookmarkStart w:id="28" w:name="_Toc232855609"/>
      <w:r>
        <w:rPr>
          <w:lang w:val="en-ZA"/>
        </w:rPr>
        <w:tab/>
      </w:r>
      <w:r>
        <w:rPr>
          <w:lang w:val="en-ZA"/>
        </w:rPr>
        <w:tab/>
      </w:r>
      <w:r w:rsidR="0049619B" w:rsidRPr="0049619B">
        <w:rPr>
          <w:lang w:val="en-ZA"/>
        </w:rPr>
        <w:t>Article 15: Equality before the law</w:t>
      </w:r>
      <w:bookmarkEnd w:id="28"/>
    </w:p>
    <w:p w14:paraId="71F33868" w14:textId="77777777" w:rsidR="0049619B" w:rsidRPr="0049619B" w:rsidRDefault="0049619B" w:rsidP="00FD7CC0">
      <w:pPr>
        <w:pStyle w:val="SingleTxtG"/>
        <w:numPr>
          <w:ilvl w:val="0"/>
          <w:numId w:val="21"/>
        </w:numPr>
        <w:ind w:left="1134" w:firstLine="0"/>
        <w:rPr>
          <w:lang w:val="en-ZA"/>
        </w:rPr>
      </w:pPr>
      <w:r w:rsidRPr="0049619B">
        <w:rPr>
          <w:lang w:val="en-ZA"/>
        </w:rPr>
        <w:t xml:space="preserve">The constitutional framework, particularly the equality clause, continues to guarantee equal legal status and capacity for women in civil matters, including the right to conclude contracts, administer property and access courts on an equal basis with men. This framework is reinforced by ongoing alignment with international and regional commitments on gender equality, which emphasise equal legal capacity and access to justice. Government has continued to expand access to courts and legal services, including gender-responsive justice reforms and collaboration with Chapter 9 institutions and civil society to improve women’s ability to enforce their rights during the reporting period. Legal Aid South Africa Act 39 of 2014 provides state-funded legal representation to indigent persons, many of whom are women and enhances access to justice and equality before the law. The traditional Courts Act 9 of 2022 aligns traditional justice with the Constitution, legally mandating the full, voluntary, and equal participation of women in traditional court proceedings, both as parties and as leaders. It prohibits discrimination, promotes non-sexism, and requires the Minister of Justice to create measures protecting women's rights in these forums. As highlighted in Article 2, paragraph 42 of this report, Government has put in place measures to enhance access to the law for persons with disabilities, having upgraded 69 courts to meet minimum standards in this regard, and therefore ensuring equality before the law for all. </w:t>
      </w:r>
    </w:p>
    <w:p w14:paraId="1AC7F0FC" w14:textId="31AC7309" w:rsidR="0049619B" w:rsidRPr="0049619B" w:rsidRDefault="009E6B0E" w:rsidP="00E8411C">
      <w:pPr>
        <w:pStyle w:val="H1G"/>
        <w:rPr>
          <w:lang w:val="en-ZA"/>
        </w:rPr>
      </w:pPr>
      <w:bookmarkStart w:id="29" w:name="_Toc232855610"/>
      <w:r>
        <w:rPr>
          <w:lang w:val="en-ZA"/>
        </w:rPr>
        <w:tab/>
      </w:r>
      <w:r>
        <w:rPr>
          <w:lang w:val="en-ZA"/>
        </w:rPr>
        <w:tab/>
      </w:r>
      <w:r w:rsidR="0049619B" w:rsidRPr="0049619B">
        <w:rPr>
          <w:lang w:val="en-ZA"/>
        </w:rPr>
        <w:t>Article 16: Marriage and family life</w:t>
      </w:r>
      <w:bookmarkEnd w:id="29"/>
    </w:p>
    <w:p w14:paraId="0374A920" w14:textId="77777777" w:rsidR="0049619B" w:rsidRPr="0049619B" w:rsidRDefault="0049619B" w:rsidP="00FD7CC0">
      <w:pPr>
        <w:pStyle w:val="SingleTxtG"/>
        <w:numPr>
          <w:ilvl w:val="0"/>
          <w:numId w:val="21"/>
        </w:numPr>
        <w:ind w:left="1134" w:firstLine="0"/>
        <w:rPr>
          <w:lang w:val="en-ZA"/>
        </w:rPr>
      </w:pPr>
      <w:r w:rsidRPr="0049619B">
        <w:rPr>
          <w:lang w:val="en-ZA"/>
        </w:rPr>
        <w:t xml:space="preserve">The White Paper on Families (2013) was revised in 2021. This serves as a policy framework developed by the government to strengthen families as the foundation of society. It recognises that families are central to social development, but also deeply affected by historical inequalities, poverty, and changing social dynamics. </w:t>
      </w:r>
    </w:p>
    <w:p w14:paraId="2D88DF3B" w14:textId="77777777" w:rsidR="0049619B" w:rsidRPr="0049619B" w:rsidRDefault="0049619B" w:rsidP="00FD7CC0">
      <w:pPr>
        <w:pStyle w:val="SingleTxtG"/>
        <w:numPr>
          <w:ilvl w:val="0"/>
          <w:numId w:val="21"/>
        </w:numPr>
        <w:ind w:left="1134" w:firstLine="0"/>
        <w:rPr>
          <w:lang w:val="en-ZA"/>
        </w:rPr>
      </w:pPr>
      <w:r w:rsidRPr="0049619B">
        <w:rPr>
          <w:lang w:val="en-ZA"/>
        </w:rPr>
        <w:t>Section 25 of the Constitution addresses the property rights of South Africans, including equitable access to land, judicial redress for people dispossessed of property because of racially discriminatory laws or practices in the past and secure tenure or comparable redress for people living in tenure insecurity.</w:t>
      </w:r>
    </w:p>
    <w:p w14:paraId="583BF465" w14:textId="77777777" w:rsidR="0049619B" w:rsidRPr="0049619B" w:rsidRDefault="0049619B" w:rsidP="00FD7CC0">
      <w:pPr>
        <w:pStyle w:val="SingleTxtG"/>
        <w:numPr>
          <w:ilvl w:val="0"/>
          <w:numId w:val="21"/>
        </w:numPr>
        <w:ind w:left="1134" w:firstLine="0"/>
        <w:rPr>
          <w:lang w:val="en-ZA"/>
        </w:rPr>
      </w:pPr>
      <w:r w:rsidRPr="0049619B">
        <w:rPr>
          <w:lang w:val="en-ZA"/>
        </w:rPr>
        <w:t xml:space="preserve">Marriage issues related to land ownership are regulated by the Marriage Act (Act No. 25 of 1961), the Matrimonial Property Act (Act No. 88 of 1984), the Recognition of Customary Marriages Act (Act No. 120 of 1998), and the Civil Union Act (Act No. 17 of 2006). The Promotion of Equality and Prevention of Discrimination (Act No. 4 of 2000), includes the promotion of equitable land ownership. The Communal Property Associations, 1996 (Act. 28 of 1996) protects the interests of women through non-discriminatory provisions and inclusive decision-making processes in communal property ownership and use of communal land (section 9). The Communal Land Rights Act (No. 11 of 2004) legally entitles women to the same tenure and rights to land. The Prevention of Illegal Eviction from and Unlawful Occupation of Land Act (No. 19 of 1998) states that the rights of the elderly, children, persons with disabilities and particularly households headed by women should be considered and that "it should be recognised that the needs of those groups should be considered." </w:t>
      </w:r>
    </w:p>
    <w:p w14:paraId="0F1BA2EE" w14:textId="77777777" w:rsidR="0049619B" w:rsidRPr="0049619B" w:rsidRDefault="0049619B" w:rsidP="00FD7CC0">
      <w:pPr>
        <w:pStyle w:val="SingleTxtG"/>
        <w:numPr>
          <w:ilvl w:val="0"/>
          <w:numId w:val="21"/>
        </w:numPr>
        <w:ind w:left="1134" w:firstLine="0"/>
        <w:rPr>
          <w:lang w:val="en-ZA"/>
        </w:rPr>
      </w:pPr>
      <w:r w:rsidRPr="009E6B0E">
        <w:rPr>
          <w:lang w:val="en-ZA"/>
        </w:rPr>
        <w:lastRenderedPageBreak/>
        <w:t>In response to CEDAW Committee recommendation 62,</w:t>
      </w:r>
      <w:r w:rsidRPr="0049619B">
        <w:rPr>
          <w:b/>
          <w:bCs/>
          <w:lang w:val="en-ZA"/>
        </w:rPr>
        <w:t xml:space="preserve"> </w:t>
      </w:r>
      <w:r w:rsidRPr="0049619B">
        <w:rPr>
          <w:lang w:val="en-ZA"/>
        </w:rPr>
        <w:t>the Recognition of Customary Marriages Amendment Act 1 of 2021 came into operation on 1 June 2021. It amends s 7(1) of the Recognition of Customary Marriages Act 120 of 1998 following the Constitutional Court (CC) judgments in Gumede v President of the Republic of South Africa and Others 2009 (3) Butterworths Constitutional Law Report 243 (CC) and Ramuhovhi and Others (Maphumulo as Intervening Party) v President of the Republic of South Africa and Others (Trustees of the Women’s Legal Centre Trust as amicus curiae) 2018 (2) Butterworths Constitutional Law Reports 217 (CC). Section 6 of the Act provides that ‘a wife in a customary marriage has on the basis of equality with her husband and subject to the matrimonial property system governing the marriage, full status and capacity, including the capacity to acquire assets and to dispose of them, to enter into contracts and to litigate, in addition to any rights and powers that she might have at customary law’.</w:t>
      </w:r>
    </w:p>
    <w:p w14:paraId="32464EF1" w14:textId="77777777" w:rsidR="0049619B" w:rsidRPr="0049619B" w:rsidRDefault="0049619B" w:rsidP="00FD7CC0">
      <w:pPr>
        <w:pStyle w:val="SingleTxtG"/>
        <w:numPr>
          <w:ilvl w:val="0"/>
          <w:numId w:val="21"/>
        </w:numPr>
        <w:ind w:left="1134" w:firstLine="0"/>
        <w:rPr>
          <w:lang w:val="en-ZA"/>
        </w:rPr>
      </w:pPr>
      <w:r w:rsidRPr="009E6B0E">
        <w:rPr>
          <w:lang w:val="en-ZA"/>
        </w:rPr>
        <w:t>On the recognition of Muslim marriages,</w:t>
      </w:r>
      <w:r w:rsidRPr="0049619B">
        <w:rPr>
          <w:lang w:val="en-ZA"/>
        </w:rPr>
        <w:t xml:space="preserve"> Divorce Amendment Act 1 of 2024, which came into operation on 14 May 2024, signal a significant development in the country. This law amended the Divorce Act 70 of 1979 to expressly recognise Muslim marriages for purposes of divorce proceedings and related relief. It provides a definition for a Muslim marriage to ensure the protection and to safeguard the interests of dependent and minor children of a Muslim marriage and provide for the redistribution of assets on the dissolution of a Muslim marriage. Although this was not a direct amendment to the Marriage Act itself, it materially advanced the legal position of Muslim women in the family law system.</w:t>
      </w:r>
    </w:p>
    <w:p w14:paraId="4E4F3C28" w14:textId="77777777" w:rsidR="0049619B" w:rsidRPr="0049619B" w:rsidRDefault="0049619B" w:rsidP="00FD7CC0">
      <w:pPr>
        <w:pStyle w:val="SingleTxtG"/>
        <w:numPr>
          <w:ilvl w:val="0"/>
          <w:numId w:val="21"/>
        </w:numPr>
        <w:ind w:left="1134" w:firstLine="0"/>
        <w:rPr>
          <w:lang w:val="en-ZA"/>
        </w:rPr>
      </w:pPr>
      <w:r w:rsidRPr="0049619B">
        <w:rPr>
          <w:lang w:val="en-ZA"/>
        </w:rPr>
        <w:t xml:space="preserve">Regarding the issue </w:t>
      </w:r>
      <w:r w:rsidRPr="009E6B0E">
        <w:rPr>
          <w:lang w:val="en-ZA"/>
        </w:rPr>
        <w:t>of raising the minimum age of marriage to 18 years for both boys and girls, one of the significant provisions of the new Marriage Bill [B43-2023] is the complete prohibition of child marriages. The bill sets the minimum legal age for</w:t>
      </w:r>
      <w:r w:rsidRPr="0049619B">
        <w:rPr>
          <w:lang w:val="en-ZA"/>
        </w:rPr>
        <w:t xml:space="preserve"> marriage at 18 years.</w:t>
      </w:r>
    </w:p>
    <w:p w14:paraId="50C3A4BF" w14:textId="77777777" w:rsidR="0049619B" w:rsidRPr="0049619B" w:rsidRDefault="0049619B" w:rsidP="00FD7CC0">
      <w:pPr>
        <w:pStyle w:val="SingleTxtG"/>
        <w:numPr>
          <w:ilvl w:val="0"/>
          <w:numId w:val="21"/>
        </w:numPr>
        <w:ind w:left="1134" w:firstLine="0"/>
        <w:rPr>
          <w:lang w:val="en-ZA"/>
        </w:rPr>
      </w:pPr>
      <w:r w:rsidRPr="009E6B0E">
        <w:rPr>
          <w:lang w:val="en-ZA"/>
        </w:rPr>
        <w:t>Property ownership and asset control:</w:t>
      </w:r>
      <w:r w:rsidRPr="0049619B">
        <w:rPr>
          <w:lang w:val="en-ZA"/>
        </w:rPr>
        <w:t xml:space="preserve"> Ownership and access to land or property confer significant economic advantages, including increased agricultural productivity, the ability to use assets as collateral for credit, and opportunities for income generation through rental or commercial use. However, women often face legal, institutional and cultural barriers that prevent them from holding formal rights to land. Without recognised ownership or secure tenure, women are frequently excluded from these economic benefits, limiting their financial independence and resilience. Nationally, the percentage of households that occupied dwellings that were owned and fully paid off declined slightly from 54,0% in 2014 to 53,8% in 2024. In contrast, while the percentage households that occupied dwellings rent-free increased from 13,8% in 2014 to 14,8% in 2024 over the same period indicating a modest shift in tenure arrangements. Gender-based differences in housing tenure were also evident. Female-headed households were more likely to occupy dwellings that are owned and fully paid off, suggesting a greater degree of housing security among this group. Conversely, male-headed households were more frequently found in rented dwellings or in properties that were owned but not yet fully paid off, reflecting differing financial and housing dynamics between sexes.</w:t>
      </w:r>
    </w:p>
    <w:p w14:paraId="550BCFEB" w14:textId="73530B08" w:rsidR="0049619B" w:rsidRPr="0049619B" w:rsidRDefault="009E6B0E" w:rsidP="009E6B0E">
      <w:pPr>
        <w:pStyle w:val="HChG"/>
        <w:rPr>
          <w:lang w:val="en-ZA"/>
        </w:rPr>
      </w:pPr>
      <w:bookmarkStart w:id="30" w:name="_Toc232855611"/>
      <w:r>
        <w:rPr>
          <w:lang w:val="en-ZA"/>
        </w:rPr>
        <w:tab/>
      </w:r>
      <w:r>
        <w:rPr>
          <w:lang w:val="en-ZA"/>
        </w:rPr>
        <w:tab/>
      </w:r>
      <w:r w:rsidR="009133F0" w:rsidRPr="0049619B">
        <w:rPr>
          <w:lang w:val="en-ZA"/>
        </w:rPr>
        <w:t>Conclusion</w:t>
      </w:r>
      <w:bookmarkEnd w:id="30"/>
      <w:r w:rsidR="009133F0" w:rsidRPr="0049619B">
        <w:rPr>
          <w:lang w:val="en-ZA"/>
        </w:rPr>
        <w:t xml:space="preserve"> </w:t>
      </w:r>
    </w:p>
    <w:p w14:paraId="41343A9F" w14:textId="77777777" w:rsidR="0049619B" w:rsidRPr="0049619B" w:rsidRDefault="0049619B" w:rsidP="00FD7CC0">
      <w:pPr>
        <w:pStyle w:val="SingleTxtG"/>
        <w:numPr>
          <w:ilvl w:val="0"/>
          <w:numId w:val="21"/>
        </w:numPr>
        <w:ind w:left="1134" w:firstLine="0"/>
        <w:rPr>
          <w:lang w:val="en-ZA"/>
        </w:rPr>
      </w:pPr>
      <w:r w:rsidRPr="0049619B">
        <w:rPr>
          <w:lang w:val="en-ZA"/>
        </w:rPr>
        <w:t xml:space="preserve">South Africa’s sixth CEDAW periodic report reflects the advancements made gender equality, particularly through strengthened legal frameworks, expanded policy commitments, and improved institutional mechanisms aimed at protecting women’s rights. Notable gains include efforts to combat gender-based violence, enhance women’s political representation, and promote socio-economic inclusion. Despite these gains, persistent challenges continue to hinder full realization of these rights, including high levels of gender-based violence, economic inequality, limited access to resources for rural and marginalized women, and gaps in effective implementation and accountability. </w:t>
      </w:r>
    </w:p>
    <w:p w14:paraId="0BB9ADD9" w14:textId="77777777" w:rsidR="0049619B" w:rsidRPr="0049619B" w:rsidRDefault="0049619B" w:rsidP="00FD7CC0">
      <w:pPr>
        <w:pStyle w:val="SingleTxtG"/>
        <w:numPr>
          <w:ilvl w:val="0"/>
          <w:numId w:val="21"/>
        </w:numPr>
        <w:ind w:left="1134" w:firstLine="0"/>
        <w:rPr>
          <w:lang w:val="en-ZA"/>
        </w:rPr>
      </w:pPr>
      <w:r w:rsidRPr="0049619B">
        <w:rPr>
          <w:lang w:val="en-ZA"/>
        </w:rPr>
        <w:t xml:space="preserve">South Africa commits to strengthen the implementation of CEDAW concluding observations and recommendations utilising existing platforms such as National Gender Machinery, Portfolio Committee on Women, Youth and Persons with Disabilities and intergovernmental coordination processes. The lead Department will assign outstanding </w:t>
      </w:r>
      <w:r w:rsidRPr="0049619B">
        <w:rPr>
          <w:lang w:val="en-ZA"/>
        </w:rPr>
        <w:lastRenderedPageBreak/>
        <w:t xml:space="preserve">recommendations to relevant line function departments with timelines, data requirements and reporting obligations. </w:t>
      </w:r>
    </w:p>
    <w:p w14:paraId="376AA779" w14:textId="4EF6878C" w:rsidR="006D2FB1" w:rsidRPr="0049619B" w:rsidRDefault="0049619B" w:rsidP="0049619B">
      <w:pPr>
        <w:pStyle w:val="SingleTxtG"/>
        <w:jc w:val="center"/>
        <w:rPr>
          <w:u w:val="single"/>
          <w:lang w:val="en-ZA"/>
        </w:rPr>
      </w:pPr>
      <w:r>
        <w:rPr>
          <w:u w:val="single"/>
          <w:lang w:val="en-ZA"/>
        </w:rPr>
        <w:tab/>
      </w:r>
      <w:r>
        <w:rPr>
          <w:u w:val="single"/>
          <w:lang w:val="en-ZA"/>
        </w:rPr>
        <w:tab/>
      </w:r>
      <w:r>
        <w:rPr>
          <w:u w:val="single"/>
          <w:lang w:val="en-ZA"/>
        </w:rPr>
        <w:tab/>
      </w:r>
    </w:p>
    <w:sectPr w:rsidR="006D2FB1" w:rsidRPr="0049619B">
      <w:headerReference w:type="even" r:id="rId12"/>
      <w:headerReference w:type="default" r:id="rId13"/>
      <w:footerReference w:type="even" r:id="rId14"/>
      <w:footerReference w:type="default" r:id="rId15"/>
      <w:footerReference w:type="first" r:id="rId16"/>
      <w:endnotePr>
        <w:numFmt w:val="decimal"/>
      </w:endnotePr>
      <w:pgSz w:w="11906" w:h="16838" w:code="9"/>
      <w:pgMar w:top="1417"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DBDF8" w14:textId="77777777" w:rsidR="00141C9E" w:rsidRDefault="00141C9E">
      <w:pPr>
        <w:spacing w:line="240" w:lineRule="auto"/>
      </w:pPr>
    </w:p>
  </w:endnote>
  <w:endnote w:type="continuationSeparator" w:id="0">
    <w:p w14:paraId="5565891E" w14:textId="77777777" w:rsidR="00141C9E" w:rsidRDefault="00141C9E">
      <w:pPr>
        <w:pStyle w:val="Footer"/>
      </w:pPr>
    </w:p>
  </w:endnote>
  <w:endnote w:type="continuationNotice" w:id="1">
    <w:p w14:paraId="3D388F46" w14:textId="77777777" w:rsidR="00141C9E" w:rsidRDefault="00141C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A8A4C" w14:textId="77777777" w:rsidR="006D2FB1" w:rsidRDefault="00025690">
    <w:pPr>
      <w:pStyle w:val="Footer"/>
      <w:tabs>
        <w:tab w:val="right" w:pos="9639"/>
      </w:tabs>
    </w:pPr>
    <w:r>
      <w:rPr>
        <w:b/>
        <w:sz w:val="18"/>
      </w:rPr>
      <w:fldChar w:fldCharType="begin"/>
    </w:r>
    <w:r>
      <w:rPr>
        <w:b/>
        <w:sz w:val="18"/>
      </w:rPr>
      <w:instrText xml:space="preserve"> PAGE  \* MERGEFORMAT </w:instrText>
    </w:r>
    <w:r>
      <w:rPr>
        <w:b/>
        <w:sz w:val="18"/>
      </w:rPr>
      <w:fldChar w:fldCharType="separate"/>
    </w:r>
    <w:r w:rsidR="00655FD9">
      <w:rPr>
        <w:b/>
        <w:noProof/>
        <w:sz w:val="18"/>
      </w:rPr>
      <w:t>2</w:t>
    </w:r>
    <w:r>
      <w:rPr>
        <w:b/>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938E" w14:textId="77777777" w:rsidR="006D2FB1" w:rsidRDefault="00446122">
    <w:pPr>
      <w:pStyle w:val="Footer"/>
      <w:tabs>
        <w:tab w:val="right" w:pos="9639"/>
      </w:tabs>
      <w:rPr>
        <w:sz w:val="20"/>
      </w:rPr>
    </w:pPr>
    <w:r>
      <w:tab/>
    </w:r>
    <w:r>
      <w:rPr>
        <w:b/>
        <w:sz w:val="18"/>
      </w:rPr>
      <w:fldChar w:fldCharType="begin"/>
    </w:r>
    <w:r>
      <w:rPr>
        <w:b/>
        <w:sz w:val="18"/>
      </w:rPr>
      <w:instrText xml:space="preserve"> PAGE  \* MERGEFORMAT </w:instrText>
    </w:r>
    <w:r>
      <w:rPr>
        <w:b/>
        <w:sz w:val="18"/>
      </w:rPr>
      <w:fldChar w:fldCharType="separate"/>
    </w:r>
    <w:r>
      <w:rPr>
        <w:b/>
        <w:noProof/>
        <w:sz w:val="18"/>
      </w:rPr>
      <w:t>3</w:t>
    </w:r>
    <w:r>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A6BFC" w14:textId="77777777" w:rsidR="006D2FB1" w:rsidRDefault="00025690">
    <w:pPr>
      <w:pStyle w:val="Footer"/>
      <w:spacing w:before="120"/>
      <w:rPr>
        <w:noProof/>
        <w:sz w:val="20"/>
        <w:lang w:val="fr-FR" w:eastAsia="fr-FR"/>
      </w:rPr>
    </w:pPr>
    <w:r>
      <w:rPr>
        <w:noProof/>
        <w:lang w:val="fr-CH" w:eastAsia="fr-CH"/>
      </w:rPr>
      <w:drawing>
        <wp:anchor distT="0" distB="0" distL="114300" distR="114300" simplePos="0" relativeHeight="251658240" behindDoc="0" locked="1" layoutInCell="1" allowOverlap="1" wp14:anchorId="7ED4F94F" wp14:editId="4B6D550B">
          <wp:simplePos x="0" y="0"/>
          <wp:positionH relativeFrom="column">
            <wp:posOffset>5868670</wp:posOffset>
          </wp:positionH>
          <wp:positionV relativeFrom="paragraph">
            <wp:posOffset>9387840</wp:posOffset>
          </wp:positionV>
          <wp:extent cx="930275" cy="230505"/>
          <wp:effectExtent l="0" t="0" r="3175" b="0"/>
          <wp:wrapNone/>
          <wp:docPr id="7" name="Image 7" descr="recycle_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recycle_English"/>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30275" cy="23050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rPr>
      <w:t>GE.</w:t>
    </w:r>
    <w:r>
      <w:rPr>
        <w:noProof/>
        <w:sz w:val="20"/>
        <w:lang w:val="fr-FR" w:eastAsia="fr-FR"/>
      </w:rPr>
      <w:t xml:space="preserve"> </w:t>
    </w:r>
  </w:p>
  <w:tbl>
    <w:tblPr>
      <w:tblStyle w:val="TableGrid"/>
      <w:tblpPr w:leftFromText="181" w:rightFromText="181" w:horzAnchor="page" w:tblpX="7656" w:tblpY="140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1274"/>
    </w:tblGrid>
    <w:tr w:rsidR="007B49B4" w14:paraId="078ED23D" w14:textId="77777777">
      <w:tc>
        <w:tcPr>
          <w:tcW w:w="1848" w:type="dxa"/>
          <w:vAlign w:val="bottom"/>
        </w:tcPr>
        <w:p w14:paraId="566D4FBA" w14:textId="77777777" w:rsidR="006D2FB1" w:rsidRDefault="00025690">
          <w:pPr>
            <w:kinsoku w:val="0"/>
            <w:overflowPunct w:val="0"/>
            <w:autoSpaceDE w:val="0"/>
            <w:autoSpaceDN w:val="0"/>
            <w:adjustRightInd w:val="0"/>
            <w:snapToGrid w:val="0"/>
            <w:spacing w:before="120" w:after="120" w:line="240" w:lineRule="auto"/>
            <w:jc w:val="right"/>
            <w:rPr>
              <w:rFonts w:eastAsiaTheme="minorHAnsi"/>
              <w:sz w:val="16"/>
              <w:lang w:val="fr-CH"/>
            </w:rPr>
          </w:pPr>
          <w:r>
            <w:rPr>
              <w:rFonts w:eastAsiaTheme="minorHAnsi"/>
              <w:noProof/>
              <w:lang w:val="fr-CH" w:eastAsia="fr-CH"/>
            </w:rPr>
            <w:drawing>
              <wp:inline distT="0" distB="0" distL="0" distR="0" wp14:anchorId="3C645EE3" wp14:editId="719906C6">
                <wp:extent cx="931545" cy="232410"/>
                <wp:effectExtent l="0" t="0" r="1905" b="0"/>
                <wp:docPr id="2" name="Image 4" descr="recycle_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ecycle_English"/>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1545" cy="232410"/>
                        </a:xfrm>
                        <a:prstGeom prst="rect">
                          <a:avLst/>
                        </a:prstGeom>
                        <a:noFill/>
                        <a:ln>
                          <a:noFill/>
                        </a:ln>
                      </pic:spPr>
                    </pic:pic>
                  </a:graphicData>
                </a:graphic>
              </wp:inline>
            </w:drawing>
          </w:r>
        </w:p>
      </w:tc>
      <w:tc>
        <w:tcPr>
          <w:tcW w:w="1274" w:type="dxa"/>
        </w:tcPr>
        <w:p w14:paraId="3A9880B7" w14:textId="77777777" w:rsidR="006D2FB1" w:rsidRDefault="006D2FB1">
          <w:pPr>
            <w:kinsoku w:val="0"/>
            <w:overflowPunct w:val="0"/>
            <w:autoSpaceDE w:val="0"/>
            <w:autoSpaceDN w:val="0"/>
            <w:adjustRightInd w:val="0"/>
            <w:snapToGrid w:val="0"/>
            <w:spacing w:line="240" w:lineRule="auto"/>
            <w:jc w:val="right"/>
            <w:rPr>
              <w:rFonts w:eastAsiaTheme="minorHAnsi"/>
              <w:sz w:val="16"/>
              <w:lang w:val="fr-CH"/>
            </w:rPr>
          </w:pPr>
        </w:p>
      </w:tc>
    </w:tr>
  </w:tbl>
  <w:p w14:paraId="0D2414E7" w14:textId="77777777" w:rsidR="006D2FB1" w:rsidRDefault="006D2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5E81D" w14:textId="77777777" w:rsidR="00141C9E" w:rsidRDefault="00141C9E">
      <w:pPr>
        <w:pStyle w:val="Footer"/>
        <w:tabs>
          <w:tab w:val="right" w:pos="2155"/>
        </w:tabs>
        <w:spacing w:after="80" w:line="240" w:lineRule="atLeast"/>
        <w:ind w:left="680"/>
        <w:rPr>
          <w:u w:val="single"/>
        </w:rPr>
      </w:pPr>
      <w:r>
        <w:rPr>
          <w:u w:val="single"/>
        </w:rPr>
        <w:tab/>
      </w:r>
    </w:p>
  </w:footnote>
  <w:footnote w:type="continuationSeparator" w:id="0">
    <w:p w14:paraId="4B7B970B" w14:textId="77777777" w:rsidR="00141C9E" w:rsidRDefault="00141C9E">
      <w:pPr>
        <w:pStyle w:val="Footer"/>
        <w:tabs>
          <w:tab w:val="right" w:pos="2155"/>
        </w:tabs>
        <w:spacing w:after="80" w:line="240" w:lineRule="atLeast"/>
        <w:ind w:left="680"/>
        <w:rPr>
          <w:u w:val="single"/>
        </w:rPr>
      </w:pPr>
      <w:r>
        <w:rPr>
          <w:u w:val="single"/>
        </w:rPr>
        <w:tab/>
      </w:r>
    </w:p>
  </w:footnote>
  <w:footnote w:type="continuationNotice" w:id="1">
    <w:p w14:paraId="435F2370" w14:textId="77777777" w:rsidR="00141C9E" w:rsidRDefault="00141C9E">
      <w:pPr>
        <w:spacing w:line="240" w:lineRule="auto"/>
        <w:rPr>
          <w:sz w:val="2"/>
          <w:szCs w:val="2"/>
        </w:rPr>
      </w:pPr>
    </w:p>
  </w:footnote>
  <w:footnote w:id="2">
    <w:p w14:paraId="726C2A94" w14:textId="4D001D4C" w:rsidR="00490503" w:rsidRPr="00910A07" w:rsidRDefault="00025690" w:rsidP="00BD475A">
      <w:pPr>
        <w:pStyle w:val="FootnoteText"/>
        <w:rPr>
          <w:sz w:val="20"/>
        </w:rPr>
      </w:pPr>
      <w:r>
        <w:tab/>
      </w:r>
      <w:r w:rsidRPr="002E233B">
        <w:rPr>
          <w:rStyle w:val="FootnoteReference"/>
          <w:sz w:val="20"/>
          <w:vertAlign w:val="baseline"/>
        </w:rPr>
        <w:t>*</w:t>
      </w:r>
      <w:r>
        <w:rPr>
          <w:sz w:val="20"/>
        </w:rPr>
        <w:tab/>
      </w:r>
      <w:r w:rsidRPr="00910A07">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858FF" w14:textId="77777777" w:rsidR="006D2FB1" w:rsidRDefault="00446122">
    <w:pPr>
      <w:pStyle w:val="Header"/>
    </w:pPr>
    <w:r>
      <w:t>CEDAW/C/ZAF/6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A0A0" w14:textId="77777777" w:rsidR="006D2FB1" w:rsidRDefault="00446122">
    <w:pPr>
      <w:pStyle w:val="Header"/>
      <w:jc w:val="right"/>
    </w:pPr>
    <w:r>
      <w:t>CEDAW/C/ZAF/6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4376C1"/>
    <w:multiLevelType w:val="multilevel"/>
    <w:tmpl w:val="78AAB200"/>
    <w:lvl w:ilvl="0">
      <w:start w:val="1"/>
      <w:numFmt w:val="lowerLetter"/>
      <w:lvlText w:val="%1)"/>
      <w:lvlJc w:val="left"/>
      <w:pPr>
        <w:tabs>
          <w:tab w:val="num" w:pos="720"/>
        </w:tabs>
        <w:ind w:left="720" w:hanging="360"/>
      </w:pPr>
      <w:rPr>
        <w:rFonts w:hint="default"/>
        <w:sz w:val="24"/>
        <w:szCs w:val="24"/>
      </w:rPr>
    </w:lvl>
    <w:lvl w:ilvl="1">
      <w:start w:val="1"/>
      <w:numFmt w:val="lowerRoman"/>
      <w:lvlText w:val="(%2)"/>
      <w:lvlJc w:val="left"/>
      <w:pPr>
        <w:ind w:left="1800" w:hanging="7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954887"/>
    <w:multiLevelType w:val="hybridMultilevel"/>
    <w:tmpl w:val="2B362816"/>
    <w:lvl w:ilvl="0" w:tplc="4802C3AE">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7AD494E2" w:tentative="1">
      <w:start w:val="1"/>
      <w:numFmt w:val="lowerLetter"/>
      <w:lvlText w:val="%2."/>
      <w:lvlJc w:val="left"/>
      <w:pPr>
        <w:tabs>
          <w:tab w:val="num" w:pos="1440"/>
        </w:tabs>
        <w:ind w:left="1440" w:hanging="360"/>
      </w:pPr>
    </w:lvl>
    <w:lvl w:ilvl="2" w:tplc="24483398" w:tentative="1">
      <w:start w:val="1"/>
      <w:numFmt w:val="lowerRoman"/>
      <w:lvlText w:val="%3."/>
      <w:lvlJc w:val="right"/>
      <w:pPr>
        <w:tabs>
          <w:tab w:val="num" w:pos="2160"/>
        </w:tabs>
        <w:ind w:left="2160" w:hanging="180"/>
      </w:pPr>
    </w:lvl>
    <w:lvl w:ilvl="3" w:tplc="9A9AA702" w:tentative="1">
      <w:start w:val="1"/>
      <w:numFmt w:val="decimal"/>
      <w:lvlText w:val="%4."/>
      <w:lvlJc w:val="left"/>
      <w:pPr>
        <w:tabs>
          <w:tab w:val="num" w:pos="2880"/>
        </w:tabs>
        <w:ind w:left="2880" w:hanging="360"/>
      </w:pPr>
    </w:lvl>
    <w:lvl w:ilvl="4" w:tplc="A432AFB0" w:tentative="1">
      <w:start w:val="1"/>
      <w:numFmt w:val="lowerLetter"/>
      <w:lvlText w:val="%5."/>
      <w:lvlJc w:val="left"/>
      <w:pPr>
        <w:tabs>
          <w:tab w:val="num" w:pos="3600"/>
        </w:tabs>
        <w:ind w:left="3600" w:hanging="360"/>
      </w:pPr>
    </w:lvl>
    <w:lvl w:ilvl="5" w:tplc="911445D2" w:tentative="1">
      <w:start w:val="1"/>
      <w:numFmt w:val="lowerRoman"/>
      <w:lvlText w:val="%6."/>
      <w:lvlJc w:val="right"/>
      <w:pPr>
        <w:tabs>
          <w:tab w:val="num" w:pos="4320"/>
        </w:tabs>
        <w:ind w:left="4320" w:hanging="180"/>
      </w:pPr>
    </w:lvl>
    <w:lvl w:ilvl="6" w:tplc="F2DC6764" w:tentative="1">
      <w:start w:val="1"/>
      <w:numFmt w:val="decimal"/>
      <w:lvlText w:val="%7."/>
      <w:lvlJc w:val="left"/>
      <w:pPr>
        <w:tabs>
          <w:tab w:val="num" w:pos="5040"/>
        </w:tabs>
        <w:ind w:left="5040" w:hanging="360"/>
      </w:pPr>
    </w:lvl>
    <w:lvl w:ilvl="7" w:tplc="F172523C" w:tentative="1">
      <w:start w:val="1"/>
      <w:numFmt w:val="lowerLetter"/>
      <w:lvlText w:val="%8."/>
      <w:lvlJc w:val="left"/>
      <w:pPr>
        <w:tabs>
          <w:tab w:val="num" w:pos="5760"/>
        </w:tabs>
        <w:ind w:left="5760" w:hanging="360"/>
      </w:pPr>
    </w:lvl>
    <w:lvl w:ilvl="8" w:tplc="5F688B48" w:tentative="1">
      <w:start w:val="1"/>
      <w:numFmt w:val="lowerRoman"/>
      <w:lvlText w:val="%9."/>
      <w:lvlJc w:val="right"/>
      <w:pPr>
        <w:tabs>
          <w:tab w:val="num" w:pos="6480"/>
        </w:tabs>
        <w:ind w:left="6480" w:hanging="180"/>
      </w:pPr>
    </w:lvl>
  </w:abstractNum>
  <w:abstractNum w:abstractNumId="12" w15:restartNumberingAfterBreak="0">
    <w:nsid w:val="14D152CC"/>
    <w:multiLevelType w:val="multilevel"/>
    <w:tmpl w:val="7D50E32E"/>
    <w:lvl w:ilvl="0">
      <w:start w:val="1"/>
      <w:numFmt w:val="lowerLetter"/>
      <w:lvlText w:val="%1)"/>
      <w:lvlJc w:val="left"/>
      <w:pPr>
        <w:tabs>
          <w:tab w:val="num" w:pos="720"/>
        </w:tabs>
        <w:ind w:left="720" w:hanging="360"/>
      </w:pPr>
      <w:rPr>
        <w:rFonts w:hint="default"/>
        <w:b w:val="0"/>
        <w:bCs w:val="0"/>
        <w:sz w:val="24"/>
        <w:szCs w:val="24"/>
      </w:rPr>
    </w:lvl>
    <w:lvl w:ilvl="1">
      <w:start w:val="1"/>
      <w:numFmt w:val="lowerRoman"/>
      <w:lvlText w:val="(%2)"/>
      <w:lvlJc w:val="left"/>
      <w:pPr>
        <w:ind w:left="1440" w:hanging="360"/>
      </w:pPr>
      <w:rPr>
        <w:rFonts w:hint="default"/>
        <w:b w:val="0"/>
        <w:bCs w:val="0"/>
        <w:color w:val="000000" w:themeColor="text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D24457"/>
    <w:multiLevelType w:val="hybridMultilevel"/>
    <w:tmpl w:val="79EA7854"/>
    <w:lvl w:ilvl="0" w:tplc="1BB8E016">
      <w:start w:val="1"/>
      <w:numFmt w:val="decimal"/>
      <w:lvlText w:val="%1."/>
      <w:lvlJc w:val="left"/>
      <w:pPr>
        <w:ind w:left="360" w:hanging="360"/>
      </w:pPr>
      <w:rPr>
        <w:rFonts w:ascii="Times New Roman" w:hAnsi="Times New Roman" w:cs="Times New Roman" w:hint="default"/>
        <w:b w:val="0"/>
        <w:bCs w:val="0"/>
        <w:i w:val="0"/>
        <w:iCs w:val="0"/>
        <w:color w:val="000000" w:themeColor="text1"/>
        <w:sz w:val="20"/>
        <w:szCs w:val="2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2EE42ADF"/>
    <w:multiLevelType w:val="multilevel"/>
    <w:tmpl w:val="30E2B684"/>
    <w:lvl w:ilvl="0">
      <w:start w:val="1"/>
      <w:numFmt w:val="lowerLetter"/>
      <w:lvlText w:val="%1)"/>
      <w:lvlJc w:val="left"/>
      <w:pPr>
        <w:tabs>
          <w:tab w:val="num" w:pos="720"/>
        </w:tabs>
        <w:ind w:left="720" w:hanging="360"/>
      </w:pPr>
      <w:rPr>
        <w:rFonts w:hint="default"/>
        <w:sz w:val="24"/>
        <w:szCs w:val="24"/>
      </w:rPr>
    </w:lvl>
    <w:lvl w:ilvl="1">
      <w:start w:val="1"/>
      <w:numFmt w:val="lowerLetter"/>
      <w:lvlText w:val="(%2)"/>
      <w:lvlJc w:val="left"/>
      <w:pPr>
        <w:ind w:left="1560" w:hanging="48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CF4EB2"/>
    <w:multiLevelType w:val="hybridMultilevel"/>
    <w:tmpl w:val="CB6C816A"/>
    <w:lvl w:ilvl="0" w:tplc="7984528E">
      <w:start w:val="1"/>
      <w:numFmt w:val="bullet"/>
      <w:pStyle w:val="Bullet2G"/>
      <w:lvlText w:val="•"/>
      <w:lvlJc w:val="left"/>
      <w:pPr>
        <w:tabs>
          <w:tab w:val="num" w:pos="2268"/>
        </w:tabs>
        <w:ind w:left="2268" w:hanging="170"/>
      </w:pPr>
      <w:rPr>
        <w:rFonts w:ascii="Times New Roman" w:hAnsi="Times New Roman" w:cs="Times New Roman" w:hint="default"/>
      </w:rPr>
    </w:lvl>
    <w:lvl w:ilvl="1" w:tplc="6C44D0B2" w:tentative="1">
      <w:start w:val="1"/>
      <w:numFmt w:val="bullet"/>
      <w:lvlText w:val="o"/>
      <w:lvlJc w:val="left"/>
      <w:pPr>
        <w:tabs>
          <w:tab w:val="num" w:pos="3708"/>
        </w:tabs>
        <w:ind w:left="3708" w:hanging="360"/>
      </w:pPr>
      <w:rPr>
        <w:rFonts w:ascii="Courier New" w:hAnsi="Courier New" w:hint="default"/>
      </w:rPr>
    </w:lvl>
    <w:lvl w:ilvl="2" w:tplc="BD342230" w:tentative="1">
      <w:start w:val="1"/>
      <w:numFmt w:val="bullet"/>
      <w:lvlText w:val=""/>
      <w:lvlJc w:val="left"/>
      <w:pPr>
        <w:tabs>
          <w:tab w:val="num" w:pos="4428"/>
        </w:tabs>
        <w:ind w:left="4428" w:hanging="360"/>
      </w:pPr>
      <w:rPr>
        <w:rFonts w:ascii="Wingdings" w:hAnsi="Wingdings" w:hint="default"/>
      </w:rPr>
    </w:lvl>
    <w:lvl w:ilvl="3" w:tplc="04B6198E" w:tentative="1">
      <w:start w:val="1"/>
      <w:numFmt w:val="bullet"/>
      <w:lvlText w:val=""/>
      <w:lvlJc w:val="left"/>
      <w:pPr>
        <w:tabs>
          <w:tab w:val="num" w:pos="5148"/>
        </w:tabs>
        <w:ind w:left="5148" w:hanging="360"/>
      </w:pPr>
      <w:rPr>
        <w:rFonts w:ascii="Symbol" w:hAnsi="Symbol" w:hint="default"/>
      </w:rPr>
    </w:lvl>
    <w:lvl w:ilvl="4" w:tplc="BED0B4AE" w:tentative="1">
      <w:start w:val="1"/>
      <w:numFmt w:val="bullet"/>
      <w:lvlText w:val="o"/>
      <w:lvlJc w:val="left"/>
      <w:pPr>
        <w:tabs>
          <w:tab w:val="num" w:pos="5868"/>
        </w:tabs>
        <w:ind w:left="5868" w:hanging="360"/>
      </w:pPr>
      <w:rPr>
        <w:rFonts w:ascii="Courier New" w:hAnsi="Courier New" w:hint="default"/>
      </w:rPr>
    </w:lvl>
    <w:lvl w:ilvl="5" w:tplc="10F008D4" w:tentative="1">
      <w:start w:val="1"/>
      <w:numFmt w:val="bullet"/>
      <w:lvlText w:val=""/>
      <w:lvlJc w:val="left"/>
      <w:pPr>
        <w:tabs>
          <w:tab w:val="num" w:pos="6588"/>
        </w:tabs>
        <w:ind w:left="6588" w:hanging="360"/>
      </w:pPr>
      <w:rPr>
        <w:rFonts w:ascii="Wingdings" w:hAnsi="Wingdings" w:hint="default"/>
      </w:rPr>
    </w:lvl>
    <w:lvl w:ilvl="6" w:tplc="1012E354" w:tentative="1">
      <w:start w:val="1"/>
      <w:numFmt w:val="bullet"/>
      <w:lvlText w:val=""/>
      <w:lvlJc w:val="left"/>
      <w:pPr>
        <w:tabs>
          <w:tab w:val="num" w:pos="7308"/>
        </w:tabs>
        <w:ind w:left="7308" w:hanging="360"/>
      </w:pPr>
      <w:rPr>
        <w:rFonts w:ascii="Symbol" w:hAnsi="Symbol" w:hint="default"/>
      </w:rPr>
    </w:lvl>
    <w:lvl w:ilvl="7" w:tplc="9BE05300" w:tentative="1">
      <w:start w:val="1"/>
      <w:numFmt w:val="bullet"/>
      <w:lvlText w:val="o"/>
      <w:lvlJc w:val="left"/>
      <w:pPr>
        <w:tabs>
          <w:tab w:val="num" w:pos="8028"/>
        </w:tabs>
        <w:ind w:left="8028" w:hanging="360"/>
      </w:pPr>
      <w:rPr>
        <w:rFonts w:ascii="Courier New" w:hAnsi="Courier New" w:hint="default"/>
      </w:rPr>
    </w:lvl>
    <w:lvl w:ilvl="8" w:tplc="C16CFACC" w:tentative="1">
      <w:start w:val="1"/>
      <w:numFmt w:val="bullet"/>
      <w:lvlText w:val=""/>
      <w:lvlJc w:val="left"/>
      <w:pPr>
        <w:tabs>
          <w:tab w:val="num" w:pos="8748"/>
        </w:tabs>
        <w:ind w:left="8748" w:hanging="360"/>
      </w:pPr>
      <w:rPr>
        <w:rFonts w:ascii="Wingdings" w:hAnsi="Wingdings" w:hint="default"/>
      </w:rPr>
    </w:lvl>
  </w:abstractNum>
  <w:abstractNum w:abstractNumId="16" w15:restartNumberingAfterBreak="0">
    <w:nsid w:val="43FD0386"/>
    <w:multiLevelType w:val="hybridMultilevel"/>
    <w:tmpl w:val="D6E498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4DD0BF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D480BA5"/>
    <w:multiLevelType w:val="hybridMultilevel"/>
    <w:tmpl w:val="00DE96C8"/>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15:restartNumberingAfterBreak="0">
    <w:nsid w:val="5D6664DD"/>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19F6210"/>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29B1707"/>
    <w:multiLevelType w:val="multilevel"/>
    <w:tmpl w:val="1C506A4A"/>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3B2D46"/>
    <w:multiLevelType w:val="hybridMultilevel"/>
    <w:tmpl w:val="6BA045C6"/>
    <w:lvl w:ilvl="0" w:tplc="FFFFFFFF">
      <w:start w:val="1"/>
      <w:numFmt w:val="decimal"/>
      <w:lvlText w:val="%1."/>
      <w:lvlJc w:val="left"/>
      <w:pPr>
        <w:ind w:left="360" w:hanging="360"/>
      </w:pPr>
      <w:rPr>
        <w:b w:val="0"/>
        <w:bCs w:val="0"/>
        <w:i w:val="0"/>
        <w:iCs w:val="0"/>
        <w:color w:val="000000" w:themeColor="text1"/>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68AD07B2"/>
    <w:multiLevelType w:val="hybridMultilevel"/>
    <w:tmpl w:val="7FEE3222"/>
    <w:lvl w:ilvl="0" w:tplc="D4EA9F78">
      <w:start w:val="1"/>
      <w:numFmt w:val="bullet"/>
      <w:pStyle w:val="Bullet1G"/>
      <w:lvlText w:val="•"/>
      <w:lvlJc w:val="left"/>
      <w:pPr>
        <w:tabs>
          <w:tab w:val="num" w:pos="1701"/>
        </w:tabs>
        <w:ind w:left="1701" w:hanging="170"/>
      </w:pPr>
      <w:rPr>
        <w:rFonts w:ascii="Times New Roman" w:hAnsi="Times New Roman" w:cs="Times New Roman" w:hint="default"/>
      </w:rPr>
    </w:lvl>
    <w:lvl w:ilvl="1" w:tplc="6F14ED0A" w:tentative="1">
      <w:start w:val="1"/>
      <w:numFmt w:val="bullet"/>
      <w:lvlText w:val="o"/>
      <w:lvlJc w:val="left"/>
      <w:pPr>
        <w:tabs>
          <w:tab w:val="num" w:pos="3141"/>
        </w:tabs>
        <w:ind w:left="3141" w:hanging="360"/>
      </w:pPr>
      <w:rPr>
        <w:rFonts w:ascii="Courier New" w:hAnsi="Courier New" w:hint="default"/>
      </w:rPr>
    </w:lvl>
    <w:lvl w:ilvl="2" w:tplc="1BF4A518" w:tentative="1">
      <w:start w:val="1"/>
      <w:numFmt w:val="bullet"/>
      <w:lvlText w:val=""/>
      <w:lvlJc w:val="left"/>
      <w:pPr>
        <w:tabs>
          <w:tab w:val="num" w:pos="3861"/>
        </w:tabs>
        <w:ind w:left="3861" w:hanging="360"/>
      </w:pPr>
      <w:rPr>
        <w:rFonts w:ascii="Wingdings" w:hAnsi="Wingdings" w:hint="default"/>
      </w:rPr>
    </w:lvl>
    <w:lvl w:ilvl="3" w:tplc="F216FDF0" w:tentative="1">
      <w:start w:val="1"/>
      <w:numFmt w:val="bullet"/>
      <w:lvlText w:val=""/>
      <w:lvlJc w:val="left"/>
      <w:pPr>
        <w:tabs>
          <w:tab w:val="num" w:pos="4581"/>
        </w:tabs>
        <w:ind w:left="4581" w:hanging="360"/>
      </w:pPr>
      <w:rPr>
        <w:rFonts w:ascii="Symbol" w:hAnsi="Symbol" w:hint="default"/>
      </w:rPr>
    </w:lvl>
    <w:lvl w:ilvl="4" w:tplc="A8486430" w:tentative="1">
      <w:start w:val="1"/>
      <w:numFmt w:val="bullet"/>
      <w:lvlText w:val="o"/>
      <w:lvlJc w:val="left"/>
      <w:pPr>
        <w:tabs>
          <w:tab w:val="num" w:pos="5301"/>
        </w:tabs>
        <w:ind w:left="5301" w:hanging="360"/>
      </w:pPr>
      <w:rPr>
        <w:rFonts w:ascii="Courier New" w:hAnsi="Courier New" w:hint="default"/>
      </w:rPr>
    </w:lvl>
    <w:lvl w:ilvl="5" w:tplc="11820F94" w:tentative="1">
      <w:start w:val="1"/>
      <w:numFmt w:val="bullet"/>
      <w:lvlText w:val=""/>
      <w:lvlJc w:val="left"/>
      <w:pPr>
        <w:tabs>
          <w:tab w:val="num" w:pos="6021"/>
        </w:tabs>
        <w:ind w:left="6021" w:hanging="360"/>
      </w:pPr>
      <w:rPr>
        <w:rFonts w:ascii="Wingdings" w:hAnsi="Wingdings" w:hint="default"/>
      </w:rPr>
    </w:lvl>
    <w:lvl w:ilvl="6" w:tplc="25B03A12" w:tentative="1">
      <w:start w:val="1"/>
      <w:numFmt w:val="bullet"/>
      <w:lvlText w:val=""/>
      <w:lvlJc w:val="left"/>
      <w:pPr>
        <w:tabs>
          <w:tab w:val="num" w:pos="6741"/>
        </w:tabs>
        <w:ind w:left="6741" w:hanging="360"/>
      </w:pPr>
      <w:rPr>
        <w:rFonts w:ascii="Symbol" w:hAnsi="Symbol" w:hint="default"/>
      </w:rPr>
    </w:lvl>
    <w:lvl w:ilvl="7" w:tplc="4920CB72" w:tentative="1">
      <w:start w:val="1"/>
      <w:numFmt w:val="bullet"/>
      <w:lvlText w:val="o"/>
      <w:lvlJc w:val="left"/>
      <w:pPr>
        <w:tabs>
          <w:tab w:val="num" w:pos="7461"/>
        </w:tabs>
        <w:ind w:left="7461" w:hanging="360"/>
      </w:pPr>
      <w:rPr>
        <w:rFonts w:ascii="Courier New" w:hAnsi="Courier New" w:hint="default"/>
      </w:rPr>
    </w:lvl>
    <w:lvl w:ilvl="8" w:tplc="84B80A5A" w:tentative="1">
      <w:start w:val="1"/>
      <w:numFmt w:val="bullet"/>
      <w:lvlText w:val=""/>
      <w:lvlJc w:val="left"/>
      <w:pPr>
        <w:tabs>
          <w:tab w:val="num" w:pos="8181"/>
        </w:tabs>
        <w:ind w:left="8181" w:hanging="360"/>
      </w:pPr>
      <w:rPr>
        <w:rFonts w:ascii="Wingdings" w:hAnsi="Wingdings" w:hint="default"/>
      </w:rPr>
    </w:lvl>
  </w:abstractNum>
  <w:abstractNum w:abstractNumId="24"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5371326">
    <w:abstractNumId w:val="23"/>
  </w:num>
  <w:num w:numId="2" w16cid:durableId="1799832865">
    <w:abstractNumId w:val="15"/>
  </w:num>
  <w:num w:numId="3" w16cid:durableId="2144931304">
    <w:abstractNumId w:val="11"/>
  </w:num>
  <w:num w:numId="4" w16cid:durableId="740637758">
    <w:abstractNumId w:val="8"/>
  </w:num>
  <w:num w:numId="5" w16cid:durableId="1045249958">
    <w:abstractNumId w:val="3"/>
  </w:num>
  <w:num w:numId="6" w16cid:durableId="910308159">
    <w:abstractNumId w:val="2"/>
  </w:num>
  <w:num w:numId="7" w16cid:durableId="1480611153">
    <w:abstractNumId w:val="1"/>
  </w:num>
  <w:num w:numId="8" w16cid:durableId="1222912451">
    <w:abstractNumId w:val="0"/>
  </w:num>
  <w:num w:numId="9" w16cid:durableId="677578172">
    <w:abstractNumId w:val="9"/>
  </w:num>
  <w:num w:numId="10" w16cid:durableId="882330457">
    <w:abstractNumId w:val="7"/>
  </w:num>
  <w:num w:numId="11" w16cid:durableId="2026588960">
    <w:abstractNumId w:val="6"/>
  </w:num>
  <w:num w:numId="12" w16cid:durableId="1032001063">
    <w:abstractNumId w:val="5"/>
  </w:num>
  <w:num w:numId="13" w16cid:durableId="314532992">
    <w:abstractNumId w:val="4"/>
  </w:num>
  <w:num w:numId="14" w16cid:durableId="1558781253">
    <w:abstractNumId w:val="23"/>
  </w:num>
  <w:num w:numId="15" w16cid:durableId="830413797">
    <w:abstractNumId w:val="15"/>
  </w:num>
  <w:num w:numId="16" w16cid:durableId="941299648">
    <w:abstractNumId w:val="11"/>
  </w:num>
  <w:num w:numId="17" w16cid:durableId="1211915650">
    <w:abstractNumId w:val="17"/>
  </w:num>
  <w:num w:numId="18" w16cid:durableId="2107994596">
    <w:abstractNumId w:val="20"/>
  </w:num>
  <w:num w:numId="19" w16cid:durableId="1193149308">
    <w:abstractNumId w:val="19"/>
  </w:num>
  <w:num w:numId="20" w16cid:durableId="894465886">
    <w:abstractNumId w:val="24"/>
  </w:num>
  <w:num w:numId="21" w16cid:durableId="595139268">
    <w:abstractNumId w:val="13"/>
  </w:num>
  <w:num w:numId="22" w16cid:durableId="1175729003">
    <w:abstractNumId w:val="18"/>
  </w:num>
  <w:num w:numId="23" w16cid:durableId="252208453">
    <w:abstractNumId w:val="16"/>
  </w:num>
  <w:num w:numId="24" w16cid:durableId="1649282684">
    <w:abstractNumId w:val="10"/>
  </w:num>
  <w:num w:numId="25" w16cid:durableId="397480367">
    <w:abstractNumId w:val="21"/>
  </w:num>
  <w:num w:numId="26" w16cid:durableId="11690841">
    <w:abstractNumId w:val="22"/>
  </w:num>
  <w:num w:numId="27" w16cid:durableId="1723676055">
    <w:abstractNumId w:val="14"/>
  </w:num>
  <w:num w:numId="28" w16cid:durableId="5666955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FB1"/>
    <w:rsid w:val="00007460"/>
    <w:rsid w:val="0000792A"/>
    <w:rsid w:val="00025690"/>
    <w:rsid w:val="00030085"/>
    <w:rsid w:val="000346E3"/>
    <w:rsid w:val="00040123"/>
    <w:rsid w:val="00055D2E"/>
    <w:rsid w:val="000666B8"/>
    <w:rsid w:val="0009658B"/>
    <w:rsid w:val="000C6253"/>
    <w:rsid w:val="00127A1B"/>
    <w:rsid w:val="00141C9E"/>
    <w:rsid w:val="001507EF"/>
    <w:rsid w:val="00186774"/>
    <w:rsid w:val="001C2B87"/>
    <w:rsid w:val="00217A2F"/>
    <w:rsid w:val="002672A7"/>
    <w:rsid w:val="002844AB"/>
    <w:rsid w:val="00291A5B"/>
    <w:rsid w:val="002A6281"/>
    <w:rsid w:val="002E04D8"/>
    <w:rsid w:val="002E233B"/>
    <w:rsid w:val="00340AC8"/>
    <w:rsid w:val="00350BC7"/>
    <w:rsid w:val="003614D9"/>
    <w:rsid w:val="003A7D89"/>
    <w:rsid w:val="003A7F5E"/>
    <w:rsid w:val="003E2FCF"/>
    <w:rsid w:val="0040591D"/>
    <w:rsid w:val="00442F1D"/>
    <w:rsid w:val="00446122"/>
    <w:rsid w:val="00490503"/>
    <w:rsid w:val="0049619B"/>
    <w:rsid w:val="004A4823"/>
    <w:rsid w:val="004C59D6"/>
    <w:rsid w:val="004D2700"/>
    <w:rsid w:val="004E5C80"/>
    <w:rsid w:val="0051151F"/>
    <w:rsid w:val="005238B4"/>
    <w:rsid w:val="00532791"/>
    <w:rsid w:val="00545951"/>
    <w:rsid w:val="00556480"/>
    <w:rsid w:val="00575ADD"/>
    <w:rsid w:val="00584555"/>
    <w:rsid w:val="006070D9"/>
    <w:rsid w:val="0065184C"/>
    <w:rsid w:val="00655FD9"/>
    <w:rsid w:val="006D2FB1"/>
    <w:rsid w:val="00716B4D"/>
    <w:rsid w:val="00741165"/>
    <w:rsid w:val="007706FB"/>
    <w:rsid w:val="007877D5"/>
    <w:rsid w:val="00793F62"/>
    <w:rsid w:val="007B49B4"/>
    <w:rsid w:val="007C08F8"/>
    <w:rsid w:val="007C1976"/>
    <w:rsid w:val="007D7D33"/>
    <w:rsid w:val="007E725A"/>
    <w:rsid w:val="007F62DA"/>
    <w:rsid w:val="00800085"/>
    <w:rsid w:val="00804214"/>
    <w:rsid w:val="00805B90"/>
    <w:rsid w:val="00821BF3"/>
    <w:rsid w:val="00834BED"/>
    <w:rsid w:val="00860F72"/>
    <w:rsid w:val="008C2C7F"/>
    <w:rsid w:val="00910A07"/>
    <w:rsid w:val="009133F0"/>
    <w:rsid w:val="00922112"/>
    <w:rsid w:val="00951757"/>
    <w:rsid w:val="00954028"/>
    <w:rsid w:val="0096441D"/>
    <w:rsid w:val="009B2357"/>
    <w:rsid w:val="009D4EAF"/>
    <w:rsid w:val="009E4F6D"/>
    <w:rsid w:val="009E6B0E"/>
    <w:rsid w:val="00A065FD"/>
    <w:rsid w:val="00A17804"/>
    <w:rsid w:val="00A410D4"/>
    <w:rsid w:val="00AD5CD3"/>
    <w:rsid w:val="00AD7FA8"/>
    <w:rsid w:val="00B0713B"/>
    <w:rsid w:val="00B27B06"/>
    <w:rsid w:val="00B52FA5"/>
    <w:rsid w:val="00B65A90"/>
    <w:rsid w:val="00BA2647"/>
    <w:rsid w:val="00BA4B9E"/>
    <w:rsid w:val="00BD1341"/>
    <w:rsid w:val="00BD475A"/>
    <w:rsid w:val="00BD7FCF"/>
    <w:rsid w:val="00C10D31"/>
    <w:rsid w:val="00C43B09"/>
    <w:rsid w:val="00C450FE"/>
    <w:rsid w:val="00C975F7"/>
    <w:rsid w:val="00CE1DE0"/>
    <w:rsid w:val="00CF412B"/>
    <w:rsid w:val="00D65BFD"/>
    <w:rsid w:val="00DE5958"/>
    <w:rsid w:val="00DF12D5"/>
    <w:rsid w:val="00DF7E33"/>
    <w:rsid w:val="00E054E4"/>
    <w:rsid w:val="00E30EE0"/>
    <w:rsid w:val="00E51DDB"/>
    <w:rsid w:val="00E55A05"/>
    <w:rsid w:val="00E57E75"/>
    <w:rsid w:val="00E64223"/>
    <w:rsid w:val="00E67615"/>
    <w:rsid w:val="00E8411C"/>
    <w:rsid w:val="00E95844"/>
    <w:rsid w:val="00EB22C3"/>
    <w:rsid w:val="00EB2656"/>
    <w:rsid w:val="00EC3352"/>
    <w:rsid w:val="00EC5054"/>
    <w:rsid w:val="00ED2EE7"/>
    <w:rsid w:val="00ED5F12"/>
    <w:rsid w:val="00EE32AF"/>
    <w:rsid w:val="00EF1DC6"/>
    <w:rsid w:val="00F23399"/>
    <w:rsid w:val="00F33E81"/>
    <w:rsid w:val="00F50FEF"/>
    <w:rsid w:val="00F77A24"/>
    <w:rsid w:val="00FA110D"/>
    <w:rsid w:val="00FD7CC0"/>
    <w:rsid w:val="00FE72CE"/>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5C7A8"/>
  <w15:docId w15:val="{12F5F0E3-3ABD-4769-BEAE-19C1C91AB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B9E"/>
    <w:pPr>
      <w:suppressAutoHyphens/>
      <w:spacing w:after="0" w:line="240" w:lineRule="atLeast"/>
    </w:pPr>
    <w:rPr>
      <w:rFonts w:ascii="Times New Roman" w:eastAsia="Times New Roman" w:hAnsi="Times New Roman" w:cs="Times New Roman"/>
      <w:sz w:val="20"/>
      <w:szCs w:val="20"/>
      <w:lang w:val="en-GB"/>
    </w:rPr>
  </w:style>
  <w:style w:type="paragraph" w:styleId="Heading1">
    <w:name w:val="heading 1"/>
    <w:aliases w:val="Table_G"/>
    <w:basedOn w:val="SingleTxtG"/>
    <w:next w:val="SingleTxtG"/>
    <w:link w:val="Heading1Char"/>
    <w:qFormat/>
    <w:pPr>
      <w:keepNext/>
      <w:keepLines/>
      <w:spacing w:after="0" w:line="240" w:lineRule="auto"/>
      <w:ind w:right="0"/>
      <w:jc w:val="left"/>
      <w:outlineLvl w:val="0"/>
    </w:pPr>
  </w:style>
  <w:style w:type="paragraph" w:styleId="Heading2">
    <w:name w:val="heading 2"/>
    <w:basedOn w:val="Normal"/>
    <w:next w:val="Normal"/>
    <w:link w:val="Heading2Char"/>
    <w:semiHidden/>
    <w:qFormat/>
    <w:pPr>
      <w:kinsoku w:val="0"/>
      <w:overflowPunct w:val="0"/>
      <w:autoSpaceDE w:val="0"/>
      <w:autoSpaceDN w:val="0"/>
      <w:adjustRightInd w:val="0"/>
      <w:snapToGrid w:val="0"/>
      <w:outlineLvl w:val="1"/>
    </w:pPr>
    <w:rPr>
      <w:rFonts w:eastAsiaTheme="minorHAnsi"/>
      <w:lang w:val="fr-CH"/>
    </w:rPr>
  </w:style>
  <w:style w:type="paragraph" w:styleId="Heading3">
    <w:name w:val="heading 3"/>
    <w:basedOn w:val="Normal"/>
    <w:next w:val="Normal"/>
    <w:link w:val="Heading3Char"/>
    <w:semiHidden/>
    <w:qFormat/>
    <w:pPr>
      <w:kinsoku w:val="0"/>
      <w:overflowPunct w:val="0"/>
      <w:autoSpaceDE w:val="0"/>
      <w:autoSpaceDN w:val="0"/>
      <w:adjustRightInd w:val="0"/>
      <w:snapToGrid w:val="0"/>
      <w:outlineLvl w:val="2"/>
    </w:pPr>
    <w:rPr>
      <w:rFonts w:eastAsiaTheme="minorHAnsi"/>
      <w:lang w:val="fr-CH"/>
    </w:rPr>
  </w:style>
  <w:style w:type="paragraph" w:styleId="Heading4">
    <w:name w:val="heading 4"/>
    <w:basedOn w:val="Normal"/>
    <w:next w:val="Normal"/>
    <w:link w:val="Heading4Char"/>
    <w:semiHidden/>
    <w:qFormat/>
    <w:pPr>
      <w:kinsoku w:val="0"/>
      <w:overflowPunct w:val="0"/>
      <w:autoSpaceDE w:val="0"/>
      <w:autoSpaceDN w:val="0"/>
      <w:adjustRightInd w:val="0"/>
      <w:snapToGrid w:val="0"/>
      <w:outlineLvl w:val="3"/>
    </w:pPr>
    <w:rPr>
      <w:rFonts w:eastAsiaTheme="minorHAnsi"/>
      <w:lang w:val="fr-CH"/>
    </w:rPr>
  </w:style>
  <w:style w:type="paragraph" w:styleId="Heading5">
    <w:name w:val="heading 5"/>
    <w:basedOn w:val="Normal"/>
    <w:next w:val="Normal"/>
    <w:link w:val="Heading5Char"/>
    <w:semiHidden/>
    <w:qFormat/>
    <w:pPr>
      <w:kinsoku w:val="0"/>
      <w:overflowPunct w:val="0"/>
      <w:autoSpaceDE w:val="0"/>
      <w:autoSpaceDN w:val="0"/>
      <w:adjustRightInd w:val="0"/>
      <w:snapToGrid w:val="0"/>
      <w:outlineLvl w:val="4"/>
    </w:pPr>
    <w:rPr>
      <w:rFonts w:eastAsiaTheme="minorHAnsi"/>
      <w:lang w:val="fr-CH"/>
    </w:rPr>
  </w:style>
  <w:style w:type="paragraph" w:styleId="Heading6">
    <w:name w:val="heading 6"/>
    <w:basedOn w:val="Normal"/>
    <w:next w:val="Normal"/>
    <w:link w:val="Heading6Char"/>
    <w:semiHidden/>
    <w:qFormat/>
    <w:pPr>
      <w:kinsoku w:val="0"/>
      <w:overflowPunct w:val="0"/>
      <w:autoSpaceDE w:val="0"/>
      <w:autoSpaceDN w:val="0"/>
      <w:adjustRightInd w:val="0"/>
      <w:snapToGrid w:val="0"/>
      <w:outlineLvl w:val="5"/>
    </w:pPr>
    <w:rPr>
      <w:rFonts w:eastAsiaTheme="minorHAnsi"/>
      <w:lang w:val="fr-CH"/>
    </w:rPr>
  </w:style>
  <w:style w:type="paragraph" w:styleId="Heading7">
    <w:name w:val="heading 7"/>
    <w:basedOn w:val="Normal"/>
    <w:next w:val="Normal"/>
    <w:link w:val="Heading7Char"/>
    <w:semiHidden/>
    <w:qFormat/>
    <w:pPr>
      <w:kinsoku w:val="0"/>
      <w:overflowPunct w:val="0"/>
      <w:autoSpaceDE w:val="0"/>
      <w:autoSpaceDN w:val="0"/>
      <w:adjustRightInd w:val="0"/>
      <w:snapToGrid w:val="0"/>
      <w:outlineLvl w:val="6"/>
    </w:pPr>
    <w:rPr>
      <w:rFonts w:eastAsiaTheme="minorHAnsi"/>
      <w:lang w:val="fr-CH"/>
    </w:rPr>
  </w:style>
  <w:style w:type="paragraph" w:styleId="Heading8">
    <w:name w:val="heading 8"/>
    <w:basedOn w:val="Normal"/>
    <w:next w:val="Normal"/>
    <w:link w:val="Heading8Char"/>
    <w:semiHidden/>
    <w:qFormat/>
    <w:pPr>
      <w:kinsoku w:val="0"/>
      <w:overflowPunct w:val="0"/>
      <w:autoSpaceDE w:val="0"/>
      <w:autoSpaceDN w:val="0"/>
      <w:adjustRightInd w:val="0"/>
      <w:snapToGrid w:val="0"/>
      <w:outlineLvl w:val="7"/>
    </w:pPr>
    <w:rPr>
      <w:rFonts w:eastAsiaTheme="minorHAnsi"/>
      <w:lang w:val="fr-CH"/>
    </w:rPr>
  </w:style>
  <w:style w:type="paragraph" w:styleId="Heading9">
    <w:name w:val="heading 9"/>
    <w:basedOn w:val="Normal"/>
    <w:next w:val="Normal"/>
    <w:link w:val="Heading9Char"/>
    <w:semiHidden/>
    <w:qFormat/>
    <w:pPr>
      <w:kinsoku w:val="0"/>
      <w:overflowPunct w:val="0"/>
      <w:autoSpaceDE w:val="0"/>
      <w:autoSpaceDN w:val="0"/>
      <w:adjustRightInd w:val="0"/>
      <w:snapToGrid w:val="0"/>
      <w:outlineLvl w:val="8"/>
    </w:pPr>
    <w:rPr>
      <w:rFonts w:eastAsiaTheme="minorHAnsi"/>
      <w:lang w:val="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pPr>
      <w:pBdr>
        <w:bottom w:val="single" w:sz="4" w:space="4" w:color="auto"/>
      </w:pBdr>
      <w:suppressAutoHyphens w:val="0"/>
      <w:spacing w:line="240" w:lineRule="auto"/>
    </w:pPr>
    <w:rPr>
      <w:rFonts w:eastAsiaTheme="minorHAnsi"/>
      <w:b/>
      <w:sz w:val="18"/>
    </w:rPr>
  </w:style>
  <w:style w:type="character" w:customStyle="1" w:styleId="HeaderChar">
    <w:name w:val="Header Char"/>
    <w:aliases w:val="6_G Char"/>
    <w:basedOn w:val="DefaultParagraphFont"/>
    <w:link w:val="Header"/>
    <w:rPr>
      <w:rFonts w:ascii="Times New Roman" w:hAnsi="Times New Roman" w:cs="Times New Roman"/>
      <w:b/>
      <w:sz w:val="18"/>
      <w:szCs w:val="20"/>
      <w:lang w:val="en-GB"/>
    </w:rPr>
  </w:style>
  <w:style w:type="paragraph" w:styleId="Footer">
    <w:name w:val="footer"/>
    <w:aliases w:val="3_G"/>
    <w:basedOn w:val="Normal"/>
    <w:link w:val="FooterChar"/>
    <w:pPr>
      <w:suppressAutoHyphens w:val="0"/>
      <w:spacing w:line="240" w:lineRule="auto"/>
    </w:pPr>
    <w:rPr>
      <w:rFonts w:eastAsiaTheme="minorHAnsi"/>
      <w:sz w:val="16"/>
    </w:rPr>
  </w:style>
  <w:style w:type="character" w:customStyle="1" w:styleId="FooterChar">
    <w:name w:val="Footer Char"/>
    <w:aliases w:val="3_G Char"/>
    <w:basedOn w:val="DefaultParagraphFont"/>
    <w:link w:val="Footer"/>
    <w:rPr>
      <w:rFonts w:ascii="Times New Roman" w:hAnsi="Times New Roman" w:cs="Times New Roman"/>
      <w:sz w:val="16"/>
      <w:szCs w:val="20"/>
      <w:lang w:val="en-GB"/>
    </w:rPr>
  </w:style>
  <w:style w:type="paragraph" w:customStyle="1" w:styleId="HMG">
    <w:name w:val="_ H __M_G"/>
    <w:basedOn w:val="Normal"/>
    <w:next w:val="Normal"/>
    <w:qFormat/>
    <w:pPr>
      <w:keepNext/>
      <w:keepLines/>
      <w:tabs>
        <w:tab w:val="right" w:pos="851"/>
      </w:tabs>
      <w:kinsoku w:val="0"/>
      <w:overflowPunct w:val="0"/>
      <w:autoSpaceDE w:val="0"/>
      <w:autoSpaceDN w:val="0"/>
      <w:adjustRightInd w:val="0"/>
      <w:snapToGrid w:val="0"/>
      <w:spacing w:before="240" w:after="240" w:line="360" w:lineRule="exact"/>
      <w:ind w:left="1134" w:right="1134" w:hanging="1134"/>
      <w:outlineLvl w:val="0"/>
    </w:pPr>
    <w:rPr>
      <w:rFonts w:eastAsiaTheme="minorHAnsi"/>
      <w:b/>
      <w:sz w:val="34"/>
    </w:rPr>
  </w:style>
  <w:style w:type="paragraph" w:customStyle="1" w:styleId="HChG">
    <w:name w:val="_ H _Ch_G"/>
    <w:basedOn w:val="Normal"/>
    <w:next w:val="Normal"/>
    <w:qFormat/>
    <w:pPr>
      <w:keepNext/>
      <w:keepLines/>
      <w:tabs>
        <w:tab w:val="right" w:pos="851"/>
      </w:tabs>
      <w:kinsoku w:val="0"/>
      <w:overflowPunct w:val="0"/>
      <w:autoSpaceDE w:val="0"/>
      <w:autoSpaceDN w:val="0"/>
      <w:adjustRightInd w:val="0"/>
      <w:snapToGrid w:val="0"/>
      <w:spacing w:before="360" w:after="240" w:line="300" w:lineRule="exact"/>
      <w:ind w:left="1134" w:right="1134" w:hanging="1134"/>
      <w:outlineLvl w:val="1"/>
    </w:pPr>
    <w:rPr>
      <w:rFonts w:eastAsiaTheme="minorHAnsi"/>
      <w:b/>
      <w:sz w:val="28"/>
    </w:rPr>
  </w:style>
  <w:style w:type="paragraph" w:customStyle="1" w:styleId="H1G">
    <w:name w:val="_ H_1_G"/>
    <w:basedOn w:val="Normal"/>
    <w:next w:val="Normal"/>
    <w:qFormat/>
    <w:pPr>
      <w:keepNext/>
      <w:keepLines/>
      <w:tabs>
        <w:tab w:val="right" w:pos="851"/>
      </w:tabs>
      <w:kinsoku w:val="0"/>
      <w:overflowPunct w:val="0"/>
      <w:autoSpaceDE w:val="0"/>
      <w:autoSpaceDN w:val="0"/>
      <w:adjustRightInd w:val="0"/>
      <w:snapToGrid w:val="0"/>
      <w:spacing w:before="360" w:after="240" w:line="270" w:lineRule="exact"/>
      <w:ind w:left="1134" w:right="1134" w:hanging="1134"/>
      <w:outlineLvl w:val="2"/>
    </w:pPr>
    <w:rPr>
      <w:rFonts w:eastAsiaTheme="minorHAnsi"/>
      <w:b/>
      <w:sz w:val="24"/>
    </w:rPr>
  </w:style>
  <w:style w:type="paragraph" w:customStyle="1" w:styleId="H23G">
    <w:name w:val="_ H_2/3_G"/>
    <w:basedOn w:val="Normal"/>
    <w:next w:val="Normal"/>
    <w:qFormat/>
    <w:pPr>
      <w:keepNext/>
      <w:keepLines/>
      <w:tabs>
        <w:tab w:val="right" w:pos="851"/>
      </w:tabs>
      <w:kinsoku w:val="0"/>
      <w:overflowPunct w:val="0"/>
      <w:autoSpaceDE w:val="0"/>
      <w:autoSpaceDN w:val="0"/>
      <w:adjustRightInd w:val="0"/>
      <w:snapToGrid w:val="0"/>
      <w:spacing w:before="240" w:after="120" w:line="240" w:lineRule="exact"/>
      <w:ind w:left="1134" w:right="1134" w:hanging="1134"/>
      <w:outlineLvl w:val="3"/>
    </w:pPr>
    <w:rPr>
      <w:rFonts w:eastAsiaTheme="minorHAnsi"/>
      <w:b/>
    </w:rPr>
  </w:style>
  <w:style w:type="paragraph" w:customStyle="1" w:styleId="H4G">
    <w:name w:val="_ H_4_G"/>
    <w:basedOn w:val="Normal"/>
    <w:next w:val="Normal"/>
    <w:qFormat/>
    <w:pPr>
      <w:keepNext/>
      <w:keepLines/>
      <w:tabs>
        <w:tab w:val="right" w:pos="851"/>
      </w:tabs>
      <w:kinsoku w:val="0"/>
      <w:overflowPunct w:val="0"/>
      <w:autoSpaceDE w:val="0"/>
      <w:autoSpaceDN w:val="0"/>
      <w:adjustRightInd w:val="0"/>
      <w:snapToGrid w:val="0"/>
      <w:spacing w:before="240" w:after="120" w:line="240" w:lineRule="exact"/>
      <w:ind w:left="1134" w:right="1134" w:hanging="1134"/>
      <w:outlineLvl w:val="4"/>
    </w:pPr>
    <w:rPr>
      <w:rFonts w:eastAsiaTheme="minorHAnsi"/>
      <w:i/>
    </w:rPr>
  </w:style>
  <w:style w:type="paragraph" w:customStyle="1" w:styleId="H56G">
    <w:name w:val="_ H_5/6_G"/>
    <w:basedOn w:val="Normal"/>
    <w:next w:val="Normal"/>
    <w:qFormat/>
    <w:pPr>
      <w:keepNext/>
      <w:keepLines/>
      <w:tabs>
        <w:tab w:val="right" w:pos="851"/>
      </w:tabs>
      <w:kinsoku w:val="0"/>
      <w:overflowPunct w:val="0"/>
      <w:autoSpaceDE w:val="0"/>
      <w:autoSpaceDN w:val="0"/>
      <w:adjustRightInd w:val="0"/>
      <w:snapToGrid w:val="0"/>
      <w:spacing w:before="240" w:after="120" w:line="240" w:lineRule="exact"/>
      <w:ind w:left="1134" w:right="1134" w:hanging="1134"/>
      <w:outlineLvl w:val="5"/>
    </w:pPr>
    <w:rPr>
      <w:rFonts w:eastAsiaTheme="minorHAnsi"/>
    </w:rPr>
  </w:style>
  <w:style w:type="paragraph" w:customStyle="1" w:styleId="SingleTxtG">
    <w:name w:val="_ Single Txt_G"/>
    <w:basedOn w:val="Normal"/>
    <w:link w:val="SingleTxtGChar"/>
    <w:qFormat/>
    <w:pPr>
      <w:tabs>
        <w:tab w:val="left" w:pos="1701"/>
        <w:tab w:val="left" w:pos="2268"/>
        <w:tab w:val="left" w:pos="2835"/>
      </w:tabs>
      <w:kinsoku w:val="0"/>
      <w:overflowPunct w:val="0"/>
      <w:autoSpaceDE w:val="0"/>
      <w:autoSpaceDN w:val="0"/>
      <w:adjustRightInd w:val="0"/>
      <w:snapToGrid w:val="0"/>
      <w:spacing w:after="120"/>
      <w:ind w:left="1134" w:right="1134"/>
      <w:jc w:val="both"/>
    </w:pPr>
    <w:rPr>
      <w:rFonts w:eastAsiaTheme="minorHAnsi"/>
    </w:rPr>
  </w:style>
  <w:style w:type="paragraph" w:customStyle="1" w:styleId="SLG">
    <w:name w:val="__S_L_G"/>
    <w:basedOn w:val="Normal"/>
    <w:next w:val="Normal"/>
    <w:pPr>
      <w:keepNext/>
      <w:keepLines/>
      <w:spacing w:before="240" w:after="240" w:line="580" w:lineRule="exact"/>
      <w:ind w:left="1134" w:right="1134"/>
    </w:pPr>
    <w:rPr>
      <w:b/>
      <w:sz w:val="56"/>
    </w:rPr>
  </w:style>
  <w:style w:type="paragraph" w:customStyle="1" w:styleId="SMG">
    <w:name w:val="__S_M_G"/>
    <w:basedOn w:val="Normal"/>
    <w:next w:val="Normal"/>
    <w:pPr>
      <w:keepNext/>
      <w:keepLines/>
      <w:spacing w:before="240" w:after="240" w:line="420" w:lineRule="exact"/>
      <w:ind w:left="1134" w:right="1134"/>
    </w:pPr>
    <w:rPr>
      <w:b/>
      <w:sz w:val="40"/>
    </w:rPr>
  </w:style>
  <w:style w:type="paragraph" w:customStyle="1" w:styleId="SSG">
    <w:name w:val="__S_S_G"/>
    <w:basedOn w:val="Normal"/>
    <w:next w:val="Normal"/>
    <w:pPr>
      <w:keepNext/>
      <w:keepLines/>
      <w:spacing w:before="240" w:after="240" w:line="300" w:lineRule="exact"/>
      <w:ind w:left="1134" w:right="1134"/>
    </w:pPr>
    <w:rPr>
      <w:b/>
      <w:sz w:val="28"/>
    </w:rPr>
  </w:style>
  <w:style w:type="paragraph" w:customStyle="1" w:styleId="XLargeG">
    <w:name w:val="__XLarge_G"/>
    <w:basedOn w:val="Normal"/>
    <w:next w:val="Normal"/>
    <w:pPr>
      <w:keepNext/>
      <w:keepLines/>
      <w:spacing w:before="240" w:after="240" w:line="420" w:lineRule="exact"/>
      <w:ind w:left="1134" w:right="1134"/>
    </w:pPr>
    <w:rPr>
      <w:b/>
      <w:sz w:val="40"/>
    </w:rPr>
  </w:style>
  <w:style w:type="paragraph" w:customStyle="1" w:styleId="Bullet1G">
    <w:name w:val="_Bullet 1_G"/>
    <w:basedOn w:val="Normal"/>
    <w:qFormat/>
    <w:pPr>
      <w:numPr>
        <w:numId w:val="14"/>
      </w:numPr>
      <w:kinsoku w:val="0"/>
      <w:overflowPunct w:val="0"/>
      <w:autoSpaceDE w:val="0"/>
      <w:autoSpaceDN w:val="0"/>
      <w:adjustRightInd w:val="0"/>
      <w:snapToGrid w:val="0"/>
      <w:spacing w:after="120"/>
      <w:ind w:right="1134"/>
      <w:jc w:val="both"/>
    </w:pPr>
    <w:rPr>
      <w:rFonts w:eastAsiaTheme="minorHAnsi"/>
    </w:rPr>
  </w:style>
  <w:style w:type="paragraph" w:customStyle="1" w:styleId="Bullet2G">
    <w:name w:val="_Bullet 2_G"/>
    <w:basedOn w:val="Normal"/>
    <w:qFormat/>
    <w:pPr>
      <w:numPr>
        <w:numId w:val="15"/>
      </w:numPr>
      <w:kinsoku w:val="0"/>
      <w:overflowPunct w:val="0"/>
      <w:autoSpaceDE w:val="0"/>
      <w:autoSpaceDN w:val="0"/>
      <w:adjustRightInd w:val="0"/>
      <w:snapToGrid w:val="0"/>
      <w:spacing w:after="120"/>
      <w:ind w:right="1134"/>
      <w:jc w:val="both"/>
    </w:pPr>
    <w:rPr>
      <w:rFonts w:eastAsiaTheme="minorHAnsi"/>
    </w:rPr>
  </w:style>
  <w:style w:type="paragraph" w:customStyle="1" w:styleId="ParNoG">
    <w:name w:val="_ParNo_G"/>
    <w:basedOn w:val="Normal"/>
    <w:qFormat/>
    <w:pPr>
      <w:numPr>
        <w:numId w:val="16"/>
      </w:numPr>
      <w:tabs>
        <w:tab w:val="left" w:pos="1701"/>
        <w:tab w:val="left" w:pos="2268"/>
        <w:tab w:val="left" w:pos="2835"/>
      </w:tabs>
      <w:kinsoku w:val="0"/>
      <w:overflowPunct w:val="0"/>
      <w:autoSpaceDE w:val="0"/>
      <w:autoSpaceDN w:val="0"/>
      <w:adjustRightInd w:val="0"/>
      <w:snapToGrid w:val="0"/>
      <w:spacing w:after="120"/>
      <w:ind w:right="1134"/>
      <w:jc w:val="both"/>
    </w:pPr>
    <w:rPr>
      <w:rFonts w:eastAsiaTheme="minorHAnsi"/>
    </w:rPr>
  </w:style>
  <w:style w:type="character" w:styleId="FootnoteReference">
    <w:name w:val="footnote reference"/>
    <w:aliases w:val="4_G"/>
    <w:basedOn w:val="DefaultParagraphFont"/>
    <w:qFormat/>
    <w:rPr>
      <w:rFonts w:ascii="Times New Roman" w:hAnsi="Times New Roman"/>
      <w:sz w:val="18"/>
      <w:vertAlign w:val="superscript"/>
      <w:lang w:val="en-GB"/>
    </w:rPr>
  </w:style>
  <w:style w:type="character" w:styleId="EndnoteReference">
    <w:name w:val="endnote reference"/>
    <w:aliases w:val="1_G"/>
    <w:basedOn w:val="FootnoteReference"/>
    <w:qFormat/>
    <w:rPr>
      <w:rFonts w:ascii="Times New Roman" w:hAnsi="Times New Roman"/>
      <w:sz w:val="18"/>
      <w:vertAlign w:val="superscript"/>
      <w:lang w:val="en-GB"/>
    </w:rPr>
  </w:style>
  <w:style w:type="table" w:styleId="TableGrid">
    <w:name w:val="Table Grid"/>
    <w:basedOn w:val="TableNormal"/>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semiHidden/>
    <w:rPr>
      <w:color w:val="0000FF"/>
      <w:u w:val="none"/>
    </w:rPr>
  </w:style>
  <w:style w:type="character" w:styleId="FollowedHyperlink">
    <w:name w:val="FollowedHyperlink"/>
    <w:basedOn w:val="DefaultParagraphFont"/>
    <w:semiHidden/>
    <w:rPr>
      <w:color w:val="0000FF"/>
      <w:u w:val="none"/>
    </w:rPr>
  </w:style>
  <w:style w:type="paragraph" w:styleId="FootnoteText">
    <w:name w:val="footnote text"/>
    <w:aliases w:val="5_G"/>
    <w:basedOn w:val="Normal"/>
    <w:link w:val="FootnoteTextChar"/>
    <w:qFormat/>
    <w:pPr>
      <w:tabs>
        <w:tab w:val="right" w:pos="1021"/>
      </w:tabs>
      <w:kinsoku w:val="0"/>
      <w:overflowPunct w:val="0"/>
      <w:autoSpaceDE w:val="0"/>
      <w:autoSpaceDN w:val="0"/>
      <w:adjustRightInd w:val="0"/>
      <w:snapToGrid w:val="0"/>
      <w:spacing w:line="220" w:lineRule="exact"/>
      <w:ind w:left="1134" w:right="1134" w:hanging="1134"/>
    </w:pPr>
    <w:rPr>
      <w:rFonts w:eastAsiaTheme="minorHAnsi"/>
      <w:sz w:val="18"/>
    </w:rPr>
  </w:style>
  <w:style w:type="character" w:customStyle="1" w:styleId="FootnoteTextChar">
    <w:name w:val="Footnote Text Char"/>
    <w:aliases w:val="5_G Char"/>
    <w:basedOn w:val="DefaultParagraphFont"/>
    <w:link w:val="FootnoteText"/>
    <w:rPr>
      <w:rFonts w:ascii="Times New Roman" w:hAnsi="Times New Roman" w:cs="Times New Roman"/>
      <w:sz w:val="18"/>
      <w:szCs w:val="20"/>
      <w:lang w:val="en-GB"/>
    </w:rPr>
  </w:style>
  <w:style w:type="paragraph" w:styleId="EndnoteText">
    <w:name w:val="endnote text"/>
    <w:aliases w:val="2_G"/>
    <w:basedOn w:val="FootnoteText"/>
    <w:link w:val="EndnoteTextChar"/>
    <w:qFormat/>
  </w:style>
  <w:style w:type="character" w:customStyle="1" w:styleId="EndnoteTextChar">
    <w:name w:val="Endnote Text Char"/>
    <w:aliases w:val="2_G Char"/>
    <w:basedOn w:val="DefaultParagraphFont"/>
    <w:link w:val="EndnoteText"/>
    <w:rPr>
      <w:rFonts w:ascii="Times New Roman" w:hAnsi="Times New Roman" w:cs="Times New Roman"/>
      <w:sz w:val="18"/>
      <w:szCs w:val="20"/>
      <w:lang w:val="en-GB"/>
    </w:rPr>
  </w:style>
  <w:style w:type="character" w:styleId="PageNumber">
    <w:name w:val="page number"/>
    <w:aliases w:val="7_G"/>
    <w:basedOn w:val="DefaultParagraphFont"/>
    <w:qFormat/>
    <w:rPr>
      <w:rFonts w:ascii="Times New Roman" w:hAnsi="Times New Roman"/>
      <w:b/>
      <w:sz w:val="18"/>
      <w:lang w:val="en-GB"/>
    </w:rPr>
  </w:style>
  <w:style w:type="character" w:customStyle="1" w:styleId="Heading1Char">
    <w:name w:val="Heading 1 Char"/>
    <w:aliases w:val="Table_G Char"/>
    <w:basedOn w:val="DefaultParagraphFont"/>
    <w:link w:val="Heading1"/>
    <w:rPr>
      <w:rFonts w:ascii="Times New Roman" w:hAnsi="Times New Roman" w:cs="Times New Roman"/>
      <w:sz w:val="20"/>
      <w:szCs w:val="20"/>
      <w:lang w:val="en-GB"/>
    </w:rPr>
  </w:style>
  <w:style w:type="character" w:customStyle="1" w:styleId="Heading2Char">
    <w:name w:val="Heading 2 Char"/>
    <w:basedOn w:val="DefaultParagraphFont"/>
    <w:link w:val="Heading2"/>
    <w:semiHidden/>
    <w:rPr>
      <w:rFonts w:ascii="Times New Roman" w:hAnsi="Times New Roman" w:cs="Times New Roman"/>
      <w:sz w:val="20"/>
      <w:szCs w:val="20"/>
    </w:rPr>
  </w:style>
  <w:style w:type="character" w:customStyle="1" w:styleId="Heading3Char">
    <w:name w:val="Heading 3 Char"/>
    <w:basedOn w:val="DefaultParagraphFont"/>
    <w:link w:val="Heading3"/>
    <w:semiHidden/>
    <w:rPr>
      <w:rFonts w:ascii="Times New Roman" w:hAnsi="Times New Roman" w:cs="Times New Roman"/>
      <w:sz w:val="20"/>
      <w:szCs w:val="20"/>
    </w:rPr>
  </w:style>
  <w:style w:type="character" w:customStyle="1" w:styleId="Heading4Char">
    <w:name w:val="Heading 4 Char"/>
    <w:basedOn w:val="DefaultParagraphFont"/>
    <w:link w:val="Heading4"/>
    <w:semiHidden/>
    <w:rPr>
      <w:rFonts w:ascii="Times New Roman" w:hAnsi="Times New Roman" w:cs="Times New Roman"/>
      <w:sz w:val="20"/>
      <w:szCs w:val="20"/>
    </w:rPr>
  </w:style>
  <w:style w:type="character" w:customStyle="1" w:styleId="Heading5Char">
    <w:name w:val="Heading 5 Char"/>
    <w:basedOn w:val="DefaultParagraphFont"/>
    <w:link w:val="Heading5"/>
    <w:semiHidden/>
    <w:rPr>
      <w:rFonts w:ascii="Times New Roman" w:hAnsi="Times New Roman" w:cs="Times New Roman"/>
      <w:sz w:val="20"/>
      <w:szCs w:val="20"/>
    </w:rPr>
  </w:style>
  <w:style w:type="character" w:customStyle="1" w:styleId="Heading6Char">
    <w:name w:val="Heading 6 Char"/>
    <w:basedOn w:val="DefaultParagraphFont"/>
    <w:link w:val="Heading6"/>
    <w:semiHidden/>
    <w:rPr>
      <w:rFonts w:ascii="Times New Roman" w:hAnsi="Times New Roman" w:cs="Times New Roman"/>
      <w:sz w:val="20"/>
      <w:szCs w:val="20"/>
    </w:rPr>
  </w:style>
  <w:style w:type="character" w:customStyle="1" w:styleId="Heading7Char">
    <w:name w:val="Heading 7 Char"/>
    <w:basedOn w:val="DefaultParagraphFont"/>
    <w:link w:val="Heading7"/>
    <w:semiHidden/>
    <w:rPr>
      <w:rFonts w:ascii="Times New Roman" w:hAnsi="Times New Roman" w:cs="Times New Roman"/>
      <w:sz w:val="20"/>
      <w:szCs w:val="20"/>
    </w:rPr>
  </w:style>
  <w:style w:type="character" w:customStyle="1" w:styleId="Heading8Char">
    <w:name w:val="Heading 8 Char"/>
    <w:basedOn w:val="DefaultParagraphFont"/>
    <w:link w:val="Heading8"/>
    <w:semiHidden/>
    <w:rPr>
      <w:rFonts w:ascii="Times New Roman" w:hAnsi="Times New Roman" w:cs="Times New Roman"/>
      <w:sz w:val="20"/>
      <w:szCs w:val="20"/>
    </w:rPr>
  </w:style>
  <w:style w:type="character" w:customStyle="1" w:styleId="Heading9Char">
    <w:name w:val="Heading 9 Char"/>
    <w:basedOn w:val="DefaultParagraphFont"/>
    <w:link w:val="Heading9"/>
    <w:semiHidden/>
    <w:rPr>
      <w:rFonts w:ascii="Times New Roman" w:hAnsi="Times New Roman" w:cs="Times New Roman"/>
      <w:sz w:val="20"/>
      <w:szCs w:val="20"/>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en-GB"/>
    </w:rPr>
  </w:style>
  <w:style w:type="character" w:customStyle="1" w:styleId="SingleTxtGChar">
    <w:name w:val="_ Single Txt_G Char"/>
    <w:link w:val="SingleTxtG"/>
    <w:locked/>
    <w:rPr>
      <w:rFonts w:ascii="Times New Roman" w:hAnsi="Times New Roman" w:cs="Times New Roman"/>
      <w:sz w:val="20"/>
      <w:szCs w:val="20"/>
      <w:lang w:val="en-GB"/>
    </w:rPr>
  </w:style>
  <w:style w:type="numbering" w:styleId="111111">
    <w:name w:val="Outline List 2"/>
    <w:basedOn w:val="NoList"/>
    <w:semiHidden/>
    <w:pPr>
      <w:numPr>
        <w:numId w:val="18"/>
      </w:numPr>
    </w:pPr>
  </w:style>
  <w:style w:type="numbering" w:styleId="1ai">
    <w:name w:val="Outline List 1"/>
    <w:basedOn w:val="NoList"/>
    <w:semiHidden/>
    <w:pPr>
      <w:numPr>
        <w:numId w:val="20"/>
      </w:numPr>
    </w:pPr>
  </w:style>
  <w:style w:type="table" w:customStyle="1" w:styleId="TableGrid1">
    <w:name w:val="Table Grid1"/>
    <w:basedOn w:val="TableNormal"/>
    <w:pPr>
      <w:suppressAutoHyphens/>
      <w:spacing w:after="0" w:line="240" w:lineRule="atLeast"/>
    </w:pPr>
    <w:rPr>
      <w:rFonts w:ascii="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GridTable5Dark-Accent1">
    <w:name w:val="Grid Table 5 Dark Accent 1"/>
    <w:basedOn w:val="TableNormal"/>
    <w:uiPriority w:val="50"/>
    <w:rsid w:val="0049619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49619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
    <w:name w:val="Grid Table 1 Light"/>
    <w:basedOn w:val="TableNormal"/>
    <w:uiPriority w:val="46"/>
    <w:rsid w:val="0049619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CFA62B47352B44BFD11BEB9CD9FD5A" ma:contentTypeVersion="37" ma:contentTypeDescription="Create a new document." ma:contentTypeScope="" ma:versionID="518209c89dc99bc9bf7ce669af5d9a4d">
  <xsd:schema xmlns:xsd="http://www.w3.org/2001/XMLSchema" xmlns:xs="http://www.w3.org/2001/XMLSchema" xmlns:p="http://schemas.microsoft.com/office/2006/metadata/properties" xmlns:ns1="http://schemas.microsoft.com/sharepoint/v3" xmlns:ns3="985ec44e-1bab-4c0b-9df0-6ba128686fc9" xmlns:ns4="11a6fe0c-d8de-4390-afb3-d9c7c54181f0" xmlns:ns5="29926d6b-938b-4af7-b041-aee0d57e6e3d" targetNamespace="http://schemas.microsoft.com/office/2006/metadata/properties" ma:root="true" ma:fieldsID="c950bac982e9263f13db11a62ec13298" ns1:_="" ns3:_="" ns4:_="" ns5:_="">
    <xsd:import namespace="http://schemas.microsoft.com/sharepoint/v3"/>
    <xsd:import namespace="985ec44e-1bab-4c0b-9df0-6ba128686fc9"/>
    <xsd:import namespace="11a6fe0c-d8de-4390-afb3-d9c7c54181f0"/>
    <xsd:import namespace="29926d6b-938b-4af7-b041-aee0d57e6e3d"/>
    <xsd:element name="properties">
      <xsd:complexType>
        <xsd:sequence>
          <xsd:element name="documentManagement">
            <xsd:complexType>
              <xsd:all>
                <xsd:element ref="ns1:KpiDescription" minOccurs="0"/>
                <xsd:element ref="ns3:Security_x0020_Level" minOccurs="0"/>
                <xsd:element ref="ns3:Document_x0020_Type" minOccurs="0"/>
                <xsd:element ref="ns3:Document_x0020_Date" minOccurs="0"/>
                <xsd:element ref="ns3:UN_x0020_Official_x0020_Language" minOccurs="0"/>
                <xsd:element ref="ns4:UD_x0020_Added_x0020_By" minOccurs="0"/>
                <xsd:element ref="ns4:UD_x0020_Added_x0020_On" minOccurs="0"/>
                <xsd:element ref="ns4:UD_x0020_Modified_x0020_By" minOccurs="0"/>
                <xsd:element ref="ns4:UD_x0020_Modified_x0020_On" minOccurs="0"/>
                <xsd:element ref="ns4:UD_x0020_Office_x0020_of_x0020_Origin" minOccurs="0"/>
                <xsd:element ref="ns4:Session" minOccurs="0"/>
                <xsd:element ref="ns4:Meeting" minOccurs="0"/>
                <xsd:element ref="ns4:Thematic_x0020_Area" minOccurs="0"/>
                <xsd:element ref="ns4:Country" minOccurs="0"/>
                <xsd:element ref="ns4:Donor" minOccurs="0"/>
                <xsd:element ref="ns4:Field_x0020_Office" minOccurs="0"/>
                <xsd:element ref="ns4:Project_x0020_Name" minOccurs="0"/>
                <xsd:element ref="ns4:Report_x0020_Type" minOccurs="0"/>
                <xsd:element ref="ns4:Treaty_x0020_Body" minOccurs="0"/>
                <xsd:element ref="ns4:Working_x0020_Group" minOccurs="0"/>
                <xsd:element ref="ns5:MediaServiceMetadata" minOccurs="0"/>
                <xsd:element ref="ns5:MediaServiceFastMetadata" minOccurs="0"/>
                <xsd:element ref="ns5:MediaServiceSearchProperties" minOccurs="0"/>
                <xsd:element ref="ns5:MediaServiceObjectDetectorVersions" minOccurs="0"/>
                <xsd:element ref="ns5:MediaServiceDateTaken" minOccurs="0"/>
                <xsd:element ref="ns5:MediaServiceGenerationTime" minOccurs="0"/>
                <xsd:element ref="ns5:MediaServiceEventHashCode" minOccurs="0"/>
                <xsd:element ref="ns5:MediaLengthInSeconds" minOccurs="0"/>
                <xsd:element ref="ns5:lcf76f155ced4ddcb4097134ff3c332f" minOccurs="0"/>
                <xsd:element ref="ns3:TaxCatchAll" minOccurs="0"/>
                <xsd:element ref="ns5:MediaServiceOCR"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0" nillable="true" ma:displayName="Description"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Security_x0020_Level" ma:index="11" nillable="true" ma:displayName="Security Level" ma:format="RadioButtons" ma:internalName="Security_x0020_Level">
      <xsd:simpleType>
        <xsd:restriction base="dms:Choice">
          <xsd:enumeration value="Unclassified"/>
          <xsd:enumeration value="Confidential"/>
          <xsd:enumeration value="Strictly Confidential"/>
        </xsd:restriction>
      </xsd:simpleType>
    </xsd:element>
    <xsd:element name="Document_x0020_Type" ma:index="12" nillable="true" ma:displayName="Document Type" ma:format="Dropdown" ma:internalName="Document_x0020_Typ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Document_x0020_Date" ma:index="13" nillable="true" ma:displayName="Document Date" ma:default="[today]" ma:description="The date when the file was drafted" ma:format="DateOnly" ma:internalName="Document_x0020_Date">
      <xsd:simpleType>
        <xsd:restriction base="dms:DateTime"/>
      </xsd:simpleType>
    </xsd:element>
    <xsd:element name="UN_x0020_Official_x0020_Language" ma:index="14" nillable="true" ma:displayName="Language (UN's Official)" ma:format="Dropdown" ma:internalName="UN_x0020_Official_x0020_Language">
      <xsd:simpleType>
        <xsd:restriction base="dms:Choice">
          <xsd:enumeration value="Arabic"/>
          <xsd:enumeration value="Chinese"/>
          <xsd:enumeration value="English"/>
          <xsd:enumeration value="French"/>
          <xsd:enumeration value="Russian"/>
          <xsd:enumeration value="Spanish"/>
          <xsd:enumeration value="Others"/>
        </xsd:restriction>
      </xsd:simpleType>
    </xsd:element>
    <xsd:element name="TaxCatchAll" ma:index="41" nillable="true" ma:displayName="Taxonomy Catch All Column" ma:hidden="true" ma:list="{f274aed0-69a4-4e1d-a03f-4a4dac4a7807}" ma:internalName="TaxCatchAll" ma:showField="CatchAllData" ma:web="11a6fe0c-d8de-4390-afb3-d9c7c54181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a6fe0c-d8de-4390-afb3-d9c7c54181f0" elementFormDefault="qualified">
    <xsd:import namespace="http://schemas.microsoft.com/office/2006/documentManagement/types"/>
    <xsd:import namespace="http://schemas.microsoft.com/office/infopath/2007/PartnerControls"/>
    <xsd:element name="UD_x0020_Added_x0020_By" ma:index="15" nillable="true" ma:displayName="UD Added By" ma:internalName="UD_x0020_Added_x0020_By">
      <xsd:simpleType>
        <xsd:restriction base="dms:Text">
          <xsd:maxLength value="255"/>
        </xsd:restriction>
      </xsd:simpleType>
    </xsd:element>
    <xsd:element name="UD_x0020_Added_x0020_On" ma:index="16" nillable="true" ma:displayName="UD Added On" ma:format="DateOnly" ma:internalName="UD_x0020_Added_x0020_On">
      <xsd:simpleType>
        <xsd:restriction base="dms:DateTime"/>
      </xsd:simpleType>
    </xsd:element>
    <xsd:element name="UD_x0020_Modified_x0020_By" ma:index="17" nillable="true" ma:displayName="UD Modified By" ma:internalName="UD_x0020_Modified_x0020_By">
      <xsd:simpleType>
        <xsd:restriction base="dms:Text">
          <xsd:maxLength value="255"/>
        </xsd:restriction>
      </xsd:simpleType>
    </xsd:element>
    <xsd:element name="UD_x0020_Modified_x0020_On" ma:index="18" nillable="true" ma:displayName="UD Modified On" ma:format="DateOnly" ma:internalName="UD_x0020_Modified_x0020_On">
      <xsd:simpleType>
        <xsd:restriction base="dms:DateTime"/>
      </xsd:simpleType>
    </xsd:element>
    <xsd:element name="UD_x0020_Office_x0020_of_x0020_Origin" ma:index="19" nillable="true" ma:displayName="UD Office of Origin" ma:internalName="UD_x0020_Office_x0020_of_x0020_Origin">
      <xsd:simpleType>
        <xsd:restriction base="dms:Text">
          <xsd:maxLength value="255"/>
        </xsd:restriction>
      </xsd:simpleType>
    </xsd:element>
    <xsd:element name="Session" ma:index="20" nillable="true" ma:displayName="Session" ma:internalName="Session">
      <xsd:simpleType>
        <xsd:restriction base="dms:Text">
          <xsd:maxLength value="255"/>
        </xsd:restriction>
      </xsd:simpleType>
    </xsd:element>
    <xsd:element name="Meeting" ma:index="21" nillable="true" ma:displayName="Meeting" ma:internalName="Meeting">
      <xsd:simpleType>
        <xsd:restriction base="dms:Text">
          <xsd:maxLength value="255"/>
        </xsd:restriction>
      </xsd:simpleType>
    </xsd:element>
    <xsd:element name="Thematic_x0020_Area" ma:index="22" nillable="true" ma:displayName="Thematic Area" ma:internalName="Thematic_x0020_Area">
      <xsd:simpleType>
        <xsd:restriction base="dms:Text">
          <xsd:maxLength value="255"/>
        </xsd:restriction>
      </xsd:simpleType>
    </xsd:element>
    <xsd:element name="Country" ma:index="23" nillable="true" ma:displayName="Country" ma:internalName="Country">
      <xsd:simpleType>
        <xsd:restriction base="dms:Text">
          <xsd:maxLength value="255"/>
        </xsd:restriction>
      </xsd:simpleType>
    </xsd:element>
    <xsd:element name="Donor" ma:index="24" nillable="true" ma:displayName="Donor" ma:internalName="Donor">
      <xsd:simpleType>
        <xsd:restriction base="dms:Text">
          <xsd:maxLength value="255"/>
        </xsd:restriction>
      </xsd:simpleType>
    </xsd:element>
    <xsd:element name="Field_x0020_Office" ma:index="25" nillable="true" ma:displayName="Field Office" ma:internalName="Field_x0020_Office">
      <xsd:simpleType>
        <xsd:restriction base="dms:Text">
          <xsd:maxLength value="255"/>
        </xsd:restriction>
      </xsd:simpleType>
    </xsd:element>
    <xsd:element name="Project_x0020_Name" ma:index="26" nillable="true" ma:displayName="Project Name" ma:internalName="Project_x0020_Name">
      <xsd:simpleType>
        <xsd:restriction base="dms:Text">
          <xsd:maxLength value="255"/>
        </xsd:restriction>
      </xsd:simpleType>
    </xsd:element>
    <xsd:element name="Report_x0020_Type" ma:index="27" nillable="true" ma:displayName="Report Type" ma:internalName="Report_x0020_Type">
      <xsd:simpleType>
        <xsd:restriction base="dms:Text">
          <xsd:maxLength value="255"/>
        </xsd:restriction>
      </xsd:simpleType>
    </xsd:element>
    <xsd:element name="Treaty_x0020_Body" ma:index="28" nillable="true" ma:displayName="Treaty Body" ma:internalName="Treaty_x0020_Body">
      <xsd:simpleType>
        <xsd:restriction base="dms:Text">
          <xsd:maxLength value="255"/>
        </xsd:restriction>
      </xsd:simpleType>
    </xsd:element>
    <xsd:element name="Working_x0020_Group" ma:index="29" nillable="true" ma:displayName="Working Group" ma:internalName="Working_x0020_Group">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926d6b-938b-4af7-b041-aee0d57e6e3d"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DateTaken" ma:index="35" nillable="true" ma:displayName="MediaServiceDateTaken" ma:description="" ma:hidden="true" ma:indexed="true" ma:internalName="MediaServiceDateTaken"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element name="lcf76f155ced4ddcb4097134ff3c332f" ma:index="4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42" nillable="true" ma:displayName="Extracted Text" ma:internalName="MediaServiceOCR" ma:readOnly="true">
      <xsd:simpleType>
        <xsd:restriction base="dms:Note">
          <xsd:maxLength value="255"/>
        </xsd:restriction>
      </xsd:simpleType>
    </xsd:element>
    <xsd:element name="MediaServiceLocation" ma:index="4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30" ma:displayName="Subject"/>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29926d6b-938b-4af7-b041-aee0d57e6e3d">
      <Terms xmlns="http://schemas.microsoft.com/office/infopath/2007/PartnerControls"/>
    </lcf76f155ced4ddcb4097134ff3c332f>
    <Document_x0020_Date xmlns="985ec44e-1bab-4c0b-9df0-6ba128686fc9">2026-07-13T05:00:10+00:00</Document_x0020_Date>
    <Donor xmlns="11a6fe0c-d8de-4390-afb3-d9c7c54181f0" xsi:nil="true"/>
    <Report_x0020_Type xmlns="11a6fe0c-d8de-4390-afb3-d9c7c54181f0" xsi:nil="true"/>
    <KpiDescription xmlns="http://schemas.microsoft.com/sharepoint/v3" xsi:nil="true"/>
    <Field_x0020_Office xmlns="11a6fe0c-d8de-4390-afb3-d9c7c54181f0" xsi:nil="true"/>
    <Document_x0020_Type xmlns="985ec44e-1bab-4c0b-9df0-6ba128686fc9" xsi:nil="true"/>
    <UD_x0020_Added_x0020_On xmlns="11a6fe0c-d8de-4390-afb3-d9c7c54181f0" xsi:nil="true"/>
    <UD_x0020_Modified_x0020_By xmlns="11a6fe0c-d8de-4390-afb3-d9c7c54181f0" xsi:nil="true"/>
    <UD_x0020_Modified_x0020_On xmlns="11a6fe0c-d8de-4390-afb3-d9c7c54181f0" xsi:nil="true"/>
    <Working_x0020_Group xmlns="11a6fe0c-d8de-4390-afb3-d9c7c54181f0" xsi:nil="true"/>
    <Thematic_x0020_Area xmlns="11a6fe0c-d8de-4390-afb3-d9c7c54181f0" xsi:nil="true"/>
    <UD_x0020_Added_x0020_By xmlns="11a6fe0c-d8de-4390-afb3-d9c7c54181f0" xsi:nil="true"/>
    <Project_x0020_Name xmlns="11a6fe0c-d8de-4390-afb3-d9c7c54181f0" xsi:nil="true"/>
    <Session xmlns="11a6fe0c-d8de-4390-afb3-d9c7c54181f0" xsi:nil="true"/>
    <Meeting xmlns="11a6fe0c-d8de-4390-afb3-d9c7c54181f0" xsi:nil="true"/>
    <UD_x0020_Office_x0020_of_x0020_Origin xmlns="11a6fe0c-d8de-4390-afb3-d9c7c54181f0" xsi:nil="true"/>
    <Country xmlns="11a6fe0c-d8de-4390-afb3-d9c7c54181f0" xsi:nil="true"/>
    <Security_x0020_Level xmlns="985ec44e-1bab-4c0b-9df0-6ba128686fc9" xsi:nil="true"/>
    <UN_x0020_Official_x0020_Language xmlns="985ec44e-1bab-4c0b-9df0-6ba128686fc9" xsi:nil="true"/>
    <Treaty_x0020_Body xmlns="11a6fe0c-d8de-4390-afb3-d9c7c54181f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8048D7-4EF7-45F1-8989-6494BD274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5ec44e-1bab-4c0b-9df0-6ba128686fc9"/>
    <ds:schemaRef ds:uri="11a6fe0c-d8de-4390-afb3-d9c7c54181f0"/>
    <ds:schemaRef ds:uri="29926d6b-938b-4af7-b041-aee0d57e6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080E46-09C8-4EE0-B44C-30C61810BA00}">
  <ds:schemaRefs>
    <ds:schemaRef ds:uri="http://schemas.microsoft.com/office/2006/metadata/properties"/>
    <ds:schemaRef ds:uri="http://schemas.microsoft.com/office/infopath/2007/PartnerControls"/>
    <ds:schemaRef ds:uri="985ec44e-1bab-4c0b-9df0-6ba128686fc9"/>
    <ds:schemaRef ds:uri="29926d6b-938b-4af7-b041-aee0d57e6e3d"/>
    <ds:schemaRef ds:uri="11a6fe0c-d8de-4390-afb3-d9c7c54181f0"/>
    <ds:schemaRef ds:uri="http://schemas.microsoft.com/sharepoint/v3"/>
  </ds:schemaRefs>
</ds:datastoreItem>
</file>

<file path=customXml/itemProps3.xml><?xml version="1.0" encoding="utf-8"?>
<ds:datastoreItem xmlns:ds="http://schemas.openxmlformats.org/officeDocument/2006/customXml" ds:itemID="{E4CA9C75-CFE2-476B-81B4-BD3770C354B1}">
  <ds:schemaRefs>
    <ds:schemaRef ds:uri="http://schemas.openxmlformats.org/officeDocument/2006/bibliography"/>
  </ds:schemaRefs>
</ds:datastoreItem>
</file>

<file path=customXml/itemProps4.xml><?xml version="1.0" encoding="utf-8"?>
<ds:datastoreItem xmlns:ds="http://schemas.openxmlformats.org/officeDocument/2006/customXml" ds:itemID="{ED4EA623-4B24-4155-B57C-9FE5856082B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36</Pages>
  <Words>19187</Words>
  <Characters>109370</Characters>
  <Application>Microsoft Office Word</Application>
  <DocSecurity>0</DocSecurity>
  <Lines>911</Lines>
  <Paragraphs>256</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CEDAW/C/ZAF/6</vt:lpstr>
      <vt:lpstr/>
      <vt:lpstr/>
    </vt:vector>
  </TitlesOfParts>
  <Company>DCM</Company>
  <LinksUpToDate>false</LinksUpToDate>
  <CharactersWithSpaces>128301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CEDAW/C/ZAF/6</dc:title>
  <dc:creator>Gloria</dc:creator>
  <cp:lastModifiedBy>Jamila Devi Seerathun</cp:lastModifiedBy>
  <cp:revision>3</cp:revision>
  <cp:lastPrinted>2026-07-27T07:13:00Z</cp:lastPrinted>
  <dcterms:created xsi:type="dcterms:W3CDTF">2026-07-27T07:19:00Z</dcterms:created>
  <dcterms:modified xsi:type="dcterms:W3CDTF">2026-07-27T07:19:00Z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um">
    <vt:lpwstr>[NUMBER]</vt:lpwstr>
  </property>
  <property fmtid="{D5CDD505-2E9C-101B-9397-08002B2CF9AE}" pid="3" name="atitle">
    <vt:lpwstr>[Title]</vt:lpwstr>
  </property>
  <property fmtid="{D5CDD505-2E9C-101B-9397-08002B2CF9AE}" pid="4" name="Author">
    <vt:lpwstr/>
  </property>
  <property fmtid="{D5CDD505-2E9C-101B-9397-08002B2CF9AE}" pid="5" name="bar">
    <vt:lpwstr/>
  </property>
  <property fmtid="{D5CDD505-2E9C-101B-9397-08002B2CF9AE}" pid="6" name="category">
    <vt:lpwstr>CEDAW</vt:lpwstr>
  </property>
  <property fmtid="{D5CDD505-2E9C-101B-9397-08002B2CF9AE}" pid="7" name="ContentTypeId">
    <vt:lpwstr>0x010100A3CFA62B47352B44BFD11BEB9CD9FD5A</vt:lpwstr>
  </property>
  <property fmtid="{D5CDD505-2E9C-101B-9397-08002B2CF9AE}" pid="8" name="count">
    <vt:lpwstr>South Africa</vt:lpwstr>
  </property>
  <property fmtid="{D5CDD505-2E9C-101B-9397-08002B2CF9AE}" pid="9" name="countw">
    <vt:lpwstr>South Africa</vt:lpwstr>
  </property>
  <property fmtid="{D5CDD505-2E9C-101B-9397-08002B2CF9AE}" pid="10" name="countwd">
    <vt:lpwstr>South Africa</vt:lpwstr>
  </property>
  <property fmtid="{D5CDD505-2E9C-101B-9397-08002B2CF9AE}" pid="11" name="date">
    <vt:lpwstr>3 August 2026</vt:lpwstr>
  </property>
  <property fmtid="{D5CDD505-2E9C-101B-9397-08002B2CF9AE}" pid="12" name="Date-Generated">
    <vt:filetime>2026-07-13T04:57:57Z</vt:filetime>
  </property>
  <property fmtid="{D5CDD505-2E9C-101B-9397-08002B2CF9AE}" pid="13" name="dist">
    <vt:lpwstr>General</vt:lpwstr>
  </property>
  <property fmtid="{D5CDD505-2E9C-101B-9397-08002B2CF9AE}" pid="14" name="doctype">
    <vt:lpwstr>FInal</vt:lpwstr>
  </property>
  <property fmtid="{D5CDD505-2E9C-101B-9397-08002B2CF9AE}" pid="15" name="Entity">
    <vt:lpwstr>Country report</vt:lpwstr>
  </property>
  <property fmtid="{D5CDD505-2E9C-101B-9397-08002B2CF9AE}" pid="16" name="gdoc">
    <vt:lpwstr/>
  </property>
  <property fmtid="{D5CDD505-2E9C-101B-9397-08002B2CF9AE}" pid="17" name="gdocf">
    <vt:lpwstr/>
  </property>
  <property fmtid="{D5CDD505-2E9C-101B-9397-08002B2CF9AE}" pid="18" name="MediaServiceImageTags">
    <vt:lpwstr/>
  </property>
  <property fmtid="{D5CDD505-2E9C-101B-9397-08002B2CF9AE}" pid="19" name="Nmeet">
    <vt:lpwstr>Number</vt:lpwstr>
  </property>
  <property fmtid="{D5CDD505-2E9C-101B-9397-08002B2CF9AE}" pid="20" name="olang">
    <vt:lpwstr>English</vt:lpwstr>
  </property>
  <property fmtid="{D5CDD505-2E9C-101B-9397-08002B2CF9AE}" pid="21" name="Order">
    <vt:r8>159000</vt:r8>
  </property>
  <property fmtid="{D5CDD505-2E9C-101B-9397-08002B2CF9AE}" pid="22" name="Org">
    <vt:lpwstr>OHCHR</vt:lpwstr>
  </property>
  <property fmtid="{D5CDD505-2E9C-101B-9397-08002B2CF9AE}" pid="23" name="prep">
    <vt:lpwstr>sixth periodic report of South Africa</vt:lpwstr>
  </property>
  <property fmtid="{D5CDD505-2E9C-101B-9397-08002B2CF9AE}" pid="24" name="preps">
    <vt:lpwstr>sixth periodic report of South Africa</vt:lpwstr>
  </property>
  <property fmtid="{D5CDD505-2E9C-101B-9397-08002B2CF9AE}" pid="25" name="prepw">
    <vt:lpwstr>sixth periodic report</vt:lpwstr>
  </property>
  <property fmtid="{D5CDD505-2E9C-101B-9397-08002B2CF9AE}" pid="26" name="prepwc">
    <vt:lpwstr>Sixth periodic report </vt:lpwstr>
  </property>
  <property fmtid="{D5CDD505-2E9C-101B-9397-08002B2CF9AE}" pid="27" name="prepws">
    <vt:lpwstr>sixth periodic report</vt:lpwstr>
  </property>
  <property fmtid="{D5CDD505-2E9C-101B-9397-08002B2CF9AE}" pid="28" name="sdate">
    <vt:lpwstr>[Start-End Dates]</vt:lpwstr>
  </property>
  <property fmtid="{D5CDD505-2E9C-101B-9397-08002B2CF9AE}" pid="29" name="sloca">
    <vt:lpwstr>[Location]</vt:lpwstr>
  </property>
  <property fmtid="{D5CDD505-2E9C-101B-9397-08002B2CF9AE}" pid="30" name="snum">
    <vt:lpwstr>[NUMBER]</vt:lpwstr>
  </property>
  <property fmtid="{D5CDD505-2E9C-101B-9397-08002B2CF9AE}" pid="31" name="stitle">
    <vt:lpwstr>[Title]</vt:lpwstr>
  </property>
  <property fmtid="{D5CDD505-2E9C-101B-9397-08002B2CF9AE}" pid="32" name="sym1">
    <vt:lpwstr>C/ZAF/6</vt:lpwstr>
  </property>
  <property fmtid="{D5CDD505-2E9C-101B-9397-08002B2CF9AE}" pid="33" name="symh">
    <vt:lpwstr>CEDAW/C/ZAF/6</vt:lpwstr>
  </property>
  <property fmtid="{D5CDD505-2E9C-101B-9397-08002B2CF9AE}" pid="34" name="Title">
    <vt:lpwstr>CEDAW/C/ZAF/6</vt:lpwstr>
  </property>
  <property fmtid="{D5CDD505-2E9C-101B-9397-08002B2CF9AE}" pid="35" name="tlang">
    <vt:lpwstr/>
  </property>
  <property fmtid="{D5CDD505-2E9C-101B-9397-08002B2CF9AE}" pid="36" name="virs">
    <vt:lpwstr>English, French and Spanish only</vt:lpwstr>
  </property>
</Properties>
</file>