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327E35" w:rsidRPr="00327E35" w14:paraId="78568BD4" w14:textId="77777777" w:rsidTr="00562621">
        <w:trPr>
          <w:trHeight w:val="851"/>
        </w:trPr>
        <w:tc>
          <w:tcPr>
            <w:tcW w:w="1259" w:type="dxa"/>
            <w:tcBorders>
              <w:top w:val="nil"/>
              <w:left w:val="nil"/>
              <w:bottom w:val="single" w:sz="4" w:space="0" w:color="auto"/>
              <w:right w:val="nil"/>
            </w:tcBorders>
          </w:tcPr>
          <w:p w14:paraId="099BD712"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3A96874F" w14:textId="238E30FF"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3BD1BD43" w14:textId="64B6410A" w:rsidR="00446DE4" w:rsidRPr="00327E35" w:rsidRDefault="007E2674" w:rsidP="001E71DE">
            <w:pPr>
              <w:spacing w:after="120"/>
              <w:jc w:val="right"/>
              <w:rPr>
                <w:color w:val="000000" w:themeColor="text1"/>
                <w:sz w:val="28"/>
                <w:szCs w:val="28"/>
              </w:rPr>
            </w:pPr>
            <w:r w:rsidRPr="00327E35">
              <w:rPr>
                <w:color w:val="000000" w:themeColor="text1"/>
                <w:sz w:val="40"/>
              </w:rPr>
              <w:t>A</w:t>
            </w:r>
            <w:r w:rsidRPr="00327E35">
              <w:rPr>
                <w:color w:val="000000" w:themeColor="text1"/>
              </w:rPr>
              <w:t>/HRC/61/CRP.</w:t>
            </w:r>
            <w:r w:rsidR="00EB183F" w:rsidRPr="00327E35">
              <w:rPr>
                <w:color w:val="000000" w:themeColor="text1"/>
              </w:rPr>
              <w:t>5</w:t>
            </w:r>
          </w:p>
        </w:tc>
      </w:tr>
      <w:tr w:rsidR="003107FA" w14:paraId="473BEE9C" w14:textId="77777777" w:rsidTr="00562621">
        <w:trPr>
          <w:trHeight w:val="2835"/>
        </w:trPr>
        <w:tc>
          <w:tcPr>
            <w:tcW w:w="1259" w:type="dxa"/>
            <w:tcBorders>
              <w:top w:val="single" w:sz="4" w:space="0" w:color="auto"/>
              <w:left w:val="nil"/>
              <w:bottom w:val="single" w:sz="12" w:space="0" w:color="auto"/>
              <w:right w:val="nil"/>
            </w:tcBorders>
          </w:tcPr>
          <w:p w14:paraId="2B3F31B6" w14:textId="491D62F9"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3262E9F6" w14:textId="7F8269AF" w:rsidR="003107FA" w:rsidRPr="00756535" w:rsidRDefault="003107FA" w:rsidP="00562621">
            <w:pPr>
              <w:spacing w:before="120" w:line="420" w:lineRule="exact"/>
            </w:pPr>
          </w:p>
        </w:tc>
        <w:tc>
          <w:tcPr>
            <w:tcW w:w="2930" w:type="dxa"/>
            <w:tcBorders>
              <w:top w:val="single" w:sz="4" w:space="0" w:color="auto"/>
              <w:left w:val="nil"/>
              <w:bottom w:val="single" w:sz="12" w:space="0" w:color="auto"/>
              <w:right w:val="nil"/>
            </w:tcBorders>
          </w:tcPr>
          <w:p w14:paraId="2F650678" w14:textId="77777777" w:rsidR="00756535" w:rsidRDefault="00756535" w:rsidP="00756535">
            <w:pPr>
              <w:spacing w:before="240" w:line="240" w:lineRule="exact"/>
            </w:pPr>
          </w:p>
          <w:p w14:paraId="7CA79E9D" w14:textId="1461EE38" w:rsidR="00830F55" w:rsidRDefault="00756535" w:rsidP="0082200B">
            <w:pPr>
              <w:spacing w:line="240" w:lineRule="exact"/>
            </w:pPr>
            <w:r>
              <w:t>3</w:t>
            </w:r>
            <w:r w:rsidR="00E11C26">
              <w:t xml:space="preserve">0 </w:t>
            </w:r>
            <w:r>
              <w:t xml:space="preserve">April </w:t>
            </w:r>
            <w:r w:rsidR="0082200B">
              <w:t>2026</w:t>
            </w:r>
          </w:p>
          <w:p w14:paraId="2AA172E6" w14:textId="77777777" w:rsidR="00B52B68" w:rsidRDefault="00B52B68" w:rsidP="0082200B">
            <w:pPr>
              <w:spacing w:line="240" w:lineRule="exact"/>
            </w:pPr>
          </w:p>
          <w:p w14:paraId="17B649DA" w14:textId="31F77163" w:rsidR="0082200B" w:rsidRDefault="0082200B" w:rsidP="0082200B">
            <w:pPr>
              <w:spacing w:line="240" w:lineRule="exact"/>
            </w:pPr>
            <w:r>
              <w:t>English</w:t>
            </w:r>
            <w:r w:rsidR="00E11C26">
              <w:t xml:space="preserve"> only</w:t>
            </w:r>
          </w:p>
        </w:tc>
      </w:tr>
    </w:tbl>
    <w:p w14:paraId="423E4188" w14:textId="77777777" w:rsidR="003358F6" w:rsidRDefault="00E02814" w:rsidP="00756535">
      <w:pPr>
        <w:spacing w:before="120"/>
        <w:rPr>
          <w:b/>
          <w:bCs/>
          <w:sz w:val="24"/>
          <w:szCs w:val="24"/>
        </w:rPr>
      </w:pPr>
      <w:r w:rsidRPr="00E02814">
        <w:rPr>
          <w:b/>
          <w:bCs/>
          <w:sz w:val="24"/>
          <w:szCs w:val="24"/>
        </w:rPr>
        <w:t>Human Rights Council</w:t>
      </w:r>
    </w:p>
    <w:p w14:paraId="5C20348E" w14:textId="7A058EA5" w:rsidR="00E02814" w:rsidRPr="00E02814" w:rsidRDefault="00E02814" w:rsidP="00225C3C">
      <w:pPr>
        <w:spacing w:line="240" w:lineRule="auto"/>
        <w:rPr>
          <w:b/>
          <w:bCs/>
        </w:rPr>
      </w:pPr>
      <w:r w:rsidRPr="00E02814">
        <w:rPr>
          <w:b/>
          <w:bCs/>
        </w:rPr>
        <w:t>Sixty-first session</w:t>
      </w:r>
    </w:p>
    <w:p w14:paraId="5591510F" w14:textId="77777777" w:rsidR="00A069BC" w:rsidRDefault="00756535" w:rsidP="000311BD">
      <w:pPr>
        <w:pStyle w:val="HChG"/>
        <w:outlineLvl w:val="1"/>
      </w:pPr>
      <w:r>
        <w:tab/>
      </w:r>
      <w:r>
        <w:tab/>
      </w:r>
      <w:r w:rsidR="00776DDC" w:rsidRPr="00756535">
        <w:t>Forced displacement from territory of Ukraine occupied by the Russian Federation:</w:t>
      </w:r>
      <w:r w:rsidR="00360FA7" w:rsidRPr="00756535">
        <w:t xml:space="preserve"> </w:t>
      </w:r>
      <w:r w:rsidR="00486895" w:rsidRPr="00756535">
        <w:t>f</w:t>
      </w:r>
      <w:r w:rsidR="00776DDC" w:rsidRPr="00756535">
        <w:t>orcible transfer and deportation, barriers to return, and the rights of internally displaced persons</w:t>
      </w:r>
    </w:p>
    <w:p w14:paraId="00BA158B" w14:textId="10825106" w:rsidR="00830F55" w:rsidRPr="00EE1571" w:rsidRDefault="00A069BC" w:rsidP="000311BD">
      <w:pPr>
        <w:pStyle w:val="HChG"/>
        <w:outlineLvl w:val="1"/>
        <w:rPr>
          <w:sz w:val="24"/>
          <w:szCs w:val="24"/>
        </w:rPr>
      </w:pPr>
      <w:r w:rsidRPr="00EE1571">
        <w:rPr>
          <w:sz w:val="24"/>
          <w:szCs w:val="24"/>
        </w:rPr>
        <w:tab/>
      </w:r>
      <w:r w:rsidRPr="00EE1571">
        <w:rPr>
          <w:sz w:val="24"/>
          <w:szCs w:val="24"/>
        </w:rPr>
        <w:tab/>
      </w:r>
      <w:r w:rsidR="00776DDC" w:rsidRPr="00EE1571">
        <w:rPr>
          <w:sz w:val="24"/>
          <w:szCs w:val="24"/>
        </w:rPr>
        <w:t>24 February 2022-31 December 2025</w:t>
      </w:r>
      <w:r w:rsidR="00756535" w:rsidRPr="00EE1571">
        <w:rPr>
          <w:b w:val="0"/>
          <w:bCs/>
          <w:sz w:val="24"/>
          <w:szCs w:val="24"/>
        </w:rPr>
        <w:footnoteReference w:customMarkFollows="1" w:id="2"/>
        <w:t>*</w:t>
      </w:r>
    </w:p>
    <w:p w14:paraId="09301144" w14:textId="175181BB" w:rsidR="004109B8" w:rsidRPr="000568B8" w:rsidRDefault="0073367B" w:rsidP="00756535">
      <w:pPr>
        <w:ind w:left="1134" w:right="1134"/>
        <w:rPr>
          <w:b/>
          <w:bCs/>
          <w:sz w:val="24"/>
          <w:szCs w:val="24"/>
        </w:rPr>
      </w:pPr>
      <w:r w:rsidRPr="000568B8">
        <w:rPr>
          <w:b/>
          <w:bCs/>
          <w:sz w:val="24"/>
          <w:szCs w:val="24"/>
        </w:rPr>
        <w:t xml:space="preserve">Office of the </w:t>
      </w:r>
      <w:r w:rsidR="00486895" w:rsidRPr="000568B8">
        <w:rPr>
          <w:b/>
          <w:bCs/>
          <w:sz w:val="24"/>
          <w:szCs w:val="24"/>
        </w:rPr>
        <w:t xml:space="preserve">United Nations </w:t>
      </w:r>
      <w:r w:rsidRPr="000568B8">
        <w:rPr>
          <w:b/>
          <w:bCs/>
          <w:sz w:val="24"/>
          <w:szCs w:val="24"/>
        </w:rPr>
        <w:t>High Commissioner for Human Rights</w:t>
      </w:r>
    </w:p>
    <w:p w14:paraId="6EF9C973" w14:textId="37DBA79D" w:rsidR="00776DDC" w:rsidRPr="0061094D" w:rsidRDefault="00776DDC" w:rsidP="00776DDC">
      <w:pPr>
        <w:spacing w:after="120" w:line="240" w:lineRule="auto"/>
      </w:pPr>
    </w:p>
    <w:p w14:paraId="7FB22E05" w14:textId="77777777" w:rsidR="00776DDC" w:rsidRDefault="00776DDC" w:rsidP="00776DDC">
      <w:pPr>
        <w:rPr>
          <w:b/>
        </w:rPr>
      </w:pPr>
      <w:bookmarkStart w:id="0" w:name="_Toc219281382"/>
      <w:r>
        <w:br w:type="page"/>
      </w:r>
    </w:p>
    <w:p w14:paraId="719C6FB9" w14:textId="1C7582F4" w:rsidR="00776DDC" w:rsidRPr="002319DC" w:rsidRDefault="008D0087" w:rsidP="004F4ED9">
      <w:pPr>
        <w:pStyle w:val="HChG"/>
      </w:pPr>
      <w:r>
        <w:lastRenderedPageBreak/>
        <w:tab/>
        <w:t>I.</w:t>
      </w:r>
      <w:r>
        <w:tab/>
      </w:r>
      <w:r w:rsidR="00776DDC" w:rsidRPr="002319DC">
        <w:t xml:space="preserve">Executive </w:t>
      </w:r>
      <w:r w:rsidR="007A0B2F">
        <w:t>s</w:t>
      </w:r>
      <w:r w:rsidR="00776DDC" w:rsidRPr="002319DC">
        <w:t>ummary</w:t>
      </w:r>
      <w:bookmarkEnd w:id="0"/>
    </w:p>
    <w:p w14:paraId="4D53F026" w14:textId="77777777" w:rsidR="00A215BC" w:rsidRDefault="001D2B99" w:rsidP="008D0087">
      <w:pPr>
        <w:pStyle w:val="SingleTxtG"/>
      </w:pPr>
      <w:r>
        <w:t>1.</w:t>
      </w:r>
      <w:r>
        <w:tab/>
      </w:r>
      <w:r w:rsidR="00776DDC" w:rsidRPr="002319DC">
        <w:t xml:space="preserve">This thematic report by the Office of the United Nations High Commissioner for Human Rights (OHCHR) </w:t>
      </w:r>
      <w:r w:rsidR="00776DDC">
        <w:t>documents the direct and indirect forcible transfers and deportations of persons from territory occupied by the Russian Federation, barriers for displaced persons to return to occupied territory, and the limitations in the ability of people displaced from occupied territory to fully exercise their rights in territory controlled by the Government of Ukraine. It covers the period 24 February 2022 to 31 December 2025.</w:t>
      </w:r>
    </w:p>
    <w:p w14:paraId="047208EF" w14:textId="0BF4E723" w:rsidR="00776DDC" w:rsidRPr="002319DC" w:rsidRDefault="001D2B99" w:rsidP="008D0087">
      <w:pPr>
        <w:pStyle w:val="SingleTxtG"/>
      </w:pPr>
      <w:r>
        <w:t>2.</w:t>
      </w:r>
      <w:r>
        <w:tab/>
      </w:r>
      <w:r w:rsidR="00776DDC" w:rsidRPr="002319DC">
        <w:t>Th</w:t>
      </w:r>
      <w:r w:rsidR="00776DDC">
        <w:t>e</w:t>
      </w:r>
      <w:r w:rsidR="00776DDC" w:rsidRPr="002319DC">
        <w:t xml:space="preserve"> </w:t>
      </w:r>
      <w:r w:rsidR="00776DDC" w:rsidRPr="00F44460">
        <w:t xml:space="preserve">report </w:t>
      </w:r>
      <w:r w:rsidR="00776DDC">
        <w:t>assess</w:t>
      </w:r>
      <w:r w:rsidR="00776DDC" w:rsidRPr="00F44460">
        <w:t>es conduct</w:t>
      </w:r>
      <w:r w:rsidR="00776DDC" w:rsidRPr="002319DC">
        <w:t xml:space="preserve"> </w:t>
      </w:r>
      <w:r w:rsidR="00776DDC" w:rsidRPr="00D70B7E">
        <w:t>that may amount to forcible transfer or deportation under international humanitarian law</w:t>
      </w:r>
      <w:r w:rsidR="00776DDC">
        <w:t xml:space="preserve"> (IHL)</w:t>
      </w:r>
      <w:r w:rsidR="00776DDC" w:rsidRPr="00D70B7E">
        <w:t xml:space="preserve">, </w:t>
      </w:r>
      <w:r w:rsidR="00776DDC" w:rsidRPr="0002171D">
        <w:t xml:space="preserve">distinct from displacement caused directly by active hostilities. While many civilians fled fighting </w:t>
      </w:r>
      <w:r w:rsidR="00776DDC">
        <w:t xml:space="preserve">moving </w:t>
      </w:r>
      <w:r w:rsidR="00776DDC" w:rsidRPr="0002171D">
        <w:t>both internally within Ukraine and externally, the report</w:t>
      </w:r>
      <w:r w:rsidR="00776DDC" w:rsidRPr="000F1E0D">
        <w:t xml:space="preserve"> focuses on displacement resulting from </w:t>
      </w:r>
      <w:r w:rsidR="00776DDC" w:rsidRPr="002319DC">
        <w:t xml:space="preserve">widespread and systematic discriminatory measures </w:t>
      </w:r>
      <w:r w:rsidR="00776DDC">
        <w:t>imposed</w:t>
      </w:r>
      <w:r w:rsidR="00776DDC" w:rsidRPr="002319DC">
        <w:t xml:space="preserve"> by the occupying authorities, </w:t>
      </w:r>
      <w:r w:rsidR="00776DDC" w:rsidRPr="000F1E0D">
        <w:t xml:space="preserve">which deprived civilians of any genuine choice to </w:t>
      </w:r>
      <w:r w:rsidR="00776DDC">
        <w:t xml:space="preserve">remain in or </w:t>
      </w:r>
      <w:r w:rsidR="00776DDC" w:rsidRPr="000F1E0D">
        <w:t>return</w:t>
      </w:r>
      <w:r w:rsidR="00776DDC">
        <w:t xml:space="preserve"> to occupied territory</w:t>
      </w:r>
      <w:r w:rsidR="00776DDC" w:rsidRPr="002319DC">
        <w:t>.</w:t>
      </w:r>
      <w:r w:rsidR="00776DDC">
        <w:t xml:space="preserve"> </w:t>
      </w:r>
      <w:r w:rsidR="00776DDC" w:rsidRPr="00764FB2">
        <w:t>These measures were enforced through threats, detention, torture and ill-treatment, and prosecution under laws inconsistent with IHL and international human rights law (IHRL)</w:t>
      </w:r>
      <w:r w:rsidR="00776DDC">
        <w:t xml:space="preserve"> and </w:t>
      </w:r>
      <w:r w:rsidR="00776DDC" w:rsidRPr="00033553">
        <w:t>had a discriminatory effect on specific groups of the population</w:t>
      </w:r>
      <w:r w:rsidR="00776DDC" w:rsidRPr="00764FB2">
        <w:t xml:space="preserve">. </w:t>
      </w:r>
      <w:r w:rsidR="00776DDC" w:rsidRPr="002A3A36">
        <w:t xml:space="preserve">Those affected face </w:t>
      </w:r>
      <w:r w:rsidR="00776DDC" w:rsidRPr="002D55C9">
        <w:t>specific vulnerabilities</w:t>
      </w:r>
      <w:r w:rsidR="00776DDC" w:rsidRPr="002A3A36">
        <w:t xml:space="preserve"> compared with persons </w:t>
      </w:r>
      <w:r w:rsidR="00776DDC" w:rsidRPr="002D55C9">
        <w:t>displaced solely by hostilities</w:t>
      </w:r>
      <w:r w:rsidR="00776DDC" w:rsidRPr="002A3A36">
        <w:t>, in particular a heightened risk of protracted displacement.</w:t>
      </w:r>
    </w:p>
    <w:p w14:paraId="635F7321" w14:textId="77777777" w:rsidR="00A215BC" w:rsidRDefault="001D2B99" w:rsidP="008D0087">
      <w:pPr>
        <w:pStyle w:val="SingleTxtG"/>
      </w:pPr>
      <w:r>
        <w:t>3.</w:t>
      </w:r>
      <w:r>
        <w:tab/>
      </w:r>
      <w:r w:rsidR="00776DDC" w:rsidRPr="002319DC">
        <w:t xml:space="preserve">The report documents </w:t>
      </w:r>
      <w:r w:rsidR="00776DDC" w:rsidRPr="00017F97">
        <w:t>forcible transfers and deportations of</w:t>
      </w:r>
      <w:r w:rsidR="00776DDC" w:rsidRPr="002319DC">
        <w:t xml:space="preserve"> </w:t>
      </w:r>
      <w:r w:rsidR="00776DDC">
        <w:t>individuals</w:t>
      </w:r>
      <w:r w:rsidR="00776DDC" w:rsidRPr="002319DC">
        <w:t xml:space="preserve"> perceived </w:t>
      </w:r>
      <w:r w:rsidR="00776DDC">
        <w:t xml:space="preserve">by the occupying authorities as disloyal or non-compliant with imposed policies, including through the peaceful and lawful expression of identity or refusal to adhere to unlawful requirements. </w:t>
      </w:r>
      <w:r w:rsidR="00776DDC" w:rsidRPr="002319DC">
        <w:t xml:space="preserve">It </w:t>
      </w:r>
      <w:r w:rsidR="00776DDC">
        <w:t>further analyses</w:t>
      </w:r>
      <w:r w:rsidR="00776DDC" w:rsidRPr="002319DC">
        <w:t xml:space="preserve"> how legal and administrative policies in occupied </w:t>
      </w:r>
      <w:r w:rsidR="00776DDC">
        <w:t>areas</w:t>
      </w:r>
      <w:r w:rsidR="00776DDC" w:rsidRPr="002319DC">
        <w:t xml:space="preserve"> created coercive conditions that compelled civilians to leave and </w:t>
      </w:r>
      <w:r w:rsidR="00776DDC">
        <w:t>impeded</w:t>
      </w:r>
      <w:r w:rsidR="00776DDC" w:rsidRPr="002319DC">
        <w:t xml:space="preserve"> their return.</w:t>
      </w:r>
    </w:p>
    <w:p w14:paraId="41E32A76" w14:textId="77777777" w:rsidR="00A215BC" w:rsidRDefault="001D2B99" w:rsidP="008D0087">
      <w:pPr>
        <w:pStyle w:val="SingleTxtG"/>
      </w:pPr>
      <w:r>
        <w:t>4.</w:t>
      </w:r>
      <w:r>
        <w:tab/>
      </w:r>
      <w:r w:rsidR="00776DDC" w:rsidRPr="00C87E42">
        <w:t>Displaced persons have a right to voluntary return in safety and with dignity to their homes or places of habitual residence. For these people – independently of the reason for their initial displacement – the occupying authorities’ policies and practices constitute significant barriers to return. For many, the choice is between accepting violations of their fundamental rights, or to not return at all. Extensive confiscation of private property belonging to displaced people make return even more difficult, and restrictions and bans on entry to the occupied territory block return entirely.</w:t>
      </w:r>
    </w:p>
    <w:p w14:paraId="36A61711" w14:textId="365DA72D" w:rsidR="00776DDC" w:rsidRDefault="001D2B99" w:rsidP="008D0087">
      <w:pPr>
        <w:pStyle w:val="SingleTxtG"/>
      </w:pPr>
      <w:r>
        <w:t>5.</w:t>
      </w:r>
      <w:r>
        <w:tab/>
      </w:r>
      <w:r w:rsidR="00776DDC">
        <w:t>C</w:t>
      </w:r>
      <w:r w:rsidR="00776DDC" w:rsidRPr="002319DC">
        <w:t xml:space="preserve">ompared to </w:t>
      </w:r>
      <w:r w:rsidR="00776DDC">
        <w:t>persons</w:t>
      </w:r>
      <w:r w:rsidR="00776DDC" w:rsidRPr="002319DC">
        <w:t xml:space="preserve"> forcibly displaced within </w:t>
      </w:r>
      <w:r w:rsidR="00776DDC">
        <w:t>G</w:t>
      </w:r>
      <w:r w:rsidR="00776DDC" w:rsidRPr="002319DC">
        <w:t>overnment</w:t>
      </w:r>
      <w:r w:rsidR="00776DDC">
        <w:t>-controlled territory,</w:t>
      </w:r>
      <w:r w:rsidR="00776DDC" w:rsidRPr="002319DC">
        <w:t xml:space="preserve"> </w:t>
      </w:r>
      <w:r w:rsidR="00776DDC">
        <w:t>internally displaced persons (IDPs)</w:t>
      </w:r>
      <w:r w:rsidR="00776DDC" w:rsidRPr="002319DC">
        <w:t xml:space="preserve"> arriving from occupied territory faced specific barriers to the full exercise of their rights. Gaps in civil documentation, non-recognition of education credentials or work history, and limited access to housing compensation, often due to rules and procedures not adapted to the realities of occupation, created cumulative disadvantages. People-centred recovery planning requires closing </w:t>
      </w:r>
      <w:r w:rsidR="00776DDC">
        <w:t>these</w:t>
      </w:r>
      <w:r w:rsidR="00776DDC" w:rsidRPr="002319DC">
        <w:t xml:space="preserve"> gaps to ensure equal access to services, regardless of place of origin.</w:t>
      </w:r>
    </w:p>
    <w:p w14:paraId="6607AC56" w14:textId="62A075F7" w:rsidR="00776DDC" w:rsidRPr="002319DC" w:rsidRDefault="001D2B99" w:rsidP="005A4468">
      <w:pPr>
        <w:pStyle w:val="SingleTxtG"/>
      </w:pPr>
      <w:r>
        <w:t>6.</w:t>
      </w:r>
      <w:r>
        <w:tab/>
      </w:r>
      <w:r w:rsidR="00776DDC" w:rsidRPr="00033553">
        <w:t xml:space="preserve">The Russian Federation should discontinue all policies and practices that are not in line with </w:t>
      </w:r>
      <w:r w:rsidR="00776DDC">
        <w:t>IHL and IHRL</w:t>
      </w:r>
      <w:r w:rsidR="00776DDC" w:rsidRPr="00033553">
        <w:t xml:space="preserve"> and remove barriers to return for people who have been displaced, irrespective of their nationality, political opinion, cultural identity, religious affiliation or sexual orientation. The international community should ensure that peace negotiations include the meaningful consideration of the situations and interests of displaced persons and address specifically their voluntary, safe and dignified return to places of origin in occupied territory, with full respect for their human rights and international humanitarian law. In the meantime, Ukrainian authorities must implement targeted measures to protect the rights of persons displaced from occupied territory, meet their specific needs, and ensure their access to durable solutions, particularly local integration.</w:t>
      </w:r>
    </w:p>
    <w:p w14:paraId="4D90D91E" w14:textId="77777777" w:rsidR="00A215BC" w:rsidRDefault="00F054BA" w:rsidP="00F054BA">
      <w:pPr>
        <w:pStyle w:val="HChG"/>
      </w:pPr>
      <w:bookmarkStart w:id="1" w:name="_Toc219281383"/>
      <w:r>
        <w:lastRenderedPageBreak/>
        <w:tab/>
        <w:t>II.</w:t>
      </w:r>
      <w:r>
        <w:tab/>
      </w:r>
      <w:r w:rsidR="00776DDC" w:rsidRPr="0061094D">
        <w:t>Methodology</w:t>
      </w:r>
      <w:bookmarkEnd w:id="1"/>
    </w:p>
    <w:p w14:paraId="62984C54" w14:textId="77777777" w:rsidR="00A215BC" w:rsidRDefault="00B37230" w:rsidP="00B37230">
      <w:pPr>
        <w:pStyle w:val="SingleTxtG"/>
      </w:pPr>
      <w:r>
        <w:t>7.</w:t>
      </w:r>
      <w:r>
        <w:tab/>
      </w:r>
      <w:r w:rsidR="00776DDC" w:rsidRPr="002E1F5F">
        <w:t xml:space="preserve">In preparing the report, </w:t>
      </w:r>
      <w:r w:rsidR="00776DDC">
        <w:t>OHCHR</w:t>
      </w:r>
      <w:r w:rsidR="00776DDC" w:rsidRPr="0061094D">
        <w:rPr>
          <w:rStyle w:val="FootnoteReference"/>
        </w:rPr>
        <w:footnoteReference w:id="3"/>
      </w:r>
      <w:r w:rsidR="00776DDC">
        <w:t xml:space="preserve"> </w:t>
      </w:r>
      <w:r w:rsidR="00776DDC" w:rsidRPr="002E1F5F">
        <w:t xml:space="preserve">conducted firsthand interviews with persons displaced from occupied territory, supplemented by </w:t>
      </w:r>
      <w:r w:rsidR="00776DDC">
        <w:t xml:space="preserve">remotely conducted </w:t>
      </w:r>
      <w:r w:rsidR="00776DDC" w:rsidRPr="002E1F5F">
        <w:t xml:space="preserve">interviews with persons living in occupied territory and with those travelling between occupied territory and </w:t>
      </w:r>
      <w:r w:rsidR="00776DDC">
        <w:t>G</w:t>
      </w:r>
      <w:r w:rsidR="00776DDC" w:rsidRPr="002E1F5F">
        <w:t>overnment-controlled areas of Ukraine.</w:t>
      </w:r>
      <w:r w:rsidR="00776DDC">
        <w:t xml:space="preserve"> In-person interviews were conducted in Government-controlled areas of Ukraine. OHCHR also conducted</w:t>
      </w:r>
      <w:r w:rsidR="00776DDC" w:rsidRPr="002E1F5F">
        <w:t xml:space="preserve"> </w:t>
      </w:r>
      <w:r w:rsidR="00776DDC">
        <w:t>a</w:t>
      </w:r>
      <w:r w:rsidR="00776DDC" w:rsidRPr="002E1F5F">
        <w:t xml:space="preserve"> systematic review and analysis of laws, policies, decrees, administrative acts and regulations, as well as public statements issued by the occupying authorities of the Russian Federation in occupied territory</w:t>
      </w:r>
      <w:r w:rsidR="00776DDC">
        <w:t xml:space="preserve"> of Ukraine</w:t>
      </w:r>
      <w:r w:rsidR="00776DDC" w:rsidRPr="002E1F5F">
        <w:t>, as published by official sources.</w:t>
      </w:r>
    </w:p>
    <w:p w14:paraId="33D26673" w14:textId="77777777" w:rsidR="00A215BC" w:rsidRDefault="00B37230" w:rsidP="00B37230">
      <w:pPr>
        <w:pStyle w:val="SingleTxtG"/>
      </w:pPr>
      <w:r>
        <w:t>8.</w:t>
      </w:r>
      <w:r>
        <w:tab/>
      </w:r>
      <w:r w:rsidR="00776DDC" w:rsidRPr="0061094D">
        <w:t xml:space="preserve">Since </w:t>
      </w:r>
      <w:r w:rsidR="00776DDC">
        <w:t>February 2022</w:t>
      </w:r>
      <w:r w:rsidR="00776DDC" w:rsidRPr="0061094D">
        <w:t xml:space="preserve">, </w:t>
      </w:r>
      <w:r w:rsidR="00776DDC">
        <w:t>OHCHR</w:t>
      </w:r>
      <w:r w:rsidR="00776DDC" w:rsidRPr="0061094D">
        <w:t xml:space="preserve"> has </w:t>
      </w:r>
      <w:r w:rsidR="00776DDC" w:rsidRPr="002E1F5F">
        <w:t xml:space="preserve">carried out </w:t>
      </w:r>
      <w:r w:rsidR="00776DDC">
        <w:t>420</w:t>
      </w:r>
      <w:r w:rsidR="00776DDC" w:rsidRPr="002E1F5F">
        <w:t xml:space="preserve"> field visits, </w:t>
      </w:r>
      <w:r w:rsidR="00776DDC">
        <w:t>147</w:t>
      </w:r>
      <w:r w:rsidR="00776DDC" w:rsidRPr="002E1F5F">
        <w:t xml:space="preserve"> visits to transit centres and collective centres for IDPs, and interviewed </w:t>
      </w:r>
      <w:r w:rsidR="00776DDC">
        <w:t>4255</w:t>
      </w:r>
      <w:r w:rsidR="00776DDC" w:rsidRPr="002E1F5F">
        <w:rPr>
          <w:rStyle w:val="FootnoteReference"/>
        </w:rPr>
        <w:footnoteReference w:id="4"/>
      </w:r>
      <w:r w:rsidR="00776DDC" w:rsidRPr="002E1F5F">
        <w:t xml:space="preserve"> victims and witnesses of alleged violations of</w:t>
      </w:r>
      <w:r w:rsidR="00776DDC">
        <w:t xml:space="preserve"> IHRL and IHL</w:t>
      </w:r>
      <w:r w:rsidR="00776DDC" w:rsidRPr="002E1F5F">
        <w:t xml:space="preserve">, as well as their relatives and lawyers, Government officials, members of civil society and other interlocutors with direct knowledge of the human rights situation in occupied territory. </w:t>
      </w:r>
      <w:r w:rsidR="00776DDC">
        <w:t>OHCHR further conducted a systematic review and analysis of Ukrainian laws, policies, administrative acts and regulations related to the protection of IDPs, with a particular focus on those from occupied territory.</w:t>
      </w:r>
    </w:p>
    <w:p w14:paraId="204F67E8" w14:textId="50DFC697" w:rsidR="00776DDC" w:rsidRPr="002E1F5F" w:rsidRDefault="00B37230" w:rsidP="00B37230">
      <w:pPr>
        <w:pStyle w:val="SingleTxtG"/>
      </w:pPr>
      <w:r>
        <w:t>9.</w:t>
      </w:r>
      <w:r>
        <w:tab/>
      </w:r>
      <w:r w:rsidR="00776DDC" w:rsidRPr="002E1F5F">
        <w:t>Findings included in the report meet the “reasonable grounds to believe” standard, namely where, based on a body of verified information, an ordinarily prudent observer would have reasonable grounds to believe that the facts took place as described, and where legal conclusions are drawn, that these facts meet all the elements of a violation.</w:t>
      </w:r>
    </w:p>
    <w:p w14:paraId="6FA228F2" w14:textId="77777777" w:rsidR="00A215BC" w:rsidRDefault="00B37230" w:rsidP="00B37230">
      <w:pPr>
        <w:pStyle w:val="SingleTxtG"/>
      </w:pPr>
      <w:r>
        <w:t>10.</w:t>
      </w:r>
      <w:r>
        <w:tab/>
      </w:r>
      <w:r w:rsidR="00776DDC" w:rsidRPr="002E1F5F">
        <w:t>OHCHR abided strictly by the obligations to ‘do no harm’ and respect informed consent of all sources, including by taking measures to safeguard the confidentiality of information and protect the identity of sources. Contact with interlocutors was established only after assessing the risks for their life, safety, freedom or well-being, and interviews were conducted in a trauma-informed manner.</w:t>
      </w:r>
    </w:p>
    <w:p w14:paraId="606BDC01" w14:textId="7AD8F0FE" w:rsidR="00776DDC" w:rsidRPr="002E1F5F" w:rsidRDefault="00B37230" w:rsidP="00B37230">
      <w:pPr>
        <w:pStyle w:val="SingleTxtG"/>
      </w:pPr>
      <w:r>
        <w:t>11.</w:t>
      </w:r>
      <w:r>
        <w:tab/>
      </w:r>
      <w:r w:rsidR="00776DDC" w:rsidRPr="002E1F5F">
        <w:t xml:space="preserve">The Russian Federation has not granted OHCHR access to occupied territory and OHCHR reiterates its request for </w:t>
      </w:r>
      <w:r w:rsidR="00776DDC">
        <w:t>safe, secure and unhindered</w:t>
      </w:r>
      <w:r w:rsidR="00776DDC" w:rsidRPr="002E1F5F">
        <w:t xml:space="preserve"> access to occupied territory, in line with resolution 80/223 (2025) of the General Assembly.</w:t>
      </w:r>
    </w:p>
    <w:p w14:paraId="18469888" w14:textId="77777777" w:rsidR="00A215BC" w:rsidRDefault="004D0C81" w:rsidP="004D0C81">
      <w:pPr>
        <w:pStyle w:val="HChG"/>
      </w:pPr>
      <w:bookmarkStart w:id="2" w:name="_Toc219281384"/>
      <w:r>
        <w:tab/>
        <w:t>III.</w:t>
      </w:r>
      <w:r>
        <w:tab/>
      </w:r>
      <w:r w:rsidR="00776DDC" w:rsidRPr="0061094D">
        <w:t>Legal Framework</w:t>
      </w:r>
      <w:bookmarkEnd w:id="2"/>
    </w:p>
    <w:p w14:paraId="5A86EEEB" w14:textId="05F4B814" w:rsidR="00776DDC" w:rsidRPr="002E1F5F" w:rsidRDefault="003C1E1F" w:rsidP="00AD2F9E">
      <w:pPr>
        <w:pStyle w:val="SingleTxtG"/>
      </w:pPr>
      <w:r>
        <w:t>12.</w:t>
      </w:r>
      <w:r>
        <w:tab/>
      </w:r>
      <w:r w:rsidR="00776DDC" w:rsidRPr="002E1F5F">
        <w:t xml:space="preserve">The Russian Federation and Ukraine are bound by both </w:t>
      </w:r>
      <w:r w:rsidR="00776DDC" w:rsidRPr="2D53E0CF">
        <w:t>IHRL</w:t>
      </w:r>
      <w:r w:rsidR="00776DDC">
        <w:t xml:space="preserve"> and </w:t>
      </w:r>
      <w:r w:rsidR="00776DDC" w:rsidRPr="2D53E0CF">
        <w:t>IHL</w:t>
      </w:r>
      <w:r w:rsidR="00776DDC" w:rsidRPr="002E1F5F">
        <w:t>, which apply concurrently in armed conflict and are complementary and mutually reinforcing.</w:t>
      </w:r>
    </w:p>
    <w:p w14:paraId="770B427B" w14:textId="77777777" w:rsidR="00A215BC" w:rsidRDefault="003C1E1F" w:rsidP="00AD2F9E">
      <w:pPr>
        <w:pStyle w:val="SingleTxtG"/>
        <w:rPr>
          <w:vertAlign w:val="superscript"/>
        </w:rPr>
      </w:pPr>
      <w:r>
        <w:t>13.</w:t>
      </w:r>
      <w:r>
        <w:tab/>
      </w:r>
      <w:r w:rsidR="00776DDC">
        <w:t>The nature and scope of the powers and duties of an occupying power under IHL is premised on the assumption that occupation is a temporary situation to respond to military necessity and does not transfer title of sovereignty to the occupying Power.</w:t>
      </w:r>
      <w:r w:rsidR="00776DDC">
        <w:rPr>
          <w:rStyle w:val="FootnoteReference"/>
        </w:rPr>
        <w:footnoteReference w:id="5"/>
      </w:r>
      <w:r w:rsidR="00776DDC">
        <w:t xml:space="preserve"> The occupying Power is required to respect the existing laws and institutions of the occupied territory as far as possible and may not introduce far-reaching changes to the existing order or intrinsic characteristics of the occupied territory.</w:t>
      </w:r>
      <w:r w:rsidR="00776DDC" w:rsidRPr="3A231B56">
        <w:rPr>
          <w:rStyle w:val="FootnoteReference"/>
        </w:rPr>
        <w:footnoteReference w:id="6"/>
      </w:r>
      <w:r w:rsidR="00776DDC">
        <w:t xml:space="preserve"> </w:t>
      </w:r>
      <w:r w:rsidR="00776DDC" w:rsidRPr="002E1F5F">
        <w:t xml:space="preserve">Under </w:t>
      </w:r>
      <w:r w:rsidR="00776DDC">
        <w:t>IHRL</w:t>
      </w:r>
      <w:r w:rsidR="00776DDC" w:rsidRPr="002E1F5F">
        <w:t>, human rights obligations of States apply extraterritorially in all circumstances where they exercise jurisdiction or effective control, including in occupied territory.</w:t>
      </w:r>
      <w:r w:rsidR="00776DDC" w:rsidRPr="002E5364">
        <w:rPr>
          <w:rStyle w:val="FootnoteReference"/>
        </w:rPr>
        <w:footnoteReference w:id="7"/>
      </w:r>
    </w:p>
    <w:p w14:paraId="5A793D7E" w14:textId="77777777" w:rsidR="00A215BC" w:rsidRDefault="00A22676" w:rsidP="00AD2F9E">
      <w:pPr>
        <w:pStyle w:val="SingleTxtG"/>
      </w:pPr>
      <w:r>
        <w:lastRenderedPageBreak/>
        <w:t>14.</w:t>
      </w:r>
      <w:r>
        <w:tab/>
      </w:r>
      <w:r w:rsidR="00776DDC" w:rsidRPr="00E2078C">
        <w:t xml:space="preserve">The forcible removal of protected persons from occupied territory, whether individually or </w:t>
      </w:r>
      <w:proofErr w:type="spellStart"/>
      <w:r w:rsidR="00776DDC" w:rsidRPr="00E2078C">
        <w:rPr>
          <w:i/>
          <w:iCs/>
        </w:rPr>
        <w:t>en</w:t>
      </w:r>
      <w:proofErr w:type="spellEnd"/>
      <w:r w:rsidR="00776DDC" w:rsidRPr="00E2078C">
        <w:rPr>
          <w:i/>
          <w:iCs/>
        </w:rPr>
        <w:t xml:space="preserve"> masse</w:t>
      </w:r>
      <w:r w:rsidR="00776DDC" w:rsidRPr="00E2078C">
        <w:t xml:space="preserve"> and regardless of the destination, is prohibited</w:t>
      </w:r>
      <w:r w:rsidR="00776DDC">
        <w:t xml:space="preserve"> under IHL</w:t>
      </w:r>
      <w:r w:rsidR="00776DDC" w:rsidRPr="00E2078C">
        <w:t>.</w:t>
      </w:r>
      <w:r w:rsidR="00776DDC" w:rsidRPr="002E1F5F">
        <w:rPr>
          <w:rStyle w:val="FootnoteReference"/>
        </w:rPr>
        <w:footnoteReference w:id="8"/>
      </w:r>
      <w:r w:rsidR="00776DDC" w:rsidRPr="00E2078C">
        <w:t xml:space="preserve"> The only exceptions are evacuations for the security of the population or imperative military reasons.</w:t>
      </w:r>
      <w:r w:rsidR="00776DDC" w:rsidRPr="002E1F5F">
        <w:rPr>
          <w:rStyle w:val="FootnoteReference"/>
        </w:rPr>
        <w:footnoteReference w:id="9"/>
      </w:r>
      <w:r w:rsidR="00776DDC">
        <w:t xml:space="preserve"> </w:t>
      </w:r>
      <w:r w:rsidR="00776DDC" w:rsidRPr="00E2078C">
        <w:t xml:space="preserve">Forcible </w:t>
      </w:r>
      <w:r w:rsidR="00776DDC" w:rsidRPr="004C633F">
        <w:t>transfer or deportation can be d</w:t>
      </w:r>
      <w:r w:rsidR="00776DDC" w:rsidRPr="00E2078C">
        <w:t xml:space="preserve">irect, such as when a </w:t>
      </w:r>
      <w:r w:rsidR="00776DDC">
        <w:t>p</w:t>
      </w:r>
      <w:r w:rsidR="00776DDC" w:rsidRPr="00E2078C">
        <w:t xml:space="preserve">arty to a conflict orders </w:t>
      </w:r>
      <w:r w:rsidR="00776DDC">
        <w:t xml:space="preserve">it </w:t>
      </w:r>
      <w:r w:rsidR="00776DDC" w:rsidRPr="00E2078C">
        <w:t>or is directly involved in organizing or carrying it out.</w:t>
      </w:r>
      <w:r w:rsidR="00776DDC">
        <w:rPr>
          <w:rStyle w:val="FootnoteReference"/>
        </w:rPr>
        <w:footnoteReference w:id="10"/>
      </w:r>
      <w:r w:rsidR="00776DDC" w:rsidRPr="00E2078C">
        <w:t xml:space="preserve"> It can also be indirect – when a </w:t>
      </w:r>
      <w:r w:rsidR="00776DDC">
        <w:t>p</w:t>
      </w:r>
      <w:r w:rsidR="00776DDC" w:rsidRPr="00E2078C">
        <w:t xml:space="preserve">arty commits violations of </w:t>
      </w:r>
      <w:r w:rsidR="00776DDC">
        <w:t>IHRL or IHL</w:t>
      </w:r>
      <w:r w:rsidR="00776DDC" w:rsidRPr="00E2078C">
        <w:t xml:space="preserve"> that have the effect of depriving the population of any genuine choice to remain</w:t>
      </w:r>
      <w:r w:rsidR="00776DDC">
        <w:t xml:space="preserve">, for example by unlawfully destroying houses or imposing collective punishments, or by imposing severe living conditions that leave the persons concerned with no genuine choice. It can also be effected </w:t>
      </w:r>
      <w:r w:rsidR="00776DDC" w:rsidRPr="00E2078C">
        <w:t>through acts deliberately aimed at preventing or impeding the return of the population.</w:t>
      </w:r>
      <w:r w:rsidR="00776DDC">
        <w:t xml:space="preserve"> For example, depending on the circumstances, it could be inferred from the demolition of the private homes of displaced persons that the displacing Party does not intend those persons to return. The prohibition against forcible transfer or deportation, as contained in Article 49(1) of the Fourth Geneva Convention excludes only truly voluntary departures that are the expression of an individual’s ‘genuine choice’ or ‘free will’, which must be determined on a case-by-case basis, taking into account all relevant circumstances.</w:t>
      </w:r>
      <w:r w:rsidR="00776DDC" w:rsidRPr="00BA1754">
        <w:rPr>
          <w:rStyle w:val="FootnoteReference"/>
        </w:rPr>
        <w:t xml:space="preserve"> </w:t>
      </w:r>
      <w:r w:rsidR="00776DDC" w:rsidRPr="002E1F5F">
        <w:rPr>
          <w:rStyle w:val="FootnoteReference"/>
        </w:rPr>
        <w:footnoteReference w:id="11"/>
      </w:r>
      <w:r w:rsidR="00776DDC" w:rsidRPr="002E1F5F">
        <w:rPr>
          <w:rStyle w:val="FootnoteReference"/>
        </w:rPr>
        <w:footnoteReference w:id="12"/>
      </w:r>
    </w:p>
    <w:p w14:paraId="493FF5F8" w14:textId="1B8F1083" w:rsidR="00776DDC" w:rsidRPr="00CB666C" w:rsidRDefault="00A22676" w:rsidP="00AD2F9E">
      <w:pPr>
        <w:pStyle w:val="SingleTxtG"/>
      </w:pPr>
      <w:r>
        <w:t>15.</w:t>
      </w:r>
      <w:r>
        <w:tab/>
      </w:r>
      <w:r w:rsidR="00776DDC" w:rsidRPr="00AE691E">
        <w:t xml:space="preserve">Unlawful </w:t>
      </w:r>
      <w:r w:rsidR="00776DDC" w:rsidRPr="00AE691E" w:rsidDel="00406243">
        <w:t xml:space="preserve">deportation or </w:t>
      </w:r>
      <w:r w:rsidR="00776DDC" w:rsidRPr="00AE691E">
        <w:t>transfer</w:t>
      </w:r>
      <w:r w:rsidR="00776DDC" w:rsidRPr="0061094D">
        <w:t xml:space="preserve"> of a protected person is</w:t>
      </w:r>
      <w:r w:rsidR="00776DDC" w:rsidRPr="002E1F5F">
        <w:t xml:space="preserve"> a grave breach of the Fourth Geneva Convention.</w:t>
      </w:r>
      <w:r w:rsidR="00776DDC" w:rsidRPr="002E1F5F">
        <w:rPr>
          <w:rStyle w:val="FootnoteReference"/>
        </w:rPr>
        <w:footnoteReference w:id="13"/>
      </w:r>
      <w:r w:rsidR="00776DDC" w:rsidRPr="002E1F5F">
        <w:t xml:space="preserve"> </w:t>
      </w:r>
      <w:r w:rsidR="00776DDC" w:rsidRPr="002E1F5F" w:rsidDel="00406243">
        <w:t xml:space="preserve">Deportation or </w:t>
      </w:r>
      <w:r w:rsidR="00776DDC">
        <w:t>f</w:t>
      </w:r>
      <w:r w:rsidR="00776DDC" w:rsidRPr="002E1F5F">
        <w:t xml:space="preserve">orcible transfer of population can also be qualified as a crime against humanity, if committed as part of a widespread or systematic attack directed against </w:t>
      </w:r>
      <w:r w:rsidR="00776DDC">
        <w:t xml:space="preserve">any </w:t>
      </w:r>
      <w:r w:rsidR="00776DDC" w:rsidRPr="002E1F5F">
        <w:t>civilian population, with knowledge of the attack.</w:t>
      </w:r>
      <w:r w:rsidR="00776DDC" w:rsidRPr="002E1F5F">
        <w:rPr>
          <w:rStyle w:val="FootnoteReference"/>
        </w:rPr>
        <w:footnoteReference w:id="14"/>
      </w:r>
    </w:p>
    <w:p w14:paraId="6E9A8ABD" w14:textId="77777777" w:rsidR="00A215BC" w:rsidRDefault="00F8591D" w:rsidP="00AD2F9E">
      <w:pPr>
        <w:pStyle w:val="SingleTxtG"/>
      </w:pPr>
      <w:r>
        <w:t>16.</w:t>
      </w:r>
      <w:r>
        <w:tab/>
      </w:r>
      <w:r w:rsidR="00776DDC" w:rsidRPr="002E1F5F">
        <w:t xml:space="preserve">Displaced persons have a right to voluntary return in </w:t>
      </w:r>
      <w:r w:rsidR="00776DDC" w:rsidRPr="0061094D">
        <w:t xml:space="preserve">safety and with dignity </w:t>
      </w:r>
      <w:r w:rsidR="00776DDC" w:rsidRPr="002E1F5F">
        <w:t>to their homes or places of habitual residence</w:t>
      </w:r>
      <w:r w:rsidR="00776DDC">
        <w:t>.</w:t>
      </w:r>
      <w:r w:rsidR="00776DDC" w:rsidRPr="00FE08CC">
        <w:rPr>
          <w:rStyle w:val="FootnoteReference"/>
        </w:rPr>
        <w:footnoteReference w:id="15"/>
      </w:r>
    </w:p>
    <w:p w14:paraId="6D1D0B0E" w14:textId="4BB15F1C" w:rsidR="00776DDC" w:rsidRPr="009D147F" w:rsidRDefault="00AE4D88" w:rsidP="00AD2F9E">
      <w:pPr>
        <w:pStyle w:val="SingleTxtG"/>
      </w:pPr>
      <w:r>
        <w:lastRenderedPageBreak/>
        <w:t>1</w:t>
      </w:r>
      <w:r w:rsidR="00F8591D">
        <w:t>7</w:t>
      </w:r>
      <w:r>
        <w:t>.</w:t>
      </w:r>
      <w:r>
        <w:tab/>
      </w:r>
      <w:r w:rsidR="00776DDC">
        <w:t>IDPs</w:t>
      </w:r>
      <w:r w:rsidR="00776DDC" w:rsidRPr="004C1BC6">
        <w:t xml:space="preserve"> are persons or groups of persons who have been forced or obliged to flee or to leave their homes or places of habitual residence, in particular as a result of or in order to avoid the effects of armed conflict, situations of generalized violence, violations of human rights or natural or human-made disasters, and who have not crossed an internationally recognized State border.</w:t>
      </w:r>
      <w:r w:rsidR="00776DDC">
        <w:rPr>
          <w:rStyle w:val="FootnoteReference"/>
        </w:rPr>
        <w:footnoteReference w:id="16"/>
      </w:r>
      <w:r w:rsidR="00776DDC">
        <w:t xml:space="preserve"> In territory controlled by the Government of Ukraine, U</w:t>
      </w:r>
      <w:r w:rsidR="00776DDC" w:rsidRPr="002E1F5F">
        <w:t xml:space="preserve">kraine </w:t>
      </w:r>
      <w:r w:rsidR="00776DDC">
        <w:t xml:space="preserve">has the primary duty and responsibility to provide protection and humanitarian assistance to IDPs, </w:t>
      </w:r>
      <w:r w:rsidR="00776DDC" w:rsidRPr="002E1F5F">
        <w:t xml:space="preserve">including the obligation to ensure an adequate standard of living </w:t>
      </w:r>
      <w:r w:rsidR="00776DDC">
        <w:t xml:space="preserve">and </w:t>
      </w:r>
      <w:r w:rsidR="00776DDC" w:rsidRPr="002E1F5F">
        <w:t>the right to recognition everywhere as a person before the law</w:t>
      </w:r>
      <w:r w:rsidR="00776DDC">
        <w:t>.</w:t>
      </w:r>
      <w:r w:rsidR="00776DDC" w:rsidRPr="003073C9">
        <w:rPr>
          <w:rStyle w:val="FootnoteReference"/>
        </w:rPr>
        <w:footnoteReference w:id="17"/>
      </w:r>
      <w:r w:rsidR="00776DDC" w:rsidRPr="00AD3C2E">
        <w:t xml:space="preserve"> </w:t>
      </w:r>
      <w:r w:rsidR="00776DDC">
        <w:t>To protect family life, the State must take all appropriate steps to reunite families who are separated by displacement as quickly as possible.</w:t>
      </w:r>
      <w:r w:rsidR="00776DDC">
        <w:rPr>
          <w:rStyle w:val="FootnoteReference"/>
        </w:rPr>
        <w:footnoteReference w:id="18"/>
      </w:r>
    </w:p>
    <w:p w14:paraId="0E3E1AEA" w14:textId="23238542" w:rsidR="00776DDC" w:rsidRPr="00C30C3D" w:rsidRDefault="00AE4D88" w:rsidP="00AD2F9E">
      <w:pPr>
        <w:pStyle w:val="SingleTxtG"/>
      </w:pPr>
      <w:r>
        <w:t>1</w:t>
      </w:r>
      <w:r w:rsidR="00F8591D">
        <w:t>8</w:t>
      </w:r>
      <w:r>
        <w:t>.</w:t>
      </w:r>
      <w:r>
        <w:tab/>
      </w:r>
      <w:r w:rsidR="00776DDC">
        <w:t xml:space="preserve">The State shall ensure that </w:t>
      </w:r>
      <w:r w:rsidR="00776DDC" w:rsidRPr="00DF033A">
        <w:t>I</w:t>
      </w:r>
      <w:r w:rsidR="00776DDC">
        <w:t>DPs</w:t>
      </w:r>
      <w:r w:rsidR="00776DDC" w:rsidRPr="00DF033A">
        <w:t xml:space="preserve"> enjoy, in full equality, the same rights and freedoms under international and domestic law as do other persons in their country. </w:t>
      </w:r>
      <w:r w:rsidR="00776DDC">
        <w:t>IDPs</w:t>
      </w:r>
      <w:r w:rsidR="00776DDC" w:rsidRPr="00DF033A">
        <w:t xml:space="preserve"> shall not be discriminated against in the enjoyment of any rights and freedoms on the ground that they are internally displaced</w:t>
      </w:r>
      <w:r w:rsidR="00776DDC">
        <w:t xml:space="preserve">, nor on the basis of their </w:t>
      </w:r>
      <w:r w:rsidR="00776DDC" w:rsidRPr="000435DA">
        <w:t xml:space="preserve">race, colour, sex, language, religion or belief, political or other opinion, national, ethnic or social origin, legal or social status, age, disability, </w:t>
      </w:r>
      <w:r w:rsidR="00776DDC" w:rsidRPr="00C30C3D">
        <w:t>property, birth, or on any other similar criteria.</w:t>
      </w:r>
      <w:r w:rsidR="00776DDC" w:rsidRPr="00C30C3D">
        <w:rPr>
          <w:rStyle w:val="FootnoteReference"/>
        </w:rPr>
        <w:footnoteReference w:id="19"/>
      </w:r>
    </w:p>
    <w:p w14:paraId="7F9B3C2D" w14:textId="5CE7A13A" w:rsidR="00776DDC" w:rsidRPr="00C30C3D" w:rsidRDefault="00AE4D88" w:rsidP="00AD2F9E">
      <w:pPr>
        <w:pStyle w:val="SingleTxtG"/>
      </w:pPr>
      <w:r>
        <w:t>1</w:t>
      </w:r>
      <w:r w:rsidR="00F8591D">
        <w:t>9</w:t>
      </w:r>
      <w:r>
        <w:t>.</w:t>
      </w:r>
      <w:r>
        <w:tab/>
      </w:r>
      <w:r w:rsidR="00776DDC" w:rsidRPr="00C30C3D">
        <w:t>This report is without prejudice to the status, situation or potential protection needs of Ukrainians from occupied territory who have sought asylum or other forms of international protection in third States, whether due to actions by the Russian Federation as occupying power or due to broader hostility-related factors. Due to lack of access, OHCHR has also not pronounced upon the situation of Ukrainians from occupied territory who have been displaced to the Russian Federation and remained there or the situation of those who are internally displaced within occupied territory.</w:t>
      </w:r>
    </w:p>
    <w:p w14:paraId="3A63BB01" w14:textId="77777777" w:rsidR="00A215BC" w:rsidRDefault="00C16CBB" w:rsidP="00C16CBB">
      <w:pPr>
        <w:pStyle w:val="HChG"/>
      </w:pPr>
      <w:bookmarkStart w:id="4" w:name="_Toc219281385"/>
      <w:r>
        <w:tab/>
        <w:t>IV.</w:t>
      </w:r>
      <w:r>
        <w:tab/>
      </w:r>
      <w:r w:rsidR="00776DDC" w:rsidRPr="0061094D">
        <w:t>Context</w:t>
      </w:r>
      <w:bookmarkEnd w:id="4"/>
    </w:p>
    <w:p w14:paraId="0959D2FE" w14:textId="77777777" w:rsidR="00A215BC" w:rsidRDefault="00F8591D" w:rsidP="00F8591D">
      <w:pPr>
        <w:pStyle w:val="SingleTxtG"/>
      </w:pPr>
      <w:r>
        <w:t>20.</w:t>
      </w:r>
      <w:r>
        <w:tab/>
      </w:r>
      <w:r w:rsidR="00776DDC">
        <w:t>In 2022, t</w:t>
      </w:r>
      <w:r w:rsidR="00776DDC" w:rsidRPr="002E1F5F">
        <w:t>he full-scale</w:t>
      </w:r>
      <w:r w:rsidR="00776DDC">
        <w:t xml:space="preserve"> invasion of Ukraine by the Russian Federation</w:t>
      </w:r>
      <w:r w:rsidR="00776DDC" w:rsidRPr="002E1F5F">
        <w:t xml:space="preserve"> </w:t>
      </w:r>
      <w:r w:rsidR="00776DDC">
        <w:t>triggered</w:t>
      </w:r>
      <w:r w:rsidR="00776DDC" w:rsidRPr="002E1F5F">
        <w:t xml:space="preserve"> mass displacement, </w:t>
      </w:r>
      <w:r w:rsidR="00776DDC">
        <w:t xml:space="preserve">with </w:t>
      </w:r>
      <w:r w:rsidR="00776DDC" w:rsidRPr="0061094D">
        <w:t xml:space="preserve">12.7 million </w:t>
      </w:r>
      <w:r w:rsidR="00776DDC" w:rsidRPr="002E1F5F">
        <w:t xml:space="preserve">Ukrainians </w:t>
      </w:r>
      <w:r w:rsidR="00776DDC">
        <w:t xml:space="preserve">displaced </w:t>
      </w:r>
      <w:r w:rsidR="00776DDC" w:rsidRPr="002E1F5F">
        <w:t>in the first two months, as people fled hostilities, becoming IDPs within Ukraine or refugees abroad.</w:t>
      </w:r>
      <w:r w:rsidR="00776DDC">
        <w:rPr>
          <w:rStyle w:val="FootnoteReference"/>
        </w:rPr>
        <w:footnoteReference w:id="20"/>
      </w:r>
    </w:p>
    <w:p w14:paraId="79D6094A" w14:textId="77777777" w:rsidR="00A215BC" w:rsidRDefault="00F8591D" w:rsidP="00F8591D">
      <w:pPr>
        <w:pStyle w:val="SingleTxtG"/>
      </w:pPr>
      <w:r>
        <w:t>21.</w:t>
      </w:r>
      <w:r>
        <w:tab/>
      </w:r>
      <w:r w:rsidR="00776DDC">
        <w:t xml:space="preserve">Following its full-scale invasion of Ukraine in February 2022, </w:t>
      </w:r>
      <w:r w:rsidR="00776DDC" w:rsidRPr="008746AD">
        <w:t>the Russian Federation illegally annexed territory of Donetsk, Kherson, Luhansk and Zaporizhzhia regions</w:t>
      </w:r>
      <w:r w:rsidR="00776DDC">
        <w:t xml:space="preserve"> in October 2022</w:t>
      </w:r>
      <w:r w:rsidR="00776DDC" w:rsidRPr="008746AD">
        <w:t>.</w:t>
      </w:r>
      <w:r w:rsidR="00776DDC">
        <w:rPr>
          <w:rStyle w:val="FootnoteReference"/>
        </w:rPr>
        <w:footnoteReference w:id="21"/>
      </w:r>
      <w:r w:rsidR="00776DDC" w:rsidRPr="008746AD">
        <w:t xml:space="preserve"> It had illegally annexed the Autonomous Republic of Crimea and the city of Sevastopol (“Crimea”) in 2014.</w:t>
      </w:r>
      <w:r w:rsidR="00776DDC">
        <w:rPr>
          <w:rStyle w:val="FootnoteReference"/>
        </w:rPr>
        <w:footnoteReference w:id="22"/>
      </w:r>
      <w:r w:rsidR="00776DDC" w:rsidRPr="008746AD">
        <w:t xml:space="preserve"> OHCHR has documented the application by the  Russian Federation of Russian systems </w:t>
      </w:r>
      <w:r w:rsidR="00776DDC">
        <w:t xml:space="preserve">of governance, administration, justice and education </w:t>
      </w:r>
      <w:r w:rsidR="00776DDC" w:rsidRPr="008746AD">
        <w:t>in occupied territory, contrary to international humanitarian law,</w:t>
      </w:r>
      <w:r w:rsidR="00776DDC" w:rsidRPr="002E1F5F">
        <w:rPr>
          <w:rStyle w:val="FootnoteReference"/>
        </w:rPr>
        <w:footnoteReference w:id="23"/>
      </w:r>
      <w:r w:rsidR="00776DDC" w:rsidRPr="008746AD">
        <w:t xml:space="preserve"> as well as associated violations of international human rights law.</w:t>
      </w:r>
      <w:r w:rsidR="00776DDC">
        <w:rPr>
          <w:rStyle w:val="FootnoteReference"/>
        </w:rPr>
        <w:footnoteReference w:id="24"/>
      </w:r>
    </w:p>
    <w:p w14:paraId="3779B5CD" w14:textId="77777777" w:rsidR="00B72126" w:rsidRDefault="00F8591D" w:rsidP="00F8591D">
      <w:pPr>
        <w:pStyle w:val="SingleTxtG"/>
      </w:pPr>
      <w:r>
        <w:lastRenderedPageBreak/>
        <w:t>22.</w:t>
      </w:r>
      <w:r>
        <w:tab/>
      </w:r>
      <w:r w:rsidR="00776DDC">
        <w:t>As of December 2025, 3.7 million Ukrainians were internally displaced in areas controlled by the Government of Ukraine.</w:t>
      </w:r>
      <w:r w:rsidR="00776DDC">
        <w:rPr>
          <w:rStyle w:val="FootnoteReference"/>
        </w:rPr>
        <w:footnoteReference w:id="25"/>
      </w:r>
      <w:r w:rsidR="00776DDC">
        <w:t xml:space="preserve"> Among them, t</w:t>
      </w:r>
      <w:r w:rsidR="00776DDC" w:rsidRPr="002E1F5F">
        <w:t>he Ministry of Social Policy of Ukraine ha</w:t>
      </w:r>
      <w:r w:rsidR="00776DDC">
        <w:t>d</w:t>
      </w:r>
      <w:r w:rsidR="00776DDC" w:rsidRPr="002E1F5F">
        <w:t xml:space="preserve"> registered over 878,000 IDPs </w:t>
      </w:r>
      <w:r w:rsidR="00776DDC">
        <w:t xml:space="preserve">in areas controlled by the Government of Ukraine who have come </w:t>
      </w:r>
      <w:r w:rsidR="00776DDC" w:rsidRPr="002E1F5F">
        <w:t xml:space="preserve">from occupied territory, of whom 56 per cent are </w:t>
      </w:r>
      <w:r w:rsidR="00776DDC">
        <w:t>women and girls</w:t>
      </w:r>
      <w:r w:rsidR="00776DDC" w:rsidRPr="0061094D">
        <w:t>.</w:t>
      </w:r>
      <w:r w:rsidR="00776DDC" w:rsidRPr="0061094D">
        <w:rPr>
          <w:rStyle w:val="FootnoteReference"/>
        </w:rPr>
        <w:footnoteReference w:id="26"/>
      </w:r>
      <w:r w:rsidR="00776DDC" w:rsidRPr="0061094D">
        <w:t xml:space="preserve"> </w:t>
      </w:r>
      <w:r w:rsidR="00776DDC" w:rsidRPr="000A0974">
        <w:t xml:space="preserve">As compared to people forcibly displaced within territory controlled by the </w:t>
      </w:r>
      <w:r w:rsidR="00776DDC">
        <w:t>G</w:t>
      </w:r>
      <w:r w:rsidR="00776DDC" w:rsidRPr="000A0974">
        <w:t xml:space="preserve">overnment of Ukraine, IDPs </w:t>
      </w:r>
      <w:r w:rsidR="00776DDC">
        <w:t>from occupied territory say they are less likely to return under a future scenario that involve an agreement to end the war, but with continued occupation of the territory. Under this scenario, six per cent of surveyed IDPs from occupied territory said they would return, as compared to 26 per cent of IDPs from frontline areas, and 42 per cent from other areas.</w:t>
      </w:r>
      <w:r w:rsidR="00776DDC">
        <w:rPr>
          <w:rStyle w:val="FootnoteReference"/>
        </w:rPr>
        <w:footnoteReference w:id="27"/>
      </w:r>
      <w:r w:rsidR="00776DDC">
        <w:t xml:space="preserve"> That is, the vast majority of IDPs from occupied territory consider occupation as constituting a barrier to their return, </w:t>
      </w:r>
      <w:r w:rsidR="00776DDC" w:rsidRPr="00B3621C">
        <w:t>regardless of whether they originally fled because of coercive conditions or because of hostilities</w:t>
      </w:r>
      <w:r w:rsidR="00776DDC">
        <w:t>.</w:t>
      </w:r>
    </w:p>
    <w:p w14:paraId="520D677B" w14:textId="77777777" w:rsidR="00B72126" w:rsidRDefault="009C10C1" w:rsidP="009C10C1">
      <w:pPr>
        <w:pStyle w:val="HChG"/>
      </w:pPr>
      <w:bookmarkStart w:id="5" w:name="_Toc219281386"/>
      <w:r>
        <w:tab/>
        <w:t>V.</w:t>
      </w:r>
      <w:r>
        <w:tab/>
      </w:r>
      <w:r w:rsidR="00776DDC" w:rsidRPr="004F0155" w:rsidDel="00046536">
        <w:t xml:space="preserve">Forced </w:t>
      </w:r>
      <w:r w:rsidR="00776DDC" w:rsidRPr="004F0155">
        <w:t>displacement</w:t>
      </w:r>
      <w:r w:rsidR="00776DDC">
        <w:t xml:space="preserve"> from occupied territory</w:t>
      </w:r>
      <w:r w:rsidR="00776DDC" w:rsidRPr="0061094D">
        <w:t xml:space="preserve"> </w:t>
      </w:r>
      <w:r w:rsidR="00776DDC">
        <w:t>as a result of actions by</w:t>
      </w:r>
      <w:r w:rsidR="00776DDC" w:rsidRPr="0061094D">
        <w:t xml:space="preserve"> the Russian Federation</w:t>
      </w:r>
      <w:bookmarkEnd w:id="5"/>
    </w:p>
    <w:p w14:paraId="16AC5321" w14:textId="7979D5D6" w:rsidR="00A215BC" w:rsidRDefault="009C10C1" w:rsidP="009C10C1">
      <w:pPr>
        <w:pStyle w:val="H1G"/>
      </w:pPr>
      <w:bookmarkStart w:id="6" w:name="_Toc219281387"/>
      <w:r>
        <w:tab/>
        <w:t>A.</w:t>
      </w:r>
      <w:r>
        <w:tab/>
      </w:r>
      <w:r w:rsidR="00776DDC" w:rsidRPr="0061094D">
        <w:t>Direct forcible transfers</w:t>
      </w:r>
      <w:r w:rsidR="00776DDC" w:rsidRPr="0061094D" w:rsidDel="00406243">
        <w:t xml:space="preserve"> and deportations</w:t>
      </w:r>
      <w:bookmarkEnd w:id="6"/>
    </w:p>
    <w:p w14:paraId="26D804C6" w14:textId="55CF8EF6" w:rsidR="00776DDC" w:rsidRPr="007678B8" w:rsidRDefault="00776DDC" w:rsidP="001B1B0C">
      <w:pPr>
        <w:pStyle w:val="SingleTxtG"/>
        <w:ind w:left="1701"/>
        <w:jc w:val="right"/>
        <w:rPr>
          <w:i/>
          <w:iCs/>
          <w:sz w:val="18"/>
          <w:szCs w:val="18"/>
        </w:rPr>
      </w:pPr>
      <w:r w:rsidRPr="007678B8">
        <w:rPr>
          <w:rStyle w:val="cf01"/>
          <w:rFonts w:ascii="Times New Roman" w:eastAsiaTheme="majorEastAsia" w:hAnsi="Times New Roman" w:cs="Times New Roman"/>
          <w:i/>
          <w:iCs/>
        </w:rPr>
        <w:t>“We have adopted the relevant regulations. Individuals who refuse to accept Russian citizenship and take a destructive stance will be recognized as foreigners. In case of a threat to public order, such persons are subject to mandatory expulsion. We must protect our citizens from the influence of the Kyiv regime.”</w:t>
      </w:r>
    </w:p>
    <w:p w14:paraId="483BF02D" w14:textId="77777777" w:rsidR="00776DDC" w:rsidRPr="007678B8" w:rsidRDefault="00776DDC" w:rsidP="001B1B0C">
      <w:pPr>
        <w:pStyle w:val="SingleTxtG"/>
        <w:ind w:firstLine="567"/>
        <w:jc w:val="right"/>
        <w:rPr>
          <w:sz w:val="18"/>
          <w:szCs w:val="18"/>
        </w:rPr>
      </w:pPr>
      <w:r w:rsidRPr="007678B8">
        <w:rPr>
          <w:rStyle w:val="cf01"/>
          <w:rFonts w:ascii="Times New Roman" w:eastAsiaTheme="majorEastAsia" w:hAnsi="Times New Roman" w:cs="Times New Roman"/>
        </w:rPr>
        <w:t xml:space="preserve">– Russian-appointed head of occupied Luhansk region, 18 </w:t>
      </w:r>
      <w:proofErr w:type="spellStart"/>
      <w:r w:rsidRPr="007678B8">
        <w:rPr>
          <w:rStyle w:val="cf01"/>
          <w:rFonts w:ascii="Times New Roman" w:eastAsiaTheme="majorEastAsia" w:hAnsi="Times New Roman" w:cs="Times New Roman"/>
        </w:rPr>
        <w:t>Маy</w:t>
      </w:r>
      <w:proofErr w:type="spellEnd"/>
      <w:r w:rsidRPr="007678B8">
        <w:rPr>
          <w:rStyle w:val="cf01"/>
          <w:rFonts w:ascii="Times New Roman" w:eastAsiaTheme="majorEastAsia" w:hAnsi="Times New Roman" w:cs="Times New Roman"/>
        </w:rPr>
        <w:t xml:space="preserve"> 2023.</w:t>
      </w:r>
    </w:p>
    <w:p w14:paraId="3AD2201E" w14:textId="77777777" w:rsidR="00A215BC" w:rsidRDefault="0041019C" w:rsidP="0041019C">
      <w:pPr>
        <w:pStyle w:val="SingleTxtG"/>
      </w:pPr>
      <w:r>
        <w:t>23.</w:t>
      </w:r>
      <w:r>
        <w:tab/>
      </w:r>
      <w:r w:rsidR="00776DDC">
        <w:t>Since seizing control of additional occupied territory of Ukraine in February 2022, t</w:t>
      </w:r>
      <w:r w:rsidR="00776DDC" w:rsidRPr="002E1F5F">
        <w:t xml:space="preserve">he occupying authorities </w:t>
      </w:r>
      <w:r w:rsidR="00776DDC">
        <w:t xml:space="preserve">have, through direct action, forcibly transferred </w:t>
      </w:r>
      <w:r w:rsidR="00776DDC" w:rsidRPr="00181A8F" w:rsidDel="00406243">
        <w:t>or deport</w:t>
      </w:r>
      <w:r w:rsidR="00776DDC" w:rsidRPr="00181A8F">
        <w:t>ed</w:t>
      </w:r>
      <w:r w:rsidR="00776DDC" w:rsidRPr="00181A8F" w:rsidDel="00406243">
        <w:t xml:space="preserve"> </w:t>
      </w:r>
      <w:r w:rsidR="00776DDC" w:rsidRPr="00181A8F">
        <w:t>protected persons from the occupied territory to territory controlled by Ukrainian authorities or third countries – most commonly those who opposed or were perceived as opposing the Russian occupation</w:t>
      </w:r>
      <w:r w:rsidR="00776DDC" w:rsidRPr="002E1F5F">
        <w:t xml:space="preserve"> of Ukrainian territory.</w:t>
      </w:r>
      <w:r w:rsidR="00776DDC" w:rsidRPr="002E1F5F">
        <w:rPr>
          <w:rStyle w:val="FootnoteReference"/>
        </w:rPr>
        <w:footnoteReference w:id="28"/>
      </w:r>
    </w:p>
    <w:p w14:paraId="58A3F4C9" w14:textId="77777777" w:rsidR="00A215BC" w:rsidRDefault="0041019C" w:rsidP="0041019C">
      <w:pPr>
        <w:pStyle w:val="SingleTxtG"/>
      </w:pPr>
      <w:r>
        <w:t>24.</w:t>
      </w:r>
      <w:r>
        <w:tab/>
      </w:r>
      <w:r w:rsidR="00776DDC">
        <w:t xml:space="preserve">In July 2022, the occupying authorities in Kherson and Zaporizhzhia regions published </w:t>
      </w:r>
      <w:r w:rsidR="00776DDC" w:rsidRPr="001F196A">
        <w:t>s</w:t>
      </w:r>
      <w:r w:rsidR="00776DDC">
        <w:t>eparate decrees announcing that individuals who failed to comply with the requirements of the occupying authorities may be “forcibly deported.”</w:t>
      </w:r>
      <w:r w:rsidR="00776DDC">
        <w:rPr>
          <w:rStyle w:val="FootnoteReference"/>
        </w:rPr>
        <w:footnoteReference w:id="29"/>
      </w:r>
      <w:r w:rsidR="00776DDC">
        <w:t xml:space="preserve"> I</w:t>
      </w:r>
      <w:r w:rsidR="00776DDC" w:rsidRPr="009A4149">
        <w:t xml:space="preserve">n the </w:t>
      </w:r>
      <w:r w:rsidR="00776DDC">
        <w:t>following</w:t>
      </w:r>
      <w:r w:rsidR="00776DDC" w:rsidRPr="009A4149">
        <w:t xml:space="preserve"> months, occupying authorities </w:t>
      </w:r>
      <w:r w:rsidR="00776DDC">
        <w:t>forcibly transferred or deported numerous individuals from</w:t>
      </w:r>
      <w:r w:rsidR="00776DDC" w:rsidRPr="009A4149">
        <w:t xml:space="preserve"> the </w:t>
      </w:r>
      <w:r w:rsidR="00776DDC">
        <w:t>occupied territory to Government-controlled territory, forcing them</w:t>
      </w:r>
      <w:r w:rsidR="00776DDC" w:rsidRPr="00DE5447">
        <w:t xml:space="preserve"> </w:t>
      </w:r>
      <w:r w:rsidR="00776DDC">
        <w:t xml:space="preserve">to walk across the frontline, </w:t>
      </w:r>
      <w:r w:rsidR="00776DDC" w:rsidRPr="00FD7B29">
        <w:t>often at great risk due to ongoing hostilities and landmine</w:t>
      </w:r>
      <w:r w:rsidR="00776DDC">
        <w:t xml:space="preserve">s. Most cases took place at an official crossing point in </w:t>
      </w:r>
      <w:proofErr w:type="spellStart"/>
      <w:r w:rsidR="00776DDC">
        <w:t>Vasylivka</w:t>
      </w:r>
      <w:proofErr w:type="spellEnd"/>
      <w:r w:rsidR="00776DDC">
        <w:t xml:space="preserve">, Zaporizhzhia region, but OHCHR has also documented similar cases in Kharkiv region. Some people went missing. In several cases, </w:t>
      </w:r>
      <w:r w:rsidR="00776DDC" w:rsidRPr="007D4FED">
        <w:lastRenderedPageBreak/>
        <w:t xml:space="preserve">the occupying authorities </w:t>
      </w:r>
      <w:r w:rsidR="00776DDC">
        <w:t xml:space="preserve">read aloud </w:t>
      </w:r>
      <w:r w:rsidR="00776DDC" w:rsidRPr="007D4FED">
        <w:t>a “deportation order”</w:t>
      </w:r>
      <w:r w:rsidR="00776DDC">
        <w:t xml:space="preserve"> and/or f</w:t>
      </w:r>
      <w:r w:rsidR="00776DDC" w:rsidRPr="007D4FED">
        <w:t xml:space="preserve">orced the </w:t>
      </w:r>
      <w:r w:rsidR="00776DDC">
        <w:t>victim</w:t>
      </w:r>
      <w:r w:rsidR="00776DDC" w:rsidRPr="007D4FED">
        <w:t xml:space="preserve"> to give </w:t>
      </w:r>
      <w:r w:rsidR="00776DDC">
        <w:t xml:space="preserve">false </w:t>
      </w:r>
      <w:r w:rsidR="00776DDC" w:rsidRPr="007D4FED">
        <w:t>statements</w:t>
      </w:r>
      <w:r w:rsidR="00776DDC">
        <w:t>,</w:t>
      </w:r>
      <w:r w:rsidR="00776DDC" w:rsidRPr="007D4FED">
        <w:t xml:space="preserve"> which </w:t>
      </w:r>
      <w:r w:rsidR="00776DDC">
        <w:t>were</w:t>
      </w:r>
      <w:r w:rsidR="00776DDC" w:rsidRPr="007D4FED">
        <w:t xml:space="preserve"> sometimes filmed and posted online</w:t>
      </w:r>
      <w:r w:rsidR="00776DDC">
        <w:t>.</w:t>
      </w:r>
    </w:p>
    <w:p w14:paraId="0DB1EA7F" w14:textId="233C3AAE" w:rsidR="00776DDC" w:rsidRDefault="0041019C" w:rsidP="0041019C">
      <w:pPr>
        <w:pStyle w:val="SingleTxtG"/>
      </w:pPr>
      <w:r>
        <w:t>25.</w:t>
      </w:r>
      <w:r>
        <w:tab/>
      </w:r>
      <w:r w:rsidR="00776DDC">
        <w:t>For</w:t>
      </w:r>
      <w:r w:rsidR="00776DDC" w:rsidRPr="00DD0B9B">
        <w:t xml:space="preserve"> example, the occupying authorities in </w:t>
      </w:r>
      <w:proofErr w:type="spellStart"/>
      <w:r w:rsidR="00776DDC" w:rsidRPr="00DD0B9B">
        <w:t>Melitopol</w:t>
      </w:r>
      <w:proofErr w:type="spellEnd"/>
      <w:r w:rsidR="00776DDC" w:rsidRPr="00DD0B9B">
        <w:t xml:space="preserve"> repeatedly interrogated a priest of the Greek Catholic Church and pressured him to disclose parishioners’ confessions. They told him that Ukrainian-speaking parishioners were “dangerous” and might plot against the occupation. </w:t>
      </w:r>
      <w:r w:rsidR="00776DDC">
        <w:t>Wh</w:t>
      </w:r>
      <w:r w:rsidR="00776DDC" w:rsidRPr="00DD0B9B">
        <w:t>e</w:t>
      </w:r>
      <w:r w:rsidR="00776DDC">
        <w:t>n he</w:t>
      </w:r>
      <w:r w:rsidR="00776DDC" w:rsidRPr="00DD0B9B">
        <w:t xml:space="preserve"> refused to cooperate</w:t>
      </w:r>
      <w:r w:rsidR="00776DDC">
        <w:t>, occupying authorities</w:t>
      </w:r>
      <w:r w:rsidR="00776DDC" w:rsidRPr="00DD0B9B">
        <w:t xml:space="preserve"> expelled </w:t>
      </w:r>
      <w:r w:rsidR="00776DDC">
        <w:t xml:space="preserve">him </w:t>
      </w:r>
      <w:r w:rsidR="00776DDC" w:rsidRPr="00DD0B9B">
        <w:t>from occupied territory</w:t>
      </w:r>
      <w:r w:rsidR="00776DDC">
        <w:t xml:space="preserve"> to Government-controlled territory</w:t>
      </w:r>
      <w:r w:rsidR="00776DDC" w:rsidRPr="00DD0B9B">
        <w:t xml:space="preserve"> </w:t>
      </w:r>
      <w:r w:rsidR="00776DDC">
        <w:t>through</w:t>
      </w:r>
      <w:r w:rsidR="00776DDC" w:rsidRPr="00DD0B9B">
        <w:t xml:space="preserve"> the </w:t>
      </w:r>
      <w:proofErr w:type="spellStart"/>
      <w:r w:rsidR="00776DDC" w:rsidRPr="00DD0B9B">
        <w:t>Vasylivka</w:t>
      </w:r>
      <w:proofErr w:type="spellEnd"/>
      <w:r w:rsidR="00776DDC" w:rsidRPr="00DD0B9B">
        <w:t xml:space="preserve"> crossing point.</w:t>
      </w:r>
    </w:p>
    <w:p w14:paraId="7D7DCC4C" w14:textId="0CFE40DA" w:rsidR="00776DDC" w:rsidRPr="0069523E" w:rsidRDefault="0041019C" w:rsidP="0041019C">
      <w:pPr>
        <w:pStyle w:val="SingleTxtG"/>
      </w:pPr>
      <w:r>
        <w:t>26.</w:t>
      </w:r>
      <w:r>
        <w:tab/>
      </w:r>
      <w:r w:rsidR="00776DDC" w:rsidRPr="00FE75C9">
        <w:t>Eventually,</w:t>
      </w:r>
      <w:r w:rsidR="00776DDC">
        <w:t xml:space="preserve"> occupying authorities </w:t>
      </w:r>
      <w:r w:rsidR="00776DDC" w:rsidRPr="00FE75C9">
        <w:t>started deporting</w:t>
      </w:r>
      <w:r w:rsidR="00776DDC" w:rsidRPr="0061094D">
        <w:t xml:space="preserve"> Ukrainians </w:t>
      </w:r>
      <w:r w:rsidR="00776DDC">
        <w:t xml:space="preserve">who refused to comply with the occupation to Latvia (until the border crossing closed in November 2023) and to Georgia. </w:t>
      </w:r>
      <w:r w:rsidR="00776DDC" w:rsidRPr="00AD37DB">
        <w:t>For example, the occupying authorities in Zaporizhzhia region repeatedly threatened a school principal who resigned rather than implement the Russian education curriculum</w:t>
      </w:r>
      <w:r w:rsidR="00776DDC">
        <w:t xml:space="preserve">. In April 2024, armed men took him and his wife from their home and transported them to the border with Georgia, where they were </w:t>
      </w:r>
      <w:r w:rsidR="00776DDC" w:rsidRPr="0061712F">
        <w:t xml:space="preserve">deported. They eventually made their way to Government-controlled </w:t>
      </w:r>
      <w:r w:rsidR="00776DDC">
        <w:t>regions</w:t>
      </w:r>
      <w:r w:rsidR="00776DDC" w:rsidRPr="0061712F">
        <w:t xml:space="preserve"> of Ukraine.</w:t>
      </w:r>
    </w:p>
    <w:p w14:paraId="5E13685C" w14:textId="73642730" w:rsidR="00776DDC" w:rsidRPr="00EB25ED" w:rsidRDefault="0041019C" w:rsidP="0041019C">
      <w:pPr>
        <w:pStyle w:val="SingleTxtG"/>
      </w:pPr>
      <w:r>
        <w:t>27.</w:t>
      </w:r>
      <w:r>
        <w:tab/>
      </w:r>
      <w:r w:rsidR="00776DDC">
        <w:t xml:space="preserve">Numerous civilians detained or imprisoned in occupied territory were transferred to Government-controlled territory of Ukraine after their release. OHCHR has interviewed 33 such civilians. </w:t>
      </w:r>
      <w:r w:rsidR="00776DDC" w:rsidRPr="00450B65">
        <w:rPr>
          <w:lang w:val="en-CA"/>
        </w:rPr>
        <w:t xml:space="preserve">Some were </w:t>
      </w:r>
      <w:r w:rsidR="00776DDC">
        <w:rPr>
          <w:lang w:val="en-CA"/>
        </w:rPr>
        <w:t xml:space="preserve">told </w:t>
      </w:r>
      <w:r w:rsidR="00776DDC" w:rsidRPr="00450B65">
        <w:rPr>
          <w:lang w:val="en-CA"/>
        </w:rPr>
        <w:t>explicitly that they could n</w:t>
      </w:r>
      <w:proofErr w:type="spellStart"/>
      <w:r w:rsidR="00776DDC">
        <w:t>ot</w:t>
      </w:r>
      <w:proofErr w:type="spellEnd"/>
      <w:r w:rsidR="00776DDC">
        <w:t xml:space="preserve"> return to the “Russian Federation”, which under Russian legislation includes occupied territory of Ukraine.</w:t>
      </w:r>
    </w:p>
    <w:p w14:paraId="299768DD" w14:textId="049B66A2" w:rsidR="00776DDC" w:rsidRPr="00F71A59" w:rsidRDefault="0041019C" w:rsidP="0041019C">
      <w:pPr>
        <w:pStyle w:val="SingleTxtG"/>
      </w:pPr>
      <w:r>
        <w:t>28.</w:t>
      </w:r>
      <w:r>
        <w:tab/>
      </w:r>
      <w:r w:rsidR="00776DDC">
        <w:t xml:space="preserve">In total, </w:t>
      </w:r>
      <w:r w:rsidR="00776DDC" w:rsidRPr="002E1F5F">
        <w:t xml:space="preserve">OHCHR </w:t>
      </w:r>
      <w:r w:rsidR="00776DDC">
        <w:t xml:space="preserve">has </w:t>
      </w:r>
      <w:r w:rsidR="00776DDC" w:rsidRPr="002E1F5F">
        <w:t>documented th</w:t>
      </w:r>
      <w:r w:rsidR="00776DDC">
        <w:t>at the occupying authorities have</w:t>
      </w:r>
      <w:r w:rsidR="00776DDC" w:rsidRPr="002E1F5F">
        <w:t xml:space="preserve"> </w:t>
      </w:r>
      <w:r w:rsidR="00776DDC">
        <w:t xml:space="preserve">forcibly transferred </w:t>
      </w:r>
      <w:r w:rsidR="00776DDC" w:rsidDel="00406243">
        <w:t>or deport</w:t>
      </w:r>
      <w:r w:rsidR="00776DDC">
        <w:t>ed</w:t>
      </w:r>
      <w:r w:rsidR="00776DDC" w:rsidRPr="002E1F5F" w:rsidDel="00406243">
        <w:t xml:space="preserve"> </w:t>
      </w:r>
      <w:r w:rsidR="00776DDC">
        <w:t xml:space="preserve">104 individuals from occupied territory, including </w:t>
      </w:r>
      <w:r w:rsidR="00776DDC" w:rsidRPr="002E1F5F">
        <w:t>local officials, law enforcement</w:t>
      </w:r>
      <w:r w:rsidR="00776DDC">
        <w:t xml:space="preserve"> personnel</w:t>
      </w:r>
      <w:r w:rsidR="00776DDC" w:rsidRPr="002E1F5F">
        <w:t>, teachers and school personnel, emergency workers, medical personnel</w:t>
      </w:r>
      <w:r w:rsidR="00776DDC">
        <w:t>, religious leaders, and employees of critical infrastructure facilities</w:t>
      </w:r>
      <w:r w:rsidR="00776DDC" w:rsidRPr="002E1F5F" w:rsidDel="007F6814">
        <w:t xml:space="preserve"> who</w:t>
      </w:r>
      <w:r w:rsidR="00776DDC">
        <w:t>,</w:t>
      </w:r>
      <w:r w:rsidR="00776DDC" w:rsidRPr="002E1F5F" w:rsidDel="007F6814">
        <w:t xml:space="preserve"> </w:t>
      </w:r>
      <w:r w:rsidR="00776DDC">
        <w:t>in various ways, did not</w:t>
      </w:r>
      <w:r w:rsidR="00776DDC" w:rsidRPr="002E1F5F" w:rsidDel="007F6814">
        <w:t xml:space="preserve"> </w:t>
      </w:r>
      <w:r w:rsidR="00776DDC">
        <w:t>cooperate</w:t>
      </w:r>
      <w:r w:rsidR="00776DDC" w:rsidRPr="002E1F5F" w:rsidDel="007F6814">
        <w:t xml:space="preserve"> with the occupying authorities</w:t>
      </w:r>
      <w:r w:rsidR="00776DDC" w:rsidRPr="002E1F5F">
        <w:t>.</w:t>
      </w:r>
      <w:r w:rsidR="00776DDC" w:rsidRPr="002E1F5F">
        <w:rPr>
          <w:rStyle w:val="FootnoteReference"/>
        </w:rPr>
        <w:footnoteReference w:id="30"/>
      </w:r>
    </w:p>
    <w:p w14:paraId="1E466D38" w14:textId="77777777" w:rsidR="00B72126" w:rsidRDefault="00EF1B87" w:rsidP="00EF1B87">
      <w:pPr>
        <w:pStyle w:val="H1G"/>
      </w:pPr>
      <w:r>
        <w:tab/>
        <w:t>B.</w:t>
      </w:r>
      <w:r>
        <w:tab/>
      </w:r>
      <w:r w:rsidR="00776DDC">
        <w:t xml:space="preserve">Indirect forcible </w:t>
      </w:r>
      <w:r w:rsidR="00776DDC" w:rsidRPr="0061712F">
        <w:t>transfers</w:t>
      </w:r>
      <w:r w:rsidR="00776DDC" w:rsidRPr="0061712F" w:rsidDel="00406243">
        <w:t xml:space="preserve"> and deportations</w:t>
      </w:r>
    </w:p>
    <w:p w14:paraId="104CBB48" w14:textId="6BA46F15" w:rsidR="00A215BC" w:rsidRDefault="0035779B" w:rsidP="0035779B">
      <w:pPr>
        <w:pStyle w:val="SingleTxtG"/>
      </w:pPr>
      <w:r>
        <w:t>29.</w:t>
      </w:r>
      <w:r>
        <w:tab/>
      </w:r>
      <w:r w:rsidR="00776DDC">
        <w:t>OHCHR has interviewed hundreds of people who left their homes in territory occupied by the Russian Federation. While some cited hostilities or lack of access to basic services as reasons for their departure, many explained that they fled occupied territory because of the conditions created by the imposition of Russian legislation, administration, systems and institutions</w:t>
      </w:r>
      <w:r w:rsidR="00776DDC">
        <w:rPr>
          <w:rStyle w:val="FootnoteReference"/>
        </w:rPr>
        <w:footnoteReference w:id="31"/>
      </w:r>
      <w:r w:rsidR="00776DDC">
        <w:t xml:space="preserve"> or because of policies and practices implemented by the Russian authorities that target specific groups of people based on their nationality, real or imputed political opinion, cultural identity, religious affiliation or sexual orientation. </w:t>
      </w:r>
      <w:r w:rsidR="00776DDC" w:rsidRPr="001B5C6B">
        <w:t xml:space="preserve">Such discriminatory measures, implemented in </w:t>
      </w:r>
      <w:r w:rsidR="00776DDC">
        <w:t xml:space="preserve">a </w:t>
      </w:r>
      <w:r w:rsidR="00776DDC" w:rsidRPr="001B5C6B">
        <w:t>widespread and systematic</w:t>
      </w:r>
      <w:r w:rsidR="00776DDC">
        <w:t xml:space="preserve"> manner</w:t>
      </w:r>
      <w:r w:rsidR="00776DDC" w:rsidRPr="001B5C6B">
        <w:t xml:space="preserve">, </w:t>
      </w:r>
      <w:r w:rsidR="00776DDC">
        <w:t xml:space="preserve">cumulatively </w:t>
      </w:r>
      <w:r w:rsidR="00776DDC" w:rsidRPr="001B5C6B">
        <w:t>created a coercive environment that left some protected persons with no genuine choice but to leave.</w:t>
      </w:r>
    </w:p>
    <w:p w14:paraId="0C6C7C9C" w14:textId="77777777" w:rsidR="00A215BC" w:rsidRDefault="0035779B" w:rsidP="0035779B">
      <w:pPr>
        <w:pStyle w:val="H23G"/>
      </w:pPr>
      <w:bookmarkStart w:id="7" w:name="_Toc219281389"/>
      <w:r>
        <w:tab/>
        <w:t>1.</w:t>
      </w:r>
      <w:r>
        <w:tab/>
      </w:r>
      <w:r w:rsidR="00776DDC" w:rsidRPr="0061094D">
        <w:t>Policies targeting nationality and political opinion</w:t>
      </w:r>
      <w:bookmarkEnd w:id="7"/>
    </w:p>
    <w:p w14:paraId="640F85ED" w14:textId="77777777" w:rsidR="00A215BC" w:rsidRDefault="00B706C9" w:rsidP="00B706C9">
      <w:pPr>
        <w:pStyle w:val="H4G"/>
      </w:pPr>
      <w:r>
        <w:tab/>
      </w:r>
      <w:r>
        <w:tab/>
      </w:r>
      <w:r w:rsidR="00776DDC" w:rsidRPr="002E1F5F">
        <w:t xml:space="preserve">Replacement of </w:t>
      </w:r>
      <w:r w:rsidR="00776DDC">
        <w:t>S</w:t>
      </w:r>
      <w:r w:rsidR="00776DDC" w:rsidRPr="002E1F5F">
        <w:t xml:space="preserve">tate </w:t>
      </w:r>
      <w:r w:rsidR="00776DDC">
        <w:t>systems of governance and administration</w:t>
      </w:r>
    </w:p>
    <w:p w14:paraId="195B60C3" w14:textId="77777777" w:rsidR="00A215BC" w:rsidRDefault="00B90E7B" w:rsidP="00506199">
      <w:pPr>
        <w:pStyle w:val="SingleTxtG"/>
      </w:pPr>
      <w:r>
        <w:t>30.</w:t>
      </w:r>
      <w:r>
        <w:tab/>
      </w:r>
      <w:r w:rsidR="00776DDC" w:rsidRPr="0050327E">
        <w:t xml:space="preserve">After establishing control over </w:t>
      </w:r>
      <w:r w:rsidR="00776DDC">
        <w:t xml:space="preserve">additional </w:t>
      </w:r>
      <w:r w:rsidR="00776DDC" w:rsidRPr="0050327E">
        <w:t xml:space="preserve">occupied territory of Ukraine in </w:t>
      </w:r>
      <w:r w:rsidR="00776DDC">
        <w:t>2022</w:t>
      </w:r>
      <w:r w:rsidR="00776DDC" w:rsidRPr="0050327E">
        <w:t xml:space="preserve">, Russian authorities began unlawfully imposing the systems of governance and administration of the Russian Federation. This process affected all spheres of public life, including law enforcement, property, business, education, banking, social protection, and local governance. </w:t>
      </w:r>
      <w:r w:rsidR="00776DDC">
        <w:t>O</w:t>
      </w:r>
      <w:r w:rsidR="00776DDC" w:rsidRPr="0050327E">
        <w:t xml:space="preserve">ccupying authorities pressured civil servants, local officials, and employees of </w:t>
      </w:r>
      <w:r w:rsidR="00776DDC">
        <w:t>S</w:t>
      </w:r>
      <w:r w:rsidR="00776DDC" w:rsidRPr="0050327E">
        <w:t xml:space="preserve">tate enterprises to accept and adopt Russian legislation, institutions and administrative systems, and to sign contracts with the Russian institutions. Civil servants and </w:t>
      </w:r>
      <w:r w:rsidR="00776DDC">
        <w:t>S</w:t>
      </w:r>
      <w:r w:rsidR="00776DDC" w:rsidRPr="0050327E">
        <w:t xml:space="preserve">tate enterprise </w:t>
      </w:r>
      <w:r w:rsidR="00776DDC" w:rsidRPr="0050327E">
        <w:lastRenderedPageBreak/>
        <w:t>employees who did not comply faced threats, intimidation and detention, and in some cases, enforced disappearances, torture and deportation.</w:t>
      </w:r>
      <w:r w:rsidR="00776DDC" w:rsidRPr="002E1F5F">
        <w:rPr>
          <w:rStyle w:val="FootnoteReference"/>
        </w:rPr>
        <w:footnoteReference w:id="32"/>
      </w:r>
    </w:p>
    <w:p w14:paraId="7AB8CD13" w14:textId="77777777" w:rsidR="00B72126" w:rsidRDefault="00B90E7B" w:rsidP="00506199">
      <w:pPr>
        <w:pStyle w:val="SingleTxtG"/>
      </w:pPr>
      <w:r>
        <w:t>31.</w:t>
      </w:r>
      <w:r>
        <w:tab/>
      </w:r>
      <w:r w:rsidR="00776DDC">
        <w:t>For many, the only real choice was to comply or leave occupied territory. I</w:t>
      </w:r>
      <w:r w:rsidR="00776DDC" w:rsidRPr="002E1F5F">
        <w:t>n occupied Zaporizhzhia region</w:t>
      </w:r>
      <w:r w:rsidR="00776DDC" w:rsidRPr="4D5F4D19">
        <w:t>,</w:t>
      </w:r>
      <w:r w:rsidR="00776DDC" w:rsidRPr="002E1F5F">
        <w:t xml:space="preserve"> </w:t>
      </w:r>
      <w:r w:rsidR="00776DDC">
        <w:t>one</w:t>
      </w:r>
      <w:r w:rsidR="00776DDC" w:rsidRPr="002E1F5F">
        <w:t xml:space="preserve"> school director </w:t>
      </w:r>
      <w:r w:rsidR="00776DDC" w:rsidRPr="699EB0A4">
        <w:t xml:space="preserve">who </w:t>
      </w:r>
      <w:r w:rsidR="00776DDC">
        <w:t>had faced</w:t>
      </w:r>
      <w:r w:rsidR="00776DDC" w:rsidRPr="699EB0A4">
        <w:t xml:space="preserve"> repeated </w:t>
      </w:r>
      <w:r w:rsidR="00776DDC" w:rsidRPr="270175E6">
        <w:t>threats</w:t>
      </w:r>
      <w:r w:rsidR="00776DDC" w:rsidRPr="699EB0A4">
        <w:t xml:space="preserve"> and </w:t>
      </w:r>
      <w:r w:rsidR="00776DDC" w:rsidRPr="39A8EC77">
        <w:t xml:space="preserve">intimidation by </w:t>
      </w:r>
      <w:r w:rsidR="00776DDC" w:rsidRPr="699EB0A4">
        <w:t xml:space="preserve">the occupying authorities </w:t>
      </w:r>
      <w:r w:rsidR="00776DDC" w:rsidRPr="39A8EC77">
        <w:t>for refusing</w:t>
      </w:r>
      <w:r w:rsidR="00776DDC" w:rsidRPr="002E1F5F">
        <w:t xml:space="preserve"> to reopen her school under the Russian curriculum</w:t>
      </w:r>
      <w:r w:rsidR="00776DDC" w:rsidRPr="61F66E91">
        <w:t>,</w:t>
      </w:r>
      <w:r w:rsidR="00776DDC" w:rsidRPr="4B98ECE3">
        <w:t xml:space="preserve"> </w:t>
      </w:r>
      <w:r w:rsidR="00776DDC" w:rsidRPr="4ED2ECA9">
        <w:t>ultimately</w:t>
      </w:r>
      <w:r w:rsidR="00776DDC" w:rsidRPr="4B98ECE3">
        <w:t xml:space="preserve"> </w:t>
      </w:r>
      <w:r w:rsidR="00776DDC" w:rsidRPr="4ED2ECA9">
        <w:t>fle</w:t>
      </w:r>
      <w:r w:rsidR="00776DDC">
        <w:t>d occupied territory with her family</w:t>
      </w:r>
      <w:r w:rsidR="00776DDC" w:rsidRPr="4ED2ECA9">
        <w:t xml:space="preserve"> </w:t>
      </w:r>
      <w:r w:rsidR="00776DDC">
        <w:t>after</w:t>
      </w:r>
      <w:r w:rsidR="00776DDC" w:rsidRPr="4ED2ECA9">
        <w:t xml:space="preserve"> </w:t>
      </w:r>
      <w:r w:rsidR="00776DDC" w:rsidRPr="002E1F5F">
        <w:t>armed soldiers came to her home</w:t>
      </w:r>
      <w:r w:rsidR="00776DDC" w:rsidRPr="4ED2ECA9">
        <w:t xml:space="preserve"> and o</w:t>
      </w:r>
      <w:r w:rsidR="00776DDC" w:rsidRPr="002E1F5F">
        <w:t>ther school staff were detained.</w:t>
      </w:r>
      <w:r w:rsidR="00776DDC">
        <w:t xml:space="preserve"> </w:t>
      </w:r>
      <w:r w:rsidR="00776DDC" w:rsidRPr="000822D4">
        <w:t>Ukrainian authorities report</w:t>
      </w:r>
      <w:r w:rsidR="00776DDC">
        <w:t>ed</w:t>
      </w:r>
      <w:r w:rsidR="00776DDC" w:rsidRPr="000822D4">
        <w:t xml:space="preserve"> that 21,188 education personnel, 13,774 medical personnel, and 6,500 people working for local government left occupied territory in the period 24 February 2022 to 31 December 2025, and are currently displaced either in Government-controlled territory or abroad.</w:t>
      </w:r>
    </w:p>
    <w:p w14:paraId="7805C92D" w14:textId="64C528BD" w:rsidR="00776DDC" w:rsidRPr="002E1F5F" w:rsidRDefault="00B90E7B" w:rsidP="00506199">
      <w:pPr>
        <w:pStyle w:val="SingleTxtG"/>
      </w:pPr>
      <w:r>
        <w:t>32.</w:t>
      </w:r>
      <w:r>
        <w:tab/>
      </w:r>
      <w:r w:rsidR="00776DDC">
        <w:t>In another</w:t>
      </w:r>
      <w:r w:rsidR="00776DDC" w:rsidRPr="002E1F5F">
        <w:t xml:space="preserve"> example, </w:t>
      </w:r>
      <w:r w:rsidR="00776DDC">
        <w:t xml:space="preserve">after taking control of </w:t>
      </w:r>
      <w:r w:rsidR="00776DDC" w:rsidRPr="002E1F5F">
        <w:t>the Zaporizhzhia Nuclear Power Plant (ZNPP)</w:t>
      </w:r>
      <w:r w:rsidR="00776DDC">
        <w:t xml:space="preserve">, Russian authorities gave staff an ultimatum </w:t>
      </w:r>
      <w:r w:rsidR="00776DDC" w:rsidRPr="002E1F5F">
        <w:t xml:space="preserve">to sign new contracts with the Russian </w:t>
      </w:r>
      <w:r w:rsidR="00776DDC">
        <w:t>S</w:t>
      </w:r>
      <w:r w:rsidR="00776DDC" w:rsidRPr="002E1F5F">
        <w:t xml:space="preserve">tate entity “Rosatom” </w:t>
      </w:r>
      <w:r w:rsidR="00776DDC">
        <w:t>or leave occupied territory. Of 16 ZNPP employees interviewed by OHCHR, 13 said that they had been detained and at least 8 tortured or ill-treated because of their refusal to comply.</w:t>
      </w:r>
      <w:r w:rsidR="00776DDC" w:rsidRPr="002E1F5F">
        <w:rPr>
          <w:rStyle w:val="FootnoteReference"/>
          <w:color w:val="000000"/>
          <w:shd w:val="clear" w:color="auto" w:fill="FFFFFF"/>
        </w:rPr>
        <w:footnoteReference w:id="33"/>
      </w:r>
      <w:r w:rsidR="00776DDC" w:rsidRPr="002E1F5F">
        <w:rPr>
          <w:rStyle w:val="normaltextrun"/>
          <w:color w:val="EE0000"/>
          <w:shd w:val="clear" w:color="auto" w:fill="FFFFFF"/>
        </w:rPr>
        <w:t xml:space="preserve"> </w:t>
      </w:r>
      <w:r w:rsidR="00776DDC" w:rsidRPr="002E1F5F">
        <w:rPr>
          <w:rStyle w:val="normaltextrun"/>
          <w:shd w:val="clear" w:color="auto" w:fill="FFFFFF"/>
        </w:rPr>
        <w:t xml:space="preserve">According to the public enterprise </w:t>
      </w:r>
      <w:proofErr w:type="spellStart"/>
      <w:r w:rsidR="00776DDC" w:rsidRPr="002E1F5F">
        <w:rPr>
          <w:rStyle w:val="normaltextrun"/>
          <w:shd w:val="clear" w:color="auto" w:fill="FFFFFF"/>
        </w:rPr>
        <w:t>Enerhoatom</w:t>
      </w:r>
      <w:proofErr w:type="spellEnd"/>
      <w:r w:rsidR="00776DDC" w:rsidRPr="002E1F5F">
        <w:rPr>
          <w:rStyle w:val="normaltextrun"/>
          <w:shd w:val="clear" w:color="auto" w:fill="FFFFFF"/>
        </w:rPr>
        <w:t>, 5,318 ZNPP employees had left occupied territory as of 29 December</w:t>
      </w:r>
      <w:r w:rsidR="00776DDC" w:rsidRPr="00FD5340">
        <w:rPr>
          <w:rStyle w:val="normaltextrun"/>
          <w:shd w:val="clear" w:color="auto" w:fill="FFFFFF"/>
        </w:rPr>
        <w:t xml:space="preserve"> 2025, of which </w:t>
      </w:r>
      <w:r w:rsidR="00776DDC" w:rsidRPr="00FD5340">
        <w:rPr>
          <w:shd w:val="clear" w:color="auto" w:fill="FFFFFF"/>
        </w:rPr>
        <w:t>3,795 employees were internally displaced in Ukraine.</w:t>
      </w:r>
      <w:r w:rsidR="00776DDC" w:rsidRPr="002E1F5F">
        <w:rPr>
          <w:rStyle w:val="FootnoteReference"/>
          <w:shd w:val="clear" w:color="auto" w:fill="FFFFFF"/>
        </w:rPr>
        <w:footnoteReference w:id="34"/>
      </w:r>
    </w:p>
    <w:p w14:paraId="1103BBC3" w14:textId="5B290FCC" w:rsidR="00776DDC" w:rsidRPr="002E1F5F" w:rsidRDefault="000C5FB6" w:rsidP="000C5FB6">
      <w:pPr>
        <w:pStyle w:val="H4G"/>
      </w:pPr>
      <w:r>
        <w:tab/>
      </w:r>
      <w:r>
        <w:tab/>
      </w:r>
      <w:r w:rsidR="00776DDC" w:rsidRPr="002F2F4D">
        <w:t>Compulsory</w:t>
      </w:r>
      <w:r w:rsidR="00776DDC">
        <w:t xml:space="preserve"> change of citizenship</w:t>
      </w:r>
    </w:p>
    <w:p w14:paraId="7325FA34" w14:textId="77777777" w:rsidR="00A215BC" w:rsidRDefault="00E06DFF" w:rsidP="000C5FB6">
      <w:pPr>
        <w:pStyle w:val="SingleTxtG"/>
      </w:pPr>
      <w:r>
        <w:t>33.</w:t>
      </w:r>
      <w:r>
        <w:tab/>
      </w:r>
      <w:r w:rsidR="00776DDC" w:rsidRPr="079FDBEB">
        <w:t>Following the unlawful annexation of occupied territory, Russian authorities classified Ukrainian citizens in occupied territory as “foreigners.” A presidential decree adopted in 2023 set a deadline of 1 July 2024 (later extended to 31 December 2024 and then to 10 September 2025) for Ukrainians residing in occupied territory to obtain Russian citizenship, “legalize” their presence “in the Russian Federation”, or face “deportation”.</w:t>
      </w:r>
      <w:r w:rsidR="00776DDC" w:rsidRPr="002E1F5F">
        <w:rPr>
          <w:rStyle w:val="FootnoteReference"/>
        </w:rPr>
        <w:footnoteReference w:id="35"/>
      </w:r>
    </w:p>
    <w:p w14:paraId="07CC18C3" w14:textId="77777777" w:rsidR="00A215BC" w:rsidRDefault="00E06DFF" w:rsidP="000C5FB6">
      <w:pPr>
        <w:pStyle w:val="SingleTxtG"/>
      </w:pPr>
      <w:r>
        <w:t>34.</w:t>
      </w:r>
      <w:r>
        <w:tab/>
      </w:r>
      <w:r w:rsidR="00776DDC">
        <w:t>T</w:t>
      </w:r>
      <w:r w:rsidR="00776DDC" w:rsidRPr="00FE0D93">
        <w:t xml:space="preserve">he Russian Federation </w:t>
      </w:r>
      <w:r w:rsidR="00776DDC">
        <w:t xml:space="preserve">also </w:t>
      </w:r>
      <w:r w:rsidR="00776DDC" w:rsidRPr="00FE0D93">
        <w:t xml:space="preserve">gradually restricted access to essential services and rights, including healthcare, pensions and social security, humanitarian aid, employment opportunities, and property ownership, </w:t>
      </w:r>
      <w:r w:rsidR="00776DDC">
        <w:t xml:space="preserve">in occupied territory </w:t>
      </w:r>
      <w:r w:rsidR="00776DDC" w:rsidRPr="00FE0D93">
        <w:t>to those holding Russian passports. Many other services also became inaccessible without a Russian passport, including opening bank accounts and obtaining insurance.</w:t>
      </w:r>
      <w:r w:rsidR="00776DDC" w:rsidRPr="002E1F5F">
        <w:rPr>
          <w:rStyle w:val="FootnoteReference"/>
        </w:rPr>
        <w:footnoteReference w:id="36"/>
      </w:r>
    </w:p>
    <w:p w14:paraId="1F4C3FB6" w14:textId="77777777" w:rsidR="00A215BC" w:rsidRDefault="00E06DFF" w:rsidP="000C5FB6">
      <w:pPr>
        <w:pStyle w:val="SingleTxtG"/>
      </w:pPr>
      <w:r>
        <w:t>35.</w:t>
      </w:r>
      <w:r>
        <w:tab/>
      </w:r>
      <w:r w:rsidR="00776DDC">
        <w:t>T</w:t>
      </w:r>
      <w:r w:rsidR="00776DDC" w:rsidRPr="00FE0D93">
        <w:t>he establishment of martial law in occupied territory (except Crimea) in October 2022</w:t>
      </w:r>
      <w:r w:rsidR="00776DDC">
        <w:t xml:space="preserve"> </w:t>
      </w:r>
      <w:r w:rsidR="00776DDC" w:rsidRPr="00FE0D93">
        <w:t>introduced restrictions on freedom of movement to, from, and inside occupied territory.</w:t>
      </w:r>
      <w:r w:rsidR="00776DDC" w:rsidRPr="002E1F5F">
        <w:rPr>
          <w:vertAlign w:val="superscript"/>
        </w:rPr>
        <w:footnoteReference w:id="37"/>
      </w:r>
      <w:r w:rsidR="00776DDC" w:rsidRPr="00FE0D93">
        <w:t xml:space="preserve"> Residents of occupied territory told OHCHR that those without Russian passports were subjected to intense </w:t>
      </w:r>
      <w:r w:rsidR="00776DDC" w:rsidRPr="00424D29">
        <w:t>scrutiny, questioning, and searches when passing through checkpoints at all major settlements and crossroads, which sometimes resulted in detention, torture and ill-treatment.</w:t>
      </w:r>
      <w:r w:rsidR="00776DDC" w:rsidRPr="00424D29">
        <w:rPr>
          <w:rStyle w:val="FootnoteReference"/>
        </w:rPr>
        <w:footnoteReference w:id="38"/>
      </w:r>
    </w:p>
    <w:p w14:paraId="4C5FF002" w14:textId="77777777" w:rsidR="00B72126" w:rsidRDefault="00E06DFF" w:rsidP="000C5FB6">
      <w:pPr>
        <w:pStyle w:val="SingleTxtG"/>
      </w:pPr>
      <w:r>
        <w:t>36.</w:t>
      </w:r>
      <w:r>
        <w:tab/>
      </w:r>
      <w:r w:rsidR="00776DDC" w:rsidRPr="00424D29">
        <w:t xml:space="preserve">Faced with the threat of deportation, loss of access to essential services such as medical care and social benefits, and harassment by law enforcement officials, OHCHR understands that most residents of occupied territory who have not obtained Russian citizenship have left [as of December 2025]. In interviews with OHCHR, particularly in the months prior to the initial 1 July 2024 deadline for obtaining Russian citizenship, many </w:t>
      </w:r>
      <w:r w:rsidR="00776DDC" w:rsidRPr="00424D29">
        <w:lastRenderedPageBreak/>
        <w:t>people leaving the occupied territory told OHCHR that the threat of deportation was one of their main reasons for leaving.</w:t>
      </w:r>
      <w:r w:rsidR="00776DDC" w:rsidRPr="00424D29">
        <w:rPr>
          <w:rStyle w:val="FootnoteReference"/>
        </w:rPr>
        <w:footnoteReference w:id="39"/>
      </w:r>
    </w:p>
    <w:p w14:paraId="35596057" w14:textId="0819445A" w:rsidR="00A215BC" w:rsidRDefault="00DD32CC" w:rsidP="00DD32CC">
      <w:pPr>
        <w:pStyle w:val="H4G"/>
      </w:pPr>
      <w:r>
        <w:tab/>
      </w:r>
      <w:r>
        <w:tab/>
      </w:r>
      <w:r w:rsidR="00776DDC" w:rsidRPr="002E1F5F">
        <w:t>Conscription</w:t>
      </w:r>
    </w:p>
    <w:p w14:paraId="7D5E41D2" w14:textId="5021A23A" w:rsidR="00A215BC" w:rsidRDefault="009940DF" w:rsidP="00DD32CC">
      <w:pPr>
        <w:pStyle w:val="SingleTxtG"/>
      </w:pPr>
      <w:r>
        <w:t>37.</w:t>
      </w:r>
      <w:r>
        <w:tab/>
      </w:r>
      <w:r w:rsidR="00776DDC" w:rsidRPr="003D746C">
        <w:t xml:space="preserve">The imposition of Russian citizenship on the population in occupied territory </w:t>
      </w:r>
      <w:r w:rsidR="00776DDC">
        <w:t xml:space="preserve">has </w:t>
      </w:r>
      <w:r w:rsidR="00776DDC" w:rsidRPr="003D746C">
        <w:t>re</w:t>
      </w:r>
      <w:r w:rsidR="00776DDC">
        <w:t xml:space="preserve">sulted in </w:t>
      </w:r>
      <w:r w:rsidR="00776DDC" w:rsidRPr="003D746C">
        <w:t>Ukrainian men aged 18 to 30</w:t>
      </w:r>
      <w:r w:rsidR="00776DDC">
        <w:rPr>
          <w:rStyle w:val="FootnoteReference"/>
        </w:rPr>
        <w:footnoteReference w:id="40"/>
      </w:r>
      <w:r w:rsidR="00776DDC" w:rsidRPr="003D746C">
        <w:t xml:space="preserve"> </w:t>
      </w:r>
      <w:r w:rsidR="00776DDC">
        <w:t xml:space="preserve">being treated as </w:t>
      </w:r>
      <w:r w:rsidR="00776DDC" w:rsidRPr="003D746C">
        <w:t>eligible for conscription into the Russian armed forces</w:t>
      </w:r>
      <w:r w:rsidR="00776DDC">
        <w:t xml:space="preserve"> under Russian national legislation</w:t>
      </w:r>
      <w:r w:rsidR="00776DDC" w:rsidRPr="003D746C" w:rsidDel="00EB102D">
        <w:t>, although under IHL, an occupying Power cannot compel protected persons to serve in its armed forces</w:t>
      </w:r>
      <w:r w:rsidR="00776DDC">
        <w:t>.</w:t>
      </w:r>
      <w:r w:rsidR="00776DDC" w:rsidRPr="002E1F5F">
        <w:rPr>
          <w:rStyle w:val="FootnoteReference"/>
        </w:rPr>
        <w:footnoteReference w:id="41"/>
      </w:r>
      <w:r w:rsidR="00776DDC" w:rsidRPr="003D746C">
        <w:t xml:space="preserve"> </w:t>
      </w:r>
      <w:r w:rsidR="00776DDC">
        <w:t xml:space="preserve">Since October 2023, </w:t>
      </w:r>
      <w:r w:rsidR="00776DDC" w:rsidRPr="003D746C">
        <w:t xml:space="preserve">Russian authorities have conducted </w:t>
      </w:r>
      <w:r w:rsidR="00776DDC">
        <w:t>five</w:t>
      </w:r>
      <w:r w:rsidR="00776DDC" w:rsidRPr="003D746C">
        <w:t xml:space="preserve"> conscription campaigns in occupied territory, and </w:t>
      </w:r>
      <w:r w:rsidR="00776DDC">
        <w:t>adopted measures to pressure people to join the Russian armed forces.</w:t>
      </w:r>
      <w:r w:rsidR="00776DDC" w:rsidRPr="002E1F5F">
        <w:rPr>
          <w:rStyle w:val="FootnoteReference"/>
        </w:rPr>
        <w:footnoteReference w:id="42"/>
      </w:r>
      <w:r w:rsidR="00776DDC" w:rsidRPr="003D746C">
        <w:t xml:space="preserve"> While </w:t>
      </w:r>
      <w:r w:rsidR="00776DDC">
        <w:t>no official statistics have been published, documents</w:t>
      </w:r>
      <w:r w:rsidR="00776DDC" w:rsidRPr="003D746C">
        <w:t xml:space="preserve"> </w:t>
      </w:r>
      <w:r w:rsidR="00776DDC">
        <w:t>suggest that thousands of residents of occupied territory have been unlawfully c</w:t>
      </w:r>
      <w:r w:rsidR="00776DDC" w:rsidRPr="003D746C">
        <w:t xml:space="preserve">onscripted into the Russian </w:t>
      </w:r>
      <w:r w:rsidR="00776DDC">
        <w:t>a</w:t>
      </w:r>
      <w:r w:rsidR="00776DDC" w:rsidRPr="003D746C">
        <w:t xml:space="preserve">rmed </w:t>
      </w:r>
      <w:r w:rsidR="00776DDC">
        <w:t>f</w:t>
      </w:r>
      <w:r w:rsidR="00776DDC" w:rsidRPr="003D746C">
        <w:t>orces.</w:t>
      </w:r>
      <w:r w:rsidR="00776DDC">
        <w:rPr>
          <w:rStyle w:val="FootnoteReference"/>
        </w:rPr>
        <w:footnoteReference w:id="43"/>
      </w:r>
    </w:p>
    <w:p w14:paraId="40CE3B20" w14:textId="70335C06" w:rsidR="00776DDC" w:rsidRPr="002E1F5F" w:rsidRDefault="009940DF" w:rsidP="00DD32CC">
      <w:pPr>
        <w:pStyle w:val="SingleTxtG"/>
      </w:pPr>
      <w:r>
        <w:t>38.</w:t>
      </w:r>
      <w:r>
        <w:tab/>
      </w:r>
      <w:r w:rsidR="00776DDC">
        <w:t>Fear of conscription and ensuing deployment against their own country’s armed forces compelled many</w:t>
      </w:r>
      <w:r w:rsidR="00776DDC" w:rsidRPr="002E1F5F">
        <w:t xml:space="preserve"> Ukrainian men and boys</w:t>
      </w:r>
      <w:r w:rsidR="00776DDC">
        <w:t xml:space="preserve"> to flee occupied territory to Government-controlled territory</w:t>
      </w:r>
      <w:r w:rsidR="00776DDC" w:rsidRPr="002E1F5F">
        <w:t xml:space="preserve">. For example, a 21-year-old man from Zaporizhzhia region told OHCHR that he was forced to obtain a Russian passport in 2023 to be able to move </w:t>
      </w:r>
      <w:r w:rsidR="00776DDC">
        <w:t>around</w:t>
      </w:r>
      <w:r w:rsidR="00776DDC" w:rsidRPr="002E1F5F">
        <w:t xml:space="preserve">. </w:t>
      </w:r>
      <w:r w:rsidR="00776DDC">
        <w:t>However, u</w:t>
      </w:r>
      <w:r w:rsidR="00776DDC" w:rsidRPr="002E1F5F">
        <w:t>pon receiving the passport</w:t>
      </w:r>
      <w:r w:rsidR="00776DDC">
        <w:t xml:space="preserve">, </w:t>
      </w:r>
      <w:r w:rsidR="00776DDC" w:rsidRPr="002E1F5F">
        <w:t>he was instructed to undergo military registration</w:t>
      </w:r>
      <w:r w:rsidR="00776DDC">
        <w:t>;</w:t>
      </w:r>
      <w:r w:rsidR="00776DDC" w:rsidRPr="002E1F5F">
        <w:t xml:space="preserve"> </w:t>
      </w:r>
      <w:r w:rsidR="00776DDC">
        <w:t xml:space="preserve">he left </w:t>
      </w:r>
      <w:r w:rsidR="00776DDC" w:rsidRPr="002E1F5F">
        <w:t xml:space="preserve">occupied territory to avoid serving in the Russian </w:t>
      </w:r>
      <w:r w:rsidR="00776DDC">
        <w:t>a</w:t>
      </w:r>
      <w:r w:rsidR="00776DDC" w:rsidRPr="002E1F5F">
        <w:t xml:space="preserve">rmed </w:t>
      </w:r>
      <w:r w:rsidR="00776DDC">
        <w:t>f</w:t>
      </w:r>
      <w:r w:rsidR="00776DDC" w:rsidRPr="002E1F5F">
        <w:t>orces. A boy from Luhansk region told OHCHR that he left occupied territory a few days before his eighteenth birthday out of fear of conscription.</w:t>
      </w:r>
    </w:p>
    <w:p w14:paraId="7B361E69" w14:textId="77777777" w:rsidR="00A215BC" w:rsidRDefault="00D63391" w:rsidP="00D63391">
      <w:pPr>
        <w:pStyle w:val="H4G"/>
      </w:pPr>
      <w:bookmarkStart w:id="8" w:name="_Toc219281390"/>
      <w:r>
        <w:tab/>
      </w:r>
      <w:r>
        <w:tab/>
      </w:r>
      <w:r w:rsidR="00776DDC">
        <w:t>Restrictions on freedom of expression</w:t>
      </w:r>
      <w:bookmarkEnd w:id="8"/>
    </w:p>
    <w:p w14:paraId="548C7B2E" w14:textId="77777777" w:rsidR="00A215BC" w:rsidRPr="00490904" w:rsidRDefault="00776DDC" w:rsidP="00490904">
      <w:pPr>
        <w:pStyle w:val="SingleTxtG"/>
        <w:ind w:left="1701"/>
        <w:jc w:val="right"/>
        <w:rPr>
          <w:i/>
          <w:iCs/>
          <w:sz w:val="18"/>
          <w:szCs w:val="18"/>
        </w:rPr>
      </w:pPr>
      <w:r w:rsidRPr="00490904">
        <w:rPr>
          <w:i/>
          <w:iCs/>
          <w:sz w:val="18"/>
          <w:szCs w:val="18"/>
        </w:rPr>
        <w:t>“We do not want to live [under occupation] with our heads down. When I crossed [into Government-controlled territory], I felt free — like I could finally breathe and speak.”</w:t>
      </w:r>
    </w:p>
    <w:p w14:paraId="0784FA82" w14:textId="33300715" w:rsidR="00776DDC" w:rsidRPr="00490904" w:rsidRDefault="00776DDC" w:rsidP="00490904">
      <w:pPr>
        <w:pStyle w:val="SingleTxtG"/>
        <w:ind w:left="2268"/>
        <w:jc w:val="right"/>
        <w:rPr>
          <w:sz w:val="18"/>
          <w:szCs w:val="18"/>
        </w:rPr>
      </w:pPr>
      <w:r w:rsidRPr="00490904">
        <w:rPr>
          <w:sz w:val="18"/>
          <w:szCs w:val="18"/>
        </w:rPr>
        <w:t>– A woman from occupied Zaporizhzhia region comparing the atmosphere of fear in occupied territory with how she felt upon arriving in territory controlled by Ukraine in October 2025.</w:t>
      </w:r>
    </w:p>
    <w:p w14:paraId="138B0DBE" w14:textId="53DF64A0" w:rsidR="00776DDC" w:rsidRDefault="00211FFA" w:rsidP="00741255">
      <w:pPr>
        <w:pStyle w:val="SingleTxtG"/>
      </w:pPr>
      <w:r>
        <w:t>39.</w:t>
      </w:r>
      <w:r>
        <w:tab/>
      </w:r>
      <w:r w:rsidR="00776DDC" w:rsidRPr="002E1F5F">
        <w:t xml:space="preserve">In March 2022, the Russian Federation adopted legislation </w:t>
      </w:r>
      <w:r w:rsidR="00776DDC">
        <w:t xml:space="preserve">applicable in occupied territory of Ukraine </w:t>
      </w:r>
      <w:r w:rsidR="00776DDC" w:rsidRPr="002E1F5F">
        <w:t xml:space="preserve">that criminalized broadly defined acts, including the “dissemination of knowingly false information” about the armed forces and </w:t>
      </w:r>
      <w:r w:rsidR="00776DDC">
        <w:t>S</w:t>
      </w:r>
      <w:r w:rsidR="00776DDC" w:rsidRPr="002E1F5F">
        <w:t>tate authorities</w:t>
      </w:r>
      <w:r w:rsidR="00776DDC" w:rsidRPr="002E1F5F">
        <w:rPr>
          <w:vertAlign w:val="superscript"/>
        </w:rPr>
        <w:footnoteReference w:id="44"/>
      </w:r>
      <w:r w:rsidR="00776DDC" w:rsidRPr="002E1F5F">
        <w:t xml:space="preserve"> and “public actions aimed at discrediting” the Russian </w:t>
      </w:r>
      <w:r w:rsidR="00776DDC">
        <w:t>a</w:t>
      </w:r>
      <w:r w:rsidR="00776DDC" w:rsidRPr="002E1F5F">
        <w:t xml:space="preserve">rmed </w:t>
      </w:r>
      <w:r w:rsidR="00776DDC">
        <w:t>f</w:t>
      </w:r>
      <w:r w:rsidR="00776DDC" w:rsidRPr="002E1F5F">
        <w:t>orces.</w:t>
      </w:r>
      <w:r w:rsidR="00776DDC" w:rsidRPr="002E1F5F">
        <w:rPr>
          <w:vertAlign w:val="superscript"/>
        </w:rPr>
        <w:footnoteReference w:id="45"/>
      </w:r>
      <w:r w:rsidR="00776DDC" w:rsidRPr="002E1F5F">
        <w:t xml:space="preserve"> </w:t>
      </w:r>
      <w:r w:rsidR="00776DDC">
        <w:t>At the same time,</w:t>
      </w:r>
      <w:r w:rsidR="00776DDC" w:rsidRPr="002E1F5F">
        <w:t xml:space="preserve"> occupying authorities extensively enforced Russian legislation </w:t>
      </w:r>
      <w:r w:rsidR="00776DDC">
        <w:t xml:space="preserve">regarding </w:t>
      </w:r>
      <w:r w:rsidR="00776DDC" w:rsidRPr="002E1F5F">
        <w:t>liability for “propaganda or public display of Nazi paraphernalia or symbols” and “distribution of information demonstrating disrespect for society, the state, official state symbols of the Russian Federation, the Constitution of the Russian Federation, or official authorities</w:t>
      </w:r>
      <w:r w:rsidR="00776DDC">
        <w:t>.</w:t>
      </w:r>
      <w:r w:rsidR="00776DDC" w:rsidRPr="002E1F5F">
        <w:t>”</w:t>
      </w:r>
      <w:r w:rsidR="00776DDC" w:rsidRPr="002E1F5F">
        <w:rPr>
          <w:vertAlign w:val="superscript"/>
        </w:rPr>
        <w:footnoteReference w:id="46"/>
      </w:r>
      <w:r w:rsidR="00776DDC" w:rsidRPr="002E1F5F">
        <w:t xml:space="preserve"> </w:t>
      </w:r>
      <w:r w:rsidR="00776DDC">
        <w:t>The adoption and application of these laws in occupied territory appeared in many cases not to be justifiable under the law of occupation and to have led to violations of freedom of expression.</w:t>
      </w:r>
      <w:r w:rsidR="00776DDC">
        <w:rPr>
          <w:rStyle w:val="FootnoteReference"/>
        </w:rPr>
        <w:footnoteReference w:id="47"/>
      </w:r>
    </w:p>
    <w:p w14:paraId="359C0364" w14:textId="77777777" w:rsidR="00A215BC" w:rsidRDefault="00D44535" w:rsidP="00741255">
      <w:pPr>
        <w:pStyle w:val="SingleTxtG"/>
      </w:pPr>
      <w:r>
        <w:lastRenderedPageBreak/>
        <w:t>40.</w:t>
      </w:r>
      <w:r>
        <w:tab/>
      </w:r>
      <w:r w:rsidR="00776DDC" w:rsidRPr="009C09D8">
        <w:t>Since February 2022, Russian</w:t>
      </w:r>
      <w:r w:rsidR="00776DDC">
        <w:t>-controlled</w:t>
      </w:r>
      <w:r w:rsidR="00776DDC" w:rsidRPr="009C09D8">
        <w:t xml:space="preserve"> courts</w:t>
      </w:r>
      <w:r w:rsidR="00776DDC">
        <w:t xml:space="preserve"> in occupied territory</w:t>
      </w:r>
      <w:r w:rsidR="00776DDC" w:rsidRPr="009C09D8">
        <w:t xml:space="preserve"> </w:t>
      </w:r>
      <w:r w:rsidR="00776DDC">
        <w:t xml:space="preserve">have </w:t>
      </w:r>
      <w:r w:rsidR="00776DDC" w:rsidRPr="009C09D8">
        <w:t xml:space="preserve">issued at least 12 criminal convictions (against 10 men and </w:t>
      </w:r>
      <w:r w:rsidR="00776DDC">
        <w:t>two</w:t>
      </w:r>
      <w:r w:rsidR="00776DDC" w:rsidRPr="009C09D8">
        <w:t xml:space="preserve"> women) and 1,876 administrative fines (against 925 women and 951 men) applying these provisions</w:t>
      </w:r>
      <w:r w:rsidR="00776DDC">
        <w:t>.</w:t>
      </w:r>
      <w:r w:rsidR="00776DDC" w:rsidRPr="002E1F5F">
        <w:rPr>
          <w:vertAlign w:val="superscript"/>
        </w:rPr>
        <w:footnoteReference w:id="48"/>
      </w:r>
      <w:r w:rsidR="00776DDC" w:rsidRPr="009C09D8">
        <w:t xml:space="preserve"> Those prosecuted included individuals peacefully expressing dissent by holding signs or posting online messages opposing the war, criticizing the military offensive, or praising Ukrainian resistance</w:t>
      </w:r>
      <w:r w:rsidR="00776DDC">
        <w:t>, as well as those who conveyed such opinions in private phone messages.</w:t>
      </w:r>
      <w:r w:rsidR="00776DDC" w:rsidRPr="009C09D8">
        <w:t xml:space="preserve"> Convictions resulted in fines ranging from 1,000 to 100,000 RUB (12 to 1,240 USD) and </w:t>
      </w:r>
      <w:r w:rsidR="00776DDC">
        <w:t>detention</w:t>
      </w:r>
      <w:r w:rsidR="00776DDC">
        <w:rPr>
          <w:rStyle w:val="FootnoteReference"/>
        </w:rPr>
        <w:footnoteReference w:id="49"/>
      </w:r>
      <w:r w:rsidR="00776DDC" w:rsidRPr="009C09D8">
        <w:t xml:space="preserve"> </w:t>
      </w:r>
      <w:r w:rsidR="00776DDC">
        <w:t xml:space="preserve">or </w:t>
      </w:r>
      <w:r w:rsidR="00776DDC" w:rsidRPr="009C09D8">
        <w:t>imprisonment.</w:t>
      </w:r>
    </w:p>
    <w:p w14:paraId="4BA4F72D" w14:textId="6931C694" w:rsidR="00776DDC" w:rsidRPr="007A6464" w:rsidRDefault="00211FFA" w:rsidP="00741255">
      <w:pPr>
        <w:pStyle w:val="SingleTxtG"/>
      </w:pPr>
      <w:r>
        <w:t>4</w:t>
      </w:r>
      <w:r w:rsidR="00D44535">
        <w:t>1</w:t>
      </w:r>
      <w:r>
        <w:t>.</w:t>
      </w:r>
      <w:r>
        <w:tab/>
      </w:r>
      <w:r w:rsidR="00776DDC">
        <w:t xml:space="preserve">The occupying authorities also used other legal provisions to restrict freedom of expression. </w:t>
      </w:r>
      <w:r w:rsidR="00776DDC" w:rsidRPr="005C27BD">
        <w:t xml:space="preserve">In August 2025, a 49-year-old woman from occupied Zaporizhzhia was sentenced to 15 years’ imprisonment on “treason” charges for painting </w:t>
      </w:r>
      <w:r w:rsidR="00776DDC">
        <w:t>“Mykhailivka is Ukraine” on a wall on her street. Her</w:t>
      </w:r>
      <w:r w:rsidR="00776DDC" w:rsidRPr="005C27BD">
        <w:t xml:space="preserve"> sister who attended the trial reported that the </w:t>
      </w:r>
      <w:r w:rsidR="00776DDC">
        <w:t>woman</w:t>
      </w:r>
      <w:r w:rsidR="00776DDC" w:rsidRPr="005C27BD">
        <w:t xml:space="preserve"> appeared in court with broken teeth and discoloured fingernails, injuries consistent with torture, including electric shocks. </w:t>
      </w:r>
      <w:r w:rsidR="00776DDC">
        <w:t>O</w:t>
      </w:r>
      <w:r w:rsidR="00776DDC" w:rsidRPr="007809D0">
        <w:t>ccupying authorities</w:t>
      </w:r>
      <w:r w:rsidR="00776DDC">
        <w:t xml:space="preserve"> also</w:t>
      </w:r>
      <w:r w:rsidR="00776DDC" w:rsidRPr="007809D0">
        <w:t xml:space="preserve"> prosecuted</w:t>
      </w:r>
      <w:r w:rsidR="00776DDC">
        <w:t xml:space="preserve"> </w:t>
      </w:r>
      <w:r w:rsidR="00776DDC" w:rsidRPr="007809D0">
        <w:t xml:space="preserve">individuals for </w:t>
      </w:r>
      <w:r w:rsidR="00776DDC">
        <w:t xml:space="preserve">social media posts containing </w:t>
      </w:r>
      <w:r w:rsidR="00776DDC" w:rsidRPr="007809D0">
        <w:t xml:space="preserve">Ukrainian </w:t>
      </w:r>
      <w:r w:rsidR="00776DDC">
        <w:t>S</w:t>
      </w:r>
      <w:r w:rsidR="00776DDC" w:rsidRPr="007809D0">
        <w:t>tate symbols</w:t>
      </w:r>
      <w:r w:rsidR="00776DDC">
        <w:t xml:space="preserve"> or </w:t>
      </w:r>
      <w:r w:rsidR="00776DDC" w:rsidRPr="007809D0">
        <w:t>images in blue and yellow</w:t>
      </w:r>
      <w:r w:rsidR="00776DDC">
        <w:t xml:space="preserve"> (such as </w:t>
      </w:r>
      <w:r w:rsidR="00776DDC" w:rsidRPr="007809D0">
        <w:t>nail polish or flower bouquets</w:t>
      </w:r>
      <w:r w:rsidR="00776DDC">
        <w:t>)</w:t>
      </w:r>
      <w:r w:rsidR="00776DDC" w:rsidRPr="007809D0">
        <w:t xml:space="preserve"> as purported display</w:t>
      </w:r>
      <w:r w:rsidR="00776DDC">
        <w:t>s</w:t>
      </w:r>
      <w:r w:rsidR="00776DDC" w:rsidRPr="007809D0">
        <w:t xml:space="preserve"> of “Nazi” </w:t>
      </w:r>
      <w:r w:rsidR="00776DDC" w:rsidRPr="007A6464">
        <w:t>symbols.</w:t>
      </w:r>
    </w:p>
    <w:p w14:paraId="12AB6266" w14:textId="6D3A439B" w:rsidR="00776DDC" w:rsidRPr="007A50AB" w:rsidRDefault="00211FFA" w:rsidP="00741255">
      <w:pPr>
        <w:pStyle w:val="SingleTxtG"/>
      </w:pPr>
      <w:r>
        <w:t>4</w:t>
      </w:r>
      <w:r w:rsidR="00D44535">
        <w:t>2</w:t>
      </w:r>
      <w:r>
        <w:t>.</w:t>
      </w:r>
      <w:r>
        <w:tab/>
      </w:r>
      <w:r w:rsidR="00776DDC" w:rsidRPr="007A6464">
        <w:t>Some individuals interviewed by OHCHR who held – or were perceived to hold – opinions critical of the war or occupation have reported that they fled occupied territory out of fear of prosecution due to these measures. For example, after a man from Simferopol posted a “no war” hashtag on social media, FSB</w:t>
      </w:r>
      <w:r w:rsidR="00776DDC" w:rsidRPr="007A6464">
        <w:rPr>
          <w:rStyle w:val="FootnoteReference"/>
        </w:rPr>
        <w:footnoteReference w:id="50"/>
      </w:r>
      <w:r w:rsidR="00776DDC" w:rsidRPr="007A6464">
        <w:t xml:space="preserve"> officers arrested</w:t>
      </w:r>
      <w:r w:rsidR="00776DDC" w:rsidRPr="002E1F5F">
        <w:t xml:space="preserve"> him, searched his apartment, beat him and denied him medical assistance. A court fined him 40,000 roubles (500 USD) for “public actions directed at discrediting the Russian armed forces”. After a court dismissed his claim of ill-treatment, </w:t>
      </w:r>
      <w:r w:rsidR="00776DDC">
        <w:t>he fled occupied territory for Government-controlled territory, citing fear of further</w:t>
      </w:r>
      <w:r w:rsidR="00776DDC" w:rsidRPr="002E1F5F">
        <w:t xml:space="preserve"> p</w:t>
      </w:r>
      <w:r w:rsidR="00776DDC">
        <w:t>ro</w:t>
      </w:r>
      <w:r w:rsidR="00776DDC" w:rsidRPr="002E1F5F">
        <w:t>secution for his anti-war stance.</w:t>
      </w:r>
    </w:p>
    <w:p w14:paraId="726026EE" w14:textId="77777777" w:rsidR="00A215BC" w:rsidRDefault="00A61EA8" w:rsidP="00A61EA8">
      <w:pPr>
        <w:pStyle w:val="H23G"/>
      </w:pPr>
      <w:bookmarkStart w:id="9" w:name="_Toc219281391"/>
      <w:r>
        <w:tab/>
        <w:t>2.</w:t>
      </w:r>
      <w:r>
        <w:tab/>
      </w:r>
      <w:r w:rsidR="00776DDC" w:rsidRPr="0061094D">
        <w:t xml:space="preserve">Policies </w:t>
      </w:r>
      <w:r w:rsidR="00776DDC">
        <w:t>targeting expressions of</w:t>
      </w:r>
      <w:r w:rsidR="00776DDC" w:rsidRPr="0061094D">
        <w:t xml:space="preserve"> cultural identit</w:t>
      </w:r>
      <w:r w:rsidR="00776DDC">
        <w:t>ies</w:t>
      </w:r>
      <w:bookmarkEnd w:id="9"/>
      <w:r w:rsidR="00776DDC">
        <w:t xml:space="preserve"> linked to Ukraine</w:t>
      </w:r>
    </w:p>
    <w:p w14:paraId="623036EB" w14:textId="77777777" w:rsidR="00B72126" w:rsidRDefault="00A61EA8" w:rsidP="00A61EA8">
      <w:pPr>
        <w:pStyle w:val="H4G"/>
      </w:pPr>
      <w:r>
        <w:tab/>
      </w:r>
      <w:r>
        <w:tab/>
      </w:r>
      <w:r w:rsidR="00776DDC" w:rsidRPr="002E1F5F">
        <w:t>Replacement of Ukrainian education</w:t>
      </w:r>
    </w:p>
    <w:p w14:paraId="4390017D" w14:textId="67AC907F" w:rsidR="00A215BC" w:rsidRPr="00702FE9" w:rsidRDefault="00776DDC" w:rsidP="00702FE9">
      <w:pPr>
        <w:pStyle w:val="SingleTxtG"/>
        <w:ind w:left="1701"/>
        <w:jc w:val="right"/>
        <w:rPr>
          <w:sz w:val="18"/>
          <w:szCs w:val="18"/>
        </w:rPr>
      </w:pPr>
      <w:r w:rsidRPr="00A61EA8">
        <w:rPr>
          <w:i/>
          <w:iCs/>
        </w:rPr>
        <w:t>“</w:t>
      </w:r>
      <w:r w:rsidRPr="00702FE9">
        <w:rPr>
          <w:i/>
          <w:iCs/>
          <w:sz w:val="18"/>
          <w:szCs w:val="18"/>
        </w:rPr>
        <w:t>Why I [left occupied territory]? Because the authorities threatened to take away our children. Our children do not want to study in Russian language. We had to leave.”</w:t>
      </w:r>
    </w:p>
    <w:p w14:paraId="5DBE2906" w14:textId="77777777" w:rsidR="00A215BC" w:rsidRPr="00702FE9" w:rsidRDefault="00776DDC" w:rsidP="00702FE9">
      <w:pPr>
        <w:pStyle w:val="SingleTxtG"/>
        <w:ind w:left="1701"/>
        <w:jc w:val="right"/>
        <w:rPr>
          <w:sz w:val="18"/>
          <w:szCs w:val="18"/>
        </w:rPr>
      </w:pPr>
      <w:r w:rsidRPr="00702FE9">
        <w:rPr>
          <w:sz w:val="18"/>
          <w:szCs w:val="18"/>
        </w:rPr>
        <w:t>– A man whose family was displaced from occupied Kherson region in July 2025.</w:t>
      </w:r>
    </w:p>
    <w:p w14:paraId="0C3650DF" w14:textId="58FF85D5" w:rsidR="00776DDC" w:rsidRPr="002E1F5F" w:rsidRDefault="00A61EA8" w:rsidP="00A61EA8">
      <w:pPr>
        <w:pStyle w:val="SingleTxtG"/>
        <w:rPr>
          <w:color w:val="252423"/>
        </w:rPr>
      </w:pPr>
      <w:r>
        <w:t>43.</w:t>
      </w:r>
      <w:r>
        <w:tab/>
      </w:r>
      <w:r w:rsidR="00776DDC" w:rsidRPr="002E1F5F">
        <w:t xml:space="preserve">Starting with the 2022-2023 academic year, the Russian education curriculum replaced the Ukrainian curriculum in all schools in occupied territory, with classes taught in the Russian language. </w:t>
      </w:r>
      <w:r w:rsidR="00776DDC" w:rsidRPr="002E1F5F">
        <w:rPr>
          <w:color w:val="252423"/>
        </w:rPr>
        <w:t xml:space="preserve">Russian narratives – justifying </w:t>
      </w:r>
      <w:r w:rsidR="00776DDC" w:rsidRPr="002E1F5F">
        <w:t>the war against Ukraine and glorifying Russian soldiers –</w:t>
      </w:r>
      <w:r w:rsidR="00776DDC" w:rsidRPr="002E1F5F" w:rsidDel="00B57FB7">
        <w:rPr>
          <w:rFonts w:eastAsia="DengXian" w:cs="Arial"/>
          <w:szCs w:val="22"/>
        </w:rPr>
        <w:t xml:space="preserve"> </w:t>
      </w:r>
      <w:r w:rsidR="00776DDC">
        <w:rPr>
          <w:rFonts w:eastAsia="DengXian" w:cs="Arial"/>
          <w:szCs w:val="22"/>
        </w:rPr>
        <w:t xml:space="preserve">were introduced, as were </w:t>
      </w:r>
      <w:r w:rsidR="00776DDC" w:rsidRPr="002E1F5F">
        <w:t>mandatory patriotic rituals</w:t>
      </w:r>
      <w:r w:rsidR="00776DDC">
        <w:t xml:space="preserve"> and military-patriotic programmes</w:t>
      </w:r>
      <w:r w:rsidR="00776DDC" w:rsidRPr="002E1F5F">
        <w:t xml:space="preserve">, </w:t>
      </w:r>
      <w:r w:rsidR="00776DDC">
        <w:t xml:space="preserve">as well as </w:t>
      </w:r>
      <w:r w:rsidR="00776DDC" w:rsidRPr="002E1F5F">
        <w:t>cadet classes</w:t>
      </w:r>
      <w:r w:rsidR="00776DDC">
        <w:t xml:space="preserve">, </w:t>
      </w:r>
      <w:r w:rsidR="00776DDC" w:rsidRPr="00E4283A">
        <w:t xml:space="preserve">with these practices </w:t>
      </w:r>
      <w:r w:rsidR="00776DDC" w:rsidRPr="002E1F5F">
        <w:t>extending into extracurricular activities</w:t>
      </w:r>
      <w:r w:rsidR="00776DDC">
        <w:t xml:space="preserve"> beyond the classroom</w:t>
      </w:r>
      <w:r w:rsidR="00776DDC" w:rsidRPr="00E4283A">
        <w:t>, and affecting children from a</w:t>
      </w:r>
      <w:r w:rsidR="00776DDC">
        <w:t xml:space="preserve"> very</w:t>
      </w:r>
      <w:r w:rsidR="00776DDC" w:rsidRPr="00E4283A">
        <w:t xml:space="preserve"> early age</w:t>
      </w:r>
      <w:r w:rsidR="00776DDC" w:rsidRPr="002E1F5F">
        <w:t>.</w:t>
      </w:r>
      <w:r w:rsidR="00776DDC" w:rsidRPr="002E1F5F">
        <w:rPr>
          <w:rStyle w:val="FootnoteReference"/>
        </w:rPr>
        <w:footnoteReference w:id="51"/>
      </w:r>
      <w:r w:rsidR="00776DDC" w:rsidRPr="002E1F5F">
        <w:t xml:space="preserve"> Amendments to </w:t>
      </w:r>
      <w:r w:rsidR="00776DDC">
        <w:t xml:space="preserve">Russian </w:t>
      </w:r>
      <w:r w:rsidR="00776DDC" w:rsidRPr="002E1F5F">
        <w:t>federal educational programmes removed Ukrainian language and literature from primary and basic general education.</w:t>
      </w:r>
      <w:r w:rsidR="00776DDC" w:rsidRPr="002E1F5F">
        <w:rPr>
          <w:rStyle w:val="FootnoteReference"/>
        </w:rPr>
        <w:footnoteReference w:id="52"/>
      </w:r>
      <w:r w:rsidR="00776DDC" w:rsidRPr="002E1F5F">
        <w:t xml:space="preserve"> Occup</w:t>
      </w:r>
      <w:r w:rsidR="00776DDC">
        <w:t>ying</w:t>
      </w:r>
      <w:r w:rsidR="00776DDC" w:rsidRPr="002E1F5F">
        <w:t xml:space="preserve"> authorities removed Ukrainian textbooks and literature from schools and libraries, blocked Ukrainian educational websites and digital platforms, and required “foreign” educational institutions (including Ukrainian) to close by 1 June 2023.</w:t>
      </w:r>
      <w:r w:rsidR="00776DDC" w:rsidRPr="002E1F5F">
        <w:rPr>
          <w:rStyle w:val="FootnoteReference"/>
        </w:rPr>
        <w:footnoteReference w:id="53"/>
      </w:r>
      <w:r w:rsidR="00776DDC" w:rsidRPr="002E1F5F">
        <w:t xml:space="preserve"> </w:t>
      </w:r>
      <w:r w:rsidR="00776DDC">
        <w:t xml:space="preserve">These measures deprived children of an education respectful of their individual </w:t>
      </w:r>
      <w:r w:rsidR="00776DDC">
        <w:lastRenderedPageBreak/>
        <w:t>cultural identity, language, and values, and the national values of their country, in violation of IHL and IHRL.</w:t>
      </w:r>
      <w:r w:rsidR="00776DDC" w:rsidRPr="0061094D">
        <w:rPr>
          <w:rStyle w:val="FootnoteReference"/>
          <w:rFonts w:eastAsia="DengXian"/>
        </w:rPr>
        <w:footnoteReference w:id="54"/>
      </w:r>
    </w:p>
    <w:p w14:paraId="46282409" w14:textId="77777777" w:rsidR="00A215BC" w:rsidRDefault="00A61EA8" w:rsidP="00A61EA8">
      <w:pPr>
        <w:pStyle w:val="SingleTxtG"/>
      </w:pPr>
      <w:r>
        <w:t>44.</w:t>
      </w:r>
      <w:r>
        <w:tab/>
      </w:r>
      <w:r w:rsidR="00776DDC" w:rsidRPr="002E1F5F">
        <w:t>The occupying authorities enforced attendance in Russian</w:t>
      </w:r>
      <w:r w:rsidR="00776DDC">
        <w:t>-run</w:t>
      </w:r>
      <w:r w:rsidR="00776DDC" w:rsidRPr="002E1F5F">
        <w:t xml:space="preserve"> schools through threats and intimidation, searching children’s mobile phones</w:t>
      </w:r>
      <w:r w:rsidR="00776DDC">
        <w:t>, including</w:t>
      </w:r>
      <w:r w:rsidR="00776DDC" w:rsidRPr="002E1F5F">
        <w:t xml:space="preserve"> for Ukrainian education apps. Parents who </w:t>
      </w:r>
      <w:r w:rsidR="00776DDC">
        <w:t xml:space="preserve">did not enrol their </w:t>
      </w:r>
      <w:r w:rsidR="00776DDC" w:rsidRPr="002E1F5F">
        <w:t>children in Russian</w:t>
      </w:r>
      <w:r w:rsidR="00776DDC">
        <w:t>-run</w:t>
      </w:r>
      <w:r w:rsidR="00776DDC" w:rsidRPr="002E1F5F">
        <w:t xml:space="preserve"> schools were warned of penalties, including fines, and informed that their cases would be referred to child guardianship bodies and police, placing them at risk of losing their parental rights.</w:t>
      </w:r>
    </w:p>
    <w:p w14:paraId="29E34CE6" w14:textId="77777777" w:rsidR="00A215BC" w:rsidRDefault="00A61EA8" w:rsidP="00A61EA8">
      <w:pPr>
        <w:pStyle w:val="SingleTxtG"/>
      </w:pPr>
      <w:r>
        <w:t>45.</w:t>
      </w:r>
      <w:r>
        <w:tab/>
      </w:r>
      <w:r w:rsidR="00776DDC">
        <w:t>Many parents and teachers interviewed by OHCHR who had fled occupied territory for Government-controlled territory cited these e</w:t>
      </w:r>
      <w:r w:rsidR="00776DDC" w:rsidRPr="002E1F5F">
        <w:t xml:space="preserve">ducation-related policies </w:t>
      </w:r>
      <w:r w:rsidR="00776DDC">
        <w:t>as</w:t>
      </w:r>
      <w:r w:rsidR="00776DDC" w:rsidRPr="002E1F5F">
        <w:t xml:space="preserve"> a primary or contributing reason for their departure. </w:t>
      </w:r>
      <w:r w:rsidR="00776DDC">
        <w:t>For example, a</w:t>
      </w:r>
      <w:r w:rsidR="00776DDC" w:rsidRPr="002E1F5F">
        <w:t xml:space="preserve"> mother of four children left occupied</w:t>
      </w:r>
      <w:r w:rsidR="00776DDC" w:rsidRPr="002E1F5F" w:rsidDel="008C0381">
        <w:t xml:space="preserve"> </w:t>
      </w:r>
      <w:r w:rsidR="00776DDC" w:rsidRPr="002E1F5F">
        <w:t xml:space="preserve">Zaporizhzhia region in 2025 because her children </w:t>
      </w:r>
      <w:r w:rsidR="00776DDC" w:rsidRPr="002E1F5F" w:rsidDel="00175D9F">
        <w:t xml:space="preserve">were </w:t>
      </w:r>
      <w:r w:rsidR="00776DDC" w:rsidRPr="002E1F5F">
        <w:t xml:space="preserve">required to recite poems and sing songs glorifying the Russian Federation and justifying its invasion of Ukraine. </w:t>
      </w:r>
      <w:r w:rsidR="00776DDC" w:rsidRPr="002E1F5F">
        <w:rPr>
          <w:color w:val="000000" w:themeColor="text1"/>
        </w:rPr>
        <w:t>A teacher</w:t>
      </w:r>
      <w:r w:rsidR="00776DDC" w:rsidRPr="002E1F5F">
        <w:t xml:space="preserve"> in occupied Kherson region left her post in 2022 rather than teach the Russian curriculum and departed in 2025 because, as she stated, her “son’s education came first” and he could no longer safely access online Ukrainian classes.</w:t>
      </w:r>
    </w:p>
    <w:p w14:paraId="6A3F4CF0" w14:textId="5FC1D3B2" w:rsidR="00A215BC" w:rsidRDefault="0035662B" w:rsidP="0035662B">
      <w:pPr>
        <w:pStyle w:val="H4G"/>
      </w:pPr>
      <w:r>
        <w:tab/>
      </w:r>
      <w:r>
        <w:tab/>
      </w:r>
      <w:r w:rsidR="00776DDC" w:rsidRPr="002E1F5F">
        <w:t>Removal of Ukrainian cultur</w:t>
      </w:r>
      <w:r w:rsidR="00776DDC">
        <w:t>e</w:t>
      </w:r>
      <w:r w:rsidR="00776DDC" w:rsidRPr="002E1F5F">
        <w:t xml:space="preserve"> from public </w:t>
      </w:r>
      <w:r w:rsidR="00776DDC">
        <w:t>and private</w:t>
      </w:r>
      <w:r w:rsidR="00776DDC" w:rsidRPr="002E1F5F">
        <w:t xml:space="preserve"> spaces</w:t>
      </w:r>
    </w:p>
    <w:p w14:paraId="1BFBDBA0" w14:textId="77777777" w:rsidR="00A215BC" w:rsidRPr="00F3322C" w:rsidRDefault="00776DDC" w:rsidP="00F3322C">
      <w:pPr>
        <w:pStyle w:val="SingleTxtG"/>
        <w:jc w:val="right"/>
        <w:rPr>
          <w:i/>
          <w:iCs/>
          <w:sz w:val="18"/>
          <w:szCs w:val="18"/>
        </w:rPr>
      </w:pPr>
      <w:r w:rsidRPr="00F3322C">
        <w:rPr>
          <w:i/>
          <w:iCs/>
          <w:sz w:val="18"/>
          <w:szCs w:val="18"/>
        </w:rPr>
        <w:t>“We left so we would not be forced [by the occupation authorities] to be someone we are not.”</w:t>
      </w:r>
    </w:p>
    <w:p w14:paraId="6A8CB1E5" w14:textId="16642C15" w:rsidR="00776DDC" w:rsidRPr="00F3322C" w:rsidRDefault="00776DDC" w:rsidP="00520B82">
      <w:pPr>
        <w:pStyle w:val="SingleTxtG"/>
        <w:ind w:firstLine="567"/>
        <w:jc w:val="right"/>
        <w:rPr>
          <w:sz w:val="18"/>
          <w:szCs w:val="18"/>
        </w:rPr>
      </w:pPr>
      <w:r w:rsidRPr="00F3322C">
        <w:rPr>
          <w:sz w:val="18"/>
          <w:szCs w:val="18"/>
        </w:rPr>
        <w:t>– A mother of two children who was displaced from occupied Kherson region in September 2023.</w:t>
      </w:r>
    </w:p>
    <w:p w14:paraId="329190D5" w14:textId="1418E8F5" w:rsidR="00776DDC" w:rsidRPr="001B29C2" w:rsidRDefault="00520B82" w:rsidP="0035662B">
      <w:pPr>
        <w:pStyle w:val="SingleTxtG"/>
      </w:pPr>
      <w:r>
        <w:t>46.</w:t>
      </w:r>
      <w:r>
        <w:tab/>
      </w:r>
      <w:r w:rsidR="00776DDC">
        <w:t xml:space="preserve">In territory of Ukraine occupied by the Russian Federation, references to </w:t>
      </w:r>
      <w:r w:rsidR="00776DDC" w:rsidRPr="001B29C2">
        <w:t>Ukrainian culture</w:t>
      </w:r>
      <w:r w:rsidR="00776DDC">
        <w:t xml:space="preserve"> have been removed from</w:t>
      </w:r>
      <w:r w:rsidR="00776DDC" w:rsidRPr="001B29C2">
        <w:t xml:space="preserve"> public spaces</w:t>
      </w:r>
      <w:r w:rsidR="00776DDC">
        <w:t>. This includes</w:t>
      </w:r>
      <w:r w:rsidR="00776DDC" w:rsidRPr="001B29C2">
        <w:t xml:space="preserve"> destr</w:t>
      </w:r>
      <w:r w:rsidR="00776DDC">
        <w:t>uction of</w:t>
      </w:r>
      <w:r w:rsidR="00776DDC" w:rsidRPr="001B29C2">
        <w:t xml:space="preserve"> monuments commemorating Ukrainian history</w:t>
      </w:r>
      <w:r w:rsidR="00776DDC">
        <w:t>,</w:t>
      </w:r>
      <w:r w:rsidR="00776DDC" w:rsidRPr="001B29C2">
        <w:t xml:space="preserve"> such as the Holodomor famine of 1932–1933, removing Ukrainian literature from libraries</w:t>
      </w:r>
      <w:r w:rsidR="00776DDC">
        <w:t xml:space="preserve">, renaming </w:t>
      </w:r>
      <w:r w:rsidR="00776DDC" w:rsidRPr="001B29C2">
        <w:t>streets</w:t>
      </w:r>
      <w:r w:rsidR="00776DDC">
        <w:t>,</w:t>
      </w:r>
      <w:r w:rsidR="00776DDC" w:rsidRPr="001B29C2">
        <w:t xml:space="preserve"> and </w:t>
      </w:r>
      <w:r w:rsidR="00776DDC">
        <w:t xml:space="preserve">replacing </w:t>
      </w:r>
      <w:r w:rsidR="00776DDC" w:rsidRPr="001B29C2">
        <w:t>public signs</w:t>
      </w:r>
      <w:r w:rsidR="00776DDC">
        <w:t xml:space="preserve">. Observance of </w:t>
      </w:r>
      <w:r w:rsidR="00776DDC" w:rsidRPr="001B29C2">
        <w:t>Ukrainian national holidays and commemorative dates</w:t>
      </w:r>
      <w:r w:rsidR="00776DDC">
        <w:t xml:space="preserve"> has been</w:t>
      </w:r>
      <w:r w:rsidR="00776DDC" w:rsidRPr="001B29C2">
        <w:t xml:space="preserve"> restricted.</w:t>
      </w:r>
    </w:p>
    <w:p w14:paraId="156E11C6" w14:textId="120A0A54" w:rsidR="00776DDC" w:rsidRPr="00213414" w:rsidRDefault="00520B82" w:rsidP="0035662B">
      <w:pPr>
        <w:pStyle w:val="SingleTxtG"/>
      </w:pPr>
      <w:r>
        <w:t>47.</w:t>
      </w:r>
      <w:r>
        <w:tab/>
      </w:r>
      <w:r w:rsidR="00776DDC" w:rsidRPr="00AD4A6E">
        <w:t>Restrictions on Ukrainian culture have also been extended into private and family life, including through surveillance and unannounced home visits</w:t>
      </w:r>
      <w:r w:rsidR="00776DDC">
        <w:t xml:space="preserve"> by law enforcement officials</w:t>
      </w:r>
      <w:r w:rsidR="00776DDC" w:rsidRPr="00AD4A6E">
        <w:t xml:space="preserve">; checks of </w:t>
      </w:r>
      <w:r w:rsidR="00776DDC" w:rsidRPr="00213414">
        <w:t>mobile phones for pro-Ukrainian content</w:t>
      </w:r>
      <w:r w:rsidR="00776DDC">
        <w:t>;</w:t>
      </w:r>
      <w:r w:rsidR="00776DDC" w:rsidRPr="00213414">
        <w:t xml:space="preserve"> and restrictions on access to Ukrainian media. In some areas, satellite antennas have been replaced to allow access only to Russian television channels; access to Ukrainian websites is restricted.</w:t>
      </w:r>
      <w:r w:rsidR="00776DDC" w:rsidRPr="00213414">
        <w:rPr>
          <w:rStyle w:val="FootnoteReference"/>
        </w:rPr>
        <w:footnoteReference w:id="55"/>
      </w:r>
      <w:r w:rsidR="00776DDC" w:rsidRPr="00213414">
        <w:t xml:space="preserve"> The updated State Strategy for Countering Extremism of 2024 designates the expression of Ukrainian identity, including the use of Ukrainian national symbols, patriotic songs, and historical commemorations such as the Holodomor, as “extremist” activities.</w:t>
      </w:r>
      <w:r w:rsidR="00776DDC" w:rsidRPr="00213414">
        <w:rPr>
          <w:rStyle w:val="FootnoteReference"/>
        </w:rPr>
        <w:footnoteReference w:id="56"/>
      </w:r>
    </w:p>
    <w:p w14:paraId="453457D8" w14:textId="77777777" w:rsidR="00A215BC" w:rsidRDefault="00520B82" w:rsidP="0035662B">
      <w:pPr>
        <w:pStyle w:val="SingleTxtG"/>
      </w:pPr>
      <w:bookmarkStart w:id="10" w:name="_Toc219281392"/>
      <w:r>
        <w:t>48.</w:t>
      </w:r>
      <w:r>
        <w:tab/>
      </w:r>
      <w:r w:rsidR="00776DDC" w:rsidRPr="00213414">
        <w:t>IDPs from occupied territory described concealing their use of the Ukrainian language, limiting cultural practices, including</w:t>
      </w:r>
      <w:r w:rsidR="00776DDC" w:rsidRPr="000905BC">
        <w:t xml:space="preserve"> religious and holiday observance, engagement with Ukrainian music, literature and other </w:t>
      </w:r>
      <w:r w:rsidR="00776DDC" w:rsidRPr="00213414">
        <w:t>cultural content, and avoiding Ukrainian symbols and content, even in private settings. Some IDPs have reported to OHCHR that the cumulative impact of sustained pressure linked to their cultural identity and the risk of prosecution as an “extremist” for any expression of it contributed materially to their decisions to leave occupied territory for Government-controlled territory.</w:t>
      </w:r>
    </w:p>
    <w:p w14:paraId="262FAAD1" w14:textId="77777777" w:rsidR="00A215BC" w:rsidRDefault="00FA7EF8" w:rsidP="00962D8B">
      <w:pPr>
        <w:pStyle w:val="H23G"/>
        <w:rPr>
          <w:rStyle w:val="Heading3Char"/>
        </w:rPr>
      </w:pPr>
      <w:r>
        <w:rPr>
          <w:rStyle w:val="Heading3Char"/>
          <w:bCs/>
        </w:rPr>
        <w:tab/>
      </w:r>
      <w:r w:rsidRPr="00962D8B">
        <w:rPr>
          <w:rStyle w:val="Heading3Char"/>
        </w:rPr>
        <w:t>3.</w:t>
      </w:r>
      <w:r w:rsidRPr="00962D8B">
        <w:rPr>
          <w:rStyle w:val="Heading3Char"/>
        </w:rPr>
        <w:tab/>
      </w:r>
      <w:r w:rsidR="00776DDC" w:rsidRPr="002F254E">
        <w:t xml:space="preserve">Legislation and policies targeting religious </w:t>
      </w:r>
      <w:bookmarkEnd w:id="10"/>
      <w:r w:rsidR="00776DDC" w:rsidRPr="002F254E">
        <w:t>communities</w:t>
      </w:r>
    </w:p>
    <w:p w14:paraId="4907D16C" w14:textId="77777777" w:rsidR="00A215BC" w:rsidRPr="00F3322C" w:rsidRDefault="00776DDC" w:rsidP="005A448D">
      <w:pPr>
        <w:pStyle w:val="SingleTxtG"/>
        <w:spacing w:after="0"/>
        <w:ind w:left="2268"/>
        <w:jc w:val="right"/>
        <w:rPr>
          <w:rStyle w:val="cf21"/>
          <w:rFonts w:ascii="Times New Roman" w:eastAsiaTheme="majorEastAsia" w:hAnsi="Times New Roman" w:cs="Times New Roman"/>
        </w:rPr>
      </w:pPr>
      <w:r w:rsidRPr="00F3322C">
        <w:rPr>
          <w:rStyle w:val="cf01"/>
          <w:rFonts w:ascii="Times New Roman" w:eastAsiaTheme="majorEastAsia" w:hAnsi="Times New Roman" w:cs="Times New Roman"/>
        </w:rPr>
        <w:t>“</w:t>
      </w:r>
      <w:r w:rsidRPr="00F3322C">
        <w:rPr>
          <w:rStyle w:val="cf11"/>
          <w:rFonts w:ascii="Times New Roman" w:eastAsiaTheme="majorEastAsia" w:hAnsi="Times New Roman" w:cs="Times New Roman"/>
        </w:rPr>
        <w:t>After what happened to me, I was sure they wouldn’t let me practice my religion or let me live in peace … I decided to leave as soon as possible in order to survive</w:t>
      </w:r>
      <w:r w:rsidRPr="00F3322C">
        <w:rPr>
          <w:rStyle w:val="cf21"/>
          <w:rFonts w:ascii="Times New Roman" w:eastAsiaTheme="majorEastAsia" w:hAnsi="Times New Roman" w:cs="Times New Roman"/>
        </w:rPr>
        <w:t>.”</w:t>
      </w:r>
    </w:p>
    <w:p w14:paraId="22C9C6A9" w14:textId="19C7B8BA" w:rsidR="005A448D" w:rsidRPr="00F3322C" w:rsidRDefault="00776DDC" w:rsidP="005A448D">
      <w:pPr>
        <w:pStyle w:val="SingleTxtG"/>
        <w:ind w:left="2268"/>
        <w:jc w:val="right"/>
        <w:rPr>
          <w:sz w:val="18"/>
          <w:szCs w:val="18"/>
        </w:rPr>
      </w:pPr>
      <w:r w:rsidRPr="00F3322C">
        <w:rPr>
          <w:rStyle w:val="cf01"/>
          <w:rFonts w:ascii="Times New Roman" w:eastAsiaTheme="majorEastAsia" w:hAnsi="Times New Roman" w:cs="Times New Roman"/>
        </w:rPr>
        <w:t>–</w:t>
      </w:r>
      <w:r w:rsidR="005A448D">
        <w:rPr>
          <w:rStyle w:val="cf01"/>
          <w:rFonts w:ascii="Times New Roman" w:eastAsiaTheme="majorEastAsia" w:hAnsi="Times New Roman" w:cs="Times New Roman"/>
        </w:rPr>
        <w:t xml:space="preserve"> </w:t>
      </w:r>
      <w:r w:rsidRPr="00F3322C">
        <w:rPr>
          <w:rStyle w:val="cf01"/>
          <w:rFonts w:ascii="Times New Roman" w:eastAsiaTheme="majorEastAsia" w:hAnsi="Times New Roman" w:cs="Times New Roman"/>
        </w:rPr>
        <w:t>An imam who fled occupied Kherson region in 2022 after being detained and pressured by occupying authorities.</w:t>
      </w:r>
    </w:p>
    <w:p w14:paraId="258BCE95" w14:textId="77777777" w:rsidR="00A215BC" w:rsidRDefault="00D91C4C" w:rsidP="00FA7EF8">
      <w:pPr>
        <w:pStyle w:val="SingleTxtG"/>
      </w:pPr>
      <w:r>
        <w:lastRenderedPageBreak/>
        <w:t>49.</w:t>
      </w:r>
      <w:r>
        <w:tab/>
      </w:r>
      <w:r w:rsidR="00776DDC" w:rsidRPr="003E3EAD">
        <w:t xml:space="preserve">Russian authorities have imposed restrictive laws and administrative requirements </w:t>
      </w:r>
      <w:r w:rsidR="00776DDC">
        <w:t>severely limiting the ability of members of certain religious groups in occupied territory to exercise their</w:t>
      </w:r>
      <w:r w:rsidR="00776DDC" w:rsidRPr="003E3EAD">
        <w:t xml:space="preserve"> </w:t>
      </w:r>
      <w:r w:rsidR="00776DDC">
        <w:t>right to religious freedom, and in some cases criminalizing religious acts</w:t>
      </w:r>
      <w:r w:rsidR="00776DDC" w:rsidRPr="003E3EAD">
        <w:t xml:space="preserve">. </w:t>
      </w:r>
      <w:r w:rsidR="00776DDC">
        <w:t>In particular, o</w:t>
      </w:r>
      <w:r w:rsidR="00776DDC" w:rsidRPr="3E706800">
        <w:t>ccupying authorities</w:t>
      </w:r>
      <w:r w:rsidR="00776DDC">
        <w:t xml:space="preserve"> have</w:t>
      </w:r>
      <w:r w:rsidR="00776DDC" w:rsidRPr="3E706800">
        <w:t xml:space="preserve"> </w:t>
      </w:r>
      <w:r w:rsidR="00776DDC">
        <w:t xml:space="preserve">prosecuted </w:t>
      </w:r>
      <w:r w:rsidR="00776DDC" w:rsidRPr="3E706800">
        <w:t xml:space="preserve">individuals for belonging to Jehovah’s Witnesses and imputed Hizb </w:t>
      </w:r>
      <w:proofErr w:type="spellStart"/>
      <w:r w:rsidR="00776DDC" w:rsidRPr="3E706800">
        <w:t>ut</w:t>
      </w:r>
      <w:proofErr w:type="spellEnd"/>
      <w:r w:rsidR="00776DDC" w:rsidRPr="3E706800">
        <w:t>-Tahrir affiliation, religious organizations that operate freely in Ukraine but are banned under Russian law as “extremist” and “terrorist”.</w:t>
      </w:r>
      <w:r w:rsidR="00776DDC" w:rsidRPr="3E706800">
        <w:rPr>
          <w:rStyle w:val="FootnoteReference"/>
        </w:rPr>
        <w:footnoteReference w:id="57"/>
      </w:r>
    </w:p>
    <w:p w14:paraId="3D2E139C" w14:textId="4372C8BD" w:rsidR="00776DDC" w:rsidRPr="00214467" w:rsidRDefault="00D91C4C" w:rsidP="00FA7EF8">
      <w:pPr>
        <w:pStyle w:val="SingleTxtG"/>
      </w:pPr>
      <w:r>
        <w:t>50.</w:t>
      </w:r>
      <w:r>
        <w:tab/>
      </w:r>
      <w:r w:rsidR="00776DDC" w:rsidRPr="00214467">
        <w:t xml:space="preserve">In addition, all public associations, including religious communities, were required to re-register in order to retain legal status, a process that could be initiated only by Russian citizens. Some religious organizations </w:t>
      </w:r>
      <w:r w:rsidR="00776DDC">
        <w:t xml:space="preserve">also </w:t>
      </w:r>
      <w:r w:rsidR="00776DDC" w:rsidRPr="00214467">
        <w:t xml:space="preserve">declined to re-register due to unwillingness to </w:t>
      </w:r>
      <w:r w:rsidR="00776DDC">
        <w:t xml:space="preserve">comply with </w:t>
      </w:r>
      <w:r w:rsidR="00776DDC" w:rsidDel="004435BF">
        <w:t xml:space="preserve">the </w:t>
      </w:r>
      <w:r w:rsidR="00776DDC" w:rsidRPr="00214467">
        <w:t>Russian legislation</w:t>
      </w:r>
      <w:r w:rsidR="00776DDC">
        <w:t xml:space="preserve"> imposed in occupied territory contrary to international humanitarian law</w:t>
      </w:r>
      <w:r w:rsidR="00776DDC" w:rsidRPr="00214467">
        <w:t xml:space="preserve">, </w:t>
      </w:r>
      <w:r w:rsidR="00776DDC">
        <w:t>and thus cannot worship freely</w:t>
      </w:r>
      <w:r w:rsidR="00776DDC" w:rsidRPr="00214467">
        <w:t>.</w:t>
      </w:r>
      <w:r w:rsidR="00776DDC" w:rsidRPr="0061094D">
        <w:rPr>
          <w:rStyle w:val="FootnoteReference"/>
        </w:rPr>
        <w:footnoteReference w:id="58"/>
      </w:r>
    </w:p>
    <w:p w14:paraId="2BB3208A" w14:textId="303353BC" w:rsidR="00776DDC" w:rsidRPr="002E1F5F" w:rsidRDefault="00D91C4C" w:rsidP="00FA7EF8">
      <w:pPr>
        <w:pStyle w:val="SingleTxtG"/>
      </w:pPr>
      <w:r>
        <w:t>51.</w:t>
      </w:r>
      <w:r>
        <w:tab/>
      </w:r>
      <w:r w:rsidR="00776DDC">
        <w:t>Local occupying authorities banned religious communities that were perceived as not cooperative. For example, in December 2022, the occupying authorities in Zaporizhzhia region banned three Protestant churches and the Ukrainian Greek Catholic Church, accusing them of operating “in violation of Russian Federation legislation,” participating in anti-Russian protests, and having links with foreign entities. In Crimea, the occupying authorities deregistered the independent Muslim organization “</w:t>
      </w:r>
      <w:proofErr w:type="spellStart"/>
      <w:r w:rsidR="00776DDC">
        <w:t>Alushta</w:t>
      </w:r>
      <w:proofErr w:type="spellEnd"/>
      <w:r w:rsidR="00776DDC">
        <w:t>” in October 2024, claiming that the community had disseminated “extremist materials.”</w:t>
      </w:r>
      <w:r w:rsidR="00776DDC">
        <w:rPr>
          <w:rStyle w:val="FootnoteReference"/>
        </w:rPr>
        <w:footnoteReference w:id="59"/>
      </w:r>
    </w:p>
    <w:p w14:paraId="4E5F94CA" w14:textId="77777777" w:rsidR="00A215BC" w:rsidRDefault="00D91C4C" w:rsidP="00FA7EF8">
      <w:pPr>
        <w:pStyle w:val="SingleTxtG"/>
      </w:pPr>
      <w:r>
        <w:t>52.</w:t>
      </w:r>
      <w:r>
        <w:tab/>
      </w:r>
      <w:r w:rsidR="00776DDC">
        <w:t>Occupying authorities also regularly harassed leaders and members of religious communities</w:t>
      </w:r>
      <w:r w:rsidR="00776DDC" w:rsidRPr="002E1F5F">
        <w:t xml:space="preserve">, </w:t>
      </w:r>
      <w:r w:rsidR="00776DDC">
        <w:t>by conducting</w:t>
      </w:r>
      <w:r w:rsidR="00776DDC" w:rsidRPr="002E1F5F">
        <w:t xml:space="preserve"> </w:t>
      </w:r>
      <w:r w:rsidR="00776DDC">
        <w:t xml:space="preserve">searches of worship places and residences, confiscating religious literature and church equipment, and </w:t>
      </w:r>
      <w:r w:rsidR="00776DDC" w:rsidRPr="002E1F5F">
        <w:t>interrogati</w:t>
      </w:r>
      <w:r w:rsidR="00776DDC">
        <w:t xml:space="preserve">ng, </w:t>
      </w:r>
      <w:r w:rsidR="00776DDC" w:rsidRPr="002E1F5F">
        <w:t>det</w:t>
      </w:r>
      <w:r w:rsidR="00776DDC">
        <w:t>aining and in some cases deporting clergy</w:t>
      </w:r>
      <w:r w:rsidR="00776DDC" w:rsidRPr="002E1F5F">
        <w:t>. For example, Russian law enforcement raided a Protestant church during Sunday service</w:t>
      </w:r>
      <w:r w:rsidR="00776DDC">
        <w:t xml:space="preserve"> in September 2022</w:t>
      </w:r>
      <w:r w:rsidR="00776DDC" w:rsidRPr="002E1F5F">
        <w:t>, searched the worshipers</w:t>
      </w:r>
      <w:r w:rsidR="00776DDC">
        <w:t>’</w:t>
      </w:r>
      <w:r w:rsidR="00776DDC" w:rsidRPr="002E1F5F">
        <w:t xml:space="preserve"> phones and detained and interrogated the clerg</w:t>
      </w:r>
      <w:r w:rsidR="00776DDC">
        <w:t xml:space="preserve">y. One pastor was warned he had 48 hours to leave the city </w:t>
      </w:r>
      <w:r w:rsidR="00776DDC" w:rsidRPr="000905BC">
        <w:t>and complied out of fear.</w:t>
      </w:r>
    </w:p>
    <w:p w14:paraId="5B613326" w14:textId="70DFA23B" w:rsidR="00776DDC" w:rsidRPr="002E1F5F" w:rsidRDefault="00D91C4C" w:rsidP="00FA7EF8">
      <w:pPr>
        <w:pStyle w:val="SingleTxtG"/>
      </w:pPr>
      <w:r>
        <w:t>53.</w:t>
      </w:r>
      <w:r>
        <w:tab/>
      </w:r>
      <w:r w:rsidR="00776DDC" w:rsidRPr="000905BC">
        <w:t>Several religious leaders told OHCHR that they left occupied territory for Government-controlled territory because of the pressure from the occupying authorities. Interviewees also</w:t>
      </w:r>
      <w:r w:rsidR="00776DDC">
        <w:t xml:space="preserve"> indicated that many parishioners left because the religious communities to which they had belonged for decades could no longer conduct their activities. For example, an imam from Kherson region, who was detained, interrogated and tortured to compel him to re-register his religious organization under Russian legislation and ensure that members of his community did not participate in pro-Ukrainian protest or express pro-Ukrainian views, told OHCHR that this experience led him to fear he would not be permitted to practise his religion in peace, prompting his decision to leave occupied territory.</w:t>
      </w:r>
    </w:p>
    <w:p w14:paraId="3AF42886" w14:textId="3984F5B7" w:rsidR="00776DDC" w:rsidRPr="0061094D" w:rsidRDefault="00600D67" w:rsidP="00600D67">
      <w:pPr>
        <w:pStyle w:val="H23G"/>
      </w:pPr>
      <w:bookmarkStart w:id="11" w:name="_Toc219281393"/>
      <w:r>
        <w:tab/>
        <w:t>4.</w:t>
      </w:r>
      <w:r>
        <w:tab/>
      </w:r>
      <w:r w:rsidR="00776DDC">
        <w:t>Legislation and policies</w:t>
      </w:r>
      <w:r w:rsidR="00776DDC" w:rsidRPr="0061094D">
        <w:t xml:space="preserve"> </w:t>
      </w:r>
      <w:r w:rsidR="00776DDC">
        <w:t>targeting</w:t>
      </w:r>
      <w:r w:rsidR="00776DDC" w:rsidRPr="0061094D">
        <w:t xml:space="preserve"> </w:t>
      </w:r>
      <w:bookmarkEnd w:id="11"/>
      <w:r w:rsidR="00776DDC">
        <w:t>LGBTIQ+ persons</w:t>
      </w:r>
    </w:p>
    <w:p w14:paraId="7981A51C" w14:textId="77777777" w:rsidR="00A215BC" w:rsidRDefault="007D5E42" w:rsidP="00143020">
      <w:pPr>
        <w:pStyle w:val="SingleTxtG"/>
      </w:pPr>
      <w:r>
        <w:t>54.</w:t>
      </w:r>
      <w:r>
        <w:tab/>
      </w:r>
      <w:r w:rsidR="00776DDC" w:rsidRPr="00143020">
        <w:t>Russian legislation applied in occupied territory of Ukraine prohibits so-called “LGBT propaganda”, effectively banning any public discussion or dissemination of information related to sexual orientation and gender identity.</w:t>
      </w:r>
      <w:r w:rsidR="00776DDC" w:rsidRPr="00594BB7">
        <w:rPr>
          <w:rStyle w:val="FootnoteReference"/>
        </w:rPr>
        <w:footnoteReference w:id="60"/>
      </w:r>
      <w:r w:rsidR="00776DDC" w:rsidRPr="00143020">
        <w:t xml:space="preserve"> Russian authorities have also designated the so-called “International LGBT Social Movement” an extremist organization.</w:t>
      </w:r>
      <w:r w:rsidR="00776DDC" w:rsidRPr="00594BB7">
        <w:rPr>
          <w:rStyle w:val="FootnoteReference"/>
        </w:rPr>
        <w:footnoteReference w:id="61"/>
      </w:r>
    </w:p>
    <w:p w14:paraId="55790F61" w14:textId="77777777" w:rsidR="00A215BC" w:rsidRDefault="007D5E42" w:rsidP="00143020">
      <w:pPr>
        <w:pStyle w:val="SingleTxtG"/>
      </w:pPr>
      <w:r>
        <w:t>55.</w:t>
      </w:r>
      <w:r>
        <w:tab/>
      </w:r>
      <w:r w:rsidR="00776DDC" w:rsidRPr="00143020">
        <w:t xml:space="preserve">OHCHR documented multiple instances where Russian armed forces and security actors harassed and intimidated individuals perceived as LGBTIQ+ during identity checks, searches, and other encounters. Personal data accessed in these interactions, including online activity, increased the risk of targeted abuse. For example, a transgender woman living in occupied territory at the start of the full-scale invasion experienced repeated sexual harassment by soldiers. In one incident, after a Russian soldier realized she was transgender, </w:t>
      </w:r>
      <w:r w:rsidR="00776DDC" w:rsidRPr="00143020">
        <w:lastRenderedPageBreak/>
        <w:t>he struck her in the face twice with the stock of a rifle. She subsequently left occupied territory for territory controlled by the Government of Ukraine.</w:t>
      </w:r>
    </w:p>
    <w:p w14:paraId="3AB879CF" w14:textId="77777777" w:rsidR="00A215BC" w:rsidRDefault="007D5E42" w:rsidP="00143020">
      <w:pPr>
        <w:pStyle w:val="SingleTxtG"/>
      </w:pPr>
      <w:r>
        <w:t>56.</w:t>
      </w:r>
      <w:r>
        <w:tab/>
      </w:r>
      <w:r w:rsidR="00776DDC" w:rsidRPr="00143020">
        <w:t>LGBTIQ+ persons who had fled occupied territory interviewed by OHCHR consistently described a persistent sense of vulnerability, citing risks to their safety and security if they remained in occupied territory. For example, an LGBTIQ+ human rights defender told OHCHR that she and her colleagues left occupied Kherson region because they understood they would face serious risks if they remained due to the systematic repression of LGBTIQ+ people and the prohibition of LGBTIQ+ organizations under Russian law.</w:t>
      </w:r>
    </w:p>
    <w:p w14:paraId="4053990C" w14:textId="77777777" w:rsidR="00A215BC" w:rsidRDefault="00B44165" w:rsidP="00B44165">
      <w:pPr>
        <w:pStyle w:val="H1G"/>
      </w:pPr>
      <w:bookmarkStart w:id="12" w:name="_Toc219281394"/>
      <w:r>
        <w:tab/>
        <w:t>C.</w:t>
      </w:r>
      <w:r>
        <w:tab/>
      </w:r>
      <w:r w:rsidR="00776DDC">
        <w:t xml:space="preserve">Obstacles that prevent the </w:t>
      </w:r>
      <w:r w:rsidR="00776DDC" w:rsidRPr="0061094D">
        <w:t xml:space="preserve">return </w:t>
      </w:r>
      <w:r w:rsidR="00776DDC">
        <w:t>of</w:t>
      </w:r>
      <w:r w:rsidR="00776DDC" w:rsidRPr="0061094D">
        <w:t xml:space="preserve"> displaced persons</w:t>
      </w:r>
      <w:bookmarkEnd w:id="12"/>
      <w:r w:rsidR="00776DDC">
        <w:t xml:space="preserve"> to occupied territory of Ukraine</w:t>
      </w:r>
    </w:p>
    <w:p w14:paraId="54CCB470" w14:textId="5A45BC3F" w:rsidR="00776DDC" w:rsidRDefault="00134C96" w:rsidP="00B44165">
      <w:pPr>
        <w:pStyle w:val="SingleTxtG"/>
      </w:pPr>
      <w:r>
        <w:t>57.</w:t>
      </w:r>
      <w:r>
        <w:tab/>
      </w:r>
      <w:r w:rsidR="00776DDC">
        <w:t xml:space="preserve">The policies described above created significant obstacles to the return of those displaced from occupied territory, </w:t>
      </w:r>
      <w:r w:rsidR="00776DDC" w:rsidRPr="00001055">
        <w:t>regardless of whether they originally</w:t>
      </w:r>
      <w:r w:rsidR="00776DDC" w:rsidRPr="005816A4">
        <w:t xml:space="preserve"> fled because of </w:t>
      </w:r>
      <w:r w:rsidR="00776DDC" w:rsidRPr="00001055">
        <w:t xml:space="preserve">coercive conditions or because of </w:t>
      </w:r>
      <w:r w:rsidR="00776DDC">
        <w:t xml:space="preserve">the conduct of armed </w:t>
      </w:r>
      <w:r w:rsidR="00776DDC" w:rsidRPr="005816A4">
        <w:t>hostilities</w:t>
      </w:r>
      <w:r w:rsidR="00776DDC" w:rsidRPr="000905BC">
        <w:t>. In order to return safely, all would have to comply with unlawfully imposed requirements of the occupying Power. Furthermore</w:t>
      </w:r>
      <w:r w:rsidR="00776DDC">
        <w:t>, the Russian Federation implemented other policies that directly prevented or discouraged displaced Ukrainians from returning to occupied territory.</w:t>
      </w:r>
    </w:p>
    <w:p w14:paraId="37F14710" w14:textId="77777777" w:rsidR="00A215BC" w:rsidRDefault="00AA52D1" w:rsidP="00AA52D1">
      <w:pPr>
        <w:pStyle w:val="H23G"/>
      </w:pPr>
      <w:bookmarkStart w:id="13" w:name="_Toc219281395"/>
      <w:r>
        <w:tab/>
        <w:t>1.</w:t>
      </w:r>
      <w:r>
        <w:tab/>
      </w:r>
      <w:r w:rsidR="00776DDC" w:rsidRPr="0061094D">
        <w:t>Denial of entry and long-term entry bans</w:t>
      </w:r>
      <w:bookmarkEnd w:id="13"/>
    </w:p>
    <w:p w14:paraId="50542A80" w14:textId="77777777" w:rsidR="00A215BC" w:rsidRDefault="00660A52" w:rsidP="00AA52D1">
      <w:pPr>
        <w:pStyle w:val="SingleTxtG"/>
        <w:rPr>
          <w:rStyle w:val="FootnoteReference"/>
        </w:rPr>
      </w:pPr>
      <w:r>
        <w:t>58.</w:t>
      </w:r>
      <w:r>
        <w:tab/>
      </w:r>
      <w:r w:rsidR="00776DDC">
        <w:t xml:space="preserve">Following the closure of unofficial crossing points across the frontline in late 2022, people displaced or who have otherwise departed from occupied territory can return there only via the Russian Federation. Due to restrictions on entry to the Russian Federation for Ukrainian nationals, </w:t>
      </w:r>
      <w:r w:rsidR="00776DDC" w:rsidRPr="002E1F5F">
        <w:t xml:space="preserve">Sheremetyevo </w:t>
      </w:r>
      <w:r w:rsidR="00776DDC">
        <w:t>a</w:t>
      </w:r>
      <w:r w:rsidR="00776DDC" w:rsidRPr="002E1F5F">
        <w:t>irport in Moscow</w:t>
      </w:r>
      <w:r w:rsidR="00776DDC">
        <w:t xml:space="preserve"> is the sole entry point available</w:t>
      </w:r>
      <w:r w:rsidR="00776DDC" w:rsidRPr="002E1F5F">
        <w:t>.</w:t>
      </w:r>
      <w:r w:rsidR="00776DDC" w:rsidRPr="002E1F5F">
        <w:rPr>
          <w:rStyle w:val="FootnoteReference"/>
        </w:rPr>
        <w:footnoteReference w:id="62"/>
      </w:r>
    </w:p>
    <w:p w14:paraId="4D4E5A6A" w14:textId="77777777" w:rsidR="00A215BC" w:rsidRDefault="00660A52" w:rsidP="00AA52D1">
      <w:pPr>
        <w:pStyle w:val="SingleTxtG"/>
      </w:pPr>
      <w:r>
        <w:t>59.</w:t>
      </w:r>
      <w:r>
        <w:tab/>
      </w:r>
      <w:r w:rsidR="00776DDC" w:rsidRPr="00B2014D">
        <w:t>Upon arrival at Sheremetyevo</w:t>
      </w:r>
      <w:r w:rsidR="00776DDC">
        <w:t xml:space="preserve"> airport</w:t>
      </w:r>
      <w:r w:rsidR="00776DDC" w:rsidRPr="00B2014D">
        <w:t xml:space="preserve">, Ukrainian citizens are subject to “filtration”, consisting of intensive security screening procedures, including in-depth searches of electronic devices, intrusive questionnaires regarding family connections and personal views on the “special military operation” in Ukraine, and interviews conducted by border guards. Filtration </w:t>
      </w:r>
      <w:r w:rsidR="00776DDC">
        <w:t>has</w:t>
      </w:r>
      <w:r w:rsidR="00776DDC" w:rsidRPr="00B2014D">
        <w:t xml:space="preserve"> frequently resulted in the denial of entry. OHCHR reviewed court records for 35 appeals by Ukrainian nationals – 20 women and 15 men – who were denied entry to the Russian Federation; in every case, the appeal was rejected based on a broad interpretation of a perceived threat to national security. For example, Ukrainians were denied entry because their cell phone contained photographs or contact details of current or former Ukrainian servicepersons or law enforcement officials, or digital communications or social media activity expressing support for Ukraine. </w:t>
      </w:r>
      <w:r w:rsidR="00776DDC">
        <w:t>Conversely</w:t>
      </w:r>
      <w:r w:rsidR="00776DDC" w:rsidRPr="00B2014D">
        <w:t>, the absence of data on a phone was interpreted as “evidence” that the device had been “cleaned” to conceal information and also resulted in denial of entry. In one case, a renovator was denied entry because he had only 171 contacts in his phone, which was deemed suspiciously low for his profession. Russian border guards also frequently denied entry to Ukrainians who had relatives in the Ukrainian armed forces or past Ukrainian military service. Many were also issued long-term entry bans ranging from 20 to 50 years.</w:t>
      </w:r>
    </w:p>
    <w:p w14:paraId="4EE9A210" w14:textId="398C0FFE" w:rsidR="00776DDC" w:rsidRPr="00B2014D" w:rsidRDefault="00660A52" w:rsidP="00AA52D1">
      <w:pPr>
        <w:pStyle w:val="SingleTxtG"/>
      </w:pPr>
      <w:r>
        <w:t>60.</w:t>
      </w:r>
      <w:r>
        <w:tab/>
      </w:r>
      <w:r w:rsidR="00776DDC" w:rsidRPr="00B2014D">
        <w:t xml:space="preserve">The closure of crossing points across the frontline, restriction of entry of Ukrainian citizens to the Moscow airport, </w:t>
      </w:r>
      <w:r w:rsidR="00776DDC" w:rsidRPr="000905BC">
        <w:t>and filtration practices have effectively prevented the return of protected persons displaced from occupied territory, in violation of the right of displaced persons to return voluntarily to their homes.</w:t>
      </w:r>
      <w:r w:rsidR="00776DDC" w:rsidRPr="000905BC">
        <w:rPr>
          <w:rStyle w:val="FootnoteReference"/>
        </w:rPr>
        <w:footnoteReference w:id="63"/>
      </w:r>
    </w:p>
    <w:p w14:paraId="0F831807" w14:textId="77777777" w:rsidR="00B72126" w:rsidRDefault="00846FA4" w:rsidP="00846FA4">
      <w:pPr>
        <w:pStyle w:val="H23G"/>
      </w:pPr>
      <w:bookmarkStart w:id="14" w:name="_Toc219281396"/>
      <w:r>
        <w:lastRenderedPageBreak/>
        <w:tab/>
        <w:t>2.</w:t>
      </w:r>
      <w:r>
        <w:tab/>
      </w:r>
      <w:r w:rsidR="00776DDC" w:rsidRPr="0061094D">
        <w:t>Confiscation of residential property</w:t>
      </w:r>
      <w:bookmarkEnd w:id="14"/>
    </w:p>
    <w:p w14:paraId="1FEB5AD0" w14:textId="2AE432F1" w:rsidR="00A215BC" w:rsidRPr="005A448D" w:rsidRDefault="00776DDC" w:rsidP="005A448D">
      <w:pPr>
        <w:pStyle w:val="SingleTxtG"/>
        <w:spacing w:after="0"/>
        <w:ind w:left="1701"/>
        <w:jc w:val="right"/>
        <w:rPr>
          <w:i/>
          <w:iCs/>
          <w:sz w:val="18"/>
          <w:szCs w:val="18"/>
        </w:rPr>
      </w:pPr>
      <w:r w:rsidRPr="005A448D">
        <w:rPr>
          <w:i/>
          <w:iCs/>
          <w:sz w:val="18"/>
          <w:szCs w:val="18"/>
        </w:rPr>
        <w:t>“My parents spent almost all their lives there – of course they want to return one day.</w:t>
      </w:r>
    </w:p>
    <w:p w14:paraId="0795BCA5" w14:textId="056572A2" w:rsidR="00776DDC" w:rsidRPr="005A448D" w:rsidRDefault="00776DDC" w:rsidP="005A448D">
      <w:pPr>
        <w:pStyle w:val="SingleTxtG"/>
        <w:ind w:left="1701"/>
        <w:jc w:val="right"/>
        <w:rPr>
          <w:i/>
          <w:iCs/>
          <w:sz w:val="18"/>
          <w:szCs w:val="18"/>
        </w:rPr>
      </w:pPr>
      <w:r w:rsidRPr="005A448D">
        <w:rPr>
          <w:i/>
          <w:iCs/>
          <w:sz w:val="18"/>
          <w:szCs w:val="18"/>
        </w:rPr>
        <w:t>But they are old. The fact that some unknown people live in their apartment makes it impossible to go back and fight for it.”</w:t>
      </w:r>
    </w:p>
    <w:p w14:paraId="2F942B7D" w14:textId="77777777" w:rsidR="00A215BC" w:rsidRPr="005A448D" w:rsidRDefault="00776DDC" w:rsidP="005A448D">
      <w:pPr>
        <w:pStyle w:val="SingleTxtG"/>
        <w:ind w:left="1701" w:firstLine="567"/>
        <w:jc w:val="right"/>
        <w:rPr>
          <w:sz w:val="18"/>
          <w:szCs w:val="18"/>
        </w:rPr>
      </w:pPr>
      <w:r w:rsidRPr="005A448D">
        <w:rPr>
          <w:sz w:val="18"/>
          <w:szCs w:val="18"/>
        </w:rPr>
        <w:t xml:space="preserve"> - A man speaking of his parents who have not returned to occupied Luhansk region since being displaced in 2022.</w:t>
      </w:r>
    </w:p>
    <w:p w14:paraId="5FEAD1D0" w14:textId="5A88077D" w:rsidR="00776DDC" w:rsidRPr="002D55C9" w:rsidRDefault="00F1212D" w:rsidP="00846FA4">
      <w:pPr>
        <w:pStyle w:val="SingleTxtG"/>
        <w:rPr>
          <w:rStyle w:val="FootnoteReference"/>
          <w:rFonts w:asciiTheme="majorBidi" w:hAnsiTheme="majorBidi"/>
        </w:rPr>
      </w:pPr>
      <w:r>
        <w:t>61.</w:t>
      </w:r>
      <w:r>
        <w:tab/>
      </w:r>
      <w:r w:rsidR="00776DDC" w:rsidRPr="002E1F5F">
        <w:t xml:space="preserve">The Russian Federation implemented procedures to confiscate the </w:t>
      </w:r>
      <w:r w:rsidR="00776DDC">
        <w:t xml:space="preserve">private </w:t>
      </w:r>
      <w:r w:rsidR="00776DDC" w:rsidRPr="002E1F5F">
        <w:t>property of individuals displaced from occupied territory, of whom 95 per cent owned their homes prior to displacement.</w:t>
      </w:r>
      <w:r w:rsidR="00776DDC" w:rsidRPr="002E1F5F">
        <w:rPr>
          <w:rStyle w:val="FootnoteReference"/>
        </w:rPr>
        <w:footnoteReference w:id="64"/>
      </w:r>
      <w:r w:rsidR="00776DDC" w:rsidRPr="002E1F5F">
        <w:t xml:space="preserve"> These unlawful policies</w:t>
      </w:r>
      <w:r w:rsidR="00776DDC" w:rsidRPr="3A231B56">
        <w:rPr>
          <w:rStyle w:val="FootnoteReference"/>
          <w:rFonts w:asciiTheme="majorBidi" w:hAnsiTheme="majorBidi"/>
        </w:rPr>
        <w:footnoteReference w:id="65"/>
      </w:r>
      <w:r w:rsidR="00776DDC" w:rsidRPr="0061094D">
        <w:t xml:space="preserve"> </w:t>
      </w:r>
      <w:r w:rsidR="00776DDC">
        <w:t xml:space="preserve">dispossess those displaced of their homes, </w:t>
      </w:r>
      <w:r w:rsidR="00776DDC" w:rsidRPr="002E1F5F">
        <w:t>impede the</w:t>
      </w:r>
      <w:r w:rsidR="00776DDC">
        <w:t>ir</w:t>
      </w:r>
      <w:r w:rsidR="00776DDC" w:rsidRPr="002E1F5F">
        <w:t xml:space="preserve"> return and may have the effect of rendering their departure permanent.</w:t>
      </w:r>
      <w:r w:rsidR="00776DDC" w:rsidRPr="3A231B56">
        <w:rPr>
          <w:rStyle w:val="FootnoteReference"/>
          <w:rFonts w:asciiTheme="majorBidi" w:hAnsiTheme="majorBidi"/>
        </w:rPr>
        <w:footnoteReference w:id="66"/>
      </w:r>
    </w:p>
    <w:p w14:paraId="4E800475" w14:textId="5AD20B7E" w:rsidR="00776DDC" w:rsidRPr="00B15471" w:rsidRDefault="00F1212D" w:rsidP="00846FA4">
      <w:pPr>
        <w:pStyle w:val="SingleTxtG"/>
      </w:pPr>
      <w:r>
        <w:t>62.</w:t>
      </w:r>
      <w:r>
        <w:tab/>
      </w:r>
      <w:r w:rsidR="00776DDC" w:rsidRPr="002E1F5F">
        <w:t>From early 2024, occup</w:t>
      </w:r>
      <w:r w:rsidR="00776DDC">
        <w:t>ying</w:t>
      </w:r>
      <w:r w:rsidR="00776DDC" w:rsidRPr="002E1F5F">
        <w:t xml:space="preserve"> authorities </w:t>
      </w:r>
      <w:r w:rsidR="00776DDC">
        <w:t>began</w:t>
      </w:r>
      <w:r w:rsidR="00776DDC" w:rsidRPr="002E1F5F">
        <w:t xml:space="preserve"> </w:t>
      </w:r>
      <w:r w:rsidR="00776DDC">
        <w:t>large-scale e</w:t>
      </w:r>
      <w:r w:rsidR="00776DDC" w:rsidRPr="002E1F5F">
        <w:t>xpropriat</w:t>
      </w:r>
      <w:r w:rsidR="00776DDC">
        <w:t>ion of</w:t>
      </w:r>
      <w:r w:rsidR="00776DDC" w:rsidRPr="002E1F5F">
        <w:t xml:space="preserve"> private property, including residential</w:t>
      </w:r>
      <w:r w:rsidR="00776DDC">
        <w:t xml:space="preserve"> property</w:t>
      </w:r>
      <w:r w:rsidR="00776DDC" w:rsidRPr="002E1F5F">
        <w:t xml:space="preserve">, across occupied Donetsk, Kherson, Luhansk, and Zaporizhzhia regions. </w:t>
      </w:r>
      <w:r w:rsidR="00776DDC">
        <w:t xml:space="preserve">Under laws on </w:t>
      </w:r>
      <w:r w:rsidR="00776DDC" w:rsidRPr="002E1F5F">
        <w:t>“abandoned” property adopted in March and May 2024, occupying authorities post</w:t>
      </w:r>
      <w:r w:rsidR="00776DDC">
        <w:t>ed</w:t>
      </w:r>
      <w:r w:rsidR="00776DDC" w:rsidRPr="002E1F5F">
        <w:t xml:space="preserve"> notices </w:t>
      </w:r>
      <w:r w:rsidR="00776DDC">
        <w:t>designating</w:t>
      </w:r>
      <w:r w:rsidR="00776DDC" w:rsidRPr="002E1F5F">
        <w:t xml:space="preserve"> properties as “potentially abandoned” and requiring in</w:t>
      </w:r>
      <w:r w:rsidR="00776DDC">
        <w:t>-</w:t>
      </w:r>
      <w:r w:rsidR="00776DDC" w:rsidRPr="002E1F5F">
        <w:t xml:space="preserve">person </w:t>
      </w:r>
      <w:r w:rsidR="00776DDC">
        <w:t xml:space="preserve">appearance </w:t>
      </w:r>
      <w:r w:rsidR="00776DDC" w:rsidRPr="002E1F5F">
        <w:t>within 30 days to prove ownership</w:t>
      </w:r>
      <w:r w:rsidR="00776DDC">
        <w:t xml:space="preserve"> and register the property within the Russian State Registry</w:t>
      </w:r>
      <w:r w:rsidR="00776DDC" w:rsidRPr="002E1F5F">
        <w:t>.</w:t>
      </w:r>
      <w:r w:rsidR="00776DDC" w:rsidRPr="002E1F5F">
        <w:rPr>
          <w:rStyle w:val="FootnoteReference"/>
        </w:rPr>
        <w:footnoteReference w:id="67"/>
      </w:r>
      <w:r w:rsidR="00776DDC" w:rsidRPr="002E1F5F">
        <w:t xml:space="preserve"> </w:t>
      </w:r>
      <w:r w:rsidR="00776DDC">
        <w:t>In practice, only Russian passport holders can register property in occupied territory, significantly limiting Ukrainians from protecting their ownership rights.</w:t>
      </w:r>
      <w:r w:rsidR="00776DDC" w:rsidRPr="002E1F5F">
        <w:t xml:space="preserve"> </w:t>
      </w:r>
      <w:r w:rsidR="00776DDC">
        <w:t xml:space="preserve">After 30 days, </w:t>
      </w:r>
      <w:r w:rsidR="00776DDC" w:rsidRPr="002E1F5F">
        <w:t xml:space="preserve">occupying authorities </w:t>
      </w:r>
      <w:r w:rsidR="00776DDC">
        <w:t>may</w:t>
      </w:r>
      <w:r w:rsidR="00776DDC" w:rsidRPr="002E1F5F">
        <w:t xml:space="preserve"> register the property as “abandoned”, </w:t>
      </w:r>
      <w:r w:rsidR="00776DDC">
        <w:t xml:space="preserve">assume its </w:t>
      </w:r>
      <w:r w:rsidR="00776DDC" w:rsidRPr="002E1F5F">
        <w:t>use and commence judicial proceedings to transfer it to municipal ownership.</w:t>
      </w:r>
    </w:p>
    <w:p w14:paraId="0EC8A438" w14:textId="77777777" w:rsidR="00B72126" w:rsidRDefault="00F1212D" w:rsidP="00846FA4">
      <w:pPr>
        <w:pStyle w:val="SingleTxtG"/>
        <w:rPr>
          <w:color w:val="000000" w:themeColor="text1"/>
          <w:lang w:eastAsia="ru-RU"/>
        </w:rPr>
      </w:pPr>
      <w:r>
        <w:t>63.</w:t>
      </w:r>
      <w:r>
        <w:tab/>
      </w:r>
      <w:r w:rsidR="00776DDC" w:rsidRPr="72B1D28B">
        <w:t xml:space="preserve">Since February 2022, OHCHR </w:t>
      </w:r>
      <w:r w:rsidR="00776DDC">
        <w:t>documented</w:t>
      </w:r>
      <w:r w:rsidR="00776DDC" w:rsidRPr="72B1D28B">
        <w:t xml:space="preserve"> </w:t>
      </w:r>
      <w:r w:rsidR="00776DDC">
        <w:t xml:space="preserve">the issuance of </w:t>
      </w:r>
      <w:r w:rsidR="00776DDC" w:rsidRPr="72B1D28B">
        <w:t xml:space="preserve">notices </w:t>
      </w:r>
      <w:r w:rsidR="00776DDC">
        <w:t>designat</w:t>
      </w:r>
      <w:r w:rsidR="00776DDC" w:rsidRPr="72B1D28B">
        <w:t xml:space="preserve">ing over 38,000 apartments and houses as “potentially abandoned”. The </w:t>
      </w:r>
      <w:r w:rsidR="00776DDC" w:rsidRPr="0061094D">
        <w:rPr>
          <w:color w:val="000000"/>
          <w:lang w:eastAsia="ru-RU"/>
        </w:rPr>
        <w:t xml:space="preserve">majority (over 23,000) were located in Donetsk region, nearly half (over 13,700) in Mariupol. </w:t>
      </w:r>
      <w:r w:rsidR="00776DDC">
        <w:rPr>
          <w:color w:val="000000" w:themeColor="text1"/>
          <w:lang w:eastAsia="ru-RU"/>
        </w:rPr>
        <w:t>At</w:t>
      </w:r>
      <w:r w:rsidR="00776DDC" w:rsidRPr="0061094D">
        <w:rPr>
          <w:color w:val="000000" w:themeColor="text1"/>
          <w:lang w:eastAsia="ru-RU"/>
        </w:rPr>
        <w:t xml:space="preserve"> least 6,156 properties were registered as “abandoned”, over 80 per cent in Mariupol.</w:t>
      </w:r>
    </w:p>
    <w:p w14:paraId="1C629A66" w14:textId="2EFBD935" w:rsidR="00776DDC" w:rsidRPr="007A3190" w:rsidRDefault="00F1212D" w:rsidP="00846FA4">
      <w:pPr>
        <w:pStyle w:val="SingleTxtG"/>
      </w:pPr>
      <w:r>
        <w:t>64.</w:t>
      </w:r>
      <w:r>
        <w:tab/>
      </w:r>
      <w:r w:rsidR="00776DDC" w:rsidRPr="002E1F5F">
        <w:t xml:space="preserve">OHCHR </w:t>
      </w:r>
      <w:r w:rsidR="00776DDC">
        <w:t>also</w:t>
      </w:r>
      <w:r w:rsidR="00776DDC" w:rsidRPr="002E1F5F">
        <w:t xml:space="preserve"> documented </w:t>
      </w:r>
      <w:r w:rsidR="00776DDC">
        <w:t>confiscation proceedings launched absent any sign</w:t>
      </w:r>
      <w:r w:rsidR="00776DDC" w:rsidRPr="002E1F5F">
        <w:t xml:space="preserve"> of abandonment.</w:t>
      </w:r>
      <w:r w:rsidR="00776DDC" w:rsidRPr="0061094D">
        <w:rPr>
          <w:rStyle w:val="FootnoteReference"/>
        </w:rPr>
        <w:footnoteReference w:id="68"/>
      </w:r>
      <w:r w:rsidR="00776DDC" w:rsidRPr="002E1F5F">
        <w:t xml:space="preserve"> </w:t>
      </w:r>
      <w:r w:rsidR="00776DDC">
        <w:t>In</w:t>
      </w:r>
      <w:r w:rsidR="00776DDC" w:rsidRPr="002E1F5F">
        <w:t xml:space="preserve"> occupied Donetsk, a woman’s apartment was </w:t>
      </w:r>
      <w:r w:rsidR="00776DDC">
        <w:t>label</w:t>
      </w:r>
      <w:r w:rsidR="00776DDC" w:rsidRPr="002E1F5F">
        <w:t xml:space="preserve">led as “potentially abandoned” in January 2025 </w:t>
      </w:r>
      <w:r w:rsidR="00776DDC">
        <w:t xml:space="preserve">despite </w:t>
      </w:r>
      <w:r w:rsidR="00776DDC" w:rsidRPr="002E1F5F">
        <w:t xml:space="preserve">her sister </w:t>
      </w:r>
      <w:r w:rsidR="00776DDC">
        <w:t>residing</w:t>
      </w:r>
      <w:r w:rsidR="00776DDC" w:rsidRPr="002E1F5F">
        <w:t xml:space="preserve"> there and utilit</w:t>
      </w:r>
      <w:r w:rsidR="00776DDC">
        <w:t xml:space="preserve">ies </w:t>
      </w:r>
      <w:r w:rsidR="00776DDC" w:rsidRPr="002E1F5F">
        <w:t>paid</w:t>
      </w:r>
      <w:r w:rsidR="00776DDC">
        <w:t>;</w:t>
      </w:r>
      <w:r w:rsidR="00776DDC" w:rsidRPr="002E1F5F">
        <w:t xml:space="preserve"> </w:t>
      </w:r>
      <w:r w:rsidR="00776DDC">
        <w:t xml:space="preserve">it was </w:t>
      </w:r>
      <w:r w:rsidR="00776DDC" w:rsidRPr="002E1F5F">
        <w:t xml:space="preserve">registered as “abandoned” in April 2025. When the woman attempted to travel to occupied territory to assert her ownership rights, she was denied entry at Sheremetyevo airport and banned from the Russian Federation for 20 years on </w:t>
      </w:r>
      <w:r w:rsidR="00776DDC">
        <w:t xml:space="preserve">unspecified </w:t>
      </w:r>
      <w:r w:rsidR="00776DDC" w:rsidRPr="002E1F5F">
        <w:t>national security grounds.</w:t>
      </w:r>
      <w:r w:rsidR="00776DDC" w:rsidRPr="002E1F5F">
        <w:rPr>
          <w:rStyle w:val="FootnoteReference"/>
        </w:rPr>
        <w:footnoteReference w:id="69"/>
      </w:r>
      <w:r w:rsidR="00776DDC" w:rsidRPr="002E1F5F">
        <w:t xml:space="preserve"> A Russian court subsequently transferred the apartment to municipal ownership.</w:t>
      </w:r>
    </w:p>
    <w:p w14:paraId="3E934F3D" w14:textId="77777777" w:rsidR="00A215BC" w:rsidRDefault="00F1212D" w:rsidP="00846FA4">
      <w:pPr>
        <w:pStyle w:val="SingleTxtG"/>
      </w:pPr>
      <w:r>
        <w:t>65.</w:t>
      </w:r>
      <w:r>
        <w:tab/>
      </w:r>
      <w:r w:rsidR="00776DDC" w:rsidRPr="00960040">
        <w:t xml:space="preserve">More recently, decrees issued on 14 March 2025 and 29 December 2025 have prohibited registration of property rights of citizens of “unfriendly foreign states” (including Ukraine) </w:t>
      </w:r>
      <w:r w:rsidR="00776DDC">
        <w:t xml:space="preserve">in occupied territory (except Crimea) </w:t>
      </w:r>
      <w:r w:rsidR="00776DDC" w:rsidRPr="00960040">
        <w:t>and the processing of notary deeds based on a power of attorney for representation in real estate transactions issued by such citizens without a special permit.</w:t>
      </w:r>
      <w:r w:rsidR="00776DDC">
        <w:rPr>
          <w:rStyle w:val="FootnoteReference"/>
        </w:rPr>
        <w:footnoteReference w:id="70"/>
      </w:r>
      <w:r w:rsidR="00776DDC" w:rsidRPr="00960040">
        <w:t xml:space="preserve"> On 15 December 2025, the Russian Federation adopted legislation allowing the transfer of “abandoned” property to State or municipal ownership without a court decision.</w:t>
      </w:r>
      <w:r w:rsidR="00776DDC" w:rsidRPr="002E1F5F">
        <w:rPr>
          <w:rStyle w:val="FootnoteReference"/>
        </w:rPr>
        <w:footnoteReference w:id="71"/>
      </w:r>
      <w:r w:rsidR="00776DDC" w:rsidRPr="00960040">
        <w:t xml:space="preserve"> The law also </w:t>
      </w:r>
      <w:r w:rsidR="00776DDC">
        <w:t>established</w:t>
      </w:r>
      <w:r w:rsidR="00776DDC" w:rsidRPr="00960040">
        <w:t xml:space="preserve"> procedures to lease such property to Russian police </w:t>
      </w:r>
      <w:r w:rsidR="00776DDC" w:rsidRPr="00960040">
        <w:lastRenderedPageBreak/>
        <w:t>and other civil servants</w:t>
      </w:r>
      <w:r w:rsidR="00776DDC">
        <w:t xml:space="preserve"> or</w:t>
      </w:r>
      <w:r w:rsidR="00776DDC" w:rsidRPr="00960040">
        <w:t xml:space="preserve"> to local residents as social housing, or</w:t>
      </w:r>
      <w:r w:rsidR="00776DDC">
        <w:t xml:space="preserve"> to</w:t>
      </w:r>
      <w:r w:rsidR="00776DDC" w:rsidRPr="00960040">
        <w:t xml:space="preserve"> transfer ownership to Russian citizens.</w:t>
      </w:r>
    </w:p>
    <w:p w14:paraId="171B65B8" w14:textId="5A8BC1B6" w:rsidR="00776DDC" w:rsidRPr="00F627DF" w:rsidRDefault="00263BB1" w:rsidP="00846FA4">
      <w:pPr>
        <w:pStyle w:val="SingleTxtG"/>
        <w:rPr>
          <w:rFonts w:eastAsiaTheme="majorEastAsia"/>
          <w:lang w:eastAsia="ru-RU"/>
        </w:rPr>
      </w:pPr>
      <w:r>
        <w:t>66.</w:t>
      </w:r>
      <w:r>
        <w:tab/>
      </w:r>
      <w:r w:rsidR="00776DDC" w:rsidRPr="002E1F5F">
        <w:t xml:space="preserve">In Crimea, additional </w:t>
      </w:r>
      <w:r w:rsidR="00776DDC">
        <w:t xml:space="preserve">confiscation </w:t>
      </w:r>
      <w:r w:rsidR="00776DDC" w:rsidRPr="002E1F5F">
        <w:t>procedures continued after the full-scale invasion.</w:t>
      </w:r>
      <w:r w:rsidR="00776DDC" w:rsidRPr="002E1F5F">
        <w:rPr>
          <w:vertAlign w:val="superscript"/>
        </w:rPr>
        <w:footnoteReference w:id="72"/>
      </w:r>
      <w:r w:rsidR="00776DDC" w:rsidRPr="002E1F5F">
        <w:t xml:space="preserve"> </w:t>
      </w:r>
      <w:r w:rsidR="00776DDC">
        <w:t>In</w:t>
      </w:r>
      <w:r w:rsidR="00776DDC" w:rsidRPr="002E1F5F">
        <w:t xml:space="preserve"> 2024, Russian authorities reportedly ‘nationalized’ the property of 560 individuals and legal entities </w:t>
      </w:r>
      <w:r w:rsidR="00776DDC">
        <w:t xml:space="preserve">deemed </w:t>
      </w:r>
      <w:r w:rsidR="00776DDC" w:rsidRPr="002E1F5F">
        <w:t>citizens of “foreign states that commit unfriendly actions against the Russian Federation”. The propert</w:t>
      </w:r>
      <w:r w:rsidR="00776DDC">
        <w:t>ies</w:t>
      </w:r>
      <w:r w:rsidR="00776DDC" w:rsidRPr="002E1F5F">
        <w:t xml:space="preserve"> </w:t>
      </w:r>
      <w:r w:rsidR="00776DDC">
        <w:t>were</w:t>
      </w:r>
      <w:r w:rsidR="00776DDC" w:rsidRPr="002E1F5F">
        <w:t xml:space="preserve"> subsequently sold, with revenues used</w:t>
      </w:r>
      <w:r w:rsidR="00776DDC">
        <w:t xml:space="preserve"> </w:t>
      </w:r>
      <w:r w:rsidR="00776DDC" w:rsidRPr="002E1F5F">
        <w:t>in part to support Russian soldiers.</w:t>
      </w:r>
      <w:r w:rsidR="00776DDC" w:rsidRPr="002E1F5F">
        <w:rPr>
          <w:rStyle w:val="FootnoteReference"/>
        </w:rPr>
        <w:footnoteReference w:id="73"/>
      </w:r>
    </w:p>
    <w:p w14:paraId="1119FED1" w14:textId="04A951A8" w:rsidR="00776DDC" w:rsidRPr="0008063A" w:rsidRDefault="00263BB1" w:rsidP="00846FA4">
      <w:pPr>
        <w:pStyle w:val="SingleTxtG"/>
      </w:pPr>
      <w:r>
        <w:t>67.</w:t>
      </w:r>
      <w:r>
        <w:tab/>
      </w:r>
      <w:r w:rsidR="00776DDC">
        <w:t>Taken together, these</w:t>
      </w:r>
      <w:r w:rsidR="00776DDC" w:rsidRPr="002E1F5F">
        <w:t xml:space="preserve"> policies</w:t>
      </w:r>
      <w:r w:rsidR="00776DDC">
        <w:t>, which in themselves violate international humanitarian law,</w:t>
      </w:r>
      <w:r w:rsidR="00776DDC" w:rsidRPr="0061094D">
        <w:rPr>
          <w:rStyle w:val="FootnoteReference"/>
        </w:rPr>
        <w:footnoteReference w:id="74"/>
      </w:r>
      <w:r w:rsidR="00776DDC" w:rsidRPr="0061094D">
        <w:t xml:space="preserve"> </w:t>
      </w:r>
      <w:r w:rsidR="00776DDC">
        <w:t xml:space="preserve">significantly </w:t>
      </w:r>
      <w:r w:rsidR="00776DDC" w:rsidRPr="002E1F5F">
        <w:t xml:space="preserve">impede </w:t>
      </w:r>
      <w:r w:rsidR="00776DDC">
        <w:t xml:space="preserve">as a practical reality </w:t>
      </w:r>
      <w:r w:rsidR="00776DDC" w:rsidRPr="002E1F5F">
        <w:t>the return</w:t>
      </w:r>
      <w:r w:rsidR="00776DDC">
        <w:t xml:space="preserve"> of those displaced from occupied territory.</w:t>
      </w:r>
      <w:r w:rsidR="00776DDC" w:rsidRPr="002E1F5F">
        <w:rPr>
          <w:rStyle w:val="FootnoteReference"/>
        </w:rPr>
        <w:footnoteReference w:id="75"/>
      </w:r>
      <w:r w:rsidR="00776DDC">
        <w:t xml:space="preserve"> The confiscation and reallocation of residential property to secondary occupants create immediate and enduring barriers to return, particularly where property has been transferred to municipal ownership or new occupants. For example, a man interviewed by OHCHR explained how his parents miss their home in occupied territory and would like to return one day. However the fact that people are living in their apartment makes it impossible: it would be difficult for his 75-year-old father to initiate eviction proceedings and re-assert ownership.</w:t>
      </w:r>
      <w:r w:rsidR="00776DDC" w:rsidRPr="002E1F5F">
        <w:t xml:space="preserve"> The absence of property restitution procedures</w:t>
      </w:r>
      <w:r w:rsidR="00776DDC">
        <w:t xml:space="preserve"> - key</w:t>
      </w:r>
      <w:r w:rsidR="00776DDC" w:rsidRPr="002E1F5F">
        <w:t xml:space="preserve"> to conflict resolution, peacebuilding, and safe and sustainable returns</w:t>
      </w:r>
      <w:r w:rsidR="00776DDC">
        <w:t xml:space="preserve"> -</w:t>
      </w:r>
      <w:r w:rsidR="00776DDC" w:rsidRPr="002E1F5F">
        <w:t xml:space="preserve"> entrenches this barrier.</w:t>
      </w:r>
      <w:r w:rsidR="00776DDC" w:rsidRPr="002E1F5F">
        <w:rPr>
          <w:rStyle w:val="FootnoteReference"/>
        </w:rPr>
        <w:footnoteReference w:id="76"/>
      </w:r>
    </w:p>
    <w:p w14:paraId="2D514988" w14:textId="2D006702" w:rsidR="00776DDC" w:rsidRPr="00D8496A" w:rsidRDefault="001D0746" w:rsidP="00D8496A">
      <w:pPr>
        <w:pStyle w:val="HChG"/>
      </w:pPr>
      <w:bookmarkStart w:id="15" w:name="_Toc219281397"/>
      <w:r>
        <w:rPr>
          <w:rStyle w:val="PageNumber"/>
          <w:b/>
          <w:sz w:val="28"/>
        </w:rPr>
        <w:tab/>
      </w:r>
      <w:r w:rsidRPr="00D8496A">
        <w:rPr>
          <w:rStyle w:val="PageNumber"/>
          <w:b/>
          <w:sz w:val="28"/>
        </w:rPr>
        <w:t>VI</w:t>
      </w:r>
      <w:r w:rsidR="004F2BE7" w:rsidRPr="00D8496A">
        <w:rPr>
          <w:rStyle w:val="PageNumber"/>
          <w:b/>
          <w:sz w:val="28"/>
        </w:rPr>
        <w:t>.</w:t>
      </w:r>
      <w:r w:rsidRPr="00D8496A">
        <w:rPr>
          <w:rStyle w:val="PageNumber"/>
          <w:b/>
          <w:sz w:val="28"/>
        </w:rPr>
        <w:tab/>
      </w:r>
      <w:r w:rsidR="00776DDC" w:rsidRPr="00D8496A">
        <w:t>Obligations of Ukraine toward persons displaced from occupied territory</w:t>
      </w:r>
      <w:bookmarkEnd w:id="15"/>
    </w:p>
    <w:p w14:paraId="227EA353" w14:textId="27822797" w:rsidR="00776DDC" w:rsidRPr="002E1F5F" w:rsidRDefault="00C26769" w:rsidP="00C26769">
      <w:pPr>
        <w:pStyle w:val="SingleTxtG"/>
      </w:pPr>
      <w:r>
        <w:t>68.</w:t>
      </w:r>
      <w:r>
        <w:tab/>
      </w:r>
      <w:r w:rsidR="00776DDC">
        <w:t>As compared to IDPs originating from Government-controlled areas, individuals</w:t>
      </w:r>
      <w:r w:rsidR="00776DDC" w:rsidRPr="002E1F5F">
        <w:t xml:space="preserve"> displaced from occupied </w:t>
      </w:r>
      <w:r w:rsidR="00776DDC" w:rsidRPr="003A0217">
        <w:t>territory, regardless of the reasons for their flight, face specific additional vulnerabilities and encounter additional barriers to the full exercise of their rights</w:t>
      </w:r>
      <w:r w:rsidR="00776DDC">
        <w:t>. They also generally have poorer</w:t>
      </w:r>
      <w:r w:rsidR="00776DDC" w:rsidRPr="002E1F5F">
        <w:t xml:space="preserve"> </w:t>
      </w:r>
      <w:r w:rsidR="00776DDC">
        <w:t xml:space="preserve">ability to </w:t>
      </w:r>
      <w:r w:rsidR="00776DDC" w:rsidRPr="002E1F5F">
        <w:t>access essential goods</w:t>
      </w:r>
      <w:r w:rsidR="00776DDC">
        <w:t xml:space="preserve"> and services</w:t>
      </w:r>
      <w:r w:rsidR="00776DDC" w:rsidRPr="002E1F5F">
        <w:t>, including accommodation, clothing, and hygiene products.</w:t>
      </w:r>
      <w:r w:rsidR="00776DDC" w:rsidRPr="002E1F5F">
        <w:rPr>
          <w:rStyle w:val="FootnoteReference"/>
        </w:rPr>
        <w:footnoteReference w:id="77"/>
      </w:r>
    </w:p>
    <w:p w14:paraId="567CEBC0" w14:textId="77777777" w:rsidR="00A215BC" w:rsidRDefault="00BF1BE4" w:rsidP="00BF1BE4">
      <w:pPr>
        <w:pStyle w:val="H1G"/>
      </w:pPr>
      <w:bookmarkStart w:id="16" w:name="_Toc219281398"/>
      <w:r>
        <w:tab/>
        <w:t>A.</w:t>
      </w:r>
      <w:r>
        <w:tab/>
      </w:r>
      <w:r w:rsidR="00776DDC" w:rsidRPr="00FD2B62">
        <w:t>Issuance of identity and civil status documents</w:t>
      </w:r>
      <w:bookmarkEnd w:id="16"/>
    </w:p>
    <w:p w14:paraId="1C172962" w14:textId="77777777" w:rsidR="00A215BC" w:rsidRPr="005A448D" w:rsidRDefault="00776DDC" w:rsidP="00DB7227">
      <w:pPr>
        <w:pStyle w:val="SingleTxtG"/>
        <w:ind w:left="2268"/>
        <w:jc w:val="right"/>
        <w:rPr>
          <w:rStyle w:val="eop"/>
          <w:i/>
          <w:iCs/>
          <w:sz w:val="18"/>
          <w:szCs w:val="18"/>
        </w:rPr>
      </w:pPr>
      <w:r w:rsidRPr="005A448D">
        <w:rPr>
          <w:rStyle w:val="eop"/>
          <w:i/>
          <w:iCs/>
          <w:sz w:val="18"/>
          <w:szCs w:val="18"/>
        </w:rPr>
        <w:t>“You have a Russian passport. You are a Russian citizen. Go away.”</w:t>
      </w:r>
    </w:p>
    <w:p w14:paraId="5B504DB9" w14:textId="77777777" w:rsidR="00A215BC" w:rsidRPr="005A448D" w:rsidRDefault="00776DDC" w:rsidP="00DB7227">
      <w:pPr>
        <w:pStyle w:val="SingleTxtG"/>
        <w:ind w:left="2268"/>
        <w:jc w:val="right"/>
        <w:rPr>
          <w:rStyle w:val="eop"/>
          <w:sz w:val="18"/>
          <w:szCs w:val="18"/>
        </w:rPr>
      </w:pPr>
      <w:r w:rsidRPr="005A448D">
        <w:rPr>
          <w:rStyle w:val="eop"/>
          <w:sz w:val="18"/>
          <w:szCs w:val="18"/>
        </w:rPr>
        <w:t>– An 18-year-old man who fled occupation to escape conscription describing what a guard at a Ukrainian Embassy in a third country said to him in January 2025.</w:t>
      </w:r>
    </w:p>
    <w:p w14:paraId="5A06BE92" w14:textId="4316C354" w:rsidR="00776DDC" w:rsidRPr="005F2FAF" w:rsidRDefault="002F6ECF" w:rsidP="005F2FAF">
      <w:pPr>
        <w:pStyle w:val="SingleTxtG"/>
        <w:rPr>
          <w:rStyle w:val="eop"/>
        </w:rPr>
      </w:pPr>
      <w:r>
        <w:t>69.</w:t>
      </w:r>
      <w:r>
        <w:tab/>
      </w:r>
      <w:r w:rsidR="00776DDC" w:rsidRPr="002F6ECF">
        <w:t>Among surveyed IDPs from occupied territory, 12 per cent reported missing official documents, such as birth certificates and passports, often because they could not obtain or renew Ukrainian documents while living under occupation.</w:t>
      </w:r>
      <w:r w:rsidR="00776DDC" w:rsidRPr="00FF643F">
        <w:rPr>
          <w:rStyle w:val="FootnoteReference"/>
        </w:rPr>
        <w:footnoteReference w:id="78"/>
      </w:r>
      <w:r w:rsidR="00776DDC" w:rsidRPr="002F6ECF">
        <w:t xml:space="preserve"> Many also struggled to secure civil documentation on arrival in Government-controlled territory</w:t>
      </w:r>
      <w:r w:rsidR="00776DDC" w:rsidRPr="002F6ECF" w:rsidDel="00CF3018">
        <w:t xml:space="preserve"> or while in third countries attempting to enter </w:t>
      </w:r>
      <w:r w:rsidR="00776DDC" w:rsidRPr="002F6ECF">
        <w:t>G</w:t>
      </w:r>
      <w:r w:rsidR="00776DDC" w:rsidRPr="002F6ECF" w:rsidDel="00CF3018">
        <w:t>overnment-controlled territory</w:t>
      </w:r>
      <w:r w:rsidR="00776DDC" w:rsidRPr="002F6ECF">
        <w:t>. Records were sometimes absent from</w:t>
      </w:r>
      <w:r w:rsidR="00776DDC" w:rsidRPr="002F6ECF">
        <w:rPr>
          <w:rStyle w:val="eop"/>
        </w:rPr>
        <w:t xml:space="preserve"> </w:t>
      </w:r>
      <w:r w:rsidR="00776DDC" w:rsidRPr="005F2FAF">
        <w:rPr>
          <w:rStyle w:val="eop"/>
        </w:rPr>
        <w:t>State registries, particularly non-digitalized ones, and procedures have not been adapted to take into account occupation-related constraints.</w:t>
      </w:r>
    </w:p>
    <w:p w14:paraId="4DDBAF6E" w14:textId="77777777" w:rsidR="00A215BC" w:rsidRDefault="005F2FAF" w:rsidP="005F2FAF">
      <w:pPr>
        <w:pStyle w:val="SingleTxtG"/>
        <w:rPr>
          <w:rStyle w:val="eop"/>
        </w:rPr>
      </w:pPr>
      <w:r>
        <w:rPr>
          <w:rStyle w:val="eop"/>
        </w:rPr>
        <w:lastRenderedPageBreak/>
        <w:t>70.</w:t>
      </w:r>
      <w:r>
        <w:rPr>
          <w:rStyle w:val="eop"/>
        </w:rPr>
        <w:tab/>
      </w:r>
      <w:r w:rsidR="00776DDC" w:rsidRPr="005F2FAF" w:rsidDel="00C02096">
        <w:rPr>
          <w:rStyle w:val="eop"/>
        </w:rPr>
        <w:t>A young man who had lived in the self-proclaimed “Donetsk people’s republic” between 2014 and 2022 faced bureaucratic obstacles when applying for a return certificate</w:t>
      </w:r>
      <w:r w:rsidR="00776DDC" w:rsidRPr="00F41CB3">
        <w:rPr>
          <w:rStyle w:val="FootnoteReference"/>
        </w:rPr>
        <w:footnoteReference w:id="79"/>
      </w:r>
      <w:r w:rsidR="00776DDC" w:rsidRPr="005F2FAF" w:rsidDel="00C02096">
        <w:rPr>
          <w:rStyle w:val="eop"/>
        </w:rPr>
        <w:t xml:space="preserve"> at a Ukrainian embassy in a third country in March 2025. Authorities could not verify his Ukrainian birth certificate due to lack of access to physical records and advised him to prove his birth in court. As of December 2025, he still lacked any Ukrainian identity document.</w:t>
      </w:r>
    </w:p>
    <w:p w14:paraId="474F4D04" w14:textId="77777777" w:rsidR="00A215BC" w:rsidRDefault="005F2FAF" w:rsidP="005F2FAF">
      <w:pPr>
        <w:pStyle w:val="SingleTxtG"/>
        <w:rPr>
          <w:rStyle w:val="eop"/>
        </w:rPr>
      </w:pPr>
      <w:r>
        <w:rPr>
          <w:rStyle w:val="eop"/>
        </w:rPr>
        <w:t>71.</w:t>
      </w:r>
      <w:r>
        <w:rPr>
          <w:rStyle w:val="eop"/>
        </w:rPr>
        <w:tab/>
      </w:r>
      <w:r w:rsidR="00776DDC" w:rsidRPr="005F2FAF">
        <w:rPr>
          <w:rStyle w:val="eop"/>
        </w:rPr>
        <w:t>Ukrainian authorities have not yet implemented a simplified administrative procedure to issue certificates for births and deaths that occurred in occupied territory, even though this is provided for in principle in Ukrainian law.</w:t>
      </w:r>
      <w:r w:rsidR="00776DDC" w:rsidRPr="002577F7">
        <w:rPr>
          <w:rStyle w:val="FootnoteReference"/>
        </w:rPr>
        <w:footnoteReference w:id="80"/>
      </w:r>
      <w:r w:rsidR="00776DDC" w:rsidRPr="005F2FAF">
        <w:rPr>
          <w:rStyle w:val="eop"/>
        </w:rPr>
        <w:t xml:space="preserve"> Displaced persons must first obtain a court decision establishing the fact of birth or death, then apply to the civil status registration authorities for the certificate. NGOs providing legal assistance to IDPs reported complicated, delayed procedures, and incurred court fees.</w:t>
      </w:r>
    </w:p>
    <w:p w14:paraId="37B45268" w14:textId="50FE4FFC" w:rsidR="00776DDC" w:rsidRPr="005F2FAF" w:rsidRDefault="005F2FAF" w:rsidP="005F2FAF">
      <w:pPr>
        <w:pStyle w:val="SingleTxtG"/>
        <w:rPr>
          <w:rStyle w:val="eop"/>
        </w:rPr>
      </w:pPr>
      <w:r>
        <w:rPr>
          <w:rStyle w:val="eop"/>
        </w:rPr>
        <w:t>72.</w:t>
      </w:r>
      <w:r>
        <w:rPr>
          <w:rStyle w:val="eop"/>
        </w:rPr>
        <w:tab/>
      </w:r>
      <w:r w:rsidR="00776DDC" w:rsidRPr="005F2FAF">
        <w:rPr>
          <w:rStyle w:val="eop"/>
        </w:rPr>
        <w:t>OHCHR analysed 83 court decisions issued in 2022–2025 denying requests to establish a birth or death that had occurred in occupied territory. In the majority of reviewed cases, the courts failed to account for the specific context of occupation. For example, in September 2025, a court refused to establish a child’s birth in occupied Crimea because medical records cited the mother’s Russian (rather than Ukrainian) passport, without considering that Russian citizenship was automatically applied to all persons in Crimea after 2014, or that a Russian passport was necessary to access medical care. Although an appeal court later overturned the decision, the child meanwhile lacked a birth certificate, a document required for the full exercise of rights.</w:t>
      </w:r>
    </w:p>
    <w:p w14:paraId="1A388AA8" w14:textId="77777777" w:rsidR="00A215BC" w:rsidRDefault="005F2FAF" w:rsidP="005F2FAF">
      <w:pPr>
        <w:pStyle w:val="SingleTxtG"/>
      </w:pPr>
      <w:r>
        <w:rPr>
          <w:rStyle w:val="eop"/>
        </w:rPr>
        <w:t>73.</w:t>
      </w:r>
      <w:r>
        <w:rPr>
          <w:rStyle w:val="eop"/>
        </w:rPr>
        <w:tab/>
      </w:r>
      <w:r w:rsidR="00776DDC" w:rsidRPr="005F2FAF">
        <w:rPr>
          <w:rStyle w:val="eop"/>
        </w:rPr>
        <w:t>The right to be registered immediately after birth is explicitly provided in human rights treaties,</w:t>
      </w:r>
      <w:r w:rsidR="00776DDC" w:rsidRPr="001C08C1">
        <w:rPr>
          <w:rStyle w:val="FootnoteReference"/>
        </w:rPr>
        <w:footnoteReference w:id="81"/>
      </w:r>
      <w:r w:rsidR="00776DDC" w:rsidRPr="005F2FAF">
        <w:rPr>
          <w:rStyle w:val="eop"/>
        </w:rPr>
        <w:t xml:space="preserve"> is linked inter alia to the right to identity and nationality, and is essential for the enjoyment of many other rights.</w:t>
      </w:r>
    </w:p>
    <w:p w14:paraId="379CED2D" w14:textId="77777777" w:rsidR="00A215BC" w:rsidRDefault="004249C4" w:rsidP="00C952FF">
      <w:pPr>
        <w:pStyle w:val="H1G"/>
      </w:pPr>
      <w:bookmarkStart w:id="17" w:name="_Toc219281399"/>
      <w:r>
        <w:tab/>
      </w:r>
      <w:r w:rsidRPr="00C952FF">
        <w:t>B.</w:t>
      </w:r>
      <w:r w:rsidRPr="00C952FF">
        <w:tab/>
      </w:r>
      <w:r w:rsidR="00776DDC" w:rsidRPr="00C952FF">
        <w:t>Rights to work and to adequate social security</w:t>
      </w:r>
      <w:bookmarkEnd w:id="17"/>
    </w:p>
    <w:p w14:paraId="43D61DD1" w14:textId="77777777" w:rsidR="00C176CC" w:rsidRPr="00C176CC" w:rsidRDefault="00C176CC" w:rsidP="00C176CC">
      <w:pPr>
        <w:pStyle w:val="SingleTxtG"/>
        <w:ind w:left="2268"/>
        <w:jc w:val="right"/>
        <w:rPr>
          <w:rStyle w:val="cf01"/>
          <w:rFonts w:ascii="Times New Roman" w:eastAsiaTheme="majorEastAsia" w:hAnsi="Times New Roman" w:cs="Times New Roman"/>
        </w:rPr>
      </w:pPr>
      <w:r w:rsidRPr="00DB7227">
        <w:rPr>
          <w:rStyle w:val="cf01"/>
          <w:rFonts w:ascii="Times New Roman" w:eastAsiaTheme="majorEastAsia" w:hAnsi="Times New Roman" w:cs="Times New Roman"/>
        </w:rPr>
        <w:t>“</w:t>
      </w:r>
      <w:r w:rsidRPr="00C176CC">
        <w:rPr>
          <w:rStyle w:val="cf01"/>
          <w:rFonts w:ascii="Times New Roman" w:eastAsiaTheme="majorEastAsia" w:hAnsi="Times New Roman" w:cs="Times New Roman"/>
          <w:i/>
          <w:iCs/>
        </w:rPr>
        <w:t>It is very embarrassing, I have two diplomas, but we feel like we are some sort of beggars!</w:t>
      </w:r>
      <w:r w:rsidRPr="00DB7227">
        <w:rPr>
          <w:rStyle w:val="cf01"/>
          <w:rFonts w:ascii="Times New Roman" w:eastAsiaTheme="majorEastAsia" w:hAnsi="Times New Roman" w:cs="Times New Roman"/>
        </w:rPr>
        <w:t>”</w:t>
      </w:r>
    </w:p>
    <w:p w14:paraId="464CA319" w14:textId="77777777" w:rsidR="00776DDC" w:rsidRDefault="00776DDC" w:rsidP="00C176CC">
      <w:pPr>
        <w:pStyle w:val="SingleTxtG"/>
        <w:ind w:left="2268"/>
        <w:jc w:val="right"/>
        <w:rPr>
          <w:rStyle w:val="cf01"/>
          <w:rFonts w:ascii="Times New Roman" w:eastAsiaTheme="majorEastAsia" w:hAnsi="Times New Roman" w:cs="Times New Roman"/>
        </w:rPr>
      </w:pPr>
      <w:r w:rsidRPr="00DB7227">
        <w:rPr>
          <w:rStyle w:val="cf01"/>
          <w:rFonts w:ascii="Times New Roman" w:eastAsiaTheme="majorEastAsia" w:hAnsi="Times New Roman" w:cs="Times New Roman"/>
        </w:rPr>
        <w:t>– A woman from occupied Luhansk region, displaced in Government-controlled territory since 2023, who had to move into a collective centre in 2025 due to inability to afford the high rent.</w:t>
      </w:r>
    </w:p>
    <w:p w14:paraId="2616EF97" w14:textId="77777777" w:rsidR="00B72126" w:rsidRDefault="001555DA" w:rsidP="004249C4">
      <w:pPr>
        <w:pStyle w:val="SingleTxtG"/>
      </w:pPr>
      <w:r>
        <w:t>74.</w:t>
      </w:r>
      <w:r>
        <w:tab/>
      </w:r>
      <w:r w:rsidR="00776DDC" w:rsidRPr="002E1F5F">
        <w:t>IDPs from occupied territory face additional barriers to accessing employment</w:t>
      </w:r>
      <w:r w:rsidR="00776DDC">
        <w:t xml:space="preserve"> as compared to IDPs from Government-controlled territory due to non-recognition by Ukrainian authorities of</w:t>
      </w:r>
      <w:r w:rsidR="00776DDC" w:rsidRPr="00F9668D">
        <w:t xml:space="preserve"> primary or secondary education obtained from Russian</w:t>
      </w:r>
      <w:r w:rsidR="00776DDC">
        <w:t>-run</w:t>
      </w:r>
      <w:r w:rsidR="00776DDC" w:rsidRPr="00F9668D">
        <w:t xml:space="preserve"> schools operating in occupied territory</w:t>
      </w:r>
      <w:r w:rsidR="00776DDC">
        <w:t>. Though t</w:t>
      </w:r>
      <w:r w:rsidR="00776DDC" w:rsidRPr="00F758F2">
        <w:t>he Cabinet of Ministers adopted a decree to recognize higher education qualifications</w:t>
      </w:r>
      <w:r w:rsidR="00776DDC">
        <w:t xml:space="preserve"> from institutions in occupied territory,</w:t>
      </w:r>
      <w:r w:rsidR="00776DDC">
        <w:rPr>
          <w:rStyle w:val="FootnoteReference"/>
        </w:rPr>
        <w:footnoteReference w:id="82"/>
      </w:r>
      <w:r w:rsidR="00776DDC">
        <w:t xml:space="preserve"> this applies only in cases where individuals were eligible </w:t>
      </w:r>
      <w:r w:rsidR="00776DDC" w:rsidRPr="77D27546">
        <w:t>to obtain th</w:t>
      </w:r>
      <w:r w:rsidR="00776DDC">
        <w:t>e</w:t>
      </w:r>
      <w:r w:rsidR="00776DDC" w:rsidRPr="77D27546">
        <w:t xml:space="preserve"> degree</w:t>
      </w:r>
      <w:r w:rsidR="00776DDC">
        <w:t xml:space="preserve"> in the first place, which means they would have to hold secondary education credentials recognized according to Ukrainian law. As noted above, Ukraine does not recognize secondary education obtained from Russian-run schools operating in occupied territory.</w:t>
      </w:r>
    </w:p>
    <w:p w14:paraId="6C83D6C2" w14:textId="26585739" w:rsidR="00A215BC" w:rsidRDefault="001555DA" w:rsidP="004249C4">
      <w:pPr>
        <w:pStyle w:val="SingleTxtG"/>
      </w:pPr>
      <w:r>
        <w:t>75.</w:t>
      </w:r>
      <w:r>
        <w:tab/>
      </w:r>
      <w:r w:rsidR="00776DDC" w:rsidRPr="0061094D">
        <w:t xml:space="preserve">Older IDPs </w:t>
      </w:r>
      <w:r w:rsidR="00776DDC" w:rsidRPr="002E1F5F">
        <w:t>faced difficult</w:t>
      </w:r>
      <w:r w:rsidR="00776DDC">
        <w:t>y</w:t>
      </w:r>
      <w:r w:rsidR="00776DDC" w:rsidRPr="002E1F5F">
        <w:t xml:space="preserve"> proving their work history in occupied territory, resulting in the denial or reduction of pension payments. </w:t>
      </w:r>
      <w:r w:rsidR="00776DDC">
        <w:t>In some cases, p</w:t>
      </w:r>
      <w:r w:rsidR="00776DDC" w:rsidRPr="002E1F5F">
        <w:t xml:space="preserve">ension authorities refused to recognize periods of employment due to missing documents and archives, typos in documents, and the closure of employing entities in occupied territory. In such cases, IDPs </w:t>
      </w:r>
      <w:r w:rsidR="00776DDC" w:rsidRPr="77D27546">
        <w:t xml:space="preserve">needed to </w:t>
      </w:r>
      <w:r w:rsidR="00776DDC" w:rsidRPr="002E1F5F">
        <w:t>provide witness testimony from</w:t>
      </w:r>
      <w:r w:rsidR="00776DDC" w:rsidRPr="77D27546">
        <w:t xml:space="preserve"> two</w:t>
      </w:r>
      <w:r w:rsidR="00776DDC" w:rsidRPr="002E1F5F">
        <w:t xml:space="preserve"> former colleagues</w:t>
      </w:r>
      <w:r w:rsidR="00776DDC">
        <w:t xml:space="preserve">, </w:t>
      </w:r>
      <w:r w:rsidR="00776DDC" w:rsidRPr="002E1F5F">
        <w:t xml:space="preserve">which was impractical </w:t>
      </w:r>
      <w:r w:rsidR="00776DDC">
        <w:t>or impossible</w:t>
      </w:r>
      <w:r w:rsidR="00776DDC" w:rsidRPr="002E1F5F">
        <w:t xml:space="preserve"> since potential witnesses frequently resided in occupied territory. Those unable to prove their work history often received only minimum social pensions (less than 100 USD per month), which does not cover basic living costs.</w:t>
      </w:r>
    </w:p>
    <w:p w14:paraId="63C0984F" w14:textId="444A2BEC" w:rsidR="00776DDC" w:rsidRPr="002E1F5F" w:rsidRDefault="001555DA" w:rsidP="004249C4">
      <w:pPr>
        <w:pStyle w:val="SingleTxtG"/>
      </w:pPr>
      <w:r>
        <w:lastRenderedPageBreak/>
        <w:t>76.</w:t>
      </w:r>
      <w:r>
        <w:tab/>
      </w:r>
      <w:r w:rsidR="00776DDC">
        <w:t>T</w:t>
      </w:r>
      <w:r w:rsidR="00776DDC" w:rsidRPr="00BB0518">
        <w:t xml:space="preserve">he </w:t>
      </w:r>
      <w:r w:rsidR="00776DDC">
        <w:t>Cabinet of Ministers of Ukraine</w:t>
      </w:r>
      <w:r w:rsidR="00776DDC" w:rsidRPr="00BB0518">
        <w:t xml:space="preserve"> </w:t>
      </w:r>
      <w:r w:rsidR="00776DDC">
        <w:t xml:space="preserve">has also </w:t>
      </w:r>
      <w:r w:rsidR="00776DDC" w:rsidRPr="00BB0518">
        <w:t xml:space="preserve">introduced </w:t>
      </w:r>
      <w:r w:rsidR="00776DDC">
        <w:t xml:space="preserve">a </w:t>
      </w:r>
      <w:r w:rsidR="00776DDC" w:rsidRPr="00BB0518">
        <w:t xml:space="preserve">requirement </w:t>
      </w:r>
      <w:r w:rsidR="00776DDC" w:rsidRPr="00522EC5">
        <w:t xml:space="preserve">for </w:t>
      </w:r>
      <w:r w:rsidR="00776DDC">
        <w:t xml:space="preserve">persons displaced </w:t>
      </w:r>
      <w:r w:rsidR="00776DDC" w:rsidRPr="00522EC5">
        <w:t xml:space="preserve">from </w:t>
      </w:r>
      <w:r w:rsidR="00776DDC">
        <w:t xml:space="preserve">occupied territory </w:t>
      </w:r>
      <w:r w:rsidR="00776DDC" w:rsidRPr="00522EC5">
        <w:t>to confirm</w:t>
      </w:r>
      <w:r w:rsidR="00776DDC">
        <w:t>, by 31 December 2025,</w:t>
      </w:r>
      <w:r w:rsidR="00776DDC" w:rsidRPr="00522EC5">
        <w:t xml:space="preserve"> </w:t>
      </w:r>
      <w:r w:rsidR="00776DDC">
        <w:t>that they do not receive p</w:t>
      </w:r>
      <w:r w:rsidR="00776DDC" w:rsidRPr="00522EC5">
        <w:t>ension</w:t>
      </w:r>
      <w:r w:rsidR="00776DDC">
        <w:t xml:space="preserve"> payments</w:t>
      </w:r>
      <w:r w:rsidR="00776DDC" w:rsidRPr="00522EC5">
        <w:t xml:space="preserve"> from authorities of the Russian Federation</w:t>
      </w:r>
      <w:r w:rsidR="00776DDC">
        <w:t>.</w:t>
      </w:r>
      <w:r w:rsidR="00776DDC">
        <w:rPr>
          <w:rStyle w:val="FootnoteReference"/>
        </w:rPr>
        <w:footnoteReference w:id="83"/>
      </w:r>
      <w:r w:rsidR="00776DDC">
        <w:t xml:space="preserve"> This </w:t>
      </w:r>
      <w:r w:rsidR="00776DDC" w:rsidRPr="00BC3901">
        <w:t>may create an additional administrative burden in accessing pension</w:t>
      </w:r>
      <w:r w:rsidR="00776DDC">
        <w:t>s</w:t>
      </w:r>
      <w:r w:rsidR="00776DDC" w:rsidRPr="00BC3901">
        <w:t xml:space="preserve">, </w:t>
      </w:r>
      <w:r w:rsidR="00776DDC">
        <w:t>depending on how</w:t>
      </w:r>
      <w:r w:rsidR="00776DDC" w:rsidRPr="00BC3901">
        <w:t xml:space="preserve"> information </w:t>
      </w:r>
      <w:r w:rsidR="00776DDC">
        <w:t xml:space="preserve">is disseminated and procedures are implemented, given the low level of </w:t>
      </w:r>
      <w:r w:rsidR="00776DDC" w:rsidRPr="00BC3901">
        <w:t>digital literacy among older persons</w:t>
      </w:r>
      <w:r w:rsidR="00776DDC">
        <w:t>.</w:t>
      </w:r>
    </w:p>
    <w:p w14:paraId="6E9FF1AD" w14:textId="66926E1D" w:rsidR="00776DDC" w:rsidRPr="002E1F5F" w:rsidRDefault="001555DA" w:rsidP="004249C4">
      <w:pPr>
        <w:pStyle w:val="SingleTxtG"/>
      </w:pPr>
      <w:r>
        <w:t>77.</w:t>
      </w:r>
      <w:r>
        <w:tab/>
      </w:r>
      <w:r w:rsidR="00776DDC" w:rsidRPr="002E1F5F">
        <w:t xml:space="preserve">Under </w:t>
      </w:r>
      <w:r w:rsidR="00776DDC">
        <w:t>international human rights law</w:t>
      </w:r>
      <w:r w:rsidR="00776DDC" w:rsidRPr="002E1F5F">
        <w:t xml:space="preserve">, </w:t>
      </w:r>
      <w:r w:rsidR="00776DDC" w:rsidRPr="000C24BC">
        <w:t xml:space="preserve">in addition to taking steps to achieve progressively their full realization, </w:t>
      </w:r>
      <w:r w:rsidR="00776DDC" w:rsidRPr="002E1F5F">
        <w:t xml:space="preserve">States </w:t>
      </w:r>
      <w:r w:rsidR="00776DDC" w:rsidRPr="000C24BC">
        <w:t xml:space="preserve">also </w:t>
      </w:r>
      <w:r w:rsidR="00776DDC" w:rsidRPr="002E1F5F">
        <w:t>have</w:t>
      </w:r>
      <w:r w:rsidR="00776DDC" w:rsidRPr="00B0314D">
        <w:t xml:space="preserve"> </w:t>
      </w:r>
      <w:r w:rsidR="00776DDC" w:rsidRPr="000C24BC">
        <w:t>immediate obligations</w:t>
      </w:r>
      <w:r w:rsidR="00776DDC" w:rsidRPr="004207D5">
        <w:t xml:space="preserve"> </w:t>
      </w:r>
      <w:r w:rsidR="00776DDC" w:rsidRPr="000C24BC">
        <w:t>in relation to</w:t>
      </w:r>
      <w:r w:rsidR="00776DDC" w:rsidRPr="002E1F5F">
        <w:t xml:space="preserve"> the right</w:t>
      </w:r>
      <w:r w:rsidR="00776DDC">
        <w:t>s to work and</w:t>
      </w:r>
      <w:r w:rsidR="00776DDC" w:rsidRPr="002E1F5F">
        <w:t xml:space="preserve"> to </w:t>
      </w:r>
      <w:r w:rsidR="00776DDC" w:rsidRPr="0061094D">
        <w:t>social security</w:t>
      </w:r>
      <w:r w:rsidR="00776DDC" w:rsidRPr="002E1F5F">
        <w:t>.</w:t>
      </w:r>
      <w:r w:rsidR="00776DDC" w:rsidRPr="002E1F5F">
        <w:rPr>
          <w:rStyle w:val="FootnoteReference"/>
        </w:rPr>
        <w:footnoteReference w:id="84"/>
      </w:r>
      <w:r w:rsidR="00776DDC" w:rsidRPr="002E1F5F">
        <w:t xml:space="preserve"> Old-age benefits constitute a core component of this right, and States must ensure the availability, adequacy and accessibility of such </w:t>
      </w:r>
      <w:r w:rsidR="00776DDC" w:rsidRPr="0061094D">
        <w:t>benefits, provided without discrimination</w:t>
      </w:r>
      <w:r w:rsidR="00776DDC" w:rsidRPr="002E1F5F">
        <w:t>.</w:t>
      </w:r>
      <w:r w:rsidR="00776DDC" w:rsidRPr="002E1F5F">
        <w:rPr>
          <w:rStyle w:val="FootnoteReference"/>
        </w:rPr>
        <w:footnoteReference w:id="85"/>
      </w:r>
    </w:p>
    <w:p w14:paraId="52A467D0" w14:textId="77777777" w:rsidR="00A215BC" w:rsidRDefault="0042776C" w:rsidP="00C952FF">
      <w:pPr>
        <w:pStyle w:val="H1G"/>
      </w:pPr>
      <w:bookmarkStart w:id="18" w:name="_Toc219281400"/>
      <w:r>
        <w:tab/>
        <w:t>C.</w:t>
      </w:r>
      <w:r>
        <w:tab/>
      </w:r>
      <w:r w:rsidR="00776DDC" w:rsidRPr="0061094D">
        <w:t>Access to an adequate standard of living and compensation for damaged, destroyed, or inaccessible housing</w:t>
      </w:r>
      <w:bookmarkEnd w:id="18"/>
    </w:p>
    <w:p w14:paraId="7E9479E2" w14:textId="44AD97C6" w:rsidR="00776DDC" w:rsidRDefault="0042776C" w:rsidP="0042776C">
      <w:pPr>
        <w:pStyle w:val="SingleTxtG"/>
      </w:pPr>
      <w:r>
        <w:t>78.</w:t>
      </w:r>
      <w:r>
        <w:tab/>
      </w:r>
      <w:r w:rsidR="00776DDC">
        <w:t>Local authorities, NGOs and IDPs have told OHCHR that the main issue for IDPs from occupied territory is access</w:t>
      </w:r>
      <w:r w:rsidR="00776DDC" w:rsidRPr="002E1F5F">
        <w:t xml:space="preserve"> </w:t>
      </w:r>
      <w:r w:rsidR="00776DDC">
        <w:t xml:space="preserve">to housing. In a recent survey, </w:t>
      </w:r>
      <w:r w:rsidR="00776DDC" w:rsidRPr="002E1F5F">
        <w:t xml:space="preserve">35 per cent of IDPs from occupied territory </w:t>
      </w:r>
      <w:r w:rsidR="00776DDC">
        <w:t xml:space="preserve">reported lack of access to adequate housing, </w:t>
      </w:r>
      <w:r w:rsidR="00776DDC" w:rsidRPr="002E1F5F">
        <w:t xml:space="preserve">as compared to 21 percent of IDPs from </w:t>
      </w:r>
      <w:r w:rsidR="00776DDC">
        <w:t>territory controlled by the Government of Ukraine.</w:t>
      </w:r>
      <w:r w:rsidR="00776DDC" w:rsidRPr="002E1F5F">
        <w:rPr>
          <w:rStyle w:val="FootnoteReference"/>
        </w:rPr>
        <w:footnoteReference w:id="86"/>
      </w:r>
      <w:r w:rsidR="00776DDC" w:rsidRPr="002E1F5F">
        <w:t xml:space="preserve"> </w:t>
      </w:r>
      <w:r w:rsidR="00776DDC" w:rsidRPr="002061C4">
        <w:t>OHCHR documented the case of a family displace</w:t>
      </w:r>
      <w:r w:rsidR="00776DDC">
        <w:t xml:space="preserve">d </w:t>
      </w:r>
      <w:r w:rsidR="00776DDC" w:rsidRPr="002061C4">
        <w:t>from occupied territor</w:t>
      </w:r>
      <w:r w:rsidR="00776DDC">
        <w:t xml:space="preserve">y who had been living in a collective </w:t>
      </w:r>
      <w:proofErr w:type="spellStart"/>
      <w:r w:rsidR="00776DDC">
        <w:t>center</w:t>
      </w:r>
      <w:proofErr w:type="spellEnd"/>
      <w:r w:rsidR="00776DDC">
        <w:t xml:space="preserve"> since December 2024. The</w:t>
      </w:r>
      <w:r w:rsidR="00776DDC" w:rsidRPr="002061C4">
        <w:t xml:space="preserve"> parents</w:t>
      </w:r>
      <w:r w:rsidR="00776DDC">
        <w:t>, each of whom have a disability, told OHCHR that due</w:t>
      </w:r>
      <w:r w:rsidR="00776DDC" w:rsidRPr="002061C4">
        <w:t xml:space="preserve"> to the lack of accessible and affordable housing, insufficient </w:t>
      </w:r>
      <w:r w:rsidR="00776DDC">
        <w:t>G</w:t>
      </w:r>
      <w:r w:rsidR="00776DDC" w:rsidRPr="002061C4">
        <w:t>overnment support, and the combined impact of their disabilit</w:t>
      </w:r>
      <w:r w:rsidR="00776DDC">
        <w:t>ies</w:t>
      </w:r>
      <w:r w:rsidR="00776DDC" w:rsidRPr="002061C4">
        <w:t xml:space="preserve"> on their caregiving capacity, </w:t>
      </w:r>
      <w:r w:rsidR="00776DDC">
        <w:t>they</w:t>
      </w:r>
      <w:r w:rsidR="00776DDC" w:rsidRPr="002061C4">
        <w:t xml:space="preserve"> felt unable to provide adequate care for their </w:t>
      </w:r>
      <w:r w:rsidR="00776DDC">
        <w:t xml:space="preserve">three-year-old </w:t>
      </w:r>
      <w:r w:rsidR="00776DDC" w:rsidRPr="002061C4">
        <w:t xml:space="preserve">child and </w:t>
      </w:r>
      <w:r w:rsidR="00776DDC">
        <w:t xml:space="preserve">had </w:t>
      </w:r>
      <w:r w:rsidR="00776DDC" w:rsidRPr="002061C4">
        <w:t>relinquished their parental rights.</w:t>
      </w:r>
    </w:p>
    <w:p w14:paraId="1DA5A738" w14:textId="77777777" w:rsidR="00A215BC" w:rsidRDefault="0042776C" w:rsidP="0042776C">
      <w:pPr>
        <w:pStyle w:val="SingleTxtG"/>
        <w:rPr>
          <w:color w:val="000000" w:themeColor="text1"/>
        </w:rPr>
      </w:pPr>
      <w:r>
        <w:t>79.</w:t>
      </w:r>
      <w:r>
        <w:tab/>
      </w:r>
      <w:r w:rsidR="00776DDC">
        <w:t xml:space="preserve">Over half of surveyed IDPs from occupied territory reported </w:t>
      </w:r>
      <w:r w:rsidR="00776DDC" w:rsidRPr="002E1F5F">
        <w:t xml:space="preserve">that their original homes </w:t>
      </w:r>
      <w:r w:rsidR="00776DDC">
        <w:t xml:space="preserve">were damaged or destroyed </w:t>
      </w:r>
      <w:r w:rsidR="00776DDC" w:rsidRPr="002E1F5F">
        <w:t>(</w:t>
      </w:r>
      <w:r w:rsidR="00776DDC">
        <w:t>54</w:t>
      </w:r>
      <w:r w:rsidR="00776DDC" w:rsidRPr="002E1F5F">
        <w:t xml:space="preserve"> per cent of IDPs from occupied territory as compared to </w:t>
      </w:r>
      <w:r w:rsidR="00776DDC">
        <w:t>51 per cent from frontline areas and 12 per cent from other areas</w:t>
      </w:r>
      <w:r w:rsidR="00776DDC" w:rsidRPr="002E1F5F">
        <w:t>).</w:t>
      </w:r>
      <w:r w:rsidR="00776DDC" w:rsidRPr="002E1F5F">
        <w:rPr>
          <w:rStyle w:val="FootnoteReference"/>
        </w:rPr>
        <w:footnoteReference w:id="87"/>
      </w:r>
      <w:r w:rsidR="00776DDC" w:rsidRPr="002E1F5F">
        <w:t xml:space="preserve"> Nevertheless, they do not enjoy equal access to national compensation programs for damaged or destroyed property, which could </w:t>
      </w:r>
      <w:r w:rsidR="00776DDC">
        <w:t>facilitate</w:t>
      </w:r>
      <w:r w:rsidR="00776DDC" w:rsidRPr="002E1F5F">
        <w:t xml:space="preserve"> more secure settlement in their current place of residence. The law on compensation for </w:t>
      </w:r>
      <w:r w:rsidR="00776DDC">
        <w:t xml:space="preserve">damaged or destroyed </w:t>
      </w:r>
      <w:r w:rsidR="00776DDC" w:rsidRPr="002E1F5F">
        <w:t xml:space="preserve">property excludes property </w:t>
      </w:r>
      <w:r w:rsidR="00776DDC" w:rsidRPr="0061094D">
        <w:rPr>
          <w:color w:val="000000" w:themeColor="text1"/>
        </w:rPr>
        <w:t>located in</w:t>
      </w:r>
      <w:r w:rsidR="00776DDC" w:rsidRPr="0061094D" w:rsidDel="06E3910B">
        <w:rPr>
          <w:color w:val="000000" w:themeColor="text1"/>
        </w:rPr>
        <w:t xml:space="preserve"> </w:t>
      </w:r>
      <w:r w:rsidR="00776DDC" w:rsidRPr="0061094D">
        <w:rPr>
          <w:color w:val="000000" w:themeColor="text1"/>
        </w:rPr>
        <w:t>Crimea and in areas of Donetsk and Luhansk regions that Ukraine has not controlled since 2014.</w:t>
      </w:r>
      <w:r w:rsidR="00776DDC" w:rsidRPr="0061094D">
        <w:rPr>
          <w:rStyle w:val="FootnoteReference"/>
          <w:color w:val="000000" w:themeColor="text1"/>
        </w:rPr>
        <w:footnoteReference w:id="88"/>
      </w:r>
      <w:r w:rsidR="00776DDC" w:rsidRPr="0061094D" w:rsidDel="06E3910B">
        <w:rPr>
          <w:color w:val="000000" w:themeColor="text1"/>
        </w:rPr>
        <w:t xml:space="preserve"> </w:t>
      </w:r>
      <w:r w:rsidR="00776DDC" w:rsidRPr="0061094D">
        <w:rPr>
          <w:color w:val="000000" w:themeColor="text1"/>
        </w:rPr>
        <w:t>A compensation program providing funds to repair damaged housing</w:t>
      </w:r>
      <w:r w:rsidR="00776DDC" w:rsidRPr="0061094D" w:rsidDel="06E3910B">
        <w:rPr>
          <w:color w:val="000000" w:themeColor="text1"/>
        </w:rPr>
        <w:t xml:space="preserve"> </w:t>
      </w:r>
      <w:r w:rsidR="00776DDC" w:rsidRPr="0061094D">
        <w:rPr>
          <w:color w:val="000000" w:themeColor="text1"/>
        </w:rPr>
        <w:t>does not apply to property located in occupied territory or to property damaged by hostilities prior to 24 February 2022.</w:t>
      </w:r>
      <w:r w:rsidR="00776DDC" w:rsidRPr="0061094D">
        <w:rPr>
          <w:rStyle w:val="FootnoteReference"/>
          <w:color w:val="000000" w:themeColor="text1"/>
        </w:rPr>
        <w:footnoteReference w:id="89"/>
      </w:r>
      <w:r w:rsidR="00776DDC" w:rsidRPr="0061094D">
        <w:rPr>
          <w:color w:val="000000" w:themeColor="text1"/>
        </w:rPr>
        <w:t xml:space="preserve"> A separate compensation program for destroyed housing, while not containing territorial limitations, remains inaccessible in practice to IDPs from occupied territory</w:t>
      </w:r>
      <w:r w:rsidR="00776DDC">
        <w:rPr>
          <w:color w:val="000000" w:themeColor="text1"/>
        </w:rPr>
        <w:t>,</w:t>
      </w:r>
      <w:r w:rsidR="00776DDC" w:rsidRPr="0061094D">
        <w:rPr>
          <w:color w:val="000000" w:themeColor="text1"/>
        </w:rPr>
        <w:t xml:space="preserve"> as it requires on-site inspection by a local commission, which is impossible on occupied territory.</w:t>
      </w:r>
      <w:r w:rsidR="00776DDC" w:rsidRPr="0061094D">
        <w:rPr>
          <w:rStyle w:val="FootnoteReference"/>
          <w:color w:val="000000" w:themeColor="text1"/>
        </w:rPr>
        <w:footnoteReference w:id="90"/>
      </w:r>
      <w:r w:rsidR="00776DDC" w:rsidRPr="0061094D">
        <w:rPr>
          <w:color w:val="000000" w:themeColor="text1"/>
        </w:rPr>
        <w:t xml:space="preserve"> Although a remote inspection procedure was introduced, its use is explicitly excluded for property located in occupied territory.</w:t>
      </w:r>
      <w:r w:rsidR="00776DDC" w:rsidRPr="0061094D">
        <w:rPr>
          <w:rStyle w:val="FootnoteReference"/>
          <w:color w:val="000000" w:themeColor="text1"/>
        </w:rPr>
        <w:footnoteReference w:id="91"/>
      </w:r>
    </w:p>
    <w:p w14:paraId="4D991266" w14:textId="77777777" w:rsidR="00B72126" w:rsidRDefault="0066618A" w:rsidP="00C952FF">
      <w:pPr>
        <w:pStyle w:val="H1G"/>
      </w:pPr>
      <w:bookmarkStart w:id="19" w:name="_Toc219281401"/>
      <w:r>
        <w:tab/>
        <w:t>D.</w:t>
      </w:r>
      <w:r>
        <w:tab/>
      </w:r>
      <w:r w:rsidR="00776DDC">
        <w:t>Specialized support for victims of arbitrary detention, torture and ill-treatment</w:t>
      </w:r>
    </w:p>
    <w:p w14:paraId="4EB93717" w14:textId="7E2ADE24" w:rsidR="00776DDC" w:rsidRPr="00C176CC" w:rsidRDefault="00776DDC" w:rsidP="0066618A">
      <w:pPr>
        <w:pStyle w:val="SingleTxtG"/>
        <w:jc w:val="right"/>
        <w:rPr>
          <w:i/>
          <w:iCs/>
          <w:sz w:val="18"/>
          <w:szCs w:val="18"/>
        </w:rPr>
      </w:pPr>
      <w:r w:rsidRPr="00C176CC">
        <w:rPr>
          <w:i/>
          <w:iCs/>
          <w:sz w:val="18"/>
          <w:szCs w:val="18"/>
        </w:rPr>
        <w:t>“Nobody took care of me, even though they promised.”</w:t>
      </w:r>
    </w:p>
    <w:p w14:paraId="57190903" w14:textId="77777777" w:rsidR="00B72126" w:rsidRPr="00C176CC" w:rsidRDefault="00776DDC" w:rsidP="00040324">
      <w:pPr>
        <w:pStyle w:val="SingleTxtG"/>
        <w:jc w:val="right"/>
        <w:rPr>
          <w:rFonts w:eastAsia="DengXian" w:cs="Arial"/>
          <w:sz w:val="18"/>
          <w:szCs w:val="18"/>
        </w:rPr>
      </w:pPr>
      <w:r w:rsidRPr="00C176CC">
        <w:rPr>
          <w:rFonts w:eastAsia="DengXian" w:cs="Arial"/>
          <w:sz w:val="18"/>
          <w:szCs w:val="18"/>
        </w:rPr>
        <w:t>– A man who was arbitrarily detained and ill-treated for almost three years by Russian authorities, speaking about the support received upon displacement from occupied territory in May 2025.</w:t>
      </w:r>
    </w:p>
    <w:p w14:paraId="70E1DFBF" w14:textId="2D314B0D" w:rsidR="00776DDC" w:rsidRDefault="0019582E" w:rsidP="0066618A">
      <w:pPr>
        <w:pStyle w:val="SingleTxtG"/>
      </w:pPr>
      <w:r>
        <w:lastRenderedPageBreak/>
        <w:t>80.</w:t>
      </w:r>
      <w:r>
        <w:tab/>
      </w:r>
      <w:r w:rsidR="00776DDC" w:rsidRPr="009F4B90">
        <w:t xml:space="preserve">Among IDPs from occupied </w:t>
      </w:r>
      <w:r w:rsidR="00776DDC">
        <w:rPr>
          <w:color w:val="000000" w:themeColor="text1"/>
        </w:rPr>
        <w:t xml:space="preserve">territory </w:t>
      </w:r>
      <w:r w:rsidR="00776DDC" w:rsidRPr="009F4B90">
        <w:t xml:space="preserve">are </w:t>
      </w:r>
      <w:r w:rsidR="00776DDC">
        <w:t xml:space="preserve">a significant number of </w:t>
      </w:r>
      <w:r w:rsidR="00776DDC" w:rsidRPr="009F4B90">
        <w:t xml:space="preserve">civilians </w:t>
      </w:r>
      <w:r w:rsidR="00776DDC">
        <w:t xml:space="preserve">who had been detained and </w:t>
      </w:r>
      <w:r w:rsidR="00776DDC" w:rsidRPr="009F4B90">
        <w:t>subjected to torture and ill treatment</w:t>
      </w:r>
      <w:r w:rsidR="00776DDC">
        <w:t xml:space="preserve"> by the occupying authorities</w:t>
      </w:r>
      <w:r w:rsidR="00776DDC" w:rsidRPr="009F4B90">
        <w:t>, which often included sexual violence.</w:t>
      </w:r>
      <w:r w:rsidR="00776DDC">
        <w:rPr>
          <w:rStyle w:val="FootnoteReference"/>
        </w:rPr>
        <w:footnoteReference w:id="92"/>
      </w:r>
      <w:r w:rsidR="00776DDC" w:rsidRPr="009F4B90">
        <w:t xml:space="preserve"> OHCHR has interviewed </w:t>
      </w:r>
      <w:r w:rsidR="00776DDC" w:rsidRPr="001601B2">
        <w:t>278</w:t>
      </w:r>
      <w:r w:rsidR="00776DDC" w:rsidRPr="009F4B90">
        <w:t xml:space="preserve"> such civilians.</w:t>
      </w:r>
      <w:r w:rsidR="00776DDC">
        <w:rPr>
          <w:rStyle w:val="FootnoteReference"/>
        </w:rPr>
        <w:footnoteReference w:id="93"/>
      </w:r>
      <w:r w:rsidR="00776DDC" w:rsidRPr="009F4B90">
        <w:t xml:space="preserve"> As a result of </w:t>
      </w:r>
      <w:r w:rsidR="00776DDC">
        <w:t>the</w:t>
      </w:r>
      <w:r w:rsidR="00776DDC" w:rsidRPr="009F4B90">
        <w:t xml:space="preserve"> trauma</w:t>
      </w:r>
      <w:r w:rsidR="00776DDC">
        <w:t xml:space="preserve"> experienced</w:t>
      </w:r>
      <w:r w:rsidR="00776DDC" w:rsidRPr="009F4B90">
        <w:t xml:space="preserve">, they require long-term, specialized medical, psychological and social support following their release and arrival in </w:t>
      </w:r>
      <w:r w:rsidR="00776DDC">
        <w:t>G</w:t>
      </w:r>
      <w:r w:rsidR="00776DDC" w:rsidRPr="009F4B90">
        <w:t>overnment-controlled territory. At present</w:t>
      </w:r>
      <w:r w:rsidR="00776DDC">
        <w:t>,</w:t>
      </w:r>
      <w:r w:rsidR="00776DDC" w:rsidRPr="009F4B90">
        <w:t xml:space="preserve"> their specific needs are not being met, since support programs are fragmented, incomplete and available only to specific groups.</w:t>
      </w:r>
      <w:r w:rsidR="00776DDC">
        <w:t xml:space="preserve"> </w:t>
      </w:r>
      <w:r w:rsidR="00776DDC" w:rsidRPr="000F2CE0">
        <w:t>Many survivors must navigate different services on their own, often without clear information or referral pathways, and may receive only short-term or partial support that does not address their full recovery needs.</w:t>
      </w:r>
    </w:p>
    <w:p w14:paraId="2451A54A" w14:textId="0CA1E403" w:rsidR="00776DDC" w:rsidRPr="00DA3E70" w:rsidRDefault="0019582E" w:rsidP="0019582E">
      <w:pPr>
        <w:pStyle w:val="SingleTxtG"/>
      </w:pPr>
      <w:r>
        <w:rPr>
          <w:color w:val="000000" w:themeColor="text1"/>
        </w:rPr>
        <w:t>81.</w:t>
      </w:r>
      <w:r>
        <w:rPr>
          <w:color w:val="000000" w:themeColor="text1"/>
        </w:rPr>
        <w:tab/>
      </w:r>
      <w:r w:rsidR="00776DDC">
        <w:rPr>
          <w:color w:val="000000" w:themeColor="text1"/>
        </w:rPr>
        <w:t xml:space="preserve">The Government of </w:t>
      </w:r>
      <w:r w:rsidR="00776DDC" w:rsidRPr="113DDC86">
        <w:rPr>
          <w:color w:val="000000" w:themeColor="text1"/>
        </w:rPr>
        <w:t xml:space="preserve">Ukraine has established a legal framework to provide survivors of conflict-related sexual violence with </w:t>
      </w:r>
      <w:r w:rsidR="00776DDC" w:rsidRPr="113DDC86">
        <w:t xml:space="preserve">urgent interim reparations, including free </w:t>
      </w:r>
      <w:r w:rsidR="00776DDC" w:rsidRPr="00FA2CAB">
        <w:t>rehabilitation</w:t>
      </w:r>
      <w:r w:rsidR="00776DDC" w:rsidRPr="113DDC86">
        <w:t xml:space="preserve"> (medical, psychosocial and other measures) and one-time financial support.</w:t>
      </w:r>
      <w:r w:rsidR="00776DDC" w:rsidRPr="3A231B56">
        <w:rPr>
          <w:rStyle w:val="FootnoteReference"/>
          <w:rFonts w:asciiTheme="majorBidi" w:hAnsiTheme="majorBidi" w:cstheme="majorBidi"/>
        </w:rPr>
        <w:footnoteReference w:id="94"/>
      </w:r>
      <w:r w:rsidR="00776DDC" w:rsidRPr="113DDC86">
        <w:t xml:space="preserve"> However, the Cabinet of Ministers has not yet adopted the bylaws necessary for its implementation, </w:t>
      </w:r>
      <w:r w:rsidR="00776DDC">
        <w:t xml:space="preserve">delaying </w:t>
      </w:r>
      <w:r w:rsidR="00776DDC" w:rsidRPr="113DDC86">
        <w:t xml:space="preserve">the provision of </w:t>
      </w:r>
      <w:r w:rsidR="00776DDC">
        <w:t xml:space="preserve">needed </w:t>
      </w:r>
      <w:r w:rsidR="00776DDC" w:rsidRPr="113DDC86">
        <w:t>support to</w:t>
      </w:r>
      <w:r w:rsidR="00776DDC" w:rsidRPr="3A231B56">
        <w:rPr>
          <w:rFonts w:asciiTheme="majorBidi" w:hAnsiTheme="majorBidi" w:cstheme="majorBidi"/>
        </w:rPr>
        <w:t xml:space="preserve"> survivors.</w:t>
      </w:r>
    </w:p>
    <w:p w14:paraId="6B3EC7F2" w14:textId="02CFC4F0" w:rsidR="00776DDC" w:rsidRPr="00A26F22" w:rsidRDefault="0019582E" w:rsidP="0019582E">
      <w:pPr>
        <w:pStyle w:val="SingleTxtG"/>
      </w:pPr>
      <w:r>
        <w:t>82.</w:t>
      </w:r>
      <w:r>
        <w:tab/>
      </w:r>
      <w:r w:rsidR="00776DDC" w:rsidRPr="113DDC86">
        <w:t>A</w:t>
      </w:r>
      <w:r w:rsidR="00776DDC">
        <w:t>nother</w:t>
      </w:r>
      <w:r w:rsidR="00776DDC" w:rsidRPr="113DDC86">
        <w:t xml:space="preserve"> law guarantees support to some former civilian detainees, including medical and psychological care, </w:t>
      </w:r>
      <w:r w:rsidR="00776DDC" w:rsidRPr="5160A07D">
        <w:t>financial support</w:t>
      </w:r>
      <w:r w:rsidR="00776DDC" w:rsidRPr="113DDC86">
        <w:t xml:space="preserve"> and</w:t>
      </w:r>
      <w:r w:rsidR="00776DDC" w:rsidRPr="5160A07D">
        <w:t xml:space="preserve"> temporary accommodation.</w:t>
      </w:r>
      <w:r w:rsidR="00776DDC" w:rsidRPr="113DDC86">
        <w:rPr>
          <w:sz w:val="18"/>
          <w:szCs w:val="18"/>
          <w:vertAlign w:val="superscript"/>
        </w:rPr>
        <w:t xml:space="preserve"> </w:t>
      </w:r>
      <w:r w:rsidR="00776DDC" w:rsidRPr="5160A07D">
        <w:rPr>
          <w:sz w:val="18"/>
          <w:szCs w:val="18"/>
          <w:vertAlign w:val="superscript"/>
        </w:rPr>
        <w:footnoteReference w:id="95"/>
      </w:r>
      <w:r w:rsidR="00776DDC" w:rsidRPr="5160A07D">
        <w:t xml:space="preserve"> </w:t>
      </w:r>
      <w:r w:rsidR="00776DDC" w:rsidRPr="113DDC86">
        <w:t xml:space="preserve">The eligibility criteria, which were established before the full-scale invasion, are restrictive, requiring that applicants prove the Russian Federation deprived them of their liberty for specific reasons, such as their political opinion. A commission takes the decision on eligibility; the process is lengthy. </w:t>
      </w:r>
      <w:r w:rsidR="00776DDC" w:rsidRPr="5160A07D">
        <w:t xml:space="preserve">For example, one released civilian told OHCHR that the process of establishing the fact of deprivation of liberty by the Commission lasted for seven months, during which he </w:t>
      </w:r>
      <w:r w:rsidR="00776DDC" w:rsidRPr="00EF2398">
        <w:t xml:space="preserve">had to </w:t>
      </w:r>
      <w:r w:rsidR="00776DDC" w:rsidRPr="00A26F22">
        <w:t>cover expenses for housing, medical treatment and rehabilitation as he was unable to access benefits provided by the law.</w:t>
      </w:r>
    </w:p>
    <w:p w14:paraId="6289745D" w14:textId="141050FE" w:rsidR="00776DDC" w:rsidRPr="00A26F22" w:rsidRDefault="0019582E" w:rsidP="0019582E">
      <w:pPr>
        <w:pStyle w:val="SingleTxtG"/>
      </w:pPr>
      <w:r>
        <w:t>83.</w:t>
      </w:r>
      <w:r w:rsidR="00FC71E1">
        <w:tab/>
      </w:r>
      <w:r w:rsidR="00776DDC" w:rsidRPr="00A26F22">
        <w:t xml:space="preserve">While the Russian Federation </w:t>
      </w:r>
      <w:r w:rsidR="00776DDC" w:rsidRPr="002D55C9">
        <w:t xml:space="preserve">has obligations to </w:t>
      </w:r>
      <w:r w:rsidR="00776DDC" w:rsidRPr="00A26F22">
        <w:t>provide reparation</w:t>
      </w:r>
      <w:r w:rsidR="00776DDC" w:rsidRPr="002D55C9">
        <w:t>s</w:t>
      </w:r>
      <w:r w:rsidR="00776DDC" w:rsidRPr="00A26F22">
        <w:t xml:space="preserve"> to victims of violations which can be attributed to it, Ukraine should</w:t>
      </w:r>
      <w:r w:rsidR="00776DDC" w:rsidRPr="002D55C9">
        <w:t>, pending implementation of such measures,</w:t>
      </w:r>
      <w:r w:rsidR="00776DDC" w:rsidRPr="00A26F22">
        <w:t xml:space="preserve"> endeavour to establish national programmes </w:t>
      </w:r>
      <w:r w:rsidR="00776DDC" w:rsidRPr="002D55C9">
        <w:t xml:space="preserve">to provide </w:t>
      </w:r>
      <w:r w:rsidR="00776DDC" w:rsidRPr="00A26F22">
        <w:t>for</w:t>
      </w:r>
      <w:r w:rsidR="00776DDC" w:rsidRPr="002D55C9">
        <w:t xml:space="preserve"> practical forms of</w:t>
      </w:r>
      <w:r w:rsidR="00776DDC" w:rsidRPr="00A26F22">
        <w:t xml:space="preserve"> reparations and other assistance</w:t>
      </w:r>
      <w:r w:rsidR="00776DDC" w:rsidRPr="002D55C9">
        <w:t>, according to need</w:t>
      </w:r>
      <w:r w:rsidR="00776DDC" w:rsidRPr="00A26F22">
        <w:t>.</w:t>
      </w:r>
      <w:r w:rsidR="00776DDC">
        <w:rPr>
          <w:rStyle w:val="FootnoteReference"/>
        </w:rPr>
        <w:footnoteReference w:id="96"/>
      </w:r>
    </w:p>
    <w:p w14:paraId="4E4211E4" w14:textId="3C1B5498" w:rsidR="00776DDC" w:rsidRDefault="00DD2532" w:rsidP="00DD2532">
      <w:pPr>
        <w:pStyle w:val="H1G"/>
        <w:ind w:left="0" w:firstLine="0"/>
      </w:pPr>
      <w:r>
        <w:tab/>
        <w:t>E.</w:t>
      </w:r>
      <w:r>
        <w:tab/>
      </w:r>
      <w:r w:rsidR="00776DDC" w:rsidRPr="0061094D">
        <w:t>Reintegration of children and young adults from occupied territory</w:t>
      </w:r>
      <w:bookmarkEnd w:id="19"/>
    </w:p>
    <w:p w14:paraId="02DEF9B6" w14:textId="77777777" w:rsidR="00A215BC" w:rsidRPr="00C176CC" w:rsidRDefault="00776DDC" w:rsidP="00C176CC">
      <w:pPr>
        <w:pStyle w:val="SingleTxtG"/>
        <w:ind w:left="2268"/>
        <w:jc w:val="right"/>
        <w:rPr>
          <w:i/>
          <w:iCs/>
          <w:sz w:val="18"/>
          <w:szCs w:val="18"/>
        </w:rPr>
      </w:pPr>
      <w:r w:rsidRPr="00C176CC">
        <w:rPr>
          <w:i/>
          <w:iCs/>
          <w:sz w:val="18"/>
          <w:szCs w:val="18"/>
        </w:rPr>
        <w:t>“They said that they have many cases like mine [people coming from occupied territory], and there will be no special treatment.”</w:t>
      </w:r>
    </w:p>
    <w:p w14:paraId="534A18C1" w14:textId="77777777" w:rsidR="00A215BC" w:rsidRPr="00C176CC" w:rsidRDefault="00776DDC" w:rsidP="00C176CC">
      <w:pPr>
        <w:pStyle w:val="SingleTxtG"/>
        <w:ind w:left="2268"/>
        <w:jc w:val="right"/>
        <w:rPr>
          <w:sz w:val="18"/>
          <w:szCs w:val="18"/>
        </w:rPr>
      </w:pPr>
      <w:r w:rsidRPr="00C176CC">
        <w:rPr>
          <w:sz w:val="18"/>
          <w:szCs w:val="18"/>
        </w:rPr>
        <w:t>– A young adult who left occupied Donetsk region upon turning 18 describing what she was told when applying for identity documents in spring 2025.</w:t>
      </w:r>
    </w:p>
    <w:p w14:paraId="0775CAEB" w14:textId="77777777" w:rsidR="00A215BC" w:rsidRDefault="000D145C" w:rsidP="00175B28">
      <w:pPr>
        <w:pStyle w:val="SingleTxtG"/>
      </w:pPr>
      <w:r>
        <w:t>84.</w:t>
      </w:r>
      <w:r>
        <w:tab/>
      </w:r>
      <w:r w:rsidR="00776DDC">
        <w:t xml:space="preserve">The Government of </w:t>
      </w:r>
      <w:r w:rsidR="00776DDC" w:rsidRPr="002E1F5F">
        <w:t xml:space="preserve">Ukraine has established a specific program of support for </w:t>
      </w:r>
      <w:r w:rsidR="00776DDC">
        <w:t xml:space="preserve">certain groups of displaced </w:t>
      </w:r>
      <w:r w:rsidR="00776DDC" w:rsidRPr="002E1F5F">
        <w:t>children</w:t>
      </w:r>
      <w:r w:rsidR="00776DDC">
        <w:t>, which</w:t>
      </w:r>
      <w:r w:rsidR="00776DDC" w:rsidRPr="002E1F5F">
        <w:t xml:space="preserve"> provides for safe return, reintegration measures, and financial support.</w:t>
      </w:r>
      <w:r w:rsidR="00776DDC" w:rsidRPr="002E1F5F">
        <w:rPr>
          <w:rStyle w:val="FootnoteReference"/>
        </w:rPr>
        <w:footnoteReference w:id="97"/>
      </w:r>
      <w:r w:rsidR="00776DDC" w:rsidRPr="0061094D">
        <w:rPr>
          <w:lang w:val="en-IE"/>
        </w:rPr>
        <w:t xml:space="preserve"> However, due to a legislative patchwork, </w:t>
      </w:r>
      <w:r w:rsidR="00776DDC" w:rsidRPr="0061094D">
        <w:t xml:space="preserve">children displaced </w:t>
      </w:r>
      <w:r w:rsidR="00776DDC" w:rsidRPr="0061094D">
        <w:rPr>
          <w:lang w:val="en-IE"/>
        </w:rPr>
        <w:t>from occupied territory may qualify for different legal statuses, resulting in uncertainty and varying access to assistance.</w:t>
      </w:r>
      <w:r w:rsidR="00776DDC" w:rsidRPr="0061094D">
        <w:rPr>
          <w:rStyle w:val="FootnoteReference"/>
          <w:lang w:val="en-IE"/>
        </w:rPr>
        <w:footnoteReference w:id="98"/>
      </w:r>
      <w:r w:rsidR="00776DDC" w:rsidRPr="0061094D">
        <w:rPr>
          <w:lang w:val="en-IE"/>
        </w:rPr>
        <w:t xml:space="preserve"> </w:t>
      </w:r>
      <w:r w:rsidR="00776DDC">
        <w:t>C</w:t>
      </w:r>
      <w:r w:rsidR="00776DDC" w:rsidRPr="002E1F5F">
        <w:t xml:space="preserve">hildren </w:t>
      </w:r>
      <w:r w:rsidR="00776DDC">
        <w:t xml:space="preserve">who have been displaced from occupied territory </w:t>
      </w:r>
      <w:r w:rsidR="00776DDC" w:rsidRPr="002E1F5F">
        <w:t>typically require assistance with</w:t>
      </w:r>
      <w:r w:rsidR="00776DDC">
        <w:t xml:space="preserve"> issuance of official</w:t>
      </w:r>
      <w:r w:rsidR="00776DDC" w:rsidRPr="002E1F5F">
        <w:t xml:space="preserve"> </w:t>
      </w:r>
      <w:r w:rsidR="00776DDC" w:rsidRPr="0061094D">
        <w:t>documentation</w:t>
      </w:r>
      <w:r w:rsidR="00776DDC" w:rsidRPr="002E1F5F">
        <w:t>, adapt</w:t>
      </w:r>
      <w:r w:rsidR="00776DDC">
        <w:t>at</w:t>
      </w:r>
      <w:r w:rsidR="00776DDC" w:rsidRPr="002E1F5F">
        <w:t xml:space="preserve">ion to the </w:t>
      </w:r>
      <w:r w:rsidR="00776DDC" w:rsidRPr="002E1F5F">
        <w:lastRenderedPageBreak/>
        <w:t xml:space="preserve">Ukrainian education curriculum, and psychological support following both </w:t>
      </w:r>
      <w:r w:rsidR="00776DDC">
        <w:t xml:space="preserve">their experience under </w:t>
      </w:r>
      <w:r w:rsidR="00776DDC" w:rsidRPr="002E1F5F">
        <w:t>occupation and displacement.</w:t>
      </w:r>
    </w:p>
    <w:p w14:paraId="3603EABC" w14:textId="77777777" w:rsidR="00A215BC" w:rsidRDefault="000D145C" w:rsidP="00175B28">
      <w:pPr>
        <w:pStyle w:val="SingleTxtG"/>
      </w:pPr>
      <w:r>
        <w:t>85.</w:t>
      </w:r>
      <w:r>
        <w:tab/>
      </w:r>
      <w:r w:rsidR="00776DDC" w:rsidRPr="002E1F5F">
        <w:t>Young adults</w:t>
      </w:r>
      <w:r w:rsidR="00776DDC">
        <w:t xml:space="preserve"> </w:t>
      </w:r>
      <w:r w:rsidR="00776DDC" w:rsidRPr="003861E4">
        <w:t>(aged 18 to 23)</w:t>
      </w:r>
      <w:r w:rsidR="00776DDC">
        <w:t xml:space="preserve"> </w:t>
      </w:r>
      <w:r w:rsidR="00776DDC" w:rsidRPr="002E1F5F">
        <w:t xml:space="preserve">displaced from occupied territory </w:t>
      </w:r>
      <w:r w:rsidR="00776DDC">
        <w:t xml:space="preserve">often are in a </w:t>
      </w:r>
      <w:r w:rsidR="00776DDC" w:rsidRPr="0061094D">
        <w:t>vulnerable</w:t>
      </w:r>
      <w:r w:rsidR="00776DDC" w:rsidRPr="0061094D" w:rsidDel="00E67C0B">
        <w:t xml:space="preserve"> </w:t>
      </w:r>
      <w:r w:rsidR="00776DDC">
        <w:t>situation and in need of additional support</w:t>
      </w:r>
      <w:r w:rsidR="00776DDC" w:rsidRPr="002E1F5F">
        <w:t xml:space="preserve">. They are not eligible </w:t>
      </w:r>
      <w:r w:rsidR="00776DDC" w:rsidRPr="0003439D">
        <w:t>for certain</w:t>
      </w:r>
      <w:r w:rsidR="00776DDC">
        <w:t xml:space="preserve"> types of </w:t>
      </w:r>
      <w:r w:rsidR="00776DDC" w:rsidRPr="002E1F5F">
        <w:t xml:space="preserve">assistance available to children under 18, yet many lack the independence to rely solely on the limited support provided to adult IDPs. Some arrive alone, with family members remaining in occupied territory, and lack a support network in </w:t>
      </w:r>
      <w:r w:rsidR="00776DDC">
        <w:t>G</w:t>
      </w:r>
      <w:r w:rsidR="00776DDC" w:rsidRPr="002E1F5F">
        <w:t>overnment-controlled territory. Although measures exist to facilitate access to higher education, many described practical obstacles: low stipends</w:t>
      </w:r>
      <w:r w:rsidR="00776DDC">
        <w:t>;</w:t>
      </w:r>
      <w:r w:rsidR="00776DDC" w:rsidRPr="002E1F5F">
        <w:t xml:space="preserve"> limited tuition-free slots; banking restrictions preventing receipt of funds from relatives in occupied territory; and high housing costs. A draft law under consideration proposes extending support measures available to displaced children to young adults up to age 23.</w:t>
      </w:r>
      <w:r w:rsidR="00776DDC" w:rsidRPr="002E1F5F">
        <w:rPr>
          <w:rStyle w:val="FootnoteReference"/>
        </w:rPr>
        <w:footnoteReference w:id="99"/>
      </w:r>
    </w:p>
    <w:p w14:paraId="7EEC7AB8" w14:textId="77777777" w:rsidR="00A215BC" w:rsidRDefault="003863E5" w:rsidP="003863E5">
      <w:pPr>
        <w:pStyle w:val="HChG"/>
      </w:pPr>
      <w:bookmarkStart w:id="20" w:name="_Toc219281403"/>
      <w:r>
        <w:tab/>
        <w:t>VII.</w:t>
      </w:r>
      <w:r>
        <w:tab/>
      </w:r>
      <w:r w:rsidR="00776DDC" w:rsidRPr="0061094D">
        <w:t>Recommendations</w:t>
      </w:r>
      <w:bookmarkEnd w:id="20"/>
    </w:p>
    <w:p w14:paraId="65966434" w14:textId="34C8302A" w:rsidR="00776DDC" w:rsidRPr="002A445C" w:rsidRDefault="00417CC3" w:rsidP="00417CC3">
      <w:pPr>
        <w:pStyle w:val="SingleTxtG"/>
      </w:pPr>
      <w:r>
        <w:t>86.</w:t>
      </w:r>
      <w:r>
        <w:tab/>
      </w:r>
      <w:r w:rsidR="00776DDC" w:rsidRPr="002A445C">
        <w:t xml:space="preserve">OHCHR continues to advocate for the implementation of recommendations in its past reports, most of which remain relevant. The </w:t>
      </w:r>
      <w:r w:rsidR="00776DDC">
        <w:t>issues raised in this report</w:t>
      </w:r>
      <w:r w:rsidR="00776DDC" w:rsidRPr="002A445C">
        <w:t xml:space="preserve"> highlight the need for further progress</w:t>
      </w:r>
      <w:r w:rsidR="00776DDC">
        <w:t xml:space="preserve"> </w:t>
      </w:r>
      <w:r w:rsidR="00776DDC" w:rsidRPr="002A445C">
        <w:t xml:space="preserve">in protecting human rights, and in particular, </w:t>
      </w:r>
      <w:r w:rsidR="00776DDC">
        <w:t>in the following areas.</w:t>
      </w:r>
    </w:p>
    <w:p w14:paraId="558EFC66" w14:textId="21D1089A" w:rsidR="00776DDC" w:rsidRPr="002E1F5F" w:rsidRDefault="00417CC3" w:rsidP="00417CC3">
      <w:pPr>
        <w:pStyle w:val="SingleTxtG"/>
      </w:pPr>
      <w:r>
        <w:t>87.</w:t>
      </w:r>
      <w:r>
        <w:tab/>
      </w:r>
      <w:r w:rsidR="00776DDC" w:rsidRPr="002E1F5F">
        <w:t>To both Ukraine and the Russian Federation:</w:t>
      </w:r>
    </w:p>
    <w:p w14:paraId="24929237" w14:textId="77777777" w:rsidR="00B72126" w:rsidRDefault="00417CC3" w:rsidP="00417CC3">
      <w:pPr>
        <w:pStyle w:val="SingleTxtG"/>
        <w:ind w:firstLine="567"/>
        <w:rPr>
          <w:b/>
          <w:bCs/>
        </w:rPr>
      </w:pPr>
      <w:r w:rsidRPr="00417CC3">
        <w:rPr>
          <w:b/>
          <w:bCs/>
        </w:rPr>
        <w:t>(a)</w:t>
      </w:r>
      <w:r w:rsidRPr="00417CC3">
        <w:rPr>
          <w:b/>
          <w:bCs/>
        </w:rPr>
        <w:tab/>
      </w:r>
      <w:r w:rsidR="00776DDC" w:rsidRPr="00417CC3">
        <w:rPr>
          <w:b/>
          <w:bCs/>
        </w:rPr>
        <w:t>Ensure that any peace negotiations include the meaningful consideration of the situations and interests of displaced persons, and address specifically their voluntary, safe and dignified return to places of origin in occupied territory, with full respect for their human rights and international humanitarian law; the participation of IDPs and their representatives in such discussions is encouraged;</w:t>
      </w:r>
    </w:p>
    <w:p w14:paraId="31C028C5" w14:textId="4AB1DDB0" w:rsidR="00A215BC" w:rsidRDefault="00417CC3" w:rsidP="00417CC3">
      <w:pPr>
        <w:pStyle w:val="SingleTxtG"/>
        <w:ind w:firstLine="567"/>
        <w:rPr>
          <w:b/>
          <w:bCs/>
        </w:rPr>
      </w:pPr>
      <w:r w:rsidRPr="00417CC3">
        <w:rPr>
          <w:b/>
          <w:bCs/>
        </w:rPr>
        <w:t>(b)</w:t>
      </w:r>
      <w:r w:rsidRPr="00417CC3">
        <w:rPr>
          <w:b/>
          <w:bCs/>
        </w:rPr>
        <w:tab/>
      </w:r>
      <w:r w:rsidR="00776DDC" w:rsidRPr="00417CC3">
        <w:rPr>
          <w:b/>
          <w:bCs/>
        </w:rPr>
        <w:t>Establish humanitarian corridors across the contact line between occupied territory and territory controlled by the Government of Ukraine, and ensure security for those who cross;</w:t>
      </w:r>
    </w:p>
    <w:p w14:paraId="1C068931" w14:textId="2E19E057" w:rsidR="00776DDC" w:rsidRPr="00417CC3" w:rsidRDefault="00417CC3" w:rsidP="00417CC3">
      <w:pPr>
        <w:pStyle w:val="SingleTxtG"/>
        <w:ind w:firstLine="567"/>
        <w:rPr>
          <w:b/>
          <w:bCs/>
        </w:rPr>
      </w:pPr>
      <w:r w:rsidRPr="00417CC3">
        <w:rPr>
          <w:b/>
          <w:bCs/>
        </w:rPr>
        <w:t>(c)</w:t>
      </w:r>
      <w:r w:rsidRPr="00417CC3">
        <w:rPr>
          <w:b/>
          <w:bCs/>
        </w:rPr>
        <w:tab/>
      </w:r>
      <w:r w:rsidR="00776DDC" w:rsidRPr="00417CC3">
        <w:rPr>
          <w:b/>
          <w:bCs/>
        </w:rPr>
        <w:t>Facilitate video, voice and written communication between persons in occupied territory and in territory controlled by the Government of Ukraine;</w:t>
      </w:r>
    </w:p>
    <w:p w14:paraId="285C722D" w14:textId="77777777" w:rsidR="00B72126" w:rsidRDefault="00417CC3" w:rsidP="00417CC3">
      <w:pPr>
        <w:pStyle w:val="SingleTxtG"/>
      </w:pPr>
      <w:r>
        <w:t>88.</w:t>
      </w:r>
      <w:r>
        <w:tab/>
      </w:r>
      <w:r w:rsidR="00776DDC" w:rsidRPr="00472731">
        <w:t>To the Russian Federation</w:t>
      </w:r>
      <w:r w:rsidR="00776DDC" w:rsidRPr="009765E9">
        <w:t>:</w:t>
      </w:r>
    </w:p>
    <w:p w14:paraId="504FCF18" w14:textId="48A2CB42" w:rsidR="00A215BC" w:rsidRDefault="007E1B36" w:rsidP="0055385F">
      <w:pPr>
        <w:pStyle w:val="SingleTxtG"/>
        <w:ind w:firstLine="567"/>
        <w:rPr>
          <w:b/>
          <w:bCs/>
        </w:rPr>
      </w:pPr>
      <w:r w:rsidRPr="007E1B36">
        <w:rPr>
          <w:b/>
          <w:bCs/>
        </w:rPr>
        <w:t>(d)</w:t>
      </w:r>
      <w:r w:rsidRPr="007E1B36">
        <w:rPr>
          <w:b/>
          <w:bCs/>
        </w:rPr>
        <w:tab/>
      </w:r>
      <w:r w:rsidR="00776DDC" w:rsidRPr="007E1B36">
        <w:rPr>
          <w:b/>
          <w:bCs/>
        </w:rPr>
        <w:t>Immediately, completely and unconditionally cease the use of force against Ukraine and withdraw all its military forces from the territory of Ukraine within its internationally recognized borders, in line with United Nations General Assembly Resolutions ES-11/1 (2022) and ES-11/4 (2022), thereby ending the occupation of Ukrainian territory;</w:t>
      </w:r>
    </w:p>
    <w:p w14:paraId="2BEC6321" w14:textId="5CB96B22" w:rsidR="00776DDC" w:rsidRPr="007E1B36" w:rsidRDefault="007E1B36" w:rsidP="007E1B36">
      <w:pPr>
        <w:pStyle w:val="SingleTxtG"/>
        <w:ind w:firstLine="567"/>
        <w:rPr>
          <w:b/>
          <w:bCs/>
        </w:rPr>
      </w:pPr>
      <w:r w:rsidRPr="007E1B36">
        <w:rPr>
          <w:b/>
          <w:bCs/>
        </w:rPr>
        <w:t>(e)</w:t>
      </w:r>
      <w:r w:rsidRPr="007E1B36">
        <w:rPr>
          <w:b/>
          <w:bCs/>
        </w:rPr>
        <w:tab/>
      </w:r>
      <w:r w:rsidR="00776DDC" w:rsidRPr="007E1B36">
        <w:rPr>
          <w:b/>
          <w:bCs/>
        </w:rPr>
        <w:t>Cease the implementation of all measures that compel protected persons in occupied territory to swear allegiance to the Russian Federation;</w:t>
      </w:r>
    </w:p>
    <w:p w14:paraId="26A3B5F1" w14:textId="5F239F59" w:rsidR="00776DDC" w:rsidRPr="007E1B36" w:rsidRDefault="007E1B36" w:rsidP="007E1B36">
      <w:pPr>
        <w:pStyle w:val="SingleTxtG"/>
        <w:ind w:firstLine="567"/>
        <w:rPr>
          <w:b/>
          <w:bCs/>
        </w:rPr>
      </w:pPr>
      <w:r w:rsidRPr="007E1B36">
        <w:rPr>
          <w:b/>
          <w:bCs/>
        </w:rPr>
        <w:t>(f)</w:t>
      </w:r>
      <w:r w:rsidRPr="007E1B36">
        <w:rPr>
          <w:b/>
          <w:bCs/>
        </w:rPr>
        <w:tab/>
      </w:r>
      <w:r w:rsidR="00776DDC" w:rsidRPr="007E1B36">
        <w:rPr>
          <w:b/>
          <w:bCs/>
        </w:rPr>
        <w:t>Ensure equal access to public services, employment and freedom of movement for all protected persons residing in occupied territory regardless of their nationality and citizenship;</w:t>
      </w:r>
    </w:p>
    <w:p w14:paraId="7187A6EE" w14:textId="35173656" w:rsidR="00776DDC" w:rsidRPr="007E1B36" w:rsidRDefault="007E1B36" w:rsidP="007E1B36">
      <w:pPr>
        <w:pStyle w:val="SingleTxtG"/>
        <w:ind w:firstLine="567"/>
        <w:rPr>
          <w:b/>
          <w:bCs/>
        </w:rPr>
      </w:pPr>
      <w:r w:rsidRPr="007E1B36">
        <w:rPr>
          <w:b/>
          <w:bCs/>
        </w:rPr>
        <w:t>(g)</w:t>
      </w:r>
      <w:r w:rsidRPr="007E1B36">
        <w:rPr>
          <w:b/>
          <w:bCs/>
        </w:rPr>
        <w:tab/>
      </w:r>
      <w:r w:rsidR="00776DDC" w:rsidRPr="007E1B36">
        <w:rPr>
          <w:b/>
          <w:bCs/>
        </w:rPr>
        <w:t>Respect and protect the fundamental rights of all individuals and groups in occupied territory, including freedoms of opinion and expression, association, thought, conscience and religion, and the right to privacy;</w:t>
      </w:r>
    </w:p>
    <w:p w14:paraId="7C1BE421" w14:textId="02E56F17" w:rsidR="00776DDC" w:rsidRPr="007E1B36" w:rsidRDefault="007E1B36" w:rsidP="007E1B36">
      <w:pPr>
        <w:pStyle w:val="SingleTxtG"/>
        <w:ind w:firstLine="567"/>
        <w:rPr>
          <w:b/>
          <w:bCs/>
        </w:rPr>
      </w:pPr>
      <w:r w:rsidRPr="007E1B36">
        <w:rPr>
          <w:b/>
          <w:bCs/>
        </w:rPr>
        <w:t>(h)</w:t>
      </w:r>
      <w:r w:rsidRPr="007E1B36">
        <w:rPr>
          <w:b/>
          <w:bCs/>
        </w:rPr>
        <w:tab/>
      </w:r>
      <w:r w:rsidR="00776DDC" w:rsidRPr="007E1B36">
        <w:rPr>
          <w:b/>
          <w:bCs/>
        </w:rPr>
        <w:t>Restore and ensure access to education in occupied territory in accordance with the Ukrainian State curriculum, in the Ukrainian language, both in person and online;</w:t>
      </w:r>
    </w:p>
    <w:p w14:paraId="6BB1405E" w14:textId="77777777" w:rsidR="00A215BC" w:rsidRDefault="007E1B36" w:rsidP="007E1B36">
      <w:pPr>
        <w:pStyle w:val="SingleTxtG"/>
        <w:ind w:firstLine="567"/>
        <w:rPr>
          <w:b/>
          <w:bCs/>
        </w:rPr>
      </w:pPr>
      <w:r w:rsidRPr="007E1B36">
        <w:rPr>
          <w:b/>
          <w:bCs/>
        </w:rPr>
        <w:t>(</w:t>
      </w:r>
      <w:proofErr w:type="spellStart"/>
      <w:r w:rsidRPr="007E1B36">
        <w:rPr>
          <w:b/>
          <w:bCs/>
        </w:rPr>
        <w:t>i</w:t>
      </w:r>
      <w:proofErr w:type="spellEnd"/>
      <w:r w:rsidRPr="007E1B36">
        <w:rPr>
          <w:b/>
          <w:bCs/>
        </w:rPr>
        <w:t>)</w:t>
      </w:r>
      <w:r w:rsidRPr="007E1B36">
        <w:rPr>
          <w:b/>
          <w:bCs/>
        </w:rPr>
        <w:tab/>
      </w:r>
      <w:r w:rsidR="00776DDC" w:rsidRPr="007E1B36">
        <w:rPr>
          <w:b/>
          <w:bCs/>
        </w:rPr>
        <w:t>Protect the right of persons in occupied territory to choose and express their identity, engage in the cultural practices of their choice and use their own language;</w:t>
      </w:r>
    </w:p>
    <w:p w14:paraId="3FDBD641" w14:textId="1E34D3E2" w:rsidR="00776DDC" w:rsidRPr="007E1B36" w:rsidRDefault="007E1B36" w:rsidP="007E1B36">
      <w:pPr>
        <w:pStyle w:val="SingleTxtG"/>
        <w:ind w:firstLine="567"/>
        <w:rPr>
          <w:b/>
          <w:bCs/>
        </w:rPr>
      </w:pPr>
      <w:r w:rsidRPr="007E1B36">
        <w:rPr>
          <w:b/>
          <w:bCs/>
        </w:rPr>
        <w:lastRenderedPageBreak/>
        <w:t>(j)</w:t>
      </w:r>
      <w:r w:rsidRPr="007E1B36">
        <w:rPr>
          <w:b/>
          <w:bCs/>
        </w:rPr>
        <w:tab/>
      </w:r>
      <w:r w:rsidR="00776DDC" w:rsidRPr="007E1B36">
        <w:rPr>
          <w:b/>
          <w:bCs/>
        </w:rPr>
        <w:t>Cease the confiscation of private property in occupied territory, renew property rights to all owners deprived of ownership, restore property transferred to municipal ownership; and provide fair and adequate compensation where the remedy of restitution is not factually possible or when compensation in lieu of restitution is accepted knowingly and voluntarily;</w:t>
      </w:r>
    </w:p>
    <w:p w14:paraId="6FB7591F" w14:textId="52AA4D7B" w:rsidR="00776DDC" w:rsidRPr="007E1B36" w:rsidRDefault="007E1B36" w:rsidP="007E1B36">
      <w:pPr>
        <w:pStyle w:val="SingleTxtG"/>
        <w:ind w:firstLine="567"/>
        <w:rPr>
          <w:b/>
          <w:bCs/>
        </w:rPr>
      </w:pPr>
      <w:r w:rsidRPr="007E1B36">
        <w:rPr>
          <w:b/>
          <w:bCs/>
        </w:rPr>
        <w:t>(k)</w:t>
      </w:r>
      <w:r w:rsidRPr="007E1B36">
        <w:rPr>
          <w:b/>
          <w:bCs/>
        </w:rPr>
        <w:tab/>
      </w:r>
      <w:r w:rsidR="00776DDC" w:rsidRPr="007E1B36">
        <w:rPr>
          <w:b/>
          <w:bCs/>
        </w:rPr>
        <w:t>End all forms of conscription, compulsory military registration, and coercive recruitment of protected persons in occupied territory into the armed forces of the Russian Federation;</w:t>
      </w:r>
    </w:p>
    <w:p w14:paraId="67E2EE79" w14:textId="170F2D01" w:rsidR="00776DDC" w:rsidRPr="007E1B36" w:rsidRDefault="007E1B36" w:rsidP="007E1B36">
      <w:pPr>
        <w:pStyle w:val="SingleTxtG"/>
        <w:ind w:firstLine="567"/>
        <w:rPr>
          <w:b/>
          <w:bCs/>
        </w:rPr>
      </w:pPr>
      <w:r w:rsidRPr="007E1B36">
        <w:rPr>
          <w:b/>
          <w:bCs/>
        </w:rPr>
        <w:t>(l)</w:t>
      </w:r>
      <w:r w:rsidRPr="007E1B36">
        <w:rPr>
          <w:b/>
          <w:bCs/>
        </w:rPr>
        <w:tab/>
      </w:r>
      <w:r w:rsidR="00776DDC" w:rsidRPr="007E1B36">
        <w:rPr>
          <w:b/>
          <w:bCs/>
        </w:rPr>
        <w:t>Refrain from applying the Russian legal system in occupied territory in compliance with its obligation under international humanitarian law to respect the laws in force in the country, including by refraining from criminalizing or otherwise targeting individuals on the basis of their real or perceived sexual orientation or gender identity in occupied territory;</w:t>
      </w:r>
    </w:p>
    <w:p w14:paraId="07E38DAC" w14:textId="622C6676" w:rsidR="00776DDC" w:rsidRPr="007E1B36" w:rsidRDefault="007E1B36" w:rsidP="007E1B36">
      <w:pPr>
        <w:pStyle w:val="SingleTxtG"/>
        <w:ind w:firstLine="567"/>
        <w:rPr>
          <w:b/>
          <w:bCs/>
        </w:rPr>
      </w:pPr>
      <w:r w:rsidRPr="007E1B36">
        <w:rPr>
          <w:b/>
          <w:bCs/>
        </w:rPr>
        <w:t>(m)</w:t>
      </w:r>
      <w:r w:rsidRPr="007E1B36">
        <w:rPr>
          <w:b/>
          <w:bCs/>
        </w:rPr>
        <w:tab/>
      </w:r>
      <w:r w:rsidR="00776DDC" w:rsidRPr="007E1B36">
        <w:rPr>
          <w:b/>
          <w:bCs/>
        </w:rPr>
        <w:t>Ensure unhindered access by OHCHR to the occupied territory of Ukraine to enable first-hand monitoring and human rights protection;</w:t>
      </w:r>
    </w:p>
    <w:p w14:paraId="242B5DAF" w14:textId="77777777" w:rsidR="00A215BC" w:rsidRDefault="004F7E7F" w:rsidP="00003891">
      <w:pPr>
        <w:pStyle w:val="SingleTxtG"/>
        <w:rPr>
          <w:bCs/>
        </w:rPr>
      </w:pPr>
      <w:r>
        <w:t>89.</w:t>
      </w:r>
      <w:r>
        <w:tab/>
      </w:r>
      <w:r w:rsidR="00776DDC" w:rsidRPr="0061094D">
        <w:t>To Ukraine</w:t>
      </w:r>
      <w:r w:rsidR="00776DDC" w:rsidRPr="225B4D8F">
        <w:rPr>
          <w:bCs/>
        </w:rPr>
        <w:t>:</w:t>
      </w:r>
    </w:p>
    <w:p w14:paraId="13F26160" w14:textId="4DD94B52" w:rsidR="00776DDC" w:rsidRPr="004F7E7F" w:rsidRDefault="004F7E7F" w:rsidP="004F7E7F">
      <w:pPr>
        <w:pStyle w:val="SingleTxtG"/>
        <w:ind w:firstLine="567"/>
        <w:rPr>
          <w:b/>
          <w:bCs/>
        </w:rPr>
      </w:pPr>
      <w:r w:rsidRPr="004F7E7F">
        <w:rPr>
          <w:b/>
          <w:bCs/>
        </w:rPr>
        <w:t>(n)</w:t>
      </w:r>
      <w:r w:rsidRPr="004F7E7F">
        <w:rPr>
          <w:b/>
          <w:bCs/>
        </w:rPr>
        <w:tab/>
      </w:r>
      <w:r w:rsidR="00776DDC" w:rsidRPr="004F7E7F">
        <w:rPr>
          <w:b/>
          <w:bCs/>
        </w:rPr>
        <w:t>Review policies for IDPs to ensure that, whatever the cause of their displacement, the specific needs of persons displaced from occupied territory are adequately met, with a designated and sufficiently resourced entity responsible for coordination;</w:t>
      </w:r>
    </w:p>
    <w:p w14:paraId="239714CA" w14:textId="77777777" w:rsidR="00A215BC" w:rsidRDefault="004F7E7F" w:rsidP="004F7E7F">
      <w:pPr>
        <w:pStyle w:val="SingleTxtG"/>
        <w:ind w:firstLine="567"/>
        <w:rPr>
          <w:b/>
          <w:bCs/>
        </w:rPr>
      </w:pPr>
      <w:r w:rsidRPr="004F7E7F">
        <w:rPr>
          <w:b/>
          <w:bCs/>
        </w:rPr>
        <w:t>(o)</w:t>
      </w:r>
      <w:r w:rsidRPr="004F7E7F">
        <w:rPr>
          <w:b/>
          <w:bCs/>
        </w:rPr>
        <w:tab/>
      </w:r>
      <w:r w:rsidR="00776DDC" w:rsidRPr="004F7E7F">
        <w:rPr>
          <w:b/>
          <w:bCs/>
        </w:rPr>
        <w:t>Implement a simplified administrative procedure for registration of births and deaths occurring in occupied territory and issuance of Ukrainian documentation;</w:t>
      </w:r>
    </w:p>
    <w:p w14:paraId="4CDDB539" w14:textId="77777777" w:rsidR="00A215BC" w:rsidRDefault="004F7E7F" w:rsidP="004F7E7F">
      <w:pPr>
        <w:pStyle w:val="SingleTxtG"/>
        <w:ind w:firstLine="567"/>
        <w:rPr>
          <w:b/>
          <w:bCs/>
        </w:rPr>
      </w:pPr>
      <w:r w:rsidRPr="004F7E7F">
        <w:rPr>
          <w:b/>
          <w:bCs/>
        </w:rPr>
        <w:t>(p)</w:t>
      </w:r>
      <w:r w:rsidRPr="004F7E7F">
        <w:rPr>
          <w:b/>
          <w:bCs/>
        </w:rPr>
        <w:tab/>
      </w:r>
      <w:r w:rsidR="00776DDC" w:rsidRPr="004F7E7F">
        <w:rPr>
          <w:b/>
          <w:bCs/>
        </w:rPr>
        <w:t>Develop a comprehensive strategy to provide targeted support to all children and young adults arriving from occupied territory or the Russian Federation, including through adoption of draft law No. 14251 on social protection and support for children affected by the armed conflict;</w:t>
      </w:r>
    </w:p>
    <w:p w14:paraId="33B62E1A" w14:textId="62AAC894" w:rsidR="00A215BC" w:rsidRDefault="004F7E7F" w:rsidP="004F7E7F">
      <w:pPr>
        <w:pStyle w:val="SingleTxtG"/>
        <w:ind w:firstLine="567"/>
        <w:rPr>
          <w:b/>
          <w:bCs/>
        </w:rPr>
      </w:pPr>
      <w:r w:rsidRPr="004F7E7F">
        <w:rPr>
          <w:b/>
          <w:bCs/>
        </w:rPr>
        <w:t>(q)</w:t>
      </w:r>
      <w:r w:rsidRPr="004F7E7F">
        <w:rPr>
          <w:b/>
          <w:bCs/>
        </w:rPr>
        <w:tab/>
      </w:r>
      <w:r w:rsidR="00776DDC" w:rsidRPr="004F7E7F">
        <w:rPr>
          <w:b/>
          <w:bCs/>
        </w:rPr>
        <w:t>Adopt a new State strategy and implementation plan on internal displacement which takes into account the specific needs and vulnerabilities of persons displaced from occupied territory;</w:t>
      </w:r>
    </w:p>
    <w:p w14:paraId="46A21EC6" w14:textId="16D2E55F" w:rsidR="00776DDC" w:rsidRPr="002E1F5F" w:rsidRDefault="004F7E7F" w:rsidP="00003891">
      <w:pPr>
        <w:pStyle w:val="SingleTxtG"/>
        <w:rPr>
          <w:bCs/>
        </w:rPr>
      </w:pPr>
      <w:r>
        <w:rPr>
          <w:bCs/>
        </w:rPr>
        <w:t>90.</w:t>
      </w:r>
      <w:r>
        <w:rPr>
          <w:bCs/>
        </w:rPr>
        <w:tab/>
      </w:r>
      <w:r w:rsidR="00776DDC" w:rsidRPr="002E1F5F">
        <w:rPr>
          <w:bCs/>
        </w:rPr>
        <w:t>To the international community:</w:t>
      </w:r>
    </w:p>
    <w:p w14:paraId="4CF721EA" w14:textId="77777777" w:rsidR="00A215BC" w:rsidRDefault="004F7E7F" w:rsidP="004F7E7F">
      <w:pPr>
        <w:pStyle w:val="SingleTxtG"/>
        <w:ind w:firstLine="567"/>
        <w:rPr>
          <w:b/>
          <w:bCs/>
        </w:rPr>
      </w:pPr>
      <w:r w:rsidRPr="004F7E7F">
        <w:rPr>
          <w:b/>
          <w:bCs/>
        </w:rPr>
        <w:t>(r)</w:t>
      </w:r>
      <w:r w:rsidRPr="004F7E7F">
        <w:rPr>
          <w:b/>
          <w:bCs/>
        </w:rPr>
        <w:tab/>
      </w:r>
      <w:r w:rsidR="00776DDC" w:rsidRPr="004F7E7F">
        <w:rPr>
          <w:b/>
          <w:bCs/>
        </w:rPr>
        <w:t>Urge the Russian Federation to fulfil its obligations under IHL and IHRL in the territory under its occupation, including by enabling the safe return of persons forcibly displaced from occupied territory;</w:t>
      </w:r>
    </w:p>
    <w:p w14:paraId="5E7FC68B" w14:textId="7FCF40D5" w:rsidR="00776DDC" w:rsidRDefault="004F7E7F" w:rsidP="004F7E7F">
      <w:pPr>
        <w:pStyle w:val="SingleTxtG"/>
        <w:ind w:firstLine="567"/>
        <w:rPr>
          <w:b/>
          <w:bCs/>
        </w:rPr>
      </w:pPr>
      <w:r w:rsidRPr="004F7E7F">
        <w:rPr>
          <w:b/>
          <w:bCs/>
        </w:rPr>
        <w:t>(s)</w:t>
      </w:r>
      <w:r w:rsidRPr="004F7E7F">
        <w:rPr>
          <w:b/>
          <w:bCs/>
        </w:rPr>
        <w:tab/>
      </w:r>
      <w:r w:rsidR="00776DDC" w:rsidRPr="004F7E7F">
        <w:rPr>
          <w:b/>
          <w:bCs/>
        </w:rPr>
        <w:t>Provide continued financial and technical assistance to the Government of Ukraine and NGOs to support programmes that restore rights and facilitate the inclusion of IDPs from occupied territory, including targeted support for children and young adults.</w:t>
      </w:r>
    </w:p>
    <w:p w14:paraId="6609DBFB" w14:textId="423D6BDA" w:rsidR="00756535" w:rsidRPr="00756535" w:rsidRDefault="00756535" w:rsidP="00756535">
      <w:pPr>
        <w:pStyle w:val="SingleTxtG"/>
        <w:spacing w:before="240" w:after="0"/>
        <w:ind w:left="0" w:right="0" w:firstLine="567"/>
        <w:jc w:val="center"/>
        <w:rPr>
          <w:u w:val="single"/>
        </w:rPr>
      </w:pPr>
      <w:r>
        <w:rPr>
          <w:u w:val="single"/>
        </w:rPr>
        <w:tab/>
      </w:r>
      <w:r>
        <w:rPr>
          <w:u w:val="single"/>
        </w:rPr>
        <w:tab/>
      </w:r>
      <w:r>
        <w:rPr>
          <w:u w:val="single"/>
        </w:rPr>
        <w:tab/>
      </w:r>
    </w:p>
    <w:sectPr w:rsidR="00756535" w:rsidRPr="00756535" w:rsidSect="0082200B">
      <w:headerReference w:type="even" r:id="rId11"/>
      <w:headerReference w:type="default" r:id="rId12"/>
      <w:footerReference w:type="even" r:id="rId13"/>
      <w:footerReference w:type="default" r:id="rId14"/>
      <w:footerReference w:type="first" r:id="rId15"/>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00F73" w14:textId="77777777" w:rsidR="00024894" w:rsidRDefault="00024894"/>
  </w:endnote>
  <w:endnote w:type="continuationSeparator" w:id="0">
    <w:p w14:paraId="13088598" w14:textId="77777777" w:rsidR="00024894" w:rsidRDefault="00024894"/>
  </w:endnote>
  <w:endnote w:type="continuationNotice" w:id="1">
    <w:p w14:paraId="33FC66D6" w14:textId="77777777" w:rsidR="00024894" w:rsidRDefault="000248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utura PT Book">
    <w:altName w:val="Century Gothic"/>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1B871" w14:textId="5960E759" w:rsidR="0082200B" w:rsidRPr="0082200B" w:rsidRDefault="0082200B" w:rsidP="0082200B">
    <w:pPr>
      <w:pStyle w:val="Footer"/>
      <w:tabs>
        <w:tab w:val="right" w:pos="9638"/>
      </w:tabs>
      <w:rPr>
        <w:sz w:val="18"/>
      </w:rPr>
    </w:pPr>
    <w:r w:rsidRPr="0082200B">
      <w:rPr>
        <w:b/>
        <w:sz w:val="18"/>
      </w:rPr>
      <w:fldChar w:fldCharType="begin"/>
    </w:r>
    <w:r w:rsidRPr="0082200B">
      <w:rPr>
        <w:b/>
        <w:sz w:val="18"/>
      </w:rPr>
      <w:instrText xml:space="preserve"> PAGE  \* MERGEFORMAT </w:instrText>
    </w:r>
    <w:r w:rsidRPr="0082200B">
      <w:rPr>
        <w:b/>
        <w:sz w:val="18"/>
      </w:rPr>
      <w:fldChar w:fldCharType="separate"/>
    </w:r>
    <w:r w:rsidRPr="0082200B">
      <w:rPr>
        <w:b/>
        <w:noProof/>
        <w:sz w:val="18"/>
      </w:rPr>
      <w:t>2</w:t>
    </w:r>
    <w:r w:rsidRPr="0082200B">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6CE2" w14:textId="44B2D3DE" w:rsidR="0082200B" w:rsidRPr="0082200B" w:rsidRDefault="0082200B" w:rsidP="0082200B">
    <w:pPr>
      <w:pStyle w:val="Footer"/>
      <w:tabs>
        <w:tab w:val="right" w:pos="9638"/>
      </w:tabs>
      <w:rPr>
        <w:b/>
        <w:sz w:val="18"/>
      </w:rPr>
    </w:pPr>
    <w:r>
      <w:tab/>
    </w:r>
    <w:r w:rsidRPr="0082200B">
      <w:rPr>
        <w:b/>
        <w:sz w:val="18"/>
      </w:rPr>
      <w:fldChar w:fldCharType="begin"/>
    </w:r>
    <w:r w:rsidRPr="0082200B">
      <w:rPr>
        <w:b/>
        <w:sz w:val="18"/>
      </w:rPr>
      <w:instrText xml:space="preserve"> PAGE  \* MERGEFORMAT </w:instrText>
    </w:r>
    <w:r w:rsidRPr="0082200B">
      <w:rPr>
        <w:b/>
        <w:sz w:val="18"/>
      </w:rPr>
      <w:fldChar w:fldCharType="separate"/>
    </w:r>
    <w:r w:rsidRPr="0082200B">
      <w:rPr>
        <w:b/>
        <w:noProof/>
        <w:sz w:val="18"/>
      </w:rPr>
      <w:t>3</w:t>
    </w:r>
    <w:r w:rsidRPr="0082200B">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7BAA" w14:textId="74F4C420" w:rsidR="004D1140" w:rsidRPr="00756535" w:rsidRDefault="004D1140" w:rsidP="00D95771">
    <w:pPr>
      <w:spacing w:line="220" w:lineRule="exact"/>
      <w:ind w:right="113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522B3" w14:textId="77777777" w:rsidR="00024894" w:rsidRPr="000B175B" w:rsidRDefault="00024894" w:rsidP="000B175B">
      <w:pPr>
        <w:tabs>
          <w:tab w:val="right" w:pos="2155"/>
        </w:tabs>
        <w:spacing w:after="80"/>
        <w:ind w:left="680"/>
        <w:rPr>
          <w:u w:val="single"/>
        </w:rPr>
      </w:pPr>
      <w:r>
        <w:rPr>
          <w:u w:val="single"/>
        </w:rPr>
        <w:tab/>
      </w:r>
    </w:p>
  </w:footnote>
  <w:footnote w:type="continuationSeparator" w:id="0">
    <w:p w14:paraId="10E2D02A" w14:textId="77777777" w:rsidR="00024894" w:rsidRPr="00FC68B7" w:rsidRDefault="00024894" w:rsidP="00FC68B7">
      <w:pPr>
        <w:tabs>
          <w:tab w:val="left" w:pos="2155"/>
        </w:tabs>
        <w:spacing w:after="80"/>
        <w:ind w:left="680"/>
        <w:rPr>
          <w:u w:val="single"/>
        </w:rPr>
      </w:pPr>
      <w:r>
        <w:rPr>
          <w:u w:val="single"/>
        </w:rPr>
        <w:tab/>
      </w:r>
    </w:p>
  </w:footnote>
  <w:footnote w:type="continuationNotice" w:id="1">
    <w:p w14:paraId="2ABE7912" w14:textId="77777777" w:rsidR="00024894" w:rsidRDefault="00024894"/>
  </w:footnote>
  <w:footnote w:id="2">
    <w:p w14:paraId="59BEF694" w14:textId="77777777" w:rsidR="00756535" w:rsidRPr="00756535" w:rsidRDefault="00756535" w:rsidP="00756535">
      <w:pPr>
        <w:pStyle w:val="FootnoteText"/>
        <w:rPr>
          <w:lang w:val="en-US"/>
        </w:rPr>
      </w:pPr>
      <w:r>
        <w:rPr>
          <w:rStyle w:val="FootnoteReference"/>
        </w:rPr>
        <w:tab/>
      </w:r>
      <w:r w:rsidRPr="00756535">
        <w:rPr>
          <w:rStyle w:val="FootnoteReference"/>
          <w:sz w:val="20"/>
          <w:vertAlign w:val="baseline"/>
        </w:rPr>
        <w:t>*</w:t>
      </w:r>
      <w:r>
        <w:rPr>
          <w:rStyle w:val="FootnoteReference"/>
          <w:sz w:val="20"/>
          <w:vertAlign w:val="baseline"/>
        </w:rPr>
        <w:tab/>
      </w:r>
      <w:r w:rsidRPr="00DB6C98">
        <w:t>The information contained in the present</w:t>
      </w:r>
      <w:r>
        <w:t xml:space="preserve"> report </w:t>
      </w:r>
      <w:r w:rsidRPr="00DB6C98">
        <w:t xml:space="preserve">should </w:t>
      </w:r>
      <w:r>
        <w:t xml:space="preserve">inform the oral update of the United Nations High Commissioner for Human Rights to be presented to the Human Rights Council </w:t>
      </w:r>
      <w:r w:rsidRPr="00DB6C98">
        <w:t xml:space="preserve">at its </w:t>
      </w:r>
      <w:r>
        <w:t xml:space="preserve">sixty-first </w:t>
      </w:r>
      <w:r w:rsidRPr="00DB6C98">
        <w:t xml:space="preserve">session, pursuant to Council resolution </w:t>
      </w:r>
      <w:r>
        <w:t>59</w:t>
      </w:r>
      <w:r w:rsidRPr="00DB6C98">
        <w:t>/</w:t>
      </w:r>
      <w:r>
        <w:t>22</w:t>
      </w:r>
      <w:r w:rsidRPr="00DB6C98">
        <w:t>.</w:t>
      </w:r>
    </w:p>
  </w:footnote>
  <w:footnote w:id="3">
    <w:p w14:paraId="06473020" w14:textId="4AA73CB4" w:rsidR="00776DDC" w:rsidRPr="009515FA" w:rsidRDefault="00F75C33" w:rsidP="00776DDC">
      <w:pPr>
        <w:pStyle w:val="FootnoteText"/>
      </w:pPr>
      <w:r>
        <w:tab/>
      </w:r>
      <w:r w:rsidR="00776DDC" w:rsidRPr="009515FA">
        <w:rPr>
          <w:rStyle w:val="FootnoteReference"/>
        </w:rPr>
        <w:footnoteRef/>
      </w:r>
      <w:r w:rsidR="00702B9E">
        <w:tab/>
      </w:r>
      <w:r w:rsidR="00776DDC">
        <w:t>OHCHR’s field presence in Ukraine</w:t>
      </w:r>
      <w:r w:rsidR="00E17E4B">
        <w:t>,</w:t>
      </w:r>
      <w:r w:rsidR="00776DDC">
        <w:t xml:space="preserve"> the UN Human Rights Monitoring Mission in Ukraine,</w:t>
      </w:r>
      <w:r w:rsidR="00776DDC" w:rsidRPr="009515FA">
        <w:t xml:space="preserve"> was deployed on 14 March 2014 to monitor and report on the human rights situation throughout Ukraine, with particular attention to the Autonomous Republic of Crimea, eastern and southern regions of Ukraine, and to propose recommendations to the Government and other actors to address human rights concerns. See A/HRC/27/75, paras. 7-8.</w:t>
      </w:r>
    </w:p>
  </w:footnote>
  <w:footnote w:id="4">
    <w:p w14:paraId="740DEC1A" w14:textId="3F7B95B7" w:rsidR="00776DDC" w:rsidRPr="009515FA" w:rsidRDefault="00AF7026" w:rsidP="00AF7026">
      <w:pPr>
        <w:pStyle w:val="FootnoteText"/>
      </w:pPr>
      <w:r>
        <w:tab/>
      </w:r>
      <w:r w:rsidR="00776DDC" w:rsidRPr="009515FA">
        <w:rPr>
          <w:rStyle w:val="FootnoteReference"/>
        </w:rPr>
        <w:footnoteRef/>
      </w:r>
      <w:r>
        <w:tab/>
      </w:r>
      <w:r w:rsidR="00776DDC">
        <w:t>2099</w:t>
      </w:r>
      <w:r w:rsidR="00776DDC" w:rsidRPr="009515FA">
        <w:t xml:space="preserve"> men</w:t>
      </w:r>
      <w:r w:rsidR="00776DDC">
        <w:t xml:space="preserve"> and</w:t>
      </w:r>
      <w:r w:rsidR="00776DDC" w:rsidRPr="009515FA">
        <w:t xml:space="preserve"> </w:t>
      </w:r>
      <w:r w:rsidR="00776DDC">
        <w:t>2125</w:t>
      </w:r>
      <w:r w:rsidR="00776DDC" w:rsidRPr="009515FA">
        <w:t xml:space="preserve"> women</w:t>
      </w:r>
      <w:r w:rsidR="00776DDC">
        <w:t>, 12 boys and 19 girls</w:t>
      </w:r>
      <w:r w:rsidR="00776DDC" w:rsidRPr="009515FA">
        <w:t>.</w:t>
      </w:r>
    </w:p>
  </w:footnote>
  <w:footnote w:id="5">
    <w:p w14:paraId="55278F4A" w14:textId="0CD09D36" w:rsidR="00776DDC" w:rsidRPr="003D7371" w:rsidRDefault="00AF7026" w:rsidP="00E17E4B">
      <w:pPr>
        <w:pStyle w:val="FootnoteText"/>
      </w:pPr>
      <w:r>
        <w:tab/>
      </w:r>
      <w:r w:rsidR="00776DDC">
        <w:rPr>
          <w:rStyle w:val="FootnoteReference"/>
        </w:rPr>
        <w:footnoteRef/>
      </w:r>
      <w:r>
        <w:tab/>
      </w:r>
      <w:r w:rsidR="00776DDC">
        <w:t xml:space="preserve">ICJ, </w:t>
      </w:r>
      <w:r w:rsidR="00776DDC">
        <w:rPr>
          <w:i/>
          <w:iCs/>
        </w:rPr>
        <w:t>Advisory Opinion on the</w:t>
      </w:r>
      <w:r w:rsidR="00776DDC" w:rsidRPr="003D7371">
        <w:rPr>
          <w:i/>
          <w:iCs/>
        </w:rPr>
        <w:t xml:space="preserve"> legal consequences arising from the policies and practices of Israel in the Occupied</w:t>
      </w:r>
      <w:r w:rsidR="00776DDC">
        <w:rPr>
          <w:i/>
          <w:iCs/>
        </w:rPr>
        <w:t xml:space="preserve"> </w:t>
      </w:r>
      <w:r w:rsidR="00776DDC" w:rsidRPr="003D7371">
        <w:rPr>
          <w:i/>
          <w:iCs/>
        </w:rPr>
        <w:t>Palestinian Territory, including East Jerusalem</w:t>
      </w:r>
      <w:r w:rsidR="00776DDC">
        <w:t>, 19 July 2024, paras. 105-106.</w:t>
      </w:r>
    </w:p>
  </w:footnote>
  <w:footnote w:id="6">
    <w:p w14:paraId="69B0EECF" w14:textId="5E8A8C1C" w:rsidR="00776DDC" w:rsidRPr="000172E2" w:rsidRDefault="00AD227E" w:rsidP="00AD227E">
      <w:pPr>
        <w:pStyle w:val="FootnoteText"/>
        <w:rPr>
          <w:rStyle w:val="FootnoteTextChar"/>
        </w:rPr>
      </w:pPr>
      <w:r>
        <w:rPr>
          <w:rStyle w:val="FootnoteTextChar"/>
        </w:rPr>
        <w:tab/>
      </w:r>
      <w:r w:rsidR="00776DDC" w:rsidRPr="00EA5E06">
        <w:rPr>
          <w:sz w:val="20"/>
          <w:vertAlign w:val="superscript"/>
        </w:rPr>
        <w:footnoteRef/>
      </w:r>
      <w:r>
        <w:rPr>
          <w:rStyle w:val="FootnoteTextChar"/>
        </w:rPr>
        <w:tab/>
      </w:r>
      <w:r w:rsidR="00776DDC" w:rsidRPr="000172E2">
        <w:rPr>
          <w:rStyle w:val="FootnoteTextChar"/>
        </w:rPr>
        <w:t>Hague Regulations, art. 43; Fourth Geneva Convention (GCIV), art. 47; Additional Protocol I, art. 4; GCIV 2025 Commentary, paras. 3114-3117.</w:t>
      </w:r>
    </w:p>
  </w:footnote>
  <w:footnote w:id="7">
    <w:p w14:paraId="43C66EBD" w14:textId="1F0DB6F4" w:rsidR="00776DDC" w:rsidRPr="002E5364" w:rsidRDefault="002E5364" w:rsidP="002E5364">
      <w:pPr>
        <w:pStyle w:val="FootnoteText"/>
      </w:pPr>
      <w:r>
        <w:tab/>
      </w:r>
      <w:r w:rsidR="00776DDC" w:rsidRPr="00EA5E06">
        <w:rPr>
          <w:vertAlign w:val="superscript"/>
        </w:rPr>
        <w:footnoteRef/>
      </w:r>
      <w:r>
        <w:tab/>
      </w:r>
      <w:r w:rsidR="00776DDC" w:rsidRPr="3A231B56">
        <w:t xml:space="preserve">Human Rights Committee, General Comments No. 31 (para. </w:t>
      </w:r>
      <w:r w:rsidR="00776DDC" w:rsidRPr="002D55C9">
        <w:t xml:space="preserve">10) and no. 36 (para. 63); CESCR General Comment No. 24, para. </w:t>
      </w:r>
      <w:r w:rsidR="00776DDC" w:rsidRPr="3A231B56">
        <w:t xml:space="preserve">27; CESCR, Concluding observations on the Russian Federation, </w:t>
      </w:r>
      <w:r w:rsidR="00776DDC" w:rsidRPr="002E5364">
        <w:t>E/C.12/RUS/CO/7, paras. 4-5. International Court of Justice, Legal Consequences of the Construction of a Wall in the Occupied Palestinian Territory, 9 July 2004, paras. 109 to 114; International Court of Justice, Legal Consequences Arising from the Policies and Practices of Israel in the Occupied Palestinian Territory, including East Jerusalem, 19 July 2024, paras. 98-9. Both Ukraine and the Russian Federation have ratified, inter alia, the ICCPR, ICESCR, Convention Against Torture (CAT), and Convention on the Rights of the Child (CRC).</w:t>
      </w:r>
    </w:p>
  </w:footnote>
  <w:footnote w:id="8">
    <w:p w14:paraId="2E9325F3" w14:textId="3A2BCF99" w:rsidR="00776DDC" w:rsidRPr="009515FA" w:rsidRDefault="002E5364" w:rsidP="00E17E4B">
      <w:pPr>
        <w:pStyle w:val="FootnoteText"/>
      </w:pPr>
      <w:r>
        <w:tab/>
      </w:r>
      <w:r w:rsidR="00776DDC" w:rsidRPr="009515FA">
        <w:rPr>
          <w:rStyle w:val="FootnoteReference"/>
        </w:rPr>
        <w:footnoteRef/>
      </w:r>
      <w:r>
        <w:tab/>
      </w:r>
      <w:r w:rsidR="00776DDC" w:rsidRPr="009515FA">
        <w:t xml:space="preserve">GCIV, art. 49; GCIV 2025 Commentary, para. </w:t>
      </w:r>
      <w:r w:rsidR="00776DDC">
        <w:t>3168</w:t>
      </w:r>
      <w:r w:rsidR="00776DDC" w:rsidRPr="009515FA">
        <w:t>.</w:t>
      </w:r>
    </w:p>
  </w:footnote>
  <w:footnote w:id="9">
    <w:p w14:paraId="5E239439" w14:textId="2B7272F8" w:rsidR="00776DDC" w:rsidRPr="009515FA" w:rsidRDefault="002E5364" w:rsidP="00463B51">
      <w:pPr>
        <w:pStyle w:val="FootnoteText"/>
      </w:pPr>
      <w:r>
        <w:tab/>
      </w:r>
      <w:r w:rsidR="00776DDC" w:rsidRPr="009515FA">
        <w:rPr>
          <w:rStyle w:val="FootnoteReference"/>
        </w:rPr>
        <w:footnoteRef/>
      </w:r>
      <w:r>
        <w:tab/>
      </w:r>
      <w:r w:rsidR="00776DDC">
        <w:t>Art. 49 (2) exceptionally allows temporary evacuation for the security of the population or imperative military reasons. However, protected persons should not be evacuated outside the occupied territory (unless impossible to avoid such displacement) and must be transferred back to their homes as soon as hostilities cease.</w:t>
      </w:r>
    </w:p>
  </w:footnote>
  <w:footnote w:id="10">
    <w:p w14:paraId="15FA2A59" w14:textId="01F3782D" w:rsidR="00776DDC" w:rsidRPr="002D55C9" w:rsidRDefault="00C74660" w:rsidP="00463B51">
      <w:pPr>
        <w:pStyle w:val="FootnoteText"/>
        <w:rPr>
          <w:lang w:val="en-US"/>
        </w:rPr>
      </w:pPr>
      <w:r>
        <w:tab/>
      </w:r>
      <w:r w:rsidR="00776DDC">
        <w:rPr>
          <w:rStyle w:val="FootnoteReference"/>
        </w:rPr>
        <w:footnoteRef/>
      </w:r>
      <w:r>
        <w:tab/>
      </w:r>
      <w:r w:rsidR="00776DDC">
        <w:t>According to the ICRC Commentary [2025] on Article 49 of the Fourth Geneva Convention, “</w:t>
      </w:r>
      <w:r w:rsidR="00776DDC">
        <w:rPr>
          <w:lang w:val="en-US"/>
        </w:rPr>
        <w:t>F</w:t>
      </w:r>
      <w:r w:rsidR="00776DDC" w:rsidRPr="00F144D9">
        <w:rPr>
          <w:lang w:val="en-US"/>
        </w:rPr>
        <w:t>orcible transfers refer to forced relocations within an occupied territory, whereas deportations refer to forced relocations ‘</w:t>
      </w:r>
      <w:r w:rsidR="00776DDC" w:rsidRPr="00F144D9">
        <w:rPr>
          <w:i/>
          <w:iCs/>
          <w:lang w:val="en-US"/>
        </w:rPr>
        <w:t>from</w:t>
      </w:r>
      <w:r w:rsidR="00776DDC" w:rsidRPr="00F144D9">
        <w:rPr>
          <w:lang w:val="en-US"/>
        </w:rPr>
        <w:t> occupied territory to the territory of the Occupying Power or to that of any other country, occupied or not’ (emphasis added). This distinction is confirmed by Additional Protocol I. It is also confirmed by the 1998 ICC Statute, the 2002 ICC Elements of Crim</w:t>
      </w:r>
      <w:bookmarkStart w:id="3" w:name="refFn_3E4D2CE6_00019"/>
      <w:r w:rsidR="00776DDC">
        <w:rPr>
          <w:lang w:val="en-US"/>
        </w:rPr>
        <w:t>e</w:t>
      </w:r>
      <w:bookmarkEnd w:id="3"/>
      <w:r w:rsidR="00776DDC" w:rsidRPr="00F144D9">
        <w:rPr>
          <w:lang w:val="en-US"/>
        </w:rPr>
        <w:t> and the case law of the ICTY, the ICC and the ICJ. The ICTY has clarified that deportation can refer to forced displacement across a </w:t>
      </w:r>
      <w:r w:rsidR="00776DDC" w:rsidRPr="00F144D9">
        <w:rPr>
          <w:i/>
          <w:iCs/>
          <w:lang w:val="en-US"/>
        </w:rPr>
        <w:t>de jure</w:t>
      </w:r>
      <w:r w:rsidR="00776DDC" w:rsidRPr="00F144D9">
        <w:rPr>
          <w:lang w:val="en-US"/>
        </w:rPr>
        <w:t> State border or, in certain circumstances, a </w:t>
      </w:r>
      <w:r w:rsidR="00776DDC" w:rsidRPr="00F144D9">
        <w:rPr>
          <w:i/>
          <w:iCs/>
          <w:lang w:val="en-US"/>
        </w:rPr>
        <w:t>de facto</w:t>
      </w:r>
      <w:r w:rsidR="00776DDC" w:rsidRPr="00F144D9">
        <w:rPr>
          <w:lang w:val="en-US"/>
        </w:rPr>
        <w:t> border.</w:t>
      </w:r>
      <w:r w:rsidR="00776DDC">
        <w:rPr>
          <w:lang w:val="en-US"/>
        </w:rPr>
        <w:t xml:space="preserve"> In this report, both terms are used, in particular because after late 2022, there were no direct crossing points between occupied territory and territory controlled by the Government of Ukraine. Since then, people forced to leave occupied territory had to travel through the Russian Federation, and often through third countries, in order to reach territory controlled by the Government of Ukraine.</w:t>
      </w:r>
    </w:p>
  </w:footnote>
  <w:footnote w:id="11">
    <w:p w14:paraId="3937516E" w14:textId="32CA2DDB" w:rsidR="00776DDC" w:rsidRPr="009515FA" w:rsidRDefault="00462427" w:rsidP="002E5364">
      <w:pPr>
        <w:pStyle w:val="FootnoteText"/>
      </w:pPr>
      <w:r>
        <w:tab/>
      </w:r>
      <w:r w:rsidR="00776DDC" w:rsidRPr="009515FA">
        <w:rPr>
          <w:rStyle w:val="FootnoteReference"/>
        </w:rPr>
        <w:footnoteRef/>
      </w:r>
      <w:r>
        <w:tab/>
      </w:r>
      <w:r w:rsidR="00776DDC" w:rsidRPr="009515FA">
        <w:t>See GCIV 2025 Commentary, para. 3170-3172</w:t>
      </w:r>
      <w:r w:rsidR="00776DDC">
        <w:t>.</w:t>
      </w:r>
    </w:p>
  </w:footnote>
  <w:footnote w:id="12">
    <w:p w14:paraId="1A3BAC2D" w14:textId="347D8116" w:rsidR="00776DDC" w:rsidRPr="009515FA" w:rsidRDefault="00462427" w:rsidP="002E5364">
      <w:pPr>
        <w:pStyle w:val="FootnoteText"/>
      </w:pPr>
      <w:r>
        <w:rPr>
          <w:rFonts w:eastAsia="DengXian"/>
          <w:color w:val="000000" w:themeColor="text1"/>
        </w:rPr>
        <w:tab/>
      </w:r>
      <w:r w:rsidR="00776DDC" w:rsidRPr="009515FA">
        <w:rPr>
          <w:rStyle w:val="FootnoteReference"/>
        </w:rPr>
        <w:footnoteRef/>
      </w:r>
      <w:r>
        <w:rPr>
          <w:rFonts w:eastAsia="DengXian"/>
          <w:color w:val="000000" w:themeColor="text1"/>
        </w:rPr>
        <w:tab/>
      </w:r>
      <w:r w:rsidR="00776DDC" w:rsidRPr="00E2078C" w:rsidDel="009C6719">
        <w:t>As per established case law</w:t>
      </w:r>
      <w:r w:rsidR="00776DDC" w:rsidRPr="00E2078C" w:rsidDel="00DD1E3E">
        <w:t xml:space="preserve">, “[t]he requirement that displacement be forced is not limited to physical force but can be met through the </w:t>
      </w:r>
      <w:r w:rsidR="00776DDC" w:rsidDel="00DD1E3E">
        <w:t>threat of force or coercion, such as that caused by fear of violence, duress, detention, psychological oppression or abuse of power, or taking advantage of a coercive environment.”</w:t>
      </w:r>
      <w:r w:rsidR="00776DDC">
        <w:t xml:space="preserve"> </w:t>
      </w:r>
      <w:r w:rsidR="00776DDC" w:rsidRPr="009515FA">
        <w:rPr>
          <w:rFonts w:eastAsia="DengXian"/>
          <w:color w:val="000000" w:themeColor="text1"/>
        </w:rPr>
        <w:t xml:space="preserve">ICTY, </w:t>
      </w:r>
      <w:r w:rsidR="00776DDC" w:rsidRPr="009515FA">
        <w:rPr>
          <w:rFonts w:eastAsia="DengXian"/>
          <w:i/>
          <w:iCs/>
          <w:color w:val="000000" w:themeColor="text1"/>
        </w:rPr>
        <w:t>Prosecutor v.</w:t>
      </w:r>
      <w:r w:rsidR="00776DDC">
        <w:rPr>
          <w:rFonts w:eastAsia="DengXian"/>
          <w:i/>
          <w:iCs/>
          <w:color w:val="000000" w:themeColor="text1"/>
        </w:rPr>
        <w:t xml:space="preserve"> Ratko </w:t>
      </w:r>
      <w:r w:rsidR="00776DDC" w:rsidRPr="00901A96">
        <w:rPr>
          <w:rFonts w:eastAsia="DengXian"/>
          <w:i/>
          <w:iCs/>
          <w:color w:val="000000" w:themeColor="text1"/>
        </w:rPr>
        <w:t>Mladi</w:t>
      </w:r>
      <w:r w:rsidR="00776DDC" w:rsidRPr="00901A96">
        <w:rPr>
          <w:rFonts w:eastAsia="DengXian"/>
          <w:color w:val="000000" w:themeColor="text1"/>
        </w:rPr>
        <w:t xml:space="preserve">ć, Appeal Judgment, </w:t>
      </w:r>
      <w:r w:rsidR="00776DDC">
        <w:rPr>
          <w:rFonts w:eastAsia="DengXian"/>
          <w:color w:val="000000" w:themeColor="text1"/>
        </w:rPr>
        <w:t xml:space="preserve">8 June </w:t>
      </w:r>
      <w:r w:rsidR="00776DDC" w:rsidRPr="00901A96">
        <w:rPr>
          <w:rFonts w:eastAsia="DengXian"/>
          <w:color w:val="000000" w:themeColor="text1"/>
        </w:rPr>
        <w:t>2021</w:t>
      </w:r>
      <w:r w:rsidR="00776DDC">
        <w:rPr>
          <w:rFonts w:eastAsia="DengXian"/>
          <w:color w:val="000000" w:themeColor="text1"/>
        </w:rPr>
        <w:t>, para. 356</w:t>
      </w:r>
      <w:r w:rsidR="00776DDC" w:rsidRPr="009515FA">
        <w:rPr>
          <w:rFonts w:eastAsia="DengXian"/>
          <w:color w:val="000000" w:themeColor="text1"/>
        </w:rPr>
        <w:t xml:space="preserve">; ICTY, </w:t>
      </w:r>
      <w:r w:rsidR="00776DDC" w:rsidRPr="009515FA">
        <w:rPr>
          <w:i/>
          <w:iCs/>
        </w:rPr>
        <w:t xml:space="preserve">Prosecutor v. Milomir </w:t>
      </w:r>
      <w:r w:rsidR="00776DDC" w:rsidRPr="009515FA">
        <w:rPr>
          <w:rFonts w:eastAsia="DengXian"/>
          <w:i/>
          <w:iCs/>
          <w:color w:val="000000" w:themeColor="text1"/>
        </w:rPr>
        <w:t>Stakić</w:t>
      </w:r>
      <w:r w:rsidR="00776DDC">
        <w:rPr>
          <w:rFonts w:eastAsia="DengXian"/>
          <w:color w:val="000000" w:themeColor="text1"/>
        </w:rPr>
        <w:t>,</w:t>
      </w:r>
      <w:r w:rsidR="00776DDC" w:rsidRPr="009515FA">
        <w:rPr>
          <w:rFonts w:eastAsia="DengXian"/>
          <w:color w:val="000000" w:themeColor="text1"/>
        </w:rPr>
        <w:t xml:space="preserve"> Appeal Judgment, 2006, para. 279; </w:t>
      </w:r>
      <w:r w:rsidR="00776DDC" w:rsidRPr="00B76479">
        <w:rPr>
          <w:rFonts w:eastAsia="DengXian"/>
          <w:color w:val="000000" w:themeColor="text1"/>
          <w:lang w:val="en-US"/>
        </w:rPr>
        <w:t>ICTY, </w:t>
      </w:r>
      <w:r w:rsidR="00776DDC" w:rsidRPr="009515FA">
        <w:rPr>
          <w:i/>
          <w:iCs/>
        </w:rPr>
        <w:t xml:space="preserve">Prosecutor v. </w:t>
      </w:r>
      <w:r w:rsidR="00776DDC">
        <w:rPr>
          <w:i/>
          <w:iCs/>
        </w:rPr>
        <w:t xml:space="preserve">Radislav </w:t>
      </w:r>
      <w:r w:rsidR="00776DDC" w:rsidRPr="00B76479">
        <w:rPr>
          <w:rFonts w:eastAsia="DengXian"/>
          <w:i/>
          <w:iCs/>
          <w:color w:val="000000" w:themeColor="text1"/>
          <w:lang w:val="en-US"/>
        </w:rPr>
        <w:t>Krstić</w:t>
      </w:r>
      <w:r w:rsidR="00776DDC">
        <w:rPr>
          <w:rFonts w:eastAsia="DengXian"/>
          <w:color w:val="000000" w:themeColor="text1"/>
          <w:lang w:val="en-US"/>
        </w:rPr>
        <w:t>,</w:t>
      </w:r>
      <w:r w:rsidR="00776DDC" w:rsidRPr="00B76479">
        <w:rPr>
          <w:rFonts w:eastAsia="DengXian"/>
          <w:color w:val="000000" w:themeColor="text1"/>
          <w:lang w:val="en-US"/>
        </w:rPr>
        <w:t> Trial Judgment, 2001, para. 529</w:t>
      </w:r>
      <w:r w:rsidR="00776DDC">
        <w:rPr>
          <w:rFonts w:eastAsia="DengXian"/>
          <w:color w:val="000000" w:themeColor="text1"/>
          <w:lang w:val="en-US"/>
        </w:rPr>
        <w:t xml:space="preserve">; </w:t>
      </w:r>
      <w:r w:rsidR="00776DDC" w:rsidRPr="009515FA">
        <w:rPr>
          <w:rFonts w:eastAsia="DengXian"/>
          <w:color w:val="000000" w:themeColor="text1"/>
        </w:rPr>
        <w:t xml:space="preserve">International Criminal Court (ICC), </w:t>
      </w:r>
      <w:r w:rsidR="00776DDC" w:rsidRPr="009515FA">
        <w:rPr>
          <w:rFonts w:eastAsia="DengXian"/>
          <w:i/>
          <w:iCs/>
          <w:color w:val="000000" w:themeColor="text1"/>
        </w:rPr>
        <w:t>Prosecutor v. Bosco</w:t>
      </w:r>
      <w:r w:rsidR="00776DDC" w:rsidRPr="009515FA">
        <w:rPr>
          <w:rFonts w:eastAsia="DengXian"/>
          <w:color w:val="000000" w:themeColor="text1"/>
        </w:rPr>
        <w:t xml:space="preserve"> </w:t>
      </w:r>
      <w:r w:rsidR="00776DDC" w:rsidRPr="009515FA">
        <w:rPr>
          <w:rFonts w:eastAsia="DengXian"/>
          <w:i/>
          <w:iCs/>
          <w:color w:val="000000" w:themeColor="text1"/>
        </w:rPr>
        <w:t>Ntaganda</w:t>
      </w:r>
      <w:r w:rsidR="00776DDC" w:rsidRPr="009515FA">
        <w:rPr>
          <w:rFonts w:eastAsia="DengXian"/>
          <w:color w:val="000000" w:themeColor="text1"/>
        </w:rPr>
        <w:t>,</w:t>
      </w:r>
      <w:r w:rsidR="00776DDC" w:rsidRPr="009515FA">
        <w:rPr>
          <w:rFonts w:eastAsia="DengXian"/>
          <w:i/>
          <w:iCs/>
          <w:color w:val="000000" w:themeColor="text1"/>
        </w:rPr>
        <w:t xml:space="preserve"> </w:t>
      </w:r>
      <w:r w:rsidR="00776DDC" w:rsidRPr="009515FA">
        <w:rPr>
          <w:rFonts w:eastAsia="DengXian"/>
          <w:color w:val="000000" w:themeColor="text1"/>
        </w:rPr>
        <w:t>Trial Judgment, 8 July 2019, para. 1056</w:t>
      </w:r>
      <w:r w:rsidR="00776DDC" w:rsidRPr="009515FA">
        <w:t>.</w:t>
      </w:r>
      <w:r w:rsidR="00776DDC">
        <w:t xml:space="preserve"> </w:t>
      </w:r>
      <w:r w:rsidR="00776DDC" w:rsidRPr="009515FA">
        <w:t>ICJ</w:t>
      </w:r>
      <w:r w:rsidR="00776DDC" w:rsidRPr="00F049D6">
        <w:t>, Advisory Opinion</w:t>
      </w:r>
      <w:r w:rsidR="00776DDC">
        <w:t>,</w:t>
      </w:r>
      <w:r w:rsidR="00776DDC" w:rsidRPr="009515FA">
        <w:rPr>
          <w:i/>
          <w:iCs/>
        </w:rPr>
        <w:t xml:space="preserve"> Legal Consequences arising from the Policies and Practices of Israel in the Occupied Palestinian Territory, including East Jerusalem</w:t>
      </w:r>
      <w:r w:rsidR="00776DDC" w:rsidRPr="009515FA">
        <w:t>, 19 July 2024, para. 145</w:t>
      </w:r>
      <w:r w:rsidR="00776DDC">
        <w:t>.</w:t>
      </w:r>
    </w:p>
  </w:footnote>
  <w:footnote w:id="13">
    <w:p w14:paraId="7E48EB33" w14:textId="2317D88E" w:rsidR="00776DDC" w:rsidRPr="009515FA" w:rsidRDefault="00462427" w:rsidP="002E5364">
      <w:pPr>
        <w:pStyle w:val="FootnoteText"/>
      </w:pPr>
      <w:r>
        <w:tab/>
      </w:r>
      <w:r w:rsidR="00776DDC" w:rsidRPr="009515FA">
        <w:rPr>
          <w:rStyle w:val="FootnoteReference"/>
        </w:rPr>
        <w:footnoteRef/>
      </w:r>
      <w:r>
        <w:tab/>
      </w:r>
      <w:r w:rsidR="00776DDC" w:rsidRPr="009515FA">
        <w:t>Art. 147.</w:t>
      </w:r>
    </w:p>
  </w:footnote>
  <w:footnote w:id="14">
    <w:p w14:paraId="4E73EDDA" w14:textId="172D187A" w:rsidR="00776DDC" w:rsidRPr="009515FA" w:rsidRDefault="00462427" w:rsidP="002E5364">
      <w:pPr>
        <w:pStyle w:val="FootnoteText"/>
      </w:pPr>
      <w:r>
        <w:tab/>
      </w:r>
      <w:r w:rsidR="00776DDC" w:rsidRPr="009515FA">
        <w:rPr>
          <w:rStyle w:val="FootnoteReference"/>
        </w:rPr>
        <w:footnoteRef/>
      </w:r>
      <w:r>
        <w:tab/>
      </w:r>
      <w:r w:rsidR="00776DDC" w:rsidRPr="009515FA">
        <w:t>Rome Statute, art. 7(1)(d).</w:t>
      </w:r>
    </w:p>
  </w:footnote>
  <w:footnote w:id="15">
    <w:p w14:paraId="50789471" w14:textId="2248FCAF" w:rsidR="00776DDC" w:rsidRPr="009515FA" w:rsidRDefault="00462427" w:rsidP="002E5364">
      <w:pPr>
        <w:pStyle w:val="FootnoteText"/>
        <w:rPr>
          <w:rFonts w:eastAsia="Aptos"/>
        </w:rPr>
      </w:pPr>
      <w:r>
        <w:rPr>
          <w:vertAlign w:val="superscript"/>
        </w:rPr>
        <w:tab/>
      </w:r>
      <w:r w:rsidR="00776DDC" w:rsidRPr="009515FA">
        <w:rPr>
          <w:vertAlign w:val="superscript"/>
        </w:rPr>
        <w:footnoteRef/>
      </w:r>
      <w:r w:rsidR="00F20B30">
        <w:rPr>
          <w:vertAlign w:val="superscript"/>
        </w:rPr>
        <w:tab/>
      </w:r>
      <w:r w:rsidR="00776DDC" w:rsidRPr="009515FA">
        <w:rPr>
          <w:rFonts w:eastAsia="Aptos"/>
        </w:rPr>
        <w:t xml:space="preserve">Customary IHL, Rule 132. See also: </w:t>
      </w:r>
      <w:r w:rsidR="00776DDC" w:rsidRPr="009515FA">
        <w:rPr>
          <w:rFonts w:eastAsia="Aptos"/>
          <w:i/>
          <w:iCs/>
        </w:rPr>
        <w:t>Guiding Principles on Internal Displacement</w:t>
      </w:r>
      <w:r w:rsidR="00776DDC" w:rsidRPr="009515FA">
        <w:rPr>
          <w:rFonts w:eastAsia="Aptos"/>
        </w:rPr>
        <w:t xml:space="preserve">, E/CN.4/1998/53/Add.2, principle 28; </w:t>
      </w:r>
      <w:r w:rsidR="00776DDC" w:rsidRPr="009515FA">
        <w:rPr>
          <w:rFonts w:eastAsia="Aptos"/>
          <w:i/>
          <w:iCs/>
          <w:color w:val="000000" w:themeColor="text1"/>
        </w:rPr>
        <w:t>Principles on Housing and Property Restitution for Refugees and Displaced Persons</w:t>
      </w:r>
      <w:r w:rsidR="00776DDC" w:rsidRPr="009515FA">
        <w:rPr>
          <w:rFonts w:eastAsia="Aptos"/>
          <w:color w:val="000000" w:themeColor="text1"/>
        </w:rPr>
        <w:t xml:space="preserve"> (Pinheiro Principles), </w:t>
      </w:r>
      <w:r w:rsidR="00776DDC" w:rsidRPr="009515FA">
        <w:rPr>
          <w:rFonts w:eastAsia="Aptos"/>
        </w:rPr>
        <w:t>E/CN.4/Sub.2/2005/17, section IV.</w:t>
      </w:r>
    </w:p>
  </w:footnote>
  <w:footnote w:id="16">
    <w:p w14:paraId="3CE3A17F" w14:textId="38F51C1E" w:rsidR="00776DDC" w:rsidRPr="0094133D" w:rsidRDefault="00F20B30" w:rsidP="002E5364">
      <w:pPr>
        <w:pStyle w:val="FootnoteText"/>
        <w:rPr>
          <w:lang w:val="en-US"/>
        </w:rPr>
      </w:pPr>
      <w:r>
        <w:tab/>
      </w:r>
      <w:r w:rsidR="00776DDC">
        <w:rPr>
          <w:rStyle w:val="FootnoteReference"/>
        </w:rPr>
        <w:footnoteRef/>
      </w:r>
      <w:r>
        <w:tab/>
      </w:r>
      <w:r w:rsidR="00776DDC" w:rsidRPr="009515FA">
        <w:rPr>
          <w:rFonts w:eastAsia="Aptos"/>
          <w:i/>
          <w:iCs/>
        </w:rPr>
        <w:t>Guiding Principles on Internal Displacement</w:t>
      </w:r>
      <w:r w:rsidR="00776DDC" w:rsidRPr="009515FA">
        <w:rPr>
          <w:rFonts w:eastAsia="Aptos"/>
        </w:rPr>
        <w:t>, E/CN.4/1998/53/Add.2</w:t>
      </w:r>
      <w:r w:rsidR="00776DDC">
        <w:rPr>
          <w:rFonts w:eastAsia="Aptos"/>
        </w:rPr>
        <w:t>.</w:t>
      </w:r>
    </w:p>
  </w:footnote>
  <w:footnote w:id="17">
    <w:p w14:paraId="03B754F0" w14:textId="44F3005E" w:rsidR="00776DDC" w:rsidRPr="009515FA" w:rsidRDefault="00F20B30" w:rsidP="002E5364">
      <w:pPr>
        <w:pStyle w:val="FootnoteText"/>
      </w:pPr>
      <w:r>
        <w:tab/>
      </w:r>
      <w:r w:rsidR="00776DDC" w:rsidRPr="009515FA">
        <w:rPr>
          <w:vertAlign w:val="superscript"/>
        </w:rPr>
        <w:footnoteRef/>
      </w:r>
      <w:r>
        <w:tab/>
      </w:r>
      <w:r w:rsidR="00776DDC" w:rsidRPr="009515FA">
        <w:rPr>
          <w:rFonts w:eastAsia="Aptos"/>
          <w:i/>
          <w:iCs/>
        </w:rPr>
        <w:t>Guiding Principles on Internal Displacement</w:t>
      </w:r>
      <w:r w:rsidR="00776DDC" w:rsidRPr="009515FA">
        <w:rPr>
          <w:rFonts w:eastAsia="Aptos"/>
        </w:rPr>
        <w:t xml:space="preserve">, E/CN.4/1998/53/Add.2, principle </w:t>
      </w:r>
      <w:r w:rsidR="00776DDC">
        <w:rPr>
          <w:rFonts w:eastAsia="Aptos"/>
        </w:rPr>
        <w:t xml:space="preserve">3; </w:t>
      </w:r>
      <w:r w:rsidR="00776DDC">
        <w:t>ICCPR, art. 16.</w:t>
      </w:r>
    </w:p>
  </w:footnote>
  <w:footnote w:id="18">
    <w:p w14:paraId="2B423FD3" w14:textId="0B127907" w:rsidR="00776DDC" w:rsidRPr="001B5C6B" w:rsidRDefault="00F20B30" w:rsidP="002E5364">
      <w:pPr>
        <w:pStyle w:val="FootnoteText"/>
        <w:rPr>
          <w:lang w:val="en-US"/>
        </w:rPr>
      </w:pPr>
      <w:r>
        <w:tab/>
      </w:r>
      <w:r w:rsidR="00776DDC">
        <w:rPr>
          <w:rStyle w:val="FootnoteReference"/>
        </w:rPr>
        <w:footnoteRef/>
      </w:r>
      <w:r>
        <w:tab/>
      </w:r>
      <w:r w:rsidR="00776DDC">
        <w:rPr>
          <w:lang w:val="en-US"/>
        </w:rPr>
        <w:t>Ibid., principle 17.</w:t>
      </w:r>
    </w:p>
  </w:footnote>
  <w:footnote w:id="19">
    <w:p w14:paraId="279743D1" w14:textId="58DA6F23" w:rsidR="00776DDC" w:rsidRPr="009515FA" w:rsidRDefault="00F20B30" w:rsidP="002E5364">
      <w:pPr>
        <w:pStyle w:val="FootnoteText"/>
      </w:pPr>
      <w:r>
        <w:tab/>
      </w:r>
      <w:r w:rsidR="00776DDC" w:rsidRPr="009515FA">
        <w:rPr>
          <w:rStyle w:val="FootnoteReference"/>
        </w:rPr>
        <w:footnoteRef/>
      </w:r>
      <w:r>
        <w:tab/>
      </w:r>
      <w:r w:rsidR="00776DDC">
        <w:t>Ibid.,</w:t>
      </w:r>
      <w:r w:rsidR="00776DDC" w:rsidRPr="009515FA">
        <w:rPr>
          <w:rFonts w:eastAsia="Aptos"/>
        </w:rPr>
        <w:t xml:space="preserve"> principle</w:t>
      </w:r>
      <w:r w:rsidR="00776DDC">
        <w:rPr>
          <w:rFonts w:eastAsia="Aptos"/>
        </w:rPr>
        <w:t>s</w:t>
      </w:r>
      <w:r w:rsidR="00776DDC" w:rsidRPr="009515FA">
        <w:rPr>
          <w:rFonts w:eastAsia="Aptos"/>
        </w:rPr>
        <w:t xml:space="preserve"> </w:t>
      </w:r>
      <w:r w:rsidR="00776DDC">
        <w:rPr>
          <w:rFonts w:eastAsia="Aptos"/>
        </w:rPr>
        <w:t>1 and 4.</w:t>
      </w:r>
    </w:p>
  </w:footnote>
  <w:footnote w:id="20">
    <w:p w14:paraId="71116B4F" w14:textId="3DC7F627" w:rsidR="00776DDC" w:rsidRPr="001C1BA7" w:rsidRDefault="00F20B30" w:rsidP="00E17E4B">
      <w:pPr>
        <w:pStyle w:val="FootnoteText"/>
      </w:pPr>
      <w:r>
        <w:tab/>
      </w:r>
      <w:r w:rsidR="00776DDC">
        <w:rPr>
          <w:rStyle w:val="FootnoteReference"/>
        </w:rPr>
        <w:footnoteRef/>
      </w:r>
      <w:r>
        <w:tab/>
      </w:r>
      <w:r w:rsidR="00776DDC" w:rsidRPr="009515FA">
        <w:t xml:space="preserve">UNHCR, </w:t>
      </w:r>
      <w:hyperlink r:id="rId1" w:history="1">
        <w:r w:rsidR="00776DDC" w:rsidRPr="009515FA">
          <w:rPr>
            <w:rStyle w:val="Hyperlink"/>
            <w:rFonts w:eastAsiaTheme="minorEastAsia"/>
          </w:rPr>
          <w:t>Ukraine Refugee Situation</w:t>
        </w:r>
      </w:hyperlink>
      <w:r w:rsidR="00776DDC" w:rsidRPr="009515FA">
        <w:t>, 19 April 2022.</w:t>
      </w:r>
    </w:p>
  </w:footnote>
  <w:footnote w:id="21">
    <w:p w14:paraId="444EB35B" w14:textId="3B3AFA47" w:rsidR="00776DDC" w:rsidRPr="009515FA" w:rsidRDefault="00F20B30" w:rsidP="00E17E4B">
      <w:pPr>
        <w:pStyle w:val="FootnoteText"/>
      </w:pPr>
      <w:r>
        <w:tab/>
      </w:r>
      <w:r w:rsidR="00776DDC" w:rsidRPr="009515FA">
        <w:rPr>
          <w:rStyle w:val="FootnoteReference"/>
        </w:rPr>
        <w:footnoteRef/>
      </w:r>
      <w:r>
        <w:tab/>
      </w:r>
      <w:r w:rsidR="00776DDC" w:rsidRPr="009515FA">
        <w:t>Federal Constitutional Laws of the Russian Federation No. 5-FKZ, 6-FKZ, 7-FKZ and 8-FKZ, 4 October 2022.</w:t>
      </w:r>
      <w:r w:rsidR="00776DDC">
        <w:t xml:space="preserve"> </w:t>
      </w:r>
      <w:r w:rsidR="00776DDC" w:rsidRPr="00827763">
        <w:rPr>
          <w:lang w:val="en-US"/>
        </w:rPr>
        <w:t xml:space="preserve">On 13 October 2022, the United Nations General Assembly adopted </w:t>
      </w:r>
      <w:r w:rsidR="00776DDC">
        <w:rPr>
          <w:lang w:val="en-US"/>
        </w:rPr>
        <w:t xml:space="preserve">a resolution condemning </w:t>
      </w:r>
      <w:r w:rsidR="00776DDC" w:rsidRPr="00827763">
        <w:rPr>
          <w:lang w:val="en-US"/>
        </w:rPr>
        <w:t>the organization of the ‘referenda’ and the attempted unlawful annexation of oblasts of Ukraine</w:t>
      </w:r>
      <w:r w:rsidR="00776DDC">
        <w:rPr>
          <w:lang w:val="en-US"/>
        </w:rPr>
        <w:t xml:space="preserve">; see </w:t>
      </w:r>
      <w:r w:rsidR="00776DDC" w:rsidRPr="00B00590">
        <w:rPr>
          <w:lang w:val="en-US"/>
        </w:rPr>
        <w:t xml:space="preserve">General Assembly </w:t>
      </w:r>
      <w:r w:rsidR="00776DDC" w:rsidRPr="00827763">
        <w:rPr>
          <w:lang w:val="en-US"/>
        </w:rPr>
        <w:t>resolution ES-11/4</w:t>
      </w:r>
      <w:r w:rsidR="00776DDC" w:rsidRPr="00B00590">
        <w:rPr>
          <w:lang w:val="en-US"/>
        </w:rPr>
        <w:t>, </w:t>
      </w:r>
      <w:r w:rsidR="00776DDC" w:rsidRPr="00B00590">
        <w:rPr>
          <w:i/>
          <w:iCs/>
          <w:lang w:val="en-US"/>
        </w:rPr>
        <w:t>Territorial integrity of Ukraine: defending the principles of the Charter of the United Nations</w:t>
      </w:r>
      <w:r w:rsidR="00776DDC" w:rsidRPr="00B00590">
        <w:rPr>
          <w:lang w:val="en-US"/>
        </w:rPr>
        <w:t>, A/RES/ES-11/4 (12 October 2022), available from undocs.org/A/RES/ES-11/4</w:t>
      </w:r>
      <w:r w:rsidR="00776DDC" w:rsidRPr="00827763">
        <w:rPr>
          <w:lang w:val="en-US"/>
        </w:rPr>
        <w:t>.</w:t>
      </w:r>
    </w:p>
  </w:footnote>
  <w:footnote w:id="22">
    <w:p w14:paraId="1A437510" w14:textId="3FEF7710" w:rsidR="00776DDC" w:rsidRPr="00B40907" w:rsidRDefault="00F20B30" w:rsidP="002E5364">
      <w:pPr>
        <w:pStyle w:val="FootnoteText"/>
      </w:pPr>
      <w:r>
        <w:tab/>
      </w:r>
      <w:r w:rsidR="00776DDC">
        <w:rPr>
          <w:rStyle w:val="FootnoteReference"/>
        </w:rPr>
        <w:footnoteRef/>
      </w:r>
      <w:r>
        <w:tab/>
      </w:r>
      <w:r w:rsidR="00776DDC" w:rsidRPr="00B40907">
        <w:rPr>
          <w:lang w:val="en-US"/>
        </w:rPr>
        <w:t>On 27 March 2014, the UN General Assembly affirmed its commitment to the sovereignty, political independence, unity, and territorial integrity of Ukraine within its internationally recognized borders and, among other things, underscored that the referendum held on 16 March had “no validity” and could not form the basis for any alteration of the status of Crimea</w:t>
      </w:r>
      <w:r w:rsidR="00776DDC">
        <w:rPr>
          <w:lang w:val="en-US"/>
        </w:rPr>
        <w:t xml:space="preserve">; see </w:t>
      </w:r>
      <w:r w:rsidR="00776DDC" w:rsidRPr="00084512">
        <w:rPr>
          <w:lang w:val="en-US"/>
        </w:rPr>
        <w:t>General Assembly resolution</w:t>
      </w:r>
      <w:r w:rsidR="00776DDC" w:rsidRPr="00C02106">
        <w:rPr>
          <w:lang w:val="en-US"/>
        </w:rPr>
        <w:t xml:space="preserve"> 68/262,</w:t>
      </w:r>
      <w:r w:rsidR="00776DDC" w:rsidRPr="00084512">
        <w:rPr>
          <w:lang w:val="en-US"/>
        </w:rPr>
        <w:t> </w:t>
      </w:r>
      <w:r w:rsidR="00776DDC" w:rsidRPr="00084512">
        <w:rPr>
          <w:i/>
          <w:iCs/>
          <w:lang w:val="en-US"/>
        </w:rPr>
        <w:t>Territorial integrity of Ukraine</w:t>
      </w:r>
      <w:r w:rsidR="00776DDC" w:rsidRPr="00084512">
        <w:rPr>
          <w:lang w:val="en-US"/>
        </w:rPr>
        <w:t>, A/RES/68/262 (27 March 2014), available from undocs.org/A/RES/68/262</w:t>
      </w:r>
      <w:r w:rsidR="00776DDC">
        <w:rPr>
          <w:lang w:val="en-US"/>
        </w:rPr>
        <w:t>,</w:t>
      </w:r>
      <w:r w:rsidR="00776DDC" w:rsidRPr="00C02106">
        <w:rPr>
          <w:lang w:val="en-US"/>
        </w:rPr>
        <w:t xml:space="preserve"> paras. 1 and 5.</w:t>
      </w:r>
    </w:p>
  </w:footnote>
  <w:footnote w:id="23">
    <w:p w14:paraId="28EEB9D6" w14:textId="55FB6885" w:rsidR="00776DDC" w:rsidRPr="009515FA" w:rsidRDefault="00F20B30" w:rsidP="002E5364">
      <w:pPr>
        <w:pStyle w:val="FootnoteText"/>
      </w:pPr>
      <w:r>
        <w:tab/>
      </w:r>
      <w:r w:rsidR="00776DDC" w:rsidRPr="009515FA">
        <w:rPr>
          <w:rStyle w:val="FootnoteReference"/>
        </w:rPr>
        <w:footnoteRef/>
      </w:r>
      <w:r>
        <w:tab/>
      </w:r>
      <w:r w:rsidR="00776DDC" w:rsidRPr="009515FA">
        <w:t xml:space="preserve">See OHCHR, </w:t>
      </w:r>
      <w:hyperlink r:id="rId2" w:history="1">
        <w:r w:rsidR="00776DDC" w:rsidRPr="009515FA">
          <w:rPr>
            <w:rStyle w:val="Hyperlink"/>
            <w:rFonts w:eastAsiaTheme="minorEastAsia"/>
          </w:rPr>
          <w:t>Russian occupation and its aftermath</w:t>
        </w:r>
      </w:hyperlink>
      <w:r w:rsidR="00776DDC" w:rsidRPr="009515FA">
        <w:t>, paras. 81-114.</w:t>
      </w:r>
    </w:p>
  </w:footnote>
  <w:footnote w:id="24">
    <w:p w14:paraId="695C041B" w14:textId="3F9074C9" w:rsidR="00776DDC" w:rsidRPr="005D2C15" w:rsidRDefault="00F20B30" w:rsidP="002B7D8C">
      <w:pPr>
        <w:pStyle w:val="FootnoteText"/>
      </w:pPr>
      <w:r>
        <w:tab/>
      </w:r>
      <w:r w:rsidR="00776DDC">
        <w:rPr>
          <w:rStyle w:val="FootnoteReference"/>
        </w:rPr>
        <w:footnoteRef/>
      </w:r>
      <w:r>
        <w:tab/>
      </w:r>
      <w:r w:rsidR="00776DDC">
        <w:t>See</w:t>
      </w:r>
      <w:r w:rsidR="00AF057B">
        <w:t xml:space="preserve"> OHCHR</w:t>
      </w:r>
      <w:r w:rsidR="00AF057B" w:rsidRPr="0048489E">
        <w:rPr>
          <w:i/>
          <w:iCs/>
        </w:rPr>
        <w:t>,</w:t>
      </w:r>
      <w:r w:rsidR="00776DDC" w:rsidRPr="0048489E">
        <w:rPr>
          <w:i/>
          <w:iCs/>
        </w:rPr>
        <w:t xml:space="preserve"> Human rights situation during the Russian occupation of territory of Ukraine and its aftermath</w:t>
      </w:r>
      <w:r w:rsidR="0048489E">
        <w:rPr>
          <w:i/>
          <w:iCs/>
        </w:rPr>
        <w:t xml:space="preserve">, </w:t>
      </w:r>
      <w:r w:rsidR="00776DDC">
        <w:t xml:space="preserve">20 March 2024; </w:t>
      </w:r>
      <w:r w:rsidR="00776DDC" w:rsidRPr="0048489E">
        <w:rPr>
          <w:i/>
          <w:iCs/>
        </w:rPr>
        <w:t>Treatment of prisoners of war</w:t>
      </w:r>
      <w:r w:rsidR="0048489E">
        <w:t xml:space="preserve">, </w:t>
      </w:r>
      <w:r w:rsidR="00776DDC">
        <w:t>July 2024</w:t>
      </w:r>
      <w:r w:rsidR="00AF057B">
        <w:t xml:space="preserve">; </w:t>
      </w:r>
      <w:r w:rsidR="00776DDC" w:rsidRPr="0048489E">
        <w:rPr>
          <w:i/>
          <w:iCs/>
        </w:rPr>
        <w:t>Treatment of civilians deprived of their liberty</w:t>
      </w:r>
      <w:r w:rsidR="0048489E">
        <w:rPr>
          <w:i/>
          <w:iCs/>
        </w:rPr>
        <w:t>,</w:t>
      </w:r>
      <w:r w:rsidR="00776DDC">
        <w:t xml:space="preserve"> September 2025</w:t>
      </w:r>
      <w:r w:rsidR="00AF057B">
        <w:t>;</w:t>
      </w:r>
      <w:r w:rsidR="00AF057B">
        <w:rPr>
          <w:rFonts w:eastAsiaTheme="minorEastAsia"/>
        </w:rPr>
        <w:t xml:space="preserve"> and </w:t>
      </w:r>
      <w:r w:rsidR="00776DDC" w:rsidRPr="005D2C15">
        <w:t>UN Secretary-General reports on the situation of human rights in temporarily occupied territor</w:t>
      </w:r>
      <w:r w:rsidR="002B7D8C" w:rsidRPr="005D2C15">
        <w:t>ies</w:t>
      </w:r>
      <w:r w:rsidR="00776DDC" w:rsidRPr="005D2C15">
        <w:t xml:space="preserve"> of Ukraine (2022</w:t>
      </w:r>
      <w:r w:rsidR="00AF057B" w:rsidRPr="005D2C15">
        <w:t xml:space="preserve"> to </w:t>
      </w:r>
      <w:r w:rsidR="00776DDC" w:rsidRPr="005D2C15">
        <w:t>2025)</w:t>
      </w:r>
      <w:r w:rsidR="00AF057B" w:rsidRPr="005D2C15">
        <w:t>.</w:t>
      </w:r>
    </w:p>
  </w:footnote>
  <w:footnote w:id="25">
    <w:p w14:paraId="0A1676F3" w14:textId="60A053E7" w:rsidR="00776DDC" w:rsidRPr="008C1BA9" w:rsidRDefault="00F20B30" w:rsidP="00E17E4B">
      <w:pPr>
        <w:pStyle w:val="FootnoteText"/>
      </w:pPr>
      <w:r>
        <w:tab/>
      </w:r>
      <w:r w:rsidR="00776DDC">
        <w:rPr>
          <w:rStyle w:val="FootnoteReference"/>
        </w:rPr>
        <w:footnoteRef/>
      </w:r>
      <w:r>
        <w:tab/>
      </w:r>
      <w:r w:rsidR="00776DDC" w:rsidRPr="00613439">
        <w:rPr>
          <w:lang w:val="en-US"/>
        </w:rPr>
        <w:t>International Organization for Migration (IOM), </w:t>
      </w:r>
      <w:r w:rsidR="00776DDC" w:rsidRPr="00613439">
        <w:rPr>
          <w:i/>
          <w:iCs/>
          <w:lang w:val="en-US"/>
        </w:rPr>
        <w:t>Ukraine Internal Displacement Report: General Population Survey Round 22 (January 2026)</w:t>
      </w:r>
      <w:r w:rsidR="00776DDC" w:rsidRPr="00613439">
        <w:rPr>
          <w:lang w:val="en-US"/>
        </w:rPr>
        <w:t>, </w:t>
      </w:r>
      <w:hyperlink r:id="rId3" w:tgtFrame="_blank" w:history="1">
        <w:r w:rsidR="00776DDC" w:rsidRPr="00613439">
          <w:rPr>
            <w:rStyle w:val="Hyperlink"/>
            <w:rFonts w:eastAsiaTheme="minorEastAsia"/>
          </w:rPr>
          <w:t>Displacement Tracking Matrix (DTM)</w:t>
        </w:r>
      </w:hyperlink>
      <w:r w:rsidR="00776DDC" w:rsidRPr="00613439">
        <w:rPr>
          <w:lang w:val="en-US"/>
        </w:rPr>
        <w:t>, 22 January 2026</w:t>
      </w:r>
      <w:r w:rsidR="00776DDC">
        <w:rPr>
          <w:lang w:val="en-US"/>
        </w:rPr>
        <w:t>, p. 2.</w:t>
      </w:r>
    </w:p>
  </w:footnote>
  <w:footnote w:id="26">
    <w:p w14:paraId="1ADDF46A" w14:textId="01BFA428" w:rsidR="00776DDC" w:rsidRPr="009515FA" w:rsidRDefault="00F20B30" w:rsidP="00E17E4B">
      <w:pPr>
        <w:pStyle w:val="FootnoteText"/>
      </w:pPr>
      <w:r>
        <w:tab/>
      </w:r>
      <w:r w:rsidR="00776DDC" w:rsidRPr="009515FA">
        <w:rPr>
          <w:rStyle w:val="FootnoteReference"/>
        </w:rPr>
        <w:footnoteRef/>
      </w:r>
      <w:r>
        <w:tab/>
      </w:r>
      <w:r w:rsidR="00776DDC" w:rsidRPr="009515FA">
        <w:t>Unified Register of IDPs, Ministry of Social Policy (30 November 2025); data shared with OHCHR. Among IDPs from occupied territory, 23 per cent were under 20 years old, and 21 per cent above 60 years old.</w:t>
      </w:r>
    </w:p>
  </w:footnote>
  <w:footnote w:id="27">
    <w:p w14:paraId="4FF63975" w14:textId="6B3D46B5" w:rsidR="00776DDC" w:rsidRPr="004D0E0B" w:rsidRDefault="00F20B30" w:rsidP="002E5364">
      <w:pPr>
        <w:pStyle w:val="FootnoteText"/>
      </w:pPr>
      <w:r>
        <w:tab/>
      </w:r>
      <w:r w:rsidR="00776DDC">
        <w:rPr>
          <w:rStyle w:val="FootnoteReference"/>
        </w:rPr>
        <w:footnoteRef/>
      </w:r>
      <w:r>
        <w:tab/>
      </w:r>
      <w:r w:rsidR="00776DDC">
        <w:t>UNHCR Intentions Survey with IDPs in Ukraine, round 6 (December 2025-January 2026); household survey covering close to 3,900 IDPs in Ukraine; data shared with OHCHR.</w:t>
      </w:r>
    </w:p>
  </w:footnote>
  <w:footnote w:id="28">
    <w:p w14:paraId="34072B20" w14:textId="7604615B" w:rsidR="00776DDC" w:rsidRPr="009515FA" w:rsidRDefault="00F20B30" w:rsidP="002E5364">
      <w:pPr>
        <w:pStyle w:val="FootnoteText"/>
      </w:pPr>
      <w:r>
        <w:tab/>
      </w:r>
      <w:r w:rsidR="00776DDC" w:rsidRPr="009515FA">
        <w:rPr>
          <w:rStyle w:val="FootnoteReference"/>
        </w:rPr>
        <w:footnoteRef/>
      </w:r>
      <w:r>
        <w:tab/>
      </w:r>
      <w:r w:rsidR="00776DDC" w:rsidRPr="009515FA">
        <w:t xml:space="preserve">A similar practice took place in occupied Crimea. From 2017 to 2024, Russian courts in Crimea ordered the “deportation” of at least 864 individuals (mostly Ukrainian citizens) considered “foreigners”. </w:t>
      </w:r>
      <w:r w:rsidR="00776DDC" w:rsidRPr="008C7742">
        <w:t>Information from the Russian Federation court registry.</w:t>
      </w:r>
    </w:p>
  </w:footnote>
  <w:footnote w:id="29">
    <w:p w14:paraId="120E3A80" w14:textId="300940D7" w:rsidR="00776DDC" w:rsidRPr="009515FA" w:rsidRDefault="00F20B30" w:rsidP="00E17E4B">
      <w:pPr>
        <w:pStyle w:val="FootnoteText"/>
        <w:rPr>
          <w:lang w:val="en-US"/>
        </w:rPr>
      </w:pPr>
      <w:r>
        <w:tab/>
      </w:r>
      <w:r w:rsidR="00776DDC" w:rsidRPr="009515FA">
        <w:rPr>
          <w:rStyle w:val="FootnoteReference"/>
        </w:rPr>
        <w:footnoteRef/>
      </w:r>
      <w:r>
        <w:tab/>
      </w:r>
      <w:r w:rsidR="00776DDC" w:rsidRPr="009515FA">
        <w:t xml:space="preserve">Post by the head of the occupying authorities in Zaporizhzhia region, 15 July 2022, </w:t>
      </w:r>
      <w:hyperlink r:id="rId4" w:history="1">
        <w:r w:rsidR="00776DDC" w:rsidRPr="009515FA">
          <w:rPr>
            <w:rStyle w:val="Hyperlink"/>
            <w:rFonts w:eastAsiaTheme="minorEastAsia"/>
          </w:rPr>
          <w:t>https://archive.is/Py7oe</w:t>
        </w:r>
      </w:hyperlink>
      <w:r w:rsidR="00776DDC" w:rsidRPr="009515FA">
        <w:t xml:space="preserve"> (accessed 2 January 2026). The original Telegram channel with the announcement has since been deleted. Decree 228 of 14 July 2022 by the Military-Civil Administration of Kherson region, </w:t>
      </w:r>
      <w:hyperlink r:id="rId5" w:history="1">
        <w:r w:rsidR="00776DDC" w:rsidRPr="009515FA">
          <w:rPr>
            <w:rStyle w:val="Hyperlink"/>
            <w:rFonts w:eastAsiaTheme="minorEastAsia"/>
          </w:rPr>
          <w:t>https://www.facebook.com/permalink.php?story_fbid=pfbid0PtDDKqPHpdmWFN7nDW8FPqxSBgTvWP7hxFfWta4YF9fsmfghpTVey2XnSun3qz2pl&amp;id=100028374940771</w:t>
        </w:r>
      </w:hyperlink>
      <w:r w:rsidR="00776DDC" w:rsidRPr="009515FA">
        <w:t xml:space="preserve"> (accessed 15 January 2026).</w:t>
      </w:r>
    </w:p>
  </w:footnote>
  <w:footnote w:id="30">
    <w:p w14:paraId="46E70C1A" w14:textId="199AB4D4" w:rsidR="00776DDC" w:rsidRPr="009515FA" w:rsidRDefault="00F20B30" w:rsidP="00E17E4B">
      <w:pPr>
        <w:pStyle w:val="FootnoteText"/>
      </w:pPr>
      <w:r>
        <w:tab/>
      </w:r>
      <w:r w:rsidR="00776DDC" w:rsidRPr="009515FA">
        <w:rPr>
          <w:rStyle w:val="FootnoteReference"/>
        </w:rPr>
        <w:footnoteRef/>
      </w:r>
      <w:r>
        <w:tab/>
      </w:r>
      <w:r w:rsidR="00776DDC" w:rsidRPr="009515FA">
        <w:t xml:space="preserve">See </w:t>
      </w:r>
      <w:r w:rsidR="00776DDC">
        <w:t xml:space="preserve">also </w:t>
      </w:r>
      <w:r w:rsidR="00776DDC" w:rsidRPr="009515FA">
        <w:t xml:space="preserve">OHCHR, </w:t>
      </w:r>
      <w:r w:rsidR="00E57BD5" w:rsidRPr="00E57BD5">
        <w:rPr>
          <w:i/>
          <w:iCs/>
        </w:rPr>
        <w:t xml:space="preserve">Human rights situation during the </w:t>
      </w:r>
      <w:hyperlink r:id="rId6" w:history="1">
        <w:r w:rsidR="00E57BD5" w:rsidRPr="00E57BD5">
          <w:rPr>
            <w:rStyle w:val="Hyperlink"/>
            <w:rFonts w:eastAsiaTheme="minorEastAsia"/>
            <w:i/>
            <w:iCs/>
          </w:rPr>
          <w:t>Russian occupation of territory of Ukraine and its aftermath</w:t>
        </w:r>
      </w:hyperlink>
      <w:r w:rsidR="00E57BD5" w:rsidRPr="009515FA">
        <w:t xml:space="preserve">, </w:t>
      </w:r>
      <w:r w:rsidR="00E57BD5">
        <w:t>March 2024</w:t>
      </w:r>
      <w:r w:rsidR="00776DDC" w:rsidRPr="009515FA">
        <w:t>, paras. 81-107.</w:t>
      </w:r>
    </w:p>
  </w:footnote>
  <w:footnote w:id="31">
    <w:p w14:paraId="28C825DA" w14:textId="637551D7" w:rsidR="00776DDC" w:rsidRPr="00AF3247" w:rsidRDefault="00F20B30" w:rsidP="002E5364">
      <w:pPr>
        <w:pStyle w:val="FootnoteText"/>
      </w:pPr>
      <w:r>
        <w:tab/>
      </w:r>
      <w:r w:rsidR="00776DDC">
        <w:rPr>
          <w:rStyle w:val="FootnoteReference"/>
        </w:rPr>
        <w:footnoteRef/>
      </w:r>
      <w:r>
        <w:tab/>
      </w:r>
      <w:r w:rsidR="00776DDC">
        <w:t>Ibid., paras. 81-126.</w:t>
      </w:r>
    </w:p>
  </w:footnote>
  <w:footnote w:id="32">
    <w:p w14:paraId="2160DEF5" w14:textId="61139A8A" w:rsidR="00776DDC" w:rsidRPr="009515FA" w:rsidRDefault="00F20B30" w:rsidP="002E5364">
      <w:pPr>
        <w:pStyle w:val="FootnoteText"/>
      </w:pPr>
      <w:r>
        <w:tab/>
      </w:r>
      <w:r w:rsidR="00776DDC" w:rsidRPr="009515FA">
        <w:rPr>
          <w:rStyle w:val="FootnoteReference"/>
        </w:rPr>
        <w:footnoteRef/>
      </w:r>
      <w:r>
        <w:tab/>
      </w:r>
      <w:r w:rsidR="00776DDC" w:rsidRPr="009515FA">
        <w:t xml:space="preserve">See OHCHR, </w:t>
      </w:r>
      <w:r w:rsidR="00E57BD5" w:rsidRPr="00E57BD5">
        <w:rPr>
          <w:i/>
          <w:iCs/>
        </w:rPr>
        <w:t xml:space="preserve">Human rights situation during the </w:t>
      </w:r>
      <w:hyperlink r:id="rId7" w:history="1">
        <w:r w:rsidR="00E57BD5" w:rsidRPr="00E57BD5">
          <w:rPr>
            <w:rStyle w:val="Hyperlink"/>
            <w:rFonts w:eastAsiaTheme="minorEastAsia"/>
            <w:i/>
            <w:iCs/>
          </w:rPr>
          <w:t>Russian occupation of territory of Ukraine and its aftermath</w:t>
        </w:r>
      </w:hyperlink>
      <w:r w:rsidR="00E57BD5" w:rsidRPr="009515FA">
        <w:t xml:space="preserve">, </w:t>
      </w:r>
      <w:r w:rsidR="00E57BD5">
        <w:t>March 2024</w:t>
      </w:r>
      <w:r w:rsidR="00776DDC" w:rsidRPr="009515FA">
        <w:t>, paras. 81-107</w:t>
      </w:r>
      <w:r w:rsidR="00776DDC">
        <w:t>,</w:t>
      </w:r>
      <w:r w:rsidR="00776DDC" w:rsidRPr="00A45AFC">
        <w:t xml:space="preserve"> </w:t>
      </w:r>
      <w:r w:rsidR="00776DDC">
        <w:t xml:space="preserve">and </w:t>
      </w:r>
      <w:hyperlink r:id="rId8" w:history="1">
        <w:r w:rsidR="00776DDC" w:rsidRPr="000B678A">
          <w:rPr>
            <w:rStyle w:val="Hyperlink"/>
            <w:rFonts w:eastAsiaTheme="minorEastAsia"/>
            <w:i/>
            <w:iCs/>
          </w:rPr>
          <w:t>Treatment of civilians deprived of their liberty in the context of the armed attack by the Russian Federation against Ukraine</w:t>
        </w:r>
      </w:hyperlink>
      <w:r w:rsidR="00776DDC" w:rsidRPr="009515FA">
        <w:t>, 23 September 2025</w:t>
      </w:r>
      <w:r w:rsidR="00776DDC">
        <w:t xml:space="preserve">, </w:t>
      </w:r>
      <w:r w:rsidR="00776DDC" w:rsidRPr="009515FA">
        <w:t>para</w:t>
      </w:r>
      <w:r w:rsidR="00776DDC">
        <w:t>s</w:t>
      </w:r>
      <w:r w:rsidR="00776DDC" w:rsidRPr="009515FA">
        <w:t>.</w:t>
      </w:r>
      <w:r w:rsidR="00776DDC">
        <w:t xml:space="preserve"> 67-70.</w:t>
      </w:r>
    </w:p>
  </w:footnote>
  <w:footnote w:id="33">
    <w:p w14:paraId="1C5630C7" w14:textId="5A6B26E6" w:rsidR="00776DDC" w:rsidRPr="009515FA" w:rsidRDefault="00F20B30" w:rsidP="002E5364">
      <w:pPr>
        <w:pStyle w:val="FootnoteText"/>
      </w:pPr>
      <w:r>
        <w:tab/>
      </w:r>
      <w:r w:rsidR="00776DDC" w:rsidRPr="009515FA">
        <w:rPr>
          <w:rStyle w:val="FootnoteReference"/>
        </w:rPr>
        <w:footnoteRef/>
      </w:r>
      <w:r>
        <w:tab/>
      </w:r>
      <w:r w:rsidR="00776DDC" w:rsidRPr="009515FA">
        <w:t xml:space="preserve">For more details and case examples, see OHCHR, </w:t>
      </w:r>
      <w:r w:rsidR="00E57BD5" w:rsidRPr="00E57BD5">
        <w:rPr>
          <w:i/>
          <w:iCs/>
        </w:rPr>
        <w:t xml:space="preserve">Human rights situation during the </w:t>
      </w:r>
      <w:hyperlink r:id="rId9" w:history="1">
        <w:r w:rsidR="00E57BD5" w:rsidRPr="00E57BD5">
          <w:rPr>
            <w:rStyle w:val="Hyperlink"/>
            <w:rFonts w:eastAsiaTheme="minorEastAsia"/>
            <w:i/>
            <w:iCs/>
          </w:rPr>
          <w:t>Russian occupation of territory of Ukraine and its aftermath</w:t>
        </w:r>
      </w:hyperlink>
      <w:r w:rsidR="00E57BD5" w:rsidRPr="009515FA">
        <w:t xml:space="preserve">, </w:t>
      </w:r>
      <w:r w:rsidR="00E57BD5">
        <w:t>March 2024,</w:t>
      </w:r>
      <w:r w:rsidR="00776DDC" w:rsidRPr="009515FA">
        <w:t xml:space="preserve"> paras. 95-102</w:t>
      </w:r>
      <w:r w:rsidR="00E17E4B">
        <w:t>.</w:t>
      </w:r>
    </w:p>
  </w:footnote>
  <w:footnote w:id="34">
    <w:p w14:paraId="3199F89E" w14:textId="38593E01" w:rsidR="00776DDC" w:rsidRPr="009515FA" w:rsidRDefault="00F20B30" w:rsidP="002E5364">
      <w:pPr>
        <w:pStyle w:val="FootnoteText"/>
      </w:pPr>
      <w:r>
        <w:tab/>
      </w:r>
      <w:r w:rsidR="00776DDC" w:rsidRPr="009515FA">
        <w:rPr>
          <w:rStyle w:val="FootnoteReference"/>
        </w:rPr>
        <w:footnoteRef/>
      </w:r>
      <w:r>
        <w:tab/>
      </w:r>
      <w:r w:rsidR="00776DDC" w:rsidRPr="009515FA">
        <w:t>Correspondence with OHCHR.</w:t>
      </w:r>
    </w:p>
  </w:footnote>
  <w:footnote w:id="35">
    <w:p w14:paraId="7AE39352" w14:textId="665F41B4" w:rsidR="00776DDC" w:rsidRPr="009515FA" w:rsidRDefault="00F20B30" w:rsidP="002E5364">
      <w:pPr>
        <w:pStyle w:val="FootnoteText"/>
      </w:pPr>
      <w:r>
        <w:tab/>
      </w:r>
      <w:r w:rsidR="00776DDC" w:rsidRPr="009515FA">
        <w:rPr>
          <w:rStyle w:val="FootnoteReference"/>
        </w:rPr>
        <w:footnoteRef/>
      </w:r>
      <w:r>
        <w:tab/>
      </w:r>
      <w:r w:rsidR="00776DDC" w:rsidRPr="009515FA">
        <w:t xml:space="preserve">Decree of the President of the Russian Federation, No. 307, 27 April 2023 as amended by Decree No. 11 (4 January 2024), No. 281 (22 April 2024), and No 159 (20 March 2025), at </w:t>
      </w:r>
      <w:hyperlink r:id="rId10" w:history="1">
        <w:r w:rsidR="00776DDC" w:rsidRPr="009515FA">
          <w:rPr>
            <w:rStyle w:val="Hyperlink"/>
            <w:rFonts w:eastAsiaTheme="minorEastAsia"/>
          </w:rPr>
          <w:t>http://www.kremlin.ru/acts/bank/49235</w:t>
        </w:r>
      </w:hyperlink>
      <w:r w:rsidR="00776DDC" w:rsidRPr="009515FA">
        <w:t xml:space="preserve"> (accessed 30 December 2025).</w:t>
      </w:r>
    </w:p>
  </w:footnote>
  <w:footnote w:id="36">
    <w:p w14:paraId="0797AD66" w14:textId="381BD73F" w:rsidR="00776DDC" w:rsidRPr="009515FA" w:rsidRDefault="00F20B30" w:rsidP="002E5364">
      <w:pPr>
        <w:pStyle w:val="FootnoteText"/>
      </w:pPr>
      <w:r>
        <w:tab/>
      </w:r>
      <w:r w:rsidR="00776DDC" w:rsidRPr="009515FA">
        <w:rPr>
          <w:rStyle w:val="FootnoteReference"/>
        </w:rPr>
        <w:footnoteRef/>
      </w:r>
      <w:r>
        <w:tab/>
      </w:r>
      <w:r w:rsidR="00776DDC" w:rsidRPr="009515FA">
        <w:t xml:space="preserve">OHCHR, </w:t>
      </w:r>
      <w:hyperlink r:id="rId11" w:history="1">
        <w:r w:rsidR="00776DDC" w:rsidRPr="009515FA">
          <w:rPr>
            <w:rStyle w:val="Hyperlink"/>
            <w:rFonts w:eastAsiaTheme="minorEastAsia"/>
          </w:rPr>
          <w:t>Russian occupation and its aftermath</w:t>
        </w:r>
      </w:hyperlink>
      <w:r w:rsidR="00776DDC" w:rsidRPr="009515FA">
        <w:t xml:space="preserve">, para. 115; Report of the UN Secretary-General, </w:t>
      </w:r>
      <w:hyperlink r:id="rId12" w:history="1">
        <w:r w:rsidR="00776DDC" w:rsidRPr="009515FA">
          <w:rPr>
            <w:rStyle w:val="Hyperlink"/>
            <w:rFonts w:eastAsiaTheme="minorEastAsia"/>
          </w:rPr>
          <w:t>A/79/258</w:t>
        </w:r>
      </w:hyperlink>
      <w:r w:rsidR="00776DDC" w:rsidRPr="009515FA">
        <w:t>, 30 July 2024, paras. 8-10.</w:t>
      </w:r>
    </w:p>
  </w:footnote>
  <w:footnote w:id="37">
    <w:p w14:paraId="60E3D83A" w14:textId="239A4174" w:rsidR="00776DDC" w:rsidRPr="00BA348B" w:rsidRDefault="00F20B30" w:rsidP="002E5364">
      <w:pPr>
        <w:pStyle w:val="FootnoteText"/>
      </w:pPr>
      <w:r>
        <w:tab/>
      </w:r>
      <w:r w:rsidR="00776DDC" w:rsidRPr="009515FA">
        <w:rPr>
          <w:rStyle w:val="FootnoteReference"/>
        </w:rPr>
        <w:footnoteRef/>
      </w:r>
      <w:r>
        <w:tab/>
      </w:r>
      <w:r w:rsidR="00776DDC" w:rsidRPr="009F7508">
        <w:t>Decree</w:t>
      </w:r>
      <w:r w:rsidR="00776DDC" w:rsidRPr="00511901">
        <w:t xml:space="preserve"> of the President of the Russian Federation,</w:t>
      </w:r>
      <w:r w:rsidR="00776DDC" w:rsidRPr="009F7508">
        <w:t xml:space="preserve"> No. 756</w:t>
      </w:r>
      <w:r w:rsidR="00776DDC" w:rsidRPr="00511901">
        <w:t>,</w:t>
      </w:r>
      <w:r w:rsidR="00776DDC" w:rsidRPr="009F7508">
        <w:t xml:space="preserve"> 19 October 2022,</w:t>
      </w:r>
      <w:r w:rsidR="00776DDC" w:rsidRPr="00511901">
        <w:t xml:space="preserve"> </w:t>
      </w:r>
      <w:hyperlink r:id="rId13" w:history="1">
        <w:r w:rsidR="00776DDC" w:rsidRPr="009F7508">
          <w:rPr>
            <w:rStyle w:val="Hyperlink"/>
            <w:rFonts w:eastAsiaTheme="minorEastAsia"/>
          </w:rPr>
          <w:t>http://www.kremlin.ru/acts/bank/48426</w:t>
        </w:r>
      </w:hyperlink>
      <w:r w:rsidR="00776DDC" w:rsidRPr="009F7508">
        <w:t xml:space="preserve"> (</w:t>
      </w:r>
      <w:r w:rsidR="00776DDC">
        <w:rPr>
          <w:lang w:val="en-US"/>
        </w:rPr>
        <w:t>accessed 19 January 2026).</w:t>
      </w:r>
    </w:p>
  </w:footnote>
  <w:footnote w:id="38">
    <w:p w14:paraId="1FEB0F6D" w14:textId="042A42A9" w:rsidR="00776DDC" w:rsidRPr="009515FA" w:rsidRDefault="00F20B30" w:rsidP="002E5364">
      <w:pPr>
        <w:pStyle w:val="FootnoteText"/>
      </w:pPr>
      <w:r>
        <w:tab/>
      </w:r>
      <w:r w:rsidR="00776DDC" w:rsidRPr="009515FA">
        <w:rPr>
          <w:rStyle w:val="FootnoteReference"/>
        </w:rPr>
        <w:footnoteRef/>
      </w:r>
      <w:r>
        <w:tab/>
      </w:r>
      <w:r w:rsidR="00776DDC" w:rsidRPr="009515FA">
        <w:t xml:space="preserve">OHCHR, </w:t>
      </w:r>
      <w:r w:rsidR="00790756" w:rsidRPr="00E57BD5">
        <w:rPr>
          <w:i/>
          <w:iCs/>
        </w:rPr>
        <w:t xml:space="preserve">Human rights situation during the </w:t>
      </w:r>
      <w:hyperlink r:id="rId14" w:history="1">
        <w:r w:rsidR="00776DDC" w:rsidRPr="00E57BD5">
          <w:rPr>
            <w:rStyle w:val="Hyperlink"/>
            <w:rFonts w:eastAsiaTheme="minorEastAsia"/>
            <w:i/>
            <w:iCs/>
          </w:rPr>
          <w:t xml:space="preserve">Russian occupation </w:t>
        </w:r>
        <w:r w:rsidR="00E57BD5" w:rsidRPr="00E57BD5">
          <w:rPr>
            <w:rStyle w:val="Hyperlink"/>
            <w:rFonts w:eastAsiaTheme="minorEastAsia"/>
            <w:i/>
            <w:iCs/>
          </w:rPr>
          <w:t xml:space="preserve">of territory of Ukraine </w:t>
        </w:r>
        <w:r w:rsidR="00776DDC" w:rsidRPr="00E57BD5">
          <w:rPr>
            <w:rStyle w:val="Hyperlink"/>
            <w:rFonts w:eastAsiaTheme="minorEastAsia"/>
            <w:i/>
            <w:iCs/>
          </w:rPr>
          <w:t>and its aftermath</w:t>
        </w:r>
      </w:hyperlink>
      <w:r w:rsidR="00776DDC" w:rsidRPr="009515FA">
        <w:t xml:space="preserve">, </w:t>
      </w:r>
      <w:r w:rsidR="00E57BD5">
        <w:t xml:space="preserve">March 2024, </w:t>
      </w:r>
      <w:r w:rsidR="00776DDC" w:rsidRPr="009515FA">
        <w:t>para. 122.</w:t>
      </w:r>
    </w:p>
  </w:footnote>
  <w:footnote w:id="39">
    <w:p w14:paraId="17BB80B9" w14:textId="606330B6" w:rsidR="00776DDC" w:rsidRPr="00DF0501" w:rsidRDefault="00265AD5" w:rsidP="00E17E4B">
      <w:pPr>
        <w:pStyle w:val="FootnoteText"/>
      </w:pPr>
      <w:r>
        <w:tab/>
      </w:r>
      <w:r w:rsidR="00776DDC">
        <w:rPr>
          <w:rStyle w:val="FootnoteReference"/>
        </w:rPr>
        <w:footnoteRef/>
      </w:r>
      <w:r>
        <w:tab/>
      </w:r>
      <w:r w:rsidR="00776DDC">
        <w:t xml:space="preserve">A/79/258, </w:t>
      </w:r>
      <w:hyperlink r:id="rId15" w:history="1">
        <w:r w:rsidR="00776DDC" w:rsidRPr="007E5974">
          <w:rPr>
            <w:rStyle w:val="Hyperlink"/>
            <w:rFonts w:eastAsiaTheme="minorEastAsia"/>
            <w:i/>
            <w:iCs/>
          </w:rPr>
          <w:t>Situation of human rights in the temporarily occupied territories of Ukraine, including the Autonomous Republic of Crimea and the city of Sevastopol</w:t>
        </w:r>
      </w:hyperlink>
      <w:r w:rsidR="007E5974" w:rsidRPr="007E5974">
        <w:rPr>
          <w:i/>
          <w:iCs/>
        </w:rPr>
        <w:t>: r</w:t>
      </w:r>
      <w:r w:rsidR="00776DDC" w:rsidRPr="007E5974">
        <w:rPr>
          <w:i/>
          <w:iCs/>
        </w:rPr>
        <w:t>eport of the Secretary General</w:t>
      </w:r>
      <w:r w:rsidR="00776DDC">
        <w:t>, 30 July 2024, para. 10.</w:t>
      </w:r>
    </w:p>
  </w:footnote>
  <w:footnote w:id="40">
    <w:p w14:paraId="0F45EE8F" w14:textId="1BF4AC66" w:rsidR="00776DDC" w:rsidRPr="009515FA" w:rsidRDefault="00265AD5" w:rsidP="00E17E4B">
      <w:pPr>
        <w:pStyle w:val="FootnoteText"/>
      </w:pPr>
      <w:r>
        <w:tab/>
      </w:r>
      <w:r w:rsidR="00776DDC" w:rsidRPr="009515FA">
        <w:rPr>
          <w:rStyle w:val="FootnoteReference"/>
        </w:rPr>
        <w:footnoteRef/>
      </w:r>
      <w:r>
        <w:tab/>
      </w:r>
      <w:r w:rsidR="00776DDC" w:rsidRPr="009515FA">
        <w:t xml:space="preserve">The maximum age of conscription increased from 27 to 30 on 1 January 2024. </w:t>
      </w:r>
      <w:r w:rsidR="00776DDC" w:rsidRPr="009515FA">
        <w:rPr>
          <w:lang w:val="en-US"/>
        </w:rPr>
        <w:t>Federal Law No.439-FZ, 4 August 2023, at publication.pravo.gov.ru/document/0001202308040024</w:t>
      </w:r>
      <w:r w:rsidR="00E17E4B">
        <w:rPr>
          <w:lang w:val="en-US"/>
        </w:rPr>
        <w:t>.</w:t>
      </w:r>
    </w:p>
  </w:footnote>
  <w:footnote w:id="41">
    <w:p w14:paraId="08DDA404" w14:textId="40E2A6C4" w:rsidR="00776DDC" w:rsidRPr="009515FA" w:rsidRDefault="00265AD5" w:rsidP="002E5364">
      <w:pPr>
        <w:pStyle w:val="FootnoteText"/>
      </w:pPr>
      <w:r>
        <w:tab/>
      </w:r>
      <w:r w:rsidR="00776DDC" w:rsidRPr="009515FA">
        <w:rPr>
          <w:rStyle w:val="FootnoteReference"/>
        </w:rPr>
        <w:footnoteRef/>
      </w:r>
      <w:r>
        <w:tab/>
      </w:r>
      <w:r w:rsidR="00776DDC" w:rsidRPr="009515FA">
        <w:t>GCIV, arts. 51, 147; Customary IHL, Rule 95.</w:t>
      </w:r>
    </w:p>
  </w:footnote>
  <w:footnote w:id="42">
    <w:p w14:paraId="39E9EC8B" w14:textId="5E3C4E4D" w:rsidR="00776DDC" w:rsidRPr="009515FA" w:rsidRDefault="00265AD5" w:rsidP="002E5364">
      <w:pPr>
        <w:pStyle w:val="FootnoteText"/>
      </w:pPr>
      <w:r>
        <w:tab/>
      </w:r>
      <w:r w:rsidR="00776DDC" w:rsidRPr="009515FA">
        <w:rPr>
          <w:rStyle w:val="FootnoteReference"/>
        </w:rPr>
        <w:footnoteRef/>
      </w:r>
      <w:r>
        <w:tab/>
      </w:r>
      <w:r w:rsidR="00776DDC" w:rsidRPr="009515FA">
        <w:t xml:space="preserve">OHCHR, </w:t>
      </w:r>
      <w:r w:rsidR="00776DDC" w:rsidRPr="009515FA">
        <w:rPr>
          <w:i/>
          <w:iCs/>
        </w:rPr>
        <w:t>Report on the human rights situation in Ukraine</w:t>
      </w:r>
      <w:r w:rsidR="00776DDC" w:rsidRPr="009515FA">
        <w:t>, 1 June – 30 November 2025, para. 80.</w:t>
      </w:r>
    </w:p>
  </w:footnote>
  <w:footnote w:id="43">
    <w:p w14:paraId="5E246816" w14:textId="1486941B" w:rsidR="00776DDC" w:rsidRPr="009515FA" w:rsidRDefault="007D7C7C" w:rsidP="002E5364">
      <w:pPr>
        <w:pStyle w:val="FootnoteText"/>
        <w:rPr>
          <w:lang w:val="en-US"/>
        </w:rPr>
      </w:pPr>
      <w:r>
        <w:tab/>
      </w:r>
      <w:r w:rsidR="00776DDC" w:rsidRPr="005759A3">
        <w:rPr>
          <w:rStyle w:val="FootnoteReference"/>
        </w:rPr>
        <w:footnoteRef/>
      </w:r>
      <w:r>
        <w:tab/>
      </w:r>
      <w:r w:rsidR="00776DDC" w:rsidRPr="5E12C5A2">
        <w:rPr>
          <w:lang w:val="en-US"/>
        </w:rPr>
        <w:t xml:space="preserve">Presidential Decree №690 </w:t>
      </w:r>
      <w:r w:rsidR="00776DDC" w:rsidRPr="315A672D">
        <w:rPr>
          <w:lang w:val="en-US"/>
        </w:rPr>
        <w:t>from 29.09.2025 stipulated the conscription of 135000 men</w:t>
      </w:r>
      <w:r w:rsidR="00776DDC" w:rsidRPr="0D926170">
        <w:rPr>
          <w:lang w:val="en-US"/>
        </w:rPr>
        <w:t>.</w:t>
      </w:r>
      <w:r w:rsidR="00776DDC" w:rsidRPr="253EE395">
        <w:rPr>
          <w:lang w:val="en-US"/>
        </w:rPr>
        <w:t xml:space="preserve"> The Russian Federation does not publish </w:t>
      </w:r>
      <w:r w:rsidR="00776DDC" w:rsidRPr="1814E8D0">
        <w:rPr>
          <w:lang w:val="en-US"/>
        </w:rPr>
        <w:t>disaggregated data.</w:t>
      </w:r>
      <w:r w:rsidR="00776DDC" w:rsidRPr="3846ACA7">
        <w:rPr>
          <w:lang w:val="en-US"/>
        </w:rPr>
        <w:t xml:space="preserve"> </w:t>
      </w:r>
      <w:r w:rsidR="00776DDC" w:rsidRPr="52E9D583">
        <w:rPr>
          <w:lang w:val="en-US"/>
        </w:rPr>
        <w:t xml:space="preserve">See </w:t>
      </w:r>
      <w:hyperlink r:id="rId16" w:history="1">
        <w:r w:rsidR="00776DDC" w:rsidRPr="52E9D583">
          <w:rPr>
            <w:rStyle w:val="Hyperlink"/>
            <w:rFonts w:eastAsiaTheme="minorEastAsia"/>
          </w:rPr>
          <w:t>http://publication.pravo.gov.ru/document/0001202509290020</w:t>
        </w:r>
      </w:hyperlink>
      <w:r w:rsidR="00E17E4B">
        <w:t>.</w:t>
      </w:r>
    </w:p>
  </w:footnote>
  <w:footnote w:id="44">
    <w:p w14:paraId="35B9FACB" w14:textId="54BFF1FD" w:rsidR="00776DDC" w:rsidRPr="009515FA" w:rsidRDefault="007D7C7C" w:rsidP="002E5364">
      <w:pPr>
        <w:pStyle w:val="FootnoteText"/>
      </w:pPr>
      <w:r>
        <w:tab/>
      </w:r>
      <w:r w:rsidR="00776DDC" w:rsidRPr="009515FA">
        <w:rPr>
          <w:rStyle w:val="FootnoteReference"/>
        </w:rPr>
        <w:footnoteRef/>
      </w:r>
      <w:r>
        <w:tab/>
      </w:r>
      <w:r w:rsidR="00776DDC" w:rsidRPr="009515FA">
        <w:t>Russian Federation Criminal Code, art. 207.3.</w:t>
      </w:r>
    </w:p>
  </w:footnote>
  <w:footnote w:id="45">
    <w:p w14:paraId="3AD71FAE" w14:textId="14F06B79" w:rsidR="00776DDC" w:rsidRPr="009515FA" w:rsidRDefault="007D7C7C" w:rsidP="002E5364">
      <w:pPr>
        <w:pStyle w:val="FootnoteText"/>
      </w:pPr>
      <w:r>
        <w:tab/>
      </w:r>
      <w:r w:rsidR="00776DDC" w:rsidRPr="009515FA">
        <w:rPr>
          <w:rStyle w:val="FootnoteReference"/>
        </w:rPr>
        <w:footnoteRef/>
      </w:r>
      <w:r>
        <w:tab/>
      </w:r>
      <w:r w:rsidR="00776DDC" w:rsidRPr="009515FA">
        <w:t>Russian Federation Criminal Code, art. 280.3; The Russian Federation Code of Administrative Offenses, art. 20.3.3.</w:t>
      </w:r>
    </w:p>
  </w:footnote>
  <w:footnote w:id="46">
    <w:p w14:paraId="69E71932" w14:textId="4E58A533" w:rsidR="00776DDC" w:rsidRPr="009515FA" w:rsidRDefault="007D7C7C" w:rsidP="002E5364">
      <w:pPr>
        <w:pStyle w:val="FootnoteText"/>
      </w:pPr>
      <w:r>
        <w:tab/>
      </w:r>
      <w:r w:rsidR="00776DDC" w:rsidRPr="009515FA">
        <w:rPr>
          <w:rStyle w:val="FootnoteReference"/>
        </w:rPr>
        <w:footnoteRef/>
      </w:r>
      <w:r>
        <w:tab/>
      </w:r>
      <w:r w:rsidR="00776DDC" w:rsidRPr="009515FA">
        <w:t>Russian Federation Code of Administrative Offenses, art. 20.3(1) and 20.1(3).</w:t>
      </w:r>
    </w:p>
  </w:footnote>
  <w:footnote w:id="47">
    <w:p w14:paraId="61BE7BD6" w14:textId="3D7CA97E" w:rsidR="00776DDC" w:rsidRPr="002D55C9" w:rsidRDefault="007D7C7C" w:rsidP="002E5364">
      <w:pPr>
        <w:pStyle w:val="FootnoteText"/>
        <w:rPr>
          <w:lang w:val="en-US"/>
        </w:rPr>
      </w:pPr>
      <w:r>
        <w:tab/>
      </w:r>
      <w:r w:rsidR="00776DDC">
        <w:rPr>
          <w:rStyle w:val="FootnoteReference"/>
        </w:rPr>
        <w:footnoteRef/>
      </w:r>
      <w:r>
        <w:tab/>
      </w:r>
      <w:r w:rsidR="00776DDC">
        <w:t>IHL provides exceptional circumstances in which an occupying Power may legislate in occupied territory, for instance to ensure its own security or to maintain the orderly government of the territory (GCIV, art. 64). Under international human rights law, the right to freedom of expression may be restricted under certain conditions, including for the protection of national security or public order. (ICCPR, art. 19(3)).</w:t>
      </w:r>
    </w:p>
  </w:footnote>
  <w:footnote w:id="48">
    <w:p w14:paraId="63A1B76D" w14:textId="179DE92D" w:rsidR="00776DDC" w:rsidRPr="009515FA" w:rsidRDefault="0059456F" w:rsidP="002E5364">
      <w:pPr>
        <w:pStyle w:val="FootnoteText"/>
      </w:pPr>
      <w:r>
        <w:tab/>
      </w:r>
      <w:r w:rsidR="00776DDC" w:rsidRPr="009515FA">
        <w:rPr>
          <w:rStyle w:val="FootnoteReference"/>
        </w:rPr>
        <w:footnoteRef/>
      </w:r>
      <w:r>
        <w:tab/>
      </w:r>
      <w:r w:rsidR="00776DDC" w:rsidRPr="009515FA">
        <w:t xml:space="preserve">Most of the decisions </w:t>
      </w:r>
      <w:proofErr w:type="spellStart"/>
      <w:r w:rsidR="00776DDC" w:rsidRPr="009515FA">
        <w:t>analyzed</w:t>
      </w:r>
      <w:proofErr w:type="spellEnd"/>
      <w:r w:rsidR="00776DDC" w:rsidRPr="009515FA">
        <w:t xml:space="preserve"> by OHCHR were issued in Crimea</w:t>
      </w:r>
      <w:r w:rsidR="00776DDC" w:rsidRPr="0006C998">
        <w:t>, and</w:t>
      </w:r>
      <w:r w:rsidR="00776DDC">
        <w:t xml:space="preserve"> those </w:t>
      </w:r>
      <w:r w:rsidR="00776DDC" w:rsidRPr="0006C998">
        <w:t xml:space="preserve">occupied parts of </w:t>
      </w:r>
      <w:r w:rsidR="00776DDC" w:rsidRPr="009515FA">
        <w:t>Donetsk, Luhansk, Zaporizhzhia and</w:t>
      </w:r>
      <w:r w:rsidR="00776DDC">
        <w:t xml:space="preserve"> </w:t>
      </w:r>
      <w:r w:rsidR="00776DDC" w:rsidRPr="009515FA">
        <w:t>Kherson regions, where court documents were publicly available at the date of writing the report.</w:t>
      </w:r>
    </w:p>
  </w:footnote>
  <w:footnote w:id="49">
    <w:p w14:paraId="4E06C602" w14:textId="43F9C1DB" w:rsidR="00776DDC" w:rsidRPr="00731A72" w:rsidRDefault="0059456F" w:rsidP="002E5364">
      <w:pPr>
        <w:pStyle w:val="FootnoteText"/>
      </w:pPr>
      <w:r>
        <w:tab/>
      </w:r>
      <w:r w:rsidR="00776DDC" w:rsidRPr="009960DF">
        <w:rPr>
          <w:rStyle w:val="FootnoteReference"/>
        </w:rPr>
        <w:footnoteRef/>
      </w:r>
      <w:r>
        <w:tab/>
      </w:r>
      <w:r w:rsidR="00776DDC" w:rsidRPr="009960DF">
        <w:t>Individuals prosecuted under Article 20.3 (display of Nazi symbols) were subjected to administrative detention for periods ranging from 1 to 15 days.</w:t>
      </w:r>
    </w:p>
  </w:footnote>
  <w:footnote w:id="50">
    <w:p w14:paraId="74E72CC4" w14:textId="03DEA17C" w:rsidR="00776DDC" w:rsidRPr="009515FA" w:rsidRDefault="0059456F" w:rsidP="002E5364">
      <w:pPr>
        <w:pStyle w:val="FootnoteText"/>
        <w:rPr>
          <w:lang w:val="en-US"/>
        </w:rPr>
      </w:pPr>
      <w:r>
        <w:tab/>
      </w:r>
      <w:r w:rsidR="00776DDC" w:rsidRPr="009515FA">
        <w:rPr>
          <w:rStyle w:val="FootnoteReference"/>
        </w:rPr>
        <w:footnoteRef/>
      </w:r>
      <w:r>
        <w:tab/>
      </w:r>
      <w:r w:rsidR="00776DDC" w:rsidRPr="009515FA">
        <w:t>Federal Security Service of the Russian Federation.</w:t>
      </w:r>
    </w:p>
  </w:footnote>
  <w:footnote w:id="51">
    <w:p w14:paraId="63AD4693" w14:textId="3C99EBFA" w:rsidR="00776DDC" w:rsidRPr="009515FA" w:rsidRDefault="0059456F" w:rsidP="002E5364">
      <w:pPr>
        <w:pStyle w:val="FootnoteText"/>
      </w:pPr>
      <w:r>
        <w:tab/>
      </w:r>
      <w:r w:rsidR="00776DDC" w:rsidRPr="009515FA">
        <w:rPr>
          <w:rStyle w:val="FootnoteReference"/>
        </w:rPr>
        <w:footnoteRef/>
      </w:r>
      <w:r>
        <w:tab/>
      </w:r>
      <w:r w:rsidR="00776DDC" w:rsidRPr="009515FA">
        <w:t xml:space="preserve">OHCHR, </w:t>
      </w:r>
      <w:hyperlink r:id="rId17" w:history="1">
        <w:r w:rsidR="00776DDC" w:rsidRPr="00FE02B2">
          <w:rPr>
            <w:rStyle w:val="Hyperlink"/>
            <w:rFonts w:eastAsiaTheme="minorEastAsia"/>
            <w:i/>
            <w:iCs/>
          </w:rPr>
          <w:t>The impact of the armed conflict and occupation on children’s rights in Ukraine</w:t>
        </w:r>
      </w:hyperlink>
      <w:r w:rsidR="00776DDC" w:rsidRPr="00FE02B2">
        <w:rPr>
          <w:i/>
          <w:iCs/>
        </w:rPr>
        <w:t>, 24 February 2022 – 31 December 2024</w:t>
      </w:r>
      <w:r w:rsidR="00776DDC" w:rsidRPr="009515FA">
        <w:t>,</w:t>
      </w:r>
      <w:r w:rsidR="00FE02B2">
        <w:t xml:space="preserve"> March 2025,</w:t>
      </w:r>
      <w:r w:rsidR="00776DDC" w:rsidRPr="009515FA">
        <w:t xml:space="preserve"> paras. 86-97.</w:t>
      </w:r>
    </w:p>
  </w:footnote>
  <w:footnote w:id="52">
    <w:p w14:paraId="09795A7C" w14:textId="498988CE" w:rsidR="00776DDC" w:rsidRPr="00B13121" w:rsidRDefault="0059456F" w:rsidP="002E5364">
      <w:pPr>
        <w:pStyle w:val="FootnoteText"/>
      </w:pPr>
      <w:r>
        <w:rPr>
          <w:rStyle w:val="FootnoteReference"/>
        </w:rPr>
        <w:tab/>
      </w:r>
      <w:r w:rsidR="00776DDC" w:rsidRPr="009515FA">
        <w:rPr>
          <w:rStyle w:val="FootnoteReference"/>
        </w:rPr>
        <w:footnoteRef/>
      </w:r>
      <w:r>
        <w:rPr>
          <w:rStyle w:val="FootnoteReference"/>
        </w:rPr>
        <w:tab/>
      </w:r>
      <w:r w:rsidR="00776DDC" w:rsidRPr="00E30D19">
        <w:t>Ru</w:t>
      </w:r>
      <w:r w:rsidR="00776DDC" w:rsidRPr="001F3E7C">
        <w:t>ssian F</w:t>
      </w:r>
      <w:r w:rsidR="00776DDC">
        <w:t>ederation Ministry of Education, Order No. 729, at</w:t>
      </w:r>
      <w:r w:rsidR="00B13121">
        <w:t xml:space="preserve"> h</w:t>
      </w:r>
      <w:r w:rsidR="00776DDC" w:rsidRPr="00B13121">
        <w:t>ttps://minjust.consultant.ru/documents/56691</w:t>
      </w:r>
      <w:r w:rsidR="00B13121">
        <w:t>.</w:t>
      </w:r>
    </w:p>
  </w:footnote>
  <w:footnote w:id="53">
    <w:p w14:paraId="0F90FBCD" w14:textId="57B499F3" w:rsidR="00776DDC" w:rsidRPr="009515FA" w:rsidRDefault="006B10F9" w:rsidP="00B13121">
      <w:pPr>
        <w:pStyle w:val="FootnoteText"/>
      </w:pPr>
      <w:r>
        <w:tab/>
      </w:r>
      <w:r w:rsidR="00776DDC" w:rsidRPr="009515FA">
        <w:rPr>
          <w:rStyle w:val="FootnoteReference"/>
        </w:rPr>
        <w:footnoteRef/>
      </w:r>
      <w:r>
        <w:tab/>
      </w:r>
      <w:r w:rsidR="00776DDC" w:rsidRPr="009515FA">
        <w:t>Russian Federation law No.</w:t>
      </w:r>
      <w:r w:rsidR="00776DDC">
        <w:t xml:space="preserve"> </w:t>
      </w:r>
      <w:r w:rsidR="00776DDC" w:rsidRPr="009515FA">
        <w:t>19-FKZ, 15 February 2023, art. 4.</w:t>
      </w:r>
    </w:p>
  </w:footnote>
  <w:footnote w:id="54">
    <w:p w14:paraId="48189627" w14:textId="7942AE67" w:rsidR="00776DDC" w:rsidRPr="009515FA" w:rsidRDefault="006B10F9" w:rsidP="002E5364">
      <w:pPr>
        <w:pStyle w:val="FootnoteText"/>
      </w:pPr>
      <w:r>
        <w:tab/>
      </w:r>
      <w:r w:rsidR="00776DDC" w:rsidRPr="009515FA">
        <w:rPr>
          <w:rStyle w:val="FootnoteReference"/>
        </w:rPr>
        <w:footnoteRef/>
      </w:r>
      <w:r>
        <w:tab/>
      </w:r>
      <w:r w:rsidR="00776DDC" w:rsidRPr="009515FA">
        <w:t xml:space="preserve">GC IV, art. 50; ICCPR, art. 20; CRC, art. 29(1); CESCR, art. 15(1a). The Committee on the Rights of the Child expressed concern of “widespread and systematic State propaganda in schools about the armed conflict in Ukraine.” Concluding observations on the Russian Federation, CRC/C/RUS/CO/6-7, 1 March 2024, para. 39b. </w:t>
      </w:r>
      <w:r>
        <w:tab/>
      </w:r>
    </w:p>
  </w:footnote>
  <w:footnote w:id="55">
    <w:p w14:paraId="72453639" w14:textId="01C93DD0" w:rsidR="00776DDC" w:rsidRPr="00CE1DC1" w:rsidRDefault="006B10F9" w:rsidP="00CE1DC1">
      <w:pPr>
        <w:pStyle w:val="FootnoteText"/>
      </w:pPr>
      <w:r>
        <w:tab/>
      </w:r>
      <w:r w:rsidR="00776DDC" w:rsidRPr="009515FA">
        <w:rPr>
          <w:rStyle w:val="FootnoteReference"/>
        </w:rPr>
        <w:footnoteRef/>
      </w:r>
      <w:r w:rsidR="00EF6219">
        <w:tab/>
      </w:r>
      <w:r w:rsidR="00776DDC" w:rsidRPr="009515FA">
        <w:t xml:space="preserve">OHCHR, </w:t>
      </w:r>
      <w:r w:rsidR="00CE1DC1" w:rsidRPr="00CE1DC1">
        <w:rPr>
          <w:i/>
          <w:iCs/>
        </w:rPr>
        <w:t>Human rights situation during the Russian occupation of territory of Ukraine and its aftermath</w:t>
      </w:r>
      <w:r w:rsidR="00CE1DC1" w:rsidRPr="00CE1DC1">
        <w:t>, March 2024</w:t>
      </w:r>
      <w:r w:rsidR="00776DDC" w:rsidRPr="009515FA">
        <w:t>, paras. 61-68</w:t>
      </w:r>
      <w:r w:rsidR="00CC5795">
        <w:t xml:space="preserve">, and </w:t>
      </w:r>
      <w:hyperlink r:id="rId18" w:history="1">
        <w:r w:rsidR="00776DDC" w:rsidRPr="00CE1DC1">
          <w:rPr>
            <w:rStyle w:val="Hyperlink"/>
            <w:rFonts w:eastAsiaTheme="minorEastAsia"/>
            <w:i/>
            <w:iCs/>
          </w:rPr>
          <w:t>Report on the human rights situation in Ukraine</w:t>
        </w:r>
      </w:hyperlink>
      <w:r w:rsidR="00776DDC" w:rsidRPr="00CE1DC1">
        <w:rPr>
          <w:i/>
          <w:iCs/>
        </w:rPr>
        <w:t>, 1 June – 30 November 2025</w:t>
      </w:r>
      <w:r w:rsidR="00CE1DC1">
        <w:rPr>
          <w:i/>
          <w:iCs/>
        </w:rPr>
        <w:t>,</w:t>
      </w:r>
      <w:r w:rsidR="00776DDC" w:rsidRPr="009515FA">
        <w:t xml:space="preserve"> </w:t>
      </w:r>
      <w:r w:rsidR="00CC5795">
        <w:t xml:space="preserve">December 2025, </w:t>
      </w:r>
      <w:r w:rsidR="00776DDC" w:rsidRPr="009515FA">
        <w:t>para. 101.</w:t>
      </w:r>
    </w:p>
  </w:footnote>
  <w:footnote w:id="56">
    <w:p w14:paraId="643E23AA" w14:textId="2C86E5FF" w:rsidR="00776DDC" w:rsidRPr="009515FA" w:rsidRDefault="00EF6219" w:rsidP="002E5364">
      <w:pPr>
        <w:pStyle w:val="FootnoteText"/>
      </w:pPr>
      <w:r>
        <w:tab/>
      </w:r>
      <w:r w:rsidR="00776DDC" w:rsidRPr="009515FA">
        <w:rPr>
          <w:rStyle w:val="FootnoteReference"/>
        </w:rPr>
        <w:footnoteRef/>
      </w:r>
      <w:r>
        <w:tab/>
      </w:r>
      <w:r w:rsidR="00776DDC" w:rsidRPr="009515FA">
        <w:t>Presidential Decree No. 1124, paras. 6, 14, and 20-24.</w:t>
      </w:r>
    </w:p>
  </w:footnote>
  <w:footnote w:id="57">
    <w:p w14:paraId="3EEB0D72" w14:textId="3D5155AC" w:rsidR="00776DDC" w:rsidRPr="009515FA" w:rsidRDefault="00EF6219" w:rsidP="002E5364">
      <w:pPr>
        <w:pStyle w:val="FootnoteText"/>
      </w:pPr>
      <w:r>
        <w:tab/>
      </w:r>
      <w:r w:rsidR="00776DDC" w:rsidRPr="009515FA">
        <w:rPr>
          <w:rStyle w:val="FootnoteReference"/>
        </w:rPr>
        <w:footnoteRef/>
      </w:r>
      <w:r>
        <w:tab/>
      </w:r>
      <w:r w:rsidR="00776DDC" w:rsidRPr="009515FA">
        <w:t xml:space="preserve">In April 2017, the Supreme Court of the Russian Federation ruled that the Jehovah’s Witnesses religious organization had violated the country’s legislation on combating extremism and declared its activities illegal. In 2003, Hizb </w:t>
      </w:r>
      <w:proofErr w:type="spellStart"/>
      <w:r w:rsidR="00776DDC" w:rsidRPr="009515FA">
        <w:t>ut</w:t>
      </w:r>
      <w:proofErr w:type="spellEnd"/>
      <w:r w:rsidR="00776DDC" w:rsidRPr="009515FA">
        <w:t>-Tahrir was banned as a terrorist organization by a decision of the Supreme Court of the Russian Federation.</w:t>
      </w:r>
    </w:p>
  </w:footnote>
  <w:footnote w:id="58">
    <w:p w14:paraId="5A6F9C57" w14:textId="27F54DEE" w:rsidR="00776DDC" w:rsidRPr="009515FA" w:rsidRDefault="00EF6219" w:rsidP="002E5364">
      <w:pPr>
        <w:pStyle w:val="FootnoteText"/>
      </w:pPr>
      <w:r>
        <w:tab/>
      </w:r>
      <w:r w:rsidR="00776DDC" w:rsidRPr="009515FA">
        <w:rPr>
          <w:rStyle w:val="FootnoteReference"/>
          <w:sz w:val="20"/>
        </w:rPr>
        <w:footnoteRef/>
      </w:r>
      <w:r>
        <w:tab/>
      </w:r>
      <w:r w:rsidR="00776DDC" w:rsidRPr="009515FA">
        <w:t xml:space="preserve">See, e.g., OHCHR, </w:t>
      </w:r>
      <w:r w:rsidR="00776DDC" w:rsidRPr="009515FA">
        <w:rPr>
          <w:i/>
        </w:rPr>
        <w:t>Situation of human rights in the temporarily occupied Autonomous Republic of Crimea and the city of Sevastopol (Ukraine</w:t>
      </w:r>
      <w:r w:rsidR="00776DDC" w:rsidRPr="009515FA">
        <w:rPr>
          <w:i/>
          <w:iCs/>
        </w:rPr>
        <w:t>)</w:t>
      </w:r>
      <w:r w:rsidR="00776DDC" w:rsidRPr="009515FA">
        <w:t xml:space="preserve">, </w:t>
      </w:r>
      <w:r w:rsidR="009563DB">
        <w:t xml:space="preserve">2017, </w:t>
      </w:r>
      <w:r w:rsidR="00776DDC" w:rsidRPr="009515FA">
        <w:t>para. 145.</w:t>
      </w:r>
    </w:p>
  </w:footnote>
  <w:footnote w:id="59">
    <w:p w14:paraId="06CD8BDA" w14:textId="7470FBA3" w:rsidR="00776DDC" w:rsidRPr="009515FA" w:rsidRDefault="00EF6219" w:rsidP="00AE00AE">
      <w:pPr>
        <w:pStyle w:val="FootnoteText"/>
        <w:rPr>
          <w:lang w:val="en-US"/>
        </w:rPr>
      </w:pPr>
      <w:r>
        <w:tab/>
      </w:r>
      <w:r w:rsidR="00776DDC" w:rsidRPr="009515FA">
        <w:rPr>
          <w:rStyle w:val="FootnoteReference"/>
        </w:rPr>
        <w:footnoteRef/>
      </w:r>
      <w:r>
        <w:tab/>
      </w:r>
      <w:r w:rsidR="00776DDC">
        <w:rPr>
          <w:lang w:val="en-US"/>
        </w:rPr>
        <w:t xml:space="preserve">OHCHR, </w:t>
      </w:r>
      <w:hyperlink r:id="rId19" w:history="1">
        <w:r w:rsidR="00776DDC" w:rsidRPr="003F1E9D">
          <w:rPr>
            <w:rStyle w:val="Hyperlink"/>
            <w:rFonts w:eastAsiaTheme="minorEastAsia"/>
            <w:i/>
            <w:iCs/>
          </w:rPr>
          <w:t>Report of the human rights situation in Ukraine</w:t>
        </w:r>
      </w:hyperlink>
      <w:r w:rsidR="00776DDC" w:rsidRPr="003F1E9D">
        <w:rPr>
          <w:i/>
          <w:iCs/>
          <w:lang w:val="en-US"/>
        </w:rPr>
        <w:t>, 1 September – 30 November 2024</w:t>
      </w:r>
      <w:r w:rsidR="00776DDC" w:rsidRPr="009515FA">
        <w:rPr>
          <w:lang w:val="en-US"/>
        </w:rPr>
        <w:t xml:space="preserve">, </w:t>
      </w:r>
      <w:r w:rsidR="003F1E9D">
        <w:rPr>
          <w:lang w:val="en-US"/>
        </w:rPr>
        <w:t xml:space="preserve">December 2024, </w:t>
      </w:r>
      <w:r w:rsidR="00776DDC" w:rsidRPr="009515FA">
        <w:rPr>
          <w:lang w:val="en-US"/>
        </w:rPr>
        <w:t>para. 72.</w:t>
      </w:r>
    </w:p>
  </w:footnote>
  <w:footnote w:id="60">
    <w:p w14:paraId="167AE04C" w14:textId="4E237308" w:rsidR="00776DDC" w:rsidRPr="009515FA" w:rsidRDefault="00EF6219" w:rsidP="002E5364">
      <w:pPr>
        <w:pStyle w:val="FootnoteText"/>
      </w:pPr>
      <w:r>
        <w:tab/>
      </w:r>
      <w:r w:rsidR="00776DDC" w:rsidRPr="009515FA">
        <w:rPr>
          <w:rStyle w:val="FootnoteReference"/>
        </w:rPr>
        <w:footnoteRef/>
      </w:r>
      <w:r>
        <w:tab/>
      </w:r>
      <w:r w:rsidR="00776DDC" w:rsidRPr="009515FA">
        <w:t>Russian Federation Federal Law No. 478-FZ, 5 December 2022.</w:t>
      </w:r>
    </w:p>
  </w:footnote>
  <w:footnote w:id="61">
    <w:p w14:paraId="02FB7CA2" w14:textId="0B0EDC7F" w:rsidR="00776DDC" w:rsidRPr="009515FA" w:rsidRDefault="00EF6219" w:rsidP="002E5364">
      <w:pPr>
        <w:pStyle w:val="FootnoteText"/>
      </w:pPr>
      <w:r>
        <w:tab/>
      </w:r>
      <w:r w:rsidR="00776DDC" w:rsidRPr="009515FA">
        <w:rPr>
          <w:rStyle w:val="FootnoteReference"/>
        </w:rPr>
        <w:footnoteRef/>
      </w:r>
      <w:r>
        <w:tab/>
      </w:r>
      <w:r w:rsidR="00776DDC" w:rsidRPr="009515FA">
        <w:t>Supreme Court of the Russian Federation, ruling of 30 November 2023.</w:t>
      </w:r>
    </w:p>
  </w:footnote>
  <w:footnote w:id="62">
    <w:p w14:paraId="04E90F19" w14:textId="457BF561" w:rsidR="00776DDC" w:rsidRPr="009515FA" w:rsidRDefault="00EF6219" w:rsidP="002E5364">
      <w:pPr>
        <w:pStyle w:val="FootnoteText"/>
      </w:pPr>
      <w:r>
        <w:tab/>
      </w:r>
      <w:r w:rsidR="00776DDC" w:rsidRPr="009515FA">
        <w:rPr>
          <w:rStyle w:val="FootnoteReference"/>
        </w:rPr>
        <w:footnoteRef/>
      </w:r>
      <w:r>
        <w:tab/>
      </w:r>
      <w:r w:rsidR="00776DDC" w:rsidRPr="009515FA">
        <w:t>Order of the Government of the Russian Federation of October 6, 2023, No. 2723-r</w:t>
      </w:r>
      <w:r w:rsidR="00776DDC">
        <w:t>e</w:t>
      </w:r>
      <w:r w:rsidR="00776DDC" w:rsidRPr="009515FA">
        <w:t xml:space="preserve">established Sheremetyevo airport and the </w:t>
      </w:r>
      <w:proofErr w:type="spellStart"/>
      <w:r w:rsidR="00776DDC" w:rsidRPr="009515FA">
        <w:t>Ludonka</w:t>
      </w:r>
      <w:proofErr w:type="spellEnd"/>
      <w:r w:rsidR="00776DDC" w:rsidRPr="009515FA">
        <w:t xml:space="preserve"> border crossing with Latvia as the only entry points for Ukrainians in the Russian Federation. Shortly after, </w:t>
      </w:r>
      <w:r w:rsidR="00776DDC">
        <w:t>Latvia</w:t>
      </w:r>
      <w:r w:rsidR="00776DDC" w:rsidRPr="009515FA">
        <w:t xml:space="preserve"> closed their side of the border, leaving Sheremetyevo as the single entry point.</w:t>
      </w:r>
    </w:p>
  </w:footnote>
  <w:footnote w:id="63">
    <w:p w14:paraId="7BF4E70E" w14:textId="173941B3" w:rsidR="00776DDC" w:rsidRPr="0082151F" w:rsidRDefault="00EF6219" w:rsidP="002E5364">
      <w:pPr>
        <w:pStyle w:val="FootnoteText"/>
      </w:pPr>
      <w:r>
        <w:tab/>
      </w:r>
      <w:r w:rsidR="00776DDC">
        <w:rPr>
          <w:rStyle w:val="FootnoteReference"/>
        </w:rPr>
        <w:footnoteRef/>
      </w:r>
      <w:r>
        <w:tab/>
      </w:r>
      <w:r w:rsidR="00776DDC" w:rsidRPr="009515FA">
        <w:rPr>
          <w:rFonts w:eastAsia="Aptos"/>
        </w:rPr>
        <w:t xml:space="preserve">Customary IHL, Rule 132. See also: </w:t>
      </w:r>
      <w:r w:rsidR="00776DDC" w:rsidRPr="009515FA">
        <w:rPr>
          <w:rFonts w:eastAsia="Aptos"/>
          <w:i/>
          <w:iCs/>
        </w:rPr>
        <w:t>Guiding Principles on Internal Displacement</w:t>
      </w:r>
      <w:r w:rsidR="00776DDC" w:rsidRPr="009515FA">
        <w:rPr>
          <w:rFonts w:eastAsia="Aptos"/>
        </w:rPr>
        <w:t>, E/CN.4/1998/53/Add.2, principle 28</w:t>
      </w:r>
      <w:r w:rsidR="00776DDC">
        <w:rPr>
          <w:rFonts w:eastAsia="Aptos"/>
        </w:rPr>
        <w:t xml:space="preserve">. </w:t>
      </w:r>
      <w:r w:rsidR="00776DDC">
        <w:t xml:space="preserve">Government data shows that the number of Ukrainians entering the Russian Federation, which includes Ukrainians from occupied territory traveling to their place of origin, has steadily declined. In the first quarter of 2024, 15,554 Ukrainians crossed the border compared with 5,427 in the first quarter of 2025, a 65 per cent decrease. </w:t>
      </w:r>
      <w:r w:rsidR="00776DDC" w:rsidRPr="009515FA">
        <w:t xml:space="preserve">Statistical data at </w:t>
      </w:r>
      <w:hyperlink r:id="rId20" w:history="1">
        <w:r w:rsidR="00776DDC" w:rsidRPr="009515FA">
          <w:rPr>
            <w:rStyle w:val="Hyperlink"/>
            <w:rFonts w:eastAsiaTheme="minorEastAsia"/>
          </w:rPr>
          <w:t>https://repository.nsedc.ru/dataset/emiss_38479</w:t>
        </w:r>
      </w:hyperlink>
      <w:r w:rsidR="00776DDC" w:rsidRPr="009515FA">
        <w:t xml:space="preserve"> (accessed 13 January 2026).</w:t>
      </w:r>
    </w:p>
  </w:footnote>
  <w:footnote w:id="64">
    <w:p w14:paraId="7D510506" w14:textId="574CEEBF" w:rsidR="00776DDC" w:rsidRPr="009515FA" w:rsidRDefault="00EF6219" w:rsidP="002E5364">
      <w:pPr>
        <w:pStyle w:val="FootnoteText"/>
      </w:pPr>
      <w:r>
        <w:tab/>
      </w:r>
      <w:r w:rsidR="00776DDC" w:rsidRPr="009515FA">
        <w:rPr>
          <w:rStyle w:val="FootnoteReference"/>
        </w:rPr>
        <w:footnoteRef/>
      </w:r>
      <w:r>
        <w:tab/>
      </w:r>
      <w:r w:rsidR="00776DDC" w:rsidRPr="009515FA">
        <w:rPr>
          <w:color w:val="000000"/>
        </w:rPr>
        <w:t xml:space="preserve">UNHCR, </w:t>
      </w:r>
      <w:r w:rsidR="00776DDC" w:rsidRPr="009515FA">
        <w:rPr>
          <w:i/>
          <w:iCs/>
          <w:color w:val="000000"/>
        </w:rPr>
        <w:t>Intention Surveys with Refugees from Ukraine and with IDPs in Ukraine</w:t>
      </w:r>
      <w:r w:rsidR="00776DDC" w:rsidRPr="009515FA">
        <w:rPr>
          <w:color w:val="000000"/>
        </w:rPr>
        <w:t>, round 6 (July-August 2024); data shared with OHCHR.</w:t>
      </w:r>
    </w:p>
  </w:footnote>
  <w:footnote w:id="65">
    <w:p w14:paraId="283ABF54" w14:textId="2EECCE80" w:rsidR="00776DDC" w:rsidRPr="00E30E4C" w:rsidRDefault="00D8496A" w:rsidP="002E5364">
      <w:pPr>
        <w:pStyle w:val="FootnoteText"/>
      </w:pPr>
      <w:r>
        <w:tab/>
      </w:r>
      <w:r w:rsidR="00776DDC" w:rsidRPr="00E30E4C">
        <w:rPr>
          <w:vertAlign w:val="superscript"/>
        </w:rPr>
        <w:footnoteRef/>
      </w:r>
      <w:r>
        <w:tab/>
      </w:r>
      <w:r w:rsidR="00776DDC" w:rsidRPr="00E30E4C">
        <w:t xml:space="preserve">IHL forbids the confiscation of private property. Hague Regulations, arts. 46, 53; Customary IHL, Rule 51. See also: UDHR, art. 17(2); </w:t>
      </w:r>
      <w:r w:rsidR="00776DDC" w:rsidRPr="0082722B">
        <w:rPr>
          <w:i/>
          <w:iCs/>
        </w:rPr>
        <w:t>Pinheiro Principles</w:t>
      </w:r>
      <w:r w:rsidR="00776DDC" w:rsidRPr="00E30E4C">
        <w:t xml:space="preserve">, principles 5 and 10; </w:t>
      </w:r>
      <w:r w:rsidR="00776DDC" w:rsidRPr="002E02CA">
        <w:t>United Nations</w:t>
      </w:r>
      <w:r w:rsidR="002E02CA">
        <w:t>,</w:t>
      </w:r>
      <w:r w:rsidR="00776DDC" w:rsidRPr="00E30E4C">
        <w:t xml:space="preserve"> </w:t>
      </w:r>
      <w:r w:rsidR="00776DDC" w:rsidRPr="0082722B">
        <w:rPr>
          <w:i/>
          <w:iCs/>
        </w:rPr>
        <w:t>Guiding Principles on Internal Displacement</w:t>
      </w:r>
      <w:r w:rsidR="00776DDC" w:rsidRPr="00E30E4C">
        <w:t>, principle 21.</w:t>
      </w:r>
    </w:p>
  </w:footnote>
  <w:footnote w:id="66">
    <w:p w14:paraId="70CAAEA3" w14:textId="5643DD43" w:rsidR="00776DDC" w:rsidRPr="00642198" w:rsidRDefault="00EF6219" w:rsidP="002E5364">
      <w:pPr>
        <w:pStyle w:val="FootnoteText"/>
      </w:pPr>
      <w:r>
        <w:tab/>
      </w:r>
      <w:r w:rsidR="00776DDC" w:rsidRPr="00642198">
        <w:rPr>
          <w:vertAlign w:val="superscript"/>
        </w:rPr>
        <w:footnoteRef/>
      </w:r>
      <w:r>
        <w:tab/>
      </w:r>
      <w:r w:rsidR="00776DDC" w:rsidRPr="00642198">
        <w:t xml:space="preserve">ICTY, </w:t>
      </w:r>
      <w:r w:rsidR="00776DDC" w:rsidRPr="00642198">
        <w:rPr>
          <w:i/>
          <w:iCs/>
        </w:rPr>
        <w:t xml:space="preserve">Prosecutor v </w:t>
      </w:r>
      <w:proofErr w:type="spellStart"/>
      <w:r w:rsidR="00776DDC" w:rsidRPr="00642198">
        <w:rPr>
          <w:i/>
          <w:iCs/>
        </w:rPr>
        <w:t>Brđanin</w:t>
      </w:r>
      <w:proofErr w:type="spellEnd"/>
      <w:r w:rsidR="00776DDC" w:rsidRPr="00642198">
        <w:t>, Trial Judgment, 1 September 2004, para. 555.</w:t>
      </w:r>
    </w:p>
  </w:footnote>
  <w:footnote w:id="67">
    <w:p w14:paraId="2A9A9B1A" w14:textId="022E9F5F" w:rsidR="00776DDC" w:rsidRPr="009515FA" w:rsidRDefault="00EF6219" w:rsidP="00A470CA">
      <w:pPr>
        <w:pStyle w:val="FootnoteText"/>
      </w:pPr>
      <w:r>
        <w:tab/>
      </w:r>
      <w:r w:rsidR="00776DDC" w:rsidRPr="009515FA">
        <w:rPr>
          <w:rStyle w:val="FootnoteReference"/>
        </w:rPr>
        <w:footnoteRef/>
      </w:r>
      <w:r>
        <w:tab/>
      </w:r>
      <w:r w:rsidR="00776DDC" w:rsidRPr="009515FA">
        <w:t xml:space="preserve">See OHCHR, </w:t>
      </w:r>
      <w:hyperlink r:id="rId21" w:history="1">
        <w:r w:rsidR="00776DDC" w:rsidRPr="003F1E9D">
          <w:rPr>
            <w:rStyle w:val="Hyperlink"/>
            <w:rFonts w:eastAsiaTheme="minorEastAsia"/>
            <w:i/>
            <w:iCs/>
          </w:rPr>
          <w:t>Treatment of prisoners of war and update on the human rights situation in Ukraine</w:t>
        </w:r>
      </w:hyperlink>
      <w:r w:rsidR="00776DDC" w:rsidRPr="003F1E9D">
        <w:rPr>
          <w:i/>
          <w:iCs/>
        </w:rPr>
        <w:t>, 1 June to 31 August 2024</w:t>
      </w:r>
      <w:r w:rsidR="00776DDC" w:rsidRPr="009515FA">
        <w:t xml:space="preserve">, </w:t>
      </w:r>
      <w:r w:rsidR="003F1E9D">
        <w:t xml:space="preserve">September 2024, </w:t>
      </w:r>
      <w:r w:rsidR="00776DDC" w:rsidRPr="009515FA">
        <w:t xml:space="preserve">para. 93; OHCHR, </w:t>
      </w:r>
      <w:r w:rsidR="00776DDC" w:rsidRPr="009515FA">
        <w:rPr>
          <w:i/>
          <w:iCs/>
        </w:rPr>
        <w:t xml:space="preserve">Report on the human rights situation in </w:t>
      </w:r>
      <w:r w:rsidR="00776DDC" w:rsidRPr="003F1E9D">
        <w:rPr>
          <w:i/>
          <w:iCs/>
        </w:rPr>
        <w:t>Ukraine, 1 December 2024 – 31 May 2025</w:t>
      </w:r>
      <w:r w:rsidR="00776DDC" w:rsidRPr="009515FA">
        <w:t xml:space="preserve">, </w:t>
      </w:r>
      <w:r w:rsidR="003F1E9D">
        <w:t xml:space="preserve">June 2025, </w:t>
      </w:r>
      <w:r w:rsidR="00776DDC" w:rsidRPr="009515FA">
        <w:t>paras. 65-68.</w:t>
      </w:r>
    </w:p>
  </w:footnote>
  <w:footnote w:id="68">
    <w:p w14:paraId="083CFFE7" w14:textId="00B02A7F" w:rsidR="00776DDC" w:rsidRPr="000A7A24" w:rsidRDefault="00EF6219" w:rsidP="002E5364">
      <w:pPr>
        <w:pStyle w:val="FootnoteText"/>
      </w:pPr>
      <w:r>
        <w:tab/>
      </w:r>
      <w:r w:rsidR="00776DDC" w:rsidRPr="000A7A24">
        <w:rPr>
          <w:rStyle w:val="FootnoteReference"/>
        </w:rPr>
        <w:footnoteRef/>
      </w:r>
      <w:r>
        <w:tab/>
      </w:r>
      <w:r w:rsidR="00776DDC" w:rsidRPr="000A7A24">
        <w:t>The listed criteria are failure to pay for housing and utilities for 6 months, lack of information in the Russian State Register of Real Estate, and non-use of the premises.</w:t>
      </w:r>
    </w:p>
  </w:footnote>
  <w:footnote w:id="69">
    <w:p w14:paraId="2731F106" w14:textId="64812E9D" w:rsidR="00776DDC" w:rsidRPr="000A7A24" w:rsidRDefault="00EF6219" w:rsidP="002E5364">
      <w:pPr>
        <w:pStyle w:val="FootnoteText"/>
      </w:pPr>
      <w:r>
        <w:tab/>
      </w:r>
      <w:r w:rsidR="00776DDC" w:rsidRPr="000A7A24">
        <w:rPr>
          <w:rStyle w:val="FootnoteReference"/>
        </w:rPr>
        <w:footnoteRef/>
      </w:r>
      <w:r>
        <w:tab/>
      </w:r>
      <w:r w:rsidR="00776DDC" w:rsidRPr="000A7A24">
        <w:t>She confirmed the ban by finding her name in an online “list of persons whose entry into the Republic of Belarus is prohibited or undesirable” maintained by the Ministry of Internal Affairs of Belarus</w:t>
      </w:r>
    </w:p>
  </w:footnote>
  <w:footnote w:id="70">
    <w:p w14:paraId="41F83E2F" w14:textId="11E98AB4" w:rsidR="00776DDC" w:rsidRPr="006E0001" w:rsidRDefault="00EF6219" w:rsidP="002E5364">
      <w:pPr>
        <w:pStyle w:val="FootnoteText"/>
      </w:pPr>
      <w:r>
        <w:tab/>
      </w:r>
      <w:r w:rsidR="00776DDC">
        <w:rPr>
          <w:rStyle w:val="FootnoteReference"/>
        </w:rPr>
        <w:footnoteRef/>
      </w:r>
      <w:r>
        <w:tab/>
      </w:r>
      <w:r w:rsidR="00776DDC">
        <w:t>P</w:t>
      </w:r>
      <w:r w:rsidR="00776DDC" w:rsidRPr="006E0001">
        <w:t>resident of the Russian Federation</w:t>
      </w:r>
      <w:r w:rsidR="00776DDC">
        <w:t xml:space="preserve">, Decrees </w:t>
      </w:r>
      <w:r w:rsidR="00776DDC" w:rsidRPr="006E0001">
        <w:t>No</w:t>
      </w:r>
      <w:r w:rsidR="00776DDC">
        <w:t>.</w:t>
      </w:r>
      <w:r w:rsidR="00776DDC" w:rsidRPr="006E0001">
        <w:t xml:space="preserve"> 145</w:t>
      </w:r>
      <w:r w:rsidR="00776DDC">
        <w:t xml:space="preserve"> and </w:t>
      </w:r>
      <w:r w:rsidR="00776DDC" w:rsidRPr="008D1F6B">
        <w:t>No. 1006</w:t>
      </w:r>
      <w:r w:rsidR="00776DDC">
        <w:t>.</w:t>
      </w:r>
    </w:p>
  </w:footnote>
  <w:footnote w:id="71">
    <w:p w14:paraId="6B766418" w14:textId="3CF30C3C" w:rsidR="00776DDC" w:rsidRPr="009515FA" w:rsidRDefault="00E17D60" w:rsidP="002E5364">
      <w:pPr>
        <w:pStyle w:val="FootnoteText"/>
      </w:pPr>
      <w:r>
        <w:tab/>
      </w:r>
      <w:r w:rsidR="00776DDC" w:rsidRPr="009515FA">
        <w:rPr>
          <w:rStyle w:val="FootnoteReference"/>
        </w:rPr>
        <w:footnoteRef/>
      </w:r>
      <w:r>
        <w:tab/>
      </w:r>
      <w:r w:rsidR="00776DDC" w:rsidRPr="009515FA">
        <w:t xml:space="preserve">Federal Law No. 1052810-8, at </w:t>
      </w:r>
      <w:hyperlink r:id="rId22" w:history="1">
        <w:r w:rsidR="00776DDC" w:rsidRPr="009515FA">
          <w:rPr>
            <w:rStyle w:val="Hyperlink"/>
            <w:rFonts w:eastAsiaTheme="minorEastAsia"/>
          </w:rPr>
          <w:t>http://publication.pravo.gov.ru/document/0001202512150024</w:t>
        </w:r>
      </w:hyperlink>
      <w:r w:rsidR="00776DDC" w:rsidRPr="009515FA">
        <w:t xml:space="preserve"> (accessed 23 December 2025)</w:t>
      </w:r>
      <w:r w:rsidR="00A470CA">
        <w:t>.</w:t>
      </w:r>
    </w:p>
  </w:footnote>
  <w:footnote w:id="72">
    <w:p w14:paraId="37EAD073" w14:textId="2E55EC25" w:rsidR="00776DDC" w:rsidRPr="00186320" w:rsidRDefault="00EF6219" w:rsidP="00186320">
      <w:pPr>
        <w:pStyle w:val="FootnoteText"/>
      </w:pPr>
      <w:r>
        <w:rPr>
          <w:vertAlign w:val="superscript"/>
        </w:rPr>
        <w:tab/>
      </w:r>
      <w:r w:rsidR="00776DDC" w:rsidRPr="009515FA">
        <w:rPr>
          <w:vertAlign w:val="superscript"/>
        </w:rPr>
        <w:footnoteRef/>
      </w:r>
      <w:r>
        <w:rPr>
          <w:vertAlign w:val="superscript"/>
        </w:rPr>
        <w:tab/>
      </w:r>
      <w:r w:rsidR="00776DDC" w:rsidRPr="009515FA">
        <w:t xml:space="preserve">OHCHR, </w:t>
      </w:r>
      <w:r w:rsidR="00186320" w:rsidRPr="00186320">
        <w:rPr>
          <w:i/>
          <w:iCs/>
        </w:rPr>
        <w:t>Ten Years of Occupation by the Russian Federation: Human Rights in the Autonomous Republic of Crimea and the City of Sevastopol, Ukraine</w:t>
      </w:r>
      <w:r w:rsidR="00776DDC" w:rsidRPr="009515FA">
        <w:t xml:space="preserve">, </w:t>
      </w:r>
      <w:r w:rsidR="00186320">
        <w:t xml:space="preserve">February 2024, </w:t>
      </w:r>
      <w:r w:rsidR="00776DDC" w:rsidRPr="009515FA">
        <w:t>paras. 18-19</w:t>
      </w:r>
      <w:r w:rsidR="00186320">
        <w:t>, and</w:t>
      </w:r>
      <w:r w:rsidR="00776DDC" w:rsidRPr="009515FA">
        <w:t xml:space="preserve"> </w:t>
      </w:r>
      <w:r w:rsidR="00776DDC" w:rsidRPr="009515FA">
        <w:rPr>
          <w:i/>
        </w:rPr>
        <w:t>Report on the human rights situation in Ukraine</w:t>
      </w:r>
      <w:r w:rsidR="00776DDC" w:rsidRPr="00186320">
        <w:rPr>
          <w:i/>
          <w:iCs/>
        </w:rPr>
        <w:t>, 1 December 2024 – 31 May 2025</w:t>
      </w:r>
      <w:r w:rsidR="00776DDC" w:rsidRPr="009515FA">
        <w:t>,</w:t>
      </w:r>
      <w:r w:rsidR="00186320">
        <w:t xml:space="preserve"> June 2025,</w:t>
      </w:r>
      <w:r w:rsidR="00776DDC" w:rsidRPr="009515FA">
        <w:t xml:space="preserve"> para. 72.</w:t>
      </w:r>
    </w:p>
  </w:footnote>
  <w:footnote w:id="73">
    <w:p w14:paraId="464B9CA0" w14:textId="05F7510D" w:rsidR="00776DDC" w:rsidRPr="009515FA" w:rsidRDefault="00EF6219" w:rsidP="00A470CA">
      <w:pPr>
        <w:pStyle w:val="FootnoteText"/>
      </w:pPr>
      <w:r>
        <w:tab/>
      </w:r>
      <w:r w:rsidR="00776DDC" w:rsidRPr="009515FA">
        <w:rPr>
          <w:rStyle w:val="FootnoteReference"/>
        </w:rPr>
        <w:footnoteRef/>
      </w:r>
      <w:r>
        <w:tab/>
      </w:r>
      <w:hyperlink r:id="rId23" w:history="1">
        <w:r w:rsidR="00776DDC" w:rsidRPr="009515FA">
          <w:rPr>
            <w:rStyle w:val="Hyperlink"/>
            <w:rFonts w:eastAsiaTheme="minorEastAsia"/>
          </w:rPr>
          <w:t>https://ru.krymr.com/a/news-krym-vlasti-rf-natsionalizirovali-imushchestvo-560-ukrainskikh-lits/33278102.html</w:t>
        </w:r>
      </w:hyperlink>
      <w:r w:rsidR="00776DDC" w:rsidRPr="009515FA">
        <w:t xml:space="preserve">; Official Telegram channel of Chairman of the occupation State Council of the Republic of Crimea, at </w:t>
      </w:r>
      <w:hyperlink r:id="rId24" w:history="1">
        <w:r w:rsidR="00776DDC" w:rsidRPr="009515FA">
          <w:rPr>
            <w:rStyle w:val="Hyperlink"/>
            <w:rFonts w:eastAsiaTheme="minorEastAsia"/>
          </w:rPr>
          <w:t>https://t.me/va_konstantinov/6757</w:t>
        </w:r>
      </w:hyperlink>
      <w:r w:rsidR="00A470CA">
        <w:t>.</w:t>
      </w:r>
    </w:p>
  </w:footnote>
  <w:footnote w:id="74">
    <w:p w14:paraId="5DC47F96" w14:textId="4DBAD8F2" w:rsidR="00776DDC" w:rsidRPr="009515FA" w:rsidRDefault="00EF6219" w:rsidP="002E5364">
      <w:pPr>
        <w:pStyle w:val="FootnoteText"/>
      </w:pPr>
      <w:r>
        <w:tab/>
      </w:r>
      <w:r w:rsidR="00776DDC" w:rsidRPr="009515FA">
        <w:rPr>
          <w:rStyle w:val="FootnoteReference"/>
        </w:rPr>
        <w:footnoteRef/>
      </w:r>
      <w:r>
        <w:tab/>
      </w:r>
      <w:r w:rsidR="00776DDC" w:rsidRPr="009515FA">
        <w:t xml:space="preserve">IHL forbids the confiscation of private property. Hague Regulations, arts. 46, 53; Customary IHL, Rule 51. See also: UDHR, art. 17(2); </w:t>
      </w:r>
      <w:r w:rsidR="00776DDC" w:rsidRPr="002E02CA">
        <w:rPr>
          <w:i/>
          <w:iCs/>
        </w:rPr>
        <w:t>Pinheiro Principles</w:t>
      </w:r>
      <w:r w:rsidR="00776DDC" w:rsidRPr="009515FA">
        <w:t>, principles 5 and 10; United Nations</w:t>
      </w:r>
      <w:r w:rsidR="002E02CA">
        <w:t>,</w:t>
      </w:r>
      <w:r w:rsidR="00776DDC" w:rsidRPr="009515FA">
        <w:t xml:space="preserve"> </w:t>
      </w:r>
      <w:r w:rsidR="00776DDC" w:rsidRPr="002E02CA">
        <w:rPr>
          <w:i/>
          <w:iCs/>
        </w:rPr>
        <w:t>Guiding Principles on Internal Displacement</w:t>
      </w:r>
      <w:r w:rsidR="00776DDC" w:rsidRPr="009515FA">
        <w:t>, principle 21.</w:t>
      </w:r>
    </w:p>
  </w:footnote>
  <w:footnote w:id="75">
    <w:p w14:paraId="565F990C" w14:textId="788E92AA" w:rsidR="00776DDC" w:rsidRPr="009515FA" w:rsidRDefault="00EF6219" w:rsidP="002E5364">
      <w:pPr>
        <w:pStyle w:val="FootnoteText"/>
      </w:pPr>
      <w:r>
        <w:tab/>
      </w:r>
      <w:r w:rsidR="00776DDC" w:rsidRPr="009515FA">
        <w:rPr>
          <w:rStyle w:val="FootnoteReference"/>
        </w:rPr>
        <w:footnoteRef/>
      </w:r>
      <w:r>
        <w:tab/>
      </w:r>
      <w:r w:rsidR="00776DDC" w:rsidRPr="009515FA">
        <w:t xml:space="preserve">ICTY, </w:t>
      </w:r>
      <w:r w:rsidR="00776DDC" w:rsidRPr="009515FA">
        <w:rPr>
          <w:i/>
          <w:iCs/>
        </w:rPr>
        <w:t xml:space="preserve">Prosecutor v </w:t>
      </w:r>
      <w:proofErr w:type="spellStart"/>
      <w:r w:rsidR="00776DDC" w:rsidRPr="009515FA">
        <w:rPr>
          <w:i/>
          <w:iCs/>
        </w:rPr>
        <w:t>Brđanin</w:t>
      </w:r>
      <w:proofErr w:type="spellEnd"/>
      <w:r w:rsidR="00776DDC" w:rsidRPr="009515FA">
        <w:t>, Trial Judgment, 1 September 2004, para. 555.</w:t>
      </w:r>
    </w:p>
  </w:footnote>
  <w:footnote w:id="76">
    <w:p w14:paraId="2C7F4F5B" w14:textId="5D5CA251" w:rsidR="00776DDC" w:rsidRPr="009515FA" w:rsidRDefault="00EF6219" w:rsidP="002E5364">
      <w:pPr>
        <w:pStyle w:val="FootnoteText"/>
      </w:pPr>
      <w:r>
        <w:tab/>
      </w:r>
      <w:r w:rsidR="00776DDC" w:rsidRPr="009515FA">
        <w:rPr>
          <w:rStyle w:val="FootnoteReference"/>
        </w:rPr>
        <w:footnoteRef/>
      </w:r>
      <w:r>
        <w:tab/>
      </w:r>
      <w:r w:rsidR="00776DDC" w:rsidRPr="009515FA">
        <w:t>UN Sub-Commission on the Promotion and Protection of Human Rights, </w:t>
      </w:r>
      <w:r w:rsidR="00776DDC" w:rsidRPr="009515FA">
        <w:rPr>
          <w:i/>
          <w:iCs/>
        </w:rPr>
        <w:t>Principles on Housing and Property Restitution for Refugees and Displaced Persons</w:t>
      </w:r>
      <w:r w:rsidR="00776DDC" w:rsidRPr="009515FA">
        <w:t>, 28 June 2005, E/CN.4/Sub.2/2005/17, preamble, paras. 2.1, 2.2</w:t>
      </w:r>
      <w:r w:rsidR="00776DDC">
        <w:t xml:space="preserve">; </w:t>
      </w:r>
      <w:r w:rsidR="00776DDC" w:rsidRPr="009515FA">
        <w:t>GCIV 2025 Commentary, para.</w:t>
      </w:r>
      <w:r w:rsidR="00776DDC">
        <w:t xml:space="preserve"> 3172</w:t>
      </w:r>
      <w:r w:rsidR="00776DDC" w:rsidRPr="009515FA">
        <w:t>.</w:t>
      </w:r>
    </w:p>
  </w:footnote>
  <w:footnote w:id="77">
    <w:p w14:paraId="2B14226A" w14:textId="1FB3D1D5" w:rsidR="00776DDC" w:rsidRPr="009515FA" w:rsidRDefault="00EF6219" w:rsidP="00186320">
      <w:pPr>
        <w:pStyle w:val="FootnoteText"/>
      </w:pPr>
      <w:r>
        <w:tab/>
      </w:r>
      <w:r w:rsidR="00776DDC" w:rsidRPr="009515FA">
        <w:rPr>
          <w:rStyle w:val="FootnoteReference"/>
        </w:rPr>
        <w:footnoteRef/>
      </w:r>
      <w:r>
        <w:tab/>
      </w:r>
      <w:r w:rsidR="00776DDC" w:rsidRPr="009515FA">
        <w:t>IOM, General Population Survey</w:t>
      </w:r>
      <w:r w:rsidR="00776DDC">
        <w:t xml:space="preserve">, </w:t>
      </w:r>
      <w:r w:rsidR="00776DDC" w:rsidRPr="002B64EA">
        <w:t>round 21 (July-October 2025)</w:t>
      </w:r>
      <w:r w:rsidR="00776DDC" w:rsidRPr="009515FA">
        <w:t>.</w:t>
      </w:r>
    </w:p>
  </w:footnote>
  <w:footnote w:id="78">
    <w:p w14:paraId="3E78F381" w14:textId="5B5A4EB6" w:rsidR="00776DDC" w:rsidRPr="009515FA" w:rsidRDefault="00EF6219" w:rsidP="002E5364">
      <w:pPr>
        <w:pStyle w:val="FootnoteText"/>
      </w:pPr>
      <w:r>
        <w:tab/>
      </w:r>
      <w:r w:rsidR="00776DDC" w:rsidRPr="009515FA">
        <w:rPr>
          <w:rStyle w:val="FootnoteReference"/>
        </w:rPr>
        <w:footnoteRef/>
      </w:r>
      <w:r>
        <w:tab/>
      </w:r>
      <w:r w:rsidR="00776DDC" w:rsidRPr="009515FA">
        <w:t>UNHCR, Intentions Survey among IDPs in Ukraine, round 6 (July-August 2024); data shared with OHCHR. In comparison, less than 5 per cent of IDPs from other areas have missing documents.</w:t>
      </w:r>
    </w:p>
  </w:footnote>
  <w:footnote w:id="79">
    <w:p w14:paraId="41228224" w14:textId="2D0B6CE1" w:rsidR="00776DDC" w:rsidRPr="008844B3" w:rsidRDefault="00EF6219" w:rsidP="002E5364">
      <w:pPr>
        <w:pStyle w:val="FootnoteText"/>
        <w:rPr>
          <w:lang w:val="en-US"/>
        </w:rPr>
      </w:pPr>
      <w:r>
        <w:tab/>
      </w:r>
      <w:r w:rsidR="00776DDC">
        <w:rPr>
          <w:rStyle w:val="FootnoteReference"/>
        </w:rPr>
        <w:footnoteRef/>
      </w:r>
      <w:r>
        <w:tab/>
      </w:r>
      <w:r w:rsidR="00776DDC">
        <w:t>A certificate of identity for return to Ukraine (</w:t>
      </w:r>
      <w:proofErr w:type="spellStart"/>
      <w:r w:rsidR="00776DDC" w:rsidRPr="00B04C51">
        <w:t>posvidchennia</w:t>
      </w:r>
      <w:proofErr w:type="spellEnd"/>
      <w:r w:rsidR="00776DDC" w:rsidRPr="00B04C51">
        <w:t xml:space="preserve"> </w:t>
      </w:r>
      <w:proofErr w:type="spellStart"/>
      <w:r w:rsidR="00776DDC" w:rsidRPr="00B04C51">
        <w:t>na</w:t>
      </w:r>
      <w:proofErr w:type="spellEnd"/>
      <w:r w:rsidR="00776DDC" w:rsidRPr="00B04C51">
        <w:t xml:space="preserve"> </w:t>
      </w:r>
      <w:proofErr w:type="spellStart"/>
      <w:r w:rsidR="00776DDC" w:rsidRPr="00B04C51">
        <w:t>povernennia</w:t>
      </w:r>
      <w:proofErr w:type="spellEnd"/>
      <w:r w:rsidR="00776DDC" w:rsidRPr="00B04C51">
        <w:t xml:space="preserve"> v </w:t>
      </w:r>
      <w:proofErr w:type="spellStart"/>
      <w:r w:rsidR="00776DDC" w:rsidRPr="00B04C51">
        <w:t>Ukrainu</w:t>
      </w:r>
      <w:proofErr w:type="spellEnd"/>
      <w:r w:rsidR="00776DDC" w:rsidRPr="00B04C51">
        <w:t xml:space="preserve">) </w:t>
      </w:r>
      <w:r w:rsidR="00776DDC">
        <w:t xml:space="preserve">is a temporary travel document </w:t>
      </w:r>
      <w:r w:rsidR="00776DDC" w:rsidRPr="002D533C">
        <w:t xml:space="preserve">issued by Ukrainian embassies </w:t>
      </w:r>
      <w:r w:rsidR="00776DDC">
        <w:t>and</w:t>
      </w:r>
      <w:r w:rsidR="00776DDC" w:rsidRPr="002D533C">
        <w:t xml:space="preserve"> consulates abroad</w:t>
      </w:r>
      <w:r w:rsidR="00776DDC">
        <w:t xml:space="preserve">, which allows citizens lacking valid passports or identification a </w:t>
      </w:r>
      <w:r w:rsidR="00776DDC" w:rsidRPr="00501DAA">
        <w:t>one-time</w:t>
      </w:r>
      <w:r w:rsidR="00776DDC">
        <w:t xml:space="preserve"> entry into Ukraine.</w:t>
      </w:r>
    </w:p>
  </w:footnote>
  <w:footnote w:id="80">
    <w:p w14:paraId="63E77698" w14:textId="210FE527" w:rsidR="00776DDC" w:rsidRPr="009515FA" w:rsidRDefault="00EF6219" w:rsidP="002E5364">
      <w:pPr>
        <w:pStyle w:val="FootnoteText"/>
      </w:pPr>
      <w:r>
        <w:tab/>
      </w:r>
      <w:r w:rsidR="00776DDC" w:rsidRPr="009515FA">
        <w:rPr>
          <w:rStyle w:val="FootnoteReference"/>
        </w:rPr>
        <w:footnoteRef/>
      </w:r>
      <w:r>
        <w:tab/>
      </w:r>
      <w:r w:rsidR="00776DDC" w:rsidRPr="009515FA">
        <w:t xml:space="preserve">Law No. </w:t>
      </w:r>
      <w:hyperlink r:id="rId25" w:anchor="Text" w:history="1">
        <w:r w:rsidR="00776DDC" w:rsidRPr="009515FA">
          <w:rPr>
            <w:rStyle w:val="Hyperlink"/>
            <w:rFonts w:eastAsiaTheme="minorEastAsia"/>
          </w:rPr>
          <w:t>1207-VII</w:t>
        </w:r>
      </w:hyperlink>
      <w:r w:rsidR="00776DDC" w:rsidRPr="009515FA">
        <w:t>, art. 9.</w:t>
      </w:r>
    </w:p>
  </w:footnote>
  <w:footnote w:id="81">
    <w:p w14:paraId="41BD850D" w14:textId="11AF45CA" w:rsidR="00776DDC" w:rsidRPr="00160E46" w:rsidRDefault="00EF6219" w:rsidP="002E5364">
      <w:pPr>
        <w:pStyle w:val="FootnoteText"/>
        <w:rPr>
          <w:lang w:val="de-DE"/>
        </w:rPr>
      </w:pPr>
      <w:r>
        <w:rPr>
          <w:lang w:val="de-DE"/>
        </w:rPr>
        <w:tab/>
      </w:r>
      <w:r w:rsidR="00776DDC" w:rsidRPr="009515FA">
        <w:rPr>
          <w:rStyle w:val="FootnoteReference"/>
        </w:rPr>
        <w:footnoteRef/>
      </w:r>
      <w:r>
        <w:rPr>
          <w:lang w:val="de-DE"/>
        </w:rPr>
        <w:tab/>
      </w:r>
      <w:r w:rsidR="00776DDC" w:rsidRPr="00160E46">
        <w:rPr>
          <w:lang w:val="de-DE"/>
        </w:rPr>
        <w:t>CRC, art. 7; ICCPR, art. 24; UDHR, art. 15.</w:t>
      </w:r>
    </w:p>
  </w:footnote>
  <w:footnote w:id="82">
    <w:p w14:paraId="1EA629C7" w14:textId="0DFB603D" w:rsidR="00776DDC" w:rsidRPr="009515FA" w:rsidRDefault="00D37D48" w:rsidP="002E5364">
      <w:pPr>
        <w:pStyle w:val="FootnoteText"/>
      </w:pPr>
      <w:r>
        <w:tab/>
      </w:r>
      <w:r w:rsidR="00776DDC" w:rsidRPr="009515FA">
        <w:rPr>
          <w:rStyle w:val="FootnoteReference"/>
        </w:rPr>
        <w:footnoteRef/>
      </w:r>
      <w:r>
        <w:tab/>
      </w:r>
      <w:r w:rsidR="00776DDC" w:rsidRPr="009515FA">
        <w:t xml:space="preserve">Decree No. </w:t>
      </w:r>
      <w:hyperlink r:id="rId26" w:history="1">
        <w:r w:rsidR="00776DDC" w:rsidRPr="009515FA">
          <w:rPr>
            <w:rStyle w:val="Hyperlink"/>
            <w:rFonts w:eastAsiaTheme="minorEastAsia"/>
          </w:rPr>
          <w:t>831</w:t>
        </w:r>
      </w:hyperlink>
      <w:r w:rsidR="00776DDC" w:rsidRPr="009515FA">
        <w:rPr>
          <w:lang w:val="en-US"/>
        </w:rPr>
        <w:t>, 15 July 2025.</w:t>
      </w:r>
    </w:p>
  </w:footnote>
  <w:footnote w:id="83">
    <w:p w14:paraId="679D79E7" w14:textId="76F592D3" w:rsidR="00776DDC" w:rsidRPr="00AE7DBC" w:rsidRDefault="00D37D48" w:rsidP="002E5364">
      <w:pPr>
        <w:pStyle w:val="FootnoteText"/>
      </w:pPr>
      <w:r>
        <w:tab/>
      </w:r>
      <w:r w:rsidR="00776DDC">
        <w:rPr>
          <w:rStyle w:val="FootnoteReference"/>
        </w:rPr>
        <w:footnoteRef/>
      </w:r>
      <w:r>
        <w:tab/>
      </w:r>
      <w:r w:rsidR="00776DDC">
        <w:t xml:space="preserve">Resolution No. </w:t>
      </w:r>
      <w:hyperlink r:id="rId27" w:anchor="n80" w:history="1">
        <w:r w:rsidR="00776DDC" w:rsidRPr="00B64B8A">
          <w:rPr>
            <w:rStyle w:val="Hyperlink"/>
            <w:rFonts w:eastAsiaTheme="minorEastAsia"/>
          </w:rPr>
          <w:t>299</w:t>
        </w:r>
      </w:hyperlink>
      <w:r w:rsidR="00776DDC">
        <w:t>, 11 February 2025.</w:t>
      </w:r>
    </w:p>
  </w:footnote>
  <w:footnote w:id="84">
    <w:p w14:paraId="1F5A7F1E" w14:textId="063D2A5C" w:rsidR="00776DDC" w:rsidRPr="001E71DE" w:rsidRDefault="00D37D48" w:rsidP="002E5364">
      <w:pPr>
        <w:pStyle w:val="FootnoteText"/>
        <w:rPr>
          <w:lang w:val="en-US"/>
        </w:rPr>
      </w:pPr>
      <w:r>
        <w:rPr>
          <w:lang w:val="en-US"/>
        </w:rPr>
        <w:tab/>
      </w:r>
      <w:r w:rsidR="00776DDC" w:rsidRPr="009515FA">
        <w:rPr>
          <w:rStyle w:val="FootnoteReference"/>
        </w:rPr>
        <w:footnoteRef/>
      </w:r>
      <w:r w:rsidRPr="001E71DE">
        <w:rPr>
          <w:lang w:val="en-US"/>
        </w:rPr>
        <w:tab/>
      </w:r>
      <w:r w:rsidR="00776DDC" w:rsidRPr="001E71DE">
        <w:rPr>
          <w:lang w:val="en-US"/>
        </w:rPr>
        <w:t>ICESCR, arts. 6, 9; CESCR, General Comment No. 19, paras. 4, 40.</w:t>
      </w:r>
    </w:p>
  </w:footnote>
  <w:footnote w:id="85">
    <w:p w14:paraId="6DCB6076" w14:textId="534E366F" w:rsidR="00776DDC" w:rsidRPr="009515FA" w:rsidRDefault="00D37D48" w:rsidP="002E5364">
      <w:pPr>
        <w:pStyle w:val="FootnoteText"/>
      </w:pPr>
      <w:r w:rsidRPr="001E71DE">
        <w:rPr>
          <w:lang w:val="en-US"/>
        </w:rPr>
        <w:tab/>
      </w:r>
      <w:r w:rsidR="00776DDC" w:rsidRPr="009515FA">
        <w:rPr>
          <w:rStyle w:val="FootnoteReference"/>
        </w:rPr>
        <w:footnoteRef/>
      </w:r>
      <w:r w:rsidRPr="001E71DE">
        <w:rPr>
          <w:lang w:val="en-US"/>
        </w:rPr>
        <w:tab/>
      </w:r>
      <w:r w:rsidR="00776DDC" w:rsidRPr="001E71DE">
        <w:rPr>
          <w:lang w:val="en-US"/>
        </w:rPr>
        <w:t xml:space="preserve">CESCR, General Comment No. 19, paras. </w:t>
      </w:r>
      <w:r w:rsidR="00776DDC" w:rsidRPr="009515FA">
        <w:t>11, 15, 22-27.</w:t>
      </w:r>
    </w:p>
  </w:footnote>
  <w:footnote w:id="86">
    <w:p w14:paraId="2E408268" w14:textId="088911BC" w:rsidR="00776DDC" w:rsidRPr="009515FA" w:rsidRDefault="00D37D48" w:rsidP="002E5364">
      <w:pPr>
        <w:pStyle w:val="FootnoteText"/>
      </w:pPr>
      <w:r>
        <w:tab/>
      </w:r>
      <w:r w:rsidR="00776DDC" w:rsidRPr="009515FA">
        <w:rPr>
          <w:rStyle w:val="FootnoteReference"/>
        </w:rPr>
        <w:footnoteRef/>
      </w:r>
      <w:r>
        <w:tab/>
      </w:r>
      <w:r w:rsidR="00776DDC" w:rsidRPr="009515FA">
        <w:t>IOM, General Population Survey</w:t>
      </w:r>
      <w:r w:rsidR="00776DDC">
        <w:t>, round 21 (July-October 2025)</w:t>
      </w:r>
      <w:r w:rsidR="00776DDC" w:rsidRPr="009515FA">
        <w:t>; UNHCR, Intentions Survey of IDPs in Ukraine, round 6 (July-August 2024); data shared with OHCHR.</w:t>
      </w:r>
    </w:p>
  </w:footnote>
  <w:footnote w:id="87">
    <w:p w14:paraId="7BD7AD37" w14:textId="56496419" w:rsidR="00776DDC" w:rsidRPr="009515FA" w:rsidRDefault="00D37D48" w:rsidP="002E5364">
      <w:pPr>
        <w:pStyle w:val="FootnoteText"/>
      </w:pPr>
      <w:r>
        <w:tab/>
      </w:r>
      <w:r w:rsidR="00776DDC" w:rsidRPr="009515FA">
        <w:rPr>
          <w:rStyle w:val="FootnoteReference"/>
        </w:rPr>
        <w:footnoteRef/>
      </w:r>
      <w:r>
        <w:tab/>
      </w:r>
      <w:r w:rsidR="00776DDC" w:rsidRPr="009515FA">
        <w:t xml:space="preserve">UNHCR, Intentions Survey of IDPs in Ukraine, round </w:t>
      </w:r>
      <w:r w:rsidR="00776DDC">
        <w:t>7</w:t>
      </w:r>
      <w:r w:rsidR="00776DDC" w:rsidRPr="009515FA">
        <w:t xml:space="preserve"> (</w:t>
      </w:r>
      <w:r w:rsidR="00776DDC">
        <w:t>December 2025 – January 2026)</w:t>
      </w:r>
      <w:r w:rsidR="00776DDC" w:rsidRPr="009515FA">
        <w:t>; data shared with OHCHR.</w:t>
      </w:r>
    </w:p>
  </w:footnote>
  <w:footnote w:id="88">
    <w:p w14:paraId="1C1D043A" w14:textId="58F2A1F3" w:rsidR="00776DDC" w:rsidRPr="009515FA" w:rsidRDefault="00D37D48" w:rsidP="002E5364">
      <w:pPr>
        <w:pStyle w:val="FootnoteText"/>
      </w:pPr>
      <w:r>
        <w:tab/>
      </w:r>
      <w:r w:rsidR="00776DDC" w:rsidRPr="009515FA">
        <w:rPr>
          <w:rStyle w:val="FootnoteReference"/>
        </w:rPr>
        <w:footnoteRef/>
      </w:r>
      <w:r>
        <w:tab/>
      </w:r>
      <w:r w:rsidR="00776DDC" w:rsidRPr="009515FA">
        <w:t xml:space="preserve">Law No. </w:t>
      </w:r>
      <w:hyperlink r:id="rId28" w:anchor="Text" w:history="1">
        <w:r w:rsidR="00776DDC" w:rsidRPr="009515FA">
          <w:rPr>
            <w:rStyle w:val="Hyperlink"/>
            <w:rFonts w:eastAsiaTheme="minorEastAsia"/>
          </w:rPr>
          <w:t>2923-IX</w:t>
        </w:r>
      </w:hyperlink>
      <w:r w:rsidR="00776DDC" w:rsidRPr="009515FA">
        <w:t>, 23 February 2023.</w:t>
      </w:r>
    </w:p>
  </w:footnote>
  <w:footnote w:id="89">
    <w:p w14:paraId="2037F89E" w14:textId="79EC8B57" w:rsidR="00776DDC" w:rsidRPr="009515FA" w:rsidRDefault="00D37D48" w:rsidP="002E5364">
      <w:pPr>
        <w:pStyle w:val="FootnoteText"/>
      </w:pPr>
      <w:r>
        <w:tab/>
      </w:r>
      <w:r w:rsidR="00776DDC" w:rsidRPr="009515FA">
        <w:rPr>
          <w:rStyle w:val="FootnoteReference"/>
        </w:rPr>
        <w:footnoteRef/>
      </w:r>
      <w:r>
        <w:tab/>
      </w:r>
      <w:r w:rsidR="00776DDC" w:rsidRPr="009515FA">
        <w:t xml:space="preserve">Cabinet of Ministers Resolution No. </w:t>
      </w:r>
      <w:hyperlink r:id="rId29" w:anchor="Text" w:history="1">
        <w:r w:rsidR="00776DDC" w:rsidRPr="009515FA">
          <w:rPr>
            <w:rStyle w:val="Hyperlink"/>
            <w:rFonts w:eastAsiaTheme="minorEastAsia"/>
          </w:rPr>
          <w:t>381</w:t>
        </w:r>
      </w:hyperlink>
      <w:r w:rsidR="00776DDC" w:rsidRPr="009515FA">
        <w:t>, 21 April 2023.</w:t>
      </w:r>
    </w:p>
  </w:footnote>
  <w:footnote w:id="90">
    <w:p w14:paraId="1E498D2F" w14:textId="33825380" w:rsidR="00776DDC" w:rsidRPr="009515FA" w:rsidRDefault="00D37D48" w:rsidP="002E5364">
      <w:pPr>
        <w:pStyle w:val="FootnoteText"/>
      </w:pPr>
      <w:r>
        <w:tab/>
      </w:r>
      <w:r w:rsidR="00776DDC" w:rsidRPr="009515FA">
        <w:rPr>
          <w:rStyle w:val="FootnoteReference"/>
        </w:rPr>
        <w:footnoteRef/>
      </w:r>
      <w:r>
        <w:tab/>
      </w:r>
      <w:r w:rsidR="00776DDC" w:rsidRPr="009515FA">
        <w:t xml:space="preserve">Cabinet of Ministers Resolution No. </w:t>
      </w:r>
      <w:hyperlink r:id="rId30" w:anchor="Text" w:history="1">
        <w:r w:rsidR="00776DDC" w:rsidRPr="009515FA">
          <w:rPr>
            <w:rStyle w:val="Hyperlink"/>
            <w:rFonts w:eastAsiaTheme="minorEastAsia"/>
          </w:rPr>
          <w:t>600</w:t>
        </w:r>
      </w:hyperlink>
      <w:r w:rsidR="00776DDC" w:rsidRPr="009515FA">
        <w:t>, 30 May 2023.</w:t>
      </w:r>
    </w:p>
  </w:footnote>
  <w:footnote w:id="91">
    <w:p w14:paraId="06B9F801" w14:textId="5A65095F" w:rsidR="00776DDC" w:rsidRPr="009515FA" w:rsidRDefault="00D37D48" w:rsidP="002E5364">
      <w:pPr>
        <w:pStyle w:val="FootnoteText"/>
      </w:pPr>
      <w:r>
        <w:tab/>
      </w:r>
      <w:r w:rsidR="00776DDC" w:rsidRPr="009515FA">
        <w:rPr>
          <w:rStyle w:val="FootnoteReference"/>
        </w:rPr>
        <w:footnoteRef/>
      </w:r>
      <w:r>
        <w:tab/>
      </w:r>
      <w:r w:rsidR="00776DDC" w:rsidRPr="009515FA">
        <w:t xml:space="preserve">Cabinet of Ministers Resolution No. </w:t>
      </w:r>
      <w:hyperlink r:id="rId31" w:anchor="Text" w:history="1">
        <w:r w:rsidR="00776DDC" w:rsidRPr="009515FA">
          <w:rPr>
            <w:rStyle w:val="Hyperlink"/>
            <w:rFonts w:eastAsiaTheme="minorEastAsia"/>
          </w:rPr>
          <w:t>815</w:t>
        </w:r>
      </w:hyperlink>
      <w:r w:rsidR="00776DDC" w:rsidRPr="009515FA">
        <w:t>, 7 July 2025.</w:t>
      </w:r>
    </w:p>
  </w:footnote>
  <w:footnote w:id="92">
    <w:p w14:paraId="276BED1F" w14:textId="583DBD0A" w:rsidR="00776DDC" w:rsidRPr="009515FA" w:rsidRDefault="00D37D48" w:rsidP="00A470CA">
      <w:pPr>
        <w:pStyle w:val="FootnoteText"/>
      </w:pPr>
      <w:r>
        <w:tab/>
      </w:r>
      <w:r w:rsidR="00776DDC" w:rsidRPr="009515FA">
        <w:rPr>
          <w:rStyle w:val="FootnoteReference"/>
        </w:rPr>
        <w:footnoteRef/>
      </w:r>
      <w:r>
        <w:tab/>
      </w:r>
      <w:r w:rsidR="00776DDC" w:rsidRPr="009515FA">
        <w:t xml:space="preserve">See OHCHR, </w:t>
      </w:r>
      <w:hyperlink r:id="rId32" w:history="1">
        <w:r w:rsidR="00776DDC" w:rsidRPr="00186320">
          <w:rPr>
            <w:rStyle w:val="Hyperlink"/>
            <w:rFonts w:eastAsiaTheme="minorEastAsia"/>
            <w:i/>
            <w:iCs/>
          </w:rPr>
          <w:t>Treatment of civilians deprived of their liberty in the context of the armed attack by the Russian Federation against Ukraine</w:t>
        </w:r>
      </w:hyperlink>
      <w:r w:rsidR="00776DDC" w:rsidRPr="009515FA">
        <w:t>, 23 September 2025.</w:t>
      </w:r>
    </w:p>
  </w:footnote>
  <w:footnote w:id="93">
    <w:p w14:paraId="72747EEC" w14:textId="7414C857" w:rsidR="00776DDC" w:rsidRPr="000833AC" w:rsidRDefault="00D37D48" w:rsidP="00A470CA">
      <w:pPr>
        <w:pStyle w:val="FootnoteText"/>
      </w:pPr>
      <w:r>
        <w:tab/>
      </w:r>
      <w:r w:rsidR="00776DDC">
        <w:rPr>
          <w:rStyle w:val="FootnoteReference"/>
        </w:rPr>
        <w:footnoteRef/>
      </w:r>
      <w:r>
        <w:tab/>
      </w:r>
      <w:r w:rsidR="00776DDC">
        <w:rPr>
          <w:lang w:val="en-US"/>
        </w:rPr>
        <w:t>These civilians either fled occupied territory after being tortured or ill-treated, or were expelled by Russian authorities (see para. 29 above).</w:t>
      </w:r>
    </w:p>
  </w:footnote>
  <w:footnote w:id="94">
    <w:p w14:paraId="7A361A91" w14:textId="6A44CBE8" w:rsidR="00776DDC" w:rsidRPr="009515FA" w:rsidRDefault="00D37D48" w:rsidP="002E5364">
      <w:pPr>
        <w:pStyle w:val="FootnoteText"/>
      </w:pPr>
      <w:r>
        <w:tab/>
      </w:r>
      <w:r w:rsidR="00776DDC" w:rsidRPr="009515FA">
        <w:rPr>
          <w:rStyle w:val="FootnoteReference"/>
        </w:rPr>
        <w:footnoteRef/>
      </w:r>
      <w:r>
        <w:tab/>
      </w:r>
      <w:r w:rsidR="00776DDC" w:rsidRPr="009515FA">
        <w:rPr>
          <w:lang w:val="en-US"/>
        </w:rPr>
        <w:t xml:space="preserve">Law No. </w:t>
      </w:r>
      <w:hyperlink r:id="rId33" w:anchor="Text" w:history="1">
        <w:r w:rsidR="00776DDC" w:rsidRPr="009515FA">
          <w:rPr>
            <w:rStyle w:val="Hyperlink"/>
            <w:rFonts w:eastAsiaTheme="minorEastAsia"/>
          </w:rPr>
          <w:t>4067-IX</w:t>
        </w:r>
      </w:hyperlink>
      <w:r w:rsidR="00776DDC" w:rsidRPr="009515FA">
        <w:rPr>
          <w:lang w:val="en-US"/>
        </w:rPr>
        <w:t>, 20 November 2024.</w:t>
      </w:r>
    </w:p>
  </w:footnote>
  <w:footnote w:id="95">
    <w:p w14:paraId="08A6302E" w14:textId="22010542" w:rsidR="00776DDC" w:rsidRPr="009515FA" w:rsidRDefault="00D37D48" w:rsidP="00A470CA">
      <w:pPr>
        <w:pStyle w:val="FootnoteText"/>
        <w:rPr>
          <w:color w:val="000000" w:themeColor="text1"/>
        </w:rPr>
      </w:pPr>
      <w:r>
        <w:rPr>
          <w:color w:val="000000" w:themeColor="text1"/>
        </w:rPr>
        <w:tab/>
      </w:r>
      <w:r w:rsidR="00776DDC" w:rsidRPr="009515FA">
        <w:rPr>
          <w:vertAlign w:val="superscript"/>
        </w:rPr>
        <w:footnoteRef/>
      </w:r>
      <w:r>
        <w:rPr>
          <w:color w:val="000000" w:themeColor="text1"/>
        </w:rPr>
        <w:tab/>
      </w:r>
      <w:r w:rsidR="00776DDC" w:rsidRPr="009515FA">
        <w:rPr>
          <w:color w:val="000000" w:themeColor="text1"/>
        </w:rPr>
        <w:t xml:space="preserve">Law No. </w:t>
      </w:r>
      <w:hyperlink r:id="rId34" w:anchor="Text" w:history="1">
        <w:r w:rsidR="00776DDC" w:rsidRPr="009515FA">
          <w:rPr>
            <w:rStyle w:val="Hyperlink"/>
            <w:sz w:val="20"/>
          </w:rPr>
          <w:t>2010-IX</w:t>
        </w:r>
      </w:hyperlink>
      <w:r w:rsidR="00776DDC" w:rsidRPr="009515FA">
        <w:rPr>
          <w:color w:val="000000" w:themeColor="text1"/>
        </w:rPr>
        <w:t>, 26 January 2022.</w:t>
      </w:r>
      <w:r w:rsidR="00776DDC">
        <w:rPr>
          <w:color w:val="000000" w:themeColor="text1"/>
        </w:rPr>
        <w:t xml:space="preserve">  Furthermore, on 24 December 2025, the Cabinet of Ministers adopted </w:t>
      </w:r>
      <w:hyperlink r:id="rId35" w:anchor="Text" w:history="1">
        <w:r w:rsidR="00776DDC" w:rsidRPr="00FA5A2D">
          <w:rPr>
            <w:rStyle w:val="Hyperlink"/>
            <w:sz w:val="20"/>
          </w:rPr>
          <w:t>Resolution 1775</w:t>
        </w:r>
      </w:hyperlink>
      <w:r w:rsidR="00776DDC">
        <w:rPr>
          <w:color w:val="000000" w:themeColor="text1"/>
        </w:rPr>
        <w:t xml:space="preserve"> regarding support to former civilian detainees.</w:t>
      </w:r>
    </w:p>
  </w:footnote>
  <w:footnote w:id="96">
    <w:p w14:paraId="6A92FFCB" w14:textId="775C4B0D" w:rsidR="00776DDC" w:rsidRPr="00160E46" w:rsidRDefault="00D37D48" w:rsidP="002E5364">
      <w:pPr>
        <w:pStyle w:val="FootnoteText"/>
        <w:rPr>
          <w:lang w:val="en-US"/>
        </w:rPr>
      </w:pPr>
      <w:r>
        <w:tab/>
      </w:r>
      <w:r w:rsidR="00776DDC">
        <w:rPr>
          <w:rStyle w:val="FootnoteReference"/>
        </w:rPr>
        <w:footnoteRef/>
      </w:r>
      <w:r>
        <w:tab/>
      </w:r>
      <w:r w:rsidR="00776DDC" w:rsidRPr="004C0637">
        <w:rPr>
          <w:lang w:val="uk-UA"/>
        </w:rPr>
        <w:t>U</w:t>
      </w:r>
      <w:proofErr w:type="spellStart"/>
      <w:r w:rsidR="002B7667" w:rsidRPr="002B7667">
        <w:rPr>
          <w:lang w:val="en-US"/>
        </w:rPr>
        <w:t>nite</w:t>
      </w:r>
      <w:proofErr w:type="spellEnd"/>
      <w:r w:rsidR="002B7667" w:rsidRPr="002B7667">
        <w:rPr>
          <w:lang w:val="en-US"/>
        </w:rPr>
        <w:t xml:space="preserve"> Nations, </w:t>
      </w:r>
      <w:proofErr w:type="spellStart"/>
      <w:r w:rsidR="00776DDC" w:rsidRPr="002B7667">
        <w:rPr>
          <w:i/>
          <w:iCs/>
          <w:lang w:val="uk-UA"/>
        </w:rPr>
        <w:t>Basic</w:t>
      </w:r>
      <w:proofErr w:type="spellEnd"/>
      <w:r w:rsidR="00776DDC" w:rsidRPr="002B7667">
        <w:rPr>
          <w:i/>
          <w:iCs/>
          <w:lang w:val="uk-UA"/>
        </w:rPr>
        <w:t xml:space="preserve"> </w:t>
      </w:r>
      <w:proofErr w:type="spellStart"/>
      <w:r w:rsidR="00776DDC" w:rsidRPr="002B7667">
        <w:rPr>
          <w:i/>
          <w:iCs/>
          <w:lang w:val="uk-UA"/>
        </w:rPr>
        <w:t>Principles</w:t>
      </w:r>
      <w:proofErr w:type="spellEnd"/>
      <w:r w:rsidR="00776DDC" w:rsidRPr="002B7667">
        <w:rPr>
          <w:i/>
          <w:iCs/>
          <w:lang w:val="uk-UA"/>
        </w:rPr>
        <w:t xml:space="preserve"> and </w:t>
      </w:r>
      <w:proofErr w:type="spellStart"/>
      <w:r w:rsidR="00776DDC" w:rsidRPr="002B7667">
        <w:rPr>
          <w:i/>
          <w:iCs/>
          <w:lang w:val="uk-UA"/>
        </w:rPr>
        <w:t>Guidelines</w:t>
      </w:r>
      <w:proofErr w:type="spellEnd"/>
      <w:r w:rsidR="00776DDC" w:rsidRPr="002B7667">
        <w:rPr>
          <w:i/>
          <w:iCs/>
          <w:lang w:val="uk-UA"/>
        </w:rPr>
        <w:t xml:space="preserve"> on </w:t>
      </w:r>
      <w:proofErr w:type="spellStart"/>
      <w:r w:rsidR="00776DDC" w:rsidRPr="002B7667">
        <w:rPr>
          <w:i/>
          <w:iCs/>
          <w:lang w:val="uk-UA"/>
        </w:rPr>
        <w:t>the</w:t>
      </w:r>
      <w:proofErr w:type="spellEnd"/>
      <w:r w:rsidR="00776DDC" w:rsidRPr="002B7667">
        <w:rPr>
          <w:i/>
          <w:iCs/>
          <w:lang w:val="uk-UA"/>
        </w:rPr>
        <w:t xml:space="preserve"> </w:t>
      </w:r>
      <w:proofErr w:type="spellStart"/>
      <w:r w:rsidR="00776DDC" w:rsidRPr="002B7667">
        <w:rPr>
          <w:i/>
          <w:iCs/>
          <w:lang w:val="uk-UA"/>
        </w:rPr>
        <w:t>Right</w:t>
      </w:r>
      <w:proofErr w:type="spellEnd"/>
      <w:r w:rsidR="00776DDC" w:rsidRPr="002B7667">
        <w:rPr>
          <w:i/>
          <w:iCs/>
          <w:lang w:val="uk-UA"/>
        </w:rPr>
        <w:t xml:space="preserve"> </w:t>
      </w:r>
      <w:proofErr w:type="spellStart"/>
      <w:r w:rsidR="00776DDC" w:rsidRPr="002B7667">
        <w:rPr>
          <w:i/>
          <w:iCs/>
          <w:lang w:val="uk-UA"/>
        </w:rPr>
        <w:t>to</w:t>
      </w:r>
      <w:proofErr w:type="spellEnd"/>
      <w:r w:rsidR="00776DDC" w:rsidRPr="002B7667">
        <w:rPr>
          <w:i/>
          <w:iCs/>
          <w:lang w:val="uk-UA"/>
        </w:rPr>
        <w:t xml:space="preserve"> a </w:t>
      </w:r>
      <w:proofErr w:type="spellStart"/>
      <w:r w:rsidR="00776DDC" w:rsidRPr="002B7667">
        <w:rPr>
          <w:i/>
          <w:iCs/>
          <w:lang w:val="uk-UA"/>
        </w:rPr>
        <w:t>Remedy</w:t>
      </w:r>
      <w:proofErr w:type="spellEnd"/>
      <w:r w:rsidR="00776DDC" w:rsidRPr="002B7667">
        <w:rPr>
          <w:i/>
          <w:iCs/>
          <w:lang w:val="uk-UA"/>
        </w:rPr>
        <w:t xml:space="preserve"> and </w:t>
      </w:r>
      <w:proofErr w:type="spellStart"/>
      <w:r w:rsidR="00776DDC" w:rsidRPr="002B7667">
        <w:rPr>
          <w:i/>
          <w:iCs/>
          <w:lang w:val="uk-UA"/>
        </w:rPr>
        <w:t>Reparation</w:t>
      </w:r>
      <w:proofErr w:type="spellEnd"/>
      <w:r w:rsidR="00776DDC" w:rsidRPr="002B7667">
        <w:rPr>
          <w:i/>
          <w:iCs/>
          <w:lang w:val="uk-UA"/>
        </w:rPr>
        <w:t xml:space="preserve"> </w:t>
      </w:r>
      <w:proofErr w:type="spellStart"/>
      <w:r w:rsidR="00776DDC" w:rsidRPr="002B7667">
        <w:rPr>
          <w:i/>
          <w:iCs/>
          <w:lang w:val="uk-UA"/>
        </w:rPr>
        <w:t>for</w:t>
      </w:r>
      <w:proofErr w:type="spellEnd"/>
      <w:r w:rsidR="00776DDC" w:rsidRPr="002B7667">
        <w:rPr>
          <w:i/>
          <w:iCs/>
          <w:lang w:val="uk-UA"/>
        </w:rPr>
        <w:t xml:space="preserve"> </w:t>
      </w:r>
      <w:proofErr w:type="spellStart"/>
      <w:r w:rsidR="00776DDC" w:rsidRPr="002B7667">
        <w:rPr>
          <w:i/>
          <w:iCs/>
          <w:lang w:val="uk-UA"/>
        </w:rPr>
        <w:t>Victims</w:t>
      </w:r>
      <w:proofErr w:type="spellEnd"/>
      <w:r w:rsidR="00776DDC" w:rsidRPr="002B7667">
        <w:rPr>
          <w:i/>
          <w:iCs/>
          <w:lang w:val="uk-UA"/>
        </w:rPr>
        <w:t xml:space="preserve"> of </w:t>
      </w:r>
      <w:proofErr w:type="spellStart"/>
      <w:r w:rsidR="00776DDC" w:rsidRPr="002B7667">
        <w:rPr>
          <w:i/>
          <w:iCs/>
          <w:lang w:val="uk-UA"/>
        </w:rPr>
        <w:t>Gross</w:t>
      </w:r>
      <w:proofErr w:type="spellEnd"/>
      <w:r w:rsidR="00776DDC" w:rsidRPr="002B7667">
        <w:rPr>
          <w:i/>
          <w:iCs/>
          <w:lang w:val="uk-UA"/>
        </w:rPr>
        <w:t xml:space="preserve"> </w:t>
      </w:r>
      <w:proofErr w:type="spellStart"/>
      <w:r w:rsidR="00776DDC" w:rsidRPr="002B7667">
        <w:rPr>
          <w:i/>
          <w:iCs/>
          <w:lang w:val="uk-UA"/>
        </w:rPr>
        <w:t>Violations</w:t>
      </w:r>
      <w:proofErr w:type="spellEnd"/>
      <w:r w:rsidR="00776DDC" w:rsidRPr="002B7667">
        <w:rPr>
          <w:i/>
          <w:iCs/>
          <w:lang w:val="uk-UA"/>
        </w:rPr>
        <w:t xml:space="preserve"> of International Human Rights </w:t>
      </w:r>
      <w:proofErr w:type="spellStart"/>
      <w:r w:rsidR="00776DDC" w:rsidRPr="002B7667">
        <w:rPr>
          <w:i/>
          <w:iCs/>
          <w:lang w:val="uk-UA"/>
        </w:rPr>
        <w:t>Law</w:t>
      </w:r>
      <w:proofErr w:type="spellEnd"/>
      <w:r w:rsidR="00776DDC" w:rsidRPr="002B7667">
        <w:rPr>
          <w:i/>
          <w:iCs/>
          <w:lang w:val="uk-UA"/>
        </w:rPr>
        <w:t xml:space="preserve"> and </w:t>
      </w:r>
      <w:proofErr w:type="spellStart"/>
      <w:r w:rsidR="00776DDC" w:rsidRPr="002B7667">
        <w:rPr>
          <w:i/>
          <w:iCs/>
          <w:lang w:val="uk-UA"/>
        </w:rPr>
        <w:t>Serious</w:t>
      </w:r>
      <w:proofErr w:type="spellEnd"/>
      <w:r w:rsidR="00776DDC" w:rsidRPr="002B7667">
        <w:rPr>
          <w:i/>
          <w:iCs/>
          <w:lang w:val="uk-UA"/>
        </w:rPr>
        <w:t xml:space="preserve"> </w:t>
      </w:r>
      <w:proofErr w:type="spellStart"/>
      <w:r w:rsidR="00776DDC" w:rsidRPr="002B7667">
        <w:rPr>
          <w:i/>
          <w:iCs/>
          <w:lang w:val="uk-UA"/>
        </w:rPr>
        <w:t>Violations</w:t>
      </w:r>
      <w:proofErr w:type="spellEnd"/>
      <w:r w:rsidR="00776DDC" w:rsidRPr="002B7667">
        <w:rPr>
          <w:i/>
          <w:iCs/>
          <w:lang w:val="uk-UA"/>
        </w:rPr>
        <w:t xml:space="preserve"> of International </w:t>
      </w:r>
      <w:proofErr w:type="spellStart"/>
      <w:r w:rsidR="00776DDC" w:rsidRPr="002B7667">
        <w:rPr>
          <w:i/>
          <w:iCs/>
          <w:lang w:val="uk-UA"/>
        </w:rPr>
        <w:t>Humanitarian</w:t>
      </w:r>
      <w:proofErr w:type="spellEnd"/>
      <w:r w:rsidR="00776DDC" w:rsidRPr="002B7667">
        <w:rPr>
          <w:i/>
          <w:iCs/>
          <w:lang w:val="uk-UA"/>
        </w:rPr>
        <w:t xml:space="preserve"> </w:t>
      </w:r>
      <w:proofErr w:type="spellStart"/>
      <w:r w:rsidR="00776DDC" w:rsidRPr="002B7667">
        <w:rPr>
          <w:i/>
          <w:iCs/>
          <w:lang w:val="uk-UA"/>
        </w:rPr>
        <w:t>Law</w:t>
      </w:r>
      <w:proofErr w:type="spellEnd"/>
      <w:r w:rsidR="00776DDC" w:rsidRPr="004C0637">
        <w:rPr>
          <w:lang w:val="uk-UA"/>
        </w:rPr>
        <w:t xml:space="preserve">, </w:t>
      </w:r>
      <w:hyperlink r:id="rId36" w:history="1">
        <w:r w:rsidR="00776DDC" w:rsidRPr="004C0637">
          <w:rPr>
            <w:rStyle w:val="Hyperlink"/>
            <w:rFonts w:eastAsiaTheme="minorEastAsia"/>
            <w:lang w:val="uk-UA"/>
          </w:rPr>
          <w:t>A/RES/60/147</w:t>
        </w:r>
      </w:hyperlink>
      <w:r w:rsidR="00776DDC" w:rsidRPr="004C0637">
        <w:rPr>
          <w:lang w:val="uk-UA"/>
        </w:rPr>
        <w:t>,</w:t>
      </w:r>
      <w:r w:rsidR="002B7667" w:rsidRPr="002B7667">
        <w:rPr>
          <w:lang w:val="en-US"/>
        </w:rPr>
        <w:t xml:space="preserve"> Decem</w:t>
      </w:r>
      <w:r w:rsidR="002B7667">
        <w:rPr>
          <w:lang w:val="en-US"/>
        </w:rPr>
        <w:t>ber 2005,</w:t>
      </w:r>
      <w:r w:rsidR="00776DDC" w:rsidRPr="004C0637">
        <w:rPr>
          <w:lang w:val="uk-UA"/>
        </w:rPr>
        <w:t xml:space="preserve"> </w:t>
      </w:r>
      <w:proofErr w:type="spellStart"/>
      <w:r w:rsidR="00776DDC" w:rsidRPr="004C0637">
        <w:rPr>
          <w:lang w:val="uk-UA"/>
        </w:rPr>
        <w:t>paras</w:t>
      </w:r>
      <w:proofErr w:type="spellEnd"/>
      <w:r w:rsidR="00776DDC" w:rsidRPr="004C0637">
        <w:rPr>
          <w:lang w:val="uk-UA"/>
        </w:rPr>
        <w:t>. 15-16.</w:t>
      </w:r>
    </w:p>
  </w:footnote>
  <w:footnote w:id="97">
    <w:p w14:paraId="246BF999" w14:textId="34E5677F" w:rsidR="00776DDC" w:rsidRPr="009515FA" w:rsidRDefault="00D37D48" w:rsidP="002E5364">
      <w:pPr>
        <w:pStyle w:val="FootnoteText"/>
      </w:pPr>
      <w:r>
        <w:tab/>
      </w:r>
      <w:r w:rsidR="00776DDC" w:rsidRPr="009515FA">
        <w:rPr>
          <w:rStyle w:val="FootnoteReference"/>
        </w:rPr>
        <w:footnoteRef/>
      </w:r>
      <w:r>
        <w:tab/>
      </w:r>
      <w:r w:rsidR="00776DDC" w:rsidRPr="009515FA">
        <w:t xml:space="preserve">Cabinet of Ministers Resolutions No. </w:t>
      </w:r>
      <w:hyperlink r:id="rId37" w:anchor="Text" w:history="1">
        <w:r w:rsidR="00776DDC" w:rsidRPr="00A12491">
          <w:rPr>
            <w:rStyle w:val="Hyperlink"/>
            <w:rFonts w:eastAsiaTheme="minorEastAsia"/>
          </w:rPr>
          <w:t>551</w:t>
        </w:r>
      </w:hyperlink>
      <w:r w:rsidR="00776DDC" w:rsidRPr="009515FA">
        <w:t xml:space="preserve"> (14 May 2024), No. </w:t>
      </w:r>
      <w:hyperlink r:id="rId38" w:anchor="Text" w:history="1">
        <w:r w:rsidR="00776DDC" w:rsidRPr="00445DEE">
          <w:rPr>
            <w:rStyle w:val="Hyperlink"/>
            <w:rFonts w:eastAsiaTheme="minorEastAsia"/>
          </w:rPr>
          <w:t>66</w:t>
        </w:r>
      </w:hyperlink>
      <w:r w:rsidR="00776DDC" w:rsidRPr="009515FA">
        <w:t xml:space="preserve"> (21 January 2025), and No. </w:t>
      </w:r>
      <w:hyperlink r:id="rId39" w:anchor="Text" w:history="1">
        <w:r w:rsidR="00776DDC" w:rsidRPr="00BC7C17">
          <w:rPr>
            <w:rStyle w:val="Hyperlink"/>
            <w:rFonts w:eastAsiaTheme="minorEastAsia"/>
          </w:rPr>
          <w:t>1295</w:t>
        </w:r>
      </w:hyperlink>
      <w:r w:rsidR="00776DDC" w:rsidRPr="009515FA">
        <w:t xml:space="preserve"> (1</w:t>
      </w:r>
      <w:r w:rsidR="00776DDC">
        <w:t xml:space="preserve"> October</w:t>
      </w:r>
      <w:r w:rsidR="00776DDC" w:rsidRPr="009515FA">
        <w:t xml:space="preserve"> 2025).</w:t>
      </w:r>
    </w:p>
  </w:footnote>
  <w:footnote w:id="98">
    <w:p w14:paraId="5D5316CE" w14:textId="07AD83F9" w:rsidR="00776DDC" w:rsidRPr="009515FA" w:rsidRDefault="00E40CFC" w:rsidP="002B7667">
      <w:pPr>
        <w:pStyle w:val="FootnoteText"/>
        <w:rPr>
          <w:lang w:val="en-US"/>
        </w:rPr>
      </w:pPr>
      <w:r>
        <w:tab/>
      </w:r>
      <w:r w:rsidR="00776DDC" w:rsidRPr="009515FA">
        <w:rPr>
          <w:rStyle w:val="FootnoteReference"/>
        </w:rPr>
        <w:footnoteRef/>
      </w:r>
      <w:r>
        <w:tab/>
      </w:r>
      <w:r w:rsidR="00776DDC" w:rsidRPr="009515FA">
        <w:rPr>
          <w:lang w:val="en-US"/>
        </w:rPr>
        <w:t xml:space="preserve">See Law No. </w:t>
      </w:r>
      <w:hyperlink r:id="rId40" w:anchor="Text" w:history="1">
        <w:r w:rsidR="00776DDC" w:rsidRPr="005A5F02">
          <w:rPr>
            <w:rStyle w:val="Hyperlink"/>
            <w:rFonts w:eastAsiaTheme="minorEastAsia"/>
          </w:rPr>
          <w:t>3999-IX</w:t>
        </w:r>
      </w:hyperlink>
      <w:r w:rsidR="00776DDC" w:rsidRPr="009515FA">
        <w:rPr>
          <w:lang w:val="en-US"/>
        </w:rPr>
        <w:t xml:space="preserve"> (8 October 2024) and Cabinet of Ministers Resolutions Nos. </w:t>
      </w:r>
      <w:hyperlink r:id="rId41" w:anchor="Text" w:history="1">
        <w:r w:rsidR="00776DDC" w:rsidRPr="008A121B">
          <w:rPr>
            <w:rStyle w:val="Hyperlink"/>
            <w:rFonts w:eastAsiaTheme="minorEastAsia"/>
          </w:rPr>
          <w:t>268</w:t>
        </w:r>
      </w:hyperlink>
      <w:r w:rsidR="00776DDC" w:rsidRPr="009515FA">
        <w:rPr>
          <w:lang w:val="en-US"/>
        </w:rPr>
        <w:t xml:space="preserve"> (2017), </w:t>
      </w:r>
      <w:hyperlink r:id="rId42" w:anchor="Text" w:history="1">
        <w:r w:rsidR="00776DDC" w:rsidRPr="00C0294F">
          <w:rPr>
            <w:rStyle w:val="Hyperlink"/>
            <w:rFonts w:eastAsiaTheme="minorEastAsia"/>
          </w:rPr>
          <w:t>551</w:t>
        </w:r>
      </w:hyperlink>
      <w:r w:rsidR="00776DDC" w:rsidRPr="009515FA">
        <w:rPr>
          <w:lang w:val="en-US"/>
        </w:rPr>
        <w:t xml:space="preserve"> (14 May 2024), </w:t>
      </w:r>
      <w:hyperlink r:id="rId43" w:anchor="Text" w:history="1">
        <w:r w:rsidR="00776DDC" w:rsidRPr="00BE402E">
          <w:rPr>
            <w:rStyle w:val="Hyperlink"/>
            <w:rFonts w:eastAsiaTheme="minorEastAsia"/>
          </w:rPr>
          <w:t>1240</w:t>
        </w:r>
      </w:hyperlink>
      <w:r w:rsidR="00776DDC" w:rsidRPr="009515FA">
        <w:rPr>
          <w:lang w:val="en-US"/>
        </w:rPr>
        <w:t xml:space="preserve"> (29 October 2024), </w:t>
      </w:r>
      <w:hyperlink r:id="rId44" w:anchor="Text" w:history="1">
        <w:r w:rsidR="00776DDC" w:rsidRPr="00C0294F">
          <w:rPr>
            <w:rStyle w:val="Hyperlink"/>
            <w:rFonts w:eastAsiaTheme="minorEastAsia"/>
          </w:rPr>
          <w:t>66</w:t>
        </w:r>
      </w:hyperlink>
      <w:r w:rsidR="00776DDC" w:rsidRPr="009515FA">
        <w:rPr>
          <w:lang w:val="en-US"/>
        </w:rPr>
        <w:t xml:space="preserve"> (21 January 2025), </w:t>
      </w:r>
      <w:hyperlink r:id="rId45" w:anchor="Text" w:history="1">
        <w:r w:rsidR="00776DDC" w:rsidRPr="006F0877">
          <w:rPr>
            <w:rStyle w:val="Hyperlink"/>
            <w:rFonts w:eastAsiaTheme="minorEastAsia"/>
          </w:rPr>
          <w:t>641</w:t>
        </w:r>
      </w:hyperlink>
      <w:r w:rsidR="00776DDC" w:rsidRPr="009515FA">
        <w:rPr>
          <w:lang w:val="en-US"/>
        </w:rPr>
        <w:t xml:space="preserve"> (4 June 2025), </w:t>
      </w:r>
      <w:hyperlink r:id="rId46" w:anchor="Text" w:history="1">
        <w:r w:rsidR="00776DDC" w:rsidRPr="00AA5973">
          <w:rPr>
            <w:rStyle w:val="Hyperlink"/>
            <w:rFonts w:eastAsiaTheme="minorEastAsia"/>
          </w:rPr>
          <w:t>653</w:t>
        </w:r>
      </w:hyperlink>
      <w:r w:rsidR="00776DDC" w:rsidRPr="009515FA">
        <w:rPr>
          <w:lang w:val="en-US"/>
        </w:rPr>
        <w:t xml:space="preserve"> (4 June 2025), </w:t>
      </w:r>
      <w:hyperlink r:id="rId47" w:anchor="Text" w:history="1">
        <w:r w:rsidR="00776DDC" w:rsidRPr="00C0294F">
          <w:rPr>
            <w:rStyle w:val="Hyperlink"/>
            <w:rFonts w:eastAsiaTheme="minorEastAsia"/>
          </w:rPr>
          <w:t>1295</w:t>
        </w:r>
      </w:hyperlink>
      <w:r w:rsidR="00776DDC" w:rsidRPr="009515FA">
        <w:rPr>
          <w:lang w:val="en-US"/>
        </w:rPr>
        <w:t xml:space="preserve"> (1 Oct 2025).</w:t>
      </w:r>
    </w:p>
  </w:footnote>
  <w:footnote w:id="99">
    <w:p w14:paraId="579ECDD4" w14:textId="4AB831C6" w:rsidR="00776DDC" w:rsidRPr="009515FA" w:rsidRDefault="00E40CFC" w:rsidP="00776DDC">
      <w:pPr>
        <w:pStyle w:val="FootnoteText"/>
      </w:pPr>
      <w:r>
        <w:tab/>
      </w:r>
      <w:r w:rsidR="00776DDC" w:rsidRPr="009515FA">
        <w:rPr>
          <w:rStyle w:val="FootnoteReference"/>
        </w:rPr>
        <w:footnoteRef/>
      </w:r>
      <w:r>
        <w:tab/>
      </w:r>
      <w:r w:rsidR="00776DDC" w:rsidRPr="009515FA">
        <w:t xml:space="preserve">Draft law No. </w:t>
      </w:r>
      <w:hyperlink r:id="rId48" w:history="1">
        <w:r w:rsidR="00776DDC" w:rsidRPr="009515FA">
          <w:rPr>
            <w:rStyle w:val="Hyperlink"/>
            <w:rFonts w:eastAsiaTheme="minorEastAsia"/>
          </w:rPr>
          <w:t>14251</w:t>
        </w:r>
      </w:hyperlink>
      <w:r w:rsidR="00776DDC" w:rsidRPr="009515FA">
        <w:t>, 26 November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70596" w14:textId="10BBBF7A" w:rsidR="0082200B" w:rsidRPr="00DD7B7B" w:rsidRDefault="00E60440" w:rsidP="00FC70E7">
    <w:pPr>
      <w:pStyle w:val="Header"/>
      <w:rPr>
        <w:color w:val="FF0000"/>
        <w:lang w:val="es-ES"/>
      </w:rPr>
    </w:pPr>
    <w:r>
      <w:rPr>
        <w:lang w:val="es-ES"/>
      </w:rPr>
      <w:t>A/HRC/61/CRP</w:t>
    </w:r>
    <w:r w:rsidR="00C901C2">
      <w:rPr>
        <w:lang w:val="es-ES"/>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073A" w14:textId="5C415440" w:rsidR="0082200B" w:rsidRPr="0082200B" w:rsidRDefault="00CD16D0" w:rsidP="00DE70BF">
    <w:pPr>
      <w:pStyle w:val="Header"/>
      <w:jc w:val="right"/>
    </w:pPr>
    <w:r w:rsidRPr="00DE70BF">
      <w:t>A/HRC/61/CRP.5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0E26F22"/>
    <w:multiLevelType w:val="hybridMultilevel"/>
    <w:tmpl w:val="69185250"/>
    <w:lvl w:ilvl="0" w:tplc="FFFFFFFF">
      <w:start w:val="1"/>
      <w:numFmt w:val="lowerLetter"/>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 w15:restartNumberingAfterBreak="0">
    <w:nsid w:val="14140722"/>
    <w:multiLevelType w:val="hybridMultilevel"/>
    <w:tmpl w:val="B4B6502C"/>
    <w:lvl w:ilvl="0" w:tplc="10000001">
      <w:start w:val="24"/>
      <w:numFmt w:val="bullet"/>
      <w:lvlText w:val=""/>
      <w:lvlJc w:val="left"/>
      <w:pPr>
        <w:ind w:left="720" w:hanging="360"/>
      </w:pPr>
      <w:rPr>
        <w:rFonts w:ascii="Symbol" w:eastAsia="Times New Roman" w:hAnsi="Symbol"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15102FA4"/>
    <w:multiLevelType w:val="hybridMultilevel"/>
    <w:tmpl w:val="36D288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342899"/>
    <w:multiLevelType w:val="hybridMultilevel"/>
    <w:tmpl w:val="69185250"/>
    <w:lvl w:ilvl="0" w:tplc="08090017">
      <w:start w:val="1"/>
      <w:numFmt w:val="lowerLetter"/>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8"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6070A6"/>
    <w:multiLevelType w:val="hybridMultilevel"/>
    <w:tmpl w:val="CBD674B4"/>
    <w:lvl w:ilvl="0" w:tplc="CD6427A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2C1788"/>
    <w:multiLevelType w:val="hybridMultilevel"/>
    <w:tmpl w:val="D4880746"/>
    <w:lvl w:ilvl="0" w:tplc="7018E7CC">
      <w:start w:val="1"/>
      <w:numFmt w:val="decimal"/>
      <w:lvlText w:val="%1."/>
      <w:lvlJc w:val="left"/>
      <w:pPr>
        <w:ind w:left="1020" w:hanging="360"/>
      </w:pPr>
    </w:lvl>
    <w:lvl w:ilvl="1" w:tplc="1F882576">
      <w:start w:val="1"/>
      <w:numFmt w:val="decimal"/>
      <w:lvlText w:val="%2."/>
      <w:lvlJc w:val="left"/>
      <w:pPr>
        <w:ind w:left="1020" w:hanging="360"/>
      </w:pPr>
    </w:lvl>
    <w:lvl w:ilvl="2" w:tplc="86166FDE">
      <w:start w:val="1"/>
      <w:numFmt w:val="decimal"/>
      <w:lvlText w:val="%3."/>
      <w:lvlJc w:val="left"/>
      <w:pPr>
        <w:ind w:left="1020" w:hanging="360"/>
      </w:pPr>
    </w:lvl>
    <w:lvl w:ilvl="3" w:tplc="12A4A16A">
      <w:start w:val="1"/>
      <w:numFmt w:val="decimal"/>
      <w:lvlText w:val="%4."/>
      <w:lvlJc w:val="left"/>
      <w:pPr>
        <w:ind w:left="1020" w:hanging="360"/>
      </w:pPr>
    </w:lvl>
    <w:lvl w:ilvl="4" w:tplc="DB9A434A">
      <w:start w:val="1"/>
      <w:numFmt w:val="decimal"/>
      <w:lvlText w:val="%5."/>
      <w:lvlJc w:val="left"/>
      <w:pPr>
        <w:ind w:left="1020" w:hanging="360"/>
      </w:pPr>
    </w:lvl>
    <w:lvl w:ilvl="5" w:tplc="D64A7802">
      <w:start w:val="1"/>
      <w:numFmt w:val="decimal"/>
      <w:lvlText w:val="%6."/>
      <w:lvlJc w:val="left"/>
      <w:pPr>
        <w:ind w:left="1020" w:hanging="360"/>
      </w:pPr>
    </w:lvl>
    <w:lvl w:ilvl="6" w:tplc="528E9210">
      <w:start w:val="1"/>
      <w:numFmt w:val="decimal"/>
      <w:lvlText w:val="%7."/>
      <w:lvlJc w:val="left"/>
      <w:pPr>
        <w:ind w:left="1020" w:hanging="360"/>
      </w:pPr>
    </w:lvl>
    <w:lvl w:ilvl="7" w:tplc="127A20FE">
      <w:start w:val="1"/>
      <w:numFmt w:val="decimal"/>
      <w:lvlText w:val="%8."/>
      <w:lvlJc w:val="left"/>
      <w:pPr>
        <w:ind w:left="1020" w:hanging="360"/>
      </w:pPr>
    </w:lvl>
    <w:lvl w:ilvl="8" w:tplc="03784EB0">
      <w:start w:val="1"/>
      <w:numFmt w:val="decimal"/>
      <w:lvlText w:val="%9."/>
      <w:lvlJc w:val="left"/>
      <w:pPr>
        <w:ind w:left="1020" w:hanging="360"/>
      </w:pPr>
    </w:lvl>
  </w:abstractNum>
  <w:abstractNum w:abstractNumId="11" w15:restartNumberingAfterBreak="0">
    <w:nsid w:val="318D2017"/>
    <w:multiLevelType w:val="hybridMultilevel"/>
    <w:tmpl w:val="93DE3B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DD3ADE"/>
    <w:multiLevelType w:val="hybridMultilevel"/>
    <w:tmpl w:val="12A6E704"/>
    <w:lvl w:ilvl="0" w:tplc="33BE76A4">
      <w:start w:val="1"/>
      <w:numFmt w:val="bullet"/>
      <w:lvlText w:val=""/>
      <w:lvlJc w:val="left"/>
      <w:pPr>
        <w:ind w:left="1080" w:hanging="360"/>
      </w:pPr>
      <w:rPr>
        <w:rFonts w:ascii="Symbol" w:hAnsi="Symbol"/>
      </w:rPr>
    </w:lvl>
    <w:lvl w:ilvl="1" w:tplc="D95E7F48">
      <w:start w:val="1"/>
      <w:numFmt w:val="bullet"/>
      <w:lvlText w:val=""/>
      <w:lvlJc w:val="left"/>
      <w:pPr>
        <w:ind w:left="1080" w:hanging="360"/>
      </w:pPr>
      <w:rPr>
        <w:rFonts w:ascii="Symbol" w:hAnsi="Symbol"/>
      </w:rPr>
    </w:lvl>
    <w:lvl w:ilvl="2" w:tplc="600ADC04">
      <w:start w:val="1"/>
      <w:numFmt w:val="bullet"/>
      <w:lvlText w:val=""/>
      <w:lvlJc w:val="left"/>
      <w:pPr>
        <w:ind w:left="1080" w:hanging="360"/>
      </w:pPr>
      <w:rPr>
        <w:rFonts w:ascii="Symbol" w:hAnsi="Symbol"/>
      </w:rPr>
    </w:lvl>
    <w:lvl w:ilvl="3" w:tplc="0B343142">
      <w:start w:val="1"/>
      <w:numFmt w:val="bullet"/>
      <w:lvlText w:val=""/>
      <w:lvlJc w:val="left"/>
      <w:pPr>
        <w:ind w:left="1080" w:hanging="360"/>
      </w:pPr>
      <w:rPr>
        <w:rFonts w:ascii="Symbol" w:hAnsi="Symbol"/>
      </w:rPr>
    </w:lvl>
    <w:lvl w:ilvl="4" w:tplc="32762542">
      <w:start w:val="1"/>
      <w:numFmt w:val="bullet"/>
      <w:lvlText w:val=""/>
      <w:lvlJc w:val="left"/>
      <w:pPr>
        <w:ind w:left="1080" w:hanging="360"/>
      </w:pPr>
      <w:rPr>
        <w:rFonts w:ascii="Symbol" w:hAnsi="Symbol"/>
      </w:rPr>
    </w:lvl>
    <w:lvl w:ilvl="5" w:tplc="E00A9724">
      <w:start w:val="1"/>
      <w:numFmt w:val="bullet"/>
      <w:lvlText w:val=""/>
      <w:lvlJc w:val="left"/>
      <w:pPr>
        <w:ind w:left="1080" w:hanging="360"/>
      </w:pPr>
      <w:rPr>
        <w:rFonts w:ascii="Symbol" w:hAnsi="Symbol"/>
      </w:rPr>
    </w:lvl>
    <w:lvl w:ilvl="6" w:tplc="DFDCBEE4">
      <w:start w:val="1"/>
      <w:numFmt w:val="bullet"/>
      <w:lvlText w:val=""/>
      <w:lvlJc w:val="left"/>
      <w:pPr>
        <w:ind w:left="1080" w:hanging="360"/>
      </w:pPr>
      <w:rPr>
        <w:rFonts w:ascii="Symbol" w:hAnsi="Symbol"/>
      </w:rPr>
    </w:lvl>
    <w:lvl w:ilvl="7" w:tplc="D102BCC8">
      <w:start w:val="1"/>
      <w:numFmt w:val="bullet"/>
      <w:lvlText w:val=""/>
      <w:lvlJc w:val="left"/>
      <w:pPr>
        <w:ind w:left="1080" w:hanging="360"/>
      </w:pPr>
      <w:rPr>
        <w:rFonts w:ascii="Symbol" w:hAnsi="Symbol"/>
      </w:rPr>
    </w:lvl>
    <w:lvl w:ilvl="8" w:tplc="DFD0AA86">
      <w:start w:val="1"/>
      <w:numFmt w:val="bullet"/>
      <w:lvlText w:val=""/>
      <w:lvlJc w:val="left"/>
      <w:pPr>
        <w:ind w:left="1080" w:hanging="360"/>
      </w:pPr>
      <w:rPr>
        <w:rFonts w:ascii="Symbol" w:hAnsi="Symbol"/>
      </w:rPr>
    </w:lvl>
  </w:abstractNum>
  <w:abstractNum w:abstractNumId="14" w15:restartNumberingAfterBreak="0">
    <w:nsid w:val="40D911AE"/>
    <w:multiLevelType w:val="hybridMultilevel"/>
    <w:tmpl w:val="F6C6D2CC"/>
    <w:lvl w:ilvl="0" w:tplc="654C7BE2">
      <w:numFmt w:val="bullet"/>
      <w:lvlText w:val=""/>
      <w:lvlJc w:val="left"/>
      <w:pPr>
        <w:ind w:left="720"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E668C"/>
    <w:multiLevelType w:val="hybridMultilevel"/>
    <w:tmpl w:val="F84053AA"/>
    <w:lvl w:ilvl="0" w:tplc="929A9B1C">
      <w:start w:val="1"/>
      <w:numFmt w:val="decimal"/>
      <w:pStyle w:val="Paragraphs"/>
      <w:lvlText w:val="%1."/>
      <w:lvlJc w:val="left"/>
      <w:pPr>
        <w:ind w:left="630" w:hanging="360"/>
      </w:pPr>
    </w:lvl>
    <w:lvl w:ilvl="1" w:tplc="DDC0CCE8">
      <w:start w:val="1"/>
      <w:numFmt w:val="lowerLetter"/>
      <w:lvlText w:val="%2."/>
      <w:lvlJc w:val="left"/>
      <w:pPr>
        <w:ind w:left="1440" w:hanging="360"/>
      </w:pPr>
    </w:lvl>
    <w:lvl w:ilvl="2" w:tplc="9CA87950">
      <w:start w:val="1"/>
      <w:numFmt w:val="lowerRoman"/>
      <w:lvlText w:val="%3."/>
      <w:lvlJc w:val="right"/>
      <w:pPr>
        <w:ind w:left="2160" w:hanging="180"/>
      </w:pPr>
    </w:lvl>
    <w:lvl w:ilvl="3" w:tplc="78281470">
      <w:start w:val="1"/>
      <w:numFmt w:val="decimal"/>
      <w:lvlText w:val="%4."/>
      <w:lvlJc w:val="left"/>
      <w:pPr>
        <w:ind w:left="2880" w:hanging="360"/>
      </w:pPr>
    </w:lvl>
    <w:lvl w:ilvl="4" w:tplc="7EBE9CB8">
      <w:start w:val="1"/>
      <w:numFmt w:val="lowerLetter"/>
      <w:lvlText w:val="%5."/>
      <w:lvlJc w:val="left"/>
      <w:pPr>
        <w:ind w:left="3600" w:hanging="360"/>
      </w:pPr>
    </w:lvl>
    <w:lvl w:ilvl="5" w:tplc="E2F44D96">
      <w:start w:val="1"/>
      <w:numFmt w:val="lowerRoman"/>
      <w:lvlText w:val="%6."/>
      <w:lvlJc w:val="right"/>
      <w:pPr>
        <w:ind w:left="4320" w:hanging="180"/>
      </w:pPr>
    </w:lvl>
    <w:lvl w:ilvl="6" w:tplc="03AE7E94">
      <w:start w:val="1"/>
      <w:numFmt w:val="decimal"/>
      <w:lvlText w:val="%7."/>
      <w:lvlJc w:val="left"/>
      <w:pPr>
        <w:ind w:left="5040" w:hanging="360"/>
      </w:pPr>
    </w:lvl>
    <w:lvl w:ilvl="7" w:tplc="750CACF2">
      <w:start w:val="1"/>
      <w:numFmt w:val="lowerLetter"/>
      <w:lvlText w:val="%8."/>
      <w:lvlJc w:val="left"/>
      <w:pPr>
        <w:ind w:left="5760" w:hanging="360"/>
      </w:pPr>
    </w:lvl>
    <w:lvl w:ilvl="8" w:tplc="30D2584C">
      <w:start w:val="1"/>
      <w:numFmt w:val="lowerRoman"/>
      <w:lvlText w:val="%9."/>
      <w:lvlJc w:val="right"/>
      <w:pPr>
        <w:ind w:left="6480" w:hanging="180"/>
      </w:pPr>
    </w:lvl>
  </w:abstractNum>
  <w:abstractNum w:abstractNumId="16" w15:restartNumberingAfterBreak="0">
    <w:nsid w:val="5F6733FA"/>
    <w:multiLevelType w:val="hybridMultilevel"/>
    <w:tmpl w:val="5A6A1456"/>
    <w:lvl w:ilvl="0" w:tplc="90F21F1C">
      <w:start w:val="1"/>
      <w:numFmt w:val="lowerLetter"/>
      <w:lvlText w:val="%1)"/>
      <w:lvlJc w:val="left"/>
      <w:pPr>
        <w:ind w:left="720" w:hanging="360"/>
      </w:pPr>
    </w:lvl>
    <w:lvl w:ilvl="1" w:tplc="D1982A5C">
      <w:start w:val="1"/>
      <w:numFmt w:val="lowerLetter"/>
      <w:lvlText w:val="%2)"/>
      <w:lvlJc w:val="left"/>
      <w:pPr>
        <w:ind w:left="720" w:hanging="360"/>
      </w:pPr>
    </w:lvl>
    <w:lvl w:ilvl="2" w:tplc="87BA8DFC">
      <w:start w:val="1"/>
      <w:numFmt w:val="lowerLetter"/>
      <w:lvlText w:val="%3)"/>
      <w:lvlJc w:val="left"/>
      <w:pPr>
        <w:ind w:left="720" w:hanging="360"/>
      </w:pPr>
    </w:lvl>
    <w:lvl w:ilvl="3" w:tplc="749C1146">
      <w:start w:val="1"/>
      <w:numFmt w:val="lowerLetter"/>
      <w:lvlText w:val="%4)"/>
      <w:lvlJc w:val="left"/>
      <w:pPr>
        <w:ind w:left="720" w:hanging="360"/>
      </w:pPr>
    </w:lvl>
    <w:lvl w:ilvl="4" w:tplc="FA7E6B08">
      <w:start w:val="1"/>
      <w:numFmt w:val="lowerLetter"/>
      <w:lvlText w:val="%5)"/>
      <w:lvlJc w:val="left"/>
      <w:pPr>
        <w:ind w:left="720" w:hanging="360"/>
      </w:pPr>
    </w:lvl>
    <w:lvl w:ilvl="5" w:tplc="A5FAE854">
      <w:start w:val="1"/>
      <w:numFmt w:val="lowerLetter"/>
      <w:lvlText w:val="%6)"/>
      <w:lvlJc w:val="left"/>
      <w:pPr>
        <w:ind w:left="720" w:hanging="360"/>
      </w:pPr>
    </w:lvl>
    <w:lvl w:ilvl="6" w:tplc="6E2ADE76">
      <w:start w:val="1"/>
      <w:numFmt w:val="lowerLetter"/>
      <w:lvlText w:val="%7)"/>
      <w:lvlJc w:val="left"/>
      <w:pPr>
        <w:ind w:left="720" w:hanging="360"/>
      </w:pPr>
    </w:lvl>
    <w:lvl w:ilvl="7" w:tplc="E5E8937A">
      <w:start w:val="1"/>
      <w:numFmt w:val="lowerLetter"/>
      <w:lvlText w:val="%8)"/>
      <w:lvlJc w:val="left"/>
      <w:pPr>
        <w:ind w:left="720" w:hanging="360"/>
      </w:pPr>
    </w:lvl>
    <w:lvl w:ilvl="8" w:tplc="36CA6F7E">
      <w:start w:val="1"/>
      <w:numFmt w:val="lowerLetter"/>
      <w:lvlText w:val="%9)"/>
      <w:lvlJc w:val="left"/>
      <w:pPr>
        <w:ind w:left="72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6D7F74B5"/>
    <w:multiLevelType w:val="hybridMultilevel"/>
    <w:tmpl w:val="4CD4BADA"/>
    <w:lvl w:ilvl="0" w:tplc="F56A9E90">
      <w:start w:val="1"/>
      <w:numFmt w:val="decimal"/>
      <w:pStyle w:val="MaintextFutura11"/>
      <w:lvlText w:val="%1."/>
      <w:lvlJc w:val="left"/>
      <w:pPr>
        <w:ind w:left="720" w:hanging="360"/>
      </w:pPr>
      <w:rPr>
        <w:rFonts w:ascii="Futura PT Book" w:hAnsi="Futura PT Book" w:hint="default"/>
        <w:b w:val="0"/>
        <w:bCs w:val="0"/>
        <w:vertAlign w:val="baseli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DE755E8"/>
    <w:multiLevelType w:val="hybridMultilevel"/>
    <w:tmpl w:val="9E8AC2D4"/>
    <w:lvl w:ilvl="0" w:tplc="1CD454EE">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4133930">
    <w:abstractNumId w:val="12"/>
  </w:num>
  <w:num w:numId="2" w16cid:durableId="70351089">
    <w:abstractNumId w:val="8"/>
  </w:num>
  <w:num w:numId="3" w16cid:durableId="1531141934">
    <w:abstractNumId w:val="18"/>
  </w:num>
  <w:num w:numId="4" w16cid:durableId="2003504750">
    <w:abstractNumId w:val="3"/>
  </w:num>
  <w:num w:numId="5" w16cid:durableId="515004700">
    <w:abstractNumId w:val="0"/>
  </w:num>
  <w:num w:numId="6" w16cid:durableId="869807329">
    <w:abstractNumId w:val="1"/>
  </w:num>
  <w:num w:numId="7" w16cid:durableId="267588468">
    <w:abstractNumId w:val="17"/>
  </w:num>
  <w:num w:numId="8" w16cid:durableId="1662730060">
    <w:abstractNumId w:val="2"/>
  </w:num>
  <w:num w:numId="9" w16cid:durableId="1235582550">
    <w:abstractNumId w:val="19"/>
  </w:num>
  <w:num w:numId="10" w16cid:durableId="731347718">
    <w:abstractNumId w:val="15"/>
  </w:num>
  <w:num w:numId="11" w16cid:durableId="1896507666">
    <w:abstractNumId w:val="11"/>
  </w:num>
  <w:num w:numId="12" w16cid:durableId="1376271687">
    <w:abstractNumId w:val="7"/>
  </w:num>
  <w:num w:numId="13" w16cid:durableId="1384594820">
    <w:abstractNumId w:val="6"/>
  </w:num>
  <w:num w:numId="14" w16cid:durableId="188177439">
    <w:abstractNumId w:val="9"/>
  </w:num>
  <w:num w:numId="15" w16cid:durableId="927620613">
    <w:abstractNumId w:val="14"/>
  </w:num>
  <w:num w:numId="16" w16cid:durableId="1928952940">
    <w:abstractNumId w:val="20"/>
  </w:num>
  <w:num w:numId="17" w16cid:durableId="1122042635">
    <w:abstractNumId w:val="4"/>
  </w:num>
  <w:num w:numId="18" w16cid:durableId="71659526">
    <w:abstractNumId w:val="10"/>
  </w:num>
  <w:num w:numId="19" w16cid:durableId="777650467">
    <w:abstractNumId w:val="13"/>
  </w:num>
  <w:num w:numId="20" w16cid:durableId="1177618245">
    <w:abstractNumId w:val="16"/>
  </w:num>
  <w:num w:numId="21" w16cid:durableId="182604650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de-DE" w:vendorID="64" w:dllVersion="0" w:nlCheck="1" w:checkStyle="0"/>
  <w:activeWritingStyle w:appName="MSWord" w:lang="es-ES"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00B"/>
    <w:rsid w:val="00003891"/>
    <w:rsid w:val="00007F7F"/>
    <w:rsid w:val="000172E2"/>
    <w:rsid w:val="00022DB5"/>
    <w:rsid w:val="00024894"/>
    <w:rsid w:val="000311BD"/>
    <w:rsid w:val="00040324"/>
    <w:rsid w:val="000403D1"/>
    <w:rsid w:val="000449AA"/>
    <w:rsid w:val="00050F6B"/>
    <w:rsid w:val="0005662A"/>
    <w:rsid w:val="000568B8"/>
    <w:rsid w:val="00072C8C"/>
    <w:rsid w:val="00073E70"/>
    <w:rsid w:val="000876EB"/>
    <w:rsid w:val="00091419"/>
    <w:rsid w:val="000931C0"/>
    <w:rsid w:val="000B175B"/>
    <w:rsid w:val="000B2851"/>
    <w:rsid w:val="000B3A0F"/>
    <w:rsid w:val="000B4A3B"/>
    <w:rsid w:val="000B678A"/>
    <w:rsid w:val="000C59D8"/>
    <w:rsid w:val="000C5FB6"/>
    <w:rsid w:val="000D145C"/>
    <w:rsid w:val="000D1851"/>
    <w:rsid w:val="000E0415"/>
    <w:rsid w:val="000F3534"/>
    <w:rsid w:val="000F553E"/>
    <w:rsid w:val="000F5833"/>
    <w:rsid w:val="00105D10"/>
    <w:rsid w:val="00134C96"/>
    <w:rsid w:val="00137F66"/>
    <w:rsid w:val="00141884"/>
    <w:rsid w:val="00143020"/>
    <w:rsid w:val="00146D32"/>
    <w:rsid w:val="001509BA"/>
    <w:rsid w:val="001555DA"/>
    <w:rsid w:val="00175B28"/>
    <w:rsid w:val="00186320"/>
    <w:rsid w:val="0019582E"/>
    <w:rsid w:val="001B091A"/>
    <w:rsid w:val="001B1B0C"/>
    <w:rsid w:val="001B3380"/>
    <w:rsid w:val="001B4B04"/>
    <w:rsid w:val="001C08C1"/>
    <w:rsid w:val="001C6663"/>
    <w:rsid w:val="001C7895"/>
    <w:rsid w:val="001D0746"/>
    <w:rsid w:val="001D26DF"/>
    <w:rsid w:val="001D2B99"/>
    <w:rsid w:val="001E2790"/>
    <w:rsid w:val="001E54E1"/>
    <w:rsid w:val="001E71DE"/>
    <w:rsid w:val="00211E0B"/>
    <w:rsid w:val="00211E72"/>
    <w:rsid w:val="00211FFA"/>
    <w:rsid w:val="00214047"/>
    <w:rsid w:val="0022130F"/>
    <w:rsid w:val="002245D8"/>
    <w:rsid w:val="00225C3C"/>
    <w:rsid w:val="0023471C"/>
    <w:rsid w:val="00237785"/>
    <w:rsid w:val="002410DD"/>
    <w:rsid w:val="00241466"/>
    <w:rsid w:val="00253D58"/>
    <w:rsid w:val="002577F7"/>
    <w:rsid w:val="00263BB1"/>
    <w:rsid w:val="00265AD5"/>
    <w:rsid w:val="00271962"/>
    <w:rsid w:val="0027725F"/>
    <w:rsid w:val="002A7BAB"/>
    <w:rsid w:val="002B7667"/>
    <w:rsid w:val="002B7D8C"/>
    <w:rsid w:val="002C21F0"/>
    <w:rsid w:val="002E02CA"/>
    <w:rsid w:val="002E5364"/>
    <w:rsid w:val="002F254E"/>
    <w:rsid w:val="002F6ECF"/>
    <w:rsid w:val="003073C9"/>
    <w:rsid w:val="003107FA"/>
    <w:rsid w:val="00320121"/>
    <w:rsid w:val="003229D8"/>
    <w:rsid w:val="00327E35"/>
    <w:rsid w:val="003314D1"/>
    <w:rsid w:val="003358F6"/>
    <w:rsid w:val="00335A2F"/>
    <w:rsid w:val="00341937"/>
    <w:rsid w:val="00350DCF"/>
    <w:rsid w:val="0035662B"/>
    <w:rsid w:val="0035779B"/>
    <w:rsid w:val="00360FA7"/>
    <w:rsid w:val="00365D1F"/>
    <w:rsid w:val="003863E5"/>
    <w:rsid w:val="0039277A"/>
    <w:rsid w:val="003972E0"/>
    <w:rsid w:val="003975ED"/>
    <w:rsid w:val="003C164F"/>
    <w:rsid w:val="003C1E1F"/>
    <w:rsid w:val="003C2CC4"/>
    <w:rsid w:val="003D0D58"/>
    <w:rsid w:val="003D4B23"/>
    <w:rsid w:val="003F1E9D"/>
    <w:rsid w:val="0041019C"/>
    <w:rsid w:val="004109B8"/>
    <w:rsid w:val="00417CC3"/>
    <w:rsid w:val="00420209"/>
    <w:rsid w:val="00421A0B"/>
    <w:rsid w:val="004249C4"/>
    <w:rsid w:val="00424C80"/>
    <w:rsid w:val="0042776C"/>
    <w:rsid w:val="004325CB"/>
    <w:rsid w:val="0044503A"/>
    <w:rsid w:val="00446DE4"/>
    <w:rsid w:val="00447761"/>
    <w:rsid w:val="00451EC3"/>
    <w:rsid w:val="00456B7E"/>
    <w:rsid w:val="00462427"/>
    <w:rsid w:val="00463B51"/>
    <w:rsid w:val="004721B1"/>
    <w:rsid w:val="0048489E"/>
    <w:rsid w:val="004859EC"/>
    <w:rsid w:val="00486895"/>
    <w:rsid w:val="00490904"/>
    <w:rsid w:val="00496A15"/>
    <w:rsid w:val="004A487E"/>
    <w:rsid w:val="004B75D2"/>
    <w:rsid w:val="004D0C81"/>
    <w:rsid w:val="004D1140"/>
    <w:rsid w:val="004F2BE7"/>
    <w:rsid w:val="004F4ED9"/>
    <w:rsid w:val="004F55ED"/>
    <w:rsid w:val="004F7E7F"/>
    <w:rsid w:val="00506199"/>
    <w:rsid w:val="00520B82"/>
    <w:rsid w:val="0052176C"/>
    <w:rsid w:val="005261E5"/>
    <w:rsid w:val="005420F2"/>
    <w:rsid w:val="00542574"/>
    <w:rsid w:val="005436AB"/>
    <w:rsid w:val="00546924"/>
    <w:rsid w:val="00546DBF"/>
    <w:rsid w:val="0054711B"/>
    <w:rsid w:val="0055385F"/>
    <w:rsid w:val="005539C4"/>
    <w:rsid w:val="00553D76"/>
    <w:rsid w:val="005552B5"/>
    <w:rsid w:val="0056117B"/>
    <w:rsid w:val="00562621"/>
    <w:rsid w:val="00571365"/>
    <w:rsid w:val="005845BA"/>
    <w:rsid w:val="0059456F"/>
    <w:rsid w:val="00594BB7"/>
    <w:rsid w:val="005A0E16"/>
    <w:rsid w:val="005A4468"/>
    <w:rsid w:val="005A448D"/>
    <w:rsid w:val="005A543D"/>
    <w:rsid w:val="005A726D"/>
    <w:rsid w:val="005B3DB3"/>
    <w:rsid w:val="005B6E48"/>
    <w:rsid w:val="005C630E"/>
    <w:rsid w:val="005D2C15"/>
    <w:rsid w:val="005D53BE"/>
    <w:rsid w:val="005E1712"/>
    <w:rsid w:val="005E1D5A"/>
    <w:rsid w:val="005F2FAF"/>
    <w:rsid w:val="00600D67"/>
    <w:rsid w:val="00611FC4"/>
    <w:rsid w:val="006175BD"/>
    <w:rsid w:val="006176FB"/>
    <w:rsid w:val="00631702"/>
    <w:rsid w:val="00640B26"/>
    <w:rsid w:val="00655B60"/>
    <w:rsid w:val="00660A52"/>
    <w:rsid w:val="0066618A"/>
    <w:rsid w:val="00670741"/>
    <w:rsid w:val="00693419"/>
    <w:rsid w:val="00696BD6"/>
    <w:rsid w:val="006A6B9D"/>
    <w:rsid w:val="006A7392"/>
    <w:rsid w:val="006B10F9"/>
    <w:rsid w:val="006B3189"/>
    <w:rsid w:val="006B7D65"/>
    <w:rsid w:val="006D6DA6"/>
    <w:rsid w:val="006E564B"/>
    <w:rsid w:val="006F13F0"/>
    <w:rsid w:val="006F3FC5"/>
    <w:rsid w:val="006F5035"/>
    <w:rsid w:val="00702B9E"/>
    <w:rsid w:val="00702FE9"/>
    <w:rsid w:val="007065EB"/>
    <w:rsid w:val="00717D0E"/>
    <w:rsid w:val="00720183"/>
    <w:rsid w:val="00725E5F"/>
    <w:rsid w:val="0072632A"/>
    <w:rsid w:val="007315B3"/>
    <w:rsid w:val="0073367B"/>
    <w:rsid w:val="00734E9D"/>
    <w:rsid w:val="00741255"/>
    <w:rsid w:val="0074200B"/>
    <w:rsid w:val="00752227"/>
    <w:rsid w:val="00756535"/>
    <w:rsid w:val="007678B8"/>
    <w:rsid w:val="00776DDC"/>
    <w:rsid w:val="00790756"/>
    <w:rsid w:val="007A0B2F"/>
    <w:rsid w:val="007A6296"/>
    <w:rsid w:val="007A79E4"/>
    <w:rsid w:val="007B6BA5"/>
    <w:rsid w:val="007C1B62"/>
    <w:rsid w:val="007C3390"/>
    <w:rsid w:val="007C4F4B"/>
    <w:rsid w:val="007D2CDC"/>
    <w:rsid w:val="007D5327"/>
    <w:rsid w:val="007D5E42"/>
    <w:rsid w:val="007D7C7C"/>
    <w:rsid w:val="007E1B36"/>
    <w:rsid w:val="007E2674"/>
    <w:rsid w:val="007E5974"/>
    <w:rsid w:val="007F6611"/>
    <w:rsid w:val="008155C3"/>
    <w:rsid w:val="008175E9"/>
    <w:rsid w:val="0082200B"/>
    <w:rsid w:val="0082243E"/>
    <w:rsid w:val="008242D7"/>
    <w:rsid w:val="0082722B"/>
    <w:rsid w:val="00830F55"/>
    <w:rsid w:val="00846FA4"/>
    <w:rsid w:val="00856CD2"/>
    <w:rsid w:val="00861BC6"/>
    <w:rsid w:val="00871FD5"/>
    <w:rsid w:val="008847BB"/>
    <w:rsid w:val="008979B1"/>
    <w:rsid w:val="008A6B25"/>
    <w:rsid w:val="008A6C4F"/>
    <w:rsid w:val="008C1E4D"/>
    <w:rsid w:val="008D0087"/>
    <w:rsid w:val="008E0E46"/>
    <w:rsid w:val="0090452C"/>
    <w:rsid w:val="00907C3F"/>
    <w:rsid w:val="0092237C"/>
    <w:rsid w:val="00933B62"/>
    <w:rsid w:val="0093707B"/>
    <w:rsid w:val="00937BFA"/>
    <w:rsid w:val="009400EB"/>
    <w:rsid w:val="009427E3"/>
    <w:rsid w:val="00946575"/>
    <w:rsid w:val="009563DB"/>
    <w:rsid w:val="00956D9B"/>
    <w:rsid w:val="00962D8B"/>
    <w:rsid w:val="00963CBA"/>
    <w:rsid w:val="009654B7"/>
    <w:rsid w:val="00991261"/>
    <w:rsid w:val="009940DF"/>
    <w:rsid w:val="009948BE"/>
    <w:rsid w:val="009A0B83"/>
    <w:rsid w:val="009A53A2"/>
    <w:rsid w:val="009B3800"/>
    <w:rsid w:val="009C10C1"/>
    <w:rsid w:val="009D22AC"/>
    <w:rsid w:val="009D50DB"/>
    <w:rsid w:val="009E1C4E"/>
    <w:rsid w:val="00A0036A"/>
    <w:rsid w:val="00A05E0B"/>
    <w:rsid w:val="00A069BC"/>
    <w:rsid w:val="00A1427D"/>
    <w:rsid w:val="00A215BC"/>
    <w:rsid w:val="00A22676"/>
    <w:rsid w:val="00A4634F"/>
    <w:rsid w:val="00A470CA"/>
    <w:rsid w:val="00A51CF3"/>
    <w:rsid w:val="00A61EA8"/>
    <w:rsid w:val="00A72F22"/>
    <w:rsid w:val="00A73D32"/>
    <w:rsid w:val="00A748A6"/>
    <w:rsid w:val="00A879A4"/>
    <w:rsid w:val="00A87E95"/>
    <w:rsid w:val="00A92E29"/>
    <w:rsid w:val="00A93A63"/>
    <w:rsid w:val="00AA52D1"/>
    <w:rsid w:val="00AC5AE2"/>
    <w:rsid w:val="00AD09E9"/>
    <w:rsid w:val="00AD227E"/>
    <w:rsid w:val="00AD2F9E"/>
    <w:rsid w:val="00AE00AE"/>
    <w:rsid w:val="00AE4D88"/>
    <w:rsid w:val="00AF0576"/>
    <w:rsid w:val="00AF057B"/>
    <w:rsid w:val="00AF3829"/>
    <w:rsid w:val="00AF7026"/>
    <w:rsid w:val="00B02AA9"/>
    <w:rsid w:val="00B037F0"/>
    <w:rsid w:val="00B13121"/>
    <w:rsid w:val="00B2327D"/>
    <w:rsid w:val="00B2718F"/>
    <w:rsid w:val="00B30179"/>
    <w:rsid w:val="00B3317B"/>
    <w:rsid w:val="00B334DC"/>
    <w:rsid w:val="00B3631A"/>
    <w:rsid w:val="00B37230"/>
    <w:rsid w:val="00B44165"/>
    <w:rsid w:val="00B52B68"/>
    <w:rsid w:val="00B53013"/>
    <w:rsid w:val="00B67F5E"/>
    <w:rsid w:val="00B706C9"/>
    <w:rsid w:val="00B72126"/>
    <w:rsid w:val="00B73E65"/>
    <w:rsid w:val="00B81E12"/>
    <w:rsid w:val="00B87110"/>
    <w:rsid w:val="00B90E7B"/>
    <w:rsid w:val="00B97FA8"/>
    <w:rsid w:val="00BA1E2B"/>
    <w:rsid w:val="00BC1385"/>
    <w:rsid w:val="00BC74E9"/>
    <w:rsid w:val="00BE618E"/>
    <w:rsid w:val="00BE655C"/>
    <w:rsid w:val="00BF1BE4"/>
    <w:rsid w:val="00C16CBB"/>
    <w:rsid w:val="00C176CC"/>
    <w:rsid w:val="00C217E7"/>
    <w:rsid w:val="00C24693"/>
    <w:rsid w:val="00C26769"/>
    <w:rsid w:val="00C35F0B"/>
    <w:rsid w:val="00C43BFD"/>
    <w:rsid w:val="00C463DD"/>
    <w:rsid w:val="00C56269"/>
    <w:rsid w:val="00C6222B"/>
    <w:rsid w:val="00C64458"/>
    <w:rsid w:val="00C745C3"/>
    <w:rsid w:val="00C74660"/>
    <w:rsid w:val="00C765D8"/>
    <w:rsid w:val="00C901C2"/>
    <w:rsid w:val="00C952FF"/>
    <w:rsid w:val="00CA2A58"/>
    <w:rsid w:val="00CB237F"/>
    <w:rsid w:val="00CC0B55"/>
    <w:rsid w:val="00CC5795"/>
    <w:rsid w:val="00CD16D0"/>
    <w:rsid w:val="00CD6995"/>
    <w:rsid w:val="00CE1DC1"/>
    <w:rsid w:val="00CE4A8F"/>
    <w:rsid w:val="00CF0214"/>
    <w:rsid w:val="00CF586F"/>
    <w:rsid w:val="00CF7D43"/>
    <w:rsid w:val="00D11129"/>
    <w:rsid w:val="00D2031B"/>
    <w:rsid w:val="00D22332"/>
    <w:rsid w:val="00D25FE2"/>
    <w:rsid w:val="00D37D48"/>
    <w:rsid w:val="00D43252"/>
    <w:rsid w:val="00D44535"/>
    <w:rsid w:val="00D50127"/>
    <w:rsid w:val="00D53ECE"/>
    <w:rsid w:val="00D550F9"/>
    <w:rsid w:val="00D572B0"/>
    <w:rsid w:val="00D62E90"/>
    <w:rsid w:val="00D63391"/>
    <w:rsid w:val="00D76BE5"/>
    <w:rsid w:val="00D8496A"/>
    <w:rsid w:val="00D91C4C"/>
    <w:rsid w:val="00D95771"/>
    <w:rsid w:val="00D978C6"/>
    <w:rsid w:val="00DA11A6"/>
    <w:rsid w:val="00DA67AD"/>
    <w:rsid w:val="00DB18CE"/>
    <w:rsid w:val="00DB5566"/>
    <w:rsid w:val="00DB6C98"/>
    <w:rsid w:val="00DB7227"/>
    <w:rsid w:val="00DD2532"/>
    <w:rsid w:val="00DD32CC"/>
    <w:rsid w:val="00DD7B7B"/>
    <w:rsid w:val="00DE3EC0"/>
    <w:rsid w:val="00DE70BF"/>
    <w:rsid w:val="00E02814"/>
    <w:rsid w:val="00E06DFF"/>
    <w:rsid w:val="00E11593"/>
    <w:rsid w:val="00E11C26"/>
    <w:rsid w:val="00E12B6B"/>
    <w:rsid w:val="00E130AB"/>
    <w:rsid w:val="00E14334"/>
    <w:rsid w:val="00E17D60"/>
    <w:rsid w:val="00E17E4B"/>
    <w:rsid w:val="00E40CFC"/>
    <w:rsid w:val="00E41CA3"/>
    <w:rsid w:val="00E438D9"/>
    <w:rsid w:val="00E5644E"/>
    <w:rsid w:val="00E57BD5"/>
    <w:rsid w:val="00E60440"/>
    <w:rsid w:val="00E7260F"/>
    <w:rsid w:val="00E806EE"/>
    <w:rsid w:val="00E90DAF"/>
    <w:rsid w:val="00E95E84"/>
    <w:rsid w:val="00E96630"/>
    <w:rsid w:val="00EB0FB9"/>
    <w:rsid w:val="00EB183F"/>
    <w:rsid w:val="00ED0CA9"/>
    <w:rsid w:val="00ED7A2A"/>
    <w:rsid w:val="00EE1571"/>
    <w:rsid w:val="00EF1B87"/>
    <w:rsid w:val="00EF1D7F"/>
    <w:rsid w:val="00EF5BDB"/>
    <w:rsid w:val="00EF6219"/>
    <w:rsid w:val="00F00D14"/>
    <w:rsid w:val="00F054BA"/>
    <w:rsid w:val="00F07FD9"/>
    <w:rsid w:val="00F1212D"/>
    <w:rsid w:val="00F20B30"/>
    <w:rsid w:val="00F23933"/>
    <w:rsid w:val="00F24119"/>
    <w:rsid w:val="00F3322C"/>
    <w:rsid w:val="00F35CBB"/>
    <w:rsid w:val="00F40E75"/>
    <w:rsid w:val="00F41CB3"/>
    <w:rsid w:val="00F42CD9"/>
    <w:rsid w:val="00F52936"/>
    <w:rsid w:val="00F54083"/>
    <w:rsid w:val="00F60501"/>
    <w:rsid w:val="00F63DF3"/>
    <w:rsid w:val="00F6687B"/>
    <w:rsid w:val="00F677CB"/>
    <w:rsid w:val="00F67B04"/>
    <w:rsid w:val="00F75C33"/>
    <w:rsid w:val="00F8591D"/>
    <w:rsid w:val="00F97EF1"/>
    <w:rsid w:val="00FA7DF3"/>
    <w:rsid w:val="00FA7EF8"/>
    <w:rsid w:val="00FB6E57"/>
    <w:rsid w:val="00FC68B7"/>
    <w:rsid w:val="00FC70E7"/>
    <w:rsid w:val="00FC71E1"/>
    <w:rsid w:val="00FD7C12"/>
    <w:rsid w:val="00FE02B2"/>
    <w:rsid w:val="00FE08CC"/>
    <w:rsid w:val="00FF643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E33A4"/>
  <w15:docId w15:val="{2E3FD4D3-0323-47E9-9737-918FE125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Normal Indent" w:semiHidden="1"/>
    <w:lsdException w:name="footnote text" w:uiPriority="99" w:qFormat="1"/>
    <w:lsdException w:name="annotation text" w:semiHidden="1" w:uiPriority="99"/>
    <w:lsdException w:name="header" w:uiPriority="99" w:qFormat="1"/>
    <w:lsdException w:name="footer" w:uiPriority="99"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uiPriority="99" w:qFormat="1"/>
    <w:lsdException w:name="annotation reference" w:semiHidden="1" w:uiPriority="99"/>
    <w:lsdException w:name="line number" w:semiHidden="1"/>
    <w:lsdException w:name="page number"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uiPriority="99"/>
    <w:lsdException w:name="Strong" w:semiHidden="1" w:uiPriority="22"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link w:val="Heading3Char"/>
    <w:uiPriority w:val="9"/>
    <w:qFormat/>
    <w:rsid w:val="00CF0214"/>
    <w:pPr>
      <w:spacing w:line="240" w:lineRule="auto"/>
      <w:outlineLvl w:val="2"/>
    </w:pPr>
  </w:style>
  <w:style w:type="paragraph" w:styleId="Heading4">
    <w:name w:val="heading 4"/>
    <w:basedOn w:val="Normal"/>
    <w:next w:val="Normal"/>
    <w:link w:val="Heading4Char"/>
    <w:uiPriority w:val="9"/>
    <w:qFormat/>
    <w:rsid w:val="00CF0214"/>
    <w:pPr>
      <w:spacing w:line="240" w:lineRule="auto"/>
      <w:outlineLvl w:val="3"/>
    </w:pPr>
  </w:style>
  <w:style w:type="paragraph" w:styleId="Heading5">
    <w:name w:val="heading 5"/>
    <w:basedOn w:val="Normal"/>
    <w:next w:val="Normal"/>
    <w:link w:val="Heading5Char"/>
    <w:uiPriority w:val="9"/>
    <w:qFormat/>
    <w:rsid w:val="00CF0214"/>
    <w:pPr>
      <w:spacing w:line="240" w:lineRule="auto"/>
      <w:outlineLvl w:val="4"/>
    </w:pPr>
  </w:style>
  <w:style w:type="paragraph" w:styleId="Heading6">
    <w:name w:val="heading 6"/>
    <w:basedOn w:val="Normal"/>
    <w:next w:val="Normal"/>
    <w:link w:val="Heading6Char"/>
    <w:uiPriority w:val="9"/>
    <w:semiHidden/>
    <w:qFormat/>
    <w:rsid w:val="00CF0214"/>
    <w:pPr>
      <w:spacing w:line="240" w:lineRule="auto"/>
      <w:outlineLvl w:val="5"/>
    </w:pPr>
  </w:style>
  <w:style w:type="paragraph" w:styleId="Heading7">
    <w:name w:val="heading 7"/>
    <w:basedOn w:val="Normal"/>
    <w:next w:val="Normal"/>
    <w:link w:val="Heading7Char"/>
    <w:uiPriority w:val="9"/>
    <w:semiHidden/>
    <w:qFormat/>
    <w:rsid w:val="00CF0214"/>
    <w:pPr>
      <w:spacing w:line="240" w:lineRule="auto"/>
      <w:outlineLvl w:val="6"/>
    </w:pPr>
  </w:style>
  <w:style w:type="paragraph" w:styleId="Heading8">
    <w:name w:val="heading 8"/>
    <w:basedOn w:val="Normal"/>
    <w:next w:val="Normal"/>
    <w:link w:val="Heading8Char"/>
    <w:uiPriority w:val="9"/>
    <w:semiHidden/>
    <w:qFormat/>
    <w:rsid w:val="00CF0214"/>
    <w:pPr>
      <w:spacing w:line="240" w:lineRule="auto"/>
      <w:outlineLvl w:val="7"/>
    </w:pPr>
  </w:style>
  <w:style w:type="paragraph" w:styleId="Heading9">
    <w:name w:val="heading 9"/>
    <w:basedOn w:val="Normal"/>
    <w:next w:val="Normal"/>
    <w:link w:val="Heading9Char"/>
    <w:uiPriority w:val="9"/>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4_G Char Char,Footnote number,Footnotes refss,Footnote Ref,16 Point,Superscript 6 Point,ftref,Footnote Refernece,[0],Texto de nota al pie,referencia nota al pie,BVI fnr,Footnote text,callout,Ref,FZ,Re,F"/>
    <w:basedOn w:val="DefaultParagraphFont"/>
    <w:link w:val="CharChar1CharCharCharChar1CharCharCharCharCharCharCharCharCharCharCharCharCharCharCharChar"/>
    <w:uiPriority w:val="99"/>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link w:val="HeaderChar"/>
    <w:uiPriority w:val="99"/>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sid w:val="00CF0214"/>
    <w:rPr>
      <w:color w:val="auto"/>
      <w:u w:val="none"/>
    </w:rPr>
  </w:style>
  <w:style w:type="character" w:styleId="FollowedHyperlink">
    <w:name w:val="FollowedHyperlink"/>
    <w:basedOn w:val="DefaultParagraphFont"/>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 Char Char,Footnote Text Char Char Char Char,Footnote reference,FA Fu,Footnote Text Char Char Char,Char,Footnote Reference1,Voetnoottekst1,Char1,FA Fu1,Footnote Text Char Char Char1,5_GR,fn,f,ft,Te"/>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link w:val="FooterChar"/>
    <w:uiPriority w:val="99"/>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Heading1Char">
    <w:name w:val="Heading 1 Char"/>
    <w:aliases w:val="Table_G Char"/>
    <w:basedOn w:val="DefaultParagraphFont"/>
    <w:link w:val="Heading1"/>
    <w:uiPriority w:val="9"/>
    <w:rsid w:val="00776DDC"/>
    <w:rPr>
      <w:lang w:val="en-GB" w:eastAsia="en-US"/>
    </w:rPr>
  </w:style>
  <w:style w:type="character" w:customStyle="1" w:styleId="Heading2Char">
    <w:name w:val="Heading 2 Char"/>
    <w:basedOn w:val="DefaultParagraphFont"/>
    <w:link w:val="Heading2"/>
    <w:uiPriority w:val="9"/>
    <w:rsid w:val="00776DDC"/>
    <w:rPr>
      <w:lang w:val="en-GB" w:eastAsia="en-US"/>
    </w:rPr>
  </w:style>
  <w:style w:type="character" w:customStyle="1" w:styleId="Heading3Char">
    <w:name w:val="Heading 3 Char"/>
    <w:basedOn w:val="DefaultParagraphFont"/>
    <w:link w:val="Heading3"/>
    <w:uiPriority w:val="9"/>
    <w:rsid w:val="00776DDC"/>
    <w:rPr>
      <w:lang w:val="en-GB" w:eastAsia="en-US"/>
    </w:rPr>
  </w:style>
  <w:style w:type="character" w:customStyle="1" w:styleId="Heading4Char">
    <w:name w:val="Heading 4 Char"/>
    <w:basedOn w:val="DefaultParagraphFont"/>
    <w:link w:val="Heading4"/>
    <w:uiPriority w:val="9"/>
    <w:rsid w:val="00776DDC"/>
    <w:rPr>
      <w:lang w:val="en-GB" w:eastAsia="en-US"/>
    </w:rPr>
  </w:style>
  <w:style w:type="character" w:customStyle="1" w:styleId="Heading5Char">
    <w:name w:val="Heading 5 Char"/>
    <w:basedOn w:val="DefaultParagraphFont"/>
    <w:link w:val="Heading5"/>
    <w:uiPriority w:val="9"/>
    <w:rsid w:val="00776DDC"/>
    <w:rPr>
      <w:lang w:val="en-GB" w:eastAsia="en-US"/>
    </w:rPr>
  </w:style>
  <w:style w:type="character" w:customStyle="1" w:styleId="Heading6Char">
    <w:name w:val="Heading 6 Char"/>
    <w:basedOn w:val="DefaultParagraphFont"/>
    <w:link w:val="Heading6"/>
    <w:uiPriority w:val="9"/>
    <w:semiHidden/>
    <w:rsid w:val="00776DDC"/>
    <w:rPr>
      <w:lang w:val="en-GB" w:eastAsia="en-US"/>
    </w:rPr>
  </w:style>
  <w:style w:type="character" w:customStyle="1" w:styleId="Heading7Char">
    <w:name w:val="Heading 7 Char"/>
    <w:basedOn w:val="DefaultParagraphFont"/>
    <w:link w:val="Heading7"/>
    <w:uiPriority w:val="9"/>
    <w:semiHidden/>
    <w:rsid w:val="00776DDC"/>
    <w:rPr>
      <w:lang w:val="en-GB" w:eastAsia="en-US"/>
    </w:rPr>
  </w:style>
  <w:style w:type="character" w:customStyle="1" w:styleId="Heading8Char">
    <w:name w:val="Heading 8 Char"/>
    <w:basedOn w:val="DefaultParagraphFont"/>
    <w:link w:val="Heading8"/>
    <w:uiPriority w:val="9"/>
    <w:semiHidden/>
    <w:rsid w:val="00776DDC"/>
    <w:rPr>
      <w:lang w:val="en-GB" w:eastAsia="en-US"/>
    </w:rPr>
  </w:style>
  <w:style w:type="character" w:customStyle="1" w:styleId="Heading9Char">
    <w:name w:val="Heading 9 Char"/>
    <w:basedOn w:val="DefaultParagraphFont"/>
    <w:link w:val="Heading9"/>
    <w:uiPriority w:val="9"/>
    <w:semiHidden/>
    <w:rsid w:val="00776DDC"/>
    <w:rPr>
      <w:lang w:val="en-GB" w:eastAsia="en-US"/>
    </w:rPr>
  </w:style>
  <w:style w:type="paragraph" w:styleId="Title">
    <w:name w:val="Title"/>
    <w:basedOn w:val="Normal"/>
    <w:next w:val="Normal"/>
    <w:link w:val="TitleChar"/>
    <w:uiPriority w:val="10"/>
    <w:qFormat/>
    <w:rsid w:val="00776DDC"/>
    <w:pPr>
      <w:suppressAutoHyphens w:val="0"/>
      <w:spacing w:after="80" w:line="240" w:lineRule="auto"/>
      <w:contextualSpacing/>
    </w:pPr>
    <w:rPr>
      <w:rFonts w:asciiTheme="majorHAnsi" w:eastAsiaTheme="majorEastAsia" w:hAnsiTheme="majorHAnsi" w:cstheme="majorBidi"/>
      <w:spacing w:val="-10"/>
      <w:kern w:val="28"/>
      <w:sz w:val="56"/>
      <w:szCs w:val="56"/>
      <w:lang w:val="en-US" w:eastAsia="zh-CN"/>
      <w14:ligatures w14:val="standardContextual"/>
    </w:rPr>
  </w:style>
  <w:style w:type="character" w:customStyle="1" w:styleId="TitleChar">
    <w:name w:val="Title Char"/>
    <w:basedOn w:val="DefaultParagraphFont"/>
    <w:link w:val="Title"/>
    <w:uiPriority w:val="10"/>
    <w:rsid w:val="00776DDC"/>
    <w:rPr>
      <w:rFonts w:asciiTheme="majorHAnsi" w:eastAsiaTheme="majorEastAsia" w:hAnsiTheme="majorHAnsi" w:cstheme="majorBidi"/>
      <w:spacing w:val="-10"/>
      <w:kern w:val="28"/>
      <w:sz w:val="56"/>
      <w:szCs w:val="56"/>
      <w:lang w:val="en-US" w:eastAsia="zh-CN"/>
      <w14:ligatures w14:val="standardContextual"/>
    </w:rPr>
  </w:style>
  <w:style w:type="paragraph" w:styleId="Subtitle">
    <w:name w:val="Subtitle"/>
    <w:basedOn w:val="Normal"/>
    <w:next w:val="Normal"/>
    <w:link w:val="SubtitleChar"/>
    <w:uiPriority w:val="11"/>
    <w:qFormat/>
    <w:rsid w:val="00776DDC"/>
    <w:pPr>
      <w:numPr>
        <w:ilvl w:val="1"/>
      </w:numPr>
      <w:suppressAutoHyphens w:val="0"/>
      <w:spacing w:after="160" w:line="278" w:lineRule="auto"/>
    </w:pPr>
    <w:rPr>
      <w:rFonts w:asciiTheme="majorBidi" w:eastAsiaTheme="majorEastAsia" w:hAnsiTheme="majorBidi" w:cstheme="majorBidi"/>
      <w:color w:val="595959" w:themeColor="text1" w:themeTint="A6"/>
      <w:spacing w:val="15"/>
      <w:kern w:val="2"/>
      <w:sz w:val="28"/>
      <w:szCs w:val="28"/>
      <w:lang w:val="en-US" w:eastAsia="zh-CN"/>
      <w14:ligatures w14:val="standardContextual"/>
    </w:rPr>
  </w:style>
  <w:style w:type="character" w:customStyle="1" w:styleId="SubtitleChar">
    <w:name w:val="Subtitle Char"/>
    <w:basedOn w:val="DefaultParagraphFont"/>
    <w:link w:val="Subtitle"/>
    <w:uiPriority w:val="11"/>
    <w:rsid w:val="00776DDC"/>
    <w:rPr>
      <w:rFonts w:asciiTheme="majorBidi" w:eastAsiaTheme="majorEastAsia" w:hAnsiTheme="majorBidi" w:cstheme="majorBidi"/>
      <w:color w:val="595959" w:themeColor="text1" w:themeTint="A6"/>
      <w:spacing w:val="15"/>
      <w:kern w:val="2"/>
      <w:sz w:val="28"/>
      <w:szCs w:val="28"/>
      <w:lang w:val="en-US" w:eastAsia="zh-CN"/>
      <w14:ligatures w14:val="standardContextual"/>
    </w:rPr>
  </w:style>
  <w:style w:type="paragraph" w:styleId="Quote">
    <w:name w:val="Quote"/>
    <w:basedOn w:val="Normal"/>
    <w:next w:val="Normal"/>
    <w:link w:val="QuoteChar"/>
    <w:uiPriority w:val="29"/>
    <w:qFormat/>
    <w:rsid w:val="00776DDC"/>
    <w:pPr>
      <w:suppressAutoHyphens w:val="0"/>
      <w:spacing w:before="160" w:after="160" w:line="278" w:lineRule="auto"/>
      <w:jc w:val="center"/>
    </w:pPr>
    <w:rPr>
      <w:rFonts w:asciiTheme="majorBidi" w:eastAsiaTheme="minorEastAsia" w:hAnsiTheme="majorBidi" w:cstheme="minorBidi"/>
      <w:i/>
      <w:iCs/>
      <w:color w:val="404040" w:themeColor="text1" w:themeTint="BF"/>
      <w:kern w:val="2"/>
      <w:sz w:val="24"/>
      <w:szCs w:val="24"/>
      <w:lang w:val="en-US" w:eastAsia="zh-CN"/>
      <w14:ligatures w14:val="standardContextual"/>
    </w:rPr>
  </w:style>
  <w:style w:type="character" w:customStyle="1" w:styleId="QuoteChar">
    <w:name w:val="Quote Char"/>
    <w:basedOn w:val="DefaultParagraphFont"/>
    <w:link w:val="Quote"/>
    <w:uiPriority w:val="29"/>
    <w:rsid w:val="00776DDC"/>
    <w:rPr>
      <w:rFonts w:asciiTheme="majorBidi" w:eastAsiaTheme="minorEastAsia" w:hAnsiTheme="majorBidi" w:cstheme="minorBidi"/>
      <w:i/>
      <w:iCs/>
      <w:color w:val="404040" w:themeColor="text1" w:themeTint="BF"/>
      <w:kern w:val="2"/>
      <w:sz w:val="24"/>
      <w:szCs w:val="24"/>
      <w:lang w:val="en-US" w:eastAsia="zh-CN"/>
      <w14:ligatures w14:val="standardContextual"/>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Indicator Text"/>
    <w:basedOn w:val="Normal"/>
    <w:link w:val="ListParagraphChar"/>
    <w:uiPriority w:val="34"/>
    <w:qFormat/>
    <w:rsid w:val="00776DDC"/>
    <w:pPr>
      <w:suppressAutoHyphens w:val="0"/>
      <w:spacing w:after="160" w:line="278" w:lineRule="auto"/>
      <w:ind w:left="720"/>
      <w:contextualSpacing/>
    </w:pPr>
    <w:rPr>
      <w:rFonts w:asciiTheme="majorBidi" w:eastAsiaTheme="minorEastAsia" w:hAnsiTheme="majorBidi" w:cstheme="minorBidi"/>
      <w:kern w:val="2"/>
      <w:sz w:val="24"/>
      <w:szCs w:val="24"/>
      <w:lang w:val="en-US" w:eastAsia="zh-CN"/>
      <w14:ligatures w14:val="standardContextual"/>
    </w:rPr>
  </w:style>
  <w:style w:type="character" w:styleId="IntenseEmphasis">
    <w:name w:val="Intense Emphasis"/>
    <w:basedOn w:val="DefaultParagraphFont"/>
    <w:uiPriority w:val="21"/>
    <w:qFormat/>
    <w:rsid w:val="00776DDC"/>
    <w:rPr>
      <w:i/>
      <w:iCs/>
      <w:color w:val="365F91" w:themeColor="accent1" w:themeShade="BF"/>
    </w:rPr>
  </w:style>
  <w:style w:type="paragraph" w:styleId="IntenseQuote">
    <w:name w:val="Intense Quote"/>
    <w:basedOn w:val="Normal"/>
    <w:next w:val="Normal"/>
    <w:link w:val="IntenseQuoteChar"/>
    <w:uiPriority w:val="30"/>
    <w:qFormat/>
    <w:rsid w:val="00776DDC"/>
    <w:pPr>
      <w:pBdr>
        <w:top w:val="single" w:sz="4" w:space="10" w:color="365F91" w:themeColor="accent1" w:themeShade="BF"/>
        <w:bottom w:val="single" w:sz="4" w:space="10" w:color="365F91" w:themeColor="accent1" w:themeShade="BF"/>
      </w:pBdr>
      <w:suppressAutoHyphens w:val="0"/>
      <w:spacing w:before="360" w:after="360" w:line="278" w:lineRule="auto"/>
      <w:ind w:left="864" w:right="864"/>
      <w:jc w:val="center"/>
    </w:pPr>
    <w:rPr>
      <w:rFonts w:asciiTheme="majorBidi" w:eastAsiaTheme="minorEastAsia" w:hAnsiTheme="majorBidi" w:cstheme="minorBidi"/>
      <w:i/>
      <w:iCs/>
      <w:color w:val="365F91" w:themeColor="accent1" w:themeShade="BF"/>
      <w:kern w:val="2"/>
      <w:sz w:val="24"/>
      <w:szCs w:val="24"/>
      <w:lang w:val="en-US" w:eastAsia="zh-CN"/>
      <w14:ligatures w14:val="standardContextual"/>
    </w:rPr>
  </w:style>
  <w:style w:type="character" w:customStyle="1" w:styleId="IntenseQuoteChar">
    <w:name w:val="Intense Quote Char"/>
    <w:basedOn w:val="DefaultParagraphFont"/>
    <w:link w:val="IntenseQuote"/>
    <w:uiPriority w:val="30"/>
    <w:rsid w:val="00776DDC"/>
    <w:rPr>
      <w:rFonts w:asciiTheme="majorBidi" w:eastAsiaTheme="minorEastAsia" w:hAnsiTheme="majorBidi" w:cstheme="minorBidi"/>
      <w:i/>
      <w:iCs/>
      <w:color w:val="365F91" w:themeColor="accent1" w:themeShade="BF"/>
      <w:kern w:val="2"/>
      <w:sz w:val="24"/>
      <w:szCs w:val="24"/>
      <w:lang w:val="en-US" w:eastAsia="zh-CN"/>
      <w14:ligatures w14:val="standardContextual"/>
    </w:rPr>
  </w:style>
  <w:style w:type="character" w:styleId="IntenseReference">
    <w:name w:val="Intense Reference"/>
    <w:basedOn w:val="DefaultParagraphFont"/>
    <w:uiPriority w:val="32"/>
    <w:qFormat/>
    <w:rsid w:val="00776DDC"/>
    <w:rPr>
      <w:b/>
      <w:bCs/>
      <w:smallCaps/>
      <w:color w:val="365F91" w:themeColor="accent1" w:themeShade="BF"/>
      <w:spacing w:val="5"/>
    </w:rPr>
  </w:style>
  <w:style w:type="paragraph" w:styleId="Revision">
    <w:name w:val="Revision"/>
    <w:hidden/>
    <w:uiPriority w:val="99"/>
    <w:semiHidden/>
    <w:rsid w:val="00776DDC"/>
    <w:rPr>
      <w:rFonts w:asciiTheme="minorHAnsi" w:eastAsiaTheme="minorEastAsia" w:hAnsiTheme="minorHAnsi" w:cstheme="minorBidi"/>
      <w:kern w:val="2"/>
      <w:sz w:val="24"/>
      <w:szCs w:val="24"/>
      <w:lang w:val="en-US" w:eastAsia="zh-CN"/>
      <w14:ligatures w14:val="standardContextual"/>
    </w:rPr>
  </w:style>
  <w:style w:type="character" w:styleId="CommentReference">
    <w:name w:val="annotation reference"/>
    <w:basedOn w:val="DefaultParagraphFont"/>
    <w:uiPriority w:val="99"/>
    <w:semiHidden/>
    <w:unhideWhenUsed/>
    <w:rsid w:val="00776DDC"/>
    <w:rPr>
      <w:sz w:val="16"/>
      <w:szCs w:val="16"/>
    </w:rPr>
  </w:style>
  <w:style w:type="paragraph" w:styleId="CommentText">
    <w:name w:val="annotation text"/>
    <w:basedOn w:val="Normal"/>
    <w:link w:val="CommentTextChar"/>
    <w:uiPriority w:val="99"/>
    <w:unhideWhenUsed/>
    <w:rsid w:val="00776DDC"/>
    <w:pPr>
      <w:suppressAutoHyphens w:val="0"/>
      <w:spacing w:after="160" w:line="240" w:lineRule="auto"/>
    </w:pPr>
    <w:rPr>
      <w:rFonts w:asciiTheme="majorBidi" w:eastAsiaTheme="minorEastAsia" w:hAnsiTheme="majorBidi" w:cstheme="minorBidi"/>
      <w:kern w:val="2"/>
      <w:lang w:val="en-US" w:eastAsia="zh-CN"/>
      <w14:ligatures w14:val="standardContextual"/>
    </w:rPr>
  </w:style>
  <w:style w:type="character" w:customStyle="1" w:styleId="CommentTextChar">
    <w:name w:val="Comment Text Char"/>
    <w:basedOn w:val="DefaultParagraphFont"/>
    <w:link w:val="CommentText"/>
    <w:uiPriority w:val="99"/>
    <w:rsid w:val="00776DDC"/>
    <w:rPr>
      <w:rFonts w:asciiTheme="majorBidi" w:eastAsiaTheme="minorEastAsia" w:hAnsiTheme="majorBidi" w:cstheme="minorBidi"/>
      <w:kern w:val="2"/>
      <w:lang w:val="en-US" w:eastAsia="zh-CN"/>
      <w14:ligatures w14:val="standardContextual"/>
    </w:rPr>
  </w:style>
  <w:style w:type="paragraph" w:styleId="CommentSubject">
    <w:name w:val="annotation subject"/>
    <w:basedOn w:val="CommentText"/>
    <w:next w:val="CommentText"/>
    <w:link w:val="CommentSubjectChar"/>
    <w:uiPriority w:val="99"/>
    <w:semiHidden/>
    <w:unhideWhenUsed/>
    <w:rsid w:val="00776DDC"/>
    <w:rPr>
      <w:b/>
      <w:bCs/>
    </w:rPr>
  </w:style>
  <w:style w:type="character" w:customStyle="1" w:styleId="CommentSubjectChar">
    <w:name w:val="Comment Subject Char"/>
    <w:basedOn w:val="CommentTextChar"/>
    <w:link w:val="CommentSubject"/>
    <w:uiPriority w:val="99"/>
    <w:semiHidden/>
    <w:rsid w:val="00776DDC"/>
    <w:rPr>
      <w:rFonts w:asciiTheme="majorBidi" w:eastAsiaTheme="minorEastAsia" w:hAnsiTheme="majorBidi" w:cstheme="minorBidi"/>
      <w:b/>
      <w:bCs/>
      <w:kern w:val="2"/>
      <w:lang w:val="en-US" w:eastAsia="zh-CN"/>
      <w14:ligatures w14:val="standardContextual"/>
    </w:rPr>
  </w:style>
  <w:style w:type="character" w:customStyle="1" w:styleId="HeaderChar">
    <w:name w:val="Header Char"/>
    <w:aliases w:val="6_G Char"/>
    <w:basedOn w:val="DefaultParagraphFont"/>
    <w:link w:val="Header"/>
    <w:uiPriority w:val="99"/>
    <w:rsid w:val="00776DDC"/>
    <w:rPr>
      <w:b/>
      <w:sz w:val="18"/>
      <w:lang w:val="en-GB" w:eastAsia="en-US"/>
    </w:rPr>
  </w:style>
  <w:style w:type="character" w:customStyle="1" w:styleId="FooterChar">
    <w:name w:val="Footer Char"/>
    <w:aliases w:val="3_G Char"/>
    <w:basedOn w:val="DefaultParagraphFont"/>
    <w:link w:val="Footer"/>
    <w:uiPriority w:val="99"/>
    <w:rsid w:val="00776DDC"/>
    <w:rPr>
      <w:sz w:val="16"/>
      <w:lang w:val="en-GB" w:eastAsia="en-US"/>
    </w:rPr>
  </w:style>
  <w:style w:type="character" w:styleId="UnresolvedMention">
    <w:name w:val="Unresolved Mention"/>
    <w:basedOn w:val="DefaultParagraphFont"/>
    <w:uiPriority w:val="99"/>
    <w:unhideWhenUsed/>
    <w:rsid w:val="00776DDC"/>
    <w:rPr>
      <w:color w:val="605E5C"/>
      <w:shd w:val="clear" w:color="auto" w:fill="E1DFDD"/>
    </w:rPr>
  </w:style>
  <w:style w:type="paragraph" w:customStyle="1" w:styleId="Paragraphs">
    <w:name w:val="Paragraphs"/>
    <w:basedOn w:val="ListParagraph"/>
    <w:link w:val="ParagraphsChar"/>
    <w:uiPriority w:val="1"/>
    <w:qFormat/>
    <w:rsid w:val="00776DDC"/>
    <w:pPr>
      <w:numPr>
        <w:numId w:val="10"/>
      </w:numPr>
      <w:tabs>
        <w:tab w:val="num" w:pos="1701"/>
      </w:tabs>
      <w:spacing w:after="120"/>
      <w:ind w:left="1701" w:hanging="170"/>
      <w:contextualSpacing w:val="0"/>
      <w:jc w:val="both"/>
    </w:pPr>
    <w:rPr>
      <w:rFonts w:ascii="Times New Roman" w:hAnsi="Times New Roman"/>
    </w:rPr>
  </w:style>
  <w:style w:type="character" w:customStyle="1" w:styleId="ParagraphsChar">
    <w:name w:val="Paragraphs Char"/>
    <w:basedOn w:val="DefaultParagraphFont"/>
    <w:link w:val="Paragraphs"/>
    <w:uiPriority w:val="1"/>
    <w:rsid w:val="00776DDC"/>
    <w:rPr>
      <w:rFonts w:eastAsiaTheme="minorEastAsia" w:cstheme="minorBidi"/>
      <w:kern w:val="2"/>
      <w:sz w:val="24"/>
      <w:szCs w:val="24"/>
      <w:lang w:val="en-US" w:eastAsia="zh-CN"/>
      <w14:ligatures w14:val="standardContextual"/>
    </w:rPr>
  </w:style>
  <w:style w:type="character" w:customStyle="1" w:styleId="FootnoteTextChar">
    <w:name w:val="Footnote Text Char"/>
    <w:aliases w:val="5_G Char,Footnote Text Char Char Char Char Char Char,Footnote Text Char Char Char Char Char1,Footnote reference Char,FA Fu Char,Footnote Text Char Char Char Char1,Char Char,Footnote Reference1 Char,Voetnoottekst1 Char,Char1 Char"/>
    <w:basedOn w:val="DefaultParagraphFont"/>
    <w:link w:val="FootnoteText"/>
    <w:uiPriority w:val="99"/>
    <w:qFormat/>
    <w:rsid w:val="00776DDC"/>
    <w:rPr>
      <w:sz w:val="18"/>
      <w:lang w:val="en-GB" w:eastAsia="en-US"/>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uiPriority w:val="99"/>
    <w:qFormat/>
    <w:rsid w:val="00776DDC"/>
    <w:pPr>
      <w:suppressAutoHyphens w:val="0"/>
      <w:spacing w:after="160" w:line="240" w:lineRule="exact"/>
      <w:jc w:val="both"/>
    </w:pPr>
    <w:rPr>
      <w:sz w:val="18"/>
      <w:vertAlign w:val="superscript"/>
      <w:lang w:val="fr-FR" w:eastAsia="fr-FR"/>
    </w:rPr>
  </w:style>
  <w:style w:type="paragraph" w:customStyle="1" w:styleId="MaintextFutura11">
    <w:name w:val="🟦 Main text_Futura 11"/>
    <w:basedOn w:val="Normal"/>
    <w:qFormat/>
    <w:rsid w:val="00776DDC"/>
    <w:pPr>
      <w:numPr>
        <w:numId w:val="9"/>
      </w:numPr>
      <w:spacing w:after="120" w:line="240" w:lineRule="auto"/>
      <w:ind w:left="0" w:right="9"/>
      <w:jc w:val="both"/>
    </w:pPr>
    <w:rPr>
      <w:rFonts w:ascii="Futura PT Book" w:hAnsi="Futura PT Book"/>
      <w:sz w:val="22"/>
      <w:szCs w:val="22"/>
    </w:rPr>
  </w:style>
  <w:style w:type="paragraph" w:customStyle="1" w:styleId="Default">
    <w:name w:val="Default"/>
    <w:rsid w:val="00776DDC"/>
    <w:pPr>
      <w:autoSpaceDE w:val="0"/>
      <w:autoSpaceDN w:val="0"/>
      <w:adjustRightInd w:val="0"/>
    </w:pPr>
    <w:rPr>
      <w:rFonts w:ascii="Futura PT Book" w:eastAsiaTheme="minorEastAsia" w:hAnsi="Futura PT Book" w:cs="Futura PT Book"/>
      <w:color w:val="000000"/>
      <w:sz w:val="24"/>
      <w:szCs w:val="24"/>
      <w:lang w:val="en-GB" w:eastAsia="zh-CN"/>
      <w14:ligatures w14:val="standardContextual"/>
    </w:rPr>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qFormat/>
    <w:locked/>
    <w:rsid w:val="00776DDC"/>
    <w:rPr>
      <w:rFonts w:asciiTheme="majorBidi" w:eastAsiaTheme="minorEastAsia" w:hAnsiTheme="majorBidi" w:cstheme="minorBidi"/>
      <w:kern w:val="2"/>
      <w:sz w:val="24"/>
      <w:szCs w:val="24"/>
      <w:lang w:val="en-US" w:eastAsia="zh-CN"/>
      <w14:ligatures w14:val="standardContextual"/>
    </w:rPr>
  </w:style>
  <w:style w:type="paragraph" w:customStyle="1" w:styleId="paragraph">
    <w:name w:val="paragraph"/>
    <w:basedOn w:val="Normal"/>
    <w:rsid w:val="00776DDC"/>
    <w:pPr>
      <w:suppressAutoHyphens w:val="0"/>
      <w:spacing w:before="100" w:beforeAutospacing="1" w:after="100" w:afterAutospacing="1" w:line="240" w:lineRule="auto"/>
    </w:pPr>
    <w:rPr>
      <w:sz w:val="24"/>
      <w:szCs w:val="24"/>
      <w:lang w:eastAsia="ru-RU"/>
    </w:rPr>
  </w:style>
  <w:style w:type="paragraph" w:styleId="NormalWeb">
    <w:name w:val="Normal (Web)"/>
    <w:basedOn w:val="Normal"/>
    <w:uiPriority w:val="99"/>
    <w:unhideWhenUsed/>
    <w:rsid w:val="00776DDC"/>
    <w:pPr>
      <w:suppressAutoHyphens w:val="0"/>
      <w:spacing w:after="160" w:line="278" w:lineRule="auto"/>
    </w:pPr>
    <w:rPr>
      <w:rFonts w:eastAsiaTheme="minorEastAsia"/>
      <w:kern w:val="2"/>
      <w:sz w:val="24"/>
      <w:szCs w:val="24"/>
      <w:lang w:val="en-US" w:eastAsia="zh-CN"/>
      <w14:ligatures w14:val="standardContextual"/>
    </w:rPr>
  </w:style>
  <w:style w:type="character" w:styleId="Mention">
    <w:name w:val="Mention"/>
    <w:basedOn w:val="DefaultParagraphFont"/>
    <w:uiPriority w:val="99"/>
    <w:unhideWhenUsed/>
    <w:rsid w:val="00776DDC"/>
    <w:rPr>
      <w:color w:val="2B579A"/>
      <w:shd w:val="clear" w:color="auto" w:fill="E1DFDD"/>
    </w:rPr>
  </w:style>
  <w:style w:type="character" w:customStyle="1" w:styleId="apple-converted-space">
    <w:name w:val="apple-converted-space"/>
    <w:basedOn w:val="DefaultParagraphFont"/>
    <w:rsid w:val="00776DDC"/>
  </w:style>
  <w:style w:type="character" w:customStyle="1" w:styleId="normaltextrun">
    <w:name w:val="normaltextrun"/>
    <w:basedOn w:val="DefaultParagraphFont"/>
    <w:rsid w:val="00776DDC"/>
  </w:style>
  <w:style w:type="character" w:styleId="Strong">
    <w:name w:val="Strong"/>
    <w:basedOn w:val="DefaultParagraphFont"/>
    <w:uiPriority w:val="22"/>
    <w:qFormat/>
    <w:rsid w:val="00776DDC"/>
    <w:rPr>
      <w:b/>
      <w:bCs/>
    </w:rPr>
  </w:style>
  <w:style w:type="paragraph" w:styleId="TOCHeading">
    <w:name w:val="TOC Heading"/>
    <w:basedOn w:val="Heading1"/>
    <w:next w:val="Normal"/>
    <w:uiPriority w:val="39"/>
    <w:unhideWhenUsed/>
    <w:qFormat/>
    <w:rsid w:val="00776DDC"/>
    <w:pPr>
      <w:keepNext/>
      <w:keepLines/>
      <w:suppressAutoHyphens w:val="0"/>
      <w:spacing w:before="240" w:line="259" w:lineRule="auto"/>
      <w:ind w:left="0"/>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776DDC"/>
    <w:pPr>
      <w:suppressAutoHyphens w:val="0"/>
      <w:spacing w:after="100" w:line="278" w:lineRule="auto"/>
    </w:pPr>
    <w:rPr>
      <w:rFonts w:asciiTheme="majorBidi" w:eastAsiaTheme="minorEastAsia" w:hAnsiTheme="majorBidi" w:cstheme="minorBidi"/>
      <w:kern w:val="2"/>
      <w:sz w:val="24"/>
      <w:szCs w:val="24"/>
      <w:lang w:val="en-US" w:eastAsia="zh-CN"/>
      <w14:ligatures w14:val="standardContextual"/>
    </w:rPr>
  </w:style>
  <w:style w:type="paragraph" w:styleId="TOC2">
    <w:name w:val="toc 2"/>
    <w:basedOn w:val="Normal"/>
    <w:next w:val="Normal"/>
    <w:autoRedefine/>
    <w:uiPriority w:val="39"/>
    <w:unhideWhenUsed/>
    <w:rsid w:val="00776DDC"/>
    <w:pPr>
      <w:suppressAutoHyphens w:val="0"/>
      <w:spacing w:after="100" w:line="278" w:lineRule="auto"/>
      <w:ind w:left="240"/>
    </w:pPr>
    <w:rPr>
      <w:rFonts w:asciiTheme="majorBidi" w:eastAsiaTheme="minorEastAsia" w:hAnsiTheme="majorBidi" w:cstheme="minorBidi"/>
      <w:kern w:val="2"/>
      <w:sz w:val="24"/>
      <w:szCs w:val="24"/>
      <w:lang w:val="en-US" w:eastAsia="zh-CN"/>
      <w14:ligatures w14:val="standardContextual"/>
    </w:rPr>
  </w:style>
  <w:style w:type="paragraph" w:styleId="TOC3">
    <w:name w:val="toc 3"/>
    <w:basedOn w:val="Normal"/>
    <w:next w:val="Normal"/>
    <w:autoRedefine/>
    <w:uiPriority w:val="39"/>
    <w:unhideWhenUsed/>
    <w:rsid w:val="00776DDC"/>
    <w:pPr>
      <w:suppressAutoHyphens w:val="0"/>
      <w:spacing w:after="100" w:line="278" w:lineRule="auto"/>
      <w:ind w:left="480"/>
    </w:pPr>
    <w:rPr>
      <w:rFonts w:asciiTheme="majorBidi" w:eastAsiaTheme="minorEastAsia" w:hAnsiTheme="majorBidi" w:cstheme="minorBidi"/>
      <w:kern w:val="2"/>
      <w:sz w:val="24"/>
      <w:szCs w:val="24"/>
      <w:lang w:val="en-US" w:eastAsia="zh-CN"/>
      <w14:ligatures w14:val="standardContextual"/>
    </w:rPr>
  </w:style>
  <w:style w:type="character" w:customStyle="1" w:styleId="eop">
    <w:name w:val="eop"/>
    <w:basedOn w:val="DefaultParagraphFont"/>
    <w:rsid w:val="00776DDC"/>
  </w:style>
  <w:style w:type="paragraph" w:customStyle="1" w:styleId="pf0">
    <w:name w:val="pf0"/>
    <w:basedOn w:val="Normal"/>
    <w:rsid w:val="00776DDC"/>
    <w:pPr>
      <w:suppressAutoHyphens w:val="0"/>
      <w:spacing w:before="100" w:beforeAutospacing="1" w:after="100" w:afterAutospacing="1" w:line="240" w:lineRule="auto"/>
    </w:pPr>
    <w:rPr>
      <w:sz w:val="24"/>
      <w:szCs w:val="24"/>
      <w:lang w:val="en-US" w:eastAsia="zh-CN"/>
    </w:rPr>
  </w:style>
  <w:style w:type="character" w:customStyle="1" w:styleId="cf01">
    <w:name w:val="cf01"/>
    <w:basedOn w:val="DefaultParagraphFont"/>
    <w:rsid w:val="00776DDC"/>
    <w:rPr>
      <w:rFonts w:ascii="Segoe UI" w:hAnsi="Segoe UI" w:cs="Segoe UI" w:hint="default"/>
      <w:sz w:val="18"/>
      <w:szCs w:val="18"/>
    </w:rPr>
  </w:style>
  <w:style w:type="character" w:customStyle="1" w:styleId="cf11">
    <w:name w:val="cf11"/>
    <w:basedOn w:val="DefaultParagraphFont"/>
    <w:rsid w:val="00776DDC"/>
    <w:rPr>
      <w:rFonts w:ascii="Segoe UI" w:hAnsi="Segoe UI" w:cs="Segoe UI" w:hint="default"/>
      <w:i/>
      <w:iCs/>
      <w:sz w:val="18"/>
      <w:szCs w:val="18"/>
    </w:rPr>
  </w:style>
  <w:style w:type="character" w:customStyle="1" w:styleId="cf21">
    <w:name w:val="cf21"/>
    <w:basedOn w:val="DefaultParagraphFont"/>
    <w:rsid w:val="00776DDC"/>
    <w:rPr>
      <w:rFonts w:ascii="Segoe UI" w:hAnsi="Segoe UI" w:cs="Segoe UI" w:hint="default"/>
      <w:sz w:val="18"/>
      <w:szCs w:val="18"/>
    </w:rPr>
  </w:style>
  <w:style w:type="character" w:customStyle="1" w:styleId="HChGChar">
    <w:name w:val="_ H _Ch_G Char"/>
    <w:link w:val="HChG"/>
    <w:locked/>
    <w:rsid w:val="00756535"/>
    <w:rPr>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3" Type="http://schemas.openxmlformats.org/officeDocument/2006/relationships/hyperlink" Target="http://www.kremlin.ru/acts/bank/48426" TargetMode="External"/><Relationship Id="rId18" Type="http://schemas.openxmlformats.org/officeDocument/2006/relationships/hyperlink" Target="https://ukraine.ohchr.org/en/Report-on-the-Human-Rights-Situation-in-Ukraine-1-June-30-November-2025" TargetMode="External"/><Relationship Id="rId26" Type="http://schemas.openxmlformats.org/officeDocument/2006/relationships/hyperlink" Target="https://www.kmu.gov.ua/npas/pro-zatverdzhennia-poriadku-vyznannia-rezultativ-navchannia-zdobutykh-na-tymchasovo-t150725" TargetMode="External"/><Relationship Id="rId39" Type="http://schemas.openxmlformats.org/officeDocument/2006/relationships/hyperlink" Target="https://zakon.rada.gov.ua/laws/show/1295-2025-%D0%BF" TargetMode="External"/><Relationship Id="rId21" Type="http://schemas.openxmlformats.org/officeDocument/2006/relationships/hyperlink" Target="https://ukraine.ohchr.org/en/Treatment-of-prisoners-of-war-and-Update-on-the-human-rights-situation-1-June-to-31-August-2024" TargetMode="External"/><Relationship Id="rId34" Type="http://schemas.openxmlformats.org/officeDocument/2006/relationships/hyperlink" Target="https://zakon.rada.gov.ua/laws/show/2010-20" TargetMode="External"/><Relationship Id="rId42" Type="http://schemas.openxmlformats.org/officeDocument/2006/relationships/hyperlink" Target="https://zakon.rada.gov.ua/laws/show/551-2024-%D0%BF" TargetMode="External"/><Relationship Id="rId47" Type="http://schemas.openxmlformats.org/officeDocument/2006/relationships/hyperlink" Target="https://zakon.rada.gov.ua/laws/show/1295-2025-%D0%BF" TargetMode="External"/><Relationship Id="rId7" Type="http://schemas.openxmlformats.org/officeDocument/2006/relationships/hyperlink" Target="https://ukraine.ohchr.org/en/human-rights-situation-during-russian-occupation-territory-ukraine-and-its-aftermath-EN" TargetMode="External"/><Relationship Id="rId2" Type="http://schemas.openxmlformats.org/officeDocument/2006/relationships/hyperlink" Target="https://ukraine.ohchr.org/en/human-rights-situation-during-russian-occupation-territory-ukraine-and-its-aftermath-EN" TargetMode="External"/><Relationship Id="rId16" Type="http://schemas.openxmlformats.org/officeDocument/2006/relationships/hyperlink" Target="http://publication.pravo.gov.ru/document/0001202509290020" TargetMode="External"/><Relationship Id="rId29" Type="http://schemas.openxmlformats.org/officeDocument/2006/relationships/hyperlink" Target="https://zakon.rada.gov.ua/laws/show/381-2023-%D0%BF" TargetMode="External"/><Relationship Id="rId1" Type="http://schemas.openxmlformats.org/officeDocument/2006/relationships/hyperlink" Target="https://data.unhcr.org/en/documents/download/92206" TargetMode="External"/><Relationship Id="rId6" Type="http://schemas.openxmlformats.org/officeDocument/2006/relationships/hyperlink" Target="https://ukraine.ohchr.org/en/human-rights-situation-during-russian-occupation-territory-ukraine-and-its-aftermath-EN" TargetMode="External"/><Relationship Id="rId11" Type="http://schemas.openxmlformats.org/officeDocument/2006/relationships/hyperlink" Target="https://ukraine.ohchr.org/en/human-rights-situation-during-russian-occupation-territory-ukraine-and-its-aftermath-EN" TargetMode="External"/><Relationship Id="rId24" Type="http://schemas.openxmlformats.org/officeDocument/2006/relationships/hyperlink" Target="https://t.me/va_konstantinov/6757" TargetMode="External"/><Relationship Id="rId32" Type="http://schemas.openxmlformats.org/officeDocument/2006/relationships/hyperlink" Target="https://ukraine.ohchr.org/en/treatment-of-civilians-deprived-of-their-liberty-in-the-context-of-the-armed-attack-by-the-russian-federation-against-ukraine" TargetMode="External"/><Relationship Id="rId37" Type="http://schemas.openxmlformats.org/officeDocument/2006/relationships/hyperlink" Target="https://zakon.rada.gov.ua/laws/show/551-2024-%D0%BF" TargetMode="External"/><Relationship Id="rId40" Type="http://schemas.openxmlformats.org/officeDocument/2006/relationships/hyperlink" Target="https://zakon.rada.gov.ua/laws/show/3999-20" TargetMode="External"/><Relationship Id="rId45" Type="http://schemas.openxmlformats.org/officeDocument/2006/relationships/hyperlink" Target="https://zakon.rada.gov.ua/laws/show/641-2025-%D0%BF" TargetMode="External"/><Relationship Id="rId5" Type="http://schemas.openxmlformats.org/officeDocument/2006/relationships/hyperlink" Target="https://www.facebook.com/permalink.php?story_fbid=pfbid0PtDDKqPHpdmWFN7nDW8FPqxSBgTvWP7hxFfWta4YF9fsmfghpTVey2XnSun3qz2pl&amp;id=100028374940771" TargetMode="External"/><Relationship Id="rId15" Type="http://schemas.openxmlformats.org/officeDocument/2006/relationships/hyperlink" Target="https://ukraine.ohchr.org/sites/default/files/2024-12/A_79_258-EN.pdf" TargetMode="External"/><Relationship Id="rId23" Type="http://schemas.openxmlformats.org/officeDocument/2006/relationships/hyperlink" Target="https://ru.krymr.com/a/news-krym-vlasti-rf-natsionalizirovali-imushchestvo-560-ukrainskikh-lits/33278102.html" TargetMode="External"/><Relationship Id="rId28" Type="http://schemas.openxmlformats.org/officeDocument/2006/relationships/hyperlink" Target="https://zakon.rada.gov.ua/laws/show/2923-20" TargetMode="External"/><Relationship Id="rId36" Type="http://schemas.openxmlformats.org/officeDocument/2006/relationships/hyperlink" Target="https://www.ohchr.org/en/instruments-mechanisms/instruments/basic-principles-and-guidelines-right-remedy-and-reparation" TargetMode="External"/><Relationship Id="rId10" Type="http://schemas.openxmlformats.org/officeDocument/2006/relationships/hyperlink" Target="http://www.kremlin.ru/acts/bank/49235" TargetMode="External"/><Relationship Id="rId19" Type="http://schemas.openxmlformats.org/officeDocument/2006/relationships/hyperlink" Target="https://ukraine.ohchr.org/en/Periodic-Report-on-the-Human-Rights-Situation-in-Ukraine-1-September-to-30-November-2024" TargetMode="External"/><Relationship Id="rId31" Type="http://schemas.openxmlformats.org/officeDocument/2006/relationships/hyperlink" Target="https://zakon.rada.gov.ua/laws/show/815-2025-%D0%BF" TargetMode="External"/><Relationship Id="rId44" Type="http://schemas.openxmlformats.org/officeDocument/2006/relationships/hyperlink" Target="https://zakon.rada.gov.ua/laws/show/66-2025-%D0%BF" TargetMode="External"/><Relationship Id="rId4" Type="http://schemas.openxmlformats.org/officeDocument/2006/relationships/hyperlink" Target="https://archive.is/Py7oe" TargetMode="External"/><Relationship Id="rId9" Type="http://schemas.openxmlformats.org/officeDocument/2006/relationships/hyperlink" Target="https://ukraine.ohchr.org/en/human-rights-situation-during-russian-occupation-territory-ukraine-and-its-aftermath-EN" TargetMode="External"/><Relationship Id="rId14" Type="http://schemas.openxmlformats.org/officeDocument/2006/relationships/hyperlink" Target="https://ukraine.ohchr.org/en/human-rights-situation-during-russian-occupation-territory-ukraine-and-its-aftermath-EN" TargetMode="External"/><Relationship Id="rId22" Type="http://schemas.openxmlformats.org/officeDocument/2006/relationships/hyperlink" Target="http://publication.pravo.gov.ru/document/0001202512150024" TargetMode="External"/><Relationship Id="rId27" Type="http://schemas.openxmlformats.org/officeDocument/2006/relationships/hyperlink" Target="https://zakon.rada.gov.ua/laws/show/299-2025-%D0%BF" TargetMode="External"/><Relationship Id="rId30" Type="http://schemas.openxmlformats.org/officeDocument/2006/relationships/hyperlink" Target="http://zakon.rada.gov.ua/laws/show/600-2023-%D0%BF" TargetMode="External"/><Relationship Id="rId35" Type="http://schemas.openxmlformats.org/officeDocument/2006/relationships/hyperlink" Target="https://zakon.rada.gov.ua/laws/show/1775-2025-%D0%BF" TargetMode="External"/><Relationship Id="rId43" Type="http://schemas.openxmlformats.org/officeDocument/2006/relationships/hyperlink" Target="https://zakon.rada.gov.ua/laws/show/1240-2024-%D0%BF" TargetMode="External"/><Relationship Id="rId48" Type="http://schemas.openxmlformats.org/officeDocument/2006/relationships/hyperlink" Target="https://itd.rada.gov.ua/billinfo/Bills/Card/58931" TargetMode="External"/><Relationship Id="rId8" Type="http://schemas.openxmlformats.org/officeDocument/2006/relationships/hyperlink" Target="https://ukraine.ohchr.org/en/treatment-of-civilians-deprived-of-their-liberty-in-the-context-of-the-armed-attack-by-the-russian-federation-against-ukraine" TargetMode="External"/><Relationship Id="rId3" Type="http://schemas.openxmlformats.org/officeDocument/2006/relationships/hyperlink" Target="https://www.google.com/url?sa=i&amp;source=web&amp;rct=j&amp;url=https://dtm.iom.int/reports/ukraine-internal-displacement-report-general-population-survey-round-22-january-2026&amp;ved=2ahUKEwjv1ezKufSSAxXT3AIHHawuJqgQy_kOegYIAQgDEAE&amp;opi=89978449&amp;cd&amp;psig=AOvVaw21BkScVvGbnNFOpK_XNZr-&amp;ust=1772102284976000" TargetMode="External"/><Relationship Id="rId12" Type="http://schemas.openxmlformats.org/officeDocument/2006/relationships/hyperlink" Target="https://ukraine.ohchr.org/en/A-79-258-Situation-of-human-rights-in-the-temporarily-occupied-territories-of-Ukraine-including-the-Autonomous-Republic-of-Crimea-and-the-city-of-Sevastopol-report-of-the-Secretary-General-1-July-2023-to-30-June-2024" TargetMode="External"/><Relationship Id="rId17" Type="http://schemas.openxmlformats.org/officeDocument/2006/relationships/hyperlink" Target="https://ukraine.ohchr.org/en/The-impact-of-the-armed-conflict-and-occupation-on-childrens-rights-in-Ukraine-24-February-2022-31-December-2024" TargetMode="External"/><Relationship Id="rId25" Type="http://schemas.openxmlformats.org/officeDocument/2006/relationships/hyperlink" Target="https://zakon.rada.gov.ua/laws/show/1207-18" TargetMode="External"/><Relationship Id="rId33" Type="http://schemas.openxmlformats.org/officeDocument/2006/relationships/hyperlink" Target="https://zakon.rada.gov.ua/laws/show/4067-20" TargetMode="External"/><Relationship Id="rId38" Type="http://schemas.openxmlformats.org/officeDocument/2006/relationships/hyperlink" Target="https://zakon.rada.gov.ua/laws/show/66-2025-%D0%BF" TargetMode="External"/><Relationship Id="rId46" Type="http://schemas.openxmlformats.org/officeDocument/2006/relationships/hyperlink" Target="https://zakon.rada.gov.ua/laws/show/653-2025-%D0%BF" TargetMode="External"/><Relationship Id="rId20" Type="http://schemas.openxmlformats.org/officeDocument/2006/relationships/hyperlink" Target="https://repository.nsedc.ru/dataset/emiss_38479" TargetMode="External"/><Relationship Id="rId41" Type="http://schemas.openxmlformats.org/officeDocument/2006/relationships/hyperlink" Target="https://zakon.rada.gov.ua/laws/show/268-2017-%D0%B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tributortype xmlns="66797b77-c200-4d7e-b06b-42fe1f777de1" xsi:nil="true"/>
    <additionalsubmission xmlns="66797b77-c200-4d7e-b06b-42fe1f777de1" xsi:nil="true"/>
    <lcf76f155ced4ddcb4097134ff3c332f xmlns="66797b77-c200-4d7e-b06b-42fe1f777de1">
      <Terms xmlns="http://schemas.microsoft.com/office/infopath/2007/PartnerControls"/>
    </lcf76f155ced4ddcb4097134ff3c332f>
    <TaxCatchAll xmlns="e8c630da-1593-4b40-8ff7-bd949da10589" xsi:nil="true"/>
    <language xmlns="66797b77-c200-4d7e-b06b-42fe1f777de1">En</languag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257166D5221D45AC4BE86DE2E261D0" ma:contentTypeVersion="16" ma:contentTypeDescription="Create a new document." ma:contentTypeScope="" ma:versionID="f710b4b6cd3c8458079dc786359802e4">
  <xsd:schema xmlns:xsd="http://www.w3.org/2001/XMLSchema" xmlns:xs="http://www.w3.org/2001/XMLSchema" xmlns:p="http://schemas.microsoft.com/office/2006/metadata/properties" xmlns:ns2="66797b77-c200-4d7e-b06b-42fe1f777de1" xmlns:ns3="e8c630da-1593-4b40-8ff7-bd949da10589" targetNamespace="http://schemas.microsoft.com/office/2006/metadata/properties" ma:root="true" ma:fieldsID="114b8ce3e4bd223cf4a341d227d3bca3" ns2:_="" ns3:_="">
    <xsd:import namespace="66797b77-c200-4d7e-b06b-42fe1f777de1"/>
    <xsd:import namespace="e8c630da-1593-4b40-8ff7-bd949da1058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contributortype" minOccurs="0"/>
                <xsd:element ref="ns2:language" minOccurs="0"/>
                <xsd:element ref="ns2:additionalsubmission" minOccurs="0"/>
                <xsd:element ref="ns2:MediaServiceObjectDetectorVersions" minOccurs="0"/>
                <xsd:element ref="ns2:MediaServiceDateTaken"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97b77-c200-4d7e-b06b-42fe1f777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contributortype" ma:index="16" nillable="true" ma:displayName="contributor type" ma:format="Dropdown" ma:internalName="contributortype">
      <xsd:simpleType>
        <xsd:union memberTypes="dms:Text">
          <xsd:simpleType>
            <xsd:restriction base="dms:Choice">
              <xsd:enumeration value="State"/>
              <xsd:enumeration value="CSO"/>
              <xsd:enumeration value="NHRI"/>
              <xsd:enumeration value="Academia"/>
              <xsd:enumeration value="UN entity"/>
              <xsd:enumeration value="Other"/>
            </xsd:restriction>
          </xsd:simpleType>
        </xsd:union>
      </xsd:simpleType>
    </xsd:element>
    <xsd:element name="language" ma:index="17" nillable="true" ma:displayName="language" ma:default="En" ma:format="Dropdown" ma:internalName="language">
      <xsd:simpleType>
        <xsd:restriction base="dms:Choice">
          <xsd:enumeration value="En"/>
          <xsd:enumeration value="Fr"/>
          <xsd:enumeration value="Es"/>
          <xsd:enumeration value="Ar"/>
          <xsd:enumeration value="Ru"/>
          <xsd:enumeration value="Zh"/>
        </xsd:restriction>
      </xsd:simpleType>
    </xsd:element>
    <xsd:element name="additionalsubmission" ma:index="18" nillable="true" ma:displayName="additional submission" ma:format="Dropdown" ma:internalName="additionalsubmission">
      <xsd:simpleType>
        <xsd:union memberTypes="dms:Text">
          <xsd:simpleType>
            <xsd:restriction base="dms:Choice">
              <xsd:enumeration value="1"/>
              <xsd:enumeration value="2"/>
              <xsd:enumeration value="3"/>
              <xsd:enumeration value="4"/>
              <xsd:enumeration value="5"/>
              <xsd:enumeration value="Choice 7"/>
            </xsd:restriction>
          </xsd:simpleType>
        </xsd:un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c630da-1593-4b40-8ff7-bd949da1058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24b8af6-8dd4-4520-8346-63c43fb665d6}" ma:internalName="TaxCatchAll" ma:showField="CatchAllData" ma:web="e8c630da-1593-4b40-8ff7-bd949da10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613A57-A7FA-4105-B7BA-950DFCE7FFAB}">
  <ds:schemaRefs>
    <ds:schemaRef ds:uri="http://schemas.microsoft.com/sharepoint/v3/contenttype/forms"/>
  </ds:schemaRefs>
</ds:datastoreItem>
</file>

<file path=customXml/itemProps2.xml><?xml version="1.0" encoding="utf-8"?>
<ds:datastoreItem xmlns:ds="http://schemas.openxmlformats.org/officeDocument/2006/customXml" ds:itemID="{AA42A2AD-CD74-42B0-95CC-D2D9BFC8CD40}">
  <ds:schemaRefs>
    <ds:schemaRef ds:uri="http://schemas.microsoft.com/office/2006/metadata/properties"/>
    <ds:schemaRef ds:uri="http://schemas.microsoft.com/office/infopath/2007/PartnerControls"/>
    <ds:schemaRef ds:uri="ec9f1119-4837-4e6f-a151-25984197b43a"/>
    <ds:schemaRef ds:uri="efae2d7d-4359-4d4c-8dfe-f3294c979a7c"/>
  </ds:schemaRefs>
</ds:datastoreItem>
</file>

<file path=customXml/itemProps3.xml><?xml version="1.0" encoding="utf-8"?>
<ds:datastoreItem xmlns:ds="http://schemas.openxmlformats.org/officeDocument/2006/customXml" ds:itemID="{7C193075-8CFF-4D41-90FF-0F30989C877F}">
  <ds:schemaRefs>
    <ds:schemaRef ds:uri="http://schemas.openxmlformats.org/officeDocument/2006/bibliography"/>
  </ds:schemaRefs>
</ds:datastoreItem>
</file>

<file path=customXml/itemProps4.xml><?xml version="1.0" encoding="utf-8"?>
<ds:datastoreItem xmlns:ds="http://schemas.openxmlformats.org/officeDocument/2006/customXml" ds:itemID="{00EB02EF-56F4-430B-9DB8-DF71C1B9E6B1}"/>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Template>
  <TotalTime>4</TotalTime>
  <Pages>20</Pages>
  <Words>9056</Words>
  <Characters>51258</Characters>
  <Application>Microsoft Office Word</Application>
  <DocSecurity>0</DocSecurity>
  <Lines>776</Lines>
  <Paragraphs>186</Paragraphs>
  <ScaleCrop>false</ScaleCrop>
  <HeadingPairs>
    <vt:vector size="2" baseType="variant">
      <vt:variant>
        <vt:lpstr>Titre</vt:lpstr>
      </vt:variant>
      <vt:variant>
        <vt:i4>1</vt:i4>
      </vt:variant>
    </vt:vector>
  </HeadingPairs>
  <TitlesOfParts>
    <vt:vector size="1" baseType="lpstr">
      <vt:lpstr/>
    </vt:vector>
  </TitlesOfParts>
  <Company>CSD</Company>
  <LinksUpToDate>false</LinksUpToDate>
  <CharactersWithSpaces>60128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CRP///</dc:title>
  <dc:creator>OHCHR</dc:creator>
  <cp:lastModifiedBy>Juan Luis Barea Saavedra</cp:lastModifiedBy>
  <cp:revision>6</cp:revision>
  <cp:lastPrinted>2008-01-29T08:30:00Z</cp:lastPrinted>
  <dcterms:created xsi:type="dcterms:W3CDTF">2026-04-30T10:38:00Z</dcterms:created>
  <dcterms:modified xsi:type="dcterms:W3CDTF">2026-04-30T10:42:00Z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2bb7c468-0985-4651-9ec8-0ec8c85215f4</vt:lpwstr>
  </property>
  <property fmtid="{D5CDD505-2E9C-101B-9397-08002B2CF9AE}" pid="3" name="ContentTypeId">
    <vt:lpwstr>0x010100D3257166D5221D45AC4BE86DE2E261D0</vt:lpwstr>
  </property>
  <property fmtid="{D5CDD505-2E9C-101B-9397-08002B2CF9AE}" pid="4" name="MediaServiceImageTags">
    <vt:lpwstr/>
  </property>
</Properties>
</file>