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76"/>
        <w:gridCol w:w="2268"/>
        <w:gridCol w:w="3260"/>
        <w:gridCol w:w="2835"/>
      </w:tblGrid>
      <w:tr w:rsidR="009B770D" w14:paraId="0A519EF5" w14:textId="77777777">
        <w:trPr>
          <w:cantSplit/>
          <w:trHeight w:hRule="exact" w:val="851"/>
        </w:trPr>
        <w:tc>
          <w:tcPr>
            <w:tcW w:w="1276" w:type="dxa"/>
            <w:tcBorders>
              <w:bottom w:val="single" w:sz="4" w:space="0" w:color="auto"/>
            </w:tcBorders>
            <w:vAlign w:val="bottom"/>
          </w:tcPr>
          <w:p w14:paraId="5415C616" w14:textId="77777777" w:rsidR="00AF434B" w:rsidRDefault="00AF434B">
            <w:pPr>
              <w:spacing w:after="80"/>
            </w:pPr>
          </w:p>
        </w:tc>
        <w:tc>
          <w:tcPr>
            <w:tcW w:w="2268" w:type="dxa"/>
            <w:tcBorders>
              <w:bottom w:val="single" w:sz="4" w:space="0" w:color="auto"/>
            </w:tcBorders>
            <w:vAlign w:val="bottom"/>
          </w:tcPr>
          <w:p w14:paraId="625D11E2" w14:textId="30B487DB" w:rsidR="00AF434B" w:rsidRDefault="00AF434B">
            <w:pPr>
              <w:spacing w:after="80" w:line="300" w:lineRule="exact"/>
              <w:rPr>
                <w:b/>
                <w:sz w:val="24"/>
                <w:szCs w:val="24"/>
              </w:rPr>
            </w:pPr>
          </w:p>
        </w:tc>
        <w:tc>
          <w:tcPr>
            <w:tcW w:w="6095" w:type="dxa"/>
            <w:gridSpan w:val="2"/>
            <w:tcBorders>
              <w:bottom w:val="single" w:sz="4" w:space="0" w:color="auto"/>
            </w:tcBorders>
            <w:vAlign w:val="bottom"/>
          </w:tcPr>
          <w:p w14:paraId="2783E76A" w14:textId="77777777" w:rsidR="00AF434B" w:rsidRDefault="002A7257">
            <w:pPr>
              <w:suppressAutoHyphens w:val="0"/>
              <w:spacing w:after="20"/>
              <w:jc w:val="right"/>
            </w:pPr>
            <w:r>
              <w:rPr>
                <w:sz w:val="40"/>
              </w:rPr>
              <w:t>CRPD</w:t>
            </w:r>
            <w:r>
              <w:t>/C/KHM/1</w:t>
            </w:r>
          </w:p>
        </w:tc>
      </w:tr>
      <w:tr w:rsidR="009B770D" w14:paraId="028F6EA3" w14:textId="77777777">
        <w:trPr>
          <w:cantSplit/>
          <w:trHeight w:hRule="exact" w:val="2835"/>
        </w:trPr>
        <w:tc>
          <w:tcPr>
            <w:tcW w:w="1276" w:type="dxa"/>
            <w:tcBorders>
              <w:top w:val="single" w:sz="4" w:space="0" w:color="auto"/>
              <w:bottom w:val="single" w:sz="12" w:space="0" w:color="auto"/>
            </w:tcBorders>
          </w:tcPr>
          <w:p w14:paraId="784BE17C" w14:textId="4228C258" w:rsidR="00AF434B" w:rsidRDefault="00AF434B">
            <w:pPr>
              <w:spacing w:before="120"/>
              <w:jc w:val="center"/>
            </w:pPr>
          </w:p>
        </w:tc>
        <w:tc>
          <w:tcPr>
            <w:tcW w:w="5528" w:type="dxa"/>
            <w:gridSpan w:val="2"/>
            <w:tcBorders>
              <w:top w:val="single" w:sz="4" w:space="0" w:color="auto"/>
              <w:bottom w:val="single" w:sz="12" w:space="0" w:color="auto"/>
            </w:tcBorders>
          </w:tcPr>
          <w:p w14:paraId="12165300" w14:textId="77777777" w:rsidR="00AF434B" w:rsidRDefault="002A7257">
            <w:pPr>
              <w:spacing w:before="120" w:line="380" w:lineRule="exact"/>
            </w:pPr>
            <w:r>
              <w:rPr>
                <w:b/>
                <w:sz w:val="34"/>
                <w:szCs w:val="40"/>
              </w:rPr>
              <w:t>Convention on the Rights</w:t>
            </w:r>
            <w:r>
              <w:rPr>
                <w:b/>
                <w:sz w:val="34"/>
                <w:szCs w:val="40"/>
              </w:rPr>
              <w:br/>
              <w:t>of Persons with Disabilities</w:t>
            </w:r>
          </w:p>
        </w:tc>
        <w:tc>
          <w:tcPr>
            <w:tcW w:w="2835" w:type="dxa"/>
            <w:tcBorders>
              <w:top w:val="single" w:sz="4" w:space="0" w:color="auto"/>
              <w:bottom w:val="single" w:sz="12" w:space="0" w:color="auto"/>
            </w:tcBorders>
          </w:tcPr>
          <w:p w14:paraId="7D7AF1B3" w14:textId="77777777" w:rsidR="00AF434B" w:rsidRPr="00374074" w:rsidRDefault="002A7257">
            <w:pPr>
              <w:suppressAutoHyphens w:val="0"/>
              <w:spacing w:before="240" w:line="240" w:lineRule="exact"/>
              <w:rPr>
                <w:lang w:val="en-US"/>
              </w:rPr>
            </w:pPr>
            <w:r w:rsidRPr="00374074">
              <w:rPr>
                <w:lang w:val="en-US"/>
              </w:rPr>
              <w:t>Distr.: General</w:t>
            </w:r>
          </w:p>
          <w:p w14:paraId="52EED9A4" w14:textId="30204843" w:rsidR="00374074" w:rsidRDefault="002A7257" w:rsidP="00374074">
            <w:pPr>
              <w:suppressAutoHyphens w:val="0"/>
              <w:rPr>
                <w:lang w:val="en-US"/>
              </w:rPr>
            </w:pPr>
            <w:r w:rsidRPr="00374074">
              <w:rPr>
                <w:lang w:val="en-US"/>
              </w:rPr>
              <w:t>21 January 2026</w:t>
            </w:r>
          </w:p>
          <w:p w14:paraId="5A047395" w14:textId="1A8D2815" w:rsidR="002A7257" w:rsidRPr="002A7257" w:rsidRDefault="002A7257" w:rsidP="00374074">
            <w:pPr>
              <w:suppressAutoHyphens w:val="0"/>
              <w:rPr>
                <w:b/>
                <w:bCs/>
                <w:lang w:val="en-US"/>
              </w:rPr>
            </w:pPr>
            <w:r>
              <w:rPr>
                <w:b/>
                <w:bCs/>
                <w:lang w:val="en-US"/>
              </w:rPr>
              <w:t>ADVANCE UNEDITED VERSION</w:t>
            </w:r>
          </w:p>
          <w:p w14:paraId="7AE062C4" w14:textId="77777777" w:rsidR="00AF434B" w:rsidRPr="00374074" w:rsidRDefault="00AF434B">
            <w:pPr>
              <w:suppressAutoHyphens w:val="0"/>
              <w:rPr>
                <w:lang w:val="en-US"/>
              </w:rPr>
            </w:pPr>
          </w:p>
          <w:p w14:paraId="0D39EEEB" w14:textId="5A637197" w:rsidR="00374074" w:rsidRPr="00374074" w:rsidRDefault="002A7257" w:rsidP="002A7257">
            <w:pPr>
              <w:suppressAutoHyphens w:val="0"/>
              <w:rPr>
                <w:lang w:val="en-US"/>
              </w:rPr>
            </w:pPr>
            <w:r w:rsidRPr="00374074">
              <w:rPr>
                <w:lang w:val="en-US"/>
              </w:rPr>
              <w:t>Original: English</w:t>
            </w:r>
          </w:p>
        </w:tc>
      </w:tr>
    </w:tbl>
    <w:p w14:paraId="53941EB5" w14:textId="77777777" w:rsidR="00AF434B" w:rsidRDefault="002A7257">
      <w:pPr>
        <w:spacing w:before="120"/>
        <w:rPr>
          <w:b/>
          <w:sz w:val="24"/>
          <w:szCs w:val="24"/>
        </w:rPr>
      </w:pPr>
      <w:r>
        <w:rPr>
          <w:b/>
          <w:sz w:val="24"/>
        </w:rPr>
        <w:t>Committee on the Rights of Persons with Disabilities</w:t>
      </w:r>
    </w:p>
    <w:p w14:paraId="746AE822" w14:textId="79D3562D" w:rsidR="00AF434B" w:rsidRDefault="002A7257">
      <w:pPr>
        <w:pStyle w:val="HMG"/>
      </w:pPr>
      <w:r>
        <w:tab/>
      </w:r>
      <w:r>
        <w:tab/>
      </w:r>
      <w:bookmarkStart w:id="0" w:name="_Toc219967957"/>
      <w:r>
        <w:t xml:space="preserve">Initial report submitted by </w:t>
      </w:r>
      <w:r w:rsidR="007A2056">
        <w:t>Cambodia</w:t>
      </w:r>
      <w:r>
        <w:t xml:space="preserve"> under article 35 of the Convention, due in </w:t>
      </w:r>
      <w:r w:rsidR="004E75B6">
        <w:t>2015</w:t>
      </w:r>
      <w:r>
        <w:rPr>
          <w:rStyle w:val="FootnoteReference"/>
          <w:b w:val="0"/>
          <w:sz w:val="20"/>
          <w:vertAlign w:val="baseline"/>
        </w:rPr>
        <w:footnoteReference w:customMarkFollows="1" w:id="2"/>
        <w:t>*</w:t>
      </w:r>
      <w:bookmarkEnd w:id="0"/>
    </w:p>
    <w:p w14:paraId="44586427" w14:textId="5B2C412F" w:rsidR="00AF434B" w:rsidRDefault="002A7257">
      <w:pPr>
        <w:pStyle w:val="SingleTxtG"/>
        <w:jc w:val="right"/>
      </w:pPr>
      <w:r>
        <w:t xml:space="preserve">[Date received: </w:t>
      </w:r>
      <w:r w:rsidR="00374074">
        <w:t>21 January 2026</w:t>
      </w:r>
      <w:r>
        <w:t>]</w:t>
      </w:r>
    </w:p>
    <w:p w14:paraId="3BA9ECFD" w14:textId="4BCD98B1" w:rsidR="00374074" w:rsidRDefault="00374074">
      <w:pPr>
        <w:suppressAutoHyphens w:val="0"/>
        <w:spacing w:after="200" w:line="276" w:lineRule="auto"/>
        <w:rPr>
          <w:rFonts w:eastAsiaTheme="minorHAnsi"/>
        </w:rPr>
      </w:pPr>
      <w:r>
        <w:br w:type="page"/>
      </w:r>
    </w:p>
    <w:sdt>
      <w:sdtPr>
        <w:rPr>
          <w:rFonts w:ascii="Times New Roman" w:eastAsia="Times New Roman" w:hAnsi="Times New Roman" w:cs="Times New Roman"/>
          <w:color w:val="auto"/>
          <w:sz w:val="20"/>
          <w:szCs w:val="20"/>
          <w:lang w:val="en-GB"/>
        </w:rPr>
        <w:id w:val="-293137870"/>
        <w:docPartObj>
          <w:docPartGallery w:val="Table of Contents"/>
          <w:docPartUnique/>
        </w:docPartObj>
      </w:sdtPr>
      <w:sdtEndPr>
        <w:rPr>
          <w:b/>
          <w:bCs/>
          <w:noProof/>
        </w:rPr>
      </w:sdtEndPr>
      <w:sdtContent>
        <w:p w14:paraId="030E7A98" w14:textId="4BB4A834" w:rsidR="00374074" w:rsidRDefault="00374074">
          <w:pPr>
            <w:pStyle w:val="TOCHeading"/>
          </w:pPr>
          <w:r>
            <w:t>Table of Contents</w:t>
          </w:r>
        </w:p>
        <w:p w14:paraId="0634039C" w14:textId="40502EF3" w:rsidR="00374074" w:rsidRDefault="00374074">
          <w:pPr>
            <w:pStyle w:val="TOC1"/>
            <w:tabs>
              <w:tab w:val="right" w:leader="dot" w:pos="9628"/>
            </w:tabs>
            <w:rPr>
              <w:noProof/>
            </w:rPr>
          </w:pPr>
          <w:r>
            <w:fldChar w:fldCharType="begin"/>
          </w:r>
          <w:r>
            <w:instrText xml:space="preserve"> TOC \o "1-3" \h \z \u </w:instrText>
          </w:r>
          <w:r>
            <w:fldChar w:fldCharType="separate"/>
          </w:r>
          <w:hyperlink w:anchor="_Toc219967957" w:history="1">
            <w:r w:rsidRPr="00B87464">
              <w:rPr>
                <w:rStyle w:val="Hyperlink"/>
                <w:noProof/>
              </w:rPr>
              <w:t xml:space="preserve">Initial report submitted by Cambodia under article 35 of the Convention, due in [year][ [ </w:t>
            </w:r>
            <w:r>
              <w:rPr>
                <w:noProof/>
                <w:webHidden/>
              </w:rPr>
              <w:tab/>
            </w:r>
            <w:r>
              <w:rPr>
                <w:noProof/>
                <w:webHidden/>
              </w:rPr>
              <w:fldChar w:fldCharType="begin"/>
            </w:r>
            <w:r>
              <w:rPr>
                <w:noProof/>
                <w:webHidden/>
              </w:rPr>
              <w:instrText xml:space="preserve"> PAGEREF _Toc219967957 \h </w:instrText>
            </w:r>
            <w:r>
              <w:rPr>
                <w:noProof/>
                <w:webHidden/>
              </w:rPr>
            </w:r>
            <w:r>
              <w:rPr>
                <w:noProof/>
                <w:webHidden/>
              </w:rPr>
              <w:fldChar w:fldCharType="separate"/>
            </w:r>
            <w:r>
              <w:rPr>
                <w:noProof/>
                <w:webHidden/>
              </w:rPr>
              <w:t>1</w:t>
            </w:r>
            <w:r>
              <w:rPr>
                <w:noProof/>
                <w:webHidden/>
              </w:rPr>
              <w:fldChar w:fldCharType="end"/>
            </w:r>
          </w:hyperlink>
        </w:p>
        <w:p w14:paraId="5D81BF6E" w14:textId="5F25E450" w:rsidR="00374074" w:rsidRDefault="00374074">
          <w:r>
            <w:rPr>
              <w:b/>
              <w:bCs/>
              <w:noProof/>
            </w:rPr>
            <w:fldChar w:fldCharType="end"/>
          </w:r>
        </w:p>
      </w:sdtContent>
    </w:sdt>
    <w:p w14:paraId="2967985E" w14:textId="2D578086" w:rsidR="00374074" w:rsidRDefault="00374074">
      <w:pPr>
        <w:suppressAutoHyphens w:val="0"/>
        <w:spacing w:after="200" w:line="276" w:lineRule="auto"/>
        <w:rPr>
          <w:rFonts w:eastAsiaTheme="minorHAnsi"/>
        </w:rPr>
      </w:pPr>
      <w:r>
        <w:br w:type="page"/>
      </w:r>
    </w:p>
    <w:p w14:paraId="47B9AD14" w14:textId="47642F01" w:rsidR="00374074" w:rsidRPr="00374074" w:rsidRDefault="00374074" w:rsidP="00374074">
      <w:pPr>
        <w:pStyle w:val="H1G"/>
        <w:rPr>
          <w:bCs/>
          <w:lang w:val="en-CA" w:eastAsia="en-GB" w:bidi="km-KH"/>
        </w:rPr>
      </w:pPr>
      <w:bookmarkStart w:id="1" w:name="_Toc215321685"/>
      <w:r>
        <w:rPr>
          <w:lang w:eastAsia="en-GB" w:bidi="km-KH"/>
        </w:rPr>
        <w:lastRenderedPageBreak/>
        <w:tab/>
      </w:r>
      <w:r>
        <w:rPr>
          <w:lang w:eastAsia="en-GB" w:bidi="km-KH"/>
        </w:rPr>
        <w:tab/>
      </w:r>
      <w:r w:rsidRPr="00374074">
        <w:rPr>
          <w:lang w:eastAsia="en-GB" w:bidi="km-KH"/>
        </w:rPr>
        <w:t>Abbreviations</w:t>
      </w:r>
      <w:bookmarkEnd w:id="1"/>
    </w:p>
    <w:p w14:paraId="1679EC9A" w14:textId="77777777" w:rsidR="00374074" w:rsidRDefault="00374074" w:rsidP="00374074">
      <w:pPr>
        <w:pStyle w:val="SingleTxtG"/>
      </w:pPr>
      <w:r>
        <w:t>No</w:t>
      </w:r>
      <w:r>
        <w:tab/>
        <w:t xml:space="preserve">Abbreviation </w:t>
      </w:r>
      <w:r>
        <w:tab/>
        <w:t>Full Form</w:t>
      </w:r>
    </w:p>
    <w:p w14:paraId="5E769B5C" w14:textId="77777777" w:rsidR="00374074" w:rsidRDefault="00374074" w:rsidP="00374074">
      <w:pPr>
        <w:pStyle w:val="SingleTxtG"/>
      </w:pPr>
      <w:r>
        <w:t>1</w:t>
      </w:r>
      <w:r>
        <w:tab/>
        <w:t>ABC</w:t>
      </w:r>
      <w:r>
        <w:tab/>
        <w:t>Association of the Blind in Cambodia</w:t>
      </w:r>
    </w:p>
    <w:p w14:paraId="0732FE97" w14:textId="77777777" w:rsidR="00374074" w:rsidRDefault="00374074" w:rsidP="00374074">
      <w:pPr>
        <w:pStyle w:val="SingleTxtG"/>
      </w:pPr>
      <w:r>
        <w:t>2</w:t>
      </w:r>
      <w:r>
        <w:tab/>
        <w:t>ADD</w:t>
      </w:r>
      <w:r>
        <w:tab/>
        <w:t>Action on Disability and Development</w:t>
      </w:r>
    </w:p>
    <w:p w14:paraId="4A5DA0B3" w14:textId="77777777" w:rsidR="00374074" w:rsidRDefault="00374074" w:rsidP="00374074">
      <w:pPr>
        <w:pStyle w:val="SingleTxtG"/>
      </w:pPr>
      <w:r>
        <w:t>3</w:t>
      </w:r>
      <w:r>
        <w:tab/>
        <w:t>APCD</w:t>
      </w:r>
      <w:r>
        <w:tab/>
        <w:t>Asia-Pacific Development Centre on Disability</w:t>
      </w:r>
    </w:p>
    <w:p w14:paraId="04EAD590" w14:textId="77777777" w:rsidR="00374074" w:rsidRDefault="00374074" w:rsidP="00374074">
      <w:pPr>
        <w:pStyle w:val="SingleTxtG"/>
      </w:pPr>
      <w:r>
        <w:t>4</w:t>
      </w:r>
      <w:r>
        <w:tab/>
        <w:t>CBR</w:t>
      </w:r>
      <w:r>
        <w:tab/>
        <w:t>Community-Based Rehabilitation</w:t>
      </w:r>
    </w:p>
    <w:p w14:paraId="400FA352" w14:textId="77777777" w:rsidR="00374074" w:rsidRDefault="00374074" w:rsidP="00374074">
      <w:pPr>
        <w:pStyle w:val="SingleTxtG"/>
      </w:pPr>
      <w:r>
        <w:t>5</w:t>
      </w:r>
      <w:r>
        <w:tab/>
        <w:t>CDPO</w:t>
      </w:r>
      <w:r>
        <w:tab/>
        <w:t>Cambodian Disabled People’s Organization</w:t>
      </w:r>
    </w:p>
    <w:p w14:paraId="32F9487F" w14:textId="77777777" w:rsidR="00374074" w:rsidRDefault="00374074" w:rsidP="00374074">
      <w:pPr>
        <w:pStyle w:val="SingleTxtG"/>
      </w:pPr>
      <w:r>
        <w:t>6</w:t>
      </w:r>
      <w:r>
        <w:tab/>
        <w:t>CIPS</w:t>
      </w:r>
      <w:r>
        <w:tab/>
        <w:t>Cambodian Inter-censal Population Survey</w:t>
      </w:r>
    </w:p>
    <w:p w14:paraId="205F0376" w14:textId="77777777" w:rsidR="00374074" w:rsidRDefault="00374074" w:rsidP="00374074">
      <w:pPr>
        <w:pStyle w:val="SingleTxtG"/>
      </w:pPr>
      <w:r>
        <w:t>7</w:t>
      </w:r>
      <w:r>
        <w:tab/>
        <w:t>CNCW</w:t>
      </w:r>
      <w:r>
        <w:tab/>
        <w:t>Cambodian National Council for Women</w:t>
      </w:r>
    </w:p>
    <w:p w14:paraId="781478BE" w14:textId="77777777" w:rsidR="00374074" w:rsidRDefault="00374074" w:rsidP="00374074">
      <w:pPr>
        <w:pStyle w:val="SingleTxtG"/>
      </w:pPr>
      <w:r>
        <w:t>8</w:t>
      </w:r>
      <w:r>
        <w:tab/>
        <w:t>CRPD</w:t>
      </w:r>
      <w:r>
        <w:tab/>
        <w:t>Convention on the Rights of Persons with Disabilities</w:t>
      </w:r>
    </w:p>
    <w:p w14:paraId="4468F7AD" w14:textId="77777777" w:rsidR="00374074" w:rsidRDefault="00374074" w:rsidP="00374074">
      <w:pPr>
        <w:pStyle w:val="SingleTxtG"/>
      </w:pPr>
      <w:r>
        <w:t>9</w:t>
      </w:r>
      <w:r>
        <w:tab/>
        <w:t>DAC</w:t>
      </w:r>
      <w:r>
        <w:tab/>
        <w:t>Disability Action Council</w:t>
      </w:r>
    </w:p>
    <w:p w14:paraId="09F27BFF" w14:textId="77777777" w:rsidR="00374074" w:rsidRDefault="00374074" w:rsidP="00374074">
      <w:pPr>
        <w:pStyle w:val="SingleTxtG"/>
      </w:pPr>
      <w:r>
        <w:t>10</w:t>
      </w:r>
      <w:r>
        <w:tab/>
        <w:t>EF</w:t>
      </w:r>
      <w:r>
        <w:tab/>
        <w:t>Equity Funds</w:t>
      </w:r>
    </w:p>
    <w:p w14:paraId="368B9870" w14:textId="77777777" w:rsidR="00374074" w:rsidRDefault="00374074" w:rsidP="00374074">
      <w:pPr>
        <w:pStyle w:val="SingleTxtG"/>
      </w:pPr>
      <w:r>
        <w:t>11</w:t>
      </w:r>
      <w:r>
        <w:tab/>
        <w:t>GDP</w:t>
      </w:r>
      <w:r>
        <w:tab/>
        <w:t>Gross Domestic Product</w:t>
      </w:r>
    </w:p>
    <w:p w14:paraId="2463E05F" w14:textId="77777777" w:rsidR="00374074" w:rsidRDefault="00374074" w:rsidP="00374074">
      <w:pPr>
        <w:pStyle w:val="SingleTxtG"/>
      </w:pPr>
      <w:r>
        <w:t>12</w:t>
      </w:r>
      <w:r>
        <w:tab/>
        <w:t>DAC-SG</w:t>
      </w:r>
      <w:r>
        <w:tab/>
        <w:t>Disability Action Council Secretariat-General</w:t>
      </w:r>
    </w:p>
    <w:p w14:paraId="26A374A1" w14:textId="77777777" w:rsidR="00374074" w:rsidRDefault="00374074" w:rsidP="00374074">
      <w:pPr>
        <w:pStyle w:val="SingleTxtG"/>
      </w:pPr>
      <w:r>
        <w:t>13</w:t>
      </w:r>
      <w:r>
        <w:tab/>
        <w:t>JAIF</w:t>
      </w:r>
      <w:r>
        <w:tab/>
        <w:t>Japan-ASEAN Integration Fund</w:t>
      </w:r>
    </w:p>
    <w:p w14:paraId="67BE0F57" w14:textId="77777777" w:rsidR="00374074" w:rsidRDefault="00374074" w:rsidP="00374074">
      <w:pPr>
        <w:pStyle w:val="SingleTxtG"/>
      </w:pPr>
      <w:r>
        <w:t>14</w:t>
      </w:r>
      <w:r>
        <w:tab/>
        <w:t>JICA</w:t>
      </w:r>
      <w:r>
        <w:tab/>
        <w:t>Japan International Cooperation Agency</w:t>
      </w:r>
    </w:p>
    <w:p w14:paraId="015F680F" w14:textId="77777777" w:rsidR="00374074" w:rsidRDefault="00374074" w:rsidP="00374074">
      <w:pPr>
        <w:pStyle w:val="SingleTxtG"/>
      </w:pPr>
      <w:r>
        <w:t>15</w:t>
      </w:r>
      <w:r>
        <w:tab/>
        <w:t>MoEYS</w:t>
      </w:r>
      <w:r>
        <w:tab/>
        <w:t>Ministry of Education, Youth and Sports</w:t>
      </w:r>
    </w:p>
    <w:p w14:paraId="4427A6B2" w14:textId="77777777" w:rsidR="00374074" w:rsidRDefault="00374074" w:rsidP="00374074">
      <w:pPr>
        <w:pStyle w:val="SingleTxtG"/>
      </w:pPr>
      <w:r>
        <w:t>16</w:t>
      </w:r>
      <w:r>
        <w:tab/>
        <w:t>MoSVY</w:t>
      </w:r>
      <w:r>
        <w:tab/>
        <w:t>Ministry of Social Affairs, Veterans and Youth Rehabilitation</w:t>
      </w:r>
    </w:p>
    <w:p w14:paraId="4032CAB0" w14:textId="77777777" w:rsidR="00374074" w:rsidRDefault="00374074" w:rsidP="00374074">
      <w:pPr>
        <w:pStyle w:val="SingleTxtG"/>
      </w:pPr>
      <w:r>
        <w:t>17</w:t>
      </w:r>
      <w:r>
        <w:tab/>
        <w:t>MoWA</w:t>
      </w:r>
      <w:r>
        <w:tab/>
        <w:t>Ministry of Women’s Affairs</w:t>
      </w:r>
    </w:p>
    <w:p w14:paraId="7796A6F0" w14:textId="77777777" w:rsidR="00374074" w:rsidRDefault="00374074" w:rsidP="00374074">
      <w:pPr>
        <w:pStyle w:val="SingleTxtG"/>
      </w:pPr>
      <w:r>
        <w:t>18</w:t>
      </w:r>
      <w:r>
        <w:tab/>
        <w:t>NCDM</w:t>
      </w:r>
      <w:r>
        <w:tab/>
        <w:t>National Committee for Disaster Management</w:t>
      </w:r>
    </w:p>
    <w:p w14:paraId="698F3FB1" w14:textId="77777777" w:rsidR="00374074" w:rsidRDefault="00374074" w:rsidP="00374074">
      <w:pPr>
        <w:pStyle w:val="SingleTxtG"/>
      </w:pPr>
      <w:r>
        <w:t>19</w:t>
      </w:r>
      <w:r>
        <w:tab/>
        <w:t>NCPD</w:t>
      </w:r>
      <w:r>
        <w:tab/>
        <w:t>National Centre of Disabled Persons</w:t>
      </w:r>
    </w:p>
    <w:p w14:paraId="378B68E8" w14:textId="77777777" w:rsidR="00374074" w:rsidRDefault="00374074" w:rsidP="00374074">
      <w:pPr>
        <w:pStyle w:val="SingleTxtG"/>
      </w:pPr>
      <w:r>
        <w:t>20</w:t>
      </w:r>
      <w:r>
        <w:tab/>
        <w:t>NDSP</w:t>
      </w:r>
      <w:r>
        <w:tab/>
        <w:t>National Disability Strategic Plan</w:t>
      </w:r>
    </w:p>
    <w:p w14:paraId="7A444C91" w14:textId="77777777" w:rsidR="00374074" w:rsidRDefault="00374074" w:rsidP="00374074">
      <w:pPr>
        <w:pStyle w:val="SingleTxtG"/>
      </w:pPr>
      <w:r>
        <w:t>21</w:t>
      </w:r>
      <w:r>
        <w:tab/>
        <w:t>NEA</w:t>
      </w:r>
      <w:r>
        <w:tab/>
        <w:t>National Employment Agency</w:t>
      </w:r>
    </w:p>
    <w:p w14:paraId="293A5109" w14:textId="77777777" w:rsidR="00374074" w:rsidRDefault="00374074" w:rsidP="00374074">
      <w:pPr>
        <w:pStyle w:val="SingleTxtG"/>
      </w:pPr>
      <w:r>
        <w:t>22</w:t>
      </w:r>
      <w:r>
        <w:tab/>
        <w:t>NEC</w:t>
      </w:r>
      <w:r>
        <w:tab/>
        <w:t>National Election Committee</w:t>
      </w:r>
    </w:p>
    <w:p w14:paraId="3D439193" w14:textId="77777777" w:rsidR="00374074" w:rsidRDefault="00374074" w:rsidP="00374074">
      <w:pPr>
        <w:pStyle w:val="SingleTxtG"/>
      </w:pPr>
      <w:r>
        <w:t>23</w:t>
      </w:r>
      <w:r>
        <w:tab/>
        <w:t>NGO</w:t>
      </w:r>
      <w:r>
        <w:tab/>
        <w:t>Non-Governmental Organization</w:t>
      </w:r>
    </w:p>
    <w:p w14:paraId="64347CEE" w14:textId="77777777" w:rsidR="00374074" w:rsidRDefault="00374074" w:rsidP="00374074">
      <w:pPr>
        <w:pStyle w:val="SingleTxtG"/>
      </w:pPr>
      <w:r>
        <w:t>24</w:t>
      </w:r>
      <w:r>
        <w:tab/>
        <w:t>NIS</w:t>
      </w:r>
      <w:r>
        <w:tab/>
        <w:t>National Institute of Statistics</w:t>
      </w:r>
    </w:p>
    <w:p w14:paraId="4CA9B012" w14:textId="77777777" w:rsidR="00374074" w:rsidRDefault="00374074" w:rsidP="00374074">
      <w:pPr>
        <w:pStyle w:val="SingleTxtG"/>
      </w:pPr>
      <w:r>
        <w:t>25</w:t>
      </w:r>
      <w:r>
        <w:tab/>
        <w:t>NISE</w:t>
      </w:r>
      <w:r>
        <w:tab/>
        <w:t>National Institute of Special Education</w:t>
      </w:r>
    </w:p>
    <w:p w14:paraId="24D474D0" w14:textId="77777777" w:rsidR="00374074" w:rsidRDefault="00374074" w:rsidP="00374074">
      <w:pPr>
        <w:pStyle w:val="SingleTxtG"/>
      </w:pPr>
      <w:r>
        <w:t>26</w:t>
      </w:r>
      <w:r>
        <w:tab/>
        <w:t>OPDs</w:t>
      </w:r>
      <w:r>
        <w:tab/>
        <w:t>Organization of Persons with Disabilities</w:t>
      </w:r>
    </w:p>
    <w:p w14:paraId="059213FA" w14:textId="77777777" w:rsidR="00374074" w:rsidRDefault="00374074" w:rsidP="00374074">
      <w:pPr>
        <w:pStyle w:val="SingleTxtG"/>
      </w:pPr>
      <w:r>
        <w:t>27</w:t>
      </w:r>
      <w:r>
        <w:tab/>
        <w:t>PWDF</w:t>
      </w:r>
      <w:r>
        <w:tab/>
        <w:t>Persons With Disabilities Foundation</w:t>
      </w:r>
    </w:p>
    <w:p w14:paraId="10EA4D2E" w14:textId="50150B14" w:rsidR="00AF434B" w:rsidRDefault="00374074" w:rsidP="00374074">
      <w:pPr>
        <w:pStyle w:val="SingleTxtG"/>
      </w:pPr>
      <w:r>
        <w:t>28</w:t>
      </w:r>
      <w:r>
        <w:tab/>
        <w:t>UNDP</w:t>
      </w:r>
      <w:r>
        <w:tab/>
        <w:t>United Nations Development Programme</w:t>
      </w:r>
    </w:p>
    <w:p w14:paraId="73C07E05" w14:textId="3AAF7AC8" w:rsidR="00374074" w:rsidRDefault="00374074">
      <w:pPr>
        <w:suppressAutoHyphens w:val="0"/>
        <w:spacing w:after="200" w:line="276" w:lineRule="auto"/>
        <w:rPr>
          <w:rFonts w:eastAsiaTheme="minorHAnsi"/>
        </w:rPr>
      </w:pPr>
      <w:r>
        <w:br w:type="page"/>
      </w:r>
    </w:p>
    <w:p w14:paraId="5305B09B" w14:textId="597C11EF" w:rsidR="00374074" w:rsidRPr="00374074" w:rsidRDefault="004E75B6" w:rsidP="004E75B6">
      <w:pPr>
        <w:pStyle w:val="HChG"/>
        <w:rPr>
          <w:lang w:eastAsia="en-GB" w:bidi="km-KH"/>
        </w:rPr>
      </w:pPr>
      <w:bookmarkStart w:id="2" w:name="_Toc215321688"/>
      <w:r>
        <w:rPr>
          <w:lang w:eastAsia="en-GB" w:bidi="km-KH"/>
        </w:rPr>
        <w:lastRenderedPageBreak/>
        <w:tab/>
      </w:r>
      <w:r w:rsidRPr="004E75B6">
        <w:rPr>
          <w:lang w:eastAsia="en-GB" w:bidi="km-KH"/>
        </w:rPr>
        <w:t>A.</w:t>
      </w:r>
      <w:r w:rsidRPr="004E75B6">
        <w:rPr>
          <w:lang w:eastAsia="en-GB" w:bidi="km-KH"/>
        </w:rPr>
        <w:tab/>
      </w:r>
      <w:r w:rsidR="00374074" w:rsidRPr="004E75B6">
        <w:t>General</w:t>
      </w:r>
      <w:r w:rsidR="00374074" w:rsidRPr="00374074">
        <w:rPr>
          <w:lang w:eastAsia="en-GB" w:bidi="km-KH"/>
        </w:rPr>
        <w:t xml:space="preserve"> Provisions of the Convention</w:t>
      </w:r>
      <w:bookmarkEnd w:id="2"/>
    </w:p>
    <w:p w14:paraId="1C550D71" w14:textId="3B68482F" w:rsidR="00374074" w:rsidRPr="00374074" w:rsidRDefault="004E75B6" w:rsidP="004E75B6">
      <w:pPr>
        <w:pStyle w:val="H1G"/>
        <w:rPr>
          <w:sz w:val="26"/>
          <w:szCs w:val="26"/>
          <w:lang w:eastAsia="en-GB" w:bidi="km-KH"/>
        </w:rPr>
      </w:pPr>
      <w:bookmarkStart w:id="3" w:name="_Toc215321689"/>
      <w:r>
        <w:rPr>
          <w:lang w:eastAsia="en-GB"/>
        </w:rPr>
        <w:tab/>
      </w:r>
      <w:r>
        <w:rPr>
          <w:lang w:eastAsia="en-GB"/>
        </w:rPr>
        <w:tab/>
      </w:r>
      <w:r w:rsidR="00374074" w:rsidRPr="00374074">
        <w:rPr>
          <w:lang w:eastAsia="en-GB"/>
        </w:rPr>
        <w:t>Articles 1 to 4 of the Convention</w:t>
      </w:r>
      <w:bookmarkEnd w:id="3"/>
    </w:p>
    <w:p w14:paraId="05F16772" w14:textId="77777777" w:rsidR="00374074" w:rsidRPr="00374074" w:rsidRDefault="00374074" w:rsidP="0040290C">
      <w:pPr>
        <w:pStyle w:val="SingleTxtG"/>
        <w:numPr>
          <w:ilvl w:val="0"/>
          <w:numId w:val="7"/>
        </w:numPr>
        <w:ind w:left="1134" w:firstLine="0"/>
        <w:rPr>
          <w:lang w:eastAsia="en-GB" w:bidi="km-KH"/>
        </w:rPr>
      </w:pPr>
      <w:r w:rsidRPr="00374074">
        <w:rPr>
          <w:lang w:eastAsia="en-GB" w:bidi="km-KH"/>
        </w:rPr>
        <w:t>The Royal Government of Cambodia (RGC) had addressed disability-related issues prior to ratifying the Convention through drafting, adopting and implementing the Law on the Protection and the Promotion of the Rights of Persons with Disabilities (LPRPD) of 3 July 2009, which aims to protect the rights, freedoms and interests of persons with disabilities; prevent, reduce and eliminate discrimination against persons with disabilities; and provide them with physical, mental, and vocational rehabilitation.</w:t>
      </w:r>
      <w:r w:rsidRPr="00374074">
        <w:rPr>
          <w:color w:val="FFFFFF" w:themeColor="background1"/>
          <w:vertAlign w:val="superscript"/>
          <w:lang w:eastAsia="en-GB" w:bidi="km-KH"/>
        </w:rPr>
        <w:footnoteReference w:id="3"/>
      </w:r>
      <w:r w:rsidRPr="00374074">
        <w:rPr>
          <w:vertAlign w:val="superscript"/>
          <w:cs/>
          <w:lang w:eastAsia="en-GB" w:bidi="km-KH"/>
        </w:rPr>
        <w:footnoteReference w:id="4"/>
      </w:r>
    </w:p>
    <w:p w14:paraId="191A2728" w14:textId="77777777" w:rsidR="00374074" w:rsidRPr="00374074" w:rsidRDefault="00374074" w:rsidP="0040290C">
      <w:pPr>
        <w:pStyle w:val="SingleTxtG"/>
        <w:numPr>
          <w:ilvl w:val="0"/>
          <w:numId w:val="7"/>
        </w:numPr>
        <w:ind w:left="1134" w:firstLine="0"/>
        <w:rPr>
          <w:lang w:eastAsia="en-GB" w:bidi="km-KH"/>
        </w:rPr>
      </w:pPr>
      <w:r w:rsidRPr="00374074">
        <w:rPr>
          <w:lang w:eastAsia="en-GB" w:bidi="km-KH"/>
        </w:rPr>
        <w:t>The term “disability” is officially defined and used in the LPRPD (2009) and in the Inter-ministerial Prakas (proclamation) on the Determination of Criteria for Types and Levels of Disability No. 2492 MoSVY/BK (2011)</w:t>
      </w:r>
      <w:r w:rsidRPr="00374074">
        <w:rPr>
          <w:cs/>
          <w:lang w:eastAsia="en-GB" w:bidi="km-KH"/>
        </w:rPr>
        <w:t xml:space="preserve">. </w:t>
      </w:r>
      <w:r w:rsidRPr="00374074">
        <w:rPr>
          <w:lang w:eastAsia="en-GB" w:bidi="km-KH"/>
        </w:rPr>
        <w:t>The term “persons with disabilities”</w:t>
      </w:r>
      <w:r w:rsidRPr="00374074">
        <w:rPr>
          <w:cs/>
          <w:lang w:eastAsia="en-GB" w:bidi="km-KH"/>
        </w:rPr>
        <w:t xml:space="preserve"> </w:t>
      </w:r>
      <w:r w:rsidRPr="00374074">
        <w:rPr>
          <w:lang w:eastAsia="en-GB" w:bidi="km-KH"/>
        </w:rPr>
        <w:t>refers to “ any persons who lack, lose or damage any physical or mental functions, which result in a disturbances to their daily life or activities, such as physical, visual, hearing, intellectual impairments, mental disorders and any other types of disabilities toward the insurmountable end of the scale”</w:t>
      </w:r>
      <w:r w:rsidRPr="00374074">
        <w:rPr>
          <w:i/>
          <w:iCs/>
          <w:cs/>
          <w:lang w:eastAsia="en-GB" w:bidi="km-KH"/>
        </w:rPr>
        <w:t>.</w:t>
      </w:r>
      <w:r w:rsidRPr="00374074">
        <w:rPr>
          <w:rFonts w:eastAsiaTheme="majorEastAsia"/>
          <w:vertAlign w:val="superscript"/>
          <w:lang w:eastAsia="en-GB" w:bidi="km-KH"/>
        </w:rPr>
        <w:footnoteReference w:id="5"/>
      </w:r>
      <w:r w:rsidRPr="00374074">
        <w:rPr>
          <w:cs/>
          <w:lang w:eastAsia="en-GB" w:bidi="km-KH"/>
        </w:rPr>
        <w:t xml:space="preserve"> </w:t>
      </w:r>
      <w:r w:rsidRPr="00374074">
        <w:rPr>
          <w:lang w:eastAsia="en-GB" w:bidi="km-KH"/>
        </w:rPr>
        <w:t>Disability is classified into four types as follows</w:t>
      </w:r>
      <w:r w:rsidRPr="00374074">
        <w:rPr>
          <w:cs/>
          <w:lang w:eastAsia="en-GB" w:bidi="km-KH"/>
        </w:rPr>
        <w:t xml:space="preserve">: </w:t>
      </w:r>
      <w:r w:rsidRPr="00374074">
        <w:rPr>
          <w:lang w:eastAsia="en-GB" w:bidi="km-KH"/>
        </w:rPr>
        <w:t>physical disability, intellectual disability, mental disability,</w:t>
      </w:r>
      <w:r w:rsidRPr="00374074">
        <w:rPr>
          <w:cs/>
          <w:lang w:eastAsia="en-GB" w:bidi="km-KH"/>
        </w:rPr>
        <w:t xml:space="preserve"> </w:t>
      </w:r>
      <w:r w:rsidRPr="00374074">
        <w:rPr>
          <w:lang w:eastAsia="en-GB" w:bidi="km-KH"/>
        </w:rPr>
        <w:t>and other disabilities. Physical disability includes disabilities such as</w:t>
      </w:r>
      <w:r w:rsidRPr="00374074">
        <w:rPr>
          <w:cs/>
          <w:lang w:eastAsia="en-GB" w:bidi="km-KH"/>
        </w:rPr>
        <w:t xml:space="preserve"> </w:t>
      </w:r>
      <w:r w:rsidRPr="00374074">
        <w:rPr>
          <w:lang w:eastAsia="en-GB" w:bidi="km-KH"/>
        </w:rPr>
        <w:t>difficulties with movement, hearing, speaking, vision, and functioning of internal organs</w:t>
      </w:r>
      <w:r w:rsidRPr="00374074">
        <w:rPr>
          <w:cs/>
          <w:lang w:eastAsia="en-GB" w:bidi="km-KH"/>
        </w:rPr>
        <w:t xml:space="preserve">. </w:t>
      </w:r>
      <w:r w:rsidRPr="00374074">
        <w:rPr>
          <w:lang w:eastAsia="en-GB" w:bidi="km-KH"/>
        </w:rPr>
        <w:t xml:space="preserve">The level of each type of disability is classified into four levels: level </w:t>
      </w:r>
      <w:r w:rsidRPr="00374074">
        <w:rPr>
          <w:cs/>
          <w:lang w:eastAsia="en-GB" w:bidi="km-KH"/>
        </w:rPr>
        <w:t>1/</w:t>
      </w:r>
      <w:r w:rsidRPr="00374074">
        <w:rPr>
          <w:lang w:eastAsia="en-GB" w:bidi="km-KH"/>
        </w:rPr>
        <w:t xml:space="preserve">most severe, level </w:t>
      </w:r>
      <w:r w:rsidRPr="00374074">
        <w:rPr>
          <w:cs/>
          <w:lang w:eastAsia="en-GB" w:bidi="km-KH"/>
        </w:rPr>
        <w:t>2/</w:t>
      </w:r>
      <w:r w:rsidRPr="00374074">
        <w:rPr>
          <w:lang w:eastAsia="en-GB" w:bidi="km-KH"/>
        </w:rPr>
        <w:t xml:space="preserve">severe, level </w:t>
      </w:r>
      <w:r w:rsidRPr="00374074">
        <w:rPr>
          <w:cs/>
          <w:lang w:eastAsia="en-GB" w:bidi="km-KH"/>
        </w:rPr>
        <w:t>3/</w:t>
      </w:r>
      <w:r w:rsidRPr="00374074">
        <w:rPr>
          <w:lang w:eastAsia="en-GB" w:bidi="km-KH"/>
        </w:rPr>
        <w:t xml:space="preserve">moderate and level </w:t>
      </w:r>
      <w:r w:rsidRPr="00374074">
        <w:rPr>
          <w:cs/>
          <w:lang w:eastAsia="en-GB" w:bidi="km-KH"/>
        </w:rPr>
        <w:t>4/</w:t>
      </w:r>
      <w:r w:rsidRPr="00374074">
        <w:rPr>
          <w:lang w:eastAsia="en-GB" w:bidi="km-KH"/>
        </w:rPr>
        <w:t>mild.</w:t>
      </w:r>
      <w:r w:rsidRPr="00374074">
        <w:rPr>
          <w:vertAlign w:val="superscript"/>
          <w:cs/>
          <w:lang w:eastAsia="en-GB" w:bidi="km-KH"/>
        </w:rPr>
        <w:footnoteReference w:id="6"/>
      </w:r>
      <w:r w:rsidRPr="00374074">
        <w:rPr>
          <w:cs/>
          <w:lang w:eastAsia="en-GB" w:bidi="km-KH"/>
        </w:rPr>
        <w:t xml:space="preserve"> </w:t>
      </w:r>
      <w:r w:rsidRPr="00374074">
        <w:rPr>
          <w:lang w:eastAsia="en-GB" w:bidi="km-KH"/>
        </w:rPr>
        <w:t>The definition and types of disability are set to be revised by the Amendments to the LPRPD, in accordance with the definitions set out in the Convention</w:t>
      </w:r>
      <w:r w:rsidRPr="00374074">
        <w:rPr>
          <w:cs/>
          <w:lang w:eastAsia="en-GB" w:bidi="km-KH"/>
        </w:rPr>
        <w:t>.</w:t>
      </w:r>
    </w:p>
    <w:p w14:paraId="1B5CD97D" w14:textId="77777777" w:rsidR="00374074" w:rsidRPr="00374074" w:rsidRDefault="00374074" w:rsidP="0040290C">
      <w:pPr>
        <w:pStyle w:val="SingleTxtG"/>
        <w:numPr>
          <w:ilvl w:val="0"/>
          <w:numId w:val="7"/>
        </w:numPr>
        <w:ind w:left="1134" w:firstLine="0"/>
        <w:rPr>
          <w:lang w:eastAsia="en-GB" w:bidi="km-KH"/>
        </w:rPr>
      </w:pPr>
      <w:r w:rsidRPr="00374074">
        <w:rPr>
          <w:lang w:eastAsia="en-GB" w:bidi="km-KH"/>
        </w:rPr>
        <w:t>The National Institute of Statistics (NIS) conducted the General Population Census in 2008 and the Cambodia Inter-censal Population Survey (CIPS)</w:t>
      </w:r>
      <w:r w:rsidRPr="00374074">
        <w:rPr>
          <w:vertAlign w:val="superscript"/>
          <w:lang w:eastAsia="en-GB" w:bidi="km-KH"/>
        </w:rPr>
        <w:footnoteReference w:id="7"/>
      </w:r>
      <w:r w:rsidRPr="00374074">
        <w:rPr>
          <w:lang w:eastAsia="en-GB" w:bidi="km-KH"/>
        </w:rPr>
        <w:t xml:space="preserve"> in 2013. The definition of disability used in the survey has been regularly updated to further improve the General Population Census in 2019, as visual impairments, speech impediments, hearing loss and mobility impairments were under the same category. Questions regarding cognitive disabilities linked to developmental delays and mental illness have been separated, and two new questions on multiple disabilities and other disabilities were introduced for the first time. According to statistical data from the CIPS of 2013, the percentage of persons with disabilities in Cambodia was 2.1%.</w:t>
      </w:r>
    </w:p>
    <w:p w14:paraId="54104D7A" w14:textId="77777777" w:rsidR="00374074" w:rsidRPr="00374074" w:rsidRDefault="00374074" w:rsidP="0040290C">
      <w:pPr>
        <w:pStyle w:val="SingleTxtG"/>
        <w:numPr>
          <w:ilvl w:val="0"/>
          <w:numId w:val="7"/>
        </w:numPr>
        <w:ind w:left="1134" w:firstLine="0"/>
        <w:rPr>
          <w:color w:val="000000" w:themeColor="text1"/>
          <w:sz w:val="36"/>
          <w:szCs w:val="36"/>
          <w:lang w:eastAsia="en-GB" w:bidi="km-KH"/>
        </w:rPr>
      </w:pPr>
      <w:r w:rsidRPr="00374074">
        <w:rPr>
          <w:lang w:eastAsia="en-GB"/>
        </w:rPr>
        <w:t xml:space="preserve">In order to address the need for data in formulating policies on primary care service delivery, as well as to monitor progress and results in implementing measures to combat inequality and discrimination and to examine trends in the changing socio-economic status of persons with </w:t>
      </w:r>
      <w:r w:rsidRPr="00374074">
        <w:rPr>
          <w:lang w:eastAsia="en-GB" w:bidi="km-KH"/>
        </w:rPr>
        <w:t>disabilities</w:t>
      </w:r>
      <w:r w:rsidRPr="00374074">
        <w:rPr>
          <w:lang w:eastAsia="en-GB"/>
        </w:rPr>
        <w:t xml:space="preserve">, in 2019 a disability-related questionnaire for individuals aged 5 and above was incorporated for the first time into the general census questionnaire to collect data on six types of disability: (1) seeing difficulties (eyes), (2) hearing difficulties (deaf), (3) walking difficulties, (4) remembering or concentrating difficulties, (5) self-care difficulties, and (6) communication difficulties due to physical, mental or emotional health. The degrees of disability were categorized into three levels: some disability (some difficulty), moderate disability (a lot of difficulty) and severe disability (cannot do at all). Pursuant to the 2019 census, the disability rate for individuals aged 5 and above in Cambodia rose to 4.9%. The rates of gender segregation and types of disability are shown in Table 1 below. </w:t>
      </w:r>
    </w:p>
    <w:p w14:paraId="10791C96" w14:textId="4B42D2FF" w:rsidR="00374074" w:rsidRPr="00374074" w:rsidRDefault="005B296B" w:rsidP="005B296B">
      <w:pPr>
        <w:pStyle w:val="H23G"/>
        <w:rPr>
          <w:lang w:eastAsia="en-GB" w:bidi="km-KH"/>
        </w:rPr>
      </w:pPr>
      <w:r>
        <w:rPr>
          <w:lang w:eastAsia="en-GB" w:bidi="km-KH"/>
        </w:rPr>
        <w:lastRenderedPageBreak/>
        <w:tab/>
      </w:r>
      <w:r>
        <w:rPr>
          <w:lang w:eastAsia="en-GB" w:bidi="km-KH"/>
        </w:rPr>
        <w:tab/>
      </w:r>
      <w:r w:rsidR="00374074" w:rsidRPr="00374074">
        <w:rPr>
          <w:lang w:eastAsia="en-GB" w:bidi="km-KH"/>
        </w:rPr>
        <w:t>Percentage distribution of population aged 5+ years by disability status and sex</w:t>
      </w:r>
    </w:p>
    <w:p w14:paraId="114A631D" w14:textId="77777777" w:rsidR="00374074" w:rsidRPr="005B296B" w:rsidRDefault="00374074" w:rsidP="005B296B">
      <w:pPr>
        <w:pStyle w:val="SingleTxtG"/>
        <w:rPr>
          <w:i/>
          <w:iCs/>
          <w:lang w:eastAsia="en-GB" w:bidi="km-KH"/>
        </w:rPr>
      </w:pPr>
      <w:r w:rsidRPr="005B296B">
        <w:rPr>
          <w:i/>
          <w:iCs/>
          <w:lang w:eastAsia="en-GB" w:bidi="km-KH"/>
        </w:rPr>
        <w:t>General Population Census of Kingdom of Cambodia 2019</w:t>
      </w:r>
    </w:p>
    <w:tbl>
      <w:tblPr>
        <w:tblStyle w:val="TableGrid2"/>
        <w:tblW w:w="7370" w:type="dxa"/>
        <w:tblInd w:w="1134" w:type="dxa"/>
        <w:tblLayout w:type="fixed"/>
        <w:tblLook w:val="04A0" w:firstRow="1" w:lastRow="0" w:firstColumn="1" w:lastColumn="0" w:noHBand="0" w:noVBand="1"/>
      </w:tblPr>
      <w:tblGrid>
        <w:gridCol w:w="1229"/>
        <w:gridCol w:w="1228"/>
        <w:gridCol w:w="1228"/>
        <w:gridCol w:w="1228"/>
        <w:gridCol w:w="1228"/>
        <w:gridCol w:w="1229"/>
      </w:tblGrid>
      <w:tr w:rsidR="00374074" w:rsidRPr="005B296B" w14:paraId="6653B4EC" w14:textId="77777777" w:rsidTr="005B296B">
        <w:trPr>
          <w:tblHeader/>
        </w:trPr>
        <w:tc>
          <w:tcPr>
            <w:tcW w:w="1582" w:type="dxa"/>
            <w:tcBorders>
              <w:top w:val="single" w:sz="4" w:space="0" w:color="auto"/>
              <w:bottom w:val="single" w:sz="12" w:space="0" w:color="auto"/>
            </w:tcBorders>
            <w:vAlign w:val="bottom"/>
          </w:tcPr>
          <w:p w14:paraId="6DC900FC" w14:textId="77777777" w:rsidR="00374074" w:rsidRPr="005B296B" w:rsidRDefault="00374074" w:rsidP="005B296B">
            <w:pPr>
              <w:suppressAutoHyphens w:val="0"/>
              <w:snapToGrid w:val="0"/>
              <w:spacing w:before="80" w:after="80" w:line="200" w:lineRule="exact"/>
              <w:ind w:left="0" w:firstLine="0"/>
              <w:jc w:val="left"/>
              <w:rPr>
                <w:bCs/>
                <w:i/>
                <w:sz w:val="16"/>
                <w:szCs w:val="22"/>
                <w:lang w:eastAsia="en-GB"/>
              </w:rPr>
            </w:pPr>
          </w:p>
        </w:tc>
        <w:tc>
          <w:tcPr>
            <w:tcW w:w="1582" w:type="dxa"/>
            <w:tcBorders>
              <w:top w:val="single" w:sz="4" w:space="0" w:color="auto"/>
              <w:bottom w:val="single" w:sz="12" w:space="0" w:color="auto"/>
            </w:tcBorders>
            <w:vAlign w:val="bottom"/>
          </w:tcPr>
          <w:p w14:paraId="5337BF41" w14:textId="77777777" w:rsidR="00374074" w:rsidRPr="005B296B" w:rsidRDefault="00374074" w:rsidP="005B296B">
            <w:pPr>
              <w:suppressAutoHyphens w:val="0"/>
              <w:snapToGrid w:val="0"/>
              <w:spacing w:before="80" w:after="80" w:line="200" w:lineRule="exact"/>
              <w:ind w:left="0" w:firstLine="0"/>
              <w:jc w:val="right"/>
              <w:rPr>
                <w:i/>
                <w:sz w:val="16"/>
                <w:szCs w:val="22"/>
                <w:lang w:eastAsia="en-GB"/>
              </w:rPr>
            </w:pPr>
            <w:r w:rsidRPr="005B296B">
              <w:rPr>
                <w:i/>
                <w:sz w:val="16"/>
                <w:szCs w:val="22"/>
                <w:lang w:eastAsia="en-GB"/>
              </w:rPr>
              <w:t>Population aged five years and above</w:t>
            </w:r>
          </w:p>
        </w:tc>
        <w:tc>
          <w:tcPr>
            <w:tcW w:w="1582" w:type="dxa"/>
            <w:tcBorders>
              <w:top w:val="single" w:sz="4" w:space="0" w:color="auto"/>
              <w:bottom w:val="single" w:sz="12" w:space="0" w:color="auto"/>
            </w:tcBorders>
            <w:vAlign w:val="bottom"/>
          </w:tcPr>
          <w:p w14:paraId="1CB0F642" w14:textId="77777777" w:rsidR="00374074" w:rsidRPr="005B296B" w:rsidRDefault="00374074" w:rsidP="005B296B">
            <w:pPr>
              <w:suppressAutoHyphens w:val="0"/>
              <w:snapToGrid w:val="0"/>
              <w:spacing w:before="80" w:after="80" w:line="200" w:lineRule="exact"/>
              <w:ind w:left="0" w:firstLine="0"/>
              <w:jc w:val="right"/>
              <w:rPr>
                <w:i/>
                <w:sz w:val="16"/>
                <w:szCs w:val="22"/>
                <w:lang w:eastAsia="en-GB"/>
              </w:rPr>
            </w:pPr>
            <w:r w:rsidRPr="005B296B">
              <w:rPr>
                <w:i/>
                <w:sz w:val="16"/>
                <w:szCs w:val="22"/>
                <w:lang w:eastAsia="en-GB"/>
              </w:rPr>
              <w:t>No disability</w:t>
            </w:r>
          </w:p>
          <w:p w14:paraId="4BE40D0E" w14:textId="77777777" w:rsidR="00374074" w:rsidRPr="005B296B" w:rsidRDefault="00374074" w:rsidP="005B296B">
            <w:pPr>
              <w:suppressAutoHyphens w:val="0"/>
              <w:snapToGrid w:val="0"/>
              <w:spacing w:before="80" w:after="80" w:line="200" w:lineRule="exact"/>
              <w:ind w:left="0" w:firstLine="0"/>
              <w:jc w:val="right"/>
              <w:rPr>
                <w:i/>
                <w:sz w:val="16"/>
                <w:szCs w:val="22"/>
                <w:lang w:eastAsia="en-GB"/>
              </w:rPr>
            </w:pPr>
          </w:p>
        </w:tc>
        <w:tc>
          <w:tcPr>
            <w:tcW w:w="1582" w:type="dxa"/>
            <w:tcBorders>
              <w:top w:val="single" w:sz="4" w:space="0" w:color="auto"/>
              <w:bottom w:val="single" w:sz="12" w:space="0" w:color="auto"/>
            </w:tcBorders>
            <w:vAlign w:val="bottom"/>
          </w:tcPr>
          <w:p w14:paraId="06D5AC14" w14:textId="77777777" w:rsidR="00374074" w:rsidRPr="005B296B" w:rsidRDefault="00374074" w:rsidP="005B296B">
            <w:pPr>
              <w:suppressAutoHyphens w:val="0"/>
              <w:snapToGrid w:val="0"/>
              <w:spacing w:before="80" w:after="80" w:line="200" w:lineRule="exact"/>
              <w:ind w:left="0" w:firstLine="0"/>
              <w:jc w:val="right"/>
              <w:rPr>
                <w:i/>
                <w:sz w:val="16"/>
                <w:szCs w:val="22"/>
                <w:lang w:eastAsia="en-GB"/>
              </w:rPr>
            </w:pPr>
            <w:r w:rsidRPr="005B296B">
              <w:rPr>
                <w:i/>
                <w:sz w:val="16"/>
                <w:szCs w:val="22"/>
                <w:lang w:eastAsia="en-GB"/>
              </w:rPr>
              <w:t>Some disability</w:t>
            </w:r>
          </w:p>
          <w:p w14:paraId="4E373483" w14:textId="77777777" w:rsidR="00374074" w:rsidRPr="005B296B" w:rsidRDefault="00374074" w:rsidP="005B296B">
            <w:pPr>
              <w:suppressAutoHyphens w:val="0"/>
              <w:snapToGrid w:val="0"/>
              <w:spacing w:before="80" w:after="80" w:line="200" w:lineRule="exact"/>
              <w:ind w:left="0" w:firstLine="0"/>
              <w:jc w:val="right"/>
              <w:rPr>
                <w:i/>
                <w:sz w:val="16"/>
                <w:szCs w:val="22"/>
                <w:lang w:eastAsia="en-GB"/>
              </w:rPr>
            </w:pPr>
          </w:p>
        </w:tc>
        <w:tc>
          <w:tcPr>
            <w:tcW w:w="1582" w:type="dxa"/>
            <w:tcBorders>
              <w:top w:val="single" w:sz="4" w:space="0" w:color="auto"/>
              <w:bottom w:val="single" w:sz="12" w:space="0" w:color="auto"/>
            </w:tcBorders>
            <w:vAlign w:val="bottom"/>
          </w:tcPr>
          <w:p w14:paraId="36E656BD" w14:textId="77777777" w:rsidR="00374074" w:rsidRPr="005B296B" w:rsidRDefault="00374074" w:rsidP="005B296B">
            <w:pPr>
              <w:suppressAutoHyphens w:val="0"/>
              <w:snapToGrid w:val="0"/>
              <w:spacing w:before="80" w:after="80" w:line="200" w:lineRule="exact"/>
              <w:ind w:left="0" w:firstLine="0"/>
              <w:jc w:val="right"/>
              <w:rPr>
                <w:i/>
                <w:sz w:val="16"/>
                <w:szCs w:val="22"/>
                <w:lang w:eastAsia="en-GB"/>
              </w:rPr>
            </w:pPr>
            <w:r w:rsidRPr="005B296B">
              <w:rPr>
                <w:i/>
                <w:sz w:val="16"/>
                <w:szCs w:val="22"/>
                <w:lang w:eastAsia="en-GB"/>
              </w:rPr>
              <w:t>Moderate disability</w:t>
            </w:r>
          </w:p>
        </w:tc>
        <w:tc>
          <w:tcPr>
            <w:tcW w:w="1583" w:type="dxa"/>
            <w:tcBorders>
              <w:top w:val="single" w:sz="4" w:space="0" w:color="auto"/>
              <w:bottom w:val="single" w:sz="12" w:space="0" w:color="auto"/>
            </w:tcBorders>
            <w:vAlign w:val="bottom"/>
          </w:tcPr>
          <w:p w14:paraId="3D9A5FA3" w14:textId="77777777" w:rsidR="00374074" w:rsidRPr="005B296B" w:rsidRDefault="00374074" w:rsidP="005B296B">
            <w:pPr>
              <w:suppressAutoHyphens w:val="0"/>
              <w:snapToGrid w:val="0"/>
              <w:spacing w:before="80" w:after="80" w:line="200" w:lineRule="exact"/>
              <w:ind w:left="0" w:firstLine="0"/>
              <w:jc w:val="right"/>
              <w:rPr>
                <w:i/>
                <w:sz w:val="16"/>
                <w:szCs w:val="22"/>
                <w:cs/>
                <w:lang w:eastAsia="en-GB"/>
              </w:rPr>
            </w:pPr>
            <w:r w:rsidRPr="005B296B">
              <w:rPr>
                <w:i/>
                <w:sz w:val="16"/>
                <w:szCs w:val="22"/>
                <w:lang w:eastAsia="en-GB"/>
              </w:rPr>
              <w:t>Severe disability</w:t>
            </w:r>
          </w:p>
        </w:tc>
      </w:tr>
      <w:tr w:rsidR="00374074" w:rsidRPr="005B296B" w14:paraId="16ABE2B4" w14:textId="77777777" w:rsidTr="005B296B">
        <w:tc>
          <w:tcPr>
            <w:tcW w:w="9493" w:type="dxa"/>
            <w:gridSpan w:val="6"/>
            <w:tcBorders>
              <w:top w:val="single" w:sz="12" w:space="0" w:color="auto"/>
            </w:tcBorders>
          </w:tcPr>
          <w:p w14:paraId="3450B13B" w14:textId="77777777" w:rsidR="00374074" w:rsidRPr="005B296B" w:rsidRDefault="00374074" w:rsidP="005B296B">
            <w:pPr>
              <w:suppressAutoHyphens w:val="0"/>
              <w:snapToGrid w:val="0"/>
              <w:spacing w:before="40" w:after="40" w:line="220" w:lineRule="exact"/>
              <w:ind w:left="0" w:firstLine="0"/>
              <w:jc w:val="left"/>
              <w:rPr>
                <w:b/>
                <w:bCs/>
                <w:sz w:val="18"/>
                <w:szCs w:val="22"/>
                <w:lang w:eastAsia="en-GB"/>
              </w:rPr>
            </w:pPr>
            <w:r w:rsidRPr="005B296B">
              <w:rPr>
                <w:b/>
                <w:bCs/>
                <w:sz w:val="18"/>
                <w:szCs w:val="22"/>
                <w:lang w:eastAsia="en-GB"/>
              </w:rPr>
              <w:t>Population</w:t>
            </w:r>
          </w:p>
        </w:tc>
      </w:tr>
      <w:tr w:rsidR="00374074" w:rsidRPr="005B296B" w14:paraId="3BFB0F72" w14:textId="77777777" w:rsidTr="005B296B">
        <w:tc>
          <w:tcPr>
            <w:tcW w:w="1582" w:type="dxa"/>
          </w:tcPr>
          <w:p w14:paraId="5B24C4B1" w14:textId="77777777" w:rsidR="00374074" w:rsidRPr="005B296B" w:rsidRDefault="00374074" w:rsidP="005B296B">
            <w:pPr>
              <w:suppressAutoHyphens w:val="0"/>
              <w:snapToGrid w:val="0"/>
              <w:spacing w:before="40" w:after="40" w:line="220" w:lineRule="exact"/>
              <w:ind w:left="0" w:firstLine="0"/>
              <w:jc w:val="left"/>
              <w:rPr>
                <w:sz w:val="18"/>
                <w:szCs w:val="22"/>
                <w:lang w:eastAsia="en-GB"/>
              </w:rPr>
            </w:pPr>
            <w:r w:rsidRPr="005B296B">
              <w:rPr>
                <w:sz w:val="18"/>
                <w:szCs w:val="22"/>
                <w:lang w:eastAsia="en-GB"/>
              </w:rPr>
              <w:t>Both</w:t>
            </w:r>
          </w:p>
        </w:tc>
        <w:tc>
          <w:tcPr>
            <w:tcW w:w="1582" w:type="dxa"/>
            <w:vAlign w:val="bottom"/>
          </w:tcPr>
          <w:p w14:paraId="2C9AA812" w14:textId="77777777" w:rsidR="00374074" w:rsidRPr="005B296B" w:rsidRDefault="00374074" w:rsidP="005B296B">
            <w:pPr>
              <w:suppressAutoHyphens w:val="0"/>
              <w:snapToGrid w:val="0"/>
              <w:spacing w:before="40" w:after="40" w:line="220" w:lineRule="exact"/>
              <w:ind w:left="0" w:firstLine="0"/>
              <w:jc w:val="right"/>
              <w:rPr>
                <w:sz w:val="18"/>
                <w:szCs w:val="22"/>
                <w:lang w:eastAsia="en-GB"/>
              </w:rPr>
            </w:pPr>
            <w:r w:rsidRPr="005B296B">
              <w:rPr>
                <w:sz w:val="18"/>
                <w:szCs w:val="22"/>
                <w:lang w:eastAsia="en-GB"/>
              </w:rPr>
              <w:t>14,102,052</w:t>
            </w:r>
          </w:p>
        </w:tc>
        <w:tc>
          <w:tcPr>
            <w:tcW w:w="1582" w:type="dxa"/>
            <w:vAlign w:val="bottom"/>
          </w:tcPr>
          <w:p w14:paraId="442E9859" w14:textId="77777777" w:rsidR="00374074" w:rsidRPr="005B296B" w:rsidRDefault="00374074" w:rsidP="005B296B">
            <w:pPr>
              <w:suppressAutoHyphens w:val="0"/>
              <w:snapToGrid w:val="0"/>
              <w:spacing w:before="40" w:after="40" w:line="220" w:lineRule="exact"/>
              <w:ind w:left="0" w:firstLine="0"/>
              <w:jc w:val="right"/>
              <w:rPr>
                <w:sz w:val="18"/>
                <w:szCs w:val="22"/>
                <w:lang w:eastAsia="en-GB"/>
              </w:rPr>
            </w:pPr>
            <w:r w:rsidRPr="005B296B">
              <w:rPr>
                <w:sz w:val="18"/>
                <w:szCs w:val="22"/>
                <w:lang w:eastAsia="en-GB"/>
              </w:rPr>
              <w:t>13,412,520</w:t>
            </w:r>
          </w:p>
        </w:tc>
        <w:tc>
          <w:tcPr>
            <w:tcW w:w="1582" w:type="dxa"/>
            <w:vAlign w:val="bottom"/>
          </w:tcPr>
          <w:p w14:paraId="4A97780E" w14:textId="77777777" w:rsidR="00374074" w:rsidRPr="005B296B" w:rsidRDefault="00374074" w:rsidP="005B296B">
            <w:pPr>
              <w:suppressAutoHyphens w:val="0"/>
              <w:snapToGrid w:val="0"/>
              <w:spacing w:before="40" w:after="40" w:line="220" w:lineRule="exact"/>
              <w:ind w:left="0" w:firstLine="0"/>
              <w:jc w:val="right"/>
              <w:rPr>
                <w:sz w:val="18"/>
                <w:szCs w:val="22"/>
                <w:lang w:eastAsia="en-GB"/>
              </w:rPr>
            </w:pPr>
            <w:r w:rsidRPr="005B296B">
              <w:rPr>
                <w:sz w:val="18"/>
                <w:szCs w:val="22"/>
                <w:lang w:eastAsia="en-GB"/>
              </w:rPr>
              <w:t>523,162</w:t>
            </w:r>
          </w:p>
        </w:tc>
        <w:tc>
          <w:tcPr>
            <w:tcW w:w="1582" w:type="dxa"/>
            <w:vAlign w:val="bottom"/>
          </w:tcPr>
          <w:p w14:paraId="2FE5963E" w14:textId="77777777" w:rsidR="00374074" w:rsidRPr="005B296B" w:rsidRDefault="00374074" w:rsidP="005B296B">
            <w:pPr>
              <w:suppressAutoHyphens w:val="0"/>
              <w:snapToGrid w:val="0"/>
              <w:spacing w:before="40" w:after="40" w:line="220" w:lineRule="exact"/>
              <w:ind w:left="0" w:firstLine="0"/>
              <w:jc w:val="right"/>
              <w:rPr>
                <w:sz w:val="18"/>
                <w:szCs w:val="22"/>
                <w:lang w:eastAsia="en-GB"/>
              </w:rPr>
            </w:pPr>
            <w:r w:rsidRPr="005B296B">
              <w:rPr>
                <w:sz w:val="18"/>
                <w:szCs w:val="22"/>
                <w:lang w:eastAsia="en-GB"/>
              </w:rPr>
              <w:t>122,725</w:t>
            </w:r>
          </w:p>
        </w:tc>
        <w:tc>
          <w:tcPr>
            <w:tcW w:w="1583" w:type="dxa"/>
            <w:vAlign w:val="bottom"/>
          </w:tcPr>
          <w:p w14:paraId="15C1843F" w14:textId="77777777" w:rsidR="00374074" w:rsidRPr="005B296B" w:rsidRDefault="00374074" w:rsidP="005B296B">
            <w:pPr>
              <w:suppressAutoHyphens w:val="0"/>
              <w:snapToGrid w:val="0"/>
              <w:spacing w:before="40" w:after="40" w:line="220" w:lineRule="exact"/>
              <w:ind w:left="0" w:firstLine="0"/>
              <w:jc w:val="right"/>
              <w:rPr>
                <w:sz w:val="18"/>
                <w:szCs w:val="22"/>
                <w:lang w:eastAsia="en-GB"/>
              </w:rPr>
            </w:pPr>
            <w:r w:rsidRPr="005B296B">
              <w:rPr>
                <w:sz w:val="18"/>
                <w:szCs w:val="22"/>
                <w:lang w:eastAsia="en-GB"/>
              </w:rPr>
              <w:t>43,645</w:t>
            </w:r>
          </w:p>
        </w:tc>
      </w:tr>
      <w:tr w:rsidR="00374074" w:rsidRPr="005B296B" w14:paraId="71475E0E" w14:textId="77777777" w:rsidTr="005B296B">
        <w:tc>
          <w:tcPr>
            <w:tcW w:w="1582" w:type="dxa"/>
          </w:tcPr>
          <w:p w14:paraId="298C68D9" w14:textId="77777777" w:rsidR="00374074" w:rsidRPr="005B296B" w:rsidRDefault="00374074" w:rsidP="005B296B">
            <w:pPr>
              <w:suppressAutoHyphens w:val="0"/>
              <w:snapToGrid w:val="0"/>
              <w:spacing w:before="40" w:after="40" w:line="220" w:lineRule="exact"/>
              <w:ind w:left="0" w:firstLine="0"/>
              <w:jc w:val="left"/>
              <w:rPr>
                <w:sz w:val="18"/>
                <w:szCs w:val="22"/>
                <w:lang w:eastAsia="en-GB"/>
              </w:rPr>
            </w:pPr>
            <w:r w:rsidRPr="005B296B">
              <w:rPr>
                <w:sz w:val="18"/>
                <w:szCs w:val="22"/>
                <w:lang w:eastAsia="en-GB"/>
              </w:rPr>
              <w:t>Male</w:t>
            </w:r>
          </w:p>
        </w:tc>
        <w:tc>
          <w:tcPr>
            <w:tcW w:w="1582" w:type="dxa"/>
            <w:vAlign w:val="bottom"/>
          </w:tcPr>
          <w:p w14:paraId="0A9F1DE8" w14:textId="77777777" w:rsidR="00374074" w:rsidRPr="005B296B" w:rsidRDefault="00374074" w:rsidP="005B296B">
            <w:pPr>
              <w:suppressAutoHyphens w:val="0"/>
              <w:snapToGrid w:val="0"/>
              <w:spacing w:before="40" w:after="40" w:line="220" w:lineRule="exact"/>
              <w:ind w:left="0" w:firstLine="0"/>
              <w:jc w:val="right"/>
              <w:rPr>
                <w:sz w:val="18"/>
                <w:szCs w:val="22"/>
                <w:lang w:eastAsia="en-GB"/>
              </w:rPr>
            </w:pPr>
            <w:r w:rsidRPr="005B296B">
              <w:rPr>
                <w:sz w:val="18"/>
                <w:szCs w:val="22"/>
                <w:lang w:eastAsia="en-GB"/>
              </w:rPr>
              <w:t>6,825,874</w:t>
            </w:r>
          </w:p>
        </w:tc>
        <w:tc>
          <w:tcPr>
            <w:tcW w:w="1582" w:type="dxa"/>
            <w:vAlign w:val="bottom"/>
          </w:tcPr>
          <w:p w14:paraId="154B154A" w14:textId="77777777" w:rsidR="00374074" w:rsidRPr="005B296B" w:rsidRDefault="00374074" w:rsidP="005B296B">
            <w:pPr>
              <w:suppressAutoHyphens w:val="0"/>
              <w:snapToGrid w:val="0"/>
              <w:spacing w:before="40" w:after="40" w:line="220" w:lineRule="exact"/>
              <w:ind w:left="0" w:firstLine="0"/>
              <w:jc w:val="right"/>
              <w:rPr>
                <w:sz w:val="18"/>
                <w:szCs w:val="36"/>
                <w:lang w:eastAsia="en-GB"/>
              </w:rPr>
            </w:pPr>
            <w:r w:rsidRPr="005B296B">
              <w:rPr>
                <w:sz w:val="18"/>
                <w:szCs w:val="22"/>
                <w:lang w:eastAsia="en-GB"/>
              </w:rPr>
              <w:t>6,539,215</w:t>
            </w:r>
          </w:p>
        </w:tc>
        <w:tc>
          <w:tcPr>
            <w:tcW w:w="1582" w:type="dxa"/>
            <w:vAlign w:val="bottom"/>
          </w:tcPr>
          <w:p w14:paraId="7C7C80B6" w14:textId="77777777" w:rsidR="00374074" w:rsidRPr="005B296B" w:rsidRDefault="00374074" w:rsidP="005B296B">
            <w:pPr>
              <w:suppressAutoHyphens w:val="0"/>
              <w:snapToGrid w:val="0"/>
              <w:spacing w:before="40" w:after="40" w:line="220" w:lineRule="exact"/>
              <w:ind w:left="0" w:firstLine="0"/>
              <w:jc w:val="right"/>
              <w:rPr>
                <w:sz w:val="18"/>
                <w:szCs w:val="22"/>
                <w:lang w:eastAsia="en-GB"/>
              </w:rPr>
            </w:pPr>
            <w:r w:rsidRPr="005B296B">
              <w:rPr>
                <w:sz w:val="18"/>
                <w:szCs w:val="22"/>
                <w:lang w:eastAsia="en-GB"/>
              </w:rPr>
              <w:t>218,172</w:t>
            </w:r>
          </w:p>
        </w:tc>
        <w:tc>
          <w:tcPr>
            <w:tcW w:w="1582" w:type="dxa"/>
            <w:vAlign w:val="bottom"/>
          </w:tcPr>
          <w:p w14:paraId="4F62B53C" w14:textId="77777777" w:rsidR="00374074" w:rsidRPr="005B296B" w:rsidRDefault="00374074" w:rsidP="005B296B">
            <w:pPr>
              <w:suppressAutoHyphens w:val="0"/>
              <w:snapToGrid w:val="0"/>
              <w:spacing w:before="40" w:after="40" w:line="220" w:lineRule="exact"/>
              <w:ind w:left="0" w:firstLine="0"/>
              <w:jc w:val="right"/>
              <w:rPr>
                <w:sz w:val="18"/>
                <w:szCs w:val="22"/>
                <w:lang w:eastAsia="en-GB"/>
              </w:rPr>
            </w:pPr>
            <w:r w:rsidRPr="005B296B">
              <w:rPr>
                <w:sz w:val="18"/>
                <w:szCs w:val="22"/>
                <w:lang w:eastAsia="en-GB"/>
              </w:rPr>
              <w:t>49,564</w:t>
            </w:r>
          </w:p>
        </w:tc>
        <w:tc>
          <w:tcPr>
            <w:tcW w:w="1583" w:type="dxa"/>
            <w:vAlign w:val="bottom"/>
          </w:tcPr>
          <w:p w14:paraId="18CFA706" w14:textId="77777777" w:rsidR="00374074" w:rsidRPr="005B296B" w:rsidRDefault="00374074" w:rsidP="005B296B">
            <w:pPr>
              <w:suppressAutoHyphens w:val="0"/>
              <w:snapToGrid w:val="0"/>
              <w:spacing w:before="40" w:after="40" w:line="220" w:lineRule="exact"/>
              <w:ind w:left="0" w:firstLine="0"/>
              <w:jc w:val="right"/>
              <w:rPr>
                <w:sz w:val="18"/>
                <w:szCs w:val="22"/>
                <w:lang w:eastAsia="en-GB"/>
              </w:rPr>
            </w:pPr>
            <w:r w:rsidRPr="005B296B">
              <w:rPr>
                <w:sz w:val="18"/>
                <w:szCs w:val="22"/>
                <w:lang w:eastAsia="en-GB"/>
              </w:rPr>
              <w:t>18,923</w:t>
            </w:r>
          </w:p>
        </w:tc>
      </w:tr>
      <w:tr w:rsidR="00374074" w:rsidRPr="005B296B" w14:paraId="0D20E707" w14:textId="77777777" w:rsidTr="005B296B">
        <w:tc>
          <w:tcPr>
            <w:tcW w:w="1582" w:type="dxa"/>
          </w:tcPr>
          <w:p w14:paraId="59F026DC" w14:textId="77777777" w:rsidR="00374074" w:rsidRPr="005B296B" w:rsidRDefault="00374074" w:rsidP="005B296B">
            <w:pPr>
              <w:suppressAutoHyphens w:val="0"/>
              <w:snapToGrid w:val="0"/>
              <w:spacing w:before="40" w:after="40" w:line="220" w:lineRule="exact"/>
              <w:ind w:left="0" w:firstLine="0"/>
              <w:jc w:val="left"/>
              <w:rPr>
                <w:sz w:val="18"/>
                <w:szCs w:val="22"/>
                <w:lang w:eastAsia="en-GB"/>
              </w:rPr>
            </w:pPr>
            <w:r w:rsidRPr="005B296B">
              <w:rPr>
                <w:sz w:val="18"/>
                <w:szCs w:val="22"/>
                <w:lang w:eastAsia="en-GB"/>
              </w:rPr>
              <w:t>Female</w:t>
            </w:r>
          </w:p>
        </w:tc>
        <w:tc>
          <w:tcPr>
            <w:tcW w:w="1582" w:type="dxa"/>
            <w:vAlign w:val="bottom"/>
          </w:tcPr>
          <w:p w14:paraId="6D0FB5CA" w14:textId="77777777" w:rsidR="00374074" w:rsidRPr="005B296B" w:rsidRDefault="00374074" w:rsidP="005B296B">
            <w:pPr>
              <w:suppressAutoHyphens w:val="0"/>
              <w:snapToGrid w:val="0"/>
              <w:spacing w:before="40" w:after="40" w:line="220" w:lineRule="exact"/>
              <w:ind w:left="0" w:firstLine="0"/>
              <w:jc w:val="right"/>
              <w:rPr>
                <w:sz w:val="18"/>
                <w:szCs w:val="22"/>
                <w:lang w:eastAsia="en-GB"/>
              </w:rPr>
            </w:pPr>
            <w:r w:rsidRPr="005B296B">
              <w:rPr>
                <w:sz w:val="18"/>
                <w:szCs w:val="22"/>
                <w:lang w:eastAsia="en-GB"/>
              </w:rPr>
              <w:t>7,276,178</w:t>
            </w:r>
          </w:p>
        </w:tc>
        <w:tc>
          <w:tcPr>
            <w:tcW w:w="1582" w:type="dxa"/>
            <w:vAlign w:val="bottom"/>
          </w:tcPr>
          <w:p w14:paraId="0EBDE77E" w14:textId="77777777" w:rsidR="00374074" w:rsidRPr="005B296B" w:rsidRDefault="00374074" w:rsidP="005B296B">
            <w:pPr>
              <w:suppressAutoHyphens w:val="0"/>
              <w:snapToGrid w:val="0"/>
              <w:spacing w:before="40" w:after="40" w:line="220" w:lineRule="exact"/>
              <w:ind w:left="0" w:firstLine="0"/>
              <w:jc w:val="right"/>
              <w:rPr>
                <w:sz w:val="18"/>
                <w:szCs w:val="22"/>
                <w:lang w:eastAsia="en-GB"/>
              </w:rPr>
            </w:pPr>
            <w:r w:rsidRPr="005B296B">
              <w:rPr>
                <w:sz w:val="18"/>
                <w:szCs w:val="22"/>
                <w:lang w:eastAsia="en-GB"/>
              </w:rPr>
              <w:t>6,873,305</w:t>
            </w:r>
          </w:p>
        </w:tc>
        <w:tc>
          <w:tcPr>
            <w:tcW w:w="1582" w:type="dxa"/>
            <w:vAlign w:val="bottom"/>
          </w:tcPr>
          <w:p w14:paraId="26668FD6" w14:textId="77777777" w:rsidR="00374074" w:rsidRPr="005B296B" w:rsidRDefault="00374074" w:rsidP="005B296B">
            <w:pPr>
              <w:suppressAutoHyphens w:val="0"/>
              <w:snapToGrid w:val="0"/>
              <w:spacing w:before="40" w:after="40" w:line="220" w:lineRule="exact"/>
              <w:ind w:left="0" w:firstLine="0"/>
              <w:jc w:val="right"/>
              <w:rPr>
                <w:sz w:val="18"/>
                <w:szCs w:val="22"/>
                <w:lang w:eastAsia="en-GB"/>
              </w:rPr>
            </w:pPr>
            <w:r w:rsidRPr="005B296B">
              <w:rPr>
                <w:sz w:val="18"/>
                <w:szCs w:val="22"/>
                <w:lang w:eastAsia="en-GB"/>
              </w:rPr>
              <w:t>304,990</w:t>
            </w:r>
          </w:p>
        </w:tc>
        <w:tc>
          <w:tcPr>
            <w:tcW w:w="1582" w:type="dxa"/>
            <w:vAlign w:val="bottom"/>
          </w:tcPr>
          <w:p w14:paraId="47A8CE06" w14:textId="77777777" w:rsidR="00374074" w:rsidRPr="005B296B" w:rsidRDefault="00374074" w:rsidP="005B296B">
            <w:pPr>
              <w:suppressAutoHyphens w:val="0"/>
              <w:snapToGrid w:val="0"/>
              <w:spacing w:before="40" w:after="40" w:line="220" w:lineRule="exact"/>
              <w:ind w:left="0" w:firstLine="0"/>
              <w:jc w:val="right"/>
              <w:rPr>
                <w:sz w:val="18"/>
                <w:szCs w:val="22"/>
                <w:lang w:eastAsia="en-GB"/>
              </w:rPr>
            </w:pPr>
            <w:r w:rsidRPr="005B296B">
              <w:rPr>
                <w:sz w:val="18"/>
                <w:szCs w:val="22"/>
                <w:lang w:eastAsia="en-GB"/>
              </w:rPr>
              <w:t>73,161</w:t>
            </w:r>
          </w:p>
        </w:tc>
        <w:tc>
          <w:tcPr>
            <w:tcW w:w="1583" w:type="dxa"/>
            <w:vAlign w:val="bottom"/>
          </w:tcPr>
          <w:p w14:paraId="31F48862" w14:textId="77777777" w:rsidR="00374074" w:rsidRPr="005B296B" w:rsidRDefault="00374074" w:rsidP="005B296B">
            <w:pPr>
              <w:suppressAutoHyphens w:val="0"/>
              <w:snapToGrid w:val="0"/>
              <w:spacing w:before="40" w:after="40" w:line="220" w:lineRule="exact"/>
              <w:ind w:left="0" w:firstLine="0"/>
              <w:jc w:val="right"/>
              <w:rPr>
                <w:sz w:val="18"/>
                <w:szCs w:val="22"/>
                <w:lang w:eastAsia="en-GB"/>
              </w:rPr>
            </w:pPr>
            <w:r w:rsidRPr="005B296B">
              <w:rPr>
                <w:sz w:val="18"/>
                <w:szCs w:val="22"/>
                <w:lang w:eastAsia="en-GB"/>
              </w:rPr>
              <w:t>24,722</w:t>
            </w:r>
          </w:p>
        </w:tc>
      </w:tr>
      <w:tr w:rsidR="00374074" w:rsidRPr="005B296B" w14:paraId="6F060CCB" w14:textId="77777777" w:rsidTr="005B296B">
        <w:tc>
          <w:tcPr>
            <w:tcW w:w="9493" w:type="dxa"/>
            <w:gridSpan w:val="6"/>
          </w:tcPr>
          <w:p w14:paraId="424BBFB3" w14:textId="77777777" w:rsidR="00374074" w:rsidRPr="005B296B" w:rsidRDefault="00374074" w:rsidP="005B296B">
            <w:pPr>
              <w:suppressAutoHyphens w:val="0"/>
              <w:snapToGrid w:val="0"/>
              <w:spacing w:before="40" w:after="40" w:line="220" w:lineRule="exact"/>
              <w:ind w:left="0" w:firstLine="0"/>
              <w:jc w:val="left"/>
              <w:rPr>
                <w:b/>
                <w:bCs/>
                <w:sz w:val="18"/>
                <w:szCs w:val="22"/>
                <w:cs/>
                <w:lang w:eastAsia="en-GB"/>
              </w:rPr>
            </w:pPr>
            <w:r w:rsidRPr="005B296B">
              <w:rPr>
                <w:b/>
                <w:bCs/>
                <w:sz w:val="18"/>
                <w:szCs w:val="22"/>
                <w:lang w:eastAsia="en-GB"/>
              </w:rPr>
              <w:t>Percentage</w:t>
            </w:r>
          </w:p>
        </w:tc>
      </w:tr>
      <w:tr w:rsidR="00374074" w:rsidRPr="005B296B" w14:paraId="14388DAE" w14:textId="77777777" w:rsidTr="005B296B">
        <w:tc>
          <w:tcPr>
            <w:tcW w:w="1582" w:type="dxa"/>
          </w:tcPr>
          <w:p w14:paraId="5625AE9F" w14:textId="77777777" w:rsidR="00374074" w:rsidRPr="005B296B" w:rsidRDefault="00374074" w:rsidP="005B296B">
            <w:pPr>
              <w:suppressAutoHyphens w:val="0"/>
              <w:snapToGrid w:val="0"/>
              <w:spacing w:before="40" w:after="40" w:line="220" w:lineRule="exact"/>
              <w:ind w:left="0" w:firstLine="0"/>
              <w:jc w:val="left"/>
              <w:rPr>
                <w:sz w:val="18"/>
                <w:szCs w:val="22"/>
                <w:cs/>
                <w:lang w:eastAsia="en-GB"/>
              </w:rPr>
            </w:pPr>
            <w:r w:rsidRPr="005B296B">
              <w:rPr>
                <w:sz w:val="18"/>
                <w:szCs w:val="22"/>
                <w:lang w:eastAsia="en-GB"/>
              </w:rPr>
              <w:t>Both</w:t>
            </w:r>
          </w:p>
        </w:tc>
        <w:tc>
          <w:tcPr>
            <w:tcW w:w="1582" w:type="dxa"/>
            <w:vAlign w:val="bottom"/>
          </w:tcPr>
          <w:p w14:paraId="7EA8F2BC" w14:textId="77777777" w:rsidR="00374074" w:rsidRPr="005B296B" w:rsidRDefault="00374074" w:rsidP="005B296B">
            <w:pPr>
              <w:suppressAutoHyphens w:val="0"/>
              <w:snapToGrid w:val="0"/>
              <w:spacing w:before="40" w:after="40" w:line="220" w:lineRule="exact"/>
              <w:ind w:left="0" w:firstLine="0"/>
              <w:jc w:val="right"/>
              <w:rPr>
                <w:sz w:val="18"/>
                <w:szCs w:val="22"/>
                <w:cs/>
                <w:lang w:eastAsia="en-GB"/>
              </w:rPr>
            </w:pPr>
            <w:r w:rsidRPr="005B296B">
              <w:rPr>
                <w:sz w:val="18"/>
                <w:szCs w:val="22"/>
                <w:lang w:eastAsia="en-GB"/>
              </w:rPr>
              <w:t>100</w:t>
            </w:r>
          </w:p>
        </w:tc>
        <w:tc>
          <w:tcPr>
            <w:tcW w:w="1582" w:type="dxa"/>
            <w:vAlign w:val="bottom"/>
          </w:tcPr>
          <w:p w14:paraId="3275027F" w14:textId="77777777" w:rsidR="00374074" w:rsidRPr="005B296B" w:rsidRDefault="00374074" w:rsidP="005B296B">
            <w:pPr>
              <w:suppressAutoHyphens w:val="0"/>
              <w:snapToGrid w:val="0"/>
              <w:spacing w:before="40" w:after="40" w:line="220" w:lineRule="exact"/>
              <w:ind w:left="0" w:firstLine="0"/>
              <w:jc w:val="right"/>
              <w:rPr>
                <w:sz w:val="18"/>
                <w:szCs w:val="22"/>
                <w:cs/>
                <w:lang w:eastAsia="en-GB"/>
              </w:rPr>
            </w:pPr>
            <w:r w:rsidRPr="005B296B">
              <w:rPr>
                <w:sz w:val="18"/>
                <w:szCs w:val="22"/>
                <w:lang w:eastAsia="en-GB"/>
              </w:rPr>
              <w:t>95.11</w:t>
            </w:r>
          </w:p>
        </w:tc>
        <w:tc>
          <w:tcPr>
            <w:tcW w:w="1582" w:type="dxa"/>
            <w:vAlign w:val="bottom"/>
          </w:tcPr>
          <w:p w14:paraId="4DED80B4" w14:textId="77777777" w:rsidR="00374074" w:rsidRPr="005B296B" w:rsidRDefault="00374074" w:rsidP="005B296B">
            <w:pPr>
              <w:suppressAutoHyphens w:val="0"/>
              <w:snapToGrid w:val="0"/>
              <w:spacing w:before="40" w:after="40" w:line="220" w:lineRule="exact"/>
              <w:ind w:left="0" w:firstLine="0"/>
              <w:jc w:val="right"/>
              <w:rPr>
                <w:sz w:val="18"/>
                <w:szCs w:val="22"/>
                <w:cs/>
                <w:lang w:eastAsia="en-GB"/>
              </w:rPr>
            </w:pPr>
            <w:r w:rsidRPr="005B296B">
              <w:rPr>
                <w:sz w:val="18"/>
                <w:szCs w:val="22"/>
                <w:lang w:eastAsia="en-GB"/>
              </w:rPr>
              <w:t>3.71</w:t>
            </w:r>
          </w:p>
        </w:tc>
        <w:tc>
          <w:tcPr>
            <w:tcW w:w="1582" w:type="dxa"/>
            <w:vAlign w:val="bottom"/>
          </w:tcPr>
          <w:p w14:paraId="2B6F4691" w14:textId="77777777" w:rsidR="00374074" w:rsidRPr="005B296B" w:rsidRDefault="00374074" w:rsidP="005B296B">
            <w:pPr>
              <w:suppressAutoHyphens w:val="0"/>
              <w:snapToGrid w:val="0"/>
              <w:spacing w:before="40" w:after="40" w:line="220" w:lineRule="exact"/>
              <w:ind w:left="0" w:firstLine="0"/>
              <w:jc w:val="right"/>
              <w:rPr>
                <w:sz w:val="18"/>
                <w:szCs w:val="22"/>
                <w:cs/>
                <w:lang w:eastAsia="en-GB"/>
              </w:rPr>
            </w:pPr>
            <w:r w:rsidRPr="005B296B">
              <w:rPr>
                <w:sz w:val="18"/>
                <w:szCs w:val="22"/>
                <w:lang w:eastAsia="en-GB"/>
              </w:rPr>
              <w:t>0.87</w:t>
            </w:r>
          </w:p>
        </w:tc>
        <w:tc>
          <w:tcPr>
            <w:tcW w:w="1583" w:type="dxa"/>
            <w:vAlign w:val="bottom"/>
          </w:tcPr>
          <w:p w14:paraId="66F305F6" w14:textId="77777777" w:rsidR="00374074" w:rsidRPr="005B296B" w:rsidRDefault="00374074" w:rsidP="005B296B">
            <w:pPr>
              <w:suppressAutoHyphens w:val="0"/>
              <w:snapToGrid w:val="0"/>
              <w:spacing w:before="40" w:after="40" w:line="220" w:lineRule="exact"/>
              <w:ind w:left="0" w:firstLine="0"/>
              <w:jc w:val="right"/>
              <w:rPr>
                <w:sz w:val="18"/>
                <w:szCs w:val="22"/>
                <w:cs/>
                <w:lang w:eastAsia="en-GB"/>
              </w:rPr>
            </w:pPr>
            <w:r w:rsidRPr="005B296B">
              <w:rPr>
                <w:sz w:val="18"/>
                <w:szCs w:val="22"/>
                <w:lang w:eastAsia="en-GB"/>
              </w:rPr>
              <w:t>0.31</w:t>
            </w:r>
          </w:p>
        </w:tc>
      </w:tr>
      <w:tr w:rsidR="00374074" w:rsidRPr="005B296B" w14:paraId="73940423" w14:textId="77777777" w:rsidTr="005B296B">
        <w:tc>
          <w:tcPr>
            <w:tcW w:w="1582" w:type="dxa"/>
          </w:tcPr>
          <w:p w14:paraId="58A0017C" w14:textId="77777777" w:rsidR="00374074" w:rsidRPr="005B296B" w:rsidRDefault="00374074" w:rsidP="005B296B">
            <w:pPr>
              <w:suppressAutoHyphens w:val="0"/>
              <w:snapToGrid w:val="0"/>
              <w:spacing w:before="40" w:after="40" w:line="220" w:lineRule="exact"/>
              <w:ind w:left="0" w:firstLine="0"/>
              <w:jc w:val="left"/>
              <w:rPr>
                <w:sz w:val="18"/>
                <w:szCs w:val="22"/>
                <w:cs/>
                <w:lang w:eastAsia="en-GB"/>
              </w:rPr>
            </w:pPr>
            <w:r w:rsidRPr="005B296B">
              <w:rPr>
                <w:sz w:val="18"/>
                <w:szCs w:val="22"/>
                <w:lang w:eastAsia="en-GB"/>
              </w:rPr>
              <w:t>Male</w:t>
            </w:r>
          </w:p>
        </w:tc>
        <w:tc>
          <w:tcPr>
            <w:tcW w:w="1582" w:type="dxa"/>
            <w:vAlign w:val="bottom"/>
          </w:tcPr>
          <w:p w14:paraId="0D65D182" w14:textId="77777777" w:rsidR="00374074" w:rsidRPr="005B296B" w:rsidRDefault="00374074" w:rsidP="005B296B">
            <w:pPr>
              <w:suppressAutoHyphens w:val="0"/>
              <w:snapToGrid w:val="0"/>
              <w:spacing w:before="40" w:after="40" w:line="220" w:lineRule="exact"/>
              <w:ind w:left="0" w:firstLine="0"/>
              <w:jc w:val="right"/>
              <w:rPr>
                <w:sz w:val="18"/>
                <w:szCs w:val="22"/>
                <w:cs/>
                <w:lang w:eastAsia="en-GB"/>
              </w:rPr>
            </w:pPr>
            <w:r w:rsidRPr="005B296B">
              <w:rPr>
                <w:sz w:val="18"/>
                <w:szCs w:val="22"/>
                <w:lang w:eastAsia="en-GB"/>
              </w:rPr>
              <w:t>100</w:t>
            </w:r>
          </w:p>
        </w:tc>
        <w:tc>
          <w:tcPr>
            <w:tcW w:w="1582" w:type="dxa"/>
            <w:vAlign w:val="bottom"/>
          </w:tcPr>
          <w:p w14:paraId="16232B71" w14:textId="77777777" w:rsidR="00374074" w:rsidRPr="005B296B" w:rsidRDefault="00374074" w:rsidP="005B296B">
            <w:pPr>
              <w:suppressAutoHyphens w:val="0"/>
              <w:snapToGrid w:val="0"/>
              <w:spacing w:before="40" w:after="40" w:line="220" w:lineRule="exact"/>
              <w:ind w:left="0" w:firstLine="0"/>
              <w:jc w:val="right"/>
              <w:rPr>
                <w:sz w:val="18"/>
                <w:szCs w:val="22"/>
                <w:cs/>
                <w:lang w:eastAsia="en-GB"/>
              </w:rPr>
            </w:pPr>
            <w:r w:rsidRPr="005B296B">
              <w:rPr>
                <w:sz w:val="18"/>
                <w:szCs w:val="22"/>
                <w:lang w:eastAsia="en-GB"/>
              </w:rPr>
              <w:t>95.80</w:t>
            </w:r>
          </w:p>
        </w:tc>
        <w:tc>
          <w:tcPr>
            <w:tcW w:w="1582" w:type="dxa"/>
            <w:vAlign w:val="bottom"/>
          </w:tcPr>
          <w:p w14:paraId="5E463EE7" w14:textId="77777777" w:rsidR="00374074" w:rsidRPr="005B296B" w:rsidRDefault="00374074" w:rsidP="005B296B">
            <w:pPr>
              <w:suppressAutoHyphens w:val="0"/>
              <w:snapToGrid w:val="0"/>
              <w:spacing w:before="40" w:after="40" w:line="220" w:lineRule="exact"/>
              <w:ind w:left="0" w:firstLine="0"/>
              <w:jc w:val="right"/>
              <w:rPr>
                <w:sz w:val="18"/>
                <w:szCs w:val="22"/>
                <w:cs/>
                <w:lang w:eastAsia="en-GB"/>
              </w:rPr>
            </w:pPr>
            <w:r w:rsidRPr="005B296B">
              <w:rPr>
                <w:sz w:val="18"/>
                <w:szCs w:val="22"/>
                <w:lang w:eastAsia="en-GB"/>
              </w:rPr>
              <w:t>3.20</w:t>
            </w:r>
          </w:p>
        </w:tc>
        <w:tc>
          <w:tcPr>
            <w:tcW w:w="1582" w:type="dxa"/>
            <w:vAlign w:val="bottom"/>
          </w:tcPr>
          <w:p w14:paraId="47E80E3E" w14:textId="77777777" w:rsidR="00374074" w:rsidRPr="005B296B" w:rsidRDefault="00374074" w:rsidP="005B296B">
            <w:pPr>
              <w:suppressAutoHyphens w:val="0"/>
              <w:snapToGrid w:val="0"/>
              <w:spacing w:before="40" w:after="40" w:line="220" w:lineRule="exact"/>
              <w:ind w:left="0" w:firstLine="0"/>
              <w:jc w:val="right"/>
              <w:rPr>
                <w:sz w:val="18"/>
                <w:szCs w:val="22"/>
                <w:cs/>
                <w:lang w:eastAsia="en-GB"/>
              </w:rPr>
            </w:pPr>
            <w:r w:rsidRPr="005B296B">
              <w:rPr>
                <w:sz w:val="18"/>
                <w:szCs w:val="22"/>
                <w:lang w:eastAsia="en-GB"/>
              </w:rPr>
              <w:t>0.73</w:t>
            </w:r>
          </w:p>
        </w:tc>
        <w:tc>
          <w:tcPr>
            <w:tcW w:w="1583" w:type="dxa"/>
            <w:vAlign w:val="bottom"/>
          </w:tcPr>
          <w:p w14:paraId="2C7730B3" w14:textId="77777777" w:rsidR="00374074" w:rsidRPr="005B296B" w:rsidRDefault="00374074" w:rsidP="005B296B">
            <w:pPr>
              <w:suppressAutoHyphens w:val="0"/>
              <w:snapToGrid w:val="0"/>
              <w:spacing w:before="40" w:after="40" w:line="220" w:lineRule="exact"/>
              <w:ind w:left="0" w:firstLine="0"/>
              <w:jc w:val="right"/>
              <w:rPr>
                <w:sz w:val="18"/>
                <w:szCs w:val="22"/>
                <w:cs/>
                <w:lang w:eastAsia="en-GB"/>
              </w:rPr>
            </w:pPr>
            <w:r w:rsidRPr="005B296B">
              <w:rPr>
                <w:sz w:val="18"/>
                <w:szCs w:val="22"/>
                <w:lang w:eastAsia="en-GB"/>
              </w:rPr>
              <w:t>0.28</w:t>
            </w:r>
          </w:p>
        </w:tc>
      </w:tr>
      <w:tr w:rsidR="00374074" w:rsidRPr="005B296B" w14:paraId="44CA24FE" w14:textId="77777777" w:rsidTr="005B296B">
        <w:tc>
          <w:tcPr>
            <w:tcW w:w="1582" w:type="dxa"/>
            <w:tcBorders>
              <w:bottom w:val="single" w:sz="12" w:space="0" w:color="auto"/>
            </w:tcBorders>
          </w:tcPr>
          <w:p w14:paraId="106FAD00" w14:textId="77777777" w:rsidR="00374074" w:rsidRPr="005B296B" w:rsidRDefault="00374074" w:rsidP="005B296B">
            <w:pPr>
              <w:suppressAutoHyphens w:val="0"/>
              <w:snapToGrid w:val="0"/>
              <w:spacing w:before="40" w:after="40" w:line="220" w:lineRule="exact"/>
              <w:ind w:left="0" w:firstLine="0"/>
              <w:jc w:val="left"/>
              <w:rPr>
                <w:sz w:val="18"/>
                <w:szCs w:val="22"/>
                <w:lang w:eastAsia="en-GB"/>
              </w:rPr>
            </w:pPr>
            <w:r w:rsidRPr="005B296B">
              <w:rPr>
                <w:sz w:val="18"/>
                <w:szCs w:val="22"/>
                <w:lang w:eastAsia="en-GB"/>
              </w:rPr>
              <w:t>Female</w:t>
            </w:r>
          </w:p>
        </w:tc>
        <w:tc>
          <w:tcPr>
            <w:tcW w:w="1582" w:type="dxa"/>
            <w:tcBorders>
              <w:bottom w:val="single" w:sz="12" w:space="0" w:color="auto"/>
            </w:tcBorders>
            <w:vAlign w:val="bottom"/>
          </w:tcPr>
          <w:p w14:paraId="274C9D43" w14:textId="77777777" w:rsidR="00374074" w:rsidRPr="005B296B" w:rsidRDefault="00374074" w:rsidP="005B296B">
            <w:pPr>
              <w:suppressAutoHyphens w:val="0"/>
              <w:snapToGrid w:val="0"/>
              <w:spacing w:before="40" w:after="40" w:line="220" w:lineRule="exact"/>
              <w:ind w:left="0" w:firstLine="0"/>
              <w:jc w:val="right"/>
              <w:rPr>
                <w:sz w:val="18"/>
                <w:szCs w:val="22"/>
                <w:cs/>
                <w:lang w:eastAsia="en-GB"/>
              </w:rPr>
            </w:pPr>
            <w:r w:rsidRPr="005B296B">
              <w:rPr>
                <w:sz w:val="18"/>
                <w:szCs w:val="22"/>
                <w:lang w:eastAsia="en-GB"/>
              </w:rPr>
              <w:t>100</w:t>
            </w:r>
          </w:p>
        </w:tc>
        <w:tc>
          <w:tcPr>
            <w:tcW w:w="1582" w:type="dxa"/>
            <w:tcBorders>
              <w:bottom w:val="single" w:sz="12" w:space="0" w:color="auto"/>
            </w:tcBorders>
            <w:vAlign w:val="bottom"/>
          </w:tcPr>
          <w:p w14:paraId="4139D906" w14:textId="77777777" w:rsidR="00374074" w:rsidRPr="005B296B" w:rsidRDefault="00374074" w:rsidP="005B296B">
            <w:pPr>
              <w:suppressAutoHyphens w:val="0"/>
              <w:snapToGrid w:val="0"/>
              <w:spacing w:before="40" w:after="40" w:line="220" w:lineRule="exact"/>
              <w:ind w:left="0" w:firstLine="0"/>
              <w:jc w:val="right"/>
              <w:rPr>
                <w:sz w:val="18"/>
                <w:szCs w:val="22"/>
                <w:cs/>
                <w:lang w:eastAsia="en-GB"/>
              </w:rPr>
            </w:pPr>
            <w:r w:rsidRPr="005B296B">
              <w:rPr>
                <w:sz w:val="18"/>
                <w:szCs w:val="22"/>
                <w:lang w:eastAsia="en-GB"/>
              </w:rPr>
              <w:t>94.46</w:t>
            </w:r>
          </w:p>
        </w:tc>
        <w:tc>
          <w:tcPr>
            <w:tcW w:w="1582" w:type="dxa"/>
            <w:tcBorders>
              <w:bottom w:val="single" w:sz="12" w:space="0" w:color="auto"/>
            </w:tcBorders>
            <w:vAlign w:val="bottom"/>
          </w:tcPr>
          <w:p w14:paraId="6347922B" w14:textId="77777777" w:rsidR="00374074" w:rsidRPr="005B296B" w:rsidRDefault="00374074" w:rsidP="005B296B">
            <w:pPr>
              <w:suppressAutoHyphens w:val="0"/>
              <w:snapToGrid w:val="0"/>
              <w:spacing w:before="40" w:after="40" w:line="220" w:lineRule="exact"/>
              <w:ind w:left="0" w:firstLine="0"/>
              <w:jc w:val="right"/>
              <w:rPr>
                <w:sz w:val="18"/>
                <w:szCs w:val="22"/>
                <w:cs/>
                <w:lang w:eastAsia="en-GB"/>
              </w:rPr>
            </w:pPr>
            <w:r w:rsidRPr="005B296B">
              <w:rPr>
                <w:sz w:val="18"/>
                <w:szCs w:val="22"/>
                <w:lang w:eastAsia="en-GB"/>
              </w:rPr>
              <w:t>4.19</w:t>
            </w:r>
          </w:p>
        </w:tc>
        <w:tc>
          <w:tcPr>
            <w:tcW w:w="1582" w:type="dxa"/>
            <w:tcBorders>
              <w:bottom w:val="single" w:sz="12" w:space="0" w:color="auto"/>
            </w:tcBorders>
            <w:vAlign w:val="bottom"/>
          </w:tcPr>
          <w:p w14:paraId="4BBF7767" w14:textId="77777777" w:rsidR="00374074" w:rsidRPr="005B296B" w:rsidRDefault="00374074" w:rsidP="005B296B">
            <w:pPr>
              <w:suppressAutoHyphens w:val="0"/>
              <w:snapToGrid w:val="0"/>
              <w:spacing w:before="40" w:after="40" w:line="220" w:lineRule="exact"/>
              <w:ind w:left="0" w:firstLine="0"/>
              <w:jc w:val="right"/>
              <w:rPr>
                <w:sz w:val="18"/>
                <w:szCs w:val="22"/>
                <w:cs/>
                <w:lang w:eastAsia="en-GB"/>
              </w:rPr>
            </w:pPr>
            <w:r w:rsidRPr="005B296B">
              <w:rPr>
                <w:sz w:val="18"/>
                <w:szCs w:val="22"/>
                <w:lang w:eastAsia="en-GB"/>
              </w:rPr>
              <w:t>1.01</w:t>
            </w:r>
          </w:p>
        </w:tc>
        <w:tc>
          <w:tcPr>
            <w:tcW w:w="1583" w:type="dxa"/>
            <w:tcBorders>
              <w:bottom w:val="single" w:sz="12" w:space="0" w:color="auto"/>
            </w:tcBorders>
            <w:vAlign w:val="bottom"/>
          </w:tcPr>
          <w:p w14:paraId="0B5486F5" w14:textId="77777777" w:rsidR="00374074" w:rsidRPr="005B296B" w:rsidRDefault="00374074" w:rsidP="005B296B">
            <w:pPr>
              <w:suppressAutoHyphens w:val="0"/>
              <w:snapToGrid w:val="0"/>
              <w:spacing w:before="40" w:after="40" w:line="220" w:lineRule="exact"/>
              <w:ind w:left="0" w:firstLine="0"/>
              <w:jc w:val="right"/>
              <w:rPr>
                <w:sz w:val="18"/>
                <w:szCs w:val="22"/>
                <w:cs/>
                <w:lang w:eastAsia="en-GB"/>
              </w:rPr>
            </w:pPr>
            <w:r w:rsidRPr="005B296B">
              <w:rPr>
                <w:sz w:val="18"/>
                <w:szCs w:val="22"/>
                <w:lang w:eastAsia="en-GB"/>
              </w:rPr>
              <w:t>0.34</w:t>
            </w:r>
          </w:p>
        </w:tc>
      </w:tr>
    </w:tbl>
    <w:p w14:paraId="19FA02C3" w14:textId="77777777" w:rsidR="00374074" w:rsidRPr="00374074" w:rsidRDefault="00374074" w:rsidP="005B296B">
      <w:pPr>
        <w:pStyle w:val="SingleTxtG"/>
        <w:rPr>
          <w:lang w:eastAsia="en-GB" w:bidi="km-KH"/>
        </w:rPr>
      </w:pPr>
      <w:r w:rsidRPr="00374074">
        <w:rPr>
          <w:b/>
          <w:bCs/>
          <w:lang w:eastAsia="en-GB" w:bidi="km-KH"/>
        </w:rPr>
        <w:t>Table 4.</w:t>
      </w:r>
      <w:r w:rsidRPr="00374074">
        <w:rPr>
          <w:b/>
          <w:bCs/>
          <w:color w:val="1F497D" w:themeColor="text2"/>
          <w:lang w:eastAsia="en-GB" w:bidi="km-KH"/>
        </w:rPr>
        <w:t>1</w:t>
      </w:r>
      <w:r w:rsidRPr="00374074">
        <w:rPr>
          <w:color w:val="1F497D" w:themeColor="text2"/>
          <w:lang w:eastAsia="en-GB" w:bidi="km-KH"/>
        </w:rPr>
        <w:t xml:space="preserve"> </w:t>
      </w:r>
      <w:r w:rsidRPr="00374074">
        <w:rPr>
          <w:lang w:eastAsia="en-GB" w:bidi="km-KH"/>
        </w:rPr>
        <w:t>Percentage distribution of population aged 5+ by disability status and sex, General Population Census of the Kingdom of Cambodia 2019, an extensive analysis on disability in Cambodia, National Institute of Statistics, Ministry of Planning.</w:t>
      </w:r>
    </w:p>
    <w:p w14:paraId="2748A831" w14:textId="77777777" w:rsidR="00374074" w:rsidRPr="00374074" w:rsidRDefault="00374074" w:rsidP="005B296B">
      <w:pPr>
        <w:pStyle w:val="SingleTxtG"/>
        <w:rPr>
          <w:lang w:eastAsia="en-GB" w:bidi="km-KH"/>
        </w:rPr>
      </w:pPr>
      <w:r w:rsidRPr="005B296B">
        <w:rPr>
          <w:i/>
          <w:iCs/>
          <w:lang w:eastAsia="en-GB" w:bidi="km-KH"/>
        </w:rPr>
        <w:t>Source: National Institute of Statistics, GPCC 2019</w:t>
      </w:r>
      <w:r w:rsidRPr="00374074">
        <w:rPr>
          <w:vertAlign w:val="superscript"/>
          <w:cs/>
          <w:lang w:eastAsia="en-GB" w:bidi="km-KH"/>
        </w:rPr>
        <w:footnoteReference w:id="8"/>
      </w:r>
      <w:r w:rsidRPr="00374074">
        <w:rPr>
          <w:cs/>
          <w:lang w:eastAsia="en-GB" w:bidi="km-KH"/>
        </w:rPr>
        <w:t xml:space="preserve"> </w:t>
      </w:r>
    </w:p>
    <w:p w14:paraId="29691FDE" w14:textId="77777777" w:rsidR="00374074" w:rsidRPr="00374074" w:rsidRDefault="00374074" w:rsidP="0040290C">
      <w:pPr>
        <w:pStyle w:val="SingleTxtG"/>
        <w:numPr>
          <w:ilvl w:val="0"/>
          <w:numId w:val="7"/>
        </w:numPr>
        <w:ind w:left="1134" w:firstLine="0"/>
        <w:rPr>
          <w:lang w:eastAsia="en-GB" w:bidi="km-KH"/>
        </w:rPr>
      </w:pPr>
      <w:r w:rsidRPr="00374074">
        <w:rPr>
          <w:shd w:val="clear" w:color="auto" w:fill="FFFFFF"/>
          <w:lang w:eastAsia="en-GB"/>
        </w:rPr>
        <w:t>The RGC has consistently fulfilled its obligations as a State Party to the Convention by helping persons with disabilities improve the quality of their lives and the lives of their families, and by promoting their full and equal participation in a society that values human rights and dignity.</w:t>
      </w:r>
      <w:r w:rsidRPr="00374074">
        <w:rPr>
          <w:rFonts w:eastAsiaTheme="majorEastAsia"/>
          <w:vertAlign w:val="superscript"/>
          <w:lang w:eastAsia="en-GB" w:bidi="km-KH"/>
        </w:rPr>
        <w:footnoteReference w:id="9"/>
      </w:r>
      <w:r w:rsidRPr="00374074">
        <w:rPr>
          <w:cs/>
          <w:lang w:eastAsia="en-GB" w:bidi="km-KH"/>
        </w:rPr>
        <w:t xml:space="preserve"> </w:t>
      </w:r>
      <w:r w:rsidRPr="00374074">
        <w:rPr>
          <w:lang w:eastAsia="en-GB" w:bidi="km-KH"/>
        </w:rPr>
        <w:t xml:space="preserve">At the same time, the RGC highly regards the right to a decent living and social protection, vocational training, employment, education, health and rehabilitation as </w:t>
      </w:r>
      <w:r w:rsidRPr="00374074">
        <w:rPr>
          <w:lang w:eastAsia="en-GB"/>
        </w:rPr>
        <w:t>priority</w:t>
      </w:r>
      <w:r w:rsidRPr="00374074">
        <w:rPr>
          <w:lang w:eastAsia="en-GB" w:bidi="km-KH"/>
        </w:rPr>
        <w:t xml:space="preserve"> areas of work in the field of disability.</w:t>
      </w:r>
      <w:r w:rsidRPr="00374074">
        <w:rPr>
          <w:vertAlign w:val="superscript"/>
          <w:cs/>
          <w:lang w:eastAsia="en-GB" w:bidi="km-KH"/>
        </w:rPr>
        <w:footnoteReference w:id="10"/>
      </w:r>
      <w:r w:rsidRPr="00374074">
        <w:rPr>
          <w:cs/>
          <w:lang w:eastAsia="en-GB" w:bidi="km-KH"/>
        </w:rPr>
        <w:t xml:space="preserve"> </w:t>
      </w:r>
      <w:r w:rsidRPr="00374074">
        <w:rPr>
          <w:shd w:val="clear" w:color="auto" w:fill="FFFFFF"/>
          <w:lang w:eastAsia="en-GB"/>
        </w:rPr>
        <w:t>Cambodia is expanding its legal and strategic vision to: (a) protect the rights and interests of persons with disabilities; (b) prevent, reduce, and eliminate discrimination against them; (c) provide physical, mental and vocational rehabilitation; (d) ensure accessibility in the physical and social environment, including access to education and health; (e) reduce poverty and increase income and political participation; (f) guarantee livelihood and safety; (g) improve disability management processes; (h) foster international cooperation at the national and sub-national levels; and (i) promote a social protection system and service delivery.</w:t>
      </w:r>
    </w:p>
    <w:p w14:paraId="40F846BD" w14:textId="77777777" w:rsidR="00374074" w:rsidRPr="00374074" w:rsidRDefault="00374074" w:rsidP="0040290C">
      <w:pPr>
        <w:pStyle w:val="SingleTxtG"/>
        <w:numPr>
          <w:ilvl w:val="0"/>
          <w:numId w:val="7"/>
        </w:numPr>
        <w:ind w:left="1134" w:firstLine="0"/>
        <w:rPr>
          <w:lang w:eastAsia="en-GB"/>
        </w:rPr>
      </w:pPr>
      <w:r w:rsidRPr="00374074">
        <w:rPr>
          <w:lang w:eastAsia="en-GB"/>
        </w:rPr>
        <w:t xml:space="preserve">In </w:t>
      </w:r>
      <w:r w:rsidRPr="005B296B">
        <w:rPr>
          <w:shd w:val="clear" w:color="auto" w:fill="FFFFFF"/>
          <w:lang w:eastAsia="en-GB"/>
        </w:rPr>
        <w:t>response</w:t>
      </w:r>
      <w:r w:rsidRPr="00374074">
        <w:rPr>
          <w:lang w:eastAsia="en-GB"/>
        </w:rPr>
        <w:t xml:space="preserve"> to the implementation of the obligations under articles 3 and 4 of the Convention, the RGC has strengthened the implementation of the LPRPD, and established a number of mechanisms in line with the provisions of the Convention, including: </w:t>
      </w:r>
    </w:p>
    <w:p w14:paraId="0FBE9841" w14:textId="77777777" w:rsidR="00374074" w:rsidRPr="00374074" w:rsidRDefault="00374074" w:rsidP="005B296B">
      <w:pPr>
        <w:pStyle w:val="Bullet1G"/>
        <w:rPr>
          <w:lang w:eastAsia="en-GB" w:bidi="km-KH"/>
        </w:rPr>
      </w:pPr>
      <w:r w:rsidRPr="00374074">
        <w:rPr>
          <w:lang w:eastAsia="en-GB" w:bidi="km-KH"/>
        </w:rPr>
        <w:t>Issuing a number of legal documents and administrative measures, as described in the specific sections and articles of this report.</w:t>
      </w:r>
    </w:p>
    <w:p w14:paraId="1DE3B60E" w14:textId="77777777" w:rsidR="00374074" w:rsidRPr="00374074" w:rsidRDefault="00374074" w:rsidP="005B296B">
      <w:pPr>
        <w:pStyle w:val="Bullet1G"/>
        <w:rPr>
          <w:lang w:eastAsia="en-GB" w:bidi="km-KH"/>
        </w:rPr>
      </w:pPr>
      <w:r w:rsidRPr="00374074">
        <w:rPr>
          <w:lang w:eastAsia="en-GB" w:bidi="km-KH"/>
        </w:rPr>
        <w:t xml:space="preserve">Developing policies to support persons with disabilities, such as the </w:t>
      </w:r>
      <w:r w:rsidRPr="00374074">
        <w:rPr>
          <w:lang w:eastAsia="en-GB"/>
        </w:rPr>
        <w:t>policy framework for persons with disabilities living in a situation of poverty in the community</w:t>
      </w:r>
      <w:r w:rsidRPr="00374074">
        <w:rPr>
          <w:lang w:eastAsia="en-GB" w:bidi="km-KH"/>
        </w:rPr>
        <w:t xml:space="preserve"> and the Social Protection Policy Framework 2016-2025, among others.</w:t>
      </w:r>
    </w:p>
    <w:p w14:paraId="43CBF2A7" w14:textId="21C90498" w:rsidR="00374074" w:rsidRPr="00374074" w:rsidRDefault="00374074" w:rsidP="0040290C">
      <w:pPr>
        <w:pStyle w:val="SingleTxtG"/>
        <w:numPr>
          <w:ilvl w:val="0"/>
          <w:numId w:val="7"/>
        </w:numPr>
        <w:ind w:left="1134" w:firstLine="0"/>
        <w:rPr>
          <w:i/>
          <w:iCs/>
          <w:lang w:eastAsia="en-GB" w:bidi="km-KH"/>
        </w:rPr>
      </w:pPr>
      <w:r w:rsidRPr="00374074">
        <w:rPr>
          <w:lang w:eastAsia="en-GB" w:bidi="km-KH"/>
        </w:rPr>
        <w:t>The RGC recognizes the importance of implementing international treaties related to the protection and the promotion of the rights of persons with disabilities,</w:t>
      </w:r>
      <w:r w:rsidR="005B296B">
        <w:rPr>
          <w:lang w:eastAsia="en-GB" w:bidi="km-KH"/>
        </w:rPr>
        <w:t xml:space="preserve"> </w:t>
      </w:r>
      <w:r w:rsidRPr="00374074">
        <w:rPr>
          <w:lang w:eastAsia="en-GB" w:bidi="km-KH"/>
        </w:rPr>
        <w:t xml:space="preserve">and is open to accepting those treaties for implementation at the national level, and prioritizes the provisions of those </w:t>
      </w:r>
      <w:r w:rsidRPr="00374074">
        <w:rPr>
          <w:lang w:eastAsia="en-GB"/>
        </w:rPr>
        <w:t>international</w:t>
      </w:r>
      <w:r w:rsidRPr="00374074">
        <w:rPr>
          <w:lang w:eastAsia="en-GB" w:bidi="km-KH"/>
        </w:rPr>
        <w:t xml:space="preserve"> treaties even before the Convention came into force in Cambodia. Article </w:t>
      </w:r>
      <w:r w:rsidRPr="00374074">
        <w:rPr>
          <w:cs/>
          <w:lang w:eastAsia="en-GB" w:bidi="km-KH"/>
        </w:rPr>
        <w:t xml:space="preserve">49 </w:t>
      </w:r>
      <w:r w:rsidRPr="00374074">
        <w:rPr>
          <w:lang w:eastAsia="en-GB" w:bidi="km-KH"/>
        </w:rPr>
        <w:t xml:space="preserve">of the LPRPD states: </w:t>
      </w:r>
      <w:r w:rsidRPr="00374074">
        <w:rPr>
          <w:cs/>
          <w:lang w:eastAsia="en-GB" w:bidi="km-KH"/>
        </w:rPr>
        <w:t>“</w:t>
      </w:r>
      <w:r w:rsidRPr="00374074">
        <w:rPr>
          <w:i/>
          <w:iCs/>
          <w:lang w:eastAsia="en-GB" w:bidi="km-KH"/>
        </w:rPr>
        <w:t>All provisions of international treaties relating to the laws on the protection and promotion of the rights of persons with disabilities to which the Kingdom of Cambodia is a party shall be implemented together with this national law. In case of any provisions that contradict the provisions of this law, the provisions of those international treaties shall be considered as the principal provisions</w:t>
      </w:r>
      <w:r w:rsidRPr="00374074">
        <w:rPr>
          <w:cs/>
          <w:lang w:eastAsia="en-GB" w:bidi="km-KH"/>
        </w:rPr>
        <w:t>.</w:t>
      </w:r>
      <w:r w:rsidRPr="00374074">
        <w:rPr>
          <w:lang w:eastAsia="en-GB" w:bidi="km-KH"/>
        </w:rPr>
        <w:t xml:space="preserve">” Therefore, none of the </w:t>
      </w:r>
      <w:r w:rsidRPr="00374074">
        <w:rPr>
          <w:lang w:eastAsia="en-GB" w:bidi="km-KH"/>
        </w:rPr>
        <w:lastRenderedPageBreak/>
        <w:t xml:space="preserve">provisions of </w:t>
      </w:r>
      <w:r w:rsidRPr="00374074">
        <w:rPr>
          <w:szCs w:val="39"/>
          <w:lang w:eastAsia="en-GB" w:bidi="km-KH"/>
        </w:rPr>
        <w:t xml:space="preserve">this </w:t>
      </w:r>
      <w:r w:rsidRPr="00374074">
        <w:rPr>
          <w:lang w:eastAsia="en-GB" w:bidi="km-KH"/>
        </w:rPr>
        <w:t>law conflict with the provisions of the Convention, and this serves as evidence of the measures that provide a high level of protection for persons with disabilities.</w:t>
      </w:r>
    </w:p>
    <w:p w14:paraId="0228DA05" w14:textId="77777777" w:rsidR="00374074" w:rsidRPr="00374074" w:rsidRDefault="00374074" w:rsidP="0040290C">
      <w:pPr>
        <w:pStyle w:val="SingleTxtG"/>
        <w:numPr>
          <w:ilvl w:val="0"/>
          <w:numId w:val="7"/>
        </w:numPr>
        <w:ind w:left="1134" w:firstLine="0"/>
        <w:rPr>
          <w:i/>
          <w:iCs/>
          <w:color w:val="000000" w:themeColor="text1"/>
          <w:lang w:eastAsia="en-GB" w:bidi="km-KH"/>
        </w:rPr>
      </w:pPr>
      <w:r w:rsidRPr="00374074">
        <w:rPr>
          <w:lang w:eastAsia="en-GB"/>
        </w:rPr>
        <w:t>To ensure that the provisions and implementation of the Convention encompass all sectors and divisions, the RGC has established Disability Action Working Groups within line ministries and institutions at the national level</w:t>
      </w:r>
      <w:r w:rsidRPr="00374074">
        <w:rPr>
          <w:vertAlign w:val="superscript"/>
          <w:lang w:eastAsia="en-GB" w:bidi="km-KH"/>
        </w:rPr>
        <w:footnoteReference w:id="11"/>
      </w:r>
      <w:r w:rsidRPr="00374074">
        <w:rPr>
          <w:lang w:eastAsia="en-GB"/>
        </w:rPr>
        <w:t xml:space="preserve"> and Capital and Provincial Disability Action Councils</w:t>
      </w:r>
      <w:r w:rsidRPr="00374074">
        <w:rPr>
          <w:color w:val="000000" w:themeColor="text1"/>
          <w:lang w:eastAsia="en-GB"/>
        </w:rPr>
        <w:t>,</w:t>
      </w:r>
      <w:r w:rsidRPr="00374074">
        <w:rPr>
          <w:color w:val="000000" w:themeColor="text1"/>
          <w:vertAlign w:val="superscript"/>
          <w:lang w:eastAsia="en-GB" w:bidi="km-KH"/>
        </w:rPr>
        <w:footnoteReference w:id="12"/>
      </w:r>
      <w:r w:rsidRPr="00374074">
        <w:rPr>
          <w:color w:val="000000" w:themeColor="text1"/>
          <w:lang w:eastAsia="en-GB"/>
        </w:rPr>
        <w:t xml:space="preserve"> at the sub-national level, which serve as mechanisms to coordinate and provide direct services to persons with disabilities, in addition to the DAC, </w:t>
      </w:r>
      <w:r w:rsidRPr="00374074">
        <w:rPr>
          <w:color w:val="000000" w:themeColor="text1"/>
          <w:shd w:val="clear" w:color="auto" w:fill="FFFFFF"/>
          <w:lang w:eastAsia="en-GB"/>
        </w:rPr>
        <w:t>which serve</w:t>
      </w:r>
      <w:r w:rsidRPr="00374074">
        <w:rPr>
          <w:rFonts w:eastAsia="Malgun Gothic"/>
          <w:color w:val="000000" w:themeColor="text1"/>
          <w:shd w:val="clear" w:color="auto" w:fill="FFFFFF"/>
          <w:lang w:eastAsia="ko-KR"/>
        </w:rPr>
        <w:t>s</w:t>
      </w:r>
      <w:bookmarkStart w:id="4" w:name="_Toc392839027"/>
      <w:r w:rsidRPr="00374074">
        <w:rPr>
          <w:color w:val="000000" w:themeColor="text1"/>
          <w:shd w:val="clear" w:color="auto" w:fill="FFFFFF"/>
          <w:lang w:eastAsia="en-GB"/>
        </w:rPr>
        <w:t xml:space="preserve"> as </w:t>
      </w:r>
      <w:r w:rsidRPr="00374074">
        <w:rPr>
          <w:rFonts w:eastAsia="Malgun Gothic"/>
          <w:color w:val="000000" w:themeColor="text1"/>
          <w:shd w:val="clear" w:color="auto" w:fill="FFFFFF"/>
          <w:lang w:eastAsia="ko-KR"/>
        </w:rPr>
        <w:t xml:space="preserve">the national </w:t>
      </w:r>
      <w:r w:rsidRPr="00374074">
        <w:rPr>
          <w:color w:val="000000" w:themeColor="text1"/>
          <w:shd w:val="clear" w:color="auto" w:fill="FFFFFF"/>
          <w:lang w:eastAsia="en-GB"/>
        </w:rPr>
        <w:t xml:space="preserve">coordination and advisory mechanism for the entire disability sector in Cambodia, and as </w:t>
      </w:r>
      <w:r w:rsidRPr="00374074">
        <w:rPr>
          <w:rFonts w:eastAsia="Malgun Gothic"/>
          <w:color w:val="000000" w:themeColor="text1"/>
          <w:shd w:val="clear" w:color="auto" w:fill="FFFFFF"/>
          <w:lang w:eastAsia="ko-KR"/>
        </w:rPr>
        <w:t xml:space="preserve">the </w:t>
      </w:r>
      <w:r w:rsidRPr="00374074">
        <w:rPr>
          <w:color w:val="000000" w:themeColor="text1"/>
          <w:shd w:val="clear" w:color="auto" w:fill="FFFFFF"/>
          <w:lang w:eastAsia="en-GB"/>
        </w:rPr>
        <w:t>institution responsible for preparing reports on the implementation of the Convention. Moreover, the RGC encourages participation from the private sector, OPDs, NGOs, CSOs and development partners, including persons with disabilities themselves, in the implementation of the Convention, regarding them as essential partners.</w:t>
      </w:r>
    </w:p>
    <w:p w14:paraId="7440B420" w14:textId="204C1989" w:rsidR="00374074" w:rsidRPr="00374074" w:rsidRDefault="001E17DA" w:rsidP="001E17DA">
      <w:pPr>
        <w:pStyle w:val="HChG"/>
        <w:rPr>
          <w:lang w:eastAsia="en-GB" w:bidi="km-KH"/>
        </w:rPr>
      </w:pPr>
      <w:bookmarkStart w:id="5" w:name="_Toc215321690"/>
      <w:r>
        <w:rPr>
          <w:lang w:eastAsia="en-GB" w:bidi="km-KH"/>
        </w:rPr>
        <w:tab/>
      </w:r>
      <w:r w:rsidR="00374074" w:rsidRPr="00374074">
        <w:rPr>
          <w:lang w:eastAsia="en-GB" w:bidi="km-KH"/>
        </w:rPr>
        <w:t>B.</w:t>
      </w:r>
      <w:r>
        <w:rPr>
          <w:lang w:eastAsia="en-GB" w:bidi="km-KH"/>
        </w:rPr>
        <w:tab/>
      </w:r>
      <w:r w:rsidR="00374074" w:rsidRPr="00374074">
        <w:rPr>
          <w:lang w:eastAsia="en-GB" w:bidi="km-KH"/>
        </w:rPr>
        <w:t>Report on specific rights</w:t>
      </w:r>
      <w:bookmarkEnd w:id="5"/>
    </w:p>
    <w:p w14:paraId="714B2650" w14:textId="63602537" w:rsidR="00374074" w:rsidRPr="00374074" w:rsidRDefault="005B296B" w:rsidP="005B296B">
      <w:pPr>
        <w:pStyle w:val="H1G"/>
        <w:rPr>
          <w:lang w:eastAsia="en-GB"/>
        </w:rPr>
      </w:pPr>
      <w:bookmarkStart w:id="6" w:name="_Toc215321691"/>
      <w:r>
        <w:rPr>
          <w:lang w:eastAsia="en-GB"/>
        </w:rPr>
        <w:tab/>
      </w:r>
      <w:r>
        <w:rPr>
          <w:lang w:eastAsia="en-GB"/>
        </w:rPr>
        <w:tab/>
      </w:r>
      <w:r w:rsidR="00374074" w:rsidRPr="00374074">
        <w:rPr>
          <w:lang w:eastAsia="en-GB"/>
        </w:rPr>
        <w:t>Equality and non-discrimination</w:t>
      </w:r>
      <w:bookmarkEnd w:id="4"/>
      <w:bookmarkEnd w:id="6"/>
      <w:r>
        <w:rPr>
          <w:lang w:eastAsia="en-GB"/>
        </w:rPr>
        <w:br/>
      </w:r>
      <w:r w:rsidRPr="00374074">
        <w:rPr>
          <w:lang w:eastAsia="en-GB"/>
        </w:rPr>
        <w:t>Article 5</w:t>
      </w:r>
    </w:p>
    <w:p w14:paraId="6B09B130" w14:textId="77777777" w:rsidR="00374074" w:rsidRPr="00374074" w:rsidRDefault="00374074" w:rsidP="0040290C">
      <w:pPr>
        <w:pStyle w:val="SingleTxtG"/>
        <w:numPr>
          <w:ilvl w:val="0"/>
          <w:numId w:val="7"/>
        </w:numPr>
        <w:ind w:left="1134" w:firstLine="0"/>
        <w:rPr>
          <w:lang w:eastAsia="en-GB" w:bidi="km-KH"/>
        </w:rPr>
      </w:pPr>
      <w:r w:rsidRPr="00374074">
        <w:rPr>
          <w:lang w:eastAsia="en-GB" w:bidi="km-KH"/>
        </w:rPr>
        <w:t>Persons with disabilities in Cambodia have the right to protect and achieve their interests on an equal basis with others,</w:t>
      </w:r>
      <w:r w:rsidRPr="00374074">
        <w:rPr>
          <w:szCs w:val="39"/>
          <w:lang w:eastAsia="en-GB" w:bidi="km-KH"/>
        </w:rPr>
        <w:t xml:space="preserve"> which</w:t>
      </w:r>
      <w:r w:rsidRPr="00374074">
        <w:rPr>
          <w:lang w:eastAsia="en-GB" w:bidi="km-KH"/>
        </w:rPr>
        <w:t xml:space="preserve"> is protected by article 31 of the Constitution of the Kingdom of </w:t>
      </w:r>
      <w:r w:rsidRPr="001147CF">
        <w:rPr>
          <w:color w:val="000000" w:themeColor="text1"/>
          <w:shd w:val="clear" w:color="auto" w:fill="FFFFFF"/>
          <w:lang w:eastAsia="en-GB"/>
        </w:rPr>
        <w:t>Cambodia</w:t>
      </w:r>
      <w:r w:rsidRPr="00374074">
        <w:rPr>
          <w:lang w:eastAsia="en-GB" w:bidi="km-KH"/>
        </w:rPr>
        <w:t xml:space="preserve"> (the Constitution).</w:t>
      </w:r>
    </w:p>
    <w:p w14:paraId="6DDF6E74" w14:textId="77777777" w:rsidR="00374074" w:rsidRPr="00374074" w:rsidRDefault="00374074" w:rsidP="0040290C">
      <w:pPr>
        <w:pStyle w:val="SingleTxtG"/>
        <w:numPr>
          <w:ilvl w:val="0"/>
          <w:numId w:val="7"/>
        </w:numPr>
        <w:ind w:left="1134" w:firstLine="0"/>
        <w:rPr>
          <w:lang w:eastAsia="en-GB" w:bidi="km-KH"/>
        </w:rPr>
      </w:pPr>
      <w:r w:rsidRPr="00374074">
        <w:rPr>
          <w:lang w:eastAsia="en-GB"/>
        </w:rPr>
        <w:t xml:space="preserve">The Criminal Code of the Kingdom of Cambodia (the Criminal Code) 2010 also addresses </w:t>
      </w:r>
      <w:r w:rsidRPr="00374074">
        <w:rPr>
          <w:lang w:eastAsia="en-GB" w:bidi="km-KH"/>
        </w:rPr>
        <w:t>discrimination</w:t>
      </w:r>
      <w:r w:rsidRPr="00374074">
        <w:rPr>
          <w:lang w:eastAsia="en-GB"/>
        </w:rPr>
        <w:t xml:space="preserve"> in articles 265 (Refusal to supply goods or services), 266 (Subjecting the supply of goods or services to conditions), 267 (Refusal to hire), 268 (Subjecting offer of employment to conditions), 269 (Termination of employment or removal from office on discriminatory grounds), and 270 (Denial of rights by public officials on discriminatory grounds). Discrimination against persons with disabilities in violation of these articles is punishable by imprisonment</w:t>
      </w:r>
      <w:r w:rsidRPr="00374074">
        <w:rPr>
          <w:rFonts w:eastAsia="Malgun Gothic"/>
          <w:lang w:eastAsia="ko-KR"/>
        </w:rPr>
        <w:t xml:space="preserve"> for a term</w:t>
      </w:r>
      <w:r w:rsidRPr="00374074">
        <w:rPr>
          <w:lang w:eastAsia="en-GB"/>
        </w:rPr>
        <w:t xml:space="preserve"> between one month and one year or a fine </w:t>
      </w:r>
      <w:r w:rsidRPr="00374074">
        <w:rPr>
          <w:rFonts w:eastAsia="Malgun Gothic"/>
          <w:lang w:eastAsia="ko-KR"/>
        </w:rPr>
        <w:t>ranging from</w:t>
      </w:r>
      <w:r w:rsidRPr="00374074">
        <w:rPr>
          <w:lang w:eastAsia="en-GB"/>
        </w:rPr>
        <w:t xml:space="preserve"> 100,000 </w:t>
      </w:r>
      <w:r w:rsidRPr="00374074">
        <w:rPr>
          <w:rFonts w:eastAsia="Malgun Gothic"/>
          <w:lang w:eastAsia="ko-KR"/>
        </w:rPr>
        <w:t>to</w:t>
      </w:r>
      <w:r w:rsidRPr="00374074">
        <w:rPr>
          <w:lang w:eastAsia="en-GB"/>
        </w:rPr>
        <w:t xml:space="preserve"> 2,000,000 Riels. However, some exceptions are specified in article 271 (Exceptions authorized by law)</w:t>
      </w:r>
      <w:r w:rsidRPr="00374074">
        <w:rPr>
          <w:spacing w:val="-2"/>
          <w:lang w:eastAsia="en-GB"/>
        </w:rPr>
        <w:t>.</w:t>
      </w:r>
      <w:r w:rsidRPr="00374074">
        <w:rPr>
          <w:rFonts w:eastAsiaTheme="majorEastAsia"/>
          <w:bCs/>
          <w:spacing w:val="-2"/>
          <w:vertAlign w:val="superscript"/>
          <w:lang w:eastAsia="en-GB" w:bidi="km-KH"/>
        </w:rPr>
        <w:footnoteReference w:id="13"/>
      </w:r>
    </w:p>
    <w:p w14:paraId="2F9D4743" w14:textId="77777777" w:rsidR="00374074" w:rsidRPr="00374074" w:rsidRDefault="00374074" w:rsidP="0040290C">
      <w:pPr>
        <w:pStyle w:val="SingleTxtG"/>
        <w:numPr>
          <w:ilvl w:val="0"/>
          <w:numId w:val="7"/>
        </w:numPr>
        <w:ind w:left="1134" w:firstLine="0"/>
        <w:rPr>
          <w:lang w:eastAsia="en-GB" w:bidi="km-KH"/>
        </w:rPr>
      </w:pPr>
      <w:r w:rsidRPr="00374074">
        <w:rPr>
          <w:lang w:eastAsia="en-GB"/>
        </w:rPr>
        <w:t xml:space="preserve">The LPRPD guarantees the right to be employed </w:t>
      </w:r>
      <w:r w:rsidRPr="00374074">
        <w:rPr>
          <w:rFonts w:eastAsia="Malgun Gothic"/>
          <w:lang w:eastAsia="ko-KR"/>
        </w:rPr>
        <w:t>o</w:t>
      </w:r>
      <w:r w:rsidRPr="00374074">
        <w:rPr>
          <w:lang w:eastAsia="en-GB"/>
        </w:rPr>
        <w:t>n equal terms with others and without discrimination, including as civil servants, employees or interns (chapter 7, art. 33). It also prohibits stigmatization and discrimination against persons with disabilities who are candidates in elections (chapter 9).</w:t>
      </w:r>
    </w:p>
    <w:p w14:paraId="3FC39734" w14:textId="77777777" w:rsidR="00374074" w:rsidRPr="00374074" w:rsidRDefault="00374074" w:rsidP="0040290C">
      <w:pPr>
        <w:pStyle w:val="SingleTxtG"/>
        <w:numPr>
          <w:ilvl w:val="0"/>
          <w:numId w:val="7"/>
        </w:numPr>
        <w:ind w:left="1134" w:firstLine="0"/>
        <w:rPr>
          <w:szCs w:val="24"/>
          <w:lang w:eastAsia="en-GB" w:bidi="km-KH"/>
        </w:rPr>
      </w:pPr>
      <w:r w:rsidRPr="00374074">
        <w:rPr>
          <w:lang w:eastAsia="en-GB" w:bidi="km-KH"/>
        </w:rPr>
        <w:t>The Labour Law 1997 clearly</w:t>
      </w:r>
      <w:r w:rsidRPr="00374074">
        <w:rPr>
          <w:rFonts w:eastAsia="Malgun Gothic"/>
          <w:lang w:eastAsia="ko-KR" w:bidi="km-KH"/>
        </w:rPr>
        <w:t xml:space="preserve"> states</w:t>
      </w:r>
      <w:r w:rsidRPr="00374074">
        <w:rPr>
          <w:lang w:eastAsia="en-GB" w:bidi="km-KH"/>
        </w:rPr>
        <w:t xml:space="preserve"> in </w:t>
      </w:r>
      <w:r w:rsidRPr="00374074">
        <w:rPr>
          <w:rFonts w:eastAsia="Malgun Gothic"/>
          <w:lang w:eastAsia="ko-KR" w:bidi="km-KH"/>
        </w:rPr>
        <w:t>a</w:t>
      </w:r>
      <w:r w:rsidRPr="00374074">
        <w:rPr>
          <w:lang w:eastAsia="en-GB" w:bidi="km-KH"/>
        </w:rPr>
        <w:t>rticle 12 the principle of non-discrimination in hiring, definition and assigning of work, vocational training, advancement, promotion, remuneration, granting of social benefits, and disciplinary action or termination of employment contract</w:t>
      </w:r>
      <w:r w:rsidRPr="00374074">
        <w:rPr>
          <w:rFonts w:eastAsia="Malgun Gothic"/>
          <w:lang w:eastAsia="ko-KR" w:bidi="km-KH"/>
        </w:rPr>
        <w:t>s</w:t>
      </w:r>
      <w:r w:rsidRPr="00374074">
        <w:rPr>
          <w:lang w:eastAsia="en-GB" w:bidi="km-KH"/>
        </w:rPr>
        <w:t xml:space="preserve">, except </w:t>
      </w:r>
      <w:r w:rsidRPr="00374074">
        <w:rPr>
          <w:rFonts w:eastAsia="Malgun Gothic"/>
          <w:lang w:eastAsia="ko-KR" w:bidi="km-KH"/>
        </w:rPr>
        <w:t>for</w:t>
      </w:r>
      <w:r w:rsidRPr="00374074">
        <w:rPr>
          <w:lang w:eastAsia="en-GB" w:bidi="km-KH"/>
        </w:rPr>
        <w:t xml:space="preserve"> job</w:t>
      </w:r>
      <w:r w:rsidRPr="00374074">
        <w:rPr>
          <w:rFonts w:eastAsia="Malgun Gothic"/>
          <w:lang w:eastAsia="ko-KR" w:bidi="km-KH"/>
        </w:rPr>
        <w:t>s</w:t>
      </w:r>
      <w:r w:rsidRPr="00374074">
        <w:rPr>
          <w:lang w:eastAsia="en-GB" w:bidi="km-KH"/>
        </w:rPr>
        <w:t xml:space="preserve"> that require specific qualifications. The principle of non-discrimination in work and employment is applied rigorously to all type</w:t>
      </w:r>
      <w:r w:rsidRPr="00374074">
        <w:rPr>
          <w:rFonts w:eastAsia="Malgun Gothic"/>
          <w:lang w:eastAsia="ko-KR" w:bidi="km-KH"/>
        </w:rPr>
        <w:t>s</w:t>
      </w:r>
      <w:r w:rsidRPr="00374074">
        <w:rPr>
          <w:lang w:eastAsia="en-GB" w:bidi="km-KH"/>
        </w:rPr>
        <w:t xml:space="preserve"> of discrimination.</w:t>
      </w:r>
    </w:p>
    <w:p w14:paraId="4D8C72C4" w14:textId="77777777" w:rsidR="00374074" w:rsidRPr="00374074" w:rsidRDefault="00374074" w:rsidP="0040290C">
      <w:pPr>
        <w:pStyle w:val="SingleTxtG"/>
        <w:numPr>
          <w:ilvl w:val="0"/>
          <w:numId w:val="7"/>
        </w:numPr>
        <w:ind w:left="1134" w:firstLine="0"/>
        <w:rPr>
          <w:szCs w:val="24"/>
          <w:lang w:eastAsia="en-GB" w:bidi="km-KH"/>
        </w:rPr>
      </w:pPr>
      <w:r w:rsidRPr="00374074">
        <w:rPr>
          <w:lang w:eastAsia="en-GB" w:bidi="km-KH"/>
        </w:rPr>
        <w:t>The Law on Trade Union 2016 state</w:t>
      </w:r>
      <w:r w:rsidRPr="00374074">
        <w:rPr>
          <w:rFonts w:eastAsia="Malgun Gothic"/>
          <w:lang w:eastAsia="ko-KR" w:bidi="km-KH"/>
        </w:rPr>
        <w:t>s</w:t>
      </w:r>
      <w:r w:rsidRPr="00374074">
        <w:rPr>
          <w:lang w:eastAsia="en-GB" w:bidi="km-KH"/>
        </w:rPr>
        <w:t xml:space="preserve"> that the principle of non-discrimination in membership </w:t>
      </w:r>
      <w:r w:rsidRPr="00374074">
        <w:rPr>
          <w:rFonts w:eastAsia="Malgun Gothic"/>
          <w:lang w:eastAsia="ko-KR" w:bidi="km-KH"/>
        </w:rPr>
        <w:t>in</w:t>
      </w:r>
      <w:r w:rsidRPr="00374074">
        <w:rPr>
          <w:lang w:eastAsia="en-GB" w:bidi="km-KH"/>
        </w:rPr>
        <w:t xml:space="preserve"> professional organization</w:t>
      </w:r>
      <w:r w:rsidRPr="00374074">
        <w:rPr>
          <w:rFonts w:eastAsia="Malgun Gothic"/>
          <w:lang w:eastAsia="ko-KR" w:bidi="km-KH"/>
        </w:rPr>
        <w:t>s</w:t>
      </w:r>
      <w:r w:rsidRPr="00374074">
        <w:rPr>
          <w:lang w:eastAsia="en-GB" w:bidi="km-KH"/>
        </w:rPr>
        <w:t xml:space="preserve"> applie</w:t>
      </w:r>
      <w:r w:rsidRPr="00374074">
        <w:rPr>
          <w:rFonts w:eastAsia="Malgun Gothic"/>
          <w:lang w:eastAsia="ko-KR" w:bidi="km-KH"/>
        </w:rPr>
        <w:t>s</w:t>
      </w:r>
      <w:r w:rsidRPr="00374074">
        <w:rPr>
          <w:lang w:eastAsia="en-GB" w:bidi="km-KH"/>
        </w:rPr>
        <w:t xml:space="preserve"> to all workers regardless of race, colour, sex, religion, political opinion, nationality, social origin or health status.</w:t>
      </w:r>
    </w:p>
    <w:p w14:paraId="201BB0FB" w14:textId="77777777" w:rsidR="00374074" w:rsidRPr="00374074" w:rsidRDefault="00374074" w:rsidP="0040290C">
      <w:pPr>
        <w:pStyle w:val="SingleTxtG"/>
        <w:numPr>
          <w:ilvl w:val="0"/>
          <w:numId w:val="7"/>
        </w:numPr>
        <w:ind w:left="1134" w:firstLine="0"/>
        <w:rPr>
          <w:szCs w:val="24"/>
          <w:lang w:eastAsia="en-GB" w:bidi="km-KH"/>
        </w:rPr>
      </w:pPr>
      <w:r w:rsidRPr="00374074">
        <w:rPr>
          <w:lang w:eastAsia="en-GB" w:bidi="km-KH"/>
        </w:rPr>
        <w:t>The Law on Minimum Wage define</w:t>
      </w:r>
      <w:r w:rsidRPr="00374074">
        <w:rPr>
          <w:rFonts w:eastAsia="Malgun Gothic"/>
          <w:lang w:eastAsia="ko-KR" w:bidi="km-KH"/>
        </w:rPr>
        <w:t>s</w:t>
      </w:r>
      <w:r w:rsidRPr="00374074">
        <w:rPr>
          <w:lang w:eastAsia="en-GB" w:bidi="km-KH"/>
        </w:rPr>
        <w:t xml:space="preserve"> the principle of non-discrimination in receiving equal remuneration for work </w:t>
      </w:r>
      <w:r w:rsidRPr="00374074">
        <w:rPr>
          <w:rFonts w:eastAsia="Malgun Gothic"/>
          <w:lang w:eastAsia="ko-KR" w:bidi="km-KH"/>
        </w:rPr>
        <w:t>under</w:t>
      </w:r>
      <w:r w:rsidRPr="00374074">
        <w:rPr>
          <w:lang w:eastAsia="en-GB" w:bidi="km-KH"/>
        </w:rPr>
        <w:t xml:space="preserve"> equal conditions, professional skills and outputs.   </w:t>
      </w:r>
    </w:p>
    <w:p w14:paraId="6161569D" w14:textId="77777777" w:rsidR="00374074" w:rsidRPr="00374074" w:rsidRDefault="00374074" w:rsidP="0040290C">
      <w:pPr>
        <w:pStyle w:val="SingleTxtG"/>
        <w:numPr>
          <w:ilvl w:val="0"/>
          <w:numId w:val="7"/>
        </w:numPr>
        <w:ind w:left="1134" w:firstLine="0"/>
        <w:rPr>
          <w:lang w:eastAsia="en-GB" w:bidi="km-KH"/>
        </w:rPr>
      </w:pPr>
      <w:r w:rsidRPr="00374074">
        <w:rPr>
          <w:lang w:eastAsia="en-GB"/>
        </w:rPr>
        <w:t xml:space="preserve">Strategic </w:t>
      </w:r>
      <w:r w:rsidRPr="00374074">
        <w:rPr>
          <w:rFonts w:eastAsia="Malgun Gothic"/>
          <w:lang w:eastAsia="ko-KR"/>
        </w:rPr>
        <w:t>O</w:t>
      </w:r>
      <w:r w:rsidRPr="00374074">
        <w:rPr>
          <w:lang w:eastAsia="en-GB"/>
        </w:rPr>
        <w:t xml:space="preserve">bjective 3 of the National Disability Strategic Plan (NDSP) 2014-2018 is to increase </w:t>
      </w:r>
      <w:r w:rsidRPr="00374074">
        <w:rPr>
          <w:lang w:eastAsia="en-GB" w:bidi="km-KH"/>
        </w:rPr>
        <w:t>justice</w:t>
      </w:r>
      <w:r w:rsidRPr="00374074">
        <w:rPr>
          <w:lang w:eastAsia="en-GB"/>
        </w:rPr>
        <w:t xml:space="preserve"> intervention services to reduce and ultimately eliminate discrimination, </w:t>
      </w:r>
      <w:r w:rsidRPr="00374074">
        <w:rPr>
          <w:lang w:eastAsia="en-GB"/>
        </w:rPr>
        <w:lastRenderedPageBreak/>
        <w:t>abuse, violence and exploitation of persons with disabilities. The RGC has increased the effectiveness of all legal, administrative and other measures to protect persons with disabilities from torture and other cruel, inhumane or degrading treatment or punishment, based on the principle of equality</w:t>
      </w:r>
      <w:r w:rsidRPr="00374074">
        <w:rPr>
          <w:rFonts w:eastAsia="Malgun Gothic"/>
          <w:lang w:eastAsia="ko-KR"/>
        </w:rPr>
        <w:t>,</w:t>
      </w:r>
      <w:r w:rsidRPr="00374074">
        <w:rPr>
          <w:lang w:eastAsia="en-GB"/>
        </w:rPr>
        <w:t xml:space="preserve"> which includes ensuring equal rights for persons with disabilities to own property, inherit, manage their personal finances, and have equal access to financial credit.</w:t>
      </w:r>
    </w:p>
    <w:p w14:paraId="6E449F2C" w14:textId="77777777" w:rsidR="00374074" w:rsidRPr="00374074" w:rsidRDefault="00374074" w:rsidP="0040290C">
      <w:pPr>
        <w:pStyle w:val="SingleTxtG"/>
        <w:numPr>
          <w:ilvl w:val="0"/>
          <w:numId w:val="7"/>
        </w:numPr>
        <w:ind w:left="1134" w:firstLine="0"/>
        <w:rPr>
          <w:lang w:eastAsia="en-GB" w:bidi="km-KH"/>
        </w:rPr>
      </w:pPr>
      <w:r w:rsidRPr="00374074">
        <w:rPr>
          <w:lang w:eastAsia="en-GB"/>
        </w:rPr>
        <w:t>The Ministry of Education, Youth and Sport (MoEYS) has revised the criteria to make it more accessible for candidates with disabilities to apply for the Higher Education Teacher Exam (Bachelor+1).</w:t>
      </w:r>
      <w:r w:rsidRPr="00374074">
        <w:rPr>
          <w:vertAlign w:val="superscript"/>
          <w:cs/>
          <w:lang w:eastAsia="en-GB"/>
        </w:rPr>
        <w:footnoteReference w:id="14"/>
      </w:r>
    </w:p>
    <w:p w14:paraId="599B4887" w14:textId="77777777" w:rsidR="00374074" w:rsidRPr="00374074" w:rsidRDefault="00374074" w:rsidP="0040290C">
      <w:pPr>
        <w:pStyle w:val="SingleTxtG"/>
        <w:numPr>
          <w:ilvl w:val="0"/>
          <w:numId w:val="7"/>
        </w:numPr>
        <w:ind w:left="1134" w:firstLine="0"/>
        <w:rPr>
          <w:spacing w:val="-4"/>
          <w:lang w:eastAsia="en-GB" w:bidi="km-KH"/>
        </w:rPr>
      </w:pPr>
      <w:r w:rsidRPr="00374074">
        <w:rPr>
          <w:lang w:eastAsia="en-GB"/>
        </w:rPr>
        <w:t xml:space="preserve">The RGC has given priority to elderly civil servants, persons with mental disabilities, and those with dependents with permanent disabilities. Civil servants with disabilities are granted the </w:t>
      </w:r>
      <w:r w:rsidRPr="00374074">
        <w:rPr>
          <w:spacing w:val="-4"/>
          <w:lang w:eastAsia="en-GB"/>
        </w:rPr>
        <w:t xml:space="preserve">flexibility to start and leave work up to one hour before or after the scheduled working hours </w:t>
      </w:r>
      <w:r w:rsidRPr="00374074">
        <w:rPr>
          <w:rFonts w:eastAsia="Malgun Gothic"/>
          <w:spacing w:val="-4"/>
          <w:lang w:eastAsia="ko-KR"/>
        </w:rPr>
        <w:t>each</w:t>
      </w:r>
      <w:r w:rsidRPr="00374074">
        <w:rPr>
          <w:spacing w:val="-4"/>
          <w:lang w:eastAsia="en-GB"/>
        </w:rPr>
        <w:t xml:space="preserve"> day.</w:t>
      </w:r>
      <w:r w:rsidRPr="00374074">
        <w:rPr>
          <w:spacing w:val="-4"/>
          <w:vertAlign w:val="superscript"/>
          <w:cs/>
          <w:lang w:eastAsia="en-GB"/>
        </w:rPr>
        <w:footnoteReference w:id="15"/>
      </w:r>
    </w:p>
    <w:p w14:paraId="353A5276" w14:textId="51F662E0" w:rsidR="00374074" w:rsidRPr="00374074" w:rsidRDefault="006842A3" w:rsidP="006842A3">
      <w:pPr>
        <w:pStyle w:val="H1G"/>
        <w:rPr>
          <w:bCs/>
          <w:lang w:eastAsia="en-GB" w:bidi="km-KH"/>
        </w:rPr>
      </w:pPr>
      <w:bookmarkStart w:id="7" w:name="_Toc215321692"/>
      <w:r>
        <w:rPr>
          <w:lang w:eastAsia="en-GB" w:bidi="km-KH"/>
        </w:rPr>
        <w:tab/>
      </w:r>
      <w:r>
        <w:rPr>
          <w:lang w:eastAsia="en-GB" w:bidi="km-KH"/>
        </w:rPr>
        <w:tab/>
      </w:r>
      <w:r w:rsidR="00374074" w:rsidRPr="00374074">
        <w:rPr>
          <w:lang w:eastAsia="en-GB" w:bidi="km-KH"/>
        </w:rPr>
        <w:t>Awareness raising</w:t>
      </w:r>
      <w:bookmarkEnd w:id="7"/>
      <w:r>
        <w:rPr>
          <w:lang w:eastAsia="en-GB" w:bidi="km-KH"/>
        </w:rPr>
        <w:br/>
      </w:r>
      <w:r w:rsidRPr="00374074">
        <w:rPr>
          <w:lang w:eastAsia="en-GB" w:bidi="km-KH"/>
        </w:rPr>
        <w:t>Article</w:t>
      </w:r>
      <w:r w:rsidRPr="00374074">
        <w:rPr>
          <w:bCs/>
          <w:lang w:eastAsia="en-GB" w:bidi="km-KH"/>
        </w:rPr>
        <w:t xml:space="preserve"> </w:t>
      </w:r>
      <w:r w:rsidRPr="00374074">
        <w:rPr>
          <w:bCs/>
          <w:cs/>
          <w:lang w:eastAsia="en-GB" w:bidi="km-KH"/>
        </w:rPr>
        <w:t>8</w:t>
      </w:r>
    </w:p>
    <w:p w14:paraId="197A5688" w14:textId="77777777" w:rsidR="00374074" w:rsidRPr="00374074" w:rsidRDefault="00374074" w:rsidP="0040290C">
      <w:pPr>
        <w:pStyle w:val="SingleTxtG"/>
        <w:numPr>
          <w:ilvl w:val="0"/>
          <w:numId w:val="7"/>
        </w:numPr>
        <w:ind w:left="1134" w:firstLine="0"/>
        <w:rPr>
          <w:lang w:eastAsia="en-GB" w:bidi="km-KH"/>
        </w:rPr>
      </w:pPr>
      <w:r w:rsidRPr="00374074">
        <w:rPr>
          <w:lang w:eastAsia="en-GB" w:bidi="km-KH"/>
        </w:rPr>
        <w:t xml:space="preserve">The RGC is dedicated to increasing public awareness of disability through various programs and events, such as the International Day of Persons with Disabilities on 3 December, the International </w:t>
      </w:r>
      <w:r w:rsidRPr="00374074">
        <w:rPr>
          <w:szCs w:val="39"/>
          <w:lang w:eastAsia="en-GB" w:bidi="km-KH"/>
        </w:rPr>
        <w:t>Day</w:t>
      </w:r>
      <w:r w:rsidRPr="00374074">
        <w:rPr>
          <w:lang w:eastAsia="en-GB" w:bidi="km-KH"/>
        </w:rPr>
        <w:t xml:space="preserve"> of Deaf People, Autism and Down Syndrome Day, and running events for persons </w:t>
      </w:r>
      <w:r w:rsidRPr="00374074">
        <w:rPr>
          <w:lang w:eastAsia="en-GB"/>
        </w:rPr>
        <w:t>with</w:t>
      </w:r>
      <w:r w:rsidRPr="00374074">
        <w:rPr>
          <w:lang w:eastAsia="en-GB" w:bidi="km-KH"/>
        </w:rPr>
        <w:t xml:space="preserve"> disabilities. Over 100,000 individuals have been the direct recipients of these awareness</w:t>
      </w:r>
      <w:r w:rsidRPr="00374074">
        <w:rPr>
          <w:rFonts w:eastAsia="Malgun Gothic"/>
          <w:lang w:eastAsia="ko-KR" w:bidi="km-KH"/>
        </w:rPr>
        <w:t>-</w:t>
      </w:r>
      <w:r w:rsidRPr="00374074">
        <w:rPr>
          <w:lang w:eastAsia="en-GB" w:bidi="km-KH"/>
        </w:rPr>
        <w:t>raising activities about disability, including through the presence of the King of Cambodia (Royal Message on the International Day of Persons with Disabilities), the Prime Minister of the Kingdom of Cambodia, Senators, members of the National Assembly, the Royal Government, authorities at all levels, NGOs, national and international development partners, entrepreneurs, students, presenters, and artists.</w:t>
      </w:r>
    </w:p>
    <w:p w14:paraId="055654D6" w14:textId="77777777" w:rsidR="00374074" w:rsidRPr="00374074" w:rsidRDefault="00374074" w:rsidP="0040290C">
      <w:pPr>
        <w:pStyle w:val="SingleTxtG"/>
        <w:numPr>
          <w:ilvl w:val="0"/>
          <w:numId w:val="7"/>
        </w:numPr>
        <w:ind w:left="1134" w:firstLine="0"/>
        <w:rPr>
          <w:szCs w:val="36"/>
          <w:lang w:eastAsia="en-GB" w:bidi="km-KH"/>
        </w:rPr>
      </w:pPr>
      <w:r w:rsidRPr="00374074">
        <w:rPr>
          <w:lang w:eastAsia="en-GB"/>
        </w:rPr>
        <w:t xml:space="preserve">From 2014 to 2017, the Disability Action Council Secretariat-General (DAC-SG) produced 48 television programs on disability dialogue related topics that focused on employment and career </w:t>
      </w:r>
      <w:r w:rsidRPr="00374074">
        <w:rPr>
          <w:lang w:eastAsia="en-GB" w:bidi="km-KH"/>
        </w:rPr>
        <w:t>opportunities</w:t>
      </w:r>
      <w:r w:rsidRPr="00374074">
        <w:rPr>
          <w:lang w:eastAsia="en-GB"/>
        </w:rPr>
        <w:t>, health, education, physical and community based rehabilitation and the right to freedom of expression through elections. There were 162 speakers, including 29 women, 59 persons with disabilities, 55 politicians, and 48 national and international organizations, who featured in the programs. These programs were co-produced by the National Television of Cambodia and UNDP, with the support of the Australian Government, and were broadcast on</w:t>
      </w:r>
      <w:r w:rsidRPr="00374074">
        <w:rPr>
          <w:i/>
          <w:iCs/>
          <w:lang w:eastAsia="en-GB"/>
        </w:rPr>
        <w:t xml:space="preserve"> </w:t>
      </w:r>
      <w:r w:rsidRPr="00374074">
        <w:rPr>
          <w:lang w:eastAsia="en-GB"/>
        </w:rPr>
        <w:t>national television, media, the website of DAC-SG (</w:t>
      </w:r>
      <w:hyperlink r:id="rId11" w:history="1">
        <w:r w:rsidRPr="00374074">
          <w:rPr>
            <w:color w:val="0000FF" w:themeColor="hyperlink"/>
            <w:u w:val="single"/>
            <w:lang w:eastAsia="en-GB"/>
          </w:rPr>
          <w:t>www.dac.gov.kh</w:t>
        </w:r>
      </w:hyperlink>
      <w:r w:rsidRPr="00374074">
        <w:rPr>
          <w:lang w:eastAsia="en-GB"/>
        </w:rPr>
        <w:t>) and social media platforms, such as Facebook, with an average of about 13,000 views.</w:t>
      </w:r>
    </w:p>
    <w:p w14:paraId="5C013669" w14:textId="77777777" w:rsidR="00374074" w:rsidRPr="00374074" w:rsidRDefault="00374074" w:rsidP="0040290C">
      <w:pPr>
        <w:pStyle w:val="SingleTxtG"/>
        <w:numPr>
          <w:ilvl w:val="0"/>
          <w:numId w:val="7"/>
        </w:numPr>
        <w:ind w:left="1134" w:firstLine="0"/>
        <w:rPr>
          <w:lang w:eastAsia="en-GB" w:bidi="km-KH"/>
        </w:rPr>
      </w:pPr>
      <w:r w:rsidRPr="00374074">
        <w:rPr>
          <w:lang w:eastAsia="en-GB"/>
        </w:rPr>
        <w:t>The RGC has taken steps to increase awareness of disability by promoting and mainstreaming the Convention, the Incheon Strategy “Make the Right Real</w:t>
      </w:r>
      <w:r w:rsidRPr="00374074">
        <w:rPr>
          <w:rFonts w:eastAsia="Malgun Gothic"/>
          <w:lang w:eastAsia="ko-KR"/>
        </w:rPr>
        <w:t>,</w:t>
      </w:r>
      <w:r w:rsidRPr="00374074">
        <w:rPr>
          <w:lang w:eastAsia="en-GB"/>
        </w:rPr>
        <w:t>” the NDSP 2014-2018, and the LPRPD. These initiatives were targeted at focal persons who are members of Disability Action Working Groups in 22 ministries and institutions, Disability Action Councils in the 25 municipality/provinces, and OPDs at the local level.</w:t>
      </w:r>
    </w:p>
    <w:p w14:paraId="35913B7A" w14:textId="77777777" w:rsidR="00374074" w:rsidRPr="00374074" w:rsidRDefault="00374074" w:rsidP="0040290C">
      <w:pPr>
        <w:pStyle w:val="SingleTxtG"/>
        <w:numPr>
          <w:ilvl w:val="0"/>
          <w:numId w:val="7"/>
        </w:numPr>
        <w:ind w:left="1134" w:firstLine="0"/>
        <w:rPr>
          <w:lang w:eastAsia="en-GB" w:bidi="km-KH"/>
        </w:rPr>
      </w:pPr>
      <w:r w:rsidRPr="00374074">
        <w:rPr>
          <w:lang w:eastAsia="en-GB"/>
        </w:rPr>
        <w:t>The RGC convenes quarterly meetings between officials responsible for disability sectors and representatives from NGOs, CSOs and OPDs. The objective of these meetings is to exchange experiences, information, achievements, challenges and solutions for advancing the disability sector, and to foster closer partnerships among these groups.</w:t>
      </w:r>
    </w:p>
    <w:p w14:paraId="1FA38F4A" w14:textId="77777777" w:rsidR="00374074" w:rsidRPr="00374074" w:rsidRDefault="00374074" w:rsidP="0040290C">
      <w:pPr>
        <w:pStyle w:val="SingleTxtG"/>
        <w:numPr>
          <w:ilvl w:val="0"/>
          <w:numId w:val="7"/>
        </w:numPr>
        <w:ind w:left="1134" w:firstLine="0"/>
        <w:rPr>
          <w:lang w:eastAsia="en-GB" w:bidi="km-KH"/>
        </w:rPr>
      </w:pPr>
      <w:r w:rsidRPr="00374074">
        <w:rPr>
          <w:lang w:eastAsia="en-GB"/>
        </w:rPr>
        <w:t>The RGC has disseminated the Convention and Cambodia’s obligations</w:t>
      </w:r>
      <w:r w:rsidRPr="00374074">
        <w:rPr>
          <w:szCs w:val="39"/>
          <w:cs/>
          <w:lang w:eastAsia="en-GB" w:bidi="km-KH"/>
        </w:rPr>
        <w:t xml:space="preserve"> </w:t>
      </w:r>
      <w:r w:rsidRPr="00374074">
        <w:rPr>
          <w:szCs w:val="39"/>
          <w:lang w:eastAsia="en-GB" w:bidi="km-KH"/>
        </w:rPr>
        <w:t xml:space="preserve">and responses as a </w:t>
      </w:r>
      <w:r w:rsidRPr="00374074">
        <w:rPr>
          <w:rFonts w:eastAsia="Malgun Gothic"/>
          <w:szCs w:val="39"/>
          <w:lang w:eastAsia="ko-KR" w:bidi="km-KH"/>
        </w:rPr>
        <w:t>S</w:t>
      </w:r>
      <w:r w:rsidRPr="00374074">
        <w:rPr>
          <w:szCs w:val="39"/>
          <w:lang w:eastAsia="en-GB" w:bidi="km-KH"/>
        </w:rPr>
        <w:t xml:space="preserve">tate </w:t>
      </w:r>
      <w:r w:rsidRPr="006842A3">
        <w:rPr>
          <w:lang w:eastAsia="en-GB"/>
        </w:rPr>
        <w:t>Party</w:t>
      </w:r>
      <w:r w:rsidRPr="00374074">
        <w:rPr>
          <w:lang w:eastAsia="en-GB"/>
        </w:rPr>
        <w:t xml:space="preserve"> to relevant and participating institutions, as well as to persons with disabilities. Throughout Cambodia, 7,000 copies of the Convention, 300 copies of the Convention in Braille and 1,500 audio dis</w:t>
      </w:r>
      <w:r w:rsidRPr="00374074">
        <w:rPr>
          <w:rFonts w:eastAsia="Malgun Gothic"/>
          <w:lang w:eastAsia="ko-KR"/>
        </w:rPr>
        <w:t>c</w:t>
      </w:r>
      <w:r w:rsidRPr="00374074">
        <w:rPr>
          <w:lang w:eastAsia="en-GB"/>
        </w:rPr>
        <w:t>s were widely distributed through various means. These include: (1) Official Launch on the Implementation of the Convention and the Incheon Strategy “Make the Right Real”; (2) regional consultative workshop on the NDSP 2014-</w:t>
      </w:r>
      <w:r w:rsidRPr="00374074">
        <w:rPr>
          <w:lang w:eastAsia="en-GB"/>
        </w:rPr>
        <w:lastRenderedPageBreak/>
        <w:t xml:space="preserve">2018; (3) national training of trainers on the Convention; (4) workshops on report writing on the implementation of the Convention (conducted </w:t>
      </w:r>
      <w:r w:rsidRPr="00374074">
        <w:rPr>
          <w:rFonts w:eastAsia="Malgun Gothic"/>
          <w:lang w:eastAsia="ko-KR"/>
        </w:rPr>
        <w:t>three</w:t>
      </w:r>
      <w:r w:rsidRPr="00374074">
        <w:rPr>
          <w:lang w:eastAsia="en-GB"/>
        </w:rPr>
        <w:t xml:space="preserve"> times); (5) trainings on the implementation of the Convention for 224 leaders and members of Provincial Disability Action Councils in Kampot, Svay Rieng, Koh Kong, Siem Reap, Battambang, Banteay Meanchey, and Ratanakiri; and, (6) trainings for relevant organizations that work in the field of disability.</w:t>
      </w:r>
    </w:p>
    <w:p w14:paraId="60BCC6CC" w14:textId="77777777" w:rsidR="00374074" w:rsidRPr="00374074" w:rsidRDefault="00374074" w:rsidP="0040290C">
      <w:pPr>
        <w:pStyle w:val="SingleTxtG"/>
        <w:numPr>
          <w:ilvl w:val="0"/>
          <w:numId w:val="7"/>
        </w:numPr>
        <w:ind w:left="1134" w:firstLine="0"/>
        <w:rPr>
          <w:lang w:eastAsia="en-GB" w:bidi="km-KH"/>
        </w:rPr>
      </w:pPr>
      <w:r w:rsidRPr="00374074">
        <w:rPr>
          <w:lang w:eastAsia="en-GB"/>
        </w:rPr>
        <w:t>The provisions of laws and the Convention have been published in both Khmer and Braille to ensure greater accessibility for the public, particularly</w:t>
      </w:r>
      <w:r w:rsidRPr="00374074">
        <w:rPr>
          <w:rFonts w:eastAsia="Malgun Gothic"/>
          <w:lang w:eastAsia="ko-KR"/>
        </w:rPr>
        <w:t xml:space="preserve"> for</w:t>
      </w:r>
      <w:r w:rsidRPr="00374074">
        <w:rPr>
          <w:lang w:eastAsia="en-GB"/>
        </w:rPr>
        <w:t xml:space="preserve"> those with disabilities. In 2013, the DAC developed informal booklets which consist of illustrations and simplified language to explain the Convention’s articles and the fundamental rights of persons with disabilities. Moreover, 20,000 booklets were produced and distributed to 54 relevant ministries and institutions, OPDs and local NGOs, as well as the general public, particularly persons with disabilities.</w:t>
      </w:r>
    </w:p>
    <w:p w14:paraId="452373CC" w14:textId="77777777" w:rsidR="00374074" w:rsidRPr="00374074" w:rsidRDefault="00374074" w:rsidP="0040290C">
      <w:pPr>
        <w:pStyle w:val="SingleTxtG"/>
        <w:numPr>
          <w:ilvl w:val="0"/>
          <w:numId w:val="7"/>
        </w:numPr>
        <w:ind w:left="1134" w:firstLine="0"/>
        <w:rPr>
          <w:lang w:eastAsia="en-GB" w:bidi="km-KH"/>
        </w:rPr>
      </w:pPr>
      <w:r w:rsidRPr="00374074">
        <w:rPr>
          <w:lang w:eastAsia="en-GB"/>
        </w:rPr>
        <w:t xml:space="preserve">The rights of persons with disabilities are promoted </w:t>
      </w:r>
      <w:r w:rsidRPr="00374074">
        <w:rPr>
          <w:rFonts w:eastAsia="Malgun Gothic"/>
          <w:lang w:eastAsia="ko-KR"/>
        </w:rPr>
        <w:t>in</w:t>
      </w:r>
      <w:r w:rsidRPr="00374074">
        <w:rPr>
          <w:lang w:eastAsia="en-GB"/>
        </w:rPr>
        <w:t xml:space="preserve"> Cambodian society through various activities and media outlets. One such activity was the Disability Awareness Raising Campaign, through running an event for persons with disabilities under </w:t>
      </w:r>
      <w:r w:rsidRPr="00374074">
        <w:rPr>
          <w:rFonts w:eastAsia="Malgun Gothic"/>
          <w:lang w:eastAsia="ko-KR"/>
        </w:rPr>
        <w:t xml:space="preserve">the </w:t>
      </w:r>
      <w:r w:rsidRPr="00374074">
        <w:rPr>
          <w:lang w:eastAsia="en-GB"/>
        </w:rPr>
        <w:t xml:space="preserve">topic “Toward </w:t>
      </w:r>
      <w:r w:rsidRPr="00374074">
        <w:rPr>
          <w:lang w:eastAsia="en-GB" w:bidi="km-KH"/>
        </w:rPr>
        <w:t xml:space="preserve">a </w:t>
      </w:r>
      <w:r w:rsidRPr="00374074">
        <w:rPr>
          <w:lang w:eastAsia="en-GB"/>
        </w:rPr>
        <w:t>Disability</w:t>
      </w:r>
      <w:r w:rsidRPr="00374074">
        <w:rPr>
          <w:lang w:eastAsia="en-GB" w:bidi="km-KH"/>
        </w:rPr>
        <w:t>-Free Environment</w:t>
      </w:r>
      <w:r w:rsidRPr="00374074">
        <w:rPr>
          <w:rFonts w:eastAsia="Malgun Gothic"/>
          <w:lang w:eastAsia="ko-KR" w:bidi="km-KH"/>
        </w:rPr>
        <w:t>,</w:t>
      </w:r>
      <w:r w:rsidRPr="00374074">
        <w:rPr>
          <w:lang w:eastAsia="en-GB" w:bidi="km-KH"/>
        </w:rPr>
        <w:t>”</w:t>
      </w:r>
      <w:r w:rsidRPr="00374074">
        <w:rPr>
          <w:lang w:eastAsia="en-GB"/>
        </w:rPr>
        <w:t xml:space="preserve"> which was attended by Members of Parliament, government officials, national and international NGOs, development partners, students, presenters, and artists. The event attracted up to 2,000 participants e</w:t>
      </w:r>
      <w:r w:rsidRPr="00374074">
        <w:rPr>
          <w:rFonts w:eastAsia="Malgun Gothic"/>
          <w:lang w:eastAsia="ko-KR"/>
        </w:rPr>
        <w:t>ach</w:t>
      </w:r>
      <w:r w:rsidRPr="00374074">
        <w:rPr>
          <w:lang w:eastAsia="en-GB"/>
        </w:rPr>
        <w:t xml:space="preserve"> time since its inception in 2015. However, due to the outbreak of COVID-19, the event was cancelled in 2020.</w:t>
      </w:r>
    </w:p>
    <w:p w14:paraId="7C1E4454" w14:textId="77777777" w:rsidR="00374074" w:rsidRPr="00374074" w:rsidRDefault="00374074" w:rsidP="0040290C">
      <w:pPr>
        <w:pStyle w:val="SingleTxtG"/>
        <w:numPr>
          <w:ilvl w:val="0"/>
          <w:numId w:val="7"/>
        </w:numPr>
        <w:ind w:left="1134" w:firstLine="0"/>
        <w:rPr>
          <w:lang w:eastAsia="en-GB" w:bidi="km-KH"/>
        </w:rPr>
      </w:pPr>
      <w:r w:rsidRPr="00374074">
        <w:rPr>
          <w:lang w:eastAsia="en-GB"/>
        </w:rPr>
        <w:t xml:space="preserve">The RGC has authorized two OPDs to operate radio stations. The first radio </w:t>
      </w:r>
      <w:r w:rsidRPr="00374074">
        <w:rPr>
          <w:rFonts w:eastAsia="Malgun Gothic"/>
          <w:lang w:eastAsia="ko-KR"/>
        </w:rPr>
        <w:t xml:space="preserve">station operated </w:t>
      </w:r>
      <w:r w:rsidRPr="00374074">
        <w:rPr>
          <w:lang w:eastAsia="en-GB"/>
        </w:rPr>
        <w:t>by the “Association for the Voice of the Blind</w:t>
      </w:r>
      <w:r w:rsidRPr="00374074">
        <w:rPr>
          <w:rFonts w:eastAsia="Malgun Gothic"/>
          <w:lang w:eastAsia="ko-KR"/>
        </w:rPr>
        <w:t>,</w:t>
      </w:r>
      <w:r w:rsidRPr="00374074">
        <w:rPr>
          <w:lang w:eastAsia="en-GB"/>
        </w:rPr>
        <w:t>”</w:t>
      </w:r>
      <w:r w:rsidRPr="00374074">
        <w:rPr>
          <w:vertAlign w:val="superscript"/>
          <w:cs/>
          <w:lang w:eastAsia="en-GB"/>
        </w:rPr>
        <w:footnoteReference w:id="16"/>
      </w:r>
      <w:r w:rsidRPr="00374074">
        <w:rPr>
          <w:lang w:eastAsia="en-GB"/>
        </w:rPr>
        <w:t xml:space="preserve"> </w:t>
      </w:r>
      <w:r w:rsidRPr="00374074">
        <w:rPr>
          <w:rFonts w:eastAsia="Malgun Gothic"/>
          <w:lang w:eastAsia="ko-KR"/>
        </w:rPr>
        <w:t>broadcasts</w:t>
      </w:r>
      <w:r w:rsidRPr="00374074">
        <w:rPr>
          <w:lang w:eastAsia="en-GB"/>
        </w:rPr>
        <w:t xml:space="preserve"> daily in several provinces including: 1-Pursat province (FM</w:t>
      </w:r>
      <w:r w:rsidRPr="00374074">
        <w:rPr>
          <w:rFonts w:eastAsia="Malgun Gothic"/>
          <w:lang w:eastAsia="ko-KR"/>
        </w:rPr>
        <w:t xml:space="preserve"> </w:t>
      </w:r>
      <w:r w:rsidRPr="00374074">
        <w:rPr>
          <w:lang w:eastAsia="en-GB"/>
        </w:rPr>
        <w:t>88.75 MHz); 2-Banteay Meanchey province (FM 97.25 MHz); 3-Kampong Cham province (FM 95.30 MHz); and, 4-Siem Reap province (FM 98.25 MHz). The second radio station belongs to</w:t>
      </w:r>
      <w:r w:rsidRPr="00374074">
        <w:rPr>
          <w:rFonts w:eastAsia="Malgun Gothic"/>
          <w:lang w:eastAsia="ko-KR"/>
        </w:rPr>
        <w:t xml:space="preserve"> the </w:t>
      </w:r>
      <w:r w:rsidRPr="00374074">
        <w:rPr>
          <w:lang w:eastAsia="en-GB"/>
        </w:rPr>
        <w:t>CDPO,</w:t>
      </w:r>
      <w:r w:rsidRPr="00374074">
        <w:rPr>
          <w:vertAlign w:val="superscript"/>
          <w:cs/>
          <w:lang w:eastAsia="en-GB"/>
        </w:rPr>
        <w:footnoteReference w:id="17"/>
      </w:r>
      <w:r w:rsidRPr="00374074">
        <w:rPr>
          <w:lang w:eastAsia="en-GB"/>
        </w:rPr>
        <w:t xml:space="preserve"> which broadcasts daily on FM 90.25 MHz in Svay Rieng province, FM 88.75 MHz in Preah Sihanouk province, and FM 92.25 MHz in Siem Reap province. Each of the radio stations has a transmission power of 01 </w:t>
      </w:r>
      <w:r w:rsidRPr="00374074">
        <w:rPr>
          <w:rFonts w:eastAsia="Malgun Gothic"/>
          <w:lang w:eastAsia="ko-KR"/>
        </w:rPr>
        <w:t>K</w:t>
      </w:r>
      <w:r w:rsidRPr="00374074">
        <w:rPr>
          <w:lang w:eastAsia="en-GB"/>
        </w:rPr>
        <w:t>W. The Government will continue to grant permission to capable companies and organizations to operate radio stations in other provinces, upon their request.</w:t>
      </w:r>
    </w:p>
    <w:p w14:paraId="303047F2" w14:textId="77777777" w:rsidR="00374074" w:rsidRPr="00374074" w:rsidRDefault="00374074" w:rsidP="0040290C">
      <w:pPr>
        <w:pStyle w:val="SingleTxtG"/>
        <w:numPr>
          <w:ilvl w:val="0"/>
          <w:numId w:val="7"/>
        </w:numPr>
        <w:ind w:left="1134" w:firstLine="0"/>
        <w:rPr>
          <w:lang w:eastAsia="en-GB" w:bidi="km-KH"/>
        </w:rPr>
      </w:pPr>
      <w:r w:rsidRPr="00374074">
        <w:rPr>
          <w:lang w:eastAsia="en-GB"/>
        </w:rPr>
        <w:t>Information technology is utilized as a tool for disseminating information through various channels, such as the DAC website, media agencies</w:t>
      </w:r>
      <w:r w:rsidRPr="00374074">
        <w:rPr>
          <w:rFonts w:eastAsia="Malgun Gothic"/>
          <w:lang w:eastAsia="ko-KR"/>
        </w:rPr>
        <w:t>’</w:t>
      </w:r>
      <w:r w:rsidRPr="00374074">
        <w:rPr>
          <w:lang w:eastAsia="en-GB"/>
        </w:rPr>
        <w:t xml:space="preserve"> websites, social media platforms </w:t>
      </w:r>
      <w:r w:rsidRPr="00374074">
        <w:rPr>
          <w:szCs w:val="39"/>
          <w:lang w:eastAsia="en-GB" w:bidi="km-KH"/>
        </w:rPr>
        <w:t>including</w:t>
      </w:r>
      <w:r w:rsidRPr="00374074">
        <w:rPr>
          <w:lang w:eastAsia="en-GB"/>
        </w:rPr>
        <w:t xml:space="preserve"> Facebook, television and newspapers. These platforms distribute the contents of the Convention, as well as progress achieved in the field of disability.</w:t>
      </w:r>
    </w:p>
    <w:p w14:paraId="4744EB73" w14:textId="15147D7B" w:rsidR="00374074" w:rsidRPr="00374074" w:rsidRDefault="006842A3" w:rsidP="006842A3">
      <w:pPr>
        <w:pStyle w:val="H1G"/>
        <w:rPr>
          <w:bCs/>
          <w:rtl/>
          <w:cs/>
          <w:lang w:eastAsia="en-GB"/>
        </w:rPr>
      </w:pPr>
      <w:bookmarkStart w:id="8" w:name="_Toc215321693"/>
      <w:bookmarkStart w:id="9" w:name="_Toc392839029"/>
      <w:r>
        <w:rPr>
          <w:lang w:eastAsia="en-GB" w:bidi="km-KH"/>
        </w:rPr>
        <w:tab/>
      </w:r>
      <w:r>
        <w:rPr>
          <w:lang w:eastAsia="en-GB" w:bidi="km-KH"/>
        </w:rPr>
        <w:tab/>
      </w:r>
      <w:r w:rsidR="00374074" w:rsidRPr="00374074">
        <w:rPr>
          <w:lang w:eastAsia="en-GB" w:bidi="km-KH"/>
        </w:rPr>
        <w:t>Accessibility</w:t>
      </w:r>
      <w:bookmarkEnd w:id="8"/>
      <w:r>
        <w:rPr>
          <w:lang w:eastAsia="en-GB" w:bidi="km-KH"/>
        </w:rPr>
        <w:br/>
      </w:r>
      <w:bookmarkEnd w:id="9"/>
      <w:r w:rsidRPr="00374074">
        <w:rPr>
          <w:lang w:eastAsia="en-GB" w:bidi="km-KH"/>
        </w:rPr>
        <w:t>Article</w:t>
      </w:r>
      <w:r w:rsidRPr="00374074">
        <w:rPr>
          <w:bCs/>
          <w:lang w:eastAsia="en-GB" w:bidi="km-KH"/>
        </w:rPr>
        <w:t xml:space="preserve"> </w:t>
      </w:r>
      <w:r w:rsidRPr="00374074">
        <w:rPr>
          <w:bCs/>
          <w:cs/>
          <w:lang w:eastAsia="en-GB" w:bidi="km-KH"/>
        </w:rPr>
        <w:t>9</w:t>
      </w:r>
    </w:p>
    <w:p w14:paraId="3A098121" w14:textId="77777777" w:rsidR="00374074" w:rsidRPr="00374074" w:rsidRDefault="00374074" w:rsidP="0040290C">
      <w:pPr>
        <w:pStyle w:val="SingleTxtG"/>
        <w:numPr>
          <w:ilvl w:val="0"/>
          <w:numId w:val="7"/>
        </w:numPr>
        <w:ind w:left="1134" w:firstLine="0"/>
        <w:rPr>
          <w:lang w:eastAsia="en-GB" w:bidi="km-KH"/>
        </w:rPr>
      </w:pPr>
      <w:r w:rsidRPr="00374074">
        <w:rPr>
          <w:lang w:eastAsia="en-GB"/>
        </w:rPr>
        <w:t>According</w:t>
      </w:r>
      <w:r w:rsidRPr="00374074">
        <w:rPr>
          <w:lang w:eastAsia="en-GB" w:bidi="km-KH"/>
        </w:rPr>
        <w:t xml:space="preserve"> to article 21 of the LPRPD, </w:t>
      </w:r>
      <w:r w:rsidRPr="00D24A8A">
        <w:rPr>
          <w:i/>
          <w:iCs/>
          <w:lang w:eastAsia="en-GB" w:bidi="km-KH"/>
        </w:rPr>
        <w:t>“all public places shall be made accessible to persons with all types of disabilities</w:t>
      </w:r>
      <w:r w:rsidRPr="00D24A8A">
        <w:rPr>
          <w:rFonts w:eastAsia="Malgun Gothic"/>
          <w:i/>
          <w:iCs/>
          <w:lang w:eastAsia="ko-KR" w:bidi="km-KH"/>
        </w:rPr>
        <w:t>,</w:t>
      </w:r>
      <w:r w:rsidRPr="00D24A8A">
        <w:rPr>
          <w:i/>
          <w:iCs/>
          <w:lang w:eastAsia="en-GB" w:bidi="km-KH"/>
        </w:rPr>
        <w:t xml:space="preserve"> for instance: ramps, accessibility rails in bathrooms and signs”</w:t>
      </w:r>
      <w:r w:rsidRPr="00374074">
        <w:rPr>
          <w:lang w:eastAsia="en-GB" w:bidi="km-KH"/>
        </w:rPr>
        <w:t xml:space="preserve">. The Law also requires that public places built before the law enters into force shall be adapted within a maximum period of five years to allow access for persons with disabilities (chapter 13, art. 57). Article 57 also states that </w:t>
      </w:r>
      <w:r w:rsidRPr="00D24A8A">
        <w:rPr>
          <w:i/>
          <w:iCs/>
          <w:lang w:eastAsia="en-GB" w:bidi="km-KH"/>
        </w:rPr>
        <w:t>“in case of non-compliance with the above paragraph</w:t>
      </w:r>
      <w:r w:rsidRPr="00D24A8A">
        <w:rPr>
          <w:rFonts w:eastAsia="Malgun Gothic"/>
          <w:i/>
          <w:iCs/>
          <w:lang w:eastAsia="ko-KR" w:bidi="km-KH"/>
        </w:rPr>
        <w:t>,</w:t>
      </w:r>
      <w:r w:rsidRPr="00D24A8A">
        <w:rPr>
          <w:i/>
          <w:iCs/>
          <w:lang w:eastAsia="en-GB" w:bidi="km-KH"/>
        </w:rPr>
        <w:t xml:space="preserve"> a fine ranging from 100,000 (one hundred thousand) Riels to 1,000,000 (one million) Riels shall be liable”.</w:t>
      </w:r>
    </w:p>
    <w:p w14:paraId="19ABAD7A" w14:textId="77777777" w:rsidR="00374074" w:rsidRPr="00374074" w:rsidRDefault="00374074" w:rsidP="0040290C">
      <w:pPr>
        <w:pStyle w:val="SingleTxtG"/>
        <w:numPr>
          <w:ilvl w:val="0"/>
          <w:numId w:val="7"/>
        </w:numPr>
        <w:ind w:left="1134" w:firstLine="0"/>
        <w:rPr>
          <w:color w:val="000000" w:themeColor="text1"/>
          <w:sz w:val="36"/>
          <w:szCs w:val="36"/>
          <w:lang w:eastAsia="en-GB" w:bidi="km-KH"/>
        </w:rPr>
      </w:pPr>
      <w:r w:rsidRPr="00374074">
        <w:rPr>
          <w:lang w:eastAsia="en-GB"/>
        </w:rPr>
        <w:t xml:space="preserve">Article 23 of the LPRPD </w:t>
      </w:r>
      <w:r w:rsidRPr="00374074">
        <w:rPr>
          <w:rFonts w:eastAsia="Malgun Gothic"/>
          <w:lang w:eastAsia="ko-KR"/>
        </w:rPr>
        <w:t>sets out</w:t>
      </w:r>
      <w:r w:rsidRPr="00374074">
        <w:rPr>
          <w:lang w:eastAsia="en-GB"/>
        </w:rPr>
        <w:t xml:space="preserve"> the arrangements for organizing accessibility in public spaces and transportation services to cater to the needs of persons with disabilities. In 2015, a specific </w:t>
      </w:r>
      <w:r w:rsidRPr="00374074">
        <w:rPr>
          <w:lang w:eastAsia="en-GB" w:bidi="km-KH"/>
        </w:rPr>
        <w:t>case</w:t>
      </w:r>
      <w:r w:rsidRPr="00374074">
        <w:rPr>
          <w:lang w:eastAsia="en-GB"/>
        </w:rPr>
        <w:t xml:space="preserve"> came to the attention of the RGC, where a passenger in a wheelchair was compelled to pay a service fee to board the wheelchair </w:t>
      </w:r>
      <w:r w:rsidRPr="00374074">
        <w:rPr>
          <w:rFonts w:eastAsia="Malgun Gothic"/>
          <w:lang w:eastAsia="ko-KR"/>
        </w:rPr>
        <w:t>onto</w:t>
      </w:r>
      <w:r w:rsidRPr="00374074">
        <w:rPr>
          <w:lang w:eastAsia="en-GB"/>
        </w:rPr>
        <w:t xml:space="preserve"> an aircraft. In response, the DAC-SG collaborated with the Secretariat of State for Civil Aviation to request that the Royal Government provide free access to boarding equipment for persons with disabilities at all airports in Cambodia. Subsequently, on 11 November 2015, the Royal Government issued Notification No. 1289 SCN, which resolved the incident at Siem Reap International Airport </w:t>
      </w:r>
      <w:r w:rsidRPr="00374074">
        <w:rPr>
          <w:lang w:eastAsia="en-GB"/>
        </w:rPr>
        <w:lastRenderedPageBreak/>
        <w:t>involving persons with disabilities and BASSAKA AIR. Persons with disabilities are no longer subject to charges for services at any airport in Cambodia.</w:t>
      </w:r>
    </w:p>
    <w:p w14:paraId="6A2AD6AB" w14:textId="77777777" w:rsidR="00374074" w:rsidRPr="00374074" w:rsidRDefault="00374074" w:rsidP="0040290C">
      <w:pPr>
        <w:pStyle w:val="SingleTxtG"/>
        <w:numPr>
          <w:ilvl w:val="0"/>
          <w:numId w:val="7"/>
        </w:numPr>
        <w:ind w:left="1134" w:firstLine="0"/>
        <w:rPr>
          <w:color w:val="000000" w:themeColor="text1"/>
          <w:lang w:eastAsia="en-GB" w:bidi="km-KH"/>
        </w:rPr>
      </w:pPr>
      <w:r w:rsidRPr="00374074">
        <w:rPr>
          <w:lang w:eastAsia="en-GB"/>
        </w:rPr>
        <w:t>The RGC, through the Ministry of Land Management, Urban Planning and Construction, has issued Sub-Decree No. 42 ANKr.BK, dated 3 April 2015, on Urbanization of the Municipality, Cities, and Urban Areas with the objective of enhancing the safety, well-being and accessibility of all people of Cambodia, including persons with disabilities, the elderly, and children</w:t>
      </w:r>
      <w:r w:rsidRPr="00374074">
        <w:rPr>
          <w:rFonts w:eastAsia="Malgun Gothic"/>
          <w:lang w:eastAsia="ko-KR"/>
        </w:rPr>
        <w:t>,</w:t>
      </w:r>
      <w:r w:rsidRPr="00374074">
        <w:rPr>
          <w:lang w:eastAsia="en-GB"/>
        </w:rPr>
        <w:t xml:space="preserve"> as follows:</w:t>
      </w:r>
    </w:p>
    <w:p w14:paraId="087A448D" w14:textId="77777777" w:rsidR="00374074" w:rsidRPr="00374074" w:rsidRDefault="00374074" w:rsidP="00981D36">
      <w:pPr>
        <w:pStyle w:val="Bullet1G"/>
        <w:rPr>
          <w:lang w:eastAsia="en-GB" w:bidi="km-KH"/>
        </w:rPr>
      </w:pPr>
      <w:r w:rsidRPr="00374074">
        <w:rPr>
          <w:lang w:eastAsia="en-GB"/>
        </w:rPr>
        <w:t xml:space="preserve">The number of parking </w:t>
      </w:r>
      <w:r w:rsidRPr="00374074">
        <w:rPr>
          <w:rFonts w:eastAsia="Malgun Gothic"/>
          <w:lang w:eastAsia="ko-KR"/>
        </w:rPr>
        <w:t>space</w:t>
      </w:r>
      <w:r w:rsidRPr="00374074">
        <w:rPr>
          <w:lang w:eastAsia="en-GB"/>
        </w:rPr>
        <w:t>s for building premises must be sufficient according to the requirements of the type of each building and must be out</w:t>
      </w:r>
      <w:r w:rsidRPr="00374074">
        <w:rPr>
          <w:rFonts w:eastAsia="Malgun Gothic"/>
          <w:lang w:eastAsia="ko-KR"/>
        </w:rPr>
        <w:t>side</w:t>
      </w:r>
      <w:r w:rsidRPr="00374074">
        <w:rPr>
          <w:lang w:eastAsia="en-GB"/>
        </w:rPr>
        <w:t xml:space="preserve"> of public streets and public places (art. 34).</w:t>
      </w:r>
    </w:p>
    <w:p w14:paraId="55A49450" w14:textId="77777777" w:rsidR="00374074" w:rsidRPr="00374074" w:rsidRDefault="00374074" w:rsidP="00981D36">
      <w:pPr>
        <w:pStyle w:val="Bullet1G"/>
        <w:rPr>
          <w:lang w:eastAsia="en-GB" w:bidi="km-KH"/>
        </w:rPr>
      </w:pPr>
      <w:r w:rsidRPr="00374074">
        <w:rPr>
          <w:lang w:eastAsia="en-GB"/>
        </w:rPr>
        <w:t>Constructions providing services to the public, such as public administration buildings, public school buildings, public hospitals, public parking lots, bus stations, taxi stands, train stations, distribution facilities, dry ports and logistics supply centres shall be designed to be accessible to all, including persons with disabilities and the elderly (art. 35). Similarly, public parks, children’s playgrounds, physical exercise places, sports courts and recreational areas are required to be developed for the general public, including persons with disabilities and vulnerable groups (art. 42).</w:t>
      </w:r>
    </w:p>
    <w:p w14:paraId="25DA98A8" w14:textId="77777777" w:rsidR="00374074" w:rsidRPr="00374074" w:rsidRDefault="00374074" w:rsidP="00981D36">
      <w:pPr>
        <w:pStyle w:val="Bullet1G"/>
        <w:rPr>
          <w:lang w:eastAsia="en-GB" w:bidi="km-KH"/>
        </w:rPr>
      </w:pPr>
      <w:r w:rsidRPr="00374074">
        <w:rPr>
          <w:lang w:eastAsia="en-GB"/>
        </w:rPr>
        <w:t>All buildings must be built on an area of one hectare for every 1,000 people. A minimum of 5% of the total land area must be reserved for public space to provide infrastructure for everyone, including persons with disabilities, the elderly and incapacitated persons (art. 45).</w:t>
      </w:r>
    </w:p>
    <w:p w14:paraId="4E1F2578" w14:textId="77777777" w:rsidR="00374074" w:rsidRPr="00374074" w:rsidRDefault="00374074" w:rsidP="0040290C">
      <w:pPr>
        <w:pStyle w:val="SingleTxtG"/>
        <w:numPr>
          <w:ilvl w:val="0"/>
          <w:numId w:val="7"/>
        </w:numPr>
        <w:ind w:left="1134" w:firstLine="0"/>
        <w:rPr>
          <w:lang w:eastAsia="en-GB"/>
        </w:rPr>
      </w:pPr>
      <w:r w:rsidRPr="00981D36">
        <w:rPr>
          <w:lang w:eastAsia="en-GB"/>
        </w:rPr>
        <w:t>Strategic</w:t>
      </w:r>
      <w:r w:rsidRPr="00374074">
        <w:rPr>
          <w:color w:val="000000" w:themeColor="text1"/>
          <w:lang w:eastAsia="en-GB"/>
        </w:rPr>
        <w:t xml:space="preserve"> </w:t>
      </w:r>
      <w:r w:rsidRPr="00374074">
        <w:rPr>
          <w:rFonts w:eastAsia="Malgun Gothic"/>
          <w:color w:val="000000" w:themeColor="text1"/>
          <w:lang w:eastAsia="ko-KR"/>
        </w:rPr>
        <w:t>O</w:t>
      </w:r>
      <w:r w:rsidRPr="00374074">
        <w:rPr>
          <w:color w:val="000000" w:themeColor="text1"/>
          <w:lang w:eastAsia="en-GB"/>
        </w:rPr>
        <w:t xml:space="preserve">bjective 8 of the NDSP 2014-2018, </w:t>
      </w:r>
      <w:r w:rsidRPr="00981D36">
        <w:rPr>
          <w:i/>
          <w:iCs/>
          <w:color w:val="000000" w:themeColor="text1"/>
          <w:lang w:eastAsia="en-GB"/>
        </w:rPr>
        <w:t>“Develop and enhance access to the physical environment, public transportation</w:t>
      </w:r>
      <w:r w:rsidRPr="00981D36">
        <w:rPr>
          <w:i/>
          <w:iCs/>
          <w:lang w:eastAsia="en-GB"/>
        </w:rPr>
        <w:t>, knowledge, information and communication for persons with disabilities”</w:t>
      </w:r>
      <w:r w:rsidRPr="00374074">
        <w:rPr>
          <w:lang w:eastAsia="en-GB"/>
        </w:rPr>
        <w:t xml:space="preserve">, is another measure of the RGC aimed at promoting facilities that conform </w:t>
      </w:r>
      <w:r w:rsidRPr="00374074">
        <w:rPr>
          <w:rFonts w:eastAsia="Malgun Gothic"/>
          <w:lang w:eastAsia="ko-KR"/>
        </w:rPr>
        <w:t>to</w:t>
      </w:r>
      <w:r w:rsidRPr="00374074">
        <w:rPr>
          <w:lang w:eastAsia="en-GB"/>
        </w:rPr>
        <w:t xml:space="preserve"> the accessibility standards for persons with disabilities.</w:t>
      </w:r>
    </w:p>
    <w:p w14:paraId="1BED4E87" w14:textId="77777777" w:rsidR="00374074" w:rsidRPr="00374074" w:rsidRDefault="00374074" w:rsidP="0040290C">
      <w:pPr>
        <w:pStyle w:val="SingleTxtG"/>
        <w:numPr>
          <w:ilvl w:val="0"/>
          <w:numId w:val="7"/>
        </w:numPr>
        <w:ind w:left="1134" w:firstLine="0"/>
        <w:rPr>
          <w:lang w:eastAsia="en-GB"/>
        </w:rPr>
      </w:pPr>
      <w:r w:rsidRPr="00374074">
        <w:rPr>
          <w:lang w:eastAsia="en-GB"/>
        </w:rPr>
        <w:t xml:space="preserve">The Ministry of Interior notified capital and provincial governors, via the Notification Letter No. 540 SCN, dated 24 March 2016, on the need to </w:t>
      </w:r>
      <w:r w:rsidRPr="00374074">
        <w:rPr>
          <w:rFonts w:eastAsia="Malgun Gothic"/>
          <w:lang w:eastAsia="ko-KR"/>
        </w:rPr>
        <w:t>take into</w:t>
      </w:r>
      <w:r w:rsidRPr="00374074">
        <w:rPr>
          <w:lang w:eastAsia="en-GB"/>
        </w:rPr>
        <w:t xml:space="preserve"> consideration persons with disabilities in the construction of public infrastructure at the sub-national level. This is to ensure that public infrastructure, including toilets, meets global standards and is accessible to persons with disabilities.</w:t>
      </w:r>
      <w:r w:rsidRPr="00374074">
        <w:rPr>
          <w:b/>
          <w:vertAlign w:val="superscript"/>
          <w:cs/>
          <w:lang w:eastAsia="en-GB"/>
        </w:rPr>
        <w:footnoteReference w:id="18"/>
      </w:r>
      <w:r w:rsidRPr="00374074">
        <w:rPr>
          <w:lang w:eastAsia="en-GB"/>
        </w:rPr>
        <w:t xml:space="preserve"> As a result, newly constructed public buildings are designed to provide accessibility for persons with disabilities, pregnant women and the elderly.</w:t>
      </w:r>
    </w:p>
    <w:p w14:paraId="79EA5407" w14:textId="77777777" w:rsidR="00374074" w:rsidRPr="00374074" w:rsidRDefault="00374074" w:rsidP="0040290C">
      <w:pPr>
        <w:pStyle w:val="SingleTxtG"/>
        <w:numPr>
          <w:ilvl w:val="0"/>
          <w:numId w:val="7"/>
        </w:numPr>
        <w:ind w:left="1134" w:firstLine="0"/>
        <w:rPr>
          <w:lang w:eastAsia="en-GB"/>
        </w:rPr>
      </w:pPr>
      <w:r w:rsidRPr="00374074">
        <w:rPr>
          <w:lang w:eastAsia="en-GB"/>
        </w:rPr>
        <w:t xml:space="preserve">The Ministry of Land Management, Urban Planning and Construction (MLMPUC) has issued the Notification Letter No. 3076 MLMUPC, dated 7 December 2017, </w:t>
      </w:r>
      <w:r w:rsidRPr="00374074">
        <w:rPr>
          <w:rFonts w:eastAsia="Malgun Gothic"/>
          <w:lang w:eastAsia="ko-KR"/>
        </w:rPr>
        <w:t>regarding</w:t>
      </w:r>
      <w:r w:rsidRPr="00374074">
        <w:rPr>
          <w:lang w:eastAsia="en-GB"/>
        </w:rPr>
        <w:t xml:space="preserve"> participation in the protection and promotion of the rights of persons with disabilities, to local authorities at all levels, and the chairs of the capital and provincial land management and urban planning committees. The notification requests that infrastructure, venues, facilities and services be organized to be accessible for all persons with disabilities. This includes the installation of ramps, walkways, stairs, safety rails, signs and other safety facilities for persons with disabilities in all development projects.</w:t>
      </w:r>
      <w:r w:rsidRPr="00374074">
        <w:rPr>
          <w:vertAlign w:val="superscript"/>
          <w:lang w:eastAsia="en-GB"/>
        </w:rPr>
        <w:footnoteReference w:id="19"/>
      </w:r>
    </w:p>
    <w:p w14:paraId="2DA67938" w14:textId="77777777" w:rsidR="00374074" w:rsidRPr="00374074" w:rsidRDefault="00374074" w:rsidP="0040290C">
      <w:pPr>
        <w:pStyle w:val="SingleTxtG"/>
        <w:numPr>
          <w:ilvl w:val="0"/>
          <w:numId w:val="7"/>
        </w:numPr>
        <w:ind w:left="1134" w:firstLine="0"/>
        <w:rPr>
          <w:lang w:eastAsia="en-GB"/>
        </w:rPr>
      </w:pPr>
      <w:r w:rsidRPr="00374074">
        <w:rPr>
          <w:lang w:eastAsia="en-GB"/>
        </w:rPr>
        <w:t>The MLMPUC issued a press release on the occasion of the Annual Congress on the Achievements in 2017, and the Direction for 2018, to disseminate and recommend implementing sidewalk and pedestrian standards for the public and persons with disabilities. It mandates that</w:t>
      </w:r>
      <w:r w:rsidRPr="00374074">
        <w:rPr>
          <w:i/>
          <w:iCs/>
          <w:lang w:eastAsia="en-GB"/>
        </w:rPr>
        <w:t xml:space="preserve"> “all public infrastructure construction projects that provide services to the public and public spaces, such as road networks, sidewalks, pedestrian walks, gardens, parking lots, railway stations, airports, administration buildings, educational institutions, hospitals, health centres, Borey construction projects, housing, hotels, restaurants, markets, factories and other private buildings, must allocate a place, equipment and services for persons with all types of disabilities. This includes the arrangement of roads, walkways, stairs, safety rails, illuminated signs and other safety facilities for persons with disabilities”.</w:t>
      </w:r>
    </w:p>
    <w:p w14:paraId="668529BD" w14:textId="77777777" w:rsidR="00374074" w:rsidRPr="00374074" w:rsidRDefault="00374074" w:rsidP="0040290C">
      <w:pPr>
        <w:pStyle w:val="SingleTxtG"/>
        <w:numPr>
          <w:ilvl w:val="0"/>
          <w:numId w:val="7"/>
        </w:numPr>
        <w:ind w:left="1134" w:firstLine="0"/>
        <w:rPr>
          <w:lang w:eastAsia="en-GB"/>
        </w:rPr>
      </w:pPr>
      <w:r w:rsidRPr="00374074">
        <w:rPr>
          <w:lang w:eastAsia="en-GB"/>
        </w:rPr>
        <w:lastRenderedPageBreak/>
        <w:t>The DAC-SG facilitated the MoSVY and the MLMPUC in drafting and issuing the Inter-Ministerial Prakas No. 248 MoSVY.Pr.K, dated 28 November 2018, regarding the implementation of technical standards for physical infrastructure - to ensure accessibility for persons with disabilities - to be applied to all construction projects and to make the necessary adaptations for existing projects. These refer to public physical infrastructure that provides services to the public, public spaces, such as road networks, sidewalks, pedestrian walks, gardens, parking lots, railway stations, airports, administration buildings, educational institutions, hospitals, health centres, Borey construction projects, housing, hotels, restaurants, markets, factories and other private buildings to provide convenient, safe and unobstructed access for persons with all types of disabilities.</w:t>
      </w:r>
    </w:p>
    <w:p w14:paraId="1D9F340B" w14:textId="77777777" w:rsidR="00374074" w:rsidRPr="00374074" w:rsidRDefault="00374074" w:rsidP="0040290C">
      <w:pPr>
        <w:pStyle w:val="SingleTxtG"/>
        <w:numPr>
          <w:ilvl w:val="0"/>
          <w:numId w:val="7"/>
        </w:numPr>
        <w:ind w:left="1134" w:firstLine="0"/>
        <w:rPr>
          <w:lang w:eastAsia="en-GB"/>
        </w:rPr>
      </w:pPr>
      <w:r w:rsidRPr="00374074">
        <w:rPr>
          <w:lang w:eastAsia="en-GB"/>
        </w:rPr>
        <w:t xml:space="preserve">The DAC-SG, in collaboration with the Asia-Pacific Centre for Disability (APCD), and with financial support from the Japan International Cooperation Agency (JICA) and the Japan-ASEAN Integration Fund (JAIF) projects, implemented a pilot project </w:t>
      </w:r>
      <w:r w:rsidRPr="00374074">
        <w:rPr>
          <w:szCs w:val="39"/>
          <w:lang w:eastAsia="en-GB" w:bidi="km-KH"/>
        </w:rPr>
        <w:t xml:space="preserve">called </w:t>
      </w:r>
      <w:r w:rsidRPr="00374074">
        <w:rPr>
          <w:lang w:eastAsia="en-GB"/>
        </w:rPr>
        <w:t>“Disability-Free Environment” in Kien Svay district, Kandal province, that involved constructing accessible roads, ramps and restrooms in marketplaces, recreational areas, temples/pagodas and the commune hall, from 2013 to 2015. The project was subsequently implemented in Tram Kak district, Takeo province, from 2016 to 2017.</w:t>
      </w:r>
    </w:p>
    <w:p w14:paraId="7F9C518D" w14:textId="77777777" w:rsidR="00374074" w:rsidRPr="00374074" w:rsidRDefault="00374074" w:rsidP="0040290C">
      <w:pPr>
        <w:pStyle w:val="SingleTxtG"/>
        <w:numPr>
          <w:ilvl w:val="0"/>
          <w:numId w:val="7"/>
        </w:numPr>
        <w:ind w:left="1134" w:firstLine="0"/>
        <w:rPr>
          <w:lang w:eastAsia="en-GB"/>
        </w:rPr>
      </w:pPr>
      <w:r w:rsidRPr="00374074">
        <w:rPr>
          <w:lang w:eastAsia="en-GB"/>
        </w:rPr>
        <w:t xml:space="preserve">The Ministry of Cults and Religions has issued Notification No. 01/18 K.Th.S.S.C.N, dated 11 October 2018, requesting that </w:t>
      </w:r>
      <w:r w:rsidRPr="00981D36">
        <w:rPr>
          <w:i/>
          <w:iCs/>
          <w:lang w:eastAsia="en-GB"/>
        </w:rPr>
        <w:t xml:space="preserve">“all new buildings, such as Departments of Cult and Religion, churches, mosque, refectory, bathrooms or other constructions, must have ramps for persons with disabilities to facilitate travel up and down to </w:t>
      </w:r>
      <w:r w:rsidRPr="00981D36">
        <w:rPr>
          <w:i/>
          <w:iCs/>
          <w:szCs w:val="39"/>
          <w:lang w:eastAsia="en-GB" w:bidi="km-KH"/>
        </w:rPr>
        <w:t>join</w:t>
      </w:r>
      <w:r w:rsidRPr="00981D36">
        <w:rPr>
          <w:i/>
          <w:iCs/>
          <w:lang w:eastAsia="en-GB"/>
        </w:rPr>
        <w:t xml:space="preserve"> the ceremony”. In particular, for existing buildings, “modifications must be made to include a ramp for travel up and down in various celebrations of persons with disabilities as far as possible”</w:t>
      </w:r>
      <w:r w:rsidRPr="00374074">
        <w:rPr>
          <w:lang w:eastAsia="en-GB"/>
        </w:rPr>
        <w:t>.</w:t>
      </w:r>
    </w:p>
    <w:p w14:paraId="2AF179F9" w14:textId="21F407E3" w:rsidR="00374074" w:rsidRPr="00374074" w:rsidRDefault="00981D36" w:rsidP="00981D36">
      <w:pPr>
        <w:pStyle w:val="H1G"/>
        <w:rPr>
          <w:lang w:eastAsia="en-GB" w:bidi="km-KH"/>
        </w:rPr>
      </w:pPr>
      <w:bookmarkStart w:id="10" w:name="_Toc392839030"/>
      <w:bookmarkStart w:id="11" w:name="_Toc92875433"/>
      <w:bookmarkStart w:id="12" w:name="_Toc215321694"/>
      <w:r>
        <w:rPr>
          <w:lang w:eastAsia="en-GB" w:bidi="km-KH"/>
        </w:rPr>
        <w:tab/>
      </w:r>
      <w:r>
        <w:rPr>
          <w:lang w:eastAsia="en-GB" w:bidi="km-KH"/>
        </w:rPr>
        <w:tab/>
      </w:r>
      <w:r w:rsidR="00374074" w:rsidRPr="00374074">
        <w:rPr>
          <w:lang w:eastAsia="en-GB" w:bidi="km-KH"/>
        </w:rPr>
        <w:t xml:space="preserve">Right </w:t>
      </w:r>
      <w:bookmarkEnd w:id="10"/>
      <w:r w:rsidR="00374074" w:rsidRPr="00374074">
        <w:rPr>
          <w:lang w:eastAsia="en-GB" w:bidi="km-KH"/>
        </w:rPr>
        <w:t>to life</w:t>
      </w:r>
      <w:bookmarkEnd w:id="11"/>
      <w:bookmarkEnd w:id="12"/>
      <w:r>
        <w:rPr>
          <w:lang w:eastAsia="en-GB" w:bidi="km-KH"/>
        </w:rPr>
        <w:br/>
      </w:r>
      <w:r w:rsidRPr="00374074">
        <w:rPr>
          <w:lang w:eastAsia="en-GB" w:bidi="km-KH"/>
        </w:rPr>
        <w:t>Article 10</w:t>
      </w:r>
    </w:p>
    <w:p w14:paraId="0CE100BB" w14:textId="769BF7C3" w:rsidR="00374074" w:rsidRPr="00374074" w:rsidRDefault="00374074" w:rsidP="0040290C">
      <w:pPr>
        <w:pStyle w:val="SingleTxtG"/>
        <w:numPr>
          <w:ilvl w:val="0"/>
          <w:numId w:val="7"/>
        </w:numPr>
        <w:ind w:left="1134" w:firstLine="0"/>
        <w:rPr>
          <w:lang w:eastAsia="en-GB"/>
        </w:rPr>
      </w:pPr>
      <w:r w:rsidRPr="00374074">
        <w:rPr>
          <w:lang w:eastAsia="en-GB"/>
        </w:rPr>
        <w:t>There is no provision of capital punishment with respect to disability in the RGC. The Constitution</w:t>
      </w:r>
      <w:r w:rsidRPr="00374074">
        <w:rPr>
          <w:rFonts w:cs="DaunPenh"/>
          <w:szCs w:val="39"/>
          <w:lang w:eastAsia="en-GB" w:bidi="km-KH"/>
        </w:rPr>
        <w:t xml:space="preserve"> </w:t>
      </w:r>
      <w:r w:rsidRPr="00374074">
        <w:rPr>
          <w:lang w:eastAsia="en-GB"/>
        </w:rPr>
        <w:t xml:space="preserve">(arts. </w:t>
      </w:r>
      <w:r w:rsidRPr="00374074">
        <w:rPr>
          <w:cs/>
          <w:lang w:eastAsia="en-GB"/>
        </w:rPr>
        <w:t xml:space="preserve">32 </w:t>
      </w:r>
      <w:r w:rsidRPr="00374074">
        <w:rPr>
          <w:lang w:eastAsia="en-GB"/>
        </w:rPr>
        <w:t xml:space="preserve">and </w:t>
      </w:r>
      <w:r w:rsidRPr="00374074">
        <w:rPr>
          <w:cs/>
          <w:lang w:eastAsia="en-GB"/>
        </w:rPr>
        <w:t xml:space="preserve">38) </w:t>
      </w:r>
      <w:r w:rsidRPr="00374074">
        <w:rPr>
          <w:lang w:eastAsia="en-GB"/>
        </w:rPr>
        <w:t xml:space="preserve">guarantees the rights to life, liberty and security of the person of every citizen, as well as the protection of life, honour and dignity of the people. The LPRPD also ensures the right to life of persons with disabilities. Article 13 states that </w:t>
      </w:r>
      <w:r w:rsidRPr="00374074">
        <w:rPr>
          <w:i/>
          <w:lang w:eastAsia="en-GB"/>
        </w:rPr>
        <w:t>“The parents and guardians of persons with disabilities shall protect the legal rights and interests of persons with disabilities; be responsible for taking good care of persons with disabilities, encourage and assist persons with disabilities to live with hope in their lives. Neglect, exploitation and abandonment of persons with disabilities are prohibited”.</w:t>
      </w:r>
      <w:r w:rsidRPr="00374074">
        <w:rPr>
          <w:rFonts w:eastAsiaTheme="majorEastAsia"/>
          <w:i/>
          <w:vertAlign w:val="superscript"/>
          <w:cs/>
          <w:lang w:eastAsia="en-GB" w:bidi="km-KH"/>
        </w:rPr>
        <w:footnoteReference w:id="20"/>
      </w:r>
    </w:p>
    <w:p w14:paraId="2EE5AD0C" w14:textId="77777777" w:rsidR="00374074" w:rsidRPr="00374074" w:rsidRDefault="00374074" w:rsidP="0040290C">
      <w:pPr>
        <w:pStyle w:val="SingleTxtG"/>
        <w:numPr>
          <w:ilvl w:val="0"/>
          <w:numId w:val="7"/>
        </w:numPr>
        <w:ind w:left="1134" w:firstLine="0"/>
        <w:rPr>
          <w:lang w:eastAsia="en-GB"/>
        </w:rPr>
      </w:pPr>
      <w:r w:rsidRPr="00374074">
        <w:rPr>
          <w:lang w:eastAsia="en-GB"/>
        </w:rPr>
        <w:t>The RGC issued Sub-Decree No. 137 ANKr.BK, dated 8 July 2011, which delineated the policy framework for persons with disabilities living in a situation of poverty in the community to contribute to the implementation of the LPRPD, and to execute national strategies and policies regarding poverty reduction, emergency relief, physical rehabilitation, livelihood development, and prevention and reduction of risky migration and homelessness, as well as the provision of social services to persons with disabilities living in poverty in the community. In addition, the National Social Protection Policy Framework 2016-2025 outlines a strategy for launching cash support program(s) for persons with disabilities, which is described in a sub-decree on the policy framework for persons with disabilities living in a situation of poverty in the community, with eligibility for persons with disabilities who are members of poor and vulnerable households in possession of an ID Poor card.</w:t>
      </w:r>
      <w:r w:rsidRPr="00374074">
        <w:rPr>
          <w:vertAlign w:val="superscript"/>
          <w:cs/>
          <w:lang w:eastAsia="en-GB" w:bidi="km-KH"/>
        </w:rPr>
        <w:footnoteReference w:id="21"/>
      </w:r>
      <w:bookmarkStart w:id="13" w:name="_Toc392839031"/>
      <w:bookmarkStart w:id="14" w:name="_Toc92875434"/>
    </w:p>
    <w:p w14:paraId="3C2C7828" w14:textId="017A0BA2" w:rsidR="00374074" w:rsidRPr="00981D36" w:rsidRDefault="00981D36" w:rsidP="00981D36">
      <w:pPr>
        <w:pStyle w:val="H1G"/>
        <w:rPr>
          <w:lang w:bidi="km-KH"/>
        </w:rPr>
      </w:pPr>
      <w:bookmarkStart w:id="15" w:name="_Toc215321695"/>
      <w:r>
        <w:rPr>
          <w:lang w:eastAsia="en-GB" w:bidi="km-KH"/>
        </w:rPr>
        <w:lastRenderedPageBreak/>
        <w:tab/>
      </w:r>
      <w:r>
        <w:rPr>
          <w:lang w:eastAsia="en-GB" w:bidi="km-KH"/>
        </w:rPr>
        <w:tab/>
      </w:r>
      <w:bookmarkEnd w:id="13"/>
      <w:bookmarkEnd w:id="14"/>
      <w:r w:rsidR="00374074" w:rsidRPr="00374074">
        <w:rPr>
          <w:lang w:eastAsia="en-GB" w:bidi="km-KH"/>
        </w:rPr>
        <w:t>Situations of risk and humanitarian emergencies</w:t>
      </w:r>
      <w:bookmarkEnd w:id="15"/>
      <w:r>
        <w:rPr>
          <w:lang w:eastAsia="en-GB" w:bidi="km-KH"/>
        </w:rPr>
        <w:br/>
      </w:r>
      <w:r w:rsidRPr="00374074">
        <w:rPr>
          <w:lang w:eastAsia="en-GB" w:bidi="km-KH"/>
        </w:rPr>
        <w:t>Article 11</w:t>
      </w:r>
    </w:p>
    <w:p w14:paraId="110A655C" w14:textId="77777777" w:rsidR="00374074" w:rsidRPr="00374074" w:rsidRDefault="00374074" w:rsidP="0040290C">
      <w:pPr>
        <w:pStyle w:val="SingleTxtG"/>
        <w:numPr>
          <w:ilvl w:val="0"/>
          <w:numId w:val="7"/>
        </w:numPr>
        <w:ind w:left="1134" w:firstLine="0"/>
        <w:rPr>
          <w:lang w:eastAsia="en-GB"/>
        </w:rPr>
      </w:pPr>
      <w:r w:rsidRPr="00374074">
        <w:rPr>
          <w:lang w:eastAsia="en-GB"/>
        </w:rPr>
        <w:t xml:space="preserve">The RGC has promulgated the Law on Disaster Management under the Royal Kram No. NS/RKM/0715/007, dated 10 July 2015, with the aim of: (1) Prevention  adaptation and mitigation in the pre-disaster period, due to  natural or man-made causes ; (2)Emergency response during the disaster ; and, (3)Recovery in the post-disaster period . In response to this law, the National Committee for Disaster Management (NCDM) was established by the Royal Decree No. NS/RKT/1215/1141, dated 24 December 2015, </w:t>
      </w:r>
      <w:r w:rsidRPr="00374074">
        <w:rPr>
          <w:rFonts w:eastAsia="Malgun Gothic"/>
          <w:lang w:eastAsia="ko-KR"/>
        </w:rPr>
        <w:t xml:space="preserve">and has </w:t>
      </w:r>
      <w:r w:rsidRPr="00374074">
        <w:rPr>
          <w:lang w:eastAsia="en-GB"/>
        </w:rPr>
        <w:t>branches at the provincial and district levels.</w:t>
      </w:r>
    </w:p>
    <w:p w14:paraId="56DF3132" w14:textId="77777777" w:rsidR="00374074" w:rsidRPr="00374074" w:rsidRDefault="00374074" w:rsidP="0040290C">
      <w:pPr>
        <w:pStyle w:val="SingleTxtG"/>
        <w:numPr>
          <w:ilvl w:val="0"/>
          <w:numId w:val="7"/>
        </w:numPr>
        <w:ind w:left="1134" w:firstLine="0"/>
        <w:rPr>
          <w:lang w:eastAsia="en-GB"/>
        </w:rPr>
      </w:pPr>
      <w:r w:rsidRPr="00374074">
        <w:rPr>
          <w:lang w:eastAsia="en-GB"/>
        </w:rPr>
        <w:t>The provincial and district disaster management units are working to becom</w:t>
      </w:r>
      <w:r w:rsidRPr="00374074">
        <w:rPr>
          <w:rFonts w:eastAsia="Malgun Gothic"/>
          <w:lang w:eastAsia="ko-KR"/>
        </w:rPr>
        <w:t>e</w:t>
      </w:r>
      <w:r w:rsidRPr="00374074">
        <w:rPr>
          <w:lang w:eastAsia="en-GB"/>
        </w:rPr>
        <w:t xml:space="preserve"> disaster risk managers. The National Action Plan for Disaster Risk Reduction (2014-2018) outlines priorities </w:t>
      </w:r>
      <w:r w:rsidRPr="00374074">
        <w:rPr>
          <w:rFonts w:eastAsia="Malgun Gothic"/>
          <w:lang w:eastAsia="ko-KR"/>
        </w:rPr>
        <w:t xml:space="preserve">to </w:t>
      </w:r>
      <w:r w:rsidRPr="00374074">
        <w:rPr>
          <w:lang w:eastAsia="en-GB"/>
        </w:rPr>
        <w:t xml:space="preserve">assist vulnerable people during disasters. Furthermore, Strategic Objective 4 of the NDSP 2014-2018 seeks to enhance the protection and safety of persons with disabilities in situations of risk by means of training, inclusion of disability issues, enhancement of services and programs to support persons with disabilities, and increasing assistive devices and technologies, which aim to strengthen the protection of persons with disabilities and mitigate the impact on them in </w:t>
      </w:r>
      <w:r w:rsidRPr="00374074">
        <w:rPr>
          <w:rFonts w:eastAsia="Malgun Gothic"/>
          <w:lang w:eastAsia="ko-KR"/>
        </w:rPr>
        <w:t>the event</w:t>
      </w:r>
      <w:r w:rsidRPr="00374074">
        <w:rPr>
          <w:lang w:eastAsia="en-GB"/>
        </w:rPr>
        <w:t xml:space="preserve"> of a natural disaster. </w:t>
      </w:r>
    </w:p>
    <w:p w14:paraId="4B6F1C89" w14:textId="77777777" w:rsidR="00374074" w:rsidRPr="00374074" w:rsidRDefault="00374074" w:rsidP="0040290C">
      <w:pPr>
        <w:pStyle w:val="SingleTxtG"/>
        <w:numPr>
          <w:ilvl w:val="0"/>
          <w:numId w:val="7"/>
        </w:numPr>
        <w:ind w:left="1134" w:firstLine="0"/>
        <w:rPr>
          <w:sz w:val="36"/>
          <w:szCs w:val="36"/>
          <w:lang w:eastAsia="en-GB"/>
        </w:rPr>
      </w:pPr>
      <w:r w:rsidRPr="00374074">
        <w:rPr>
          <w:lang w:eastAsia="en-GB"/>
        </w:rPr>
        <w:t>The Cambodian Red Cross (CRC), recognized by the Royal Decree No. NS/RKT/0502/113, dated 6 May 2002, is the largest humanitarian organization in the country, succeeding the Khmer Red Cross National Association</w:t>
      </w:r>
      <w:r w:rsidRPr="00374074">
        <w:rPr>
          <w:rFonts w:eastAsia="Malgun Gothic"/>
          <w:lang w:eastAsia="ko-KR"/>
        </w:rPr>
        <w:t>,</w:t>
      </w:r>
      <w:r w:rsidRPr="00374074">
        <w:rPr>
          <w:lang w:eastAsia="en-GB"/>
        </w:rPr>
        <w:t xml:space="preserve"> established on 18 February 1955. As an assistant to the public authority, it contributed to the RGC’s implementation of the Rectangular Strategy Phase III and fulfilled a role in providing humanitarian services in the country. The Cambodian Red Cross developed a strategy for the period 2011-2020, which aimed to save lives and promote a </w:t>
      </w:r>
      <w:r w:rsidRPr="00374074">
        <w:rPr>
          <w:rFonts w:eastAsia="Malgun Gothic"/>
          <w:lang w:eastAsia="ko-KR"/>
        </w:rPr>
        <w:t>shift in</w:t>
      </w:r>
      <w:r w:rsidRPr="00374074">
        <w:rPr>
          <w:lang w:eastAsia="en-GB"/>
        </w:rPr>
        <w:t xml:space="preserve"> mindset. The strategy encompassed four key areas, namely: (1) disaster management; (2) community health and healthcare; (3) promoting the fundamental principles and humanitarian values of the movement; and (4) institutional and resource development.</w:t>
      </w:r>
    </w:p>
    <w:p w14:paraId="00A697A7" w14:textId="77777777" w:rsidR="00374074" w:rsidRPr="00374074" w:rsidRDefault="00374074" w:rsidP="0040290C">
      <w:pPr>
        <w:pStyle w:val="SingleTxtG"/>
        <w:numPr>
          <w:ilvl w:val="0"/>
          <w:numId w:val="7"/>
        </w:numPr>
        <w:ind w:left="1134" w:firstLine="0"/>
        <w:rPr>
          <w:lang w:eastAsia="en-GB"/>
        </w:rPr>
      </w:pPr>
      <w:r w:rsidRPr="00374074">
        <w:rPr>
          <w:lang w:eastAsia="en-GB"/>
        </w:rPr>
        <w:t xml:space="preserve">The CRC s has established a network of 25 branches throughout Cambodia, covering the capital and provinces, with approximately 126,000 members, 20,456 volunteers and 29,099 Red Cross Youth, of whom 75 are persons with disabilities. The CRC is committed to </w:t>
      </w:r>
      <w:r w:rsidRPr="00374074">
        <w:rPr>
          <w:rFonts w:eastAsia="Malgun Gothic"/>
          <w:lang w:eastAsia="ko-KR"/>
        </w:rPr>
        <w:t>responding</w:t>
      </w:r>
      <w:r w:rsidRPr="00374074">
        <w:rPr>
          <w:lang w:eastAsia="en-GB"/>
        </w:rPr>
        <w:t xml:space="preserve"> to the needs of persons with disabilities in situations of armed conflict and natural disasters. Additionally, it </w:t>
      </w:r>
      <w:r w:rsidRPr="00374074">
        <w:rPr>
          <w:rFonts w:eastAsia="Malgun Gothic"/>
          <w:lang w:eastAsia="ko-KR"/>
        </w:rPr>
        <w:t>strive</w:t>
      </w:r>
      <w:r w:rsidRPr="00374074">
        <w:rPr>
          <w:lang w:eastAsia="en-GB"/>
        </w:rPr>
        <w:t>s to fulfil its mission of mobilizing humanitarian forces through disaster management, health and community healthcare, as well as promoting the fundamental principles and humanitarian values of the Red Cross movement in order to continue providing assistance to vulnerable populations, such as children, pregnant women, the elderly and particularly persons with disabilities.</w:t>
      </w:r>
      <w:r w:rsidRPr="00374074">
        <w:rPr>
          <w:vertAlign w:val="superscript"/>
          <w:lang w:eastAsia="en-GB" w:bidi="km-KH"/>
        </w:rPr>
        <w:footnoteReference w:id="22"/>
      </w:r>
      <w:r w:rsidRPr="00374074">
        <w:rPr>
          <w:lang w:eastAsia="en-GB"/>
        </w:rPr>
        <w:t xml:space="preserve"> Key mandates of the Red Cross include ensuring that the needs of persons with disabilities are met during armed conflicts, humanitarian emergencies and natural disasters. The CRC also seeks to change mindsets, behaviours and social attitudes while eliminating stereotypes and myths, thereby creating a culture of respect for diversity and social inclusion,</w:t>
      </w:r>
      <w:r w:rsidRPr="00374074">
        <w:rPr>
          <w:vertAlign w:val="superscript"/>
          <w:cs/>
          <w:lang w:eastAsia="en-GB"/>
        </w:rPr>
        <w:footnoteReference w:id="23"/>
      </w:r>
      <w:r w:rsidRPr="00374074">
        <w:rPr>
          <w:lang w:eastAsia="en-GB"/>
        </w:rPr>
        <w:t xml:space="preserve"> particularly for persons with disabilities.</w:t>
      </w:r>
    </w:p>
    <w:p w14:paraId="12149A04" w14:textId="77777777" w:rsidR="00374074" w:rsidRPr="00374074" w:rsidRDefault="00374074" w:rsidP="0040290C">
      <w:pPr>
        <w:pStyle w:val="SingleTxtG"/>
        <w:numPr>
          <w:ilvl w:val="0"/>
          <w:numId w:val="7"/>
        </w:numPr>
        <w:ind w:left="1134" w:firstLine="0"/>
        <w:rPr>
          <w:lang w:eastAsia="en-GB"/>
        </w:rPr>
      </w:pPr>
      <w:r w:rsidRPr="00374074">
        <w:rPr>
          <w:lang w:eastAsia="en-GB"/>
        </w:rPr>
        <w:t>Local authorities collaborated with relevant partners, such as the CRC , the NCDM, and the Department of Social Affairs, Veterans, and Youth Rehabilitation, to provide shelter, food, clothing, medical services</w:t>
      </w:r>
      <w:r w:rsidRPr="00374074">
        <w:rPr>
          <w:szCs w:val="39"/>
          <w:lang w:eastAsia="en-GB" w:bidi="km-KH"/>
        </w:rPr>
        <w:t>,</w:t>
      </w:r>
      <w:r w:rsidRPr="00374074">
        <w:rPr>
          <w:lang w:eastAsia="en-GB"/>
        </w:rPr>
        <w:t xml:space="preserve"> sanitation facilities, rainwater harvesting systems, wells, water filter machines and wheelchairs for persons with </w:t>
      </w:r>
      <w:r w:rsidRPr="00374074">
        <w:rPr>
          <w:spacing w:val="-4"/>
          <w:lang w:eastAsia="en-GB"/>
        </w:rPr>
        <w:t>disabilities; to offer vocational training and loans to persons with disabilities affected by landmines and war, in accordance with specific criteria; and to conduct non-discriminatory home visits. The CRC conducts activities in compliance with international standards for support and care for persons with disabilities, who are considered vulnerable in the event of disasters, as well as the elderly, orphans and homeless individuals. As part of its efforts to enhance the capacity of persons with disabilities to provide first aid when necessary, the CRC has provided first aid training to 25 persons with disabilities.</w:t>
      </w:r>
    </w:p>
    <w:p w14:paraId="3B6555B5" w14:textId="77777777" w:rsidR="00374074" w:rsidRPr="00374074" w:rsidRDefault="00374074" w:rsidP="0040290C">
      <w:pPr>
        <w:pStyle w:val="SingleTxtG"/>
        <w:numPr>
          <w:ilvl w:val="0"/>
          <w:numId w:val="7"/>
        </w:numPr>
        <w:ind w:left="1134" w:firstLine="0"/>
        <w:rPr>
          <w:szCs w:val="24"/>
          <w:lang w:eastAsia="en-GB" w:bidi="km-KH"/>
        </w:rPr>
      </w:pPr>
      <w:r w:rsidRPr="00374074">
        <w:rPr>
          <w:lang w:eastAsia="en-GB"/>
        </w:rPr>
        <w:lastRenderedPageBreak/>
        <w:t xml:space="preserve">Cambodia still has a legacy of landmines and unexploded ordnance </w:t>
      </w:r>
      <w:r w:rsidRPr="00374074">
        <w:rPr>
          <w:rFonts w:eastAsia="Malgun Gothic"/>
          <w:lang w:eastAsia="ko-KR"/>
        </w:rPr>
        <w:t>as a result of</w:t>
      </w:r>
      <w:r w:rsidRPr="00374074">
        <w:rPr>
          <w:lang w:eastAsia="en-GB"/>
        </w:rPr>
        <w:t xml:space="preserve"> years of warfare, which have endangered the lives of tens of thousands of individuals and caused disabilities.</w:t>
      </w:r>
      <w:r w:rsidRPr="00374074">
        <w:rPr>
          <w:vertAlign w:val="superscript"/>
          <w:lang w:eastAsia="en-GB"/>
        </w:rPr>
        <w:footnoteReference w:id="24"/>
      </w:r>
      <w:r w:rsidRPr="00374074">
        <w:rPr>
          <w:lang w:eastAsia="en-GB"/>
        </w:rPr>
        <w:t xml:space="preserve"> There were more than 64,000 </w:t>
      </w:r>
      <w:r w:rsidRPr="00374074">
        <w:rPr>
          <w:rFonts w:eastAsia="Malgun Gothic"/>
          <w:lang w:eastAsia="ko-KR"/>
        </w:rPr>
        <w:t>incidents involving</w:t>
      </w:r>
      <w:r w:rsidRPr="00374074">
        <w:rPr>
          <w:lang w:eastAsia="en-GB"/>
        </w:rPr>
        <w:t xml:space="preserve"> landmines and explosive remnants of war from 1979 to 2017, of which 31% were fatal, 56% resulted in injuries, and 14% resulted in d</w:t>
      </w:r>
      <w:r w:rsidRPr="00374074">
        <w:rPr>
          <w:szCs w:val="24"/>
          <w:lang w:eastAsia="en-GB"/>
        </w:rPr>
        <w:t>isabilities. Specifically, 51,062 people were injured by landmines and unexploded ordnance, result</w:t>
      </w:r>
      <w:r w:rsidRPr="00374074">
        <w:rPr>
          <w:rFonts w:eastAsia="Malgun Gothic"/>
          <w:szCs w:val="24"/>
          <w:lang w:eastAsia="ko-KR"/>
        </w:rPr>
        <w:t>ing</w:t>
      </w:r>
      <w:r w:rsidRPr="00374074">
        <w:rPr>
          <w:szCs w:val="24"/>
          <w:lang w:eastAsia="en-GB"/>
        </w:rPr>
        <w:t xml:space="preserve"> in disabilities f</w:t>
      </w:r>
      <w:r w:rsidRPr="00374074">
        <w:rPr>
          <w:rFonts w:eastAsia="Malgun Gothic"/>
          <w:szCs w:val="24"/>
          <w:lang w:eastAsia="ko-KR"/>
        </w:rPr>
        <w:t>or</w:t>
      </w:r>
      <w:r w:rsidRPr="00374074">
        <w:rPr>
          <w:szCs w:val="24"/>
          <w:lang w:eastAsia="en-GB"/>
        </w:rPr>
        <w:t xml:space="preserve"> 7,552 individuals, and 13,649 people sustained injuries from explosive remnants of war, result</w:t>
      </w:r>
      <w:r w:rsidRPr="00374074">
        <w:rPr>
          <w:rFonts w:eastAsia="Malgun Gothic"/>
          <w:szCs w:val="24"/>
          <w:lang w:eastAsia="ko-KR"/>
        </w:rPr>
        <w:t>ing</w:t>
      </w:r>
      <w:r w:rsidRPr="00374074">
        <w:rPr>
          <w:szCs w:val="24"/>
          <w:lang w:eastAsia="en-GB"/>
        </w:rPr>
        <w:t xml:space="preserve"> in disabilities f</w:t>
      </w:r>
      <w:r w:rsidRPr="00374074">
        <w:rPr>
          <w:rFonts w:eastAsia="Malgun Gothic"/>
          <w:szCs w:val="24"/>
          <w:lang w:eastAsia="ko-KR"/>
        </w:rPr>
        <w:t>or</w:t>
      </w:r>
      <w:r w:rsidRPr="00374074">
        <w:rPr>
          <w:szCs w:val="24"/>
          <w:lang w:eastAsia="en-GB"/>
        </w:rPr>
        <w:t xml:space="preserve"> 1,470 individuals.</w:t>
      </w:r>
      <w:r w:rsidRPr="00374074">
        <w:rPr>
          <w:szCs w:val="24"/>
          <w:vertAlign w:val="superscript"/>
          <w:cs/>
          <w:lang w:eastAsia="en-GB"/>
        </w:rPr>
        <w:footnoteReference w:id="25"/>
      </w:r>
      <w:r w:rsidRPr="00374074">
        <w:rPr>
          <w:szCs w:val="24"/>
          <w:lang w:eastAsia="en-GB"/>
        </w:rPr>
        <w:t xml:space="preserve"> </w:t>
      </w:r>
    </w:p>
    <w:p w14:paraId="3995E652" w14:textId="77777777" w:rsidR="00374074" w:rsidRPr="00374074" w:rsidRDefault="00374074" w:rsidP="0040290C">
      <w:pPr>
        <w:pStyle w:val="SingleTxtG"/>
        <w:numPr>
          <w:ilvl w:val="0"/>
          <w:numId w:val="7"/>
        </w:numPr>
        <w:ind w:left="1134" w:firstLine="0"/>
        <w:rPr>
          <w:lang w:eastAsia="en-GB"/>
        </w:rPr>
      </w:pPr>
      <w:r w:rsidRPr="00374074">
        <w:rPr>
          <w:lang w:eastAsia="en-GB"/>
        </w:rPr>
        <w:t>The Cambodian Mine Action and Victim Assistance Authority (CMAA) was established through the Royal Decree No. NS/RKT/0900/160 on 4 September 2000, with its Secretariat General serving as the executive body responsible for managing, monitoring</w:t>
      </w:r>
      <w:r w:rsidRPr="00374074">
        <w:rPr>
          <w:rFonts w:eastAsia="Malgun Gothic"/>
          <w:lang w:eastAsia="ko-KR"/>
        </w:rPr>
        <w:t>,</w:t>
      </w:r>
      <w:r w:rsidRPr="00374074">
        <w:rPr>
          <w:lang w:eastAsia="en-GB"/>
        </w:rPr>
        <w:t xml:space="preserve"> and coordinating the field of mine action in Cambodia. The National Mine Action Strategy (NMAS) 2010-2019 is a mandate set by the Royal Government aim</w:t>
      </w:r>
      <w:r w:rsidRPr="00374074">
        <w:rPr>
          <w:rFonts w:eastAsia="Malgun Gothic"/>
          <w:lang w:eastAsia="ko-KR"/>
        </w:rPr>
        <w:t>ed</w:t>
      </w:r>
      <w:r w:rsidRPr="00374074">
        <w:rPr>
          <w:lang w:eastAsia="en-GB"/>
        </w:rPr>
        <w:t xml:space="preserve"> </w:t>
      </w:r>
      <w:r w:rsidRPr="00374074">
        <w:rPr>
          <w:rFonts w:eastAsia="Malgun Gothic"/>
          <w:lang w:eastAsia="ko-KR"/>
        </w:rPr>
        <w:t>at</w:t>
      </w:r>
      <w:r w:rsidRPr="00374074">
        <w:rPr>
          <w:lang w:eastAsia="en-GB"/>
        </w:rPr>
        <w:t xml:space="preserve"> reducing the risk posed by mines and explosive remnants of war, mitigating their negative effects and contributing to economic growth and poverty reduction. The strategy also aims to ensure the sustainability of national capacity to deal with the remaining mines and explosive remnants of war, and to promote stability and disarmament at the regional and international </w:t>
      </w:r>
      <w:r w:rsidRPr="00374074">
        <w:rPr>
          <w:lang w:eastAsia="en-GB" w:bidi="km-KH"/>
        </w:rPr>
        <w:t>levels</w:t>
      </w:r>
      <w:r w:rsidRPr="00374074">
        <w:rPr>
          <w:lang w:eastAsia="en-GB"/>
        </w:rPr>
        <w:t>. The RGC also issued Circular No. 05 SRNN on strengthening the management of the mine action sector, dated 9 May 2013, with the aim of promoting the implementation of the Strategic Mine Action Plan 2010-2019 to eliminate the threats of landmines and ensure safety for individuals residing in areas suspected of having landmines and explosive remnants of war.</w:t>
      </w:r>
      <w:r w:rsidRPr="00374074">
        <w:rPr>
          <w:vertAlign w:val="superscript"/>
          <w:cs/>
          <w:lang w:eastAsia="en-GB"/>
        </w:rPr>
        <w:footnoteReference w:id="26"/>
      </w:r>
    </w:p>
    <w:p w14:paraId="46B1A69D" w14:textId="77777777" w:rsidR="00374074" w:rsidRPr="00374074" w:rsidRDefault="00374074" w:rsidP="0040290C">
      <w:pPr>
        <w:pStyle w:val="SingleTxtG"/>
        <w:numPr>
          <w:ilvl w:val="0"/>
          <w:numId w:val="7"/>
        </w:numPr>
        <w:ind w:left="1134" w:firstLine="0"/>
        <w:rPr>
          <w:lang w:eastAsia="en-GB"/>
        </w:rPr>
      </w:pPr>
      <w:r w:rsidRPr="00374074">
        <w:rPr>
          <w:lang w:eastAsia="en-GB"/>
        </w:rPr>
        <w:t>In the last decade, the number of accidents cau</w:t>
      </w:r>
      <w:r w:rsidRPr="00374074">
        <w:rPr>
          <w:rFonts w:eastAsia="Malgun Gothic"/>
          <w:lang w:eastAsia="ko-KR"/>
        </w:rPr>
        <w:t>sed</w:t>
      </w:r>
      <w:r w:rsidRPr="00374074">
        <w:rPr>
          <w:lang w:eastAsia="en-GB"/>
        </w:rPr>
        <w:t xml:space="preserve"> by war remnants has decreased significantly due to the Government’s demining efforts and response </w:t>
      </w:r>
      <w:r w:rsidRPr="00374074">
        <w:rPr>
          <w:rFonts w:eastAsia="Malgun Gothic"/>
          <w:lang w:eastAsia="ko-KR"/>
        </w:rPr>
        <w:t>with</w:t>
      </w:r>
      <w:r w:rsidRPr="00374074">
        <w:rPr>
          <w:lang w:eastAsia="en-GB"/>
        </w:rPr>
        <w:t xml:space="preserve"> respect </w:t>
      </w:r>
      <w:r w:rsidRPr="00374074">
        <w:rPr>
          <w:rFonts w:eastAsia="Malgun Gothic"/>
          <w:lang w:eastAsia="ko-KR"/>
        </w:rPr>
        <w:t>to</w:t>
      </w:r>
      <w:r w:rsidRPr="00374074">
        <w:rPr>
          <w:lang w:eastAsia="en-GB"/>
        </w:rPr>
        <w:t xml:space="preserve"> minefields and explosive remnants of war. In 1996, there were 4,320 victims related to landmines and explosive remnants of war. By 2017, the number of accidents had decreased significantly, with only 58 victims reported.</w:t>
      </w:r>
      <w:r w:rsidRPr="00374074">
        <w:rPr>
          <w:vertAlign w:val="superscript"/>
          <w:cs/>
          <w:lang w:eastAsia="en-GB"/>
        </w:rPr>
        <w:footnoteReference w:id="27"/>
      </w:r>
      <w:r w:rsidRPr="00374074">
        <w:rPr>
          <w:lang w:eastAsia="en-GB"/>
        </w:rPr>
        <w:t xml:space="preserve"> </w:t>
      </w:r>
    </w:p>
    <w:p w14:paraId="2851B22C" w14:textId="77777777" w:rsidR="00374074" w:rsidRPr="00374074" w:rsidRDefault="00374074" w:rsidP="0040290C">
      <w:pPr>
        <w:pStyle w:val="SingleTxtG"/>
        <w:numPr>
          <w:ilvl w:val="0"/>
          <w:numId w:val="7"/>
        </w:numPr>
        <w:ind w:left="1134" w:firstLine="0"/>
        <w:rPr>
          <w:lang w:eastAsia="en-GB"/>
        </w:rPr>
      </w:pPr>
      <w:r w:rsidRPr="00374074">
        <w:rPr>
          <w:lang w:eastAsia="en-GB"/>
        </w:rPr>
        <w:t>As of 2017, 1,680 square kilometres have been cleared of landmines and provided to residents for housing, farmland and infrastructure development.</w:t>
      </w:r>
      <w:r w:rsidRPr="00374074">
        <w:rPr>
          <w:szCs w:val="24"/>
          <w:vertAlign w:val="superscript"/>
          <w:cs/>
          <w:lang w:eastAsia="en-GB" w:bidi="km-KH"/>
        </w:rPr>
        <w:footnoteReference w:id="28"/>
      </w:r>
      <w:r w:rsidRPr="00374074">
        <w:rPr>
          <w:lang w:eastAsia="en-GB"/>
        </w:rPr>
        <w:t xml:space="preserve"> Nevertheless, Cambodia still </w:t>
      </w:r>
      <w:r w:rsidRPr="00374074">
        <w:rPr>
          <w:rFonts w:eastAsia="Malgun Gothic"/>
          <w:lang w:eastAsia="ko-KR"/>
        </w:rPr>
        <w:t>contain</w:t>
      </w:r>
      <w:r w:rsidRPr="00374074">
        <w:rPr>
          <w:lang w:eastAsia="en-GB"/>
        </w:rPr>
        <w:t>s an area of almost 1,970 square kilometres that is contaminated with landmines and unexploded ordnance.</w:t>
      </w:r>
      <w:r w:rsidRPr="00E7471C">
        <w:rPr>
          <w:vertAlign w:val="superscript"/>
          <w:cs/>
          <w:lang w:eastAsia="en-GB"/>
        </w:rPr>
        <w:footnoteReference w:id="29"/>
      </w:r>
    </w:p>
    <w:p w14:paraId="612D135B" w14:textId="77777777" w:rsidR="00374074" w:rsidRPr="00374074" w:rsidRDefault="00374074" w:rsidP="0040290C">
      <w:pPr>
        <w:pStyle w:val="SingleTxtG"/>
        <w:numPr>
          <w:ilvl w:val="0"/>
          <w:numId w:val="7"/>
        </w:numPr>
        <w:ind w:left="1134" w:firstLine="0"/>
        <w:rPr>
          <w:lang w:eastAsia="en-GB"/>
        </w:rPr>
      </w:pPr>
      <w:r w:rsidRPr="00374074">
        <w:rPr>
          <w:lang w:eastAsia="en-GB"/>
        </w:rPr>
        <w:t>As of October 2017, the RGC had uncovered 11 chemical bombs that were remnants of the bombings during the Indochina War four decades prior</w:t>
      </w:r>
      <w:r w:rsidRPr="00374074">
        <w:rPr>
          <w:rFonts w:eastAsia="Malgun Gothic"/>
          <w:lang w:eastAsia="ko-KR"/>
        </w:rPr>
        <w:t>,</w:t>
      </w:r>
      <w:r w:rsidRPr="00374074">
        <w:rPr>
          <w:vertAlign w:val="superscript"/>
          <w:cs/>
          <w:lang w:eastAsia="en-GB" w:bidi="km-KH"/>
        </w:rPr>
        <w:footnoteReference w:id="30"/>
      </w:r>
      <w:r w:rsidRPr="00374074">
        <w:rPr>
          <w:lang w:eastAsia="en-GB"/>
        </w:rPr>
        <w:t xml:space="preserve"> and had </w:t>
      </w:r>
      <w:r w:rsidRPr="00374074">
        <w:rPr>
          <w:rFonts w:eastAsia="Malgun Gothic"/>
          <w:lang w:eastAsia="ko-KR"/>
        </w:rPr>
        <w:t>remov</w:t>
      </w:r>
      <w:r w:rsidRPr="00374074">
        <w:rPr>
          <w:lang w:eastAsia="en-GB"/>
        </w:rPr>
        <w:t>ed 1,047,447 anti-personnel mines, 24,618 anti-tank mines, and 2,713,606 explosive remnants of war.</w:t>
      </w:r>
      <w:r w:rsidRPr="00374074">
        <w:rPr>
          <w:vertAlign w:val="superscript"/>
          <w:cs/>
          <w:lang w:eastAsia="en-GB"/>
        </w:rPr>
        <w:footnoteReference w:id="31"/>
      </w:r>
    </w:p>
    <w:p w14:paraId="194C6DF1" w14:textId="77777777" w:rsidR="00374074" w:rsidRPr="00374074" w:rsidRDefault="00374074" w:rsidP="0040290C">
      <w:pPr>
        <w:pStyle w:val="SingleTxtG"/>
        <w:numPr>
          <w:ilvl w:val="0"/>
          <w:numId w:val="7"/>
        </w:numPr>
        <w:ind w:left="1134" w:firstLine="0"/>
        <w:rPr>
          <w:lang w:eastAsia="en-GB"/>
        </w:rPr>
      </w:pPr>
      <w:r w:rsidRPr="00374074">
        <w:rPr>
          <w:lang w:eastAsia="en-GB"/>
        </w:rPr>
        <w:t>The RGC has received assistance to continue the clearance of landmines and unexploded ordnance until 2019. As stated in the NMAS, the authority requires approximately $450 million to complete this task fully and mitigate the risk of disability, loss of life and serious injuries resulting from accidents involving landmines and unexploded ordnance.</w:t>
      </w:r>
    </w:p>
    <w:p w14:paraId="24226EE6" w14:textId="723C456B" w:rsidR="00374074" w:rsidRPr="00374074" w:rsidRDefault="00E7471C" w:rsidP="00E7471C">
      <w:pPr>
        <w:pStyle w:val="H1G"/>
        <w:rPr>
          <w:lang w:eastAsia="en-GB" w:bidi="km-KH"/>
        </w:rPr>
      </w:pPr>
      <w:bookmarkStart w:id="16" w:name="_Toc92875435"/>
      <w:bookmarkStart w:id="17" w:name="_Toc215321696"/>
      <w:r>
        <w:rPr>
          <w:lang w:eastAsia="en-GB" w:bidi="km-KH"/>
        </w:rPr>
        <w:tab/>
      </w:r>
      <w:r>
        <w:rPr>
          <w:lang w:eastAsia="en-GB" w:bidi="km-KH"/>
        </w:rPr>
        <w:tab/>
      </w:r>
      <w:bookmarkEnd w:id="16"/>
      <w:r w:rsidR="00374074" w:rsidRPr="00374074">
        <w:rPr>
          <w:lang w:eastAsia="en-GB" w:bidi="km-KH"/>
        </w:rPr>
        <w:t>Equal recognition before the law</w:t>
      </w:r>
      <w:bookmarkEnd w:id="17"/>
      <w:r>
        <w:rPr>
          <w:lang w:eastAsia="en-GB" w:bidi="km-KH"/>
        </w:rPr>
        <w:br/>
      </w:r>
      <w:r w:rsidRPr="00374074">
        <w:rPr>
          <w:lang w:eastAsia="en-GB" w:bidi="km-KH"/>
        </w:rPr>
        <w:t>Article 12</w:t>
      </w:r>
    </w:p>
    <w:p w14:paraId="580537CF" w14:textId="77777777" w:rsidR="00374074" w:rsidRPr="00374074" w:rsidRDefault="00374074" w:rsidP="0040290C">
      <w:pPr>
        <w:pStyle w:val="SingleTxtG"/>
        <w:numPr>
          <w:ilvl w:val="0"/>
          <w:numId w:val="7"/>
        </w:numPr>
        <w:ind w:left="1134" w:firstLine="0"/>
        <w:rPr>
          <w:lang w:eastAsia="en-GB"/>
        </w:rPr>
      </w:pPr>
      <w:r w:rsidRPr="00374074">
        <w:rPr>
          <w:lang w:eastAsia="en-GB"/>
        </w:rPr>
        <w:t xml:space="preserve">The Constitution recognizes and respects human rights as enshrined in the United Nations Charter, the Universal Declaration of Human Rights (UDHR) and all the treaties and </w:t>
      </w:r>
      <w:r w:rsidRPr="00374074">
        <w:rPr>
          <w:lang w:eastAsia="en-GB"/>
        </w:rPr>
        <w:lastRenderedPageBreak/>
        <w:t>conventions related to human rights, women’s rights and children’s rights; in addition, all Khmer citizens are equal before the law, enjoying the same rights, freedoms</w:t>
      </w:r>
      <w:r w:rsidRPr="00374074">
        <w:rPr>
          <w:rFonts w:eastAsia="Malgun Gothic"/>
          <w:lang w:eastAsia="ko-KR"/>
        </w:rPr>
        <w:t>,</w:t>
      </w:r>
      <w:r w:rsidRPr="00374074">
        <w:rPr>
          <w:lang w:eastAsia="en-GB"/>
        </w:rPr>
        <w:t xml:space="preserve"> and duties regardless of race, colour, sex, language, religion, political tendency, birth origin, social status, wealth, or other status (art. 31). In addition to the individual rights enshrined in the Constitution, the LPRPD safeguards the rights, freedoms and interests of persons with disabilities.</w:t>
      </w:r>
      <w:r w:rsidRPr="00374074">
        <w:rPr>
          <w:vertAlign w:val="superscript"/>
          <w:lang w:eastAsia="en-GB"/>
        </w:rPr>
        <w:footnoteReference w:id="32"/>
      </w:r>
    </w:p>
    <w:p w14:paraId="5B3ADA43" w14:textId="77777777" w:rsidR="00374074" w:rsidRPr="00374074" w:rsidRDefault="00374074" w:rsidP="0040290C">
      <w:pPr>
        <w:pStyle w:val="SingleTxtG"/>
        <w:numPr>
          <w:ilvl w:val="0"/>
          <w:numId w:val="7"/>
        </w:numPr>
        <w:ind w:left="1134" w:firstLine="0"/>
        <w:rPr>
          <w:lang w:eastAsia="en-GB"/>
        </w:rPr>
      </w:pPr>
      <w:r w:rsidRPr="00374074">
        <w:rPr>
          <w:lang w:eastAsia="en-GB"/>
        </w:rPr>
        <w:t xml:space="preserve">Khmer </w:t>
      </w:r>
      <w:r w:rsidRPr="00374074">
        <w:rPr>
          <w:rFonts w:eastAsia="Malgun Gothic"/>
          <w:lang w:eastAsia="ko-KR"/>
        </w:rPr>
        <w:t>c</w:t>
      </w:r>
      <w:r w:rsidRPr="00374074">
        <w:rPr>
          <w:lang w:eastAsia="en-GB"/>
        </w:rPr>
        <w:t>itizens, including persons with disabilities (individually or collectively), shall have the right to own property, with legal private ownership protected by law, and expropriation</w:t>
      </w:r>
      <w:r w:rsidRPr="00374074">
        <w:rPr>
          <w:rFonts w:eastAsia="Malgun Gothic"/>
          <w:lang w:eastAsia="ko-KR"/>
        </w:rPr>
        <w:t xml:space="preserve"> is</w:t>
      </w:r>
      <w:r w:rsidRPr="00374074">
        <w:rPr>
          <w:lang w:eastAsia="en-GB"/>
        </w:rPr>
        <w:t xml:space="preserve"> only possible in the public interest as provided by law and if prior appropriate and fair compensation is granted.</w:t>
      </w:r>
      <w:r w:rsidRPr="00374074">
        <w:rPr>
          <w:vertAlign w:val="superscript"/>
          <w:cs/>
          <w:lang w:eastAsia="en-GB" w:bidi="km-KH"/>
        </w:rPr>
        <w:footnoteReference w:id="33"/>
      </w:r>
    </w:p>
    <w:p w14:paraId="7BD422EA" w14:textId="493B9DD5" w:rsidR="00374074" w:rsidRPr="00374074" w:rsidRDefault="002F703D" w:rsidP="002F703D">
      <w:pPr>
        <w:pStyle w:val="H1G"/>
        <w:rPr>
          <w:lang w:eastAsia="en-GB" w:bidi="km-KH"/>
        </w:rPr>
      </w:pPr>
      <w:bookmarkStart w:id="18" w:name="_Toc92875436"/>
      <w:bookmarkStart w:id="19" w:name="_Toc215321697"/>
      <w:r>
        <w:rPr>
          <w:lang w:eastAsia="en-GB" w:bidi="km-KH"/>
        </w:rPr>
        <w:tab/>
      </w:r>
      <w:r>
        <w:rPr>
          <w:lang w:eastAsia="en-GB" w:bidi="km-KH"/>
        </w:rPr>
        <w:tab/>
      </w:r>
      <w:r w:rsidR="00374074" w:rsidRPr="00374074">
        <w:rPr>
          <w:lang w:eastAsia="en-GB" w:bidi="km-KH"/>
        </w:rPr>
        <w:t>Access to justice</w:t>
      </w:r>
      <w:bookmarkEnd w:id="18"/>
      <w:bookmarkEnd w:id="19"/>
      <w:r>
        <w:rPr>
          <w:lang w:eastAsia="en-GB" w:bidi="km-KH"/>
        </w:rPr>
        <w:br/>
      </w:r>
      <w:r w:rsidRPr="00374074">
        <w:rPr>
          <w:lang w:eastAsia="en-GB" w:bidi="km-KH"/>
        </w:rPr>
        <w:t>Article 13</w:t>
      </w:r>
    </w:p>
    <w:p w14:paraId="144C5E66" w14:textId="77777777" w:rsidR="00374074" w:rsidRPr="00374074" w:rsidRDefault="00374074" w:rsidP="0040290C">
      <w:pPr>
        <w:pStyle w:val="SingleTxtG"/>
        <w:numPr>
          <w:ilvl w:val="0"/>
          <w:numId w:val="7"/>
        </w:numPr>
        <w:ind w:left="1134" w:firstLine="0"/>
        <w:rPr>
          <w:lang w:eastAsia="en-GB"/>
        </w:rPr>
      </w:pPr>
      <w:r w:rsidRPr="00374074">
        <w:rPr>
          <w:lang w:eastAsia="en-GB"/>
        </w:rPr>
        <w:t>The Cambodian Constitution recognizes that every citizen is equal before the law (art. 31) and prohibits physical abuse and violations of life, honour and dignity of citizens (art. 38). Laws are also in place to prevent physical punishment or any other treatment that imposes additional punishment on a detainee or prisoner, and to punish those who commit, participate in or conspire to commit such acts.</w:t>
      </w:r>
      <w:r w:rsidRPr="00374074">
        <w:rPr>
          <w:vertAlign w:val="superscript"/>
          <w:cs/>
          <w:lang w:eastAsia="en-GB" w:bidi="km-KH"/>
        </w:rPr>
        <w:footnoteReference w:id="34"/>
      </w:r>
      <w:r w:rsidRPr="00374074">
        <w:rPr>
          <w:rFonts w:hint="cs"/>
          <w:szCs w:val="39"/>
          <w:cs/>
          <w:lang w:eastAsia="en-GB" w:bidi="km-KH"/>
        </w:rPr>
        <w:t>​</w:t>
      </w:r>
    </w:p>
    <w:p w14:paraId="50CE3E67" w14:textId="77777777" w:rsidR="00374074" w:rsidRPr="00374074" w:rsidRDefault="00374074" w:rsidP="0040290C">
      <w:pPr>
        <w:pStyle w:val="SingleTxtG"/>
        <w:numPr>
          <w:ilvl w:val="0"/>
          <w:numId w:val="7"/>
        </w:numPr>
        <w:ind w:left="1134" w:firstLine="0"/>
        <w:rPr>
          <w:lang w:eastAsia="en-GB"/>
        </w:rPr>
      </w:pPr>
      <w:r w:rsidRPr="00374074">
        <w:rPr>
          <w:lang w:eastAsia="en-GB"/>
        </w:rPr>
        <w:t xml:space="preserve">In addition, the Constitution states that </w:t>
      </w:r>
      <w:r w:rsidRPr="002F703D">
        <w:rPr>
          <w:i/>
          <w:iCs/>
          <w:lang w:eastAsia="en-GB"/>
        </w:rPr>
        <w:t>“Every citizen shall enjoy the right to defense through judicial recourse ”</w:t>
      </w:r>
      <w:r w:rsidRPr="00374074">
        <w:rPr>
          <w:lang w:eastAsia="en-GB"/>
        </w:rPr>
        <w:t xml:space="preserve"> (art. 38), and </w:t>
      </w:r>
      <w:r w:rsidRPr="002F703D">
        <w:rPr>
          <w:i/>
          <w:iCs/>
          <w:lang w:eastAsia="en-GB"/>
        </w:rPr>
        <w:t>“Khmer citizens have the right to denounce, make complaints or file claims against any breach of the law by state and social organs or by member of such organs committed during the course of their duties”</w:t>
      </w:r>
      <w:r w:rsidRPr="00374074">
        <w:rPr>
          <w:lang w:eastAsia="en-GB"/>
        </w:rPr>
        <w:t xml:space="preserve"> (art. 39). As Cambodian citizens, persons with disabilities have equal rights </w:t>
      </w:r>
      <w:r w:rsidRPr="00374074">
        <w:rPr>
          <w:rFonts w:eastAsia="Malgun Gothic"/>
          <w:lang w:eastAsia="ko-KR"/>
        </w:rPr>
        <w:t xml:space="preserve">to </w:t>
      </w:r>
      <w:r w:rsidRPr="00374074">
        <w:rPr>
          <w:lang w:eastAsia="en-GB"/>
        </w:rPr>
        <w:t>access justice just like other citizens. The Ministry of Justice (MoJ) provides legal aid to persons with disabilities, and the MoEYS provides sign language interpreters for communication with persons with hearing impairments. Additionally, the MoJ provides training to prison personnel related to disability.</w:t>
      </w:r>
      <w:r w:rsidRPr="00374074">
        <w:rPr>
          <w:vertAlign w:val="superscript"/>
          <w:cs/>
          <w:lang w:eastAsia="en-GB"/>
        </w:rPr>
        <w:footnoteReference w:id="35"/>
      </w:r>
    </w:p>
    <w:p w14:paraId="133CDCF9" w14:textId="77777777" w:rsidR="00374074" w:rsidRPr="00374074" w:rsidRDefault="00374074" w:rsidP="0040290C">
      <w:pPr>
        <w:pStyle w:val="SingleTxtG"/>
        <w:numPr>
          <w:ilvl w:val="0"/>
          <w:numId w:val="7"/>
        </w:numPr>
        <w:ind w:left="1134" w:firstLine="0"/>
        <w:rPr>
          <w:lang w:eastAsia="en-GB" w:bidi="km-KH"/>
        </w:rPr>
      </w:pPr>
      <w:r w:rsidRPr="00374074">
        <w:rPr>
          <w:shd w:val="clear" w:color="auto" w:fill="FFFFFF"/>
          <w:lang w:eastAsia="en-GB"/>
        </w:rPr>
        <w:t xml:space="preserve">Every </w:t>
      </w:r>
      <w:r w:rsidRPr="002F703D">
        <w:rPr>
          <w:lang w:eastAsia="en-GB"/>
        </w:rPr>
        <w:t>person</w:t>
      </w:r>
      <w:r w:rsidRPr="00374074">
        <w:rPr>
          <w:shd w:val="clear" w:color="auto" w:fill="FFFFFF"/>
          <w:lang w:eastAsia="en-GB"/>
        </w:rPr>
        <w:t xml:space="preserve"> has the right to a fair trial and to be heard by a competent, independent, and impartial court. Article 2 of the LPRPD states  its purpose is “</w:t>
      </w:r>
      <w:r w:rsidRPr="00374074">
        <w:rPr>
          <w:i/>
          <w:iCs/>
          <w:shd w:val="clear" w:color="auto" w:fill="FFFFFF"/>
          <w:lang w:eastAsia="en-GB"/>
        </w:rPr>
        <w:t>to protect the rights, freedoms</w:t>
      </w:r>
      <w:r w:rsidRPr="00374074">
        <w:rPr>
          <w:rFonts w:eastAsia="Malgun Gothic"/>
          <w:i/>
          <w:iCs/>
          <w:shd w:val="clear" w:color="auto" w:fill="FFFFFF"/>
          <w:lang w:eastAsia="ko-KR"/>
        </w:rPr>
        <w:t>,</w:t>
      </w:r>
      <w:r w:rsidRPr="00374074">
        <w:rPr>
          <w:i/>
          <w:iCs/>
          <w:shd w:val="clear" w:color="auto" w:fill="FFFFFF"/>
          <w:lang w:eastAsia="en-GB"/>
        </w:rPr>
        <w:t xml:space="preserve"> and interests of persons with disabilities”</w:t>
      </w:r>
      <w:r w:rsidRPr="00374074">
        <w:rPr>
          <w:shd w:val="clear" w:color="auto" w:fill="FFFFFF"/>
          <w:lang w:eastAsia="en-GB"/>
        </w:rPr>
        <w:t>;</w:t>
      </w:r>
      <w:r w:rsidRPr="00374074">
        <w:rPr>
          <w:i/>
          <w:iCs/>
          <w:shd w:val="clear" w:color="auto" w:fill="FFFFFF"/>
          <w:lang w:eastAsia="en-GB"/>
        </w:rPr>
        <w:t xml:space="preserve"> “to prevent, reduce, and eliminate discrimination against persons with disabilities”</w:t>
      </w:r>
      <w:r w:rsidRPr="00374074">
        <w:rPr>
          <w:shd w:val="clear" w:color="auto" w:fill="FFFFFF"/>
          <w:lang w:eastAsia="en-GB"/>
        </w:rPr>
        <w:t>, as well as</w:t>
      </w:r>
      <w:r w:rsidRPr="00374074">
        <w:rPr>
          <w:i/>
          <w:iCs/>
          <w:shd w:val="clear" w:color="auto" w:fill="FFFFFF"/>
          <w:lang w:eastAsia="en-GB"/>
        </w:rPr>
        <w:t xml:space="preserve"> </w:t>
      </w:r>
      <w:r w:rsidRPr="00374074">
        <w:rPr>
          <w:shd w:val="clear" w:color="auto" w:fill="FFFFFF"/>
          <w:lang w:eastAsia="en-GB"/>
        </w:rPr>
        <w:t>“</w:t>
      </w:r>
      <w:r w:rsidRPr="00374074">
        <w:rPr>
          <w:i/>
          <w:iCs/>
          <w:shd w:val="clear" w:color="auto" w:fill="FFFFFF"/>
          <w:lang w:eastAsia="en-GB"/>
        </w:rPr>
        <w:t>to rehabilitate persons with disabilities physically, mentally</w:t>
      </w:r>
      <w:r w:rsidRPr="00374074">
        <w:rPr>
          <w:rFonts w:eastAsia="Malgun Gothic"/>
          <w:i/>
          <w:iCs/>
          <w:shd w:val="clear" w:color="auto" w:fill="FFFFFF"/>
          <w:lang w:eastAsia="ko-KR"/>
        </w:rPr>
        <w:t>,</w:t>
      </w:r>
      <w:r w:rsidRPr="00374074">
        <w:rPr>
          <w:i/>
          <w:iCs/>
          <w:shd w:val="clear" w:color="auto" w:fill="FFFFFF"/>
          <w:lang w:eastAsia="en-GB"/>
        </w:rPr>
        <w:t xml:space="preserve"> and vocationally in order to ensure that they are able to participate fully and equally in activities within society</w:t>
      </w:r>
      <w:r w:rsidRPr="00374074">
        <w:rPr>
          <w:shd w:val="clear" w:color="auto" w:fill="FFFFFF"/>
          <w:lang w:eastAsia="en-GB"/>
        </w:rPr>
        <w:t>”.</w:t>
      </w:r>
      <w:r w:rsidRPr="00374074">
        <w:rPr>
          <w:shd w:val="clear" w:color="auto" w:fill="FFFFFF"/>
          <w:vertAlign w:val="superscript"/>
          <w:lang w:eastAsia="en-GB"/>
        </w:rPr>
        <w:footnoteReference w:id="36"/>
      </w:r>
      <w:r w:rsidRPr="00374074">
        <w:rPr>
          <w:vertAlign w:val="superscript"/>
          <w:cs/>
          <w:lang w:eastAsia="en-GB" w:bidi="km-KH"/>
        </w:rPr>
        <w:t xml:space="preserve"> </w:t>
      </w:r>
      <w:r w:rsidRPr="00374074">
        <w:rPr>
          <w:shd w:val="clear" w:color="auto" w:fill="FFFFFF"/>
          <w:lang w:eastAsia="en-GB"/>
        </w:rPr>
        <w:t>Article 28 of the Civil Code provides that “</w:t>
      </w:r>
      <w:r w:rsidRPr="00374074">
        <w:rPr>
          <w:i/>
          <w:iCs/>
          <w:szCs w:val="39"/>
          <w:shd w:val="clear" w:color="auto" w:fill="FFFFFF"/>
          <w:lang w:eastAsia="en-GB" w:bidi="km-KH"/>
        </w:rPr>
        <w:t>with</w:t>
      </w:r>
      <w:r w:rsidRPr="00374074">
        <w:rPr>
          <w:i/>
          <w:iCs/>
          <w:shd w:val="clear" w:color="auto" w:fill="FFFFFF"/>
          <w:lang w:eastAsia="en-GB"/>
        </w:rPr>
        <w:t xml:space="preserve"> respect to a person whose ability to recognize and understand the legal consequences of their actions is substantially impaired due to mental disability, the court may declare the commencement of curatorship at the request of the person themselves, their spouse, any relative within the fourth degree of consanguinity, the guardian, a guardian’s supervisor, the chief of the </w:t>
      </w:r>
      <w:r w:rsidRPr="00374074">
        <w:rPr>
          <w:rFonts w:eastAsia="Malgun Gothic"/>
          <w:i/>
          <w:iCs/>
          <w:shd w:val="clear" w:color="auto" w:fill="FFFFFF"/>
          <w:lang w:eastAsia="ko-KR"/>
        </w:rPr>
        <w:t>c</w:t>
      </w:r>
      <w:r w:rsidRPr="00374074">
        <w:rPr>
          <w:i/>
          <w:iCs/>
          <w:shd w:val="clear" w:color="auto" w:fill="FFFFFF"/>
          <w:lang w:eastAsia="en-GB"/>
        </w:rPr>
        <w:t xml:space="preserve">ommune or </w:t>
      </w:r>
      <w:r w:rsidRPr="00374074">
        <w:rPr>
          <w:rFonts w:eastAsia="Malgun Gothic"/>
          <w:i/>
          <w:iCs/>
          <w:shd w:val="clear" w:color="auto" w:fill="FFFFFF"/>
          <w:lang w:eastAsia="ko-KR"/>
        </w:rPr>
        <w:t>s</w:t>
      </w:r>
      <w:r w:rsidRPr="00374074">
        <w:rPr>
          <w:i/>
          <w:iCs/>
          <w:shd w:val="clear" w:color="auto" w:fill="FFFFFF"/>
          <w:lang w:eastAsia="en-GB"/>
        </w:rPr>
        <w:t>angkat where the person’s domicile is located, or a prosecutor</w:t>
      </w:r>
      <w:r w:rsidRPr="00374074">
        <w:rPr>
          <w:shd w:val="clear" w:color="auto" w:fill="FFFFFF"/>
          <w:lang w:eastAsia="en-GB"/>
        </w:rPr>
        <w:t>”.</w:t>
      </w:r>
      <w:r w:rsidRPr="00374074">
        <w:rPr>
          <w:vertAlign w:val="superscript"/>
          <w:cs/>
          <w:lang w:eastAsia="en-GB" w:bidi="km-KH"/>
        </w:rPr>
        <w:footnoteReference w:id="37"/>
      </w:r>
    </w:p>
    <w:p w14:paraId="20F5F0FC" w14:textId="77777777" w:rsidR="00374074" w:rsidRPr="00374074" w:rsidRDefault="00374074" w:rsidP="0040290C">
      <w:pPr>
        <w:pStyle w:val="SingleTxtG"/>
        <w:numPr>
          <w:ilvl w:val="0"/>
          <w:numId w:val="7"/>
        </w:numPr>
        <w:ind w:left="1134" w:firstLine="0"/>
        <w:rPr>
          <w:lang w:eastAsia="en-GB"/>
        </w:rPr>
      </w:pPr>
      <w:r w:rsidRPr="00374074">
        <w:rPr>
          <w:lang w:eastAsia="en-GB"/>
        </w:rPr>
        <w:t>The Ministry of Justice (MoJ) and members of the Disability Action Working Group play a crucial role in facilitating t</w:t>
      </w:r>
      <w:r w:rsidRPr="00374074">
        <w:rPr>
          <w:rFonts w:eastAsia="Malgun Gothic"/>
          <w:lang w:eastAsia="ko-KR"/>
        </w:rPr>
        <w:t>he</w:t>
      </w:r>
      <w:r w:rsidRPr="00374074">
        <w:rPr>
          <w:lang w:eastAsia="en-GB"/>
        </w:rPr>
        <w:t xml:space="preserve"> provi</w:t>
      </w:r>
      <w:r w:rsidRPr="00374074">
        <w:rPr>
          <w:rFonts w:eastAsia="Malgun Gothic"/>
          <w:lang w:eastAsia="ko-KR"/>
        </w:rPr>
        <w:t>sion of</w:t>
      </w:r>
      <w:r w:rsidRPr="00374074">
        <w:rPr>
          <w:lang w:eastAsia="en-GB"/>
        </w:rPr>
        <w:t xml:space="preserve"> justice</w:t>
      </w:r>
      <w:r w:rsidRPr="00374074">
        <w:rPr>
          <w:rFonts w:eastAsia="Malgun Gothic"/>
          <w:lang w:eastAsia="ko-KR"/>
        </w:rPr>
        <w:t xml:space="preserve"> for</w:t>
      </w:r>
      <w:r w:rsidRPr="00374074">
        <w:rPr>
          <w:lang w:eastAsia="en-GB"/>
        </w:rPr>
        <w:t xml:space="preserve"> persons with disabilities. The DAC-SG has </w:t>
      </w:r>
      <w:r w:rsidRPr="002F703D">
        <w:rPr>
          <w:shd w:val="clear" w:color="auto" w:fill="FFFFFF"/>
          <w:lang w:eastAsia="en-GB"/>
        </w:rPr>
        <w:t>intervened</w:t>
      </w:r>
      <w:r w:rsidRPr="00374074">
        <w:rPr>
          <w:lang w:eastAsia="en-GB"/>
        </w:rPr>
        <w:t xml:space="preserve"> in various cases, including land disputes, rape, traffic accidents, violence, internal association disputes, criminal litigation and labour disputes.</w:t>
      </w:r>
    </w:p>
    <w:p w14:paraId="162AB3B0" w14:textId="77777777" w:rsidR="00374074" w:rsidRPr="00374074" w:rsidRDefault="00374074" w:rsidP="0040290C">
      <w:pPr>
        <w:pStyle w:val="SingleTxtG"/>
        <w:numPr>
          <w:ilvl w:val="0"/>
          <w:numId w:val="7"/>
        </w:numPr>
        <w:ind w:left="1134" w:firstLine="0"/>
        <w:rPr>
          <w:lang w:eastAsia="en-GB"/>
        </w:rPr>
      </w:pPr>
      <w:r w:rsidRPr="00374074">
        <w:rPr>
          <w:lang w:eastAsia="en-GB"/>
        </w:rPr>
        <w:lastRenderedPageBreak/>
        <w:t xml:space="preserve">According to article 31 of the Criminal Code (2010), a person who, at the time of committing an offense, was suffering from a mental disorder which destroyed his or her capacity to reason, shall not be held criminally responsible. However, this exemption does not apply to a person who, at the time he or she committed an offense, was suffering from a mental disorder resulting from the </w:t>
      </w:r>
      <w:r w:rsidRPr="00374074">
        <w:rPr>
          <w:szCs w:val="39"/>
          <w:lang w:eastAsia="en-GB" w:bidi="km-KH"/>
        </w:rPr>
        <w:t>consumption</w:t>
      </w:r>
      <w:r w:rsidRPr="00374074">
        <w:rPr>
          <w:lang w:eastAsia="en-GB"/>
        </w:rPr>
        <w:t xml:space="preserve"> of alcohol, drugs or prohibited substances.</w:t>
      </w:r>
    </w:p>
    <w:p w14:paraId="7F3C2CFE" w14:textId="77777777" w:rsidR="00374074" w:rsidRPr="00374074" w:rsidRDefault="00374074" w:rsidP="0040290C">
      <w:pPr>
        <w:pStyle w:val="SingleTxtG"/>
        <w:numPr>
          <w:ilvl w:val="0"/>
          <w:numId w:val="7"/>
        </w:numPr>
        <w:ind w:left="1134" w:firstLine="0"/>
        <w:rPr>
          <w:lang w:eastAsia="en-GB"/>
        </w:rPr>
      </w:pPr>
      <w:r w:rsidRPr="00374074">
        <w:rPr>
          <w:lang w:eastAsia="en-GB"/>
        </w:rPr>
        <w:t>Persons with disabilities who are incarcerated in prisons must undergo an initial medical examination by a prison medical officer</w:t>
      </w:r>
      <w:r w:rsidRPr="00374074">
        <w:rPr>
          <w:szCs w:val="39"/>
          <w:cs/>
          <w:lang w:eastAsia="en-GB" w:bidi="km-KH"/>
        </w:rPr>
        <w:t xml:space="preserve"> </w:t>
      </w:r>
      <w:r w:rsidRPr="00374074">
        <w:rPr>
          <w:szCs w:val="39"/>
          <w:lang w:eastAsia="en-GB" w:bidi="km-KH"/>
        </w:rPr>
        <w:t>to</w:t>
      </w:r>
      <w:r w:rsidRPr="00374074">
        <w:rPr>
          <w:lang w:eastAsia="en-GB"/>
        </w:rPr>
        <w:t xml:space="preserve"> identify and record details of any injury, mental illness, physical impairments or other relevant details necessary to assess their physical abilit</w:t>
      </w:r>
      <w:r w:rsidRPr="00374074">
        <w:rPr>
          <w:rFonts w:eastAsia="Malgun Gothic"/>
          <w:lang w:eastAsia="ko-KR"/>
        </w:rPr>
        <w:t>y</w:t>
      </w:r>
      <w:r w:rsidRPr="00374074">
        <w:rPr>
          <w:lang w:eastAsia="en-GB"/>
        </w:rPr>
        <w:t xml:space="preserve"> to participate in prison labour</w:t>
      </w:r>
      <w:r w:rsidRPr="00374074">
        <w:rPr>
          <w:rFonts w:eastAsia="Malgun Gothic"/>
          <w:lang w:eastAsia="ko-KR"/>
        </w:rPr>
        <w:t>,</w:t>
      </w:r>
      <w:r w:rsidRPr="00374074">
        <w:rPr>
          <w:lang w:eastAsia="en-GB"/>
        </w:rPr>
        <w:t xml:space="preserve"> with attention to their specific and distinct needs.</w:t>
      </w:r>
      <w:r w:rsidRPr="00374074">
        <w:rPr>
          <w:vertAlign w:val="superscript"/>
          <w:cs/>
          <w:lang w:eastAsia="en-GB" w:bidi="km-KH"/>
        </w:rPr>
        <w:footnoteReference w:id="38"/>
      </w:r>
    </w:p>
    <w:p w14:paraId="4297061B" w14:textId="77777777" w:rsidR="00374074" w:rsidRPr="00374074" w:rsidRDefault="00374074" w:rsidP="0040290C">
      <w:pPr>
        <w:pStyle w:val="SingleTxtG"/>
        <w:numPr>
          <w:ilvl w:val="0"/>
          <w:numId w:val="7"/>
        </w:numPr>
        <w:ind w:left="1134" w:firstLine="0"/>
        <w:rPr>
          <w:lang w:eastAsia="en-GB"/>
        </w:rPr>
      </w:pPr>
      <w:r w:rsidRPr="00374074">
        <w:rPr>
          <w:lang w:eastAsia="en-GB"/>
        </w:rPr>
        <w:t>The DAC-SG organized various consultative workshops on access to justice for persons with disabilities</w:t>
      </w:r>
      <w:r w:rsidRPr="00374074">
        <w:rPr>
          <w:rFonts w:eastAsia="Malgun Gothic"/>
          <w:lang w:eastAsia="ko-KR"/>
        </w:rPr>
        <w:t>,</w:t>
      </w:r>
      <w:r w:rsidRPr="00374074">
        <w:rPr>
          <w:lang w:eastAsia="en-GB"/>
        </w:rPr>
        <w:t xml:space="preserve"> including representatives from the MoJ, Capital and Provincial Disability Action Councils, Capital and Provincial Departments of Social Affairs, Veterans and Youth Rehabilitation, OPDs, national and international organizations, relevant partners, and persons with disabilities.</w:t>
      </w:r>
      <w:bookmarkStart w:id="20" w:name="_Toc392839034"/>
      <w:bookmarkStart w:id="21" w:name="_Toc92875437"/>
    </w:p>
    <w:p w14:paraId="36D22123" w14:textId="5ACC2D3D" w:rsidR="00374074" w:rsidRPr="00374074" w:rsidRDefault="00B376A1" w:rsidP="00B376A1">
      <w:pPr>
        <w:pStyle w:val="H1G"/>
        <w:rPr>
          <w:bCs/>
          <w:lang w:eastAsia="en-GB" w:bidi="km-KH"/>
        </w:rPr>
      </w:pPr>
      <w:bookmarkStart w:id="22" w:name="_Toc215321698"/>
      <w:r>
        <w:rPr>
          <w:lang w:eastAsia="en-GB" w:bidi="km-KH"/>
        </w:rPr>
        <w:tab/>
      </w:r>
      <w:r>
        <w:rPr>
          <w:lang w:eastAsia="en-GB" w:bidi="km-KH"/>
        </w:rPr>
        <w:tab/>
      </w:r>
      <w:bookmarkEnd w:id="20"/>
      <w:bookmarkEnd w:id="21"/>
      <w:r w:rsidR="00374074" w:rsidRPr="00374074">
        <w:rPr>
          <w:lang w:eastAsia="en-GB" w:bidi="km-KH"/>
        </w:rPr>
        <w:t>Liberty and security of the person</w:t>
      </w:r>
      <w:bookmarkEnd w:id="22"/>
      <w:r>
        <w:rPr>
          <w:lang w:eastAsia="en-GB" w:bidi="km-KH"/>
        </w:rPr>
        <w:br/>
      </w:r>
      <w:r w:rsidRPr="00374074">
        <w:rPr>
          <w:lang w:eastAsia="en-GB" w:bidi="km-KH"/>
        </w:rPr>
        <w:t>Article</w:t>
      </w:r>
      <w:r w:rsidRPr="00374074">
        <w:rPr>
          <w:bCs/>
          <w:lang w:eastAsia="en-GB" w:bidi="km-KH"/>
        </w:rPr>
        <w:t xml:space="preserve"> </w:t>
      </w:r>
      <w:r w:rsidRPr="00374074">
        <w:rPr>
          <w:bCs/>
          <w:cs/>
          <w:lang w:eastAsia="en-GB" w:bidi="km-KH"/>
        </w:rPr>
        <w:t>14</w:t>
      </w:r>
    </w:p>
    <w:p w14:paraId="364E01B3" w14:textId="77777777" w:rsidR="00374074" w:rsidRPr="00374074" w:rsidRDefault="00374074" w:rsidP="0040290C">
      <w:pPr>
        <w:pStyle w:val="SingleTxtG"/>
        <w:numPr>
          <w:ilvl w:val="0"/>
          <w:numId w:val="7"/>
        </w:numPr>
        <w:ind w:left="1134" w:firstLine="0"/>
        <w:rPr>
          <w:lang w:eastAsia="en-GB"/>
        </w:rPr>
      </w:pPr>
      <w:r w:rsidRPr="00374074">
        <w:rPr>
          <w:lang w:eastAsia="en-GB"/>
        </w:rPr>
        <w:t>Persons with disabilities are entitled to the same rights, freedoms and security of person as other individuals, as defined and protected by the Constitution</w:t>
      </w:r>
      <w:r w:rsidRPr="00374074">
        <w:rPr>
          <w:szCs w:val="24"/>
          <w:vertAlign w:val="superscript"/>
          <w:cs/>
          <w:lang w:eastAsia="en-GB" w:bidi="km-KH"/>
        </w:rPr>
        <w:footnoteReference w:id="39"/>
      </w:r>
      <w:r w:rsidRPr="00374074">
        <w:rPr>
          <w:lang w:eastAsia="en-GB"/>
        </w:rPr>
        <w:t xml:space="preserve"> and the Criminal Code.</w:t>
      </w:r>
    </w:p>
    <w:p w14:paraId="69A3FC87" w14:textId="77777777" w:rsidR="00374074" w:rsidRPr="00374074" w:rsidRDefault="00374074" w:rsidP="0040290C">
      <w:pPr>
        <w:pStyle w:val="SingleTxtG"/>
        <w:numPr>
          <w:ilvl w:val="0"/>
          <w:numId w:val="7"/>
        </w:numPr>
        <w:ind w:left="1134" w:firstLine="0"/>
        <w:rPr>
          <w:lang w:eastAsia="en-GB"/>
        </w:rPr>
      </w:pPr>
      <w:r w:rsidRPr="00374074">
        <w:rPr>
          <w:lang w:eastAsia="en-GB"/>
        </w:rPr>
        <w:t>The LPRPD (chapter 12, arts. 50-53) protects the rights, freedoms and security of persons with disabilities from various forms of violence, coercion, intimidation and fraudulent acts preventing persons with disabilities from participating in elections; deliberate and inhumane neglect and abandonment of persons with disabilities; abuse of power over persons with disabilities by withholding food or care which could result in endangering their health; and deliberate exploitation by taking advantage of the vulnerability or weaknesses of persons with disabilities. The commission of any of these acts is punishable with imprisonment and fines.</w:t>
      </w:r>
    </w:p>
    <w:p w14:paraId="531BB257" w14:textId="147DF1E7" w:rsidR="00374074" w:rsidRPr="00374074" w:rsidRDefault="00B376A1" w:rsidP="00B376A1">
      <w:pPr>
        <w:pStyle w:val="H1G"/>
        <w:rPr>
          <w:lang w:eastAsia="en-GB"/>
        </w:rPr>
      </w:pPr>
      <w:bookmarkStart w:id="23" w:name="_Toc215321699"/>
      <w:r>
        <w:rPr>
          <w:lang w:eastAsia="en-GB"/>
        </w:rPr>
        <w:tab/>
      </w:r>
      <w:r>
        <w:rPr>
          <w:lang w:eastAsia="en-GB"/>
        </w:rPr>
        <w:tab/>
      </w:r>
      <w:r w:rsidR="00374074" w:rsidRPr="00374074">
        <w:rPr>
          <w:lang w:eastAsia="en-GB"/>
        </w:rPr>
        <w:t>Freedom from torture or cruel, inhuman or degrading treatment or punishment</w:t>
      </w:r>
      <w:bookmarkEnd w:id="23"/>
      <w:r>
        <w:rPr>
          <w:lang w:eastAsia="en-GB"/>
        </w:rPr>
        <w:br/>
      </w:r>
      <w:r w:rsidRPr="00374074">
        <w:rPr>
          <w:lang w:eastAsia="en-GB"/>
        </w:rPr>
        <w:t>Article 15</w:t>
      </w:r>
    </w:p>
    <w:p w14:paraId="689591A3" w14:textId="77777777" w:rsidR="00374074" w:rsidRPr="00374074" w:rsidRDefault="00374074" w:rsidP="0040290C">
      <w:pPr>
        <w:pStyle w:val="SingleTxtG"/>
        <w:numPr>
          <w:ilvl w:val="0"/>
          <w:numId w:val="7"/>
        </w:numPr>
        <w:ind w:left="1134" w:firstLine="0"/>
        <w:rPr>
          <w:lang w:eastAsia="en-GB"/>
        </w:rPr>
      </w:pPr>
      <w:r w:rsidRPr="00374074">
        <w:rPr>
          <w:lang w:eastAsia="en-GB"/>
        </w:rPr>
        <w:t xml:space="preserve">The RGC </w:t>
      </w:r>
      <w:r w:rsidRPr="00374074">
        <w:rPr>
          <w:shd w:val="clear" w:color="auto" w:fill="FFFFFF"/>
          <w:lang w:eastAsia="en-GB"/>
        </w:rPr>
        <w:t xml:space="preserve">has </w:t>
      </w:r>
      <w:r w:rsidRPr="00374074">
        <w:rPr>
          <w:szCs w:val="39"/>
          <w:shd w:val="clear" w:color="auto" w:fill="FFFFFF"/>
          <w:lang w:eastAsia="en-GB" w:bidi="km-KH"/>
        </w:rPr>
        <w:t xml:space="preserve">paid attention to </w:t>
      </w:r>
      <w:r w:rsidRPr="00374074">
        <w:rPr>
          <w:shd w:val="clear" w:color="auto" w:fill="FFFFFF"/>
          <w:lang w:eastAsia="en-GB"/>
        </w:rPr>
        <w:t xml:space="preserve">freedom from torture and cruel, inhuman or degrading treatment or punishment, which is demonstrated by the ratification of the Convention against Torture and Other Cruel Inhuman or Degrading Treatment or Punishment (CAT) in 1992, and its </w:t>
      </w:r>
      <w:r w:rsidRPr="00374074">
        <w:rPr>
          <w:szCs w:val="39"/>
          <w:shd w:val="clear" w:color="auto" w:fill="FFFFFF"/>
          <w:lang w:eastAsia="en-GB" w:bidi="km-KH"/>
        </w:rPr>
        <w:t>optional</w:t>
      </w:r>
      <w:r w:rsidRPr="00374074">
        <w:rPr>
          <w:shd w:val="clear" w:color="auto" w:fill="FFFFFF"/>
          <w:lang w:eastAsia="en-GB"/>
        </w:rPr>
        <w:t xml:space="preserve"> protocol in 2007, as well as by the Constitution in its article 38.</w:t>
      </w:r>
      <w:r w:rsidRPr="00374074">
        <w:rPr>
          <w:vertAlign w:val="superscript"/>
          <w:cs/>
          <w:lang w:eastAsia="en-GB" w:bidi="km-KH"/>
        </w:rPr>
        <w:footnoteReference w:id="40"/>
      </w:r>
      <w:r w:rsidRPr="00374074">
        <w:rPr>
          <w:shd w:val="clear" w:color="auto" w:fill="FFFFFF"/>
          <w:lang w:eastAsia="en-GB"/>
        </w:rPr>
        <w:t xml:space="preserve"> The Criminal Code (2009) defines torture and acts of cruelty in </w:t>
      </w:r>
      <w:r w:rsidRPr="00374074">
        <w:rPr>
          <w:szCs w:val="39"/>
          <w:shd w:val="clear" w:color="auto" w:fill="FFFFFF"/>
          <w:lang w:eastAsia="en-GB" w:bidi="km-KH"/>
        </w:rPr>
        <w:t>book</w:t>
      </w:r>
      <w:r w:rsidRPr="00374074">
        <w:rPr>
          <w:shd w:val="clear" w:color="auto" w:fill="FFFFFF"/>
          <w:lang w:eastAsia="en-GB"/>
        </w:rPr>
        <w:t xml:space="preserve"> 2 (Crimes against persons), which falls under title 2 (Offences against the person) and chapter 2 (Violations of personal integrity).</w:t>
      </w:r>
      <w:r w:rsidRPr="00374074">
        <w:rPr>
          <w:vertAlign w:val="superscript"/>
          <w:cs/>
          <w:lang w:eastAsia="en-GB"/>
        </w:rPr>
        <w:footnoteReference w:id="41"/>
      </w:r>
    </w:p>
    <w:p w14:paraId="4D0118D8" w14:textId="77777777" w:rsidR="00374074" w:rsidRPr="00374074" w:rsidRDefault="00374074" w:rsidP="0040290C">
      <w:pPr>
        <w:pStyle w:val="SingleTxtG"/>
        <w:numPr>
          <w:ilvl w:val="0"/>
          <w:numId w:val="7"/>
        </w:numPr>
        <w:ind w:left="1134" w:firstLine="0"/>
        <w:rPr>
          <w:sz w:val="36"/>
          <w:lang w:eastAsia="en-GB"/>
        </w:rPr>
      </w:pPr>
      <w:r w:rsidRPr="00374074">
        <w:rPr>
          <w:lang w:eastAsia="en-GB"/>
        </w:rPr>
        <w:t>Victims of torture ha</w:t>
      </w:r>
      <w:r w:rsidRPr="00374074">
        <w:rPr>
          <w:rFonts w:eastAsia="Malgun Gothic"/>
          <w:lang w:eastAsia="ko-KR"/>
        </w:rPr>
        <w:t>ve</w:t>
      </w:r>
      <w:r w:rsidRPr="00374074">
        <w:rPr>
          <w:lang w:eastAsia="en-GB"/>
        </w:rPr>
        <w:t xml:space="preserve"> the right to file a complaint with the CHRC, as well as the Committees of the National </w:t>
      </w:r>
      <w:r w:rsidRPr="00B376A1">
        <w:rPr>
          <w:shd w:val="clear" w:color="auto" w:fill="FFFFFF"/>
          <w:lang w:eastAsia="en-GB"/>
        </w:rPr>
        <w:t>Assembly</w:t>
      </w:r>
      <w:r w:rsidRPr="00374074">
        <w:rPr>
          <w:lang w:eastAsia="en-GB"/>
        </w:rPr>
        <w:t xml:space="preserve"> and </w:t>
      </w:r>
      <w:r w:rsidRPr="00374074">
        <w:rPr>
          <w:rFonts w:eastAsia="Malgun Gothic"/>
          <w:lang w:eastAsia="ko-KR"/>
        </w:rPr>
        <w:t xml:space="preserve">the </w:t>
      </w:r>
      <w:r w:rsidRPr="00374074">
        <w:rPr>
          <w:lang w:eastAsia="en-GB"/>
        </w:rPr>
        <w:t xml:space="preserve">Senate, pursuant to article 39 of the Constitution. </w:t>
      </w:r>
    </w:p>
    <w:p w14:paraId="3E22EF42" w14:textId="77777777" w:rsidR="00374074" w:rsidRPr="00374074" w:rsidRDefault="00374074" w:rsidP="0040290C">
      <w:pPr>
        <w:pStyle w:val="SingleTxtG"/>
        <w:numPr>
          <w:ilvl w:val="0"/>
          <w:numId w:val="7"/>
        </w:numPr>
        <w:ind w:left="1134" w:firstLine="0"/>
        <w:rPr>
          <w:lang w:eastAsia="en-GB"/>
        </w:rPr>
      </w:pPr>
      <w:r w:rsidRPr="00374074">
        <w:rPr>
          <w:shd w:val="clear" w:color="auto" w:fill="FFFFFF"/>
          <w:lang w:eastAsia="en-GB"/>
        </w:rPr>
        <w:lastRenderedPageBreak/>
        <w:t>The RGC has established the National Committee Against Torture,</w:t>
      </w:r>
      <w:r w:rsidRPr="00374074">
        <w:rPr>
          <w:vertAlign w:val="superscript"/>
          <w:cs/>
          <w:lang w:eastAsia="en-GB"/>
        </w:rPr>
        <w:footnoteReference w:id="42"/>
      </w:r>
      <w:r w:rsidRPr="00374074">
        <w:rPr>
          <w:shd w:val="clear" w:color="auto" w:fill="FFFFFF"/>
          <w:lang w:eastAsia="en-GB"/>
        </w:rPr>
        <w:t xml:space="preserve"> mandated to </w:t>
      </w:r>
      <w:r w:rsidRPr="00C0727E">
        <w:rPr>
          <w:i/>
          <w:iCs/>
          <w:shd w:val="clear" w:color="auto" w:fill="FFFFFF"/>
          <w:lang w:eastAsia="en-GB"/>
        </w:rPr>
        <w:t>“prevent and combat torture and other cruel, inhuman or degrading treatment or punishment, and to strengthen the protection of those who are deprived of their liberty from torture”</w:t>
      </w:r>
      <w:r w:rsidRPr="00374074">
        <w:rPr>
          <w:shd w:val="clear" w:color="auto" w:fill="FFFFFF"/>
          <w:lang w:eastAsia="en-GB"/>
        </w:rPr>
        <w:t>.</w:t>
      </w:r>
      <w:r w:rsidRPr="00374074">
        <w:rPr>
          <w:vertAlign w:val="superscript"/>
          <w:cs/>
          <w:lang w:eastAsia="en-GB"/>
        </w:rPr>
        <w:footnoteReference w:id="43"/>
      </w:r>
      <w:r w:rsidRPr="00374074">
        <w:rPr>
          <w:shd w:val="clear" w:color="auto" w:fill="FFFFFF"/>
          <w:lang w:eastAsia="en-GB"/>
        </w:rPr>
        <w:t xml:space="preserve"> </w:t>
      </w:r>
    </w:p>
    <w:p w14:paraId="5D419A2E" w14:textId="1679FB28" w:rsidR="00374074" w:rsidRPr="00374074" w:rsidRDefault="00C0727E" w:rsidP="00C0727E">
      <w:pPr>
        <w:pStyle w:val="H1G"/>
        <w:rPr>
          <w:lang w:eastAsia="en-GB" w:bidi="km-KH"/>
        </w:rPr>
      </w:pPr>
      <w:bookmarkStart w:id="24" w:name="_Toc215321700"/>
      <w:r>
        <w:rPr>
          <w:lang w:eastAsia="en-GB" w:bidi="km-KH"/>
        </w:rPr>
        <w:tab/>
      </w:r>
      <w:r>
        <w:rPr>
          <w:lang w:eastAsia="en-GB" w:bidi="km-KH"/>
        </w:rPr>
        <w:tab/>
      </w:r>
      <w:r w:rsidR="00374074" w:rsidRPr="00374074">
        <w:rPr>
          <w:lang w:eastAsia="en-GB" w:bidi="km-KH"/>
        </w:rPr>
        <w:t>Freedom from exploitation, violence and abuse</w:t>
      </w:r>
      <w:bookmarkEnd w:id="24"/>
      <w:r>
        <w:rPr>
          <w:lang w:eastAsia="en-GB" w:bidi="km-KH"/>
        </w:rPr>
        <w:br/>
      </w:r>
      <w:r w:rsidRPr="00374074">
        <w:rPr>
          <w:lang w:eastAsia="en-GB" w:bidi="km-KH"/>
        </w:rPr>
        <w:t xml:space="preserve">Article </w:t>
      </w:r>
      <w:r w:rsidRPr="00374074">
        <w:rPr>
          <w:bCs/>
          <w:cs/>
          <w:lang w:eastAsia="en-GB" w:bidi="km-KH"/>
        </w:rPr>
        <w:t>16</w:t>
      </w:r>
    </w:p>
    <w:p w14:paraId="38C4C36F" w14:textId="77777777" w:rsidR="00374074" w:rsidRPr="00374074" w:rsidRDefault="00374074" w:rsidP="0040290C">
      <w:pPr>
        <w:pStyle w:val="SingleTxtG"/>
        <w:numPr>
          <w:ilvl w:val="0"/>
          <w:numId w:val="7"/>
        </w:numPr>
        <w:ind w:left="1134" w:firstLine="0"/>
        <w:rPr>
          <w:lang w:eastAsia="en-GB"/>
        </w:rPr>
      </w:pPr>
      <w:r w:rsidRPr="00374074">
        <w:rPr>
          <w:lang w:eastAsia="en-GB"/>
        </w:rPr>
        <w:t xml:space="preserve">The RGC has established and enforced a number of laws and commitments to ensure that the general population, including persons with disabilities, </w:t>
      </w:r>
      <w:r w:rsidRPr="00374074">
        <w:rPr>
          <w:rFonts w:eastAsia="Malgun Gothic"/>
          <w:lang w:eastAsia="ko-KR"/>
        </w:rPr>
        <w:t>is</w:t>
      </w:r>
      <w:r w:rsidRPr="00374074">
        <w:rPr>
          <w:lang w:eastAsia="en-GB"/>
        </w:rPr>
        <w:t xml:space="preserve"> not subject to exploitation or abuse, including the Law on the Suppression of Human Trafficking and Sexual Exploitation (2008), the LPRPD (2009), the Criminal Code (20</w:t>
      </w:r>
      <w:r w:rsidRPr="00374074">
        <w:rPr>
          <w:szCs w:val="39"/>
          <w:lang w:eastAsia="en-GB" w:bidi="km-KH"/>
        </w:rPr>
        <w:t>10</w:t>
      </w:r>
      <w:r w:rsidRPr="00374074">
        <w:rPr>
          <w:lang w:eastAsia="en-GB"/>
        </w:rPr>
        <w:t>) and the Law on the Prevention of Domestic Violence and the Protection of Victims (2015).</w:t>
      </w:r>
    </w:p>
    <w:p w14:paraId="6F8A424D" w14:textId="77777777" w:rsidR="00374074" w:rsidRPr="00374074" w:rsidRDefault="00374074" w:rsidP="0040290C">
      <w:pPr>
        <w:pStyle w:val="SingleTxtG"/>
        <w:numPr>
          <w:ilvl w:val="0"/>
          <w:numId w:val="7"/>
        </w:numPr>
        <w:ind w:left="1134" w:firstLine="0"/>
        <w:rPr>
          <w:lang w:eastAsia="en-GB"/>
        </w:rPr>
      </w:pPr>
      <w:r w:rsidRPr="00374074">
        <w:rPr>
          <w:lang w:eastAsia="en-GB"/>
        </w:rPr>
        <w:t xml:space="preserve">The RGC has made a commitment to </w:t>
      </w:r>
      <w:r w:rsidRPr="00374074">
        <w:rPr>
          <w:rFonts w:eastAsia="Malgun Gothic"/>
          <w:lang w:eastAsia="ko-KR"/>
        </w:rPr>
        <w:t>support</w:t>
      </w:r>
      <w:r w:rsidRPr="00374074">
        <w:rPr>
          <w:lang w:eastAsia="en-GB"/>
        </w:rPr>
        <w:t xml:space="preserve"> persons with disabilities by establishing a centralized social security system that provides free services, including general welfare for children, </w:t>
      </w:r>
      <w:r w:rsidRPr="00374074">
        <w:rPr>
          <w:rFonts w:eastAsia="Malgun Gothic"/>
          <w:lang w:eastAsia="ko-KR"/>
        </w:rPr>
        <w:t>especially</w:t>
      </w:r>
      <w:r w:rsidRPr="00374074">
        <w:rPr>
          <w:lang w:eastAsia="en-GB"/>
        </w:rPr>
        <w:t xml:space="preserve"> those with disabilities. This is supported by</w:t>
      </w:r>
      <w:r w:rsidRPr="00374074">
        <w:rPr>
          <w:szCs w:val="39"/>
          <w:lang w:eastAsia="en-GB" w:bidi="km-KH"/>
        </w:rPr>
        <w:t xml:space="preserve"> laws,</w:t>
      </w:r>
      <w:r w:rsidRPr="00374074">
        <w:rPr>
          <w:lang w:eastAsia="en-GB"/>
        </w:rPr>
        <w:t xml:space="preserve"> policies, legal standards and implementation mechanisms, all of which aim </w:t>
      </w:r>
      <w:r w:rsidRPr="00374074">
        <w:rPr>
          <w:rFonts w:eastAsia="Malgun Gothic"/>
          <w:lang w:eastAsia="ko-KR"/>
        </w:rPr>
        <w:t>to</w:t>
      </w:r>
      <w:r w:rsidRPr="00374074">
        <w:rPr>
          <w:lang w:eastAsia="en-GB"/>
        </w:rPr>
        <w:t xml:space="preserve"> ensur</w:t>
      </w:r>
      <w:r w:rsidRPr="00374074">
        <w:rPr>
          <w:rFonts w:eastAsia="Malgun Gothic"/>
          <w:lang w:eastAsia="ko-KR"/>
        </w:rPr>
        <w:t>e</w:t>
      </w:r>
      <w:r w:rsidRPr="00374074">
        <w:rPr>
          <w:lang w:eastAsia="en-GB"/>
        </w:rPr>
        <w:t xml:space="preserve"> the well-being of persons with disabilities. To promote the implementation of the LPRPD</w:t>
      </w:r>
      <w:r w:rsidRPr="00374074">
        <w:rPr>
          <w:rFonts w:eastAsia="Malgun Gothic"/>
          <w:lang w:eastAsia="ko-KR"/>
        </w:rPr>
        <w:t>,</w:t>
      </w:r>
      <w:r w:rsidRPr="00374074">
        <w:rPr>
          <w:lang w:eastAsia="en-GB"/>
        </w:rPr>
        <w:t xml:space="preserve"> and to fulfil the commitments of the Convention, the RGC has developed the NDSP 2014-2018. Strategic Objective 9, </w:t>
      </w:r>
      <w:r w:rsidRPr="00374074">
        <w:rPr>
          <w:i/>
          <w:iCs/>
          <w:lang w:eastAsia="en-GB"/>
        </w:rPr>
        <w:t>“Ensuring Gender Equality and Empowerment of Women and Children with Disabilities”</w:t>
      </w:r>
      <w:r w:rsidRPr="00374074">
        <w:rPr>
          <w:lang w:eastAsia="en-GB"/>
        </w:rPr>
        <w:t>, places greater emphasis on women and children with disabilities, with the aim of achieving their equality, full enjoyment of human rights and essential freedoms through the implementation of various policies.</w:t>
      </w:r>
    </w:p>
    <w:p w14:paraId="261E8108" w14:textId="77777777" w:rsidR="00374074" w:rsidRPr="00374074" w:rsidRDefault="00374074" w:rsidP="0040290C">
      <w:pPr>
        <w:pStyle w:val="SingleTxtG"/>
        <w:numPr>
          <w:ilvl w:val="0"/>
          <w:numId w:val="7"/>
        </w:numPr>
        <w:ind w:left="1134" w:firstLine="0"/>
        <w:rPr>
          <w:lang w:eastAsia="en-GB"/>
        </w:rPr>
      </w:pPr>
      <w:r w:rsidRPr="00374074">
        <w:rPr>
          <w:lang w:eastAsia="en-GB"/>
        </w:rPr>
        <w:t xml:space="preserve">Article 18 of the LPRPD mandates that concerned ministries and institutions shall facilitate the </w:t>
      </w:r>
      <w:r w:rsidRPr="004C2139">
        <w:rPr>
          <w:i/>
          <w:iCs/>
          <w:lang w:eastAsia="en-GB"/>
        </w:rPr>
        <w:t>participation</w:t>
      </w:r>
      <w:r w:rsidRPr="00374074">
        <w:rPr>
          <w:lang w:eastAsia="en-GB"/>
        </w:rPr>
        <w:t xml:space="preserve"> of persons with disabilities in social, economic and cultural development plans that may affect their interests, and incorporate their needs into development programs. This measure serves to increase awareness of their capabilities, promote respect for them and enhance understanding of their situation within both their households and communities. In addition, it serves to mitigate instances of exploitation, violence and abuse.</w:t>
      </w:r>
    </w:p>
    <w:p w14:paraId="7B48C986" w14:textId="77777777" w:rsidR="00374074" w:rsidRPr="00374074" w:rsidRDefault="00374074" w:rsidP="0040290C">
      <w:pPr>
        <w:pStyle w:val="SingleTxtG"/>
        <w:numPr>
          <w:ilvl w:val="0"/>
          <w:numId w:val="7"/>
        </w:numPr>
        <w:ind w:left="1134" w:firstLine="0"/>
        <w:rPr>
          <w:lang w:eastAsia="en-GB"/>
        </w:rPr>
      </w:pPr>
      <w:r w:rsidRPr="00374074">
        <w:rPr>
          <w:lang w:eastAsia="en-GB"/>
        </w:rPr>
        <w:t>The LPRPD prohibits inhuman acts, exploitation and taking advantage of persons with disabilities. Examples of such acts include:</w:t>
      </w:r>
    </w:p>
    <w:p w14:paraId="32680DAB" w14:textId="77777777" w:rsidR="00374074" w:rsidRPr="00374074" w:rsidRDefault="00374074" w:rsidP="004C2139">
      <w:pPr>
        <w:pStyle w:val="Bullet1G"/>
        <w:rPr>
          <w:lang w:eastAsia="en-GB"/>
        </w:rPr>
      </w:pPr>
      <w:r w:rsidRPr="00374074">
        <w:rPr>
          <w:shd w:val="clear" w:color="auto" w:fill="FFFFFF"/>
          <w:lang w:eastAsia="en-GB"/>
        </w:rPr>
        <w:t xml:space="preserve">Article 51: </w:t>
      </w:r>
      <w:r w:rsidRPr="004C2139">
        <w:rPr>
          <w:i/>
          <w:iCs/>
          <w:shd w:val="clear" w:color="auto" w:fill="FFFFFF"/>
          <w:lang w:eastAsia="en-GB"/>
        </w:rPr>
        <w:t>“Any acts by person(s) with a duty of care who intentionally and inhumanely abandon persons with disabilities under their care shall be punishable by imprisonment for one (1) to five (5) years and liab</w:t>
      </w:r>
      <w:r w:rsidRPr="004C2139">
        <w:rPr>
          <w:rFonts w:eastAsia="Malgun Gothic"/>
          <w:i/>
          <w:iCs/>
          <w:shd w:val="clear" w:color="auto" w:fill="FFFFFF"/>
          <w:lang w:eastAsia="ko-KR"/>
        </w:rPr>
        <w:t>le</w:t>
      </w:r>
      <w:r w:rsidRPr="004C2139">
        <w:rPr>
          <w:i/>
          <w:iCs/>
          <w:shd w:val="clear" w:color="auto" w:fill="FFFFFF"/>
          <w:lang w:eastAsia="en-GB"/>
        </w:rPr>
        <w:t xml:space="preserve"> to a fine ranging from two million (2,000,000) Riels to </w:t>
      </w:r>
      <w:r w:rsidRPr="004C2139">
        <w:rPr>
          <w:rFonts w:eastAsia="Malgun Gothic"/>
          <w:i/>
          <w:iCs/>
          <w:shd w:val="clear" w:color="auto" w:fill="FFFFFF"/>
          <w:lang w:eastAsia="ko-KR"/>
        </w:rPr>
        <w:t>ten</w:t>
      </w:r>
      <w:r w:rsidRPr="004C2139">
        <w:rPr>
          <w:i/>
          <w:iCs/>
          <w:shd w:val="clear" w:color="auto" w:fill="FFFFFF"/>
          <w:lang w:eastAsia="en-GB"/>
        </w:rPr>
        <w:t xml:space="preserve"> million (10,000,000) Riels, if this abandonment causes damage to the health and security of the person with</w:t>
      </w:r>
      <w:r w:rsidRPr="004C2139">
        <w:rPr>
          <w:rFonts w:eastAsia="Malgun Gothic"/>
          <w:i/>
          <w:iCs/>
          <w:shd w:val="clear" w:color="auto" w:fill="FFFFFF"/>
          <w:lang w:eastAsia="ko-KR"/>
        </w:rPr>
        <w:t xml:space="preserve"> a</w:t>
      </w:r>
      <w:r w:rsidRPr="004C2139">
        <w:rPr>
          <w:i/>
          <w:iCs/>
          <w:shd w:val="clear" w:color="auto" w:fill="FFFFFF"/>
          <w:lang w:eastAsia="en-GB"/>
        </w:rPr>
        <w:t xml:space="preserve"> disability concerned.”</w:t>
      </w:r>
    </w:p>
    <w:p w14:paraId="5CE139DA" w14:textId="77777777" w:rsidR="00374074" w:rsidRPr="00374074" w:rsidRDefault="00374074" w:rsidP="004C2139">
      <w:pPr>
        <w:pStyle w:val="Bullet1G"/>
        <w:rPr>
          <w:lang w:eastAsia="en-GB"/>
        </w:rPr>
      </w:pPr>
      <w:r w:rsidRPr="00374074">
        <w:rPr>
          <w:lang w:eastAsia="en-GB"/>
        </w:rPr>
        <w:t xml:space="preserve">Article 52: </w:t>
      </w:r>
      <w:r w:rsidRPr="004C2139">
        <w:rPr>
          <w:i/>
          <w:iCs/>
          <w:lang w:eastAsia="en-GB"/>
        </w:rPr>
        <w:t>“Any acts by person(s) with authority for a person with</w:t>
      </w:r>
      <w:r w:rsidRPr="004C2139">
        <w:rPr>
          <w:rFonts w:eastAsia="Malgun Gothic"/>
          <w:i/>
          <w:iCs/>
          <w:lang w:eastAsia="ko-KR"/>
        </w:rPr>
        <w:t xml:space="preserve"> a</w:t>
      </w:r>
      <w:r w:rsidRPr="004C2139">
        <w:rPr>
          <w:i/>
          <w:iCs/>
          <w:lang w:eastAsia="en-GB"/>
        </w:rPr>
        <w:t xml:space="preserve"> disability and who do not provide food or care, causing damage to the health of the person with a disability shall be punishable by imprisonment for two (2) to five (5) years and liable to a fine ranging from four million (4,000,000) Riels to </w:t>
      </w:r>
      <w:r w:rsidRPr="004C2139">
        <w:rPr>
          <w:rFonts w:eastAsia="Malgun Gothic"/>
          <w:i/>
          <w:iCs/>
          <w:lang w:eastAsia="ko-KR"/>
        </w:rPr>
        <w:t>ten</w:t>
      </w:r>
      <w:r w:rsidRPr="004C2139">
        <w:rPr>
          <w:i/>
          <w:iCs/>
          <w:lang w:eastAsia="en-GB"/>
        </w:rPr>
        <w:t xml:space="preserve"> million (10.000,000) Riels.”</w:t>
      </w:r>
    </w:p>
    <w:p w14:paraId="47754D24" w14:textId="77777777" w:rsidR="00374074" w:rsidRPr="00374074" w:rsidRDefault="00374074" w:rsidP="004C2139">
      <w:pPr>
        <w:pStyle w:val="Bullet1G"/>
        <w:rPr>
          <w:lang w:eastAsia="en-GB"/>
        </w:rPr>
      </w:pPr>
      <w:r w:rsidRPr="00374074">
        <w:rPr>
          <w:shd w:val="clear" w:color="auto" w:fill="FFFFFF"/>
          <w:lang w:eastAsia="en-GB"/>
        </w:rPr>
        <w:t xml:space="preserve">Article 53: </w:t>
      </w:r>
      <w:r w:rsidRPr="004C2139">
        <w:rPr>
          <w:i/>
          <w:iCs/>
          <w:shd w:val="clear" w:color="auto" w:fill="FFFFFF"/>
          <w:lang w:eastAsia="en-GB"/>
        </w:rPr>
        <w:t>“Any acts to intentionally gain benefits by abusing the naivety or vulnerability of persons due to their disabilities, by forcing those persons to commit</w:t>
      </w:r>
      <w:r w:rsidRPr="004C2139">
        <w:rPr>
          <w:rFonts w:eastAsia="Malgun Gothic"/>
          <w:i/>
          <w:iCs/>
          <w:shd w:val="clear" w:color="auto" w:fill="FFFFFF"/>
          <w:lang w:eastAsia="ko-KR"/>
        </w:rPr>
        <w:t>,</w:t>
      </w:r>
      <w:r w:rsidRPr="004C2139">
        <w:rPr>
          <w:i/>
          <w:iCs/>
          <w:shd w:val="clear" w:color="auto" w:fill="FFFFFF"/>
          <w:lang w:eastAsia="en-GB"/>
        </w:rPr>
        <w:t xml:space="preserve"> or not to commit any acts that cause serious damage to them shall be punishable by imprisonment for one (1) to three (3) years and liable to a fine ranging from two million (2,000,000) Riels to six million (6,000,000) Riels.”</w:t>
      </w:r>
    </w:p>
    <w:p w14:paraId="7A1D3BF6" w14:textId="77777777" w:rsidR="00374074" w:rsidRPr="00374074" w:rsidRDefault="00374074" w:rsidP="0040290C">
      <w:pPr>
        <w:pStyle w:val="SingleTxtG"/>
        <w:numPr>
          <w:ilvl w:val="0"/>
          <w:numId w:val="7"/>
        </w:numPr>
        <w:ind w:left="1134" w:firstLine="0"/>
        <w:rPr>
          <w:lang w:eastAsia="en-GB"/>
        </w:rPr>
      </w:pPr>
      <w:r w:rsidRPr="00374074">
        <w:rPr>
          <w:color w:val="000000" w:themeColor="text1"/>
          <w:shd w:val="clear" w:color="auto" w:fill="FFFFFF"/>
          <w:lang w:eastAsia="en-GB"/>
        </w:rPr>
        <w:t xml:space="preserve">The </w:t>
      </w:r>
      <w:r w:rsidRPr="004C2139">
        <w:rPr>
          <w:lang w:eastAsia="en-GB"/>
        </w:rPr>
        <w:t>Neary</w:t>
      </w:r>
      <w:r w:rsidRPr="00374074">
        <w:rPr>
          <w:color w:val="000000" w:themeColor="text1"/>
          <w:shd w:val="clear" w:color="auto" w:fill="FFFFFF"/>
          <w:lang w:eastAsia="en-GB"/>
        </w:rPr>
        <w:t xml:space="preserve"> Rattanak Strategic Plan </w:t>
      </w:r>
      <w:r w:rsidRPr="00374074">
        <w:rPr>
          <w:lang w:eastAsia="en-GB"/>
        </w:rPr>
        <w:t xml:space="preserve">places special emphasis on the well-being and equality in society of women with disabilities. In fact, the Neary Rattanak Strategic Plan IV, </w:t>
      </w:r>
      <w:r w:rsidRPr="00374074">
        <w:rPr>
          <w:lang w:eastAsia="en-GB"/>
        </w:rPr>
        <w:lastRenderedPageBreak/>
        <w:t>“</w:t>
      </w:r>
      <w:r w:rsidRPr="00374074">
        <w:rPr>
          <w:i/>
          <w:iCs/>
          <w:lang w:eastAsia="en-GB"/>
        </w:rPr>
        <w:t>Strategic Plan for Gender Equality and Women’s Empowerment 2014-2018</w:t>
      </w:r>
      <w:r w:rsidRPr="00374074">
        <w:rPr>
          <w:lang w:eastAsia="en-GB"/>
        </w:rPr>
        <w:t>”, has a comprehensive vision for the disability sector with specific objectives to identify target groups who ha</w:t>
      </w:r>
      <w:r w:rsidRPr="00374074">
        <w:rPr>
          <w:rFonts w:eastAsia="Malgun Gothic"/>
          <w:lang w:eastAsia="ko-KR"/>
        </w:rPr>
        <w:t>ve</w:t>
      </w:r>
      <w:r w:rsidRPr="00374074">
        <w:rPr>
          <w:lang w:eastAsia="en-GB"/>
        </w:rPr>
        <w:t xml:space="preserve"> not receive</w:t>
      </w:r>
      <w:r w:rsidRPr="00374074">
        <w:rPr>
          <w:rFonts w:eastAsia="Malgun Gothic"/>
          <w:lang w:eastAsia="ko-KR"/>
        </w:rPr>
        <w:t>d</w:t>
      </w:r>
      <w:r w:rsidRPr="00374074">
        <w:rPr>
          <w:lang w:eastAsia="en-GB"/>
        </w:rPr>
        <w:t xml:space="preserve"> sufficient services and experience significant gender gaps, including persons with disabilities, and to develop intervention programs aimed at promoting gender equality and empowering women in the context of economic growth, social development and good governance.</w:t>
      </w:r>
    </w:p>
    <w:p w14:paraId="4E923D0F" w14:textId="4C5E517E" w:rsidR="00374074" w:rsidRPr="00666266" w:rsidRDefault="00666266" w:rsidP="00666266">
      <w:pPr>
        <w:pStyle w:val="H1G"/>
        <w:rPr>
          <w:lang w:bidi="km-KH"/>
        </w:rPr>
      </w:pPr>
      <w:bookmarkStart w:id="25" w:name="_Toc368313554"/>
      <w:bookmarkStart w:id="26" w:name="_Toc392839037"/>
      <w:bookmarkStart w:id="27" w:name="_Toc92875440"/>
      <w:bookmarkStart w:id="28" w:name="_Toc215321701"/>
      <w:r>
        <w:rPr>
          <w:lang w:eastAsia="en-GB" w:bidi="km-KH"/>
        </w:rPr>
        <w:tab/>
      </w:r>
      <w:r>
        <w:rPr>
          <w:lang w:eastAsia="en-GB" w:bidi="km-KH"/>
        </w:rPr>
        <w:tab/>
      </w:r>
      <w:bookmarkEnd w:id="25"/>
      <w:bookmarkEnd w:id="26"/>
      <w:r w:rsidR="00374074" w:rsidRPr="00374074">
        <w:rPr>
          <w:lang w:eastAsia="en-GB" w:bidi="km-KH"/>
        </w:rPr>
        <w:t xml:space="preserve">Protecting the integrity of the </w:t>
      </w:r>
      <w:bookmarkEnd w:id="27"/>
      <w:r w:rsidR="00374074" w:rsidRPr="00374074">
        <w:rPr>
          <w:lang w:eastAsia="en-GB" w:bidi="km-KH"/>
        </w:rPr>
        <w:t>person</w:t>
      </w:r>
      <w:bookmarkEnd w:id="28"/>
      <w:r>
        <w:rPr>
          <w:lang w:eastAsia="en-GB" w:bidi="km-KH"/>
        </w:rPr>
        <w:br/>
      </w:r>
      <w:r w:rsidRPr="00374074">
        <w:rPr>
          <w:lang w:eastAsia="en-GB" w:bidi="km-KH"/>
        </w:rPr>
        <w:t xml:space="preserve">Article </w:t>
      </w:r>
      <w:r w:rsidRPr="00374074">
        <w:rPr>
          <w:bCs/>
          <w:cs/>
          <w:lang w:eastAsia="en-GB" w:bidi="km-KH"/>
        </w:rPr>
        <w:t>17</w:t>
      </w:r>
    </w:p>
    <w:p w14:paraId="5B3D497B" w14:textId="77777777" w:rsidR="00374074" w:rsidRPr="00374074" w:rsidRDefault="00374074" w:rsidP="0040290C">
      <w:pPr>
        <w:pStyle w:val="SingleTxtG"/>
        <w:numPr>
          <w:ilvl w:val="0"/>
          <w:numId w:val="7"/>
        </w:numPr>
        <w:ind w:left="1134" w:firstLine="0"/>
        <w:rPr>
          <w:lang w:eastAsia="en-GB"/>
        </w:rPr>
      </w:pPr>
      <w:r w:rsidRPr="00374074">
        <w:rPr>
          <w:shd w:val="clear" w:color="auto" w:fill="FFFFFF"/>
          <w:lang w:eastAsia="en-GB"/>
        </w:rPr>
        <w:t>The provision of healthcare service</w:t>
      </w:r>
      <w:r w:rsidRPr="00374074">
        <w:rPr>
          <w:rFonts w:eastAsia="Malgun Gothic"/>
          <w:shd w:val="clear" w:color="auto" w:fill="FFFFFF"/>
          <w:lang w:eastAsia="ko-KR"/>
        </w:rPr>
        <w:t>s</w:t>
      </w:r>
      <w:r w:rsidRPr="00374074">
        <w:rPr>
          <w:shd w:val="clear" w:color="auto" w:fill="FFFFFF"/>
          <w:lang w:eastAsia="en-GB"/>
        </w:rPr>
        <w:t xml:space="preserve"> and social protection in Cambodia has </w:t>
      </w:r>
      <w:r w:rsidRPr="00374074">
        <w:rPr>
          <w:rFonts w:eastAsia="Malgun Gothic"/>
          <w:shd w:val="clear" w:color="auto" w:fill="FFFFFF"/>
          <w:lang w:eastAsia="ko-KR"/>
        </w:rPr>
        <w:t>improved</w:t>
      </w:r>
      <w:r w:rsidRPr="00374074">
        <w:rPr>
          <w:shd w:val="clear" w:color="auto" w:fill="FFFFFF"/>
          <w:lang w:eastAsia="en-GB"/>
        </w:rPr>
        <w:t xml:space="preserve">. The Health </w:t>
      </w:r>
      <w:r w:rsidRPr="00666266">
        <w:rPr>
          <w:lang w:eastAsia="en-GB"/>
        </w:rPr>
        <w:t>Prevention</w:t>
      </w:r>
      <w:r w:rsidRPr="00374074">
        <w:rPr>
          <w:shd w:val="clear" w:color="auto" w:fill="FFFFFF"/>
          <w:lang w:eastAsia="en-GB"/>
        </w:rPr>
        <w:t xml:space="preserve"> Program is an initiative aimed at facilitating access to healthcare services for individuals without incurring financial hardship. Persons with disabilities are granted access to healthcare services in hospitals and at 11 physical rehabilitation centres located across the country. The RGC , through the Ministry of Health, has issued a notification regarding the provision of free healthcare services to elderly individuals and persons with disabilities, in compliance with the standards of professional conduct.</w:t>
      </w:r>
      <w:r w:rsidRPr="00374074">
        <w:rPr>
          <w:vertAlign w:val="superscript"/>
          <w:cs/>
          <w:lang w:eastAsia="en-GB"/>
        </w:rPr>
        <w:footnoteReference w:id="44"/>
      </w:r>
    </w:p>
    <w:p w14:paraId="5938D623" w14:textId="77777777" w:rsidR="00374074" w:rsidRPr="00374074" w:rsidRDefault="00374074" w:rsidP="0040290C">
      <w:pPr>
        <w:pStyle w:val="SingleTxtG"/>
        <w:numPr>
          <w:ilvl w:val="0"/>
          <w:numId w:val="7"/>
        </w:numPr>
        <w:ind w:left="1134" w:firstLine="0"/>
        <w:rPr>
          <w:lang w:eastAsia="en-GB"/>
        </w:rPr>
      </w:pPr>
      <w:r w:rsidRPr="00374074">
        <w:rPr>
          <w:shd w:val="clear" w:color="auto" w:fill="FFFFFF"/>
          <w:lang w:eastAsia="en-GB"/>
        </w:rPr>
        <w:t>Every citizen, including women with disabilities, has the right to reproductive healthcare without discrimination</w:t>
      </w:r>
      <w:r w:rsidRPr="00374074">
        <w:rPr>
          <w:rFonts w:eastAsia="Malgun Gothic"/>
          <w:shd w:val="clear" w:color="auto" w:fill="FFFFFF"/>
          <w:lang w:eastAsia="ko-KR"/>
        </w:rPr>
        <w:t>,</w:t>
      </w:r>
      <w:r w:rsidRPr="00374074">
        <w:rPr>
          <w:shd w:val="clear" w:color="auto" w:fill="FFFFFF"/>
          <w:lang w:eastAsia="en-GB"/>
        </w:rPr>
        <w:t xml:space="preserve"> while the LPRPD does not explicitly mention medical treatment without consent. </w:t>
      </w:r>
    </w:p>
    <w:p w14:paraId="747BF07A" w14:textId="7599CBD2" w:rsidR="00374074" w:rsidRPr="00666266" w:rsidRDefault="00374074" w:rsidP="0040290C">
      <w:pPr>
        <w:pStyle w:val="SingleTxtG"/>
        <w:numPr>
          <w:ilvl w:val="0"/>
          <w:numId w:val="7"/>
        </w:numPr>
        <w:ind w:left="1134" w:firstLine="0"/>
        <w:rPr>
          <w:i/>
          <w:iCs/>
          <w:lang w:eastAsia="en-GB"/>
        </w:rPr>
      </w:pPr>
      <w:r w:rsidRPr="00666266">
        <w:rPr>
          <w:i/>
          <w:iCs/>
          <w:lang w:eastAsia="en-GB"/>
        </w:rPr>
        <w:t xml:space="preserve">“Abortion may only be carried out for those </w:t>
      </w:r>
      <w:r w:rsidR="00666266" w:rsidRPr="00666266">
        <w:rPr>
          <w:i/>
          <w:iCs/>
          <w:lang w:eastAsia="en-GB"/>
        </w:rPr>
        <w:t>foetu</w:t>
      </w:r>
      <w:r w:rsidR="00666266" w:rsidRPr="00666266">
        <w:rPr>
          <w:rFonts w:eastAsia="Malgun Gothic"/>
          <w:i/>
          <w:iCs/>
          <w:lang w:eastAsia="ko-KR"/>
        </w:rPr>
        <w:t>ses</w:t>
      </w:r>
      <w:r w:rsidRPr="00666266">
        <w:rPr>
          <w:rFonts w:eastAsia="Malgun Gothic"/>
          <w:i/>
          <w:iCs/>
          <w:lang w:eastAsia="ko-KR"/>
        </w:rPr>
        <w:t xml:space="preserve"> that</w:t>
      </w:r>
      <w:r w:rsidRPr="00666266">
        <w:rPr>
          <w:i/>
          <w:iCs/>
          <w:lang w:eastAsia="en-GB"/>
        </w:rPr>
        <w:t xml:space="preserve"> are </w:t>
      </w:r>
      <w:r w:rsidRPr="00666266">
        <w:rPr>
          <w:rFonts w:eastAsia="Malgun Gothic"/>
          <w:i/>
          <w:iCs/>
          <w:lang w:eastAsia="ko-KR"/>
        </w:rPr>
        <w:t>less than</w:t>
      </w:r>
      <w:r w:rsidRPr="00666266">
        <w:rPr>
          <w:i/>
          <w:iCs/>
          <w:lang w:eastAsia="en-GB"/>
        </w:rPr>
        <w:t xml:space="preserve"> 12 weeks </w:t>
      </w:r>
      <w:r w:rsidRPr="00666266">
        <w:rPr>
          <w:rFonts w:eastAsia="Malgun Gothic"/>
          <w:i/>
          <w:iCs/>
          <w:lang w:eastAsia="ko-KR"/>
        </w:rPr>
        <w:t>gestation</w:t>
      </w:r>
      <w:r w:rsidRPr="00666266">
        <w:rPr>
          <w:i/>
          <w:iCs/>
          <w:lang w:eastAsia="en-GB"/>
        </w:rPr>
        <w:t xml:space="preserve">. If the </w:t>
      </w:r>
      <w:r w:rsidR="00666266" w:rsidRPr="00666266">
        <w:rPr>
          <w:i/>
          <w:iCs/>
          <w:lang w:eastAsia="en-GB"/>
        </w:rPr>
        <w:t>foetu</w:t>
      </w:r>
      <w:r w:rsidR="00666266" w:rsidRPr="00666266">
        <w:rPr>
          <w:rFonts w:eastAsia="Malgun Gothic"/>
          <w:i/>
          <w:iCs/>
          <w:lang w:eastAsia="ko-KR"/>
        </w:rPr>
        <w:t>ses</w:t>
      </w:r>
      <w:r w:rsidRPr="00666266">
        <w:rPr>
          <w:i/>
          <w:iCs/>
          <w:lang w:eastAsia="en-GB"/>
        </w:rPr>
        <w:t xml:space="preserve"> are </w:t>
      </w:r>
      <w:r w:rsidRPr="00666266">
        <w:rPr>
          <w:rFonts w:eastAsia="Malgun Gothic"/>
          <w:i/>
          <w:iCs/>
          <w:lang w:eastAsia="ko-KR"/>
        </w:rPr>
        <w:t>beyond</w:t>
      </w:r>
      <w:r w:rsidRPr="00666266">
        <w:rPr>
          <w:i/>
          <w:iCs/>
          <w:lang w:eastAsia="en-GB"/>
        </w:rPr>
        <w:t xml:space="preserve"> 12 weeks </w:t>
      </w:r>
      <w:r w:rsidRPr="00666266">
        <w:rPr>
          <w:rFonts w:eastAsia="Malgun Gothic"/>
          <w:i/>
          <w:iCs/>
          <w:lang w:eastAsia="ko-KR"/>
        </w:rPr>
        <w:t>gestation</w:t>
      </w:r>
      <w:r w:rsidRPr="00666266">
        <w:rPr>
          <w:i/>
          <w:iCs/>
          <w:lang w:eastAsia="en-GB"/>
        </w:rPr>
        <w:t xml:space="preserve">, they may be authorized </w:t>
      </w:r>
      <w:r w:rsidRPr="00666266">
        <w:rPr>
          <w:rFonts w:eastAsia="Malgun Gothic"/>
          <w:i/>
          <w:iCs/>
          <w:lang w:eastAsia="ko-KR"/>
        </w:rPr>
        <w:t>for</w:t>
      </w:r>
      <w:r w:rsidRPr="00666266">
        <w:rPr>
          <w:i/>
          <w:iCs/>
          <w:lang w:eastAsia="en-GB"/>
        </w:rPr>
        <w:t xml:space="preserve"> abor</w:t>
      </w:r>
      <w:r w:rsidRPr="00666266">
        <w:rPr>
          <w:rFonts w:eastAsia="Malgun Gothic"/>
          <w:i/>
          <w:iCs/>
          <w:lang w:eastAsia="ko-KR"/>
        </w:rPr>
        <w:t>tion</w:t>
      </w:r>
      <w:r w:rsidRPr="00666266">
        <w:rPr>
          <w:i/>
          <w:iCs/>
          <w:lang w:eastAsia="en-GB"/>
        </w:rPr>
        <w:t xml:space="preserve"> only if</w:t>
      </w:r>
      <w:r w:rsidRPr="00666266">
        <w:rPr>
          <w:rFonts w:eastAsia="Malgun Gothic"/>
          <w:i/>
          <w:iCs/>
          <w:lang w:eastAsia="ko-KR"/>
        </w:rPr>
        <w:t>,</w:t>
      </w:r>
      <w:r w:rsidRPr="00666266">
        <w:rPr>
          <w:i/>
          <w:iCs/>
          <w:lang w:eastAsia="en-GB"/>
        </w:rPr>
        <w:t xml:space="preserve"> after a diagnosis</w:t>
      </w:r>
      <w:r w:rsidRPr="00666266">
        <w:rPr>
          <w:rFonts w:eastAsia="Malgun Gothic"/>
          <w:i/>
          <w:iCs/>
          <w:lang w:eastAsia="ko-KR"/>
        </w:rPr>
        <w:t>,</w:t>
      </w:r>
      <w:r w:rsidRPr="00666266">
        <w:rPr>
          <w:i/>
          <w:iCs/>
          <w:lang w:eastAsia="en-GB"/>
        </w:rPr>
        <w:t xml:space="preserve"> it is </w:t>
      </w:r>
      <w:r w:rsidRPr="00666266">
        <w:rPr>
          <w:rFonts w:eastAsia="Malgun Gothic"/>
          <w:i/>
          <w:iCs/>
          <w:lang w:eastAsia="ko-KR"/>
        </w:rPr>
        <w:t>determined</w:t>
      </w:r>
      <w:r w:rsidRPr="00666266">
        <w:rPr>
          <w:i/>
          <w:iCs/>
          <w:lang w:eastAsia="en-GB"/>
        </w:rPr>
        <w:t xml:space="preserve"> that:</w:t>
      </w:r>
    </w:p>
    <w:p w14:paraId="51C56A83" w14:textId="2C760BB3" w:rsidR="00374074" w:rsidRPr="00722B81" w:rsidRDefault="00374074" w:rsidP="00722B81">
      <w:pPr>
        <w:pStyle w:val="Bullet1G"/>
        <w:rPr>
          <w:i/>
          <w:iCs/>
          <w:lang w:eastAsia="en-GB"/>
        </w:rPr>
      </w:pPr>
      <w:r w:rsidRPr="00722B81">
        <w:rPr>
          <w:i/>
          <w:iCs/>
          <w:lang w:eastAsia="en-GB"/>
        </w:rPr>
        <w:t xml:space="preserve">There is a probable cause that </w:t>
      </w:r>
      <w:r w:rsidRPr="00722B81">
        <w:rPr>
          <w:rFonts w:eastAsia="Malgun Gothic"/>
          <w:i/>
          <w:iCs/>
          <w:lang w:eastAsia="ko-KR"/>
        </w:rPr>
        <w:t xml:space="preserve">the </w:t>
      </w:r>
      <w:r w:rsidR="00666266" w:rsidRPr="00722B81">
        <w:rPr>
          <w:i/>
          <w:iCs/>
          <w:lang w:eastAsia="en-GB"/>
        </w:rPr>
        <w:t>foetus</w:t>
      </w:r>
      <w:r w:rsidRPr="00722B81">
        <w:rPr>
          <w:i/>
          <w:iCs/>
          <w:lang w:eastAsia="en-GB"/>
        </w:rPr>
        <w:t xml:space="preserve"> </w:t>
      </w:r>
      <w:r w:rsidRPr="00722B81">
        <w:rPr>
          <w:rFonts w:eastAsia="Malgun Gothic"/>
          <w:i/>
          <w:iCs/>
          <w:lang w:eastAsia="ko-KR"/>
        </w:rPr>
        <w:t>i</w:t>
      </w:r>
      <w:r w:rsidRPr="00722B81">
        <w:rPr>
          <w:i/>
          <w:iCs/>
          <w:lang w:eastAsia="en-GB"/>
        </w:rPr>
        <w:t>s not develop</w:t>
      </w:r>
      <w:r w:rsidRPr="00722B81">
        <w:rPr>
          <w:rFonts w:eastAsia="Malgun Gothic"/>
          <w:i/>
          <w:iCs/>
          <w:lang w:eastAsia="ko-KR"/>
        </w:rPr>
        <w:t>ing</w:t>
      </w:r>
      <w:r w:rsidRPr="00722B81">
        <w:rPr>
          <w:i/>
          <w:iCs/>
          <w:lang w:eastAsia="en-GB"/>
        </w:rPr>
        <w:t xml:space="preserve"> as usu</w:t>
      </w:r>
      <w:r w:rsidRPr="00722B81">
        <w:rPr>
          <w:rFonts w:eastAsia="Malgun Gothic"/>
          <w:i/>
          <w:iCs/>
          <w:lang w:eastAsia="ko-KR"/>
        </w:rPr>
        <w:t>a</w:t>
      </w:r>
      <w:r w:rsidRPr="00722B81">
        <w:rPr>
          <w:i/>
          <w:iCs/>
          <w:lang w:eastAsia="en-GB"/>
        </w:rPr>
        <w:t xml:space="preserve">l or may </w:t>
      </w:r>
      <w:r w:rsidRPr="00722B81">
        <w:rPr>
          <w:rFonts w:eastAsia="Malgun Gothic"/>
          <w:i/>
          <w:iCs/>
          <w:lang w:eastAsia="ko-KR"/>
        </w:rPr>
        <w:t>po</w:t>
      </w:r>
      <w:r w:rsidRPr="00722B81">
        <w:rPr>
          <w:i/>
          <w:iCs/>
          <w:lang w:eastAsia="en-GB"/>
        </w:rPr>
        <w:t>se</w:t>
      </w:r>
      <w:r w:rsidRPr="00722B81">
        <w:rPr>
          <w:rFonts w:eastAsia="Malgun Gothic"/>
          <w:i/>
          <w:iCs/>
          <w:lang w:eastAsia="ko-KR"/>
        </w:rPr>
        <w:t xml:space="preserve"> a</w:t>
      </w:r>
      <w:r w:rsidRPr="00722B81">
        <w:rPr>
          <w:i/>
          <w:iCs/>
          <w:lang w:eastAsia="en-GB"/>
        </w:rPr>
        <w:t xml:space="preserve"> danger to the mother’s life.</w:t>
      </w:r>
    </w:p>
    <w:p w14:paraId="1D93F68A" w14:textId="4ABC3A4D" w:rsidR="00374074" w:rsidRPr="00722B81" w:rsidRDefault="00374074" w:rsidP="00722B81">
      <w:pPr>
        <w:pStyle w:val="Bullet1G"/>
        <w:rPr>
          <w:i/>
          <w:iCs/>
          <w:lang w:eastAsia="en-GB"/>
        </w:rPr>
      </w:pPr>
      <w:r w:rsidRPr="00722B81">
        <w:rPr>
          <w:i/>
          <w:iCs/>
          <w:lang w:eastAsia="en-GB"/>
        </w:rPr>
        <w:t xml:space="preserve">The </w:t>
      </w:r>
      <w:r w:rsidR="00666266" w:rsidRPr="00722B81">
        <w:rPr>
          <w:rFonts w:eastAsia="Malgun Gothic"/>
          <w:i/>
          <w:iCs/>
          <w:lang w:eastAsia="ko-KR"/>
        </w:rPr>
        <w:t>foetus</w:t>
      </w:r>
      <w:r w:rsidRPr="00722B81">
        <w:rPr>
          <w:i/>
          <w:iCs/>
          <w:lang w:eastAsia="en-GB"/>
        </w:rPr>
        <w:t xml:space="preserve"> is going to be born </w:t>
      </w:r>
      <w:r w:rsidRPr="00722B81">
        <w:rPr>
          <w:rFonts w:eastAsia="Malgun Gothic"/>
          <w:i/>
          <w:iCs/>
          <w:lang w:eastAsia="ko-KR"/>
        </w:rPr>
        <w:t>with</w:t>
      </w:r>
      <w:r w:rsidRPr="00722B81">
        <w:rPr>
          <w:i/>
          <w:iCs/>
          <w:lang w:eastAsia="en-GB"/>
        </w:rPr>
        <w:t xml:space="preserve"> a serious and incurable disease.</w:t>
      </w:r>
    </w:p>
    <w:p w14:paraId="5065C288" w14:textId="77777777" w:rsidR="00374074" w:rsidRPr="00722B81" w:rsidRDefault="00374074" w:rsidP="00722B81">
      <w:pPr>
        <w:pStyle w:val="Bullet1G"/>
        <w:rPr>
          <w:i/>
          <w:iCs/>
          <w:lang w:eastAsia="en-GB"/>
        </w:rPr>
      </w:pPr>
      <w:r w:rsidRPr="00722B81">
        <w:rPr>
          <w:i/>
          <w:iCs/>
          <w:lang w:eastAsia="en-GB"/>
        </w:rPr>
        <w:t xml:space="preserve">In case a victim of rape </w:t>
      </w:r>
      <w:r w:rsidRPr="00722B81">
        <w:rPr>
          <w:rFonts w:eastAsia="Malgun Gothic"/>
          <w:i/>
          <w:iCs/>
          <w:lang w:eastAsia="ko-KR"/>
        </w:rPr>
        <w:t>becomes</w:t>
      </w:r>
      <w:r w:rsidRPr="00722B81">
        <w:rPr>
          <w:i/>
          <w:iCs/>
          <w:lang w:eastAsia="en-GB"/>
        </w:rPr>
        <w:t xml:space="preserve"> pregnant, the abortion may be carried out irrespective of the conditions stated above. However, in all cases, there must be a request from the pregnant woman herself if </w:t>
      </w:r>
      <w:r w:rsidRPr="00722B81">
        <w:rPr>
          <w:rFonts w:eastAsia="Malgun Gothic"/>
          <w:i/>
          <w:iCs/>
          <w:lang w:eastAsia="ko-KR"/>
        </w:rPr>
        <w:t>she</w:t>
      </w:r>
      <w:r w:rsidRPr="00722B81">
        <w:rPr>
          <w:i/>
          <w:iCs/>
          <w:lang w:eastAsia="en-GB"/>
        </w:rPr>
        <w:t xml:space="preserve"> is 18 years old or above, or an insistent request from parents or guardians along with the pregnant woman’s own request, if </w:t>
      </w:r>
      <w:r w:rsidRPr="00722B81">
        <w:rPr>
          <w:rFonts w:eastAsia="Malgun Gothic"/>
          <w:i/>
          <w:iCs/>
          <w:lang w:eastAsia="ko-KR"/>
        </w:rPr>
        <w:t>she</w:t>
      </w:r>
      <w:r w:rsidRPr="00722B81">
        <w:rPr>
          <w:i/>
          <w:iCs/>
          <w:lang w:eastAsia="en-GB"/>
        </w:rPr>
        <w:t xml:space="preserve"> is under 18 years old. Decision on this matter requires approval from two to three doctors and consent from the pregnant woman herself. Technical conditions for </w:t>
      </w:r>
      <w:r w:rsidRPr="00722B81">
        <w:rPr>
          <w:rFonts w:eastAsia="Malgun Gothic"/>
          <w:i/>
          <w:iCs/>
          <w:lang w:eastAsia="ko-KR"/>
        </w:rPr>
        <w:t xml:space="preserve">the </w:t>
      </w:r>
      <w:r w:rsidRPr="00722B81">
        <w:rPr>
          <w:i/>
          <w:iCs/>
          <w:lang w:eastAsia="en-GB"/>
        </w:rPr>
        <w:t>application of this article shall be determined by a Prakas (Proclamation) of the Ministry of Health.”</w:t>
      </w:r>
      <w:r w:rsidRPr="00722B81">
        <w:rPr>
          <w:i/>
          <w:iCs/>
          <w:vertAlign w:val="superscript"/>
          <w:cs/>
          <w:lang w:eastAsia="en-GB" w:bidi="km-KH"/>
        </w:rPr>
        <w:footnoteReference w:id="45"/>
      </w:r>
    </w:p>
    <w:p w14:paraId="6AE4B04C" w14:textId="77777777" w:rsidR="00374074" w:rsidRPr="00374074" w:rsidRDefault="00374074" w:rsidP="0040290C">
      <w:pPr>
        <w:pStyle w:val="SingleTxtG"/>
        <w:numPr>
          <w:ilvl w:val="0"/>
          <w:numId w:val="7"/>
        </w:numPr>
        <w:ind w:left="1134" w:firstLine="0"/>
        <w:rPr>
          <w:szCs w:val="36"/>
          <w:lang w:eastAsia="en-GB"/>
        </w:rPr>
      </w:pPr>
      <w:r w:rsidRPr="00374074">
        <w:rPr>
          <w:lang w:eastAsia="en-GB"/>
        </w:rPr>
        <w:t xml:space="preserve">According to the Law on Abortion, there is no provision for forced abortion. Article 14 of the </w:t>
      </w:r>
      <w:r w:rsidRPr="00722B81">
        <w:rPr>
          <w:shd w:val="clear" w:color="auto" w:fill="FFFFFF"/>
          <w:lang w:eastAsia="en-GB"/>
        </w:rPr>
        <w:t>Law</w:t>
      </w:r>
      <w:r w:rsidRPr="00374074">
        <w:rPr>
          <w:lang w:eastAsia="en-GB"/>
        </w:rPr>
        <w:t xml:space="preserve"> on Abortion stipulates that those who </w:t>
      </w:r>
      <w:r w:rsidRPr="00374074">
        <w:rPr>
          <w:rFonts w:eastAsia="Malgun Gothic"/>
          <w:lang w:eastAsia="ko-KR"/>
        </w:rPr>
        <w:t>force</w:t>
      </w:r>
      <w:r w:rsidRPr="00374074">
        <w:rPr>
          <w:lang w:eastAsia="en-GB"/>
        </w:rPr>
        <w:t xml:space="preserve"> a pregnant woman to</w:t>
      </w:r>
      <w:r w:rsidRPr="00374074">
        <w:rPr>
          <w:rFonts w:eastAsia="Malgun Gothic"/>
          <w:lang w:eastAsia="ko-KR"/>
        </w:rPr>
        <w:t xml:space="preserve"> undergo an</w:t>
      </w:r>
      <w:r w:rsidRPr="00374074">
        <w:rPr>
          <w:lang w:eastAsia="en-GB"/>
        </w:rPr>
        <w:t xml:space="preserve"> abortion or intentionally cause miscarriage resulting in the pregnant woman’s chronic illness, disability or death shall be punished with imprisonment ranging from five to ten years.</w:t>
      </w:r>
      <w:r w:rsidRPr="00374074">
        <w:rPr>
          <w:vertAlign w:val="superscript"/>
          <w:cs/>
          <w:lang w:eastAsia="en-GB" w:bidi="km-KH"/>
        </w:rPr>
        <w:footnoteReference w:id="46"/>
      </w:r>
    </w:p>
    <w:p w14:paraId="624C4C18" w14:textId="44A514D0" w:rsidR="00374074" w:rsidRPr="00374074" w:rsidRDefault="00722B81" w:rsidP="00722B81">
      <w:pPr>
        <w:pStyle w:val="H1G"/>
        <w:rPr>
          <w:bCs/>
          <w:lang w:eastAsia="en-GB" w:bidi="km-KH"/>
        </w:rPr>
      </w:pPr>
      <w:bookmarkStart w:id="29" w:name="_Toc368313555"/>
      <w:bookmarkStart w:id="30" w:name="_Toc392839038"/>
      <w:bookmarkStart w:id="31" w:name="_Toc92875441"/>
      <w:bookmarkStart w:id="32" w:name="_Toc215321702"/>
      <w:r>
        <w:rPr>
          <w:lang w:eastAsia="en-GB" w:bidi="km-KH"/>
        </w:rPr>
        <w:tab/>
      </w:r>
      <w:r>
        <w:rPr>
          <w:lang w:eastAsia="en-GB" w:bidi="km-KH"/>
        </w:rPr>
        <w:tab/>
      </w:r>
      <w:bookmarkEnd w:id="29"/>
      <w:bookmarkEnd w:id="30"/>
      <w:bookmarkEnd w:id="31"/>
      <w:r w:rsidR="00374074" w:rsidRPr="00374074">
        <w:rPr>
          <w:lang w:eastAsia="en-GB" w:bidi="km-KH"/>
        </w:rPr>
        <w:t>Liberty of movement and nationality</w:t>
      </w:r>
      <w:bookmarkEnd w:id="32"/>
      <w:r>
        <w:rPr>
          <w:bCs/>
          <w:lang w:eastAsia="en-GB" w:bidi="km-KH"/>
        </w:rPr>
        <w:br/>
      </w:r>
      <w:r w:rsidRPr="00374074">
        <w:rPr>
          <w:lang w:eastAsia="en-GB" w:bidi="km-KH"/>
        </w:rPr>
        <w:t>Article</w:t>
      </w:r>
      <w:r w:rsidRPr="00374074">
        <w:rPr>
          <w:bCs/>
          <w:lang w:eastAsia="en-GB" w:bidi="km-KH"/>
        </w:rPr>
        <w:t xml:space="preserve"> </w:t>
      </w:r>
      <w:r w:rsidRPr="00374074">
        <w:rPr>
          <w:bCs/>
          <w:cs/>
          <w:lang w:eastAsia="en-GB" w:bidi="km-KH"/>
        </w:rPr>
        <w:t>18</w:t>
      </w:r>
    </w:p>
    <w:p w14:paraId="2410118F" w14:textId="77777777" w:rsidR="00374074" w:rsidRPr="00374074" w:rsidRDefault="00374074" w:rsidP="0040290C">
      <w:pPr>
        <w:pStyle w:val="SingleTxtG"/>
        <w:numPr>
          <w:ilvl w:val="0"/>
          <w:numId w:val="7"/>
        </w:numPr>
        <w:ind w:left="1134" w:firstLine="0"/>
        <w:rPr>
          <w:lang w:eastAsia="en-GB" w:bidi="km-KH"/>
        </w:rPr>
      </w:pPr>
      <w:r w:rsidRPr="00722B81">
        <w:rPr>
          <w:i/>
          <w:iCs/>
          <w:lang w:eastAsia="en-GB"/>
        </w:rPr>
        <w:t>“Khmer citizens shall not be deprived of their nationality, exiled, or arrested and extradited to a foreign country, except</w:t>
      </w:r>
      <w:r w:rsidRPr="00722B81">
        <w:rPr>
          <w:rFonts w:eastAsia="Malgun Gothic"/>
          <w:i/>
          <w:iCs/>
          <w:lang w:eastAsia="ko-KR"/>
        </w:rPr>
        <w:t>,</w:t>
      </w:r>
      <w:r w:rsidRPr="00722B81">
        <w:rPr>
          <w:i/>
          <w:iCs/>
          <w:lang w:eastAsia="en-GB"/>
        </w:rPr>
        <w:t xml:space="preserve"> in case of mutual agreement. Khmer citizens residing abroad enjoy the protection of the State.”</w:t>
      </w:r>
      <w:r w:rsidRPr="00374074">
        <w:rPr>
          <w:vertAlign w:val="superscript"/>
          <w:cs/>
          <w:lang w:eastAsia="en-GB" w:bidi="km-KH"/>
        </w:rPr>
        <w:footnoteReference w:id="47"/>
      </w:r>
      <w:r w:rsidRPr="00374074">
        <w:rPr>
          <w:cs/>
          <w:lang w:eastAsia="en-GB" w:bidi="km-KH"/>
        </w:rPr>
        <w:t xml:space="preserve"> </w:t>
      </w:r>
      <w:r w:rsidRPr="00374074">
        <w:rPr>
          <w:lang w:eastAsia="en-GB" w:bidi="km-KH"/>
        </w:rPr>
        <w:t xml:space="preserve">The Khmer nationality is </w:t>
      </w:r>
      <w:r w:rsidRPr="00374074">
        <w:rPr>
          <w:rFonts w:eastAsia="Malgun Gothic"/>
          <w:lang w:eastAsia="ko-KR" w:bidi="km-KH"/>
        </w:rPr>
        <w:t>defined by</w:t>
      </w:r>
      <w:r w:rsidRPr="00374074">
        <w:rPr>
          <w:lang w:eastAsia="en-GB" w:bidi="km-KH"/>
        </w:rPr>
        <w:t xml:space="preserve"> the Law on </w:t>
      </w:r>
      <w:r w:rsidRPr="00374074">
        <w:rPr>
          <w:lang w:eastAsia="en-GB" w:bidi="km-KH"/>
        </w:rPr>
        <w:lastRenderedPageBreak/>
        <w:t xml:space="preserve">Nationality, which was adopted on 9 October </w:t>
      </w:r>
      <w:r w:rsidRPr="00374074">
        <w:rPr>
          <w:color w:val="000000" w:themeColor="text1"/>
          <w:cs/>
          <w:lang w:eastAsia="en-GB" w:bidi="km-KH"/>
        </w:rPr>
        <w:t>1996</w:t>
      </w:r>
      <w:r w:rsidRPr="00374074">
        <w:rPr>
          <w:rFonts w:eastAsia="Malgun Gothic"/>
          <w:color w:val="000000" w:themeColor="text1"/>
          <w:lang w:eastAsia="ko-KR" w:bidi="km-KH"/>
        </w:rPr>
        <w:t>,</w:t>
      </w:r>
      <w:r w:rsidRPr="00374074">
        <w:rPr>
          <w:color w:val="000000" w:themeColor="text1"/>
          <w:lang w:eastAsia="en-GB" w:bidi="km-KH"/>
        </w:rPr>
        <w:t xml:space="preserve"> </w:t>
      </w:r>
      <w:r w:rsidRPr="00374074">
        <w:rPr>
          <w:color w:val="000000" w:themeColor="text1"/>
          <w:lang w:eastAsia="en-GB"/>
        </w:rPr>
        <w:t>and most recently amended on 21 June 2018, as implemented by the Sub-Decree No. 112 ANKr.B.K, dated 30 August 2018</w:t>
      </w:r>
      <w:r w:rsidRPr="00374074">
        <w:rPr>
          <w:color w:val="000000" w:themeColor="text1"/>
          <w:cs/>
          <w:lang w:eastAsia="en-GB" w:bidi="km-KH"/>
        </w:rPr>
        <w:t>.</w:t>
      </w:r>
      <w:r w:rsidRPr="00374074">
        <w:rPr>
          <w:color w:val="000000" w:themeColor="text1"/>
          <w:lang w:eastAsia="en-GB" w:bidi="km-KH"/>
        </w:rPr>
        <w:t xml:space="preserve"> </w:t>
      </w:r>
    </w:p>
    <w:p w14:paraId="177E5073" w14:textId="77777777" w:rsidR="00374074" w:rsidRPr="00374074" w:rsidRDefault="00374074" w:rsidP="0040290C">
      <w:pPr>
        <w:pStyle w:val="SingleTxtG"/>
        <w:numPr>
          <w:ilvl w:val="0"/>
          <w:numId w:val="7"/>
        </w:numPr>
        <w:ind w:left="1134" w:firstLine="0"/>
        <w:rPr>
          <w:lang w:eastAsia="en-GB"/>
        </w:rPr>
      </w:pPr>
      <w:r w:rsidRPr="00FB33DA">
        <w:rPr>
          <w:i/>
          <w:iCs/>
          <w:lang w:eastAsia="en-GB"/>
        </w:rPr>
        <w:t xml:space="preserve">“Citizens’ freedom to travel, far or near, and to legally </w:t>
      </w:r>
      <w:r w:rsidRPr="00FB33DA">
        <w:rPr>
          <w:rFonts w:eastAsia="Malgun Gothic"/>
          <w:i/>
          <w:iCs/>
          <w:lang w:eastAsia="ko-KR"/>
        </w:rPr>
        <w:t>reside</w:t>
      </w:r>
      <w:r w:rsidRPr="00FB33DA">
        <w:rPr>
          <w:i/>
          <w:iCs/>
          <w:lang w:eastAsia="en-GB"/>
        </w:rPr>
        <w:t xml:space="preserve"> shall be respected. Khmer citizens have the right to settle abroad or to return home.”</w:t>
      </w:r>
      <w:r w:rsidRPr="00374074">
        <w:rPr>
          <w:vertAlign w:val="superscript"/>
          <w:cs/>
          <w:lang w:eastAsia="en-GB" w:bidi="km-KH"/>
        </w:rPr>
        <w:footnoteReference w:id="48"/>
      </w:r>
      <w:r w:rsidRPr="00374074">
        <w:rPr>
          <w:lang w:eastAsia="en-GB"/>
        </w:rPr>
        <w:t xml:space="preserve"> </w:t>
      </w:r>
      <w:r w:rsidRPr="00374074">
        <w:rPr>
          <w:color w:val="000000" w:themeColor="text1"/>
          <w:lang w:eastAsia="en-GB"/>
        </w:rPr>
        <w:t xml:space="preserve">Cambodian citizens are afforded protection abroad in accordance with article 36 of the </w:t>
      </w:r>
      <w:r w:rsidRPr="00374074">
        <w:rPr>
          <w:lang w:eastAsia="en-GB"/>
        </w:rPr>
        <w:t xml:space="preserve">Vienna Convention on Consular Relations. </w:t>
      </w:r>
      <w:r w:rsidRPr="00374074">
        <w:rPr>
          <w:color w:val="000000" w:themeColor="text1"/>
          <w:lang w:eastAsia="en-GB"/>
        </w:rPr>
        <w:t xml:space="preserve">This protection extends to Khmer citizens with disabilities, who retain the right to travel abroad and </w:t>
      </w:r>
      <w:r w:rsidRPr="00374074">
        <w:rPr>
          <w:rFonts w:eastAsia="Malgun Gothic"/>
          <w:color w:val="000000" w:themeColor="text1"/>
          <w:lang w:eastAsia="ko-KR"/>
        </w:rPr>
        <w:t xml:space="preserve">to </w:t>
      </w:r>
      <w:r w:rsidRPr="00374074">
        <w:rPr>
          <w:color w:val="000000" w:themeColor="text1"/>
          <w:lang w:eastAsia="en-GB"/>
        </w:rPr>
        <w:t>return</w:t>
      </w:r>
      <w:r w:rsidRPr="00374074">
        <w:rPr>
          <w:rFonts w:eastAsia="Malgun Gothic"/>
          <w:color w:val="000000" w:themeColor="text1"/>
          <w:lang w:eastAsia="ko-KR"/>
        </w:rPr>
        <w:t xml:space="preserve"> home</w:t>
      </w:r>
      <w:r w:rsidRPr="00374074">
        <w:rPr>
          <w:color w:val="000000" w:themeColor="text1"/>
          <w:lang w:eastAsia="en-GB"/>
        </w:rPr>
        <w:t>. The Ministry of Foreign Affairs and International Cooperation (MoFAIC) provides visas for persons with disabilities</w:t>
      </w:r>
      <w:r w:rsidRPr="00374074">
        <w:rPr>
          <w:rFonts w:eastAsia="Malgun Gothic"/>
          <w:color w:val="000000" w:themeColor="text1"/>
          <w:lang w:eastAsia="ko-KR"/>
        </w:rPr>
        <w:t xml:space="preserve"> on the same basis as </w:t>
      </w:r>
      <w:r w:rsidRPr="00374074">
        <w:rPr>
          <w:color w:val="000000" w:themeColor="text1"/>
          <w:lang w:eastAsia="en-GB"/>
        </w:rPr>
        <w:t>all travellers.</w:t>
      </w:r>
    </w:p>
    <w:p w14:paraId="63E119C7" w14:textId="77777777" w:rsidR="00374074" w:rsidRPr="00374074" w:rsidRDefault="00374074" w:rsidP="0040290C">
      <w:pPr>
        <w:pStyle w:val="SingleTxtG"/>
        <w:numPr>
          <w:ilvl w:val="0"/>
          <w:numId w:val="7"/>
        </w:numPr>
        <w:ind w:left="1134" w:firstLine="0"/>
        <w:rPr>
          <w:lang w:eastAsia="en-GB"/>
        </w:rPr>
      </w:pPr>
      <w:r w:rsidRPr="00374074">
        <w:rPr>
          <w:lang w:eastAsia="en-GB"/>
        </w:rPr>
        <w:t xml:space="preserve">The RGC, through the Ministry of Interior (MoI), has established a legal framework for the civil registration system. This is outlined in the Sub-Decree No. 103 </w:t>
      </w:r>
      <w:r w:rsidRPr="00374074">
        <w:rPr>
          <w:lang w:eastAsia="en-GB" w:bidi="km-KH"/>
        </w:rPr>
        <w:t xml:space="preserve">ANKr.BK </w:t>
      </w:r>
      <w:r w:rsidRPr="00374074">
        <w:rPr>
          <w:lang w:eastAsia="en-GB"/>
        </w:rPr>
        <w:t>on the Civil Status,</w:t>
      </w:r>
      <w:r w:rsidRPr="00374074">
        <w:rPr>
          <w:vertAlign w:val="superscript"/>
          <w:cs/>
          <w:lang w:eastAsia="en-GB" w:bidi="km-KH"/>
        </w:rPr>
        <w:footnoteReference w:id="49"/>
      </w:r>
      <w:r w:rsidRPr="00374074">
        <w:rPr>
          <w:lang w:eastAsia="en-GB"/>
        </w:rPr>
        <w:t xml:space="preserve"> which governs the acquisition of citizenship through registration of birth, marriage and death.</w:t>
      </w:r>
      <w:r w:rsidRPr="00374074">
        <w:rPr>
          <w:i/>
          <w:iCs/>
          <w:lang w:eastAsia="en-GB"/>
        </w:rPr>
        <w:t xml:space="preserve"> “The father or mother of a child shall report the birth no later than 30 days from the day of delivery to the commune or sangkat office. Should neither the father nor the mother </w:t>
      </w:r>
      <w:r w:rsidRPr="00374074">
        <w:rPr>
          <w:rFonts w:eastAsia="Malgun Gothic"/>
          <w:i/>
          <w:iCs/>
          <w:lang w:eastAsia="ko-KR"/>
        </w:rPr>
        <w:t>be able to</w:t>
      </w:r>
      <w:r w:rsidRPr="00374074">
        <w:rPr>
          <w:i/>
          <w:iCs/>
          <w:lang w:eastAsia="en-GB"/>
        </w:rPr>
        <w:t xml:space="preserve"> report the birth, an adult relative residing with the child’s father or mother shall promptly report the birth. Should the father and mother neglect to fulfil the obligation described in paragraph (1) without good reason, they shall be subject to a fine of not more than ten thousand (10,000)</w:t>
      </w:r>
      <w:r w:rsidRPr="00374074">
        <w:rPr>
          <w:rFonts w:eastAsia="Malgun Gothic"/>
          <w:i/>
          <w:iCs/>
          <w:lang w:eastAsia="ko-KR"/>
        </w:rPr>
        <w:t xml:space="preserve"> R</w:t>
      </w:r>
      <w:r w:rsidRPr="00374074">
        <w:rPr>
          <w:i/>
          <w:iCs/>
          <w:lang w:eastAsia="en-GB"/>
        </w:rPr>
        <w:t>iels.”</w:t>
      </w:r>
      <w:r w:rsidRPr="00374074">
        <w:rPr>
          <w:vertAlign w:val="superscript"/>
          <w:cs/>
          <w:lang w:eastAsia="en-GB"/>
        </w:rPr>
        <w:footnoteReference w:id="50"/>
      </w:r>
    </w:p>
    <w:p w14:paraId="4DA6C481" w14:textId="77777777" w:rsidR="00374074" w:rsidRPr="00374074" w:rsidRDefault="00374074" w:rsidP="0040290C">
      <w:pPr>
        <w:pStyle w:val="SingleTxtG"/>
        <w:numPr>
          <w:ilvl w:val="0"/>
          <w:numId w:val="7"/>
        </w:numPr>
        <w:ind w:left="1134" w:firstLine="0"/>
        <w:rPr>
          <w:lang w:eastAsia="en-GB"/>
        </w:rPr>
      </w:pPr>
      <w:r w:rsidRPr="00374074">
        <w:rPr>
          <w:i/>
          <w:iCs/>
          <w:lang w:eastAsia="en-GB"/>
        </w:rPr>
        <w:t>“All babies, including those with disabilities, must be registered at birth. Civil registration is free of charge</w:t>
      </w:r>
      <w:r w:rsidRPr="00374074">
        <w:rPr>
          <w:rFonts w:eastAsia="Malgun Gothic"/>
          <w:i/>
          <w:iCs/>
          <w:lang w:eastAsia="ko-KR"/>
        </w:rPr>
        <w:t>,</w:t>
      </w:r>
      <w:r w:rsidRPr="00374074">
        <w:rPr>
          <w:i/>
          <w:iCs/>
          <w:lang w:eastAsia="en-GB"/>
        </w:rPr>
        <w:t>”</w:t>
      </w:r>
      <w:r w:rsidRPr="00374074">
        <w:rPr>
          <w:i/>
          <w:iCs/>
          <w:vertAlign w:val="superscript"/>
          <w:cs/>
          <w:lang w:eastAsia="en-GB" w:bidi="km-KH"/>
        </w:rPr>
        <w:t xml:space="preserve"> </w:t>
      </w:r>
      <w:r w:rsidRPr="00374074">
        <w:rPr>
          <w:lang w:eastAsia="en-GB"/>
        </w:rPr>
        <w:t xml:space="preserve">according to the </w:t>
      </w:r>
      <w:r w:rsidRPr="00374074">
        <w:rPr>
          <w:rFonts w:eastAsia="Malgun Gothic"/>
          <w:lang w:eastAsia="ko-KR"/>
        </w:rPr>
        <w:t>I</w:t>
      </w:r>
      <w:r w:rsidRPr="00374074">
        <w:rPr>
          <w:lang w:eastAsia="en-GB"/>
        </w:rPr>
        <w:t>nter-</w:t>
      </w:r>
      <w:r w:rsidRPr="00374074">
        <w:rPr>
          <w:rFonts w:eastAsia="Malgun Gothic"/>
          <w:lang w:eastAsia="ko-KR"/>
        </w:rPr>
        <w:t>M</w:t>
      </w:r>
      <w:r w:rsidRPr="00374074">
        <w:rPr>
          <w:lang w:eastAsia="en-GB"/>
        </w:rPr>
        <w:t xml:space="preserve">inisterial Prakas on Provision of Administrative Services of Sub-National Administration No. 14342 Pr.K, dated 29 December 2016, and the </w:t>
      </w:r>
      <w:r w:rsidRPr="00374074">
        <w:rPr>
          <w:rFonts w:eastAsia="Malgun Gothic"/>
          <w:lang w:eastAsia="ko-KR"/>
        </w:rPr>
        <w:t>I</w:t>
      </w:r>
      <w:r w:rsidRPr="00374074">
        <w:rPr>
          <w:lang w:eastAsia="en-GB"/>
        </w:rPr>
        <w:t>nter-</w:t>
      </w:r>
      <w:r w:rsidRPr="00374074">
        <w:rPr>
          <w:rFonts w:eastAsia="Malgun Gothic"/>
          <w:lang w:eastAsia="ko-KR"/>
        </w:rPr>
        <w:t>M</w:t>
      </w:r>
      <w:r w:rsidRPr="00374074">
        <w:rPr>
          <w:lang w:eastAsia="en-GB"/>
        </w:rPr>
        <w:t>inisterial Prakas on Provision of Administrative Service under the Ministry of Interior No. 14414, Pr.K dated 30</w:t>
      </w:r>
      <w:r w:rsidRPr="00374074">
        <w:rPr>
          <w:vertAlign w:val="superscript"/>
          <w:lang w:eastAsia="en-GB"/>
        </w:rPr>
        <w:t xml:space="preserve"> </w:t>
      </w:r>
      <w:r w:rsidRPr="00374074">
        <w:rPr>
          <w:lang w:eastAsia="en-GB"/>
        </w:rPr>
        <w:t>December 2016</w:t>
      </w:r>
      <w:r w:rsidRPr="00374074">
        <w:rPr>
          <w:rFonts w:eastAsia="Malgun Gothic"/>
          <w:lang w:eastAsia="ko-KR"/>
        </w:rPr>
        <w:t>,</w:t>
      </w:r>
      <w:r w:rsidRPr="00374074">
        <w:rPr>
          <w:lang w:eastAsia="en-GB"/>
        </w:rPr>
        <w:t xml:space="preserve"> issued jointly by the Ministry of Interior and the Ministry of Economy and Finance (MoEF). At the end of 2016, the working group of the General Department of Identification of the Ministry of Interior gathered baseline data on civil registration and vital statistics from Phnom Penh, Oddar Meanchey, Preah Sihanouk, Ratanakiri and Svay Rieng provinces. The total number of households was 4,681, with a total population of 22,426 individuals, includ</w:t>
      </w:r>
      <w:r w:rsidRPr="00374074">
        <w:rPr>
          <w:rFonts w:eastAsia="Malgun Gothic"/>
          <w:lang w:eastAsia="ko-KR"/>
        </w:rPr>
        <w:t>ing</w:t>
      </w:r>
      <w:r w:rsidRPr="00374074">
        <w:rPr>
          <w:lang w:eastAsia="en-GB"/>
        </w:rPr>
        <w:t xml:space="preserve"> 357 individuals with disabilities. </w:t>
      </w:r>
      <w:r w:rsidRPr="00374074">
        <w:rPr>
          <w:rFonts w:eastAsia="Malgun Gothic"/>
          <w:lang w:eastAsia="ko-KR"/>
        </w:rPr>
        <w:t>Of these</w:t>
      </w:r>
      <w:r w:rsidRPr="00374074">
        <w:rPr>
          <w:lang w:eastAsia="en-GB"/>
        </w:rPr>
        <w:t xml:space="preserve">, 298 individuals with disabilities (equivalent to 83.5%) were registered at birth, while 59 individuals (equivalent to 16.5%) were not registered. 288 individuals with disabilities (equivalent to 83.2%) </w:t>
      </w:r>
      <w:r w:rsidRPr="00374074">
        <w:rPr>
          <w:rFonts w:eastAsia="Malgun Gothic"/>
          <w:lang w:eastAsia="ko-KR"/>
        </w:rPr>
        <w:t>hold</w:t>
      </w:r>
      <w:r w:rsidRPr="00374074">
        <w:rPr>
          <w:lang w:eastAsia="en-GB"/>
        </w:rPr>
        <w:t xml:space="preserve"> Khmer Identification cards. The remaining 58 individuals (equivalent to 16.8%) have yet to receive a Khmer Identification card.</w:t>
      </w:r>
      <w:r w:rsidRPr="00374074">
        <w:rPr>
          <w:b/>
          <w:vertAlign w:val="superscript"/>
          <w:cs/>
          <w:lang w:eastAsia="en-GB"/>
        </w:rPr>
        <w:footnoteReference w:id="51"/>
      </w:r>
    </w:p>
    <w:p w14:paraId="11CD6135" w14:textId="77777777" w:rsidR="00374074" w:rsidRPr="00374074" w:rsidRDefault="00374074" w:rsidP="0040290C">
      <w:pPr>
        <w:pStyle w:val="SingleTxtG"/>
        <w:numPr>
          <w:ilvl w:val="0"/>
          <w:numId w:val="7"/>
        </w:numPr>
        <w:ind w:left="1134" w:firstLine="0"/>
        <w:rPr>
          <w:lang w:eastAsia="en-GB"/>
        </w:rPr>
      </w:pPr>
      <w:r w:rsidRPr="00374074">
        <w:rPr>
          <w:lang w:eastAsia="en-GB"/>
        </w:rPr>
        <w:t>The Law on Inter-country Adoption, enacted on 3 December 2009, ensures the prioritization of the child</w:t>
      </w:r>
      <w:r w:rsidRPr="00374074">
        <w:rPr>
          <w:rFonts w:eastAsia="Malgun Gothic"/>
          <w:lang w:eastAsia="ko-KR"/>
        </w:rPr>
        <w:t>’s</w:t>
      </w:r>
      <w:r w:rsidRPr="00374074">
        <w:rPr>
          <w:lang w:eastAsia="en-GB"/>
        </w:rPr>
        <w:t xml:space="preserve"> best interest</w:t>
      </w:r>
      <w:r w:rsidRPr="00374074">
        <w:rPr>
          <w:rFonts w:eastAsia="Malgun Gothic"/>
          <w:lang w:eastAsia="ko-KR"/>
        </w:rPr>
        <w:t>s</w:t>
      </w:r>
      <w:r w:rsidRPr="00374074">
        <w:rPr>
          <w:lang w:eastAsia="en-GB"/>
        </w:rPr>
        <w:t xml:space="preserve"> and the protection of their fundamental rights</w:t>
      </w:r>
      <w:r w:rsidRPr="00374074">
        <w:rPr>
          <w:szCs w:val="39"/>
          <w:lang w:eastAsia="en-GB" w:bidi="km-KH"/>
        </w:rPr>
        <w:t xml:space="preserve">, including children with </w:t>
      </w:r>
      <w:r w:rsidRPr="00054A54">
        <w:rPr>
          <w:lang w:eastAsia="en-GB"/>
        </w:rPr>
        <w:t>disabilities</w:t>
      </w:r>
      <w:r w:rsidRPr="00374074">
        <w:rPr>
          <w:lang w:eastAsia="en-GB"/>
        </w:rPr>
        <w:t xml:space="preserve"> who are subject</w:t>
      </w:r>
      <w:r w:rsidRPr="00374074">
        <w:rPr>
          <w:rFonts w:eastAsia="Malgun Gothic"/>
          <w:lang w:eastAsia="ko-KR"/>
        </w:rPr>
        <w:t>s</w:t>
      </w:r>
      <w:r w:rsidRPr="00374074">
        <w:rPr>
          <w:lang w:eastAsia="en-GB"/>
        </w:rPr>
        <w:t xml:space="preserve"> of inter-country adoptions.</w:t>
      </w:r>
    </w:p>
    <w:p w14:paraId="0F16E7A7" w14:textId="2EA65FF0" w:rsidR="00374074" w:rsidRPr="00374074" w:rsidRDefault="00054A54" w:rsidP="00054A54">
      <w:pPr>
        <w:pStyle w:val="H1G"/>
        <w:rPr>
          <w:lang w:eastAsia="en-GB" w:bidi="km-KH"/>
        </w:rPr>
      </w:pPr>
      <w:bookmarkStart w:id="33" w:name="_Toc368313556"/>
      <w:bookmarkStart w:id="34" w:name="_Toc392839039"/>
      <w:bookmarkStart w:id="35" w:name="_Toc92875442"/>
      <w:bookmarkStart w:id="36" w:name="_Toc215321703"/>
      <w:r>
        <w:rPr>
          <w:lang w:eastAsia="en-GB" w:bidi="km-KH"/>
        </w:rPr>
        <w:tab/>
      </w:r>
      <w:r>
        <w:rPr>
          <w:lang w:eastAsia="en-GB" w:bidi="km-KH"/>
        </w:rPr>
        <w:tab/>
      </w:r>
      <w:bookmarkEnd w:id="33"/>
      <w:bookmarkEnd w:id="34"/>
      <w:bookmarkEnd w:id="35"/>
      <w:r w:rsidR="00374074" w:rsidRPr="00374074">
        <w:rPr>
          <w:lang w:eastAsia="en-GB" w:bidi="km-KH"/>
        </w:rPr>
        <w:t>Living independently and being included in the community</w:t>
      </w:r>
      <w:bookmarkEnd w:id="36"/>
      <w:r>
        <w:rPr>
          <w:lang w:eastAsia="en-GB" w:bidi="km-KH"/>
        </w:rPr>
        <w:br/>
      </w:r>
      <w:r w:rsidRPr="00374074">
        <w:rPr>
          <w:lang w:eastAsia="en-GB" w:bidi="km-KH"/>
        </w:rPr>
        <w:t>Article</w:t>
      </w:r>
      <w:r w:rsidRPr="00374074">
        <w:rPr>
          <w:bCs/>
          <w:lang w:eastAsia="en-GB" w:bidi="km-KH"/>
        </w:rPr>
        <w:t xml:space="preserve"> </w:t>
      </w:r>
      <w:r w:rsidRPr="00374074">
        <w:rPr>
          <w:bCs/>
          <w:cs/>
          <w:lang w:eastAsia="en-GB" w:bidi="km-KH"/>
        </w:rPr>
        <w:t>19</w:t>
      </w:r>
    </w:p>
    <w:p w14:paraId="7CC1AA63" w14:textId="77777777" w:rsidR="00374074" w:rsidRPr="00374074" w:rsidRDefault="00374074" w:rsidP="0040290C">
      <w:pPr>
        <w:pStyle w:val="SingleTxtG"/>
        <w:numPr>
          <w:ilvl w:val="0"/>
          <w:numId w:val="7"/>
        </w:numPr>
        <w:ind w:left="1134" w:firstLine="0"/>
        <w:rPr>
          <w:lang w:eastAsia="en-GB"/>
        </w:rPr>
      </w:pPr>
      <w:r w:rsidRPr="00374074">
        <w:rPr>
          <w:lang w:eastAsia="en-GB"/>
        </w:rPr>
        <w:t>The RGC has established three community development areas for veterans with disabilities: Takene Koh Sla area in Kampot province, area 317 in Kulen district in Siem Reap province, and Phnom Chhat area in Banteay Meanchey province. While Cambodia currently lacks a dedicated centre for persons with disabilities or the elderly, the community prioritizes encouraging them to live with their families to ensure their rights to life and independence. In addition, communities throughout Cambodia care for persons with disabilities and the elderly, providing opportunities to live in religious centres, state orphanages and facilities operated by NGOs.</w:t>
      </w:r>
    </w:p>
    <w:p w14:paraId="2CB28510" w14:textId="77777777" w:rsidR="00374074" w:rsidRPr="00374074" w:rsidRDefault="00374074" w:rsidP="0040290C">
      <w:pPr>
        <w:pStyle w:val="SingleTxtG"/>
        <w:numPr>
          <w:ilvl w:val="0"/>
          <w:numId w:val="7"/>
        </w:numPr>
        <w:ind w:left="1134" w:firstLine="0"/>
        <w:rPr>
          <w:lang w:eastAsia="en-GB"/>
        </w:rPr>
      </w:pPr>
      <w:r w:rsidRPr="00374074">
        <w:rPr>
          <w:lang w:eastAsia="en-GB"/>
        </w:rPr>
        <w:lastRenderedPageBreak/>
        <w:t>Since 1997, disability-focused organizations have been implementing Community Works with Disability (CWD) in Cambodia, which was later renamed Community-Based Rehabilitation (CBR). CBR has evolved from a health-focused initiative to address a range of social issues</w:t>
      </w:r>
      <w:r w:rsidRPr="00374074">
        <w:rPr>
          <w:rFonts w:eastAsia="Malgun Gothic"/>
          <w:lang w:eastAsia="ko-KR"/>
        </w:rPr>
        <w:t>,</w:t>
      </w:r>
      <w:r w:rsidRPr="00374074">
        <w:rPr>
          <w:lang w:eastAsia="en-GB"/>
        </w:rPr>
        <w:t xml:space="preserve"> and in 2017, 56 NGOs implemented CBR </w:t>
      </w:r>
      <w:r w:rsidRPr="00374074">
        <w:rPr>
          <w:rFonts w:eastAsia="Malgun Gothic"/>
          <w:lang w:eastAsia="ko-KR"/>
        </w:rPr>
        <w:t xml:space="preserve">in part </w:t>
      </w:r>
      <w:r w:rsidRPr="00374074">
        <w:rPr>
          <w:lang w:eastAsia="en-GB"/>
        </w:rPr>
        <w:t>across 20 provinces, resulting in significant improvements in the living conditions of persons with disabilities. These improvements have been achieved through raising awareness, meeting basic needs, physical rehabilitation, capacity building, socio-economic activities and education.</w:t>
      </w:r>
    </w:p>
    <w:p w14:paraId="57A77C45" w14:textId="792F8A1B" w:rsidR="00374074" w:rsidRPr="00374074" w:rsidRDefault="00374074" w:rsidP="0040290C">
      <w:pPr>
        <w:pStyle w:val="SingleTxtG"/>
        <w:numPr>
          <w:ilvl w:val="0"/>
          <w:numId w:val="7"/>
        </w:numPr>
        <w:ind w:left="1134" w:firstLine="0"/>
        <w:rPr>
          <w:lang w:eastAsia="en-GB"/>
        </w:rPr>
      </w:pPr>
      <w:r w:rsidRPr="00374074">
        <w:rPr>
          <w:shd w:val="clear" w:color="auto" w:fill="FFFFFF"/>
          <w:lang w:eastAsia="en-GB"/>
        </w:rPr>
        <w:t xml:space="preserve">The National Guidelines for </w:t>
      </w:r>
      <w:r w:rsidRPr="00374074">
        <w:rPr>
          <w:lang w:eastAsia="en-GB"/>
        </w:rPr>
        <w:t>Community-Based Rehabilitation</w:t>
      </w:r>
      <w:r w:rsidRPr="00374074">
        <w:rPr>
          <w:shd w:val="clear" w:color="auto" w:fill="FFFFFF"/>
          <w:lang w:eastAsia="en-GB"/>
        </w:rPr>
        <w:t xml:space="preserve">, </w:t>
      </w:r>
      <w:r w:rsidRPr="00374074">
        <w:rPr>
          <w:szCs w:val="39"/>
          <w:shd w:val="clear" w:color="auto" w:fill="FFFFFF"/>
          <w:lang w:eastAsia="en-GB" w:bidi="km-KH"/>
        </w:rPr>
        <w:t xml:space="preserve">adopted in June 2010, </w:t>
      </w:r>
      <w:r w:rsidRPr="00374074">
        <w:rPr>
          <w:shd w:val="clear" w:color="auto" w:fill="FFFFFF"/>
          <w:lang w:eastAsia="en-GB"/>
        </w:rPr>
        <w:t xml:space="preserve">outline a strategy for rehabilitation, equal opportunities, poverty reduction and social inclusion for persons with disabilities. The aim of CBR Cambodia is to achieve socio-economic development for all individuals, including those with disabilities, who should participate in society’s activities on an equal footing with those without disabilities. The fundamental and critical principles of CBR </w:t>
      </w:r>
      <w:r w:rsidRPr="00374074">
        <w:rPr>
          <w:rFonts w:eastAsia="Malgun Gothic"/>
          <w:shd w:val="clear" w:color="auto" w:fill="FFFFFF"/>
          <w:lang w:eastAsia="ko-KR"/>
        </w:rPr>
        <w:t>include</w:t>
      </w:r>
      <w:r w:rsidRPr="00374074">
        <w:rPr>
          <w:shd w:val="clear" w:color="auto" w:fill="FFFFFF"/>
          <w:lang w:eastAsia="en-GB"/>
        </w:rPr>
        <w:t xml:space="preserve"> inclusivity, sustainable participation, empowerment, self-promotion, and a barrier-free environment. The five components of CBR encompass health, education, livelihood, social support, and empowerment. CBR has progressed into what is </w:t>
      </w:r>
      <w:r w:rsidRPr="00374074">
        <w:rPr>
          <w:rFonts w:eastAsia="Malgun Gothic"/>
          <w:shd w:val="clear" w:color="auto" w:fill="FFFFFF"/>
          <w:lang w:eastAsia="ko-KR"/>
        </w:rPr>
        <w:t>now</w:t>
      </w:r>
      <w:r w:rsidRPr="00374074">
        <w:rPr>
          <w:shd w:val="clear" w:color="auto" w:fill="FFFFFF"/>
          <w:lang w:eastAsia="en-GB"/>
        </w:rPr>
        <w:t xml:space="preserve"> referred to as community-based development for all and encompasses development that is inclusive of persons with disabilities and other vulnerable groups. Community</w:t>
      </w:r>
      <w:r w:rsidRPr="00374074">
        <w:rPr>
          <w:rFonts w:eastAsia="Malgun Gothic"/>
          <w:shd w:val="clear" w:color="auto" w:fill="FFFFFF"/>
          <w:lang w:eastAsia="ko-KR"/>
        </w:rPr>
        <w:t>-</w:t>
      </w:r>
      <w:r w:rsidRPr="00374074">
        <w:rPr>
          <w:shd w:val="clear" w:color="auto" w:fill="FFFFFF"/>
          <w:lang w:eastAsia="en-GB"/>
        </w:rPr>
        <w:t>Based Inclusive Development (CBID) replaces the concept of disability-focused rehabilitation with disability inclusion in all development programs. Community-based rehabilitation programs reach each household directly, providing rehabilitation services. Between 1987 and the end of 2017, 17,385 persons with disabilities received vocational training and funding to create income-generating businesses, improving the lives of more than 20,000 families, and 1,966 self-help groups for persons with disabilities were organized.</w:t>
      </w:r>
      <w:r w:rsidRPr="00374074">
        <w:rPr>
          <w:vertAlign w:val="superscript"/>
          <w:cs/>
          <w:lang w:eastAsia="en-GB" w:bidi="km-KH"/>
        </w:rPr>
        <w:footnoteReference w:id="52"/>
      </w:r>
    </w:p>
    <w:p w14:paraId="4F574B84" w14:textId="70E8BADA" w:rsidR="00374074" w:rsidRPr="001D38B3" w:rsidRDefault="001D38B3" w:rsidP="001D38B3">
      <w:pPr>
        <w:pStyle w:val="H1G"/>
        <w:rPr>
          <w:lang w:bidi="km-KH"/>
        </w:rPr>
      </w:pPr>
      <w:bookmarkStart w:id="37" w:name="_Toc92875443"/>
      <w:bookmarkStart w:id="38" w:name="_Toc215321704"/>
      <w:r>
        <w:rPr>
          <w:lang w:eastAsia="en-GB" w:bidi="km-KH"/>
        </w:rPr>
        <w:tab/>
      </w:r>
      <w:r>
        <w:rPr>
          <w:lang w:eastAsia="en-GB" w:bidi="km-KH"/>
        </w:rPr>
        <w:tab/>
      </w:r>
      <w:r w:rsidR="00374074" w:rsidRPr="00374074">
        <w:rPr>
          <w:lang w:eastAsia="en-GB" w:bidi="km-KH"/>
        </w:rPr>
        <w:t>Personal mobility</w:t>
      </w:r>
      <w:bookmarkEnd w:id="37"/>
      <w:bookmarkEnd w:id="38"/>
      <w:r>
        <w:rPr>
          <w:lang w:eastAsia="en-GB" w:bidi="km-KH"/>
        </w:rPr>
        <w:br/>
      </w:r>
      <w:r w:rsidRPr="00374074">
        <w:rPr>
          <w:lang w:eastAsia="en-GB" w:bidi="km-KH"/>
        </w:rPr>
        <w:t>Article</w:t>
      </w:r>
      <w:r w:rsidRPr="00374074">
        <w:rPr>
          <w:bCs/>
          <w:lang w:eastAsia="en-GB" w:bidi="km-KH"/>
        </w:rPr>
        <w:t xml:space="preserve"> </w:t>
      </w:r>
      <w:r w:rsidRPr="00374074">
        <w:rPr>
          <w:bCs/>
          <w:cs/>
          <w:lang w:eastAsia="en-GB" w:bidi="km-KH"/>
        </w:rPr>
        <w:t>20</w:t>
      </w:r>
    </w:p>
    <w:p w14:paraId="62F8E8BC" w14:textId="77777777" w:rsidR="00374074" w:rsidRPr="00374074" w:rsidRDefault="00374074" w:rsidP="0040290C">
      <w:pPr>
        <w:pStyle w:val="SingleTxtG"/>
        <w:numPr>
          <w:ilvl w:val="0"/>
          <w:numId w:val="7"/>
        </w:numPr>
        <w:ind w:left="1134" w:firstLine="0"/>
        <w:rPr>
          <w:lang w:eastAsia="en-GB"/>
        </w:rPr>
      </w:pPr>
      <w:r w:rsidRPr="00374074">
        <w:rPr>
          <w:lang w:eastAsia="en-GB"/>
        </w:rPr>
        <w:t>The RGC has established 11 Physical Rehabilitation Centres, one Spinal Cord Injury Centre, three Repair Workshops, and one Prosthetics and Orthotics Component Factory,</w:t>
      </w:r>
      <w:r w:rsidRPr="00374074">
        <w:rPr>
          <w:b/>
          <w:vertAlign w:val="superscript"/>
          <w:cs/>
          <w:lang w:eastAsia="en-GB" w:bidi="km-KH"/>
        </w:rPr>
        <w:footnoteReference w:id="53"/>
      </w:r>
      <w:r w:rsidRPr="00374074">
        <w:rPr>
          <w:lang w:eastAsia="en-GB"/>
        </w:rPr>
        <w:t xml:space="preserve"> to provide physical rehabilitation services to persons with disabilities. Technical officers provide prosthetics, orthotics and assistive devices for persons with disabilities, and provide support services at the centres and through community-based mobile services. Support includes payment for food of 3,000 Riels per day during rehabilitation, and an allowance of 10,000 Riels for a single trip to receive the service.</w:t>
      </w:r>
      <w:r w:rsidRPr="00374074">
        <w:rPr>
          <w:b/>
          <w:vertAlign w:val="superscript"/>
          <w:cs/>
          <w:lang w:eastAsia="en-GB" w:bidi="km-KH"/>
        </w:rPr>
        <w:footnoteReference w:id="54"/>
      </w:r>
      <w:r w:rsidRPr="00374074">
        <w:rPr>
          <w:lang w:eastAsia="en-GB"/>
        </w:rPr>
        <w:t xml:space="preserve"> Since 2015, a total of 81,538 prosthetics, orthotics, wheelchairs, postural and walking aids, and other mobility aids have been provided to those in need, including children with disabilities, through the 11 Physical Rehabilitation Centres throughout the country, as well as through the three Repair Workshops, with the support of NGOs working in the disability sector.</w:t>
      </w:r>
    </w:p>
    <w:p w14:paraId="02054FB7" w14:textId="77777777" w:rsidR="00374074" w:rsidRPr="00374074" w:rsidRDefault="00374074" w:rsidP="0040290C">
      <w:pPr>
        <w:pStyle w:val="SingleTxtG"/>
        <w:numPr>
          <w:ilvl w:val="0"/>
          <w:numId w:val="7"/>
        </w:numPr>
        <w:ind w:left="1134" w:firstLine="0"/>
        <w:rPr>
          <w:lang w:eastAsia="en-GB"/>
        </w:rPr>
      </w:pPr>
      <w:r w:rsidRPr="00374074">
        <w:rPr>
          <w:lang w:eastAsia="en-GB"/>
        </w:rPr>
        <w:t xml:space="preserve">Cambodia currently lacks modern technology to assist persons with disabilities. Furthermore, access to guide dogs for those with visual impairments or personal assistance services are not yet available. However, </w:t>
      </w:r>
      <w:r w:rsidRPr="00374074">
        <w:rPr>
          <w:lang w:val="en-CA" w:eastAsia="en-GB"/>
        </w:rPr>
        <w:t>study materials sent by post to the visually impaired are free of charge</w:t>
      </w:r>
      <w:r w:rsidRPr="00374074">
        <w:rPr>
          <w:lang w:eastAsia="en-GB"/>
        </w:rPr>
        <w:t>.</w:t>
      </w:r>
      <w:r w:rsidRPr="00374074">
        <w:rPr>
          <w:vertAlign w:val="superscript"/>
          <w:cs/>
          <w:lang w:eastAsia="en-GB" w:bidi="km-KH"/>
        </w:rPr>
        <w:footnoteReference w:id="55"/>
      </w:r>
      <w:r w:rsidRPr="00374074">
        <w:rPr>
          <w:lang w:eastAsia="en-GB"/>
        </w:rPr>
        <w:t xml:space="preserve"> Some individuals with visual impairments are able to travel to work and participate in their communities with the help of their friends, siblings and parents. They also rely on user-friendly technology for various activities, such as using computers for education, work and entertainment. However, these technologies are not yet compatible with the Khmer language. The  RGC is making significant efforts to provide reasonable accommodations for persons with disabilities, which includes promoting the renovation of public buildings to make them more accessible, installing sound signals in buildings and traffic lights, and </w:t>
      </w:r>
      <w:r w:rsidRPr="00374074">
        <w:rPr>
          <w:lang w:eastAsia="en-GB"/>
        </w:rPr>
        <w:lastRenderedPageBreak/>
        <w:t>providing assistance programs for the blind that help them with education, work and daily life support, in line with progressive national economic growth.</w:t>
      </w:r>
    </w:p>
    <w:p w14:paraId="20CFC3AC" w14:textId="4FBC84A8" w:rsidR="00374074" w:rsidRPr="00374074" w:rsidRDefault="0034379F" w:rsidP="0034379F">
      <w:pPr>
        <w:pStyle w:val="H1G"/>
        <w:rPr>
          <w:bCs/>
          <w:lang w:eastAsia="en-GB" w:bidi="km-KH"/>
        </w:rPr>
      </w:pPr>
      <w:bookmarkStart w:id="39" w:name="_Toc392839041"/>
      <w:bookmarkStart w:id="40" w:name="_Toc92875444"/>
      <w:bookmarkStart w:id="41" w:name="_Toc215321705"/>
      <w:r>
        <w:rPr>
          <w:lang w:eastAsia="en-GB" w:bidi="km-KH"/>
        </w:rPr>
        <w:tab/>
      </w:r>
      <w:r>
        <w:rPr>
          <w:lang w:eastAsia="en-GB" w:bidi="km-KH"/>
        </w:rPr>
        <w:tab/>
      </w:r>
      <w:r w:rsidR="00374074" w:rsidRPr="00374074">
        <w:rPr>
          <w:lang w:eastAsia="en-GB" w:bidi="km-KH"/>
        </w:rPr>
        <w:t>Freedom of expression and opinion, and access to information</w:t>
      </w:r>
      <w:bookmarkEnd w:id="39"/>
      <w:bookmarkEnd w:id="40"/>
      <w:bookmarkEnd w:id="41"/>
      <w:r>
        <w:rPr>
          <w:bCs/>
          <w:lang w:eastAsia="en-GB" w:bidi="km-KH"/>
        </w:rPr>
        <w:br/>
      </w:r>
      <w:r w:rsidRPr="00374074">
        <w:rPr>
          <w:lang w:eastAsia="en-GB" w:bidi="km-KH"/>
        </w:rPr>
        <w:t xml:space="preserve">Article </w:t>
      </w:r>
      <w:r w:rsidRPr="00374074">
        <w:rPr>
          <w:bCs/>
          <w:cs/>
          <w:lang w:eastAsia="en-GB" w:bidi="km-KH"/>
        </w:rPr>
        <w:t>21</w:t>
      </w:r>
    </w:p>
    <w:p w14:paraId="5D926D0F" w14:textId="77777777" w:rsidR="00374074" w:rsidRPr="00374074" w:rsidRDefault="00374074" w:rsidP="0040290C">
      <w:pPr>
        <w:pStyle w:val="SingleTxtG"/>
        <w:numPr>
          <w:ilvl w:val="0"/>
          <w:numId w:val="7"/>
        </w:numPr>
        <w:ind w:left="1134" w:firstLine="0"/>
        <w:rPr>
          <w:lang w:eastAsia="en-GB"/>
        </w:rPr>
      </w:pPr>
      <w:r w:rsidRPr="0034379F">
        <w:rPr>
          <w:lang w:val="en-CA" w:eastAsia="en-GB"/>
        </w:rPr>
        <w:t>Cambodia</w:t>
      </w:r>
      <w:r w:rsidRPr="00374074">
        <w:rPr>
          <w:lang w:eastAsia="en-GB"/>
        </w:rPr>
        <w:t xml:space="preserve"> is a signatory to the UDHR, which was incorporated into Cambodian law in 2007. In 1992, Cambodia ratified the International Covenant on Civil and Political Rights. Article 19 of this Covenant stipulates that “</w:t>
      </w:r>
      <w:r w:rsidRPr="00374074">
        <w:rPr>
          <w:i/>
          <w:iCs/>
          <w:lang w:eastAsia="en-GB"/>
        </w:rPr>
        <w:t>Everyone shall have the right to hold opinions without interference. Everyone shall have the right to freedom of expression; this right shall include freedom to seek, receive and impart information and ideas of all kinds, regardless of frontiers, either orally, in writing or in print, in the form of art, or through any other media of his choice.”</w:t>
      </w:r>
    </w:p>
    <w:p w14:paraId="556EC58B" w14:textId="77777777" w:rsidR="00374074" w:rsidRPr="00374074" w:rsidRDefault="00374074" w:rsidP="0040290C">
      <w:pPr>
        <w:pStyle w:val="SingleTxtG"/>
        <w:numPr>
          <w:ilvl w:val="0"/>
          <w:numId w:val="7"/>
        </w:numPr>
        <w:ind w:left="1134" w:firstLine="0"/>
        <w:rPr>
          <w:lang w:eastAsia="en-GB"/>
        </w:rPr>
      </w:pPr>
      <w:r w:rsidRPr="00374074">
        <w:rPr>
          <w:lang w:eastAsia="en-GB"/>
        </w:rPr>
        <w:t xml:space="preserve">The Ministry of Information (MoINFO) has prepared the draft Law on Access to Information; </w:t>
      </w:r>
      <w:r w:rsidRPr="0034379F">
        <w:rPr>
          <w:lang w:val="en-CA" w:eastAsia="en-GB"/>
        </w:rPr>
        <w:t>article</w:t>
      </w:r>
      <w:r w:rsidRPr="00374074">
        <w:rPr>
          <w:lang w:eastAsia="en-GB"/>
        </w:rPr>
        <w:t xml:space="preserve"> 1 states that </w:t>
      </w:r>
      <w:r w:rsidRPr="0034379F">
        <w:rPr>
          <w:i/>
          <w:iCs/>
          <w:lang w:eastAsia="en-GB"/>
        </w:rPr>
        <w:t>“This law aims to guarantee the public’s rights to freedom of information from the public institutions in accordance with the Constitution of the Kingdom of Cambodia”</w:t>
      </w:r>
      <w:r w:rsidRPr="00374074">
        <w:rPr>
          <w:lang w:eastAsia="en-GB"/>
        </w:rPr>
        <w:t>.</w:t>
      </w:r>
      <w:r w:rsidRPr="00374074">
        <w:rPr>
          <w:vertAlign w:val="superscript"/>
          <w:cs/>
          <w:lang w:eastAsia="en-GB"/>
        </w:rPr>
        <w:footnoteReference w:id="56"/>
      </w:r>
      <w:r w:rsidRPr="00374074">
        <w:rPr>
          <w:lang w:eastAsia="en-GB"/>
        </w:rPr>
        <w:t xml:space="preserve"> This law stipulates the duties of public institutions to provide and disseminate information to the public in accordance with the Constitution and article 19 of the UDHR.</w:t>
      </w:r>
    </w:p>
    <w:p w14:paraId="159D5152" w14:textId="77777777" w:rsidR="00374074" w:rsidRPr="00374074" w:rsidRDefault="00374074" w:rsidP="0040290C">
      <w:pPr>
        <w:pStyle w:val="SingleTxtG"/>
        <w:numPr>
          <w:ilvl w:val="0"/>
          <w:numId w:val="7"/>
        </w:numPr>
        <w:ind w:left="1134" w:firstLine="0"/>
        <w:rPr>
          <w:lang w:eastAsia="en-GB"/>
        </w:rPr>
      </w:pPr>
      <w:r w:rsidRPr="00374074">
        <w:rPr>
          <w:lang w:eastAsia="en-GB"/>
        </w:rPr>
        <w:t xml:space="preserve">The national law in Cambodia guarantees the right to freedom of expression. </w:t>
      </w:r>
      <w:r w:rsidRPr="00FB1894">
        <w:rPr>
          <w:i/>
          <w:iCs/>
          <w:lang w:eastAsia="en-GB"/>
        </w:rPr>
        <w:t>“The Kingdom of Cambodia shall recognize and respect human rights as stipulated in the United Nations Charter, the Universal Declaration of Human Rights, the covenants and conventions related to human rights...”</w:t>
      </w:r>
      <w:r w:rsidRPr="00374074">
        <w:rPr>
          <w:vertAlign w:val="superscript"/>
          <w:cs/>
          <w:lang w:eastAsia="en-GB" w:bidi="km-KH"/>
        </w:rPr>
        <w:footnoteReference w:id="57"/>
      </w:r>
      <w:r w:rsidRPr="00374074">
        <w:rPr>
          <w:lang w:eastAsia="en-GB"/>
        </w:rPr>
        <w:t xml:space="preserve"> Moreover, the right to free speech is guaranteed in article 41 of the Constitution: </w:t>
      </w:r>
      <w:r w:rsidRPr="00073DD6">
        <w:rPr>
          <w:i/>
          <w:iCs/>
          <w:lang w:eastAsia="en-GB"/>
        </w:rPr>
        <w:t>“Khmer citizens shall have freedom of expression, press, publication and assembly.”</w:t>
      </w:r>
      <w:r w:rsidRPr="00374074">
        <w:rPr>
          <w:lang w:eastAsia="en-GB"/>
        </w:rPr>
        <w:t xml:space="preserve"> The Constitution fosters an environment where citizens have the freedom to exercise their right to freedom of expression and participate in public affairs. Article 35 of the Constitution states: </w:t>
      </w:r>
      <w:r w:rsidRPr="00810D2C">
        <w:rPr>
          <w:i/>
          <w:iCs/>
          <w:lang w:eastAsia="en-GB"/>
        </w:rPr>
        <w:t>“Khmer citizens of either sex shall have the right to participate actively in the political, economic, social and cultural life of the nation. Any suggestions from the people shall be given full consideration by the grant of the</w:t>
      </w:r>
      <w:r w:rsidRPr="00374074">
        <w:rPr>
          <w:lang w:eastAsia="en-GB"/>
        </w:rPr>
        <w:t xml:space="preserve"> </w:t>
      </w:r>
      <w:r w:rsidRPr="00810D2C">
        <w:rPr>
          <w:i/>
          <w:iCs/>
          <w:lang w:eastAsia="en-GB"/>
        </w:rPr>
        <w:t>State.”</w:t>
      </w:r>
      <w:r w:rsidRPr="00374074">
        <w:rPr>
          <w:lang w:eastAsia="en-GB"/>
        </w:rPr>
        <w:t xml:space="preserve"> The right to exercise freedom of expression through peaceful protest is also protected by the Constitution. Article 37 provides for the “right to strike and to organize non-violent demonstrations”; these rights are protected by the Law on Peaceful Demonstration.</w:t>
      </w:r>
    </w:p>
    <w:p w14:paraId="4F4578E0" w14:textId="77777777" w:rsidR="00374074" w:rsidRPr="00374074" w:rsidRDefault="00374074" w:rsidP="0040290C">
      <w:pPr>
        <w:pStyle w:val="SingleTxtG"/>
        <w:numPr>
          <w:ilvl w:val="0"/>
          <w:numId w:val="7"/>
        </w:numPr>
        <w:ind w:left="1134" w:firstLine="0"/>
        <w:rPr>
          <w:lang w:eastAsia="en-GB"/>
        </w:rPr>
      </w:pPr>
      <w:r w:rsidRPr="00374074">
        <w:rPr>
          <w:lang w:eastAsia="en-GB"/>
        </w:rPr>
        <w:t>The utilization of new media has expanded the range of freedom of expression, offering an increasingly valuable means for protecting and promoting the rights of persons with disabilities. Mobile and internet technologies have created a platform for more open discussion and debate on disability-related issues, including through newspaper, radio and television. Social media, especially Facebook, is a preferred platform for the Royal Government, ministries, institutions, departments and organizations discussing their implemented activities to enhance awareness and amplify the voices of persons with disabilities.</w:t>
      </w:r>
    </w:p>
    <w:p w14:paraId="373B0B28" w14:textId="77777777" w:rsidR="00374074" w:rsidRPr="00374074" w:rsidRDefault="00374074" w:rsidP="0040290C">
      <w:pPr>
        <w:pStyle w:val="SingleTxtG"/>
        <w:numPr>
          <w:ilvl w:val="0"/>
          <w:numId w:val="7"/>
        </w:numPr>
        <w:ind w:left="1134" w:firstLine="0"/>
        <w:rPr>
          <w:lang w:eastAsia="en-GB"/>
        </w:rPr>
      </w:pPr>
      <w:r w:rsidRPr="00374074">
        <w:rPr>
          <w:lang w:eastAsia="en-GB"/>
        </w:rPr>
        <w:t>Cambodia has a total of 26 television stations, of which three – the National Television of Cambodia (TVK), a state-owned television station, as well as Bayon TV and Apsara TV, which are private television stations – broadcast national and international news programs with sign language for those with hearing impairments. Since 2013, TVK has broadcast a weekly one-hour talk show on disability.</w:t>
      </w:r>
    </w:p>
    <w:p w14:paraId="6F27D8F1" w14:textId="77777777" w:rsidR="00374074" w:rsidRPr="00374074" w:rsidRDefault="00374074" w:rsidP="0040290C">
      <w:pPr>
        <w:pStyle w:val="SingleTxtG"/>
        <w:numPr>
          <w:ilvl w:val="0"/>
          <w:numId w:val="7"/>
        </w:numPr>
        <w:ind w:left="1134" w:firstLine="0"/>
        <w:rPr>
          <w:lang w:eastAsia="en-GB"/>
        </w:rPr>
      </w:pPr>
      <w:r w:rsidRPr="00374074">
        <w:rPr>
          <w:lang w:eastAsia="en-GB"/>
        </w:rPr>
        <w:t xml:space="preserve">Cambodia operates three state radio stations (AM 918 MHz, FM 105.70 MHz and FM 96 MHz). Additionally, the Cambodian Disabled People Organization (CDPO) has established its own radio station in Phnom Penh, which has the capability to broadcast to three provinces: Svay Rieng, Siem Reap and Preah Sihanouk. Recently, a new radio station was established in Battambang province with the objective of providing information to persons with disabilities, enabling them to express their opinions and increasing awareness of laws and regulations, particularly those related to disability. Furthermore, numerous </w:t>
      </w:r>
      <w:r w:rsidRPr="00374074">
        <w:rPr>
          <w:lang w:eastAsia="en-GB"/>
        </w:rPr>
        <w:lastRenderedPageBreak/>
        <w:t>private radio stations across the country are also involved in disseminating information about disability issues.</w:t>
      </w:r>
    </w:p>
    <w:p w14:paraId="66BA8677" w14:textId="77777777" w:rsidR="00374074" w:rsidRPr="00374074" w:rsidRDefault="00374074" w:rsidP="0040290C">
      <w:pPr>
        <w:pStyle w:val="SingleTxtG"/>
        <w:numPr>
          <w:ilvl w:val="0"/>
          <w:numId w:val="7"/>
        </w:numPr>
        <w:ind w:left="1134" w:firstLine="0"/>
        <w:rPr>
          <w:lang w:eastAsia="en-GB"/>
        </w:rPr>
      </w:pPr>
      <w:r w:rsidRPr="00374074">
        <w:rPr>
          <w:lang w:eastAsia="en-GB"/>
        </w:rPr>
        <w:t>The right to freedom of expression for those with hearing impairment is expanding in Cambodia, with the MoEYS and NGOs collaborating to develop Khmer sign language. Prior to 1997, Cambodia lacked a Khmer sign language, as well as schools and services for those with hearing impairments. Currently, some schools use American-Khmer sign language, as well as French sign language. The development of American-Khmer sign language has led to the compilation of two dictionaries containing over 1,600 words in Cambodian sign language; these dictionaries are available in CD format and on the website of Krousar Thmey (</w:t>
      </w:r>
      <w:hyperlink r:id="rId12" w:history="1">
        <w:r w:rsidRPr="00374074">
          <w:rPr>
            <w:color w:val="0000FF" w:themeColor="hyperlink"/>
            <w:u w:val="single"/>
            <w:lang w:eastAsia="en-GB"/>
          </w:rPr>
          <w:t>www.krousar-thmey.org</w:t>
        </w:r>
      </w:hyperlink>
      <w:r w:rsidRPr="00374074">
        <w:rPr>
          <w:lang w:eastAsia="en-GB"/>
        </w:rPr>
        <w:t>).</w:t>
      </w:r>
    </w:p>
    <w:p w14:paraId="1CC5793F" w14:textId="77777777" w:rsidR="00374074" w:rsidRPr="00374074" w:rsidRDefault="00374074" w:rsidP="0040290C">
      <w:pPr>
        <w:pStyle w:val="SingleTxtG"/>
        <w:numPr>
          <w:ilvl w:val="0"/>
          <w:numId w:val="7"/>
        </w:numPr>
        <w:ind w:left="1134" w:firstLine="0"/>
        <w:rPr>
          <w:cs/>
          <w:lang w:eastAsia="en-GB"/>
        </w:rPr>
      </w:pPr>
      <w:r w:rsidRPr="00374074">
        <w:rPr>
          <w:lang w:eastAsia="en-GB"/>
        </w:rPr>
        <w:t>Access to information for individuals with visual impairments is gradually improving. Software applications such as Job Access With Speech (JAWS) and Non-Visual Desktop Access (NVDA) have been developed to assist people with visual impairments in accessing information in English through computers and other devices. MoEYS is currently preparing to incorporate Khmer and English braille into the general education curriculum, and Khmer and English braille are both commonly taught to students with disabilities, which equips them with the necessary skills to secure employment opportunities.</w:t>
      </w:r>
    </w:p>
    <w:p w14:paraId="5EC91C95" w14:textId="731FB633" w:rsidR="00374074" w:rsidRPr="00374074" w:rsidRDefault="009D2F0A" w:rsidP="009D2F0A">
      <w:pPr>
        <w:pStyle w:val="H1G"/>
        <w:rPr>
          <w:bCs/>
          <w:cs/>
          <w:lang w:eastAsia="en-GB" w:bidi="km-KH"/>
        </w:rPr>
      </w:pPr>
      <w:bookmarkStart w:id="42" w:name="_Toc368313559"/>
      <w:bookmarkStart w:id="43" w:name="_Toc392839042"/>
      <w:bookmarkStart w:id="44" w:name="_Toc92875445"/>
      <w:bookmarkStart w:id="45" w:name="_Toc215321706"/>
      <w:r>
        <w:rPr>
          <w:lang w:eastAsia="en-GB" w:bidi="km-KH"/>
        </w:rPr>
        <w:tab/>
      </w:r>
      <w:r>
        <w:rPr>
          <w:lang w:eastAsia="en-GB" w:bidi="km-KH"/>
        </w:rPr>
        <w:tab/>
      </w:r>
      <w:r w:rsidR="00374074" w:rsidRPr="00374074">
        <w:rPr>
          <w:lang w:eastAsia="en-GB" w:bidi="km-KH"/>
        </w:rPr>
        <w:t xml:space="preserve">Respect for </w:t>
      </w:r>
      <w:bookmarkEnd w:id="42"/>
      <w:bookmarkEnd w:id="43"/>
      <w:bookmarkEnd w:id="44"/>
      <w:r w:rsidR="00374074" w:rsidRPr="00374074">
        <w:rPr>
          <w:lang w:eastAsia="en-GB" w:bidi="km-KH"/>
        </w:rPr>
        <w:t>privacy</w:t>
      </w:r>
      <w:bookmarkEnd w:id="45"/>
      <w:r>
        <w:rPr>
          <w:lang w:eastAsia="en-GB" w:bidi="km-KH"/>
        </w:rPr>
        <w:br/>
      </w:r>
      <w:r w:rsidRPr="00374074">
        <w:rPr>
          <w:lang w:eastAsia="en-GB" w:bidi="km-KH"/>
        </w:rPr>
        <w:t xml:space="preserve">Article </w:t>
      </w:r>
      <w:r w:rsidRPr="00374074">
        <w:rPr>
          <w:bCs/>
          <w:cs/>
          <w:lang w:eastAsia="en-GB" w:bidi="km-KH"/>
        </w:rPr>
        <w:t>22</w:t>
      </w:r>
    </w:p>
    <w:p w14:paraId="645A70E5" w14:textId="77777777" w:rsidR="00374074" w:rsidRPr="00374074" w:rsidRDefault="00374074" w:rsidP="0040290C">
      <w:pPr>
        <w:pStyle w:val="SingleTxtG"/>
        <w:numPr>
          <w:ilvl w:val="0"/>
          <w:numId w:val="7"/>
        </w:numPr>
        <w:ind w:left="1134" w:firstLine="0"/>
        <w:rPr>
          <w:lang w:eastAsia="en-GB"/>
        </w:rPr>
      </w:pPr>
      <w:r w:rsidRPr="00374074">
        <w:rPr>
          <w:lang w:eastAsia="en-GB"/>
        </w:rPr>
        <w:t xml:space="preserve">The Constitution guarantees the privacy of citizens and the secrecy of correspondence via letter, electronic message, fax, telegram and telephone. Searches of residences, materials, objects and individuals must comply with the provisions of the Law on Post Sector (arts. </w:t>
      </w:r>
      <w:r w:rsidRPr="00374074">
        <w:rPr>
          <w:cs/>
          <w:lang w:eastAsia="en-GB" w:bidi="km-KH"/>
        </w:rPr>
        <w:t>10</w:t>
      </w:r>
      <w:r w:rsidRPr="00374074">
        <w:rPr>
          <w:lang w:eastAsia="en-GB"/>
        </w:rPr>
        <w:t xml:space="preserve">, </w:t>
      </w:r>
      <w:r w:rsidRPr="00374074">
        <w:rPr>
          <w:cs/>
          <w:lang w:eastAsia="en-GB" w:bidi="km-KH"/>
        </w:rPr>
        <w:t>11</w:t>
      </w:r>
      <w:r w:rsidRPr="00374074">
        <w:rPr>
          <w:lang w:eastAsia="en-GB" w:bidi="km-KH"/>
        </w:rPr>
        <w:t xml:space="preserve"> and </w:t>
      </w:r>
      <w:r w:rsidRPr="00374074">
        <w:rPr>
          <w:cs/>
          <w:lang w:eastAsia="en-GB" w:bidi="km-KH"/>
        </w:rPr>
        <w:t>40).</w:t>
      </w:r>
    </w:p>
    <w:p w14:paraId="7CA9E930" w14:textId="77777777" w:rsidR="00374074" w:rsidRPr="00374074" w:rsidRDefault="00374074" w:rsidP="0040290C">
      <w:pPr>
        <w:pStyle w:val="SingleTxtG"/>
        <w:numPr>
          <w:ilvl w:val="0"/>
          <w:numId w:val="7"/>
        </w:numPr>
        <w:ind w:left="1134" w:firstLine="0"/>
        <w:rPr>
          <w:lang w:eastAsia="en-GB"/>
        </w:rPr>
      </w:pPr>
      <w:r w:rsidRPr="00374074">
        <w:rPr>
          <w:lang w:eastAsia="en-GB"/>
        </w:rPr>
        <w:t xml:space="preserve">In the health sector, the RGC has issued five codes of professional ethics to safeguard personal information privacy. Those codes apply to doctors, dentists, pharmacists, midwives and nurses. Article 61 of Sub-Decree No. 33 ANKr.BK, dated 20 January 2014, on the Pharmacist Code of Ethics states: </w:t>
      </w:r>
      <w:r w:rsidRPr="00374074">
        <w:rPr>
          <w:i/>
          <w:iCs/>
          <w:lang w:eastAsia="en-GB"/>
        </w:rPr>
        <w:t>“Pharmacists shall keep professional confidentiality, respect the code of ethics, patients’ embarrassment and confidentiality. Pharmacists shall not disclose confidentiality that has been aware of, or having seen, diagnosis or prescription or medical record of the patient to the third parties or the public, unless otherwise stipulated by the law or it is required to disclose the said confidentiality</w:t>
      </w:r>
      <w:r w:rsidRPr="00374074">
        <w:rPr>
          <w:lang w:eastAsia="en-GB"/>
        </w:rPr>
        <w:t>.” Chapter 6, article 69 of this Sub-Decree states that “</w:t>
      </w:r>
      <w:r w:rsidRPr="00374074">
        <w:rPr>
          <w:i/>
          <w:iCs/>
          <w:lang w:eastAsia="en-GB"/>
        </w:rPr>
        <w:t>Disciplinary action shall be imposed by the Cambodian Council of Pharmacists on any pharmacist who does not comply with the provisions of this sub-decree.</w:t>
      </w:r>
      <w:r w:rsidRPr="00374074">
        <w:rPr>
          <w:lang w:eastAsia="en-GB"/>
        </w:rPr>
        <w:t>” According to the Sub-Decree No. 24 ANKr.BK dated 18 January 2013, chapter 2 on the General Duties and Responsibilities of Midwives, article 5, point 9 of the Code of Ethics for Midwives, “</w:t>
      </w:r>
      <w:r w:rsidRPr="00374074">
        <w:rPr>
          <w:i/>
          <w:iCs/>
          <w:lang w:eastAsia="en-GB"/>
        </w:rPr>
        <w:t>Midwives shall respect professional confidentiality and relevant provisions for maintaining the privacy, honour and dignity of women.</w:t>
      </w:r>
      <w:r w:rsidRPr="00374074">
        <w:rPr>
          <w:lang w:eastAsia="en-GB"/>
        </w:rPr>
        <w:t>”</w:t>
      </w:r>
    </w:p>
    <w:p w14:paraId="1D63DB23" w14:textId="77777777" w:rsidR="00374074" w:rsidRPr="00374074" w:rsidRDefault="00374074" w:rsidP="0040290C">
      <w:pPr>
        <w:pStyle w:val="SingleTxtG"/>
        <w:numPr>
          <w:ilvl w:val="0"/>
          <w:numId w:val="7"/>
        </w:numPr>
        <w:ind w:left="1134" w:firstLine="0"/>
        <w:rPr>
          <w:lang w:eastAsia="en-GB"/>
        </w:rPr>
      </w:pPr>
      <w:r w:rsidRPr="00374074">
        <w:rPr>
          <w:shd w:val="clear" w:color="auto" w:fill="FFFFFF"/>
          <w:lang w:eastAsia="en-GB"/>
        </w:rPr>
        <w:t xml:space="preserve">Chapter VII of the Law on the Prevention and Control of HIV/AIDS addresses the </w:t>
      </w:r>
      <w:r w:rsidRPr="009D2F0A">
        <w:rPr>
          <w:lang w:eastAsia="en-GB"/>
        </w:rPr>
        <w:t>confidentiality</w:t>
      </w:r>
      <w:r w:rsidRPr="00374074">
        <w:rPr>
          <w:shd w:val="clear" w:color="auto" w:fill="FFFFFF"/>
          <w:lang w:eastAsia="en-GB"/>
        </w:rPr>
        <w:t xml:space="preserve"> of information concerning individuals living with HIV/AIDS, particularly their identity and status.  The law, as outlined in the chapter on Testing and Counselling,</w:t>
      </w:r>
      <w:r w:rsidRPr="00374074">
        <w:rPr>
          <w:vertAlign w:val="superscript"/>
          <w:lang w:eastAsia="en-GB"/>
        </w:rPr>
        <w:footnoteReference w:id="58"/>
      </w:r>
      <w:r w:rsidRPr="00374074">
        <w:rPr>
          <w:shd w:val="clear" w:color="auto" w:fill="FFFFFF"/>
          <w:lang w:eastAsia="en-GB"/>
        </w:rPr>
        <w:t xml:space="preserve"> provides that the “</w:t>
      </w:r>
      <w:r w:rsidRPr="00374074">
        <w:rPr>
          <w:i/>
          <w:iCs/>
          <w:shd w:val="clear" w:color="auto" w:fill="FFFFFF"/>
          <w:lang w:eastAsia="en-GB"/>
        </w:rPr>
        <w:t xml:space="preserve">State is responsible for individuals </w:t>
      </w:r>
      <w:r w:rsidRPr="00374074">
        <w:rPr>
          <w:i/>
          <w:iCs/>
          <w:lang w:eastAsia="en-GB"/>
        </w:rPr>
        <w:t>who are mentally ill</w:t>
      </w:r>
      <w:r w:rsidRPr="00374074">
        <w:rPr>
          <w:i/>
          <w:iCs/>
          <w:shd w:val="clear" w:color="auto" w:fill="FFFFFF"/>
          <w:lang w:eastAsia="en-GB"/>
        </w:rPr>
        <w:t>”</w:t>
      </w:r>
      <w:r w:rsidRPr="00374074">
        <w:rPr>
          <w:shd w:val="clear" w:color="auto" w:fill="FFFFFF"/>
          <w:lang w:eastAsia="en-GB"/>
        </w:rPr>
        <w:t>, which indicates that persons with disabilities fall under state jurisdiction during HIV/AIDS testing and counselling.</w:t>
      </w:r>
    </w:p>
    <w:p w14:paraId="1ADA9B91" w14:textId="4AC8A350" w:rsidR="00374074" w:rsidRPr="009D2F0A" w:rsidRDefault="009D2F0A" w:rsidP="009D2F0A">
      <w:pPr>
        <w:pStyle w:val="H1G"/>
      </w:pPr>
      <w:bookmarkStart w:id="46" w:name="_Toc368313560"/>
      <w:bookmarkStart w:id="47" w:name="_Toc392839043"/>
      <w:bookmarkStart w:id="48" w:name="_Toc92875446"/>
      <w:bookmarkStart w:id="49" w:name="_Toc215321707"/>
      <w:r>
        <w:rPr>
          <w:lang w:eastAsia="en-GB" w:bidi="km-KH"/>
        </w:rPr>
        <w:tab/>
      </w:r>
      <w:r>
        <w:rPr>
          <w:lang w:eastAsia="en-GB" w:bidi="km-KH"/>
        </w:rPr>
        <w:tab/>
      </w:r>
      <w:r w:rsidR="00374074" w:rsidRPr="00374074">
        <w:rPr>
          <w:lang w:eastAsia="en-GB" w:bidi="km-KH"/>
        </w:rPr>
        <w:t>Respect for home and the family</w:t>
      </w:r>
      <w:bookmarkEnd w:id="46"/>
      <w:bookmarkEnd w:id="47"/>
      <w:bookmarkEnd w:id="48"/>
      <w:bookmarkEnd w:id="49"/>
      <w:r>
        <w:rPr>
          <w:lang w:eastAsia="en-GB" w:bidi="km-KH"/>
        </w:rPr>
        <w:br/>
      </w:r>
      <w:r w:rsidRPr="00374074">
        <w:rPr>
          <w:lang w:eastAsia="en-GB" w:bidi="km-KH"/>
        </w:rPr>
        <w:t>Article</w:t>
      </w:r>
      <w:r w:rsidRPr="00374074">
        <w:rPr>
          <w:bCs/>
          <w:lang w:eastAsia="en-GB" w:bidi="km-KH"/>
        </w:rPr>
        <w:t xml:space="preserve"> </w:t>
      </w:r>
      <w:r w:rsidRPr="00374074">
        <w:rPr>
          <w:bCs/>
          <w:cs/>
          <w:lang w:eastAsia="en-GB" w:bidi="km-KH"/>
        </w:rPr>
        <w:t>23</w:t>
      </w:r>
    </w:p>
    <w:p w14:paraId="4F8ED8F3" w14:textId="10B1A2D3" w:rsidR="00374074" w:rsidRPr="00374074" w:rsidRDefault="00374074" w:rsidP="0040290C">
      <w:pPr>
        <w:pStyle w:val="SingleTxtG"/>
        <w:numPr>
          <w:ilvl w:val="0"/>
          <w:numId w:val="7"/>
        </w:numPr>
        <w:ind w:left="1134" w:firstLine="0"/>
        <w:rPr>
          <w:lang w:eastAsia="en-GB"/>
        </w:rPr>
      </w:pPr>
      <w:r w:rsidRPr="00374074">
        <w:rPr>
          <w:lang w:eastAsia="en-GB"/>
        </w:rPr>
        <w:t xml:space="preserve">In Cambodia, there are no laws prohibiting persons with disabilities from marrying and starting a family. Both men and women have equal rights in all areas, especially in </w:t>
      </w:r>
      <w:r w:rsidRPr="00374074">
        <w:rPr>
          <w:lang w:eastAsia="en-GB"/>
        </w:rPr>
        <w:lastRenderedPageBreak/>
        <w:t>marriage and family. Marriage must comply with the conditions specified in the law and be based on voluntary consent of one husband and one wife.</w:t>
      </w:r>
      <w:r w:rsidRPr="00374074">
        <w:rPr>
          <w:vertAlign w:val="superscript"/>
          <w:lang w:eastAsia="en-GB"/>
        </w:rPr>
        <w:footnoteReference w:id="59"/>
      </w:r>
      <w:r w:rsidRPr="00374074">
        <w:rPr>
          <w:lang w:eastAsia="en-GB"/>
        </w:rPr>
        <w:t xml:space="preserve"> </w:t>
      </w:r>
    </w:p>
    <w:p w14:paraId="3625C2DC" w14:textId="77777777" w:rsidR="00374074" w:rsidRPr="00374074" w:rsidRDefault="00374074" w:rsidP="0040290C">
      <w:pPr>
        <w:pStyle w:val="SingleTxtG"/>
        <w:numPr>
          <w:ilvl w:val="0"/>
          <w:numId w:val="7"/>
        </w:numPr>
        <w:ind w:left="1134" w:firstLine="0"/>
        <w:rPr>
          <w:lang w:eastAsia="en-GB"/>
        </w:rPr>
      </w:pPr>
      <w:r w:rsidRPr="00374074">
        <w:rPr>
          <w:lang w:eastAsia="en-GB"/>
        </w:rPr>
        <w:t xml:space="preserve">Persons with disabilities are protected by the law: </w:t>
      </w:r>
      <w:r w:rsidRPr="009D2F0A">
        <w:rPr>
          <w:i/>
          <w:iCs/>
          <w:lang w:eastAsia="en-GB"/>
        </w:rPr>
        <w:t xml:space="preserve">“Any acts by person(s) with a duty of care and who intentionally and inhumanely abandon persons with disabilities under their care shall be punishable by imprisonment for one (1) to five (5) years and liable to a fine ranging from 2,000,000 (two million) Riels to 10,000,000 (ten million) Riels, if this abandonment causes damage to the health and security of the person with </w:t>
      </w:r>
      <w:r w:rsidRPr="009D2F0A">
        <w:rPr>
          <w:rFonts w:eastAsia="Malgun Gothic"/>
          <w:i/>
          <w:iCs/>
          <w:lang w:eastAsia="ko-KR"/>
        </w:rPr>
        <w:t xml:space="preserve">a </w:t>
      </w:r>
      <w:r w:rsidRPr="009D2F0A">
        <w:rPr>
          <w:i/>
          <w:iCs/>
          <w:lang w:eastAsia="en-GB"/>
        </w:rPr>
        <w:t>disability concerned.”</w:t>
      </w:r>
      <w:r w:rsidRPr="00374074">
        <w:rPr>
          <w:vertAlign w:val="superscript"/>
          <w:cs/>
          <w:lang w:eastAsia="en-GB" w:bidi="km-KH"/>
        </w:rPr>
        <w:footnoteReference w:id="60"/>
      </w:r>
    </w:p>
    <w:p w14:paraId="61B150EE" w14:textId="77777777" w:rsidR="00374074" w:rsidRPr="00374074" w:rsidRDefault="00374074" w:rsidP="0040290C">
      <w:pPr>
        <w:pStyle w:val="SingleTxtG"/>
        <w:numPr>
          <w:ilvl w:val="0"/>
          <w:numId w:val="7"/>
        </w:numPr>
        <w:ind w:left="1134" w:firstLine="0"/>
        <w:rPr>
          <w:lang w:eastAsia="en-GB"/>
        </w:rPr>
      </w:pPr>
      <w:r w:rsidRPr="00374074">
        <w:rPr>
          <w:lang w:eastAsia="en-GB"/>
        </w:rPr>
        <w:t>According to the 2013 CIPS, out of 301,629 persons with disabilities, 114,655 (38%) were heads of households.</w:t>
      </w:r>
      <w:r w:rsidRPr="00374074">
        <w:rPr>
          <w:vertAlign w:val="superscript"/>
          <w:lang w:eastAsia="en-GB"/>
        </w:rPr>
        <w:footnoteReference w:id="61"/>
      </w:r>
      <w:r w:rsidRPr="00374074">
        <w:rPr>
          <w:lang w:eastAsia="en-GB"/>
        </w:rPr>
        <w:t xml:space="preserve"> Among 157,007 men with disabilities, 84,746 (54.05%) were heads of households. Women with disabilities over the age of 75 are more likely to be heads of households than men with disabilities. Persons with disabilities who are heads of households, especially women, are among the most vulnerable and require additional support from the RGC.</w:t>
      </w:r>
    </w:p>
    <w:p w14:paraId="6A7AA096" w14:textId="25D7FF44" w:rsidR="00374074" w:rsidRPr="00374074" w:rsidRDefault="009D2F0A" w:rsidP="009D2F0A">
      <w:pPr>
        <w:pStyle w:val="H1G"/>
        <w:rPr>
          <w:bCs/>
          <w:lang w:eastAsia="en-GB" w:bidi="km-KH"/>
        </w:rPr>
      </w:pPr>
      <w:bookmarkStart w:id="50" w:name="_Toc368313561"/>
      <w:bookmarkStart w:id="51" w:name="_Toc392839044"/>
      <w:bookmarkStart w:id="52" w:name="_Toc92875447"/>
      <w:bookmarkStart w:id="53" w:name="_Toc215321708"/>
      <w:r>
        <w:rPr>
          <w:lang w:eastAsia="en-GB" w:bidi="km-KH"/>
        </w:rPr>
        <w:tab/>
      </w:r>
      <w:r>
        <w:rPr>
          <w:lang w:eastAsia="en-GB" w:bidi="km-KH"/>
        </w:rPr>
        <w:tab/>
      </w:r>
      <w:r w:rsidR="00374074" w:rsidRPr="00374074">
        <w:rPr>
          <w:lang w:eastAsia="en-GB" w:bidi="km-KH"/>
        </w:rPr>
        <w:t>Education</w:t>
      </w:r>
      <w:bookmarkEnd w:id="50"/>
      <w:bookmarkEnd w:id="51"/>
      <w:bookmarkEnd w:id="52"/>
      <w:bookmarkEnd w:id="53"/>
      <w:r>
        <w:rPr>
          <w:lang w:eastAsia="en-GB" w:bidi="km-KH"/>
        </w:rPr>
        <w:br/>
      </w:r>
      <w:r w:rsidRPr="00374074">
        <w:rPr>
          <w:lang w:eastAsia="en-GB" w:bidi="km-KH"/>
        </w:rPr>
        <w:t>Article</w:t>
      </w:r>
      <w:r w:rsidRPr="00374074">
        <w:rPr>
          <w:bCs/>
          <w:lang w:eastAsia="en-GB" w:bidi="km-KH"/>
        </w:rPr>
        <w:t xml:space="preserve"> </w:t>
      </w:r>
      <w:r w:rsidRPr="00374074">
        <w:rPr>
          <w:bCs/>
          <w:cs/>
          <w:lang w:eastAsia="en-GB" w:bidi="km-KH"/>
        </w:rPr>
        <w:t>24</w:t>
      </w:r>
    </w:p>
    <w:p w14:paraId="7D6F8A6E" w14:textId="77777777" w:rsidR="00374074" w:rsidRPr="00374074" w:rsidRDefault="00374074" w:rsidP="0040290C">
      <w:pPr>
        <w:pStyle w:val="SingleTxtG"/>
        <w:numPr>
          <w:ilvl w:val="0"/>
          <w:numId w:val="7"/>
        </w:numPr>
        <w:ind w:left="1134" w:firstLine="0"/>
        <w:rPr>
          <w:lang w:eastAsia="en-GB"/>
        </w:rPr>
      </w:pPr>
      <w:r w:rsidRPr="00374074">
        <w:rPr>
          <w:lang w:eastAsia="en-GB"/>
        </w:rPr>
        <w:t xml:space="preserve">Article 68 of the Constitution stipulates that </w:t>
      </w:r>
      <w:bookmarkStart w:id="54" w:name="_Hlk215307826"/>
      <w:r w:rsidRPr="009D2F0A">
        <w:rPr>
          <w:i/>
          <w:iCs/>
          <w:lang w:eastAsia="en-GB"/>
        </w:rPr>
        <w:t>“the State shall provide free primary and secondary education to all citizens in public schools. Citizens shall receive education for at least 9 years”</w:t>
      </w:r>
      <w:r w:rsidRPr="00374074">
        <w:rPr>
          <w:lang w:eastAsia="en-GB"/>
        </w:rPr>
        <w:t>.</w:t>
      </w:r>
    </w:p>
    <w:bookmarkEnd w:id="54"/>
    <w:p w14:paraId="3B1EAC66" w14:textId="03F64DDB" w:rsidR="00374074" w:rsidRPr="00374074" w:rsidRDefault="00374074" w:rsidP="0040290C">
      <w:pPr>
        <w:pStyle w:val="SingleTxtG"/>
        <w:numPr>
          <w:ilvl w:val="0"/>
          <w:numId w:val="7"/>
        </w:numPr>
        <w:ind w:left="1134" w:firstLine="0"/>
        <w:rPr>
          <w:lang w:eastAsia="en-GB"/>
        </w:rPr>
      </w:pPr>
      <w:r w:rsidRPr="00374074">
        <w:rPr>
          <w:shd w:val="clear" w:color="auto" w:fill="FFFFFF"/>
          <w:lang w:eastAsia="en-GB"/>
        </w:rPr>
        <w:t xml:space="preserve">The </w:t>
      </w:r>
      <w:r w:rsidRPr="009D2F0A">
        <w:rPr>
          <w:lang w:eastAsia="en-GB"/>
        </w:rPr>
        <w:t>Law</w:t>
      </w:r>
      <w:r w:rsidRPr="00374074">
        <w:rPr>
          <w:shd w:val="clear" w:color="auto" w:fill="FFFFFF"/>
          <w:lang w:eastAsia="en-GB"/>
        </w:rPr>
        <w:t xml:space="preserve"> on Education of 2007 aims to foster human resource development by offering lifelong learning opportunities for all by equipping students with knowledge, skills, abilities, dignity and ethical behaviour, while also encouraging students to appreciate and preserve national identity, culture and language. </w:t>
      </w:r>
      <w:bookmarkStart w:id="55" w:name="_Hlk215308041"/>
      <w:r w:rsidRPr="00374074">
        <w:rPr>
          <w:shd w:val="clear" w:color="auto" w:fill="FFFFFF"/>
          <w:lang w:eastAsia="en-GB"/>
        </w:rPr>
        <w:t>Article 38 of the Law on Education stipulates that “</w:t>
      </w:r>
      <w:r w:rsidRPr="00374074">
        <w:rPr>
          <w:i/>
          <w:iCs/>
          <w:shd w:val="clear" w:color="auto" w:fill="FFFFFF"/>
          <w:lang w:eastAsia="en-GB"/>
        </w:rPr>
        <w:t xml:space="preserve">The state encourages and promotes to have special education for disabled persons and outstanding learners who are gifted and/or talented. Special education provided for outstanding learners appropriate to their intelligence and talent, and to provide a suitable education for disabled persons”” </w:t>
      </w:r>
      <w:bookmarkEnd w:id="55"/>
      <w:r w:rsidRPr="00374074">
        <w:rPr>
          <w:shd w:val="clear" w:color="auto" w:fill="FFFFFF"/>
          <w:lang w:eastAsia="en-GB"/>
        </w:rPr>
        <w:t>Article 39 provides that “</w:t>
      </w:r>
      <w:bookmarkStart w:id="56" w:name="_Hlk215308256"/>
      <w:r w:rsidRPr="00374074">
        <w:rPr>
          <w:i/>
          <w:iCs/>
          <w:shd w:val="clear" w:color="auto" w:fill="FFFFFF"/>
          <w:lang w:eastAsia="en-GB"/>
        </w:rPr>
        <w:t>Disabled learners of either sex have the right to study with able learners if there is sufficient facilitation in the study process for the disabled learner to fulfil the educational program of the educational institutions. Disabled learners with special needs have the right to receive additional teaching in the regular educational program, which is not a particularly special educational program. Disabled learners who are not able to learn with able learners have the right to receive special education in separate special classes. These disabled learners can study at community schools in their locality</w:t>
      </w:r>
      <w:bookmarkEnd w:id="56"/>
      <w:r w:rsidRPr="00374074">
        <w:rPr>
          <w:i/>
          <w:iCs/>
          <w:shd w:val="clear" w:color="auto" w:fill="FFFFFF"/>
          <w:lang w:eastAsia="en-GB"/>
        </w:rPr>
        <w:t>.”</w:t>
      </w:r>
      <w:r w:rsidRPr="00374074" w:rsidDel="0040750B">
        <w:rPr>
          <w:i/>
          <w:iCs/>
          <w:shd w:val="clear" w:color="auto" w:fill="FFFFFF"/>
          <w:vertAlign w:val="superscript"/>
          <w:lang w:eastAsia="en-GB"/>
        </w:rPr>
        <w:footnoteReference w:id="62"/>
      </w:r>
      <w:r w:rsidRPr="00374074">
        <w:rPr>
          <w:i/>
          <w:iCs/>
          <w:shd w:val="clear" w:color="auto" w:fill="FFFFFF"/>
          <w:vertAlign w:val="superscript"/>
          <w:lang w:eastAsia="en-GB"/>
        </w:rPr>
        <w:t xml:space="preserve"> </w:t>
      </w:r>
      <w:r w:rsidRPr="00374074">
        <w:rPr>
          <w:shd w:val="clear" w:color="auto" w:fill="FFFFFF"/>
          <w:lang w:eastAsia="en-GB"/>
        </w:rPr>
        <w:t xml:space="preserve"> The Glossary of the Law on Education defines learners with disabilities as learners who have disability with either one or both legs, deaf, mute, blind in both eyes, or have mental disabilities.</w:t>
      </w:r>
    </w:p>
    <w:p w14:paraId="22C8AA6F" w14:textId="77777777" w:rsidR="00374074" w:rsidRPr="00374074" w:rsidRDefault="00374074" w:rsidP="0040290C">
      <w:pPr>
        <w:pStyle w:val="SingleTxtG"/>
        <w:numPr>
          <w:ilvl w:val="0"/>
          <w:numId w:val="7"/>
        </w:numPr>
        <w:ind w:left="1134" w:firstLine="0"/>
        <w:rPr>
          <w:color w:val="000000" w:themeColor="text1"/>
          <w:sz w:val="32"/>
          <w:szCs w:val="32"/>
          <w:lang w:eastAsia="en-GB"/>
        </w:rPr>
      </w:pPr>
      <w:r w:rsidRPr="00374074">
        <w:rPr>
          <w:lang w:eastAsia="en-GB"/>
        </w:rPr>
        <w:t xml:space="preserve">The Education Strategic Plan 2014-2018 is a comprehensive and detailed framework that reflects </w:t>
      </w:r>
      <w:r w:rsidRPr="009D2F0A">
        <w:rPr>
          <w:shd w:val="clear" w:color="auto" w:fill="FFFFFF"/>
          <w:lang w:eastAsia="en-GB"/>
        </w:rPr>
        <w:t>the</w:t>
      </w:r>
      <w:r w:rsidRPr="00374074">
        <w:rPr>
          <w:lang w:eastAsia="en-GB"/>
        </w:rPr>
        <w:t xml:space="preserve"> RGC’s development commitment towards a knowledge-based and prosperous society. The strategic plan aims to build and develop a pool of ethical and qualified human resources, and the MoEYS has broadened its scope of work in accordance with the Strategic Plan for Education by: </w:t>
      </w:r>
      <w:r w:rsidRPr="00374074">
        <w:rPr>
          <w:color w:val="000000" w:themeColor="text1"/>
          <w:shd w:val="clear" w:color="auto" w:fill="FFFFFF"/>
          <w:lang w:eastAsia="en-GB"/>
        </w:rPr>
        <w:t>(1) ensuring an equitable and inclusive educational environment to promote lifelong learning opportunities for all; and (2) ensuring the effectiveness of leadership and management of education officials at all levels.</w:t>
      </w:r>
    </w:p>
    <w:p w14:paraId="073F34F3" w14:textId="77777777" w:rsidR="00374074" w:rsidRPr="00374074" w:rsidRDefault="00374074" w:rsidP="0040290C">
      <w:pPr>
        <w:pStyle w:val="SingleTxtG"/>
        <w:numPr>
          <w:ilvl w:val="0"/>
          <w:numId w:val="7"/>
        </w:numPr>
        <w:ind w:left="1134" w:firstLine="0"/>
        <w:rPr>
          <w:lang w:eastAsia="en-GB"/>
        </w:rPr>
      </w:pPr>
      <w:r w:rsidRPr="00374074">
        <w:rPr>
          <w:shd w:val="clear" w:color="auto" w:fill="FFFFFF"/>
          <w:lang w:eastAsia="en-GB"/>
        </w:rPr>
        <w:t xml:space="preserve">Since </w:t>
      </w:r>
      <w:r w:rsidRPr="009D2F0A">
        <w:rPr>
          <w:lang w:eastAsia="en-GB"/>
        </w:rPr>
        <w:t>2007</w:t>
      </w:r>
      <w:r w:rsidRPr="00374074">
        <w:rPr>
          <w:shd w:val="clear" w:color="auto" w:fill="FFFFFF"/>
          <w:lang w:eastAsia="en-GB"/>
        </w:rPr>
        <w:t xml:space="preserve">, the MoEYS has been carrying out the Child-Friendly School Program, which encompasses education for children with disabilities as part of its activity framework. </w:t>
      </w:r>
      <w:r w:rsidRPr="00374074">
        <w:rPr>
          <w:shd w:val="clear" w:color="auto" w:fill="FFFFFF"/>
          <w:lang w:eastAsia="en-GB"/>
        </w:rPr>
        <w:lastRenderedPageBreak/>
        <w:t xml:space="preserve">This framework consists of six dimensions: (1) all children have access to schooling; (2) effective learning; (3) health, safety and protection of children; (4) gender responsiveness; (5) the participation of children, families and communities in the running of their local school; and, (6) support from the education system. </w:t>
      </w:r>
    </w:p>
    <w:p w14:paraId="1EDF12D7" w14:textId="77777777" w:rsidR="00374074" w:rsidRPr="00374074" w:rsidRDefault="00374074" w:rsidP="0040290C">
      <w:pPr>
        <w:pStyle w:val="SingleTxtG"/>
        <w:numPr>
          <w:ilvl w:val="0"/>
          <w:numId w:val="7"/>
        </w:numPr>
        <w:ind w:left="1134" w:firstLine="0"/>
        <w:rPr>
          <w:color w:val="000000" w:themeColor="text1"/>
          <w:sz w:val="36"/>
          <w:szCs w:val="36"/>
          <w:lang w:eastAsia="en-GB"/>
        </w:rPr>
      </w:pPr>
      <w:r w:rsidRPr="00374074">
        <w:rPr>
          <w:lang w:eastAsia="en-GB"/>
        </w:rPr>
        <w:t xml:space="preserve">In 2018, the MoEYS formulated a policy on Inclusive Education with the following objectives: (1) ensure early identification, assessment and timely intervention; (2) provide access to </w:t>
      </w:r>
      <w:r w:rsidRPr="009D2F0A">
        <w:rPr>
          <w:shd w:val="clear" w:color="auto" w:fill="FFFFFF"/>
          <w:lang w:eastAsia="en-GB"/>
        </w:rPr>
        <w:t>inclusive</w:t>
      </w:r>
      <w:r w:rsidRPr="00374074">
        <w:rPr>
          <w:lang w:eastAsia="en-GB"/>
        </w:rPr>
        <w:t xml:space="preserve"> and equitable quality education and lifelong learning opportunities; (3) build capacity and enhance professional development for all teachers as well as school management; and, (4) raise awareness and promote participation.</w:t>
      </w:r>
    </w:p>
    <w:p w14:paraId="6EE27D4C" w14:textId="77777777" w:rsidR="00374074" w:rsidRPr="00374074" w:rsidRDefault="00374074" w:rsidP="0040290C">
      <w:pPr>
        <w:pStyle w:val="SingleTxtG"/>
        <w:numPr>
          <w:ilvl w:val="0"/>
          <w:numId w:val="7"/>
        </w:numPr>
        <w:ind w:left="1134" w:firstLine="0"/>
        <w:rPr>
          <w:lang w:eastAsia="en-GB"/>
        </w:rPr>
      </w:pPr>
      <w:r w:rsidRPr="00374074">
        <w:rPr>
          <w:shd w:val="clear" w:color="auto" w:fill="FFFFFF"/>
          <w:lang w:eastAsia="en-GB"/>
        </w:rPr>
        <w:t xml:space="preserve">In Cambodia, </w:t>
      </w:r>
      <w:r w:rsidRPr="009D2F0A">
        <w:rPr>
          <w:lang w:eastAsia="en-GB"/>
        </w:rPr>
        <w:t>within</w:t>
      </w:r>
      <w:r w:rsidRPr="00374074">
        <w:rPr>
          <w:shd w:val="clear" w:color="auto" w:fill="FFFFFF"/>
          <w:lang w:eastAsia="en-GB"/>
        </w:rPr>
        <w:t xml:space="preserve"> the period of this report, there are 7,587 pre-schools with a total of 431,510 students, of whom 50.63% are female; among these, 2,546 students have disabilities, with 44.27% being female. </w:t>
      </w:r>
      <w:r w:rsidRPr="00374074">
        <w:rPr>
          <w:lang w:eastAsia="en-GB"/>
        </w:rPr>
        <w:t>There are 7,189 primary schools with a total of 2,022,061 students, of whom 48.18% are female; among these, 43,344 students have disabilities, with 40.02% being female. There are 1,237 secondary schools in Cambodia with a total of 631,101 students, of whom 51.85% are female; among these, there are 8,948 students with disabilities, of whom 46.32% are female. There are 511 high schools with 322,000 students, 52.15% of whom are female; among these, there are 5,419 students with disabilities, of whom 52.33% are female. Cambodia also has 121 higher education institutions located in</w:t>
      </w:r>
      <w:r w:rsidRPr="00374074">
        <w:rPr>
          <w:rFonts w:eastAsia="Malgun Gothic"/>
          <w:lang w:eastAsia="ko-KR"/>
        </w:rPr>
        <w:t xml:space="preserve"> the</w:t>
      </w:r>
      <w:r w:rsidRPr="00374074">
        <w:rPr>
          <w:lang w:eastAsia="en-GB"/>
        </w:rPr>
        <w:t xml:space="preserve"> capital and </w:t>
      </w:r>
      <w:r w:rsidRPr="00374074">
        <w:rPr>
          <w:rFonts w:eastAsia="Malgun Gothic"/>
          <w:lang w:eastAsia="ko-KR"/>
        </w:rPr>
        <w:t xml:space="preserve">19 </w:t>
      </w:r>
      <w:r w:rsidRPr="00374074">
        <w:rPr>
          <w:lang w:eastAsia="en-GB"/>
        </w:rPr>
        <w:t>provinces. These institutions have a total of 207,434 students, of whom 48.37% are female; among these, there are 353 students with disabilities, of whom 40% are female.</w:t>
      </w:r>
      <w:r w:rsidRPr="00374074">
        <w:rPr>
          <w:vertAlign w:val="superscript"/>
          <w:cs/>
          <w:lang w:eastAsia="en-GB" w:bidi="km-KH"/>
        </w:rPr>
        <w:footnoteReference w:id="63"/>
      </w:r>
    </w:p>
    <w:p w14:paraId="01EDB97C" w14:textId="3E1AA8C9" w:rsidR="00374074" w:rsidRPr="00374074" w:rsidRDefault="00374074" w:rsidP="0040290C">
      <w:pPr>
        <w:pStyle w:val="SingleTxtG"/>
        <w:numPr>
          <w:ilvl w:val="0"/>
          <w:numId w:val="7"/>
        </w:numPr>
        <w:ind w:left="1134" w:firstLine="0"/>
        <w:rPr>
          <w:lang w:eastAsia="en-GB"/>
        </w:rPr>
      </w:pPr>
      <w:r w:rsidRPr="00374074">
        <w:rPr>
          <w:lang w:eastAsia="en-GB"/>
        </w:rPr>
        <w:t>There are total of 119,368 education personnel nationwide, of whom 54,313 are female. Of these, 1,252 education personnel with disabilities, including 342 female education personnel.</w:t>
      </w:r>
      <w:r w:rsidRPr="00374074">
        <w:rPr>
          <w:rFonts w:eastAsia="Calibri"/>
          <w:b/>
          <w:vertAlign w:val="superscript"/>
          <w:cs/>
          <w:lang w:eastAsia="en-GB" w:bidi="km-KH"/>
        </w:rPr>
        <w:footnoteReference w:id="64"/>
      </w:r>
    </w:p>
    <w:p w14:paraId="17F17AAE" w14:textId="77777777" w:rsidR="00374074" w:rsidRPr="00374074" w:rsidRDefault="00374074" w:rsidP="0040290C">
      <w:pPr>
        <w:pStyle w:val="SingleTxtG"/>
        <w:numPr>
          <w:ilvl w:val="0"/>
          <w:numId w:val="7"/>
        </w:numPr>
        <w:ind w:left="1134" w:firstLine="0"/>
        <w:rPr>
          <w:lang w:eastAsia="en-GB"/>
        </w:rPr>
      </w:pPr>
      <w:r w:rsidRPr="00374074">
        <w:rPr>
          <w:lang w:eastAsia="en-GB"/>
        </w:rPr>
        <w:t>The MoEYS collaborates with NGOs working on disability and development partners to develop policies, legal documents and guidelines that facilitate dialogue and cooperation among key stakeholders to enhance the quality of all forms of education services in Cambodia.</w:t>
      </w:r>
    </w:p>
    <w:p w14:paraId="25FC1445" w14:textId="77777777" w:rsidR="00374074" w:rsidRPr="00374074" w:rsidRDefault="00374074" w:rsidP="0040290C">
      <w:pPr>
        <w:pStyle w:val="SingleTxtG"/>
        <w:numPr>
          <w:ilvl w:val="0"/>
          <w:numId w:val="7"/>
        </w:numPr>
        <w:ind w:left="1134" w:firstLine="0"/>
        <w:rPr>
          <w:lang w:eastAsia="en-GB"/>
        </w:rPr>
      </w:pPr>
      <w:r w:rsidRPr="00374074">
        <w:rPr>
          <w:lang w:eastAsia="en-GB"/>
        </w:rPr>
        <w:t>The Department of Special Education was established by the Sub-Decree No. 156 ANKr. BK, dated 18 July 2016, with the following roles and responsibilities: (1) to develop policies and action plans for managing and developing special education initiatives; (2) to design infrastructure that supports special education; (3) to promote and foster opportunities for learners with disabilities and gifted/talented students; (4) to develop curricula and special education documents across all school grades; (5) to oversee and monitor the special education process; and, (6) to prepare activity reports as required to the Ministry’s leadership.</w:t>
      </w:r>
    </w:p>
    <w:p w14:paraId="52A2683E" w14:textId="77777777" w:rsidR="00374074" w:rsidRPr="009D2F0A" w:rsidRDefault="00374074" w:rsidP="0040290C">
      <w:pPr>
        <w:pStyle w:val="SingleTxtG"/>
        <w:numPr>
          <w:ilvl w:val="0"/>
          <w:numId w:val="7"/>
        </w:numPr>
        <w:ind w:left="1134" w:firstLine="0"/>
      </w:pPr>
      <w:r w:rsidRPr="00374074">
        <w:rPr>
          <w:lang w:eastAsia="en-GB"/>
        </w:rPr>
        <w:t>The National Institute of Special Education (NISE) was established by the Sub-Decree No. 117 ANKr.BK, dated 25 July 2017, as a component of the MoEYS. The NISE has the following roles and responsibilities: (1) providing teacher training to teach students with disabilities at all levels of education; (2) offering on-the-job training to education personnel at all levels to teach students with disabilities; (3) enhancing the capacity of education personnel in educating students  with disabilities; (4) developing training</w:t>
      </w:r>
      <w:r w:rsidRPr="00374074">
        <w:rPr>
          <w:szCs w:val="39"/>
          <w:lang w:eastAsia="en-GB" w:bidi="km-KH"/>
        </w:rPr>
        <w:t xml:space="preserve"> and on-the-job training</w:t>
      </w:r>
      <w:r w:rsidRPr="00374074">
        <w:rPr>
          <w:lang w:eastAsia="en-GB"/>
        </w:rPr>
        <w:t xml:space="preserve"> programs in accordance with national competency and qualification standards, as well as labour market needs, for persons with disabilities; (5) providing vocational training to education personnel at the institute; (6) reviewing, monitoring and evaluating the work, training and on-the-job training of personnel who work with persons with disabilities; (7) conducting research and developing new concepts in sign language, braille, assistive devices and materials for educating students with disabilities; (8) establishing national and international cooperation networks to ensure the quality of teacher training to teach students with disabilities; (9) developing short, medium and long-term development plans for the NISE; and, (10) mobilizing resources from various sources to support training and research for educating students with disabilities.</w:t>
      </w:r>
    </w:p>
    <w:p w14:paraId="3B85EFCF" w14:textId="77777777" w:rsidR="00374074" w:rsidRPr="00374074" w:rsidRDefault="00374074" w:rsidP="0040290C">
      <w:pPr>
        <w:pStyle w:val="SingleTxtG"/>
        <w:numPr>
          <w:ilvl w:val="0"/>
          <w:numId w:val="7"/>
        </w:numPr>
        <w:ind w:left="1134" w:firstLine="0"/>
        <w:rPr>
          <w:lang w:eastAsia="en-GB"/>
        </w:rPr>
      </w:pPr>
      <w:r w:rsidRPr="00374074">
        <w:rPr>
          <w:lang w:eastAsia="en-GB"/>
        </w:rPr>
        <w:lastRenderedPageBreak/>
        <w:t>In order to achieve a long-term vision of sustainable development in the disability sector, the RGC has integrated 272 personnel, including 142 women, from development partners who work in the field of disability education into the civil service. A prakas has been issued regarding the transfer of several schools, including the Chbar Ampov Special Education School for students with hearing impairments, the School for Children with Visual and Hearing Impairments in Kampong Cham province, the School for Children with Visual and Hearing Impairments in Battambang province, the School for Children with Visual and Hearing Impairments in Phnom Penh Thmey, and the School for Children with Visual and Hearing Impairments in Siem Reap, from the supervision of Krousar Thmey to be placed under the supervision of the MoEYS. Additionally, the RGC has issued a prakas to transfer the five schools for children with visual and hearing impairments to special education high schools.</w:t>
      </w:r>
    </w:p>
    <w:p w14:paraId="1C4DB783" w14:textId="77777777" w:rsidR="00374074" w:rsidRPr="00374074" w:rsidRDefault="00374074" w:rsidP="0040290C">
      <w:pPr>
        <w:pStyle w:val="SingleTxtG"/>
        <w:numPr>
          <w:ilvl w:val="0"/>
          <w:numId w:val="7"/>
        </w:numPr>
        <w:ind w:left="1134" w:firstLine="0"/>
        <w:rPr>
          <w:lang w:eastAsia="en-GB"/>
        </w:rPr>
      </w:pPr>
      <w:r w:rsidRPr="00374074">
        <w:rPr>
          <w:lang w:eastAsia="en-GB"/>
        </w:rPr>
        <w:t xml:space="preserve">The MoEYS has formulated a comprehensive master plan, legal documents and training materials to enhance the capabilities of the Capital and Provincial </w:t>
      </w:r>
      <w:r w:rsidRPr="00374074">
        <w:rPr>
          <w:spacing w:val="-2"/>
          <w:lang w:eastAsia="en-GB"/>
        </w:rPr>
        <w:t xml:space="preserve">Departments of Education, and the </w:t>
      </w:r>
      <w:r w:rsidRPr="009D2F0A">
        <w:rPr>
          <w:lang w:eastAsia="en-GB"/>
        </w:rPr>
        <w:t>Municipal</w:t>
      </w:r>
      <w:r w:rsidRPr="00374074">
        <w:rPr>
          <w:spacing w:val="-2"/>
          <w:lang w:eastAsia="en-GB"/>
        </w:rPr>
        <w:t>, District and Khan Offices of Education, school principals and teachers in supporting students with disabilities. Inclusive education training programs have been conducted for 7,036 teachers, including 1,345 women, across all school levels, and training-of-trainers programs have been conducted for 40 national trainers, including 11 women. The Ministry has placed a heightened emphasis on inclusive early grade reading for children in grades 1 to 3, with a particular focus on creating an environment conducive to the education of children with disabilities, and establishing a harmonious approach to early grade reading by developing consistent programs at the national level.</w:t>
      </w:r>
    </w:p>
    <w:p w14:paraId="6C85D1DD" w14:textId="77777777" w:rsidR="00374074" w:rsidRPr="00374074" w:rsidRDefault="00374074" w:rsidP="0040290C">
      <w:pPr>
        <w:pStyle w:val="SingleTxtG"/>
        <w:numPr>
          <w:ilvl w:val="0"/>
          <w:numId w:val="7"/>
        </w:numPr>
        <w:ind w:left="1134" w:firstLine="0"/>
        <w:rPr>
          <w:lang w:eastAsia="en-GB"/>
        </w:rPr>
      </w:pPr>
      <w:r w:rsidRPr="00374074">
        <w:rPr>
          <w:lang w:eastAsia="en-GB"/>
        </w:rPr>
        <w:t xml:space="preserve">The primary school enrolment rate under the RGC within the period of this report was 98.2% for children aged 6 to 11 </w:t>
      </w:r>
      <w:r w:rsidRPr="009D2F0A">
        <w:rPr>
          <w:spacing w:val="-2"/>
          <w:lang w:eastAsia="en-GB"/>
        </w:rPr>
        <w:t>in</w:t>
      </w:r>
      <w:r w:rsidRPr="00374074">
        <w:rPr>
          <w:lang w:eastAsia="en-GB"/>
        </w:rPr>
        <w:t xml:space="preserve"> the 2013-2014 school year, including those enrolled in private schools. This rate is similar for both boys and girls. However, the proportion of persons with disabilities who have completed primary school is lower (25%) compared to the general population (29%).</w:t>
      </w:r>
      <w:r w:rsidRPr="00374074">
        <w:rPr>
          <w:rFonts w:eastAsia="Calibri"/>
          <w:vertAlign w:val="superscript"/>
          <w:lang w:eastAsia="en-GB"/>
        </w:rPr>
        <w:footnoteReference w:id="65"/>
      </w:r>
    </w:p>
    <w:p w14:paraId="64D0EABE" w14:textId="77777777" w:rsidR="00374074" w:rsidRPr="00374074" w:rsidRDefault="00374074" w:rsidP="0040290C">
      <w:pPr>
        <w:pStyle w:val="SingleTxtG"/>
        <w:numPr>
          <w:ilvl w:val="0"/>
          <w:numId w:val="7"/>
        </w:numPr>
        <w:ind w:left="1134" w:firstLine="0"/>
        <w:rPr>
          <w:sz w:val="36"/>
          <w:szCs w:val="36"/>
          <w:cs/>
          <w:lang w:eastAsia="en-GB"/>
        </w:rPr>
      </w:pPr>
      <w:r w:rsidRPr="00374074">
        <w:rPr>
          <w:lang w:eastAsia="en-GB"/>
        </w:rPr>
        <w:t>Learning materials are developed specifically for children with disabilities that incorporate Khmer braille, sign language, and mobility needs, as well as training for teachers on the effective use of teaching aids and learning materials in the classroom. These materials aim to educate teachers about integrated education and teaching methods for students with visual and hearing impairments, as well as those with mental disabilities. The MoEYS developed a national sign language for those with hearing impairment and a Khmer braille language for visually impaired students, while mainstreaming disability awareness, increasing enrolment rates, reducing dropouts and providing support for children with disabilities, particularly girls with disabilities. The enrolment of children with disabilities has contributed to an actual increase in the primary education rate and seeks to close the gap in access to education for children with disabilities.</w:t>
      </w:r>
    </w:p>
    <w:p w14:paraId="3DCA64BF" w14:textId="56E43B65" w:rsidR="00374074" w:rsidRPr="00374074" w:rsidRDefault="009D2F0A" w:rsidP="009D2F0A">
      <w:pPr>
        <w:pStyle w:val="H1G"/>
        <w:rPr>
          <w:bCs/>
          <w:lang w:eastAsia="en-GB" w:bidi="km-KH"/>
        </w:rPr>
      </w:pPr>
      <w:bookmarkStart w:id="57" w:name="_Toc392839045"/>
      <w:bookmarkStart w:id="58" w:name="_Toc92875448"/>
      <w:bookmarkStart w:id="59" w:name="_Toc215321709"/>
      <w:r>
        <w:rPr>
          <w:lang w:eastAsia="en-GB" w:bidi="km-KH"/>
        </w:rPr>
        <w:tab/>
      </w:r>
      <w:r>
        <w:rPr>
          <w:lang w:eastAsia="en-GB" w:bidi="km-KH"/>
        </w:rPr>
        <w:tab/>
      </w:r>
      <w:bookmarkEnd w:id="57"/>
      <w:r w:rsidR="00374074" w:rsidRPr="00374074">
        <w:rPr>
          <w:lang w:eastAsia="en-GB" w:bidi="km-KH"/>
        </w:rPr>
        <w:t>Health</w:t>
      </w:r>
      <w:bookmarkEnd w:id="58"/>
      <w:bookmarkEnd w:id="59"/>
      <w:r>
        <w:rPr>
          <w:lang w:eastAsia="en-GB" w:bidi="km-KH"/>
        </w:rPr>
        <w:br/>
      </w:r>
      <w:r w:rsidRPr="00374074">
        <w:rPr>
          <w:lang w:eastAsia="en-GB" w:bidi="km-KH"/>
        </w:rPr>
        <w:t xml:space="preserve">Article </w:t>
      </w:r>
      <w:r w:rsidRPr="00374074">
        <w:rPr>
          <w:bCs/>
          <w:cs/>
          <w:lang w:eastAsia="en-GB" w:bidi="km-KH"/>
        </w:rPr>
        <w:t>25</w:t>
      </w:r>
    </w:p>
    <w:p w14:paraId="1887D88B" w14:textId="77777777" w:rsidR="00374074" w:rsidRPr="00374074" w:rsidRDefault="00374074" w:rsidP="0040290C">
      <w:pPr>
        <w:pStyle w:val="SingleTxtG"/>
        <w:numPr>
          <w:ilvl w:val="0"/>
          <w:numId w:val="7"/>
        </w:numPr>
        <w:ind w:left="1134" w:firstLine="0"/>
        <w:rPr>
          <w:lang w:eastAsia="en-GB"/>
        </w:rPr>
      </w:pPr>
      <w:r w:rsidRPr="00374074">
        <w:rPr>
          <w:lang w:eastAsia="en-GB"/>
        </w:rPr>
        <w:t xml:space="preserve">Article 72 of the Constitution states that </w:t>
      </w:r>
      <w:r w:rsidRPr="009D2F0A">
        <w:rPr>
          <w:i/>
          <w:iCs/>
          <w:lang w:eastAsia="en-GB"/>
        </w:rPr>
        <w:t>“</w:t>
      </w:r>
      <w:bookmarkStart w:id="60" w:name="_Hlk215309748"/>
      <w:r w:rsidRPr="009D2F0A">
        <w:rPr>
          <w:i/>
          <w:iCs/>
          <w:lang w:eastAsia="en-GB"/>
        </w:rPr>
        <w:t>the health of the people shall be guaranteed. The State shall give full consideration to disease prevention and medical treatment. Poor citizens shall receive free medical consultation in public hospitals, infirmaries and maternities. The State shall establish infirmaries and maternities in rural areas</w:t>
      </w:r>
      <w:bookmarkEnd w:id="60"/>
      <w:r w:rsidRPr="009D2F0A">
        <w:rPr>
          <w:i/>
          <w:iCs/>
          <w:lang w:eastAsia="en-GB"/>
        </w:rPr>
        <w:t>”</w:t>
      </w:r>
      <w:r w:rsidRPr="00374074">
        <w:rPr>
          <w:lang w:eastAsia="en-GB"/>
        </w:rPr>
        <w:t>.</w:t>
      </w:r>
      <w:r w:rsidRPr="00374074">
        <w:rPr>
          <w:rFonts w:eastAsiaTheme="minorEastAsia"/>
          <w:b/>
          <w:vertAlign w:val="superscript"/>
          <w:cs/>
          <w:lang w:eastAsia="en-GB" w:bidi="km-KH"/>
        </w:rPr>
        <w:footnoteReference w:id="66"/>
      </w:r>
      <w:r w:rsidRPr="00374074">
        <w:rPr>
          <w:lang w:eastAsia="en-GB"/>
        </w:rPr>
        <w:t xml:space="preserve"> Pursuant to the Sub-Decree No. 137 ANKr.BK, dated 27 June 2011, which outlines the policy framework for persons with disabilities living in a situation of poverty in the community, subsidies are being implemented to provide medical care for persons with disabilities at public health facilities.</w:t>
      </w:r>
    </w:p>
    <w:p w14:paraId="2E8B0837" w14:textId="77777777" w:rsidR="00374074" w:rsidRPr="00374074" w:rsidRDefault="00374074" w:rsidP="0040290C">
      <w:pPr>
        <w:pStyle w:val="SingleTxtG"/>
        <w:numPr>
          <w:ilvl w:val="0"/>
          <w:numId w:val="7"/>
        </w:numPr>
        <w:ind w:left="1134" w:firstLine="0"/>
        <w:rPr>
          <w:lang w:eastAsia="en-GB"/>
        </w:rPr>
      </w:pPr>
      <w:r w:rsidRPr="00374074">
        <w:rPr>
          <w:lang w:eastAsia="en-GB"/>
        </w:rPr>
        <w:t xml:space="preserve">In 2019, quality assessment officers in three provinces and 33 operational districts received a final round of training. As a result, by the end of 2019, the monitoring quality </w:t>
      </w:r>
      <w:r w:rsidRPr="00374074">
        <w:rPr>
          <w:lang w:eastAsia="en-GB"/>
        </w:rPr>
        <w:lastRenderedPageBreak/>
        <w:t>improvement program for services expanded nationwide, covering 25 provincial health departments, 100 operational districts, 24 municipal referral hospitals, 91 district hospitals and 1,206 health centres. In 2019, the mental health consultation and drug addiction treatment service was launched in 10 health centres in Preah Vihear province and 9 health centres in Steung Treng province. In total, mental health and drug addiction consultation and treatment services increased from 67 in 2010 to 450 in 2019, including 2 national hospitals, 25 provincial and municipal hospitals, 72 municipal and district referral hospitals and 351 health centres.</w:t>
      </w:r>
      <w:r w:rsidRPr="00374074" w:rsidDel="00241DED">
        <w:rPr>
          <w:vertAlign w:val="superscript"/>
          <w:lang w:eastAsia="en-GB"/>
        </w:rPr>
        <w:footnoteReference w:id="67"/>
      </w:r>
    </w:p>
    <w:p w14:paraId="26C6F6E8" w14:textId="77777777" w:rsidR="00374074" w:rsidRPr="00374074" w:rsidRDefault="00374074" w:rsidP="0040290C">
      <w:pPr>
        <w:pStyle w:val="SingleTxtG"/>
        <w:numPr>
          <w:ilvl w:val="0"/>
          <w:numId w:val="7"/>
        </w:numPr>
        <w:ind w:left="1134" w:firstLine="0"/>
        <w:rPr>
          <w:lang w:eastAsia="en-GB" w:bidi="km-KH"/>
        </w:rPr>
      </w:pPr>
      <w:r w:rsidRPr="00374074">
        <w:rPr>
          <w:lang w:eastAsia="en-GB"/>
        </w:rPr>
        <w:t>The RGC, through the Ministry of Health, has issued a circular to  national hospitals, national centres and Capital and Provincial Departments of Health in order to enhance and expand access to free medical examination for persons with disabilities and the elderly,</w:t>
      </w:r>
      <w:r w:rsidRPr="00374074">
        <w:rPr>
          <w:vertAlign w:val="superscript"/>
          <w:lang w:eastAsia="en-GB"/>
        </w:rPr>
        <w:footnoteReference w:id="68"/>
      </w:r>
      <w:r w:rsidRPr="00374074">
        <w:rPr>
          <w:lang w:eastAsia="en-GB"/>
        </w:rPr>
        <w:t xml:space="preserve"> and on 11 September 2017, the Ministry of Health issued another guideline regarding the delivery of health services to persons with disabilities, ensuring that they have the right to access gender-responsive health care, including rehabilitation and physiotherapy services, as well as the highest-quality of medical services without discrimination based on disability.</w:t>
      </w:r>
      <w:r w:rsidRPr="00374074">
        <w:rPr>
          <w:vertAlign w:val="superscript"/>
          <w:cs/>
          <w:lang w:eastAsia="en-GB" w:bidi="km-KH"/>
        </w:rPr>
        <w:footnoteReference w:id="69"/>
      </w:r>
    </w:p>
    <w:p w14:paraId="39FADC5A" w14:textId="77777777" w:rsidR="00374074" w:rsidRPr="00374074" w:rsidRDefault="00374074" w:rsidP="0040290C">
      <w:pPr>
        <w:pStyle w:val="SingleTxtG"/>
        <w:numPr>
          <w:ilvl w:val="0"/>
          <w:numId w:val="7"/>
        </w:numPr>
        <w:ind w:left="1134" w:firstLine="0"/>
        <w:rPr>
          <w:lang w:eastAsia="en-GB"/>
        </w:rPr>
      </w:pPr>
      <w:r w:rsidRPr="00374074">
        <w:rPr>
          <w:lang w:eastAsia="en-GB"/>
        </w:rPr>
        <w:t>The Health Strategic Plan Phase III for 2016-2020 envisions promoting sustainable development in the health sector, based on the principles of the right to health and equity for all individuals, including those with disabilities. The strategic plan advocates for expanding the equity fund program to strengthen financial risk protection for vulnerable populations such as persons with disabilities, the elderly, and children below the age of five.</w:t>
      </w:r>
    </w:p>
    <w:p w14:paraId="67E439C4" w14:textId="77777777" w:rsidR="00374074" w:rsidRPr="00374074" w:rsidRDefault="00374074" w:rsidP="0040290C">
      <w:pPr>
        <w:pStyle w:val="SingleTxtG"/>
        <w:numPr>
          <w:ilvl w:val="0"/>
          <w:numId w:val="7"/>
        </w:numPr>
        <w:ind w:left="1134" w:firstLine="0"/>
        <w:rPr>
          <w:lang w:eastAsia="en-GB"/>
        </w:rPr>
      </w:pPr>
      <w:r w:rsidRPr="00374074">
        <w:rPr>
          <w:lang w:eastAsia="en-GB"/>
        </w:rPr>
        <w:t>In order to improve the well-being of persons with disabilities, particularly their access to free healthcare, the RGC has implemented and continues to implement an identification program for households living in poverty and provides them with financial assistance in accessing healthcare services through the Royal Government’s Equity Fund.</w:t>
      </w:r>
      <w:r w:rsidRPr="00374074">
        <w:rPr>
          <w:vertAlign w:val="superscript"/>
          <w:lang w:eastAsia="en-GB" w:bidi="km-KH"/>
        </w:rPr>
        <w:footnoteReference w:id="70"/>
      </w:r>
    </w:p>
    <w:p w14:paraId="39890293" w14:textId="77777777" w:rsidR="00374074" w:rsidRPr="00374074" w:rsidRDefault="00374074" w:rsidP="0040290C">
      <w:pPr>
        <w:pStyle w:val="SingleTxtG"/>
        <w:numPr>
          <w:ilvl w:val="0"/>
          <w:numId w:val="7"/>
        </w:numPr>
        <w:ind w:left="1134" w:firstLine="0"/>
        <w:rPr>
          <w:sz w:val="48"/>
          <w:szCs w:val="48"/>
          <w:lang w:eastAsia="en-GB"/>
        </w:rPr>
      </w:pPr>
      <w:r w:rsidRPr="00374074">
        <w:rPr>
          <w:lang w:eastAsia="en-GB"/>
        </w:rPr>
        <w:t xml:space="preserve">As of January 2017, 25,382 civil servants were working in the public health sector, indicating an increase of 4,428 compared to the 2015 figure. Among them, 690 were specialized doctors, 2,439 were general practitioners, and 191 were physiotherapists. Despite the increase in human resources, the doctor to population ratio remains low at </w:t>
      </w:r>
      <w:r w:rsidRPr="00374074">
        <w:rPr>
          <w:cs/>
          <w:lang w:eastAsia="en-GB"/>
        </w:rPr>
        <w:t>0.169 doctors per 1,000 people</w:t>
      </w:r>
      <w:r w:rsidRPr="00374074">
        <w:rPr>
          <w:lang w:eastAsia="en-GB"/>
        </w:rPr>
        <w:t>.</w:t>
      </w:r>
      <w:r w:rsidRPr="00374074">
        <w:rPr>
          <w:vertAlign w:val="superscript"/>
          <w:cs/>
          <w:lang w:eastAsia="en-GB"/>
        </w:rPr>
        <w:footnoteReference w:id="71"/>
      </w:r>
    </w:p>
    <w:p w14:paraId="58348A3B" w14:textId="77777777" w:rsidR="00374074" w:rsidRPr="00374074" w:rsidRDefault="00374074" w:rsidP="0040290C">
      <w:pPr>
        <w:pStyle w:val="SingleTxtG"/>
        <w:numPr>
          <w:ilvl w:val="0"/>
          <w:numId w:val="7"/>
        </w:numPr>
        <w:ind w:left="1134" w:firstLine="0"/>
        <w:rPr>
          <w:lang w:eastAsia="en-GB"/>
        </w:rPr>
      </w:pPr>
      <w:r w:rsidRPr="00374074">
        <w:rPr>
          <w:lang w:eastAsia="en-GB"/>
        </w:rPr>
        <w:t>Cambodia’s health sector has made significant achievements, including a reduction in the maternal mortality rate to 170 per 100,000 live births, and a decline in the under-five mortality rate to 35 per 1,000 live births.</w:t>
      </w:r>
      <w:r w:rsidRPr="00374074">
        <w:rPr>
          <w:vertAlign w:val="superscript"/>
          <w:cs/>
          <w:lang w:eastAsia="en-GB" w:bidi="km-KH"/>
        </w:rPr>
        <w:footnoteReference w:id="72"/>
      </w:r>
      <w:r w:rsidRPr="00374074">
        <w:rPr>
          <w:lang w:eastAsia="en-GB"/>
        </w:rPr>
        <w:t xml:space="preserve"> The coverage rate for diphtheria vaccination and three-time tetanus vaccination has increased from 73% in 2003 to 96.5% in 2006. Significant progress has been made in the fight against measles, with zero cases reported since 2012.</w:t>
      </w:r>
      <w:r w:rsidRPr="00374074">
        <w:rPr>
          <w:vertAlign w:val="superscript"/>
          <w:cs/>
          <w:lang w:eastAsia="en-GB" w:bidi="km-KH"/>
        </w:rPr>
        <w:footnoteReference w:id="73"/>
      </w:r>
      <w:r w:rsidRPr="00374074">
        <w:rPr>
          <w:lang w:eastAsia="en-GB"/>
        </w:rPr>
        <w:t xml:space="preserve"> Life expectancy has increased to 66.7 years for men and 70.8 years for women.</w:t>
      </w:r>
      <w:r w:rsidRPr="00374074">
        <w:rPr>
          <w:vertAlign w:val="superscript"/>
          <w:cs/>
          <w:lang w:eastAsia="en-GB" w:bidi="km-KH"/>
        </w:rPr>
        <w:footnoteReference w:id="74"/>
      </w:r>
      <w:r w:rsidRPr="00374074">
        <w:rPr>
          <w:lang w:eastAsia="en-GB"/>
        </w:rPr>
        <w:t xml:space="preserve"> According to the Cambodian Demographic Health Survey (CDHS) conducted by the Ministry of Planning, Cambodians have a life expectancy of 73 years for men and 75 years for women. </w:t>
      </w:r>
      <w:r w:rsidRPr="00374074">
        <w:rPr>
          <w:lang w:val="en-CA" w:eastAsia="en-GB"/>
        </w:rPr>
        <w:t xml:space="preserve">Based on </w:t>
      </w:r>
      <w:r w:rsidRPr="00374074" w:rsidDel="00795AF9">
        <w:rPr>
          <w:lang w:val="en-CA" w:eastAsia="en-GB"/>
        </w:rPr>
        <w:t>age</w:t>
      </w:r>
      <w:r w:rsidRPr="00374074">
        <w:rPr>
          <w:lang w:val="en-CA" w:eastAsia="en-GB"/>
        </w:rPr>
        <w:t>, 27.94% of persons with disabilities are over 60 years old. Out of a total of 301,629 persons with disabilities, 84,282 belong to the most vulnerable age group, due to both their age and disability status</w:t>
      </w:r>
      <w:r w:rsidRPr="00374074">
        <w:rPr>
          <w:lang w:eastAsia="en-GB"/>
        </w:rPr>
        <w:t>.</w:t>
      </w:r>
      <w:r w:rsidRPr="00374074">
        <w:rPr>
          <w:vertAlign w:val="superscript"/>
          <w:lang w:eastAsia="en-GB" w:bidi="km-KH"/>
        </w:rPr>
        <w:footnoteReference w:id="75"/>
      </w:r>
    </w:p>
    <w:p w14:paraId="72A7E88D" w14:textId="77777777" w:rsidR="00374074" w:rsidRPr="00374074" w:rsidRDefault="00374074" w:rsidP="0040290C">
      <w:pPr>
        <w:pStyle w:val="SingleTxtG"/>
        <w:numPr>
          <w:ilvl w:val="0"/>
          <w:numId w:val="7"/>
        </w:numPr>
        <w:ind w:left="1134" w:firstLine="0"/>
        <w:rPr>
          <w:lang w:eastAsia="en-GB"/>
        </w:rPr>
      </w:pPr>
      <w:r w:rsidRPr="00374074">
        <w:rPr>
          <w:lang w:eastAsia="en-GB"/>
        </w:rPr>
        <w:t xml:space="preserve">In 2019, the number of health facilities implementing the Health Equity Fund reached 1,311, an increase from 1,293 in 2018, including 6 national hospitals, 24 provincial hospitals, </w:t>
      </w:r>
      <w:r w:rsidRPr="00374074">
        <w:rPr>
          <w:lang w:eastAsia="en-GB"/>
        </w:rPr>
        <w:lastRenderedPageBreak/>
        <w:t>89 district hospitals, 64 outpatient health centres (former district hospitals) and 1,128 health centres.</w:t>
      </w:r>
    </w:p>
    <w:p w14:paraId="2E915160" w14:textId="77777777" w:rsidR="00374074" w:rsidRPr="00374074" w:rsidRDefault="00374074" w:rsidP="0040290C">
      <w:pPr>
        <w:pStyle w:val="SingleTxtG"/>
        <w:numPr>
          <w:ilvl w:val="0"/>
          <w:numId w:val="7"/>
        </w:numPr>
        <w:ind w:left="1134" w:firstLine="0"/>
        <w:rPr>
          <w:lang w:eastAsia="en-GB"/>
        </w:rPr>
      </w:pPr>
      <w:r w:rsidRPr="00374074">
        <w:rPr>
          <w:lang w:eastAsia="en-GB"/>
        </w:rPr>
        <w:t>The LPRPD states that the Ministry in charge of social affairs, in collaboration with the Ministry in charge of health, provides training to families with members</w:t>
      </w:r>
      <w:r w:rsidRPr="00374074">
        <w:rPr>
          <w:lang w:eastAsia="en-GB" w:bidi="km-KH"/>
        </w:rPr>
        <w:t xml:space="preserve"> who have disabilities</w:t>
      </w:r>
      <w:r w:rsidRPr="00374074">
        <w:rPr>
          <w:lang w:eastAsia="en-GB"/>
        </w:rPr>
        <w:t>, persons with disabilities and volunteers on various methods of care and rehabilitation for various types of disabilities to enable persons with disabilities and their families in the rehabilitation of persons with physical and intellectual disabilities.</w:t>
      </w:r>
      <w:r w:rsidRPr="00374074">
        <w:rPr>
          <w:vertAlign w:val="superscript"/>
          <w:lang w:eastAsia="en-GB"/>
        </w:rPr>
        <w:footnoteReference w:id="76"/>
      </w:r>
    </w:p>
    <w:p w14:paraId="17EB95F0" w14:textId="77777777" w:rsidR="00374074" w:rsidRPr="00374074" w:rsidRDefault="00374074" w:rsidP="0040290C">
      <w:pPr>
        <w:pStyle w:val="SingleTxtG"/>
        <w:numPr>
          <w:ilvl w:val="0"/>
          <w:numId w:val="7"/>
        </w:numPr>
        <w:ind w:left="1134" w:firstLine="0"/>
        <w:rPr>
          <w:lang w:eastAsia="en-GB"/>
        </w:rPr>
      </w:pPr>
      <w:r w:rsidRPr="00374074">
        <w:rPr>
          <w:lang w:eastAsia="en-GB"/>
        </w:rPr>
        <w:t>The Law on Social Security Schemes for Persons Defined by the Provisions of the Labour Law has been replaced by the Law on Social Security Schemes, adopted in 2019. This law continues to apply the principle of non-discrimination in providing more comprehensive social security benefits, which include coverage for occupational risks, health care, pensions, and labour activity. This law expands the scope of application to individuals in the public sector, those governed by the Labour Law, including airline and maritime employees, domestic workers and self-employed individuals.</w:t>
      </w:r>
    </w:p>
    <w:p w14:paraId="43E3C54B" w14:textId="00217689" w:rsidR="00374074" w:rsidRPr="00374074" w:rsidRDefault="00FB38F9" w:rsidP="00FB38F9">
      <w:pPr>
        <w:pStyle w:val="H1G"/>
        <w:rPr>
          <w:bCs/>
          <w:lang w:eastAsia="en-GB" w:bidi="km-KH"/>
        </w:rPr>
      </w:pPr>
      <w:bookmarkStart w:id="61" w:name="_Toc92875449"/>
      <w:bookmarkStart w:id="62" w:name="_Toc368313563"/>
      <w:bookmarkStart w:id="63" w:name="_Toc392839046"/>
      <w:bookmarkStart w:id="64" w:name="_Toc215321710"/>
      <w:r>
        <w:rPr>
          <w:lang w:eastAsia="en-GB" w:bidi="km-KH"/>
        </w:rPr>
        <w:tab/>
      </w:r>
      <w:r>
        <w:rPr>
          <w:lang w:eastAsia="en-GB" w:bidi="km-KH"/>
        </w:rPr>
        <w:tab/>
      </w:r>
      <w:r w:rsidR="00374074" w:rsidRPr="00374074">
        <w:rPr>
          <w:lang w:eastAsia="en-GB" w:bidi="km-KH"/>
        </w:rPr>
        <w:t xml:space="preserve">Habilitation and </w:t>
      </w:r>
      <w:bookmarkEnd w:id="61"/>
      <w:r w:rsidR="00374074" w:rsidRPr="00374074">
        <w:rPr>
          <w:lang w:eastAsia="en-GB" w:bidi="km-KH"/>
        </w:rPr>
        <w:t>rehabilitation</w:t>
      </w:r>
      <w:bookmarkEnd w:id="62"/>
      <w:bookmarkEnd w:id="63"/>
      <w:bookmarkEnd w:id="64"/>
      <w:r>
        <w:rPr>
          <w:lang w:eastAsia="en-GB" w:bidi="km-KH"/>
        </w:rPr>
        <w:br/>
      </w:r>
      <w:r w:rsidRPr="00374074">
        <w:rPr>
          <w:lang w:eastAsia="en-GB" w:bidi="km-KH"/>
        </w:rPr>
        <w:t xml:space="preserve">Article </w:t>
      </w:r>
      <w:r w:rsidRPr="00374074">
        <w:rPr>
          <w:bCs/>
          <w:cs/>
          <w:lang w:eastAsia="en-GB" w:bidi="km-KH"/>
        </w:rPr>
        <w:t>26</w:t>
      </w:r>
    </w:p>
    <w:p w14:paraId="1414B56D" w14:textId="77777777" w:rsidR="00374074" w:rsidRPr="00374074" w:rsidRDefault="00374074" w:rsidP="0040290C">
      <w:pPr>
        <w:pStyle w:val="SingleTxtG"/>
        <w:numPr>
          <w:ilvl w:val="0"/>
          <w:numId w:val="7"/>
        </w:numPr>
        <w:ind w:left="1134" w:firstLine="0"/>
        <w:rPr>
          <w:lang w:eastAsia="en-GB"/>
        </w:rPr>
      </w:pPr>
      <w:r w:rsidRPr="00374074">
        <w:rPr>
          <w:lang w:eastAsia="en-GB"/>
        </w:rPr>
        <w:t>The State is obliged to provide assistance to persons with disabilities and to the families of soldiers who sacrifice their lives for the nation, in accordance with article 74 of the Constitution.</w:t>
      </w:r>
    </w:p>
    <w:p w14:paraId="7980CEA4" w14:textId="77777777" w:rsidR="00374074" w:rsidRPr="00374074" w:rsidRDefault="00374074" w:rsidP="0040290C">
      <w:pPr>
        <w:pStyle w:val="SingleTxtG"/>
        <w:numPr>
          <w:ilvl w:val="0"/>
          <w:numId w:val="7"/>
        </w:numPr>
        <w:ind w:left="1134" w:firstLine="0"/>
        <w:rPr>
          <w:lang w:eastAsia="en-GB"/>
        </w:rPr>
      </w:pPr>
      <w:r w:rsidRPr="00374074">
        <w:rPr>
          <w:lang w:eastAsia="en-GB"/>
        </w:rPr>
        <w:t>The State ensures the provision of physical and mental rehabilitation programs for persons with disabilities</w:t>
      </w:r>
      <w:r w:rsidRPr="00374074">
        <w:rPr>
          <w:vertAlign w:val="superscript"/>
          <w:cs/>
          <w:lang w:eastAsia="en-GB" w:bidi="km-KH"/>
        </w:rPr>
        <w:footnoteReference w:id="77"/>
      </w:r>
      <w:r w:rsidRPr="00374074">
        <w:rPr>
          <w:cs/>
          <w:lang w:eastAsia="en-GB" w:bidi="km-KH"/>
        </w:rPr>
        <w:t xml:space="preserve"> </w:t>
      </w:r>
      <w:r w:rsidRPr="00374074">
        <w:rPr>
          <w:lang w:eastAsia="en-GB"/>
        </w:rPr>
        <w:t>by establishing rehabilitation centres, as defined in the Prakas No. 164 of the MoSVY, dated 24 February 2009.</w:t>
      </w:r>
    </w:p>
    <w:p w14:paraId="5D8464AF" w14:textId="77777777" w:rsidR="00374074" w:rsidRPr="00374074" w:rsidRDefault="00374074" w:rsidP="0040290C">
      <w:pPr>
        <w:pStyle w:val="SingleTxtG"/>
        <w:numPr>
          <w:ilvl w:val="0"/>
          <w:numId w:val="7"/>
        </w:numPr>
        <w:ind w:left="1134" w:firstLine="0"/>
        <w:rPr>
          <w:lang w:eastAsia="en-GB"/>
        </w:rPr>
      </w:pPr>
      <w:r w:rsidRPr="00374074">
        <w:rPr>
          <w:lang w:eastAsia="en-GB"/>
        </w:rPr>
        <w:t>Eleven physical rehabilitation centres, one spinal cord injury centre, three repair workshops and one prosthetic and orthotic component factory have been established in various regions across the country. These facilities are located in Phnom Penh, Battambang, Kampong Speu, Sihanoukville, Kampong Chhnang, Prey Veng, Takeo, Siem Reap, Kampong Cham, Kratie, Svay Rieng, Kampong Thom, and Preah Vihear. These locations were selected based on the proportion of persons with disabilities residing in each province. The current rehabilitation centres provide services such as the manufacturing and equipping of prosthetics, orthotics and mobility aids, as well as physical therapy and disease monitoring services. Furthermore, they offer training for professionals and persons with disabilities, promote disability awareness, facilitate self-help groups, and provide outreach to local communities and persons with disabilities who seek services at these centres.</w:t>
      </w:r>
    </w:p>
    <w:p w14:paraId="3B177833" w14:textId="77777777" w:rsidR="00374074" w:rsidRPr="00374074" w:rsidRDefault="00374074" w:rsidP="0040290C">
      <w:pPr>
        <w:pStyle w:val="SingleTxtG"/>
        <w:numPr>
          <w:ilvl w:val="0"/>
          <w:numId w:val="7"/>
        </w:numPr>
        <w:ind w:left="1134" w:firstLine="0"/>
        <w:rPr>
          <w:lang w:eastAsia="en-GB"/>
        </w:rPr>
      </w:pPr>
      <w:r w:rsidRPr="00374074">
        <w:rPr>
          <w:lang w:eastAsia="en-GB"/>
        </w:rPr>
        <w:t>The Persons With Disabilities Foundation (PWDF) was established to provide rehabilitation services to persons with disabilities, which includes the sustainable management of rehabilitation centres.</w:t>
      </w:r>
      <w:r w:rsidRPr="00374074">
        <w:rPr>
          <w:spacing w:val="-2"/>
          <w:vertAlign w:val="superscript"/>
          <w:cs/>
          <w:lang w:eastAsia="en-GB"/>
        </w:rPr>
        <w:footnoteReference w:id="78"/>
      </w:r>
      <w:r w:rsidRPr="00374074">
        <w:rPr>
          <w:lang w:eastAsia="en-GB"/>
        </w:rPr>
        <w:t xml:space="preserve"> The RGC has expanded the rehabilitation program for persons with disabilities through the Rectangular Strategy Phase III, the National Strategic Development Plan (NSDP) 2014-2018, and the National Social Protection Policy Framework 2016-2025. The Strategic Plan for the Health Sector 2008-2015 also contributes to enhancing the capacity for rehabilitation in Goal 3 and Objective 11.</w:t>
      </w:r>
    </w:p>
    <w:p w14:paraId="0E6B0237" w14:textId="77777777" w:rsidR="00374074" w:rsidRPr="00374074" w:rsidRDefault="00374074" w:rsidP="0040290C">
      <w:pPr>
        <w:pStyle w:val="SingleTxtG"/>
        <w:numPr>
          <w:ilvl w:val="0"/>
          <w:numId w:val="7"/>
        </w:numPr>
        <w:ind w:left="1134" w:firstLine="0"/>
        <w:rPr>
          <w:lang w:eastAsia="en-GB"/>
        </w:rPr>
      </w:pPr>
      <w:r w:rsidRPr="00374074">
        <w:rPr>
          <w:shd w:val="clear" w:color="auto" w:fill="FFFFFF"/>
          <w:lang w:eastAsia="en-GB"/>
        </w:rPr>
        <w:t xml:space="preserve">From 2015 to 2019, various types of free rehabilitation services including food and travel allowances were provided to persons with disabilities. A total of 322,421 individuals, including 145,204 women, received benefits from these services. Of these 107,333 individuals, </w:t>
      </w:r>
      <w:r w:rsidRPr="00FB38F9">
        <w:rPr>
          <w:lang w:eastAsia="en-GB"/>
        </w:rPr>
        <w:t>including</w:t>
      </w:r>
      <w:r w:rsidRPr="00374074">
        <w:rPr>
          <w:shd w:val="clear" w:color="auto" w:fill="FFFFFF"/>
          <w:lang w:eastAsia="en-GB"/>
        </w:rPr>
        <w:t xml:space="preserve"> 26,863 women, received physical rehabilitation services, while 215,088 individuals received medical rehabilitation services, including 118,341 women.</w:t>
      </w:r>
      <w:r w:rsidRPr="00374074">
        <w:rPr>
          <w:vertAlign w:val="superscript"/>
          <w:cs/>
          <w:lang w:eastAsia="en-GB"/>
        </w:rPr>
        <w:footnoteReference w:id="79"/>
      </w:r>
    </w:p>
    <w:p w14:paraId="3A40A89C" w14:textId="77777777" w:rsidR="00374074" w:rsidRPr="00374074" w:rsidRDefault="00374074" w:rsidP="0040290C">
      <w:pPr>
        <w:pStyle w:val="SingleTxtG"/>
        <w:numPr>
          <w:ilvl w:val="0"/>
          <w:numId w:val="7"/>
        </w:numPr>
        <w:ind w:left="1134" w:firstLine="0"/>
        <w:rPr>
          <w:lang w:eastAsia="en-GB"/>
        </w:rPr>
      </w:pPr>
      <w:r w:rsidRPr="00374074">
        <w:rPr>
          <w:lang w:eastAsia="en-GB"/>
        </w:rPr>
        <w:lastRenderedPageBreak/>
        <w:t>The National Institute of Social Affairs was established in 2012 with the objective of producing skilled human resources for social affairs including the disability sector, with a particular emphasis on physical rehabilitation. It provides a diverse range of curricula, including international training programs on prosthetics and orthotics engineering for rehabilitation programs.</w:t>
      </w:r>
      <w:r w:rsidRPr="00374074">
        <w:rPr>
          <w:vertAlign w:val="superscript"/>
          <w:cs/>
          <w:lang w:eastAsia="en-GB"/>
        </w:rPr>
        <w:footnoteReference w:id="80"/>
      </w:r>
    </w:p>
    <w:p w14:paraId="5D913E17" w14:textId="77777777" w:rsidR="00374074" w:rsidRPr="00374074" w:rsidRDefault="00374074" w:rsidP="0040290C">
      <w:pPr>
        <w:pStyle w:val="SingleTxtG"/>
        <w:numPr>
          <w:ilvl w:val="0"/>
          <w:numId w:val="7"/>
        </w:numPr>
        <w:ind w:left="1134" w:firstLine="0"/>
        <w:rPr>
          <w:lang w:eastAsia="en-GB"/>
        </w:rPr>
      </w:pPr>
      <w:r w:rsidRPr="00374074">
        <w:rPr>
          <w:lang w:eastAsia="en-GB"/>
        </w:rPr>
        <w:t>Through cooperation between development partners and the PWDF, annual training for rehabilitation services officers is organized by the Cambodian Association of Prosthetists and Orthotists and the Cambodian Physical Therapy Association. This training aims to promote the supply, knowledge and the use of assistive devices and technologies related to physical rehabilitation.</w:t>
      </w:r>
      <w:r w:rsidRPr="00374074">
        <w:rPr>
          <w:vertAlign w:val="superscript"/>
          <w:cs/>
          <w:lang w:eastAsia="en-GB"/>
        </w:rPr>
        <w:footnoteReference w:id="81"/>
      </w:r>
    </w:p>
    <w:p w14:paraId="2807D4E5" w14:textId="77777777" w:rsidR="00374074" w:rsidRPr="00374074" w:rsidRDefault="00374074" w:rsidP="0040290C">
      <w:pPr>
        <w:pStyle w:val="SingleTxtG"/>
        <w:numPr>
          <w:ilvl w:val="0"/>
          <w:numId w:val="7"/>
        </w:numPr>
        <w:ind w:left="1134" w:firstLine="0"/>
        <w:rPr>
          <w:lang w:eastAsia="en-GB"/>
        </w:rPr>
      </w:pPr>
      <w:r w:rsidRPr="00374074">
        <w:rPr>
          <w:lang w:eastAsia="en-GB"/>
        </w:rPr>
        <w:t>The Social Security Scheme for Occupational Risk was established in 2008, and the Social Security Scheme for Healthcare was launched in 2016. Both schemes</w:t>
      </w:r>
      <w:r w:rsidRPr="00374074">
        <w:rPr>
          <w:szCs w:val="39"/>
          <w:lang w:eastAsia="en-GB" w:bidi="km-KH"/>
        </w:rPr>
        <w:t xml:space="preserve"> provide services to members when they suffer from occupational risks, accidents or disabilities, chronic illnesses, non-work-related injuries, and maternity, including allowance for rehabilitation (medical rehabilitation services or vocational retraining services or social services) and physiotherapy or other medical rehabilitation.</w:t>
      </w:r>
    </w:p>
    <w:p w14:paraId="4F7F152E" w14:textId="01987437" w:rsidR="00374074" w:rsidRPr="00374074" w:rsidRDefault="00FB38F9" w:rsidP="00FB38F9">
      <w:pPr>
        <w:pStyle w:val="H1G"/>
        <w:rPr>
          <w:lang w:eastAsia="en-GB" w:bidi="km-KH"/>
        </w:rPr>
      </w:pPr>
      <w:bookmarkStart w:id="65" w:name="_Toc368313564"/>
      <w:bookmarkStart w:id="66" w:name="_Toc392839047"/>
      <w:bookmarkStart w:id="67" w:name="_Toc92875450"/>
      <w:bookmarkStart w:id="68" w:name="_Toc215321711"/>
      <w:r>
        <w:rPr>
          <w:lang w:eastAsia="en-GB" w:bidi="km-KH"/>
        </w:rPr>
        <w:tab/>
      </w:r>
      <w:r>
        <w:rPr>
          <w:lang w:eastAsia="en-GB" w:bidi="km-KH"/>
        </w:rPr>
        <w:tab/>
      </w:r>
      <w:r w:rsidR="00374074" w:rsidRPr="00374074">
        <w:rPr>
          <w:lang w:eastAsia="en-GB" w:bidi="km-KH"/>
        </w:rPr>
        <w:t xml:space="preserve">Work and </w:t>
      </w:r>
      <w:bookmarkEnd w:id="65"/>
      <w:bookmarkEnd w:id="66"/>
      <w:bookmarkEnd w:id="67"/>
      <w:r w:rsidR="00374074" w:rsidRPr="00374074">
        <w:rPr>
          <w:lang w:eastAsia="en-GB" w:bidi="km-KH"/>
        </w:rPr>
        <w:t>employment</w:t>
      </w:r>
      <w:bookmarkEnd w:id="68"/>
      <w:r>
        <w:rPr>
          <w:cs/>
          <w:lang w:eastAsia="en-GB" w:bidi="km-KH"/>
        </w:rPr>
        <w:br/>
      </w:r>
      <w:r w:rsidRPr="00374074">
        <w:rPr>
          <w:lang w:eastAsia="en-GB" w:bidi="km-KH"/>
        </w:rPr>
        <w:t xml:space="preserve">Article </w:t>
      </w:r>
      <w:r w:rsidRPr="00374074">
        <w:rPr>
          <w:bCs/>
          <w:cs/>
          <w:lang w:eastAsia="en-GB" w:bidi="km-KH"/>
        </w:rPr>
        <w:t>27</w:t>
      </w:r>
    </w:p>
    <w:p w14:paraId="595C6432" w14:textId="77777777" w:rsidR="00374074" w:rsidRPr="00374074" w:rsidRDefault="00374074" w:rsidP="0040290C">
      <w:pPr>
        <w:pStyle w:val="SingleTxtG"/>
        <w:numPr>
          <w:ilvl w:val="0"/>
          <w:numId w:val="7"/>
        </w:numPr>
        <w:ind w:left="1134" w:firstLine="0"/>
        <w:rPr>
          <w:lang w:eastAsia="en-GB"/>
        </w:rPr>
      </w:pPr>
      <w:r w:rsidRPr="00374074">
        <w:rPr>
          <w:lang w:eastAsia="en-GB"/>
        </w:rPr>
        <w:t>The Constitution states that Khmer citizens of either sex shall enjoy the right to choose any employment according to their ability and to the needs of society. Khmer citizens of either sex shall receive equal pay for equal work. Housekeeping work performed in the home has the same value as the wages it would earn outside the home.</w:t>
      </w:r>
      <w:r w:rsidRPr="00374074">
        <w:rPr>
          <w:vertAlign w:val="superscript"/>
          <w:cs/>
          <w:lang w:eastAsia="en-GB"/>
        </w:rPr>
        <w:footnoteReference w:id="82"/>
      </w:r>
      <w:r w:rsidRPr="00374074">
        <w:rPr>
          <w:rFonts w:cs="DaunPenh"/>
          <w:szCs w:val="39"/>
          <w:cs/>
          <w:lang w:eastAsia="en-GB" w:bidi="km-KH"/>
        </w:rPr>
        <w:t xml:space="preserve"> </w:t>
      </w:r>
    </w:p>
    <w:p w14:paraId="487CADE0" w14:textId="77777777" w:rsidR="00374074" w:rsidRPr="00374074" w:rsidRDefault="00374074" w:rsidP="0040290C">
      <w:pPr>
        <w:pStyle w:val="SingleTxtG"/>
        <w:numPr>
          <w:ilvl w:val="0"/>
          <w:numId w:val="7"/>
        </w:numPr>
        <w:ind w:left="1134" w:firstLine="0"/>
        <w:rPr>
          <w:lang w:eastAsia="en-GB"/>
        </w:rPr>
      </w:pPr>
      <w:r w:rsidRPr="00374074">
        <w:rPr>
          <w:lang w:eastAsia="en-GB"/>
        </w:rPr>
        <w:t>Persons with disabilities who have the required qualifications and competence to carry out the duties, role and responsibilities of a particular position have the right to be employed without discrimination, including employment as civil servants, workers, employees, apprentices or interns.</w:t>
      </w:r>
      <w:r w:rsidRPr="00374074">
        <w:rPr>
          <w:vertAlign w:val="superscript"/>
          <w:cs/>
          <w:lang w:eastAsia="en-GB" w:bidi="km-KH"/>
        </w:rPr>
        <w:footnoteReference w:id="83"/>
      </w:r>
      <w:r w:rsidRPr="00374074">
        <w:rPr>
          <w:lang w:eastAsia="en-GB"/>
        </w:rPr>
        <w:t xml:space="preserve"> The RGC encourages persons with disabilities who own individual, family or collective businesses, occupations or craft-workshops through the provision of tax reductions and other legal incentives.</w:t>
      </w:r>
      <w:r w:rsidRPr="00374074">
        <w:rPr>
          <w:vertAlign w:val="superscript"/>
          <w:cs/>
          <w:lang w:eastAsia="en-GB" w:bidi="km-KH"/>
        </w:rPr>
        <w:t xml:space="preserve"> </w:t>
      </w:r>
      <w:r w:rsidRPr="00374074">
        <w:rPr>
          <w:vertAlign w:val="superscript"/>
          <w:cs/>
          <w:lang w:eastAsia="en-GB" w:bidi="km-KH"/>
        </w:rPr>
        <w:footnoteReference w:id="84"/>
      </w:r>
    </w:p>
    <w:p w14:paraId="722750CD" w14:textId="77777777" w:rsidR="00374074" w:rsidRPr="00374074" w:rsidRDefault="00374074" w:rsidP="0040290C">
      <w:pPr>
        <w:pStyle w:val="SingleTxtG"/>
        <w:numPr>
          <w:ilvl w:val="0"/>
          <w:numId w:val="7"/>
        </w:numPr>
        <w:ind w:left="1134" w:firstLine="0"/>
        <w:rPr>
          <w:lang w:eastAsia="en-GB"/>
        </w:rPr>
      </w:pPr>
      <w:r w:rsidRPr="00374074">
        <w:rPr>
          <w:lang w:eastAsia="en-GB"/>
        </w:rPr>
        <w:t>The RGC has issued a sub-decree</w:t>
      </w:r>
      <w:r w:rsidRPr="00374074">
        <w:rPr>
          <w:vertAlign w:val="superscript"/>
          <w:cs/>
          <w:lang w:eastAsia="en-GB" w:bidi="km-KH"/>
        </w:rPr>
        <w:footnoteReference w:id="85"/>
      </w:r>
      <w:r w:rsidRPr="00374074">
        <w:rPr>
          <w:lang w:eastAsia="en-GB"/>
        </w:rPr>
        <w:t xml:space="preserve"> to set the quota and procedures for the employment of persons with disabilities, to provide employment opportunities; encourage persons with disabilities; promote their dignity, welfare and rights; and recognize their abilities as opposed to solely focusing on their disabilities. This sub-decree aims to promote the enforcement of the law</w:t>
      </w:r>
      <w:r w:rsidRPr="00374074">
        <w:rPr>
          <w:vertAlign w:val="superscript"/>
          <w:cs/>
          <w:lang w:eastAsia="en-GB" w:bidi="km-KH"/>
        </w:rPr>
        <w:footnoteReference w:id="86"/>
      </w:r>
      <w:r w:rsidRPr="00374074">
        <w:rPr>
          <w:lang w:eastAsia="en-GB"/>
        </w:rPr>
        <w:t xml:space="preserve"> and the Royal Government’s political policy for persons with disabilities. The MoSVY has issued a Prakas (proclamation) outlining the procedure for payment of contributions by ministries, state institutions and legal entities that have not fulfilled their obligations to employ persons with disabilities. The contributions apply for ministries, state institutions and legal entities who did not fulfil the quota requirements of 2% of the total number of civil servants</w:t>
      </w:r>
      <w:r w:rsidRPr="00374074">
        <w:rPr>
          <w:vertAlign w:val="superscript"/>
          <w:lang w:eastAsia="en-GB"/>
        </w:rPr>
        <w:footnoteReference w:id="87"/>
      </w:r>
      <w:r w:rsidRPr="00374074">
        <w:rPr>
          <w:lang w:eastAsia="en-GB"/>
        </w:rPr>
        <w:t xml:space="preserve"> in such entities and 1% of the total number of employees in private sector legal entities with 100 or more employees.</w:t>
      </w:r>
      <w:r w:rsidRPr="00374074">
        <w:rPr>
          <w:vertAlign w:val="superscript"/>
          <w:lang w:eastAsia="en-GB"/>
        </w:rPr>
        <w:footnoteReference w:id="88"/>
      </w:r>
    </w:p>
    <w:p w14:paraId="6953ADEC" w14:textId="77777777" w:rsidR="00374074" w:rsidRPr="00374074" w:rsidRDefault="00374074" w:rsidP="0040290C">
      <w:pPr>
        <w:pStyle w:val="SingleTxtG"/>
        <w:numPr>
          <w:ilvl w:val="0"/>
          <w:numId w:val="7"/>
        </w:numPr>
        <w:ind w:left="1134" w:firstLine="0"/>
        <w:rPr>
          <w:sz w:val="36"/>
          <w:szCs w:val="36"/>
          <w:lang w:eastAsia="en-GB"/>
        </w:rPr>
      </w:pPr>
      <w:r w:rsidRPr="00374074">
        <w:rPr>
          <w:lang w:eastAsia="en-GB"/>
        </w:rPr>
        <w:lastRenderedPageBreak/>
        <w:t>Ministries and state institutions</w:t>
      </w:r>
      <w:r w:rsidRPr="00374074">
        <w:rPr>
          <w:vertAlign w:val="superscript"/>
          <w:lang w:eastAsia="en-GB"/>
        </w:rPr>
        <w:footnoteReference w:id="89"/>
      </w:r>
      <w:r w:rsidRPr="00374074">
        <w:rPr>
          <w:lang w:eastAsia="en-GB"/>
        </w:rPr>
        <w:t xml:space="preserve"> are required to submit an annual report to the MoSVY and the Ministry of Civil Service every January regarding the employment of persons with disabilities. The Sub-Decree of the RGC on Investment No. 88 ANKr.BK of 1999 is one of the legal instruments that promotes the employment of persons with disabilities and determines tax exemptions for foreign companies based on various factors, including the percentage of employees with disabilities.</w:t>
      </w:r>
    </w:p>
    <w:p w14:paraId="4A4434D7" w14:textId="77777777" w:rsidR="00374074" w:rsidRPr="00374074" w:rsidRDefault="00374074" w:rsidP="0040290C">
      <w:pPr>
        <w:pStyle w:val="SingleTxtG"/>
        <w:numPr>
          <w:ilvl w:val="0"/>
          <w:numId w:val="7"/>
        </w:numPr>
        <w:ind w:left="1134" w:firstLine="0"/>
        <w:rPr>
          <w:lang w:eastAsia="en-GB"/>
        </w:rPr>
      </w:pPr>
      <w:r w:rsidRPr="00374074">
        <w:rPr>
          <w:lang w:eastAsia="en-GB"/>
        </w:rPr>
        <w:t>Heads of ministries and public institutions who fail to fulfil their obligations shall pay contributions to the PWDF at a rate of 50% of the monthly salary of a civil servant, for one civil servant with disability. Employers in the private sector who fail to fulfil their obligations shall pay contributions to the PWDF at the rate of 40% of the monthly minimum wage of workers/employees for one worker/employee with disability.</w:t>
      </w:r>
      <w:r w:rsidRPr="00374074">
        <w:rPr>
          <w:lang w:eastAsia="en-GB" w:bidi="km-KH"/>
        </w:rPr>
        <w:t xml:space="preserve"> With thorough and careful attention to persons with disabilities, the RGC  has issued the Inter-Ministerial Circular on Reasonable Accommodation for the Work of Persons with Disabilities No. 005 MoSVY/SRNN in 2012 (pursuant to article 38 of the LPRPD) to supplement the Sub-Decree 108 and provides guidelines for employers, including definitions of reasonable accommodation, recruitment, training, employment, workplace, occupational safety and health, encouragement to promote or adjust the workplace and workplace safety, rehabilitation after a work-related accident and a return-to-work program.</w:t>
      </w:r>
    </w:p>
    <w:p w14:paraId="35ABEA7B" w14:textId="77777777" w:rsidR="00374074" w:rsidRPr="00374074" w:rsidRDefault="00374074" w:rsidP="0040290C">
      <w:pPr>
        <w:pStyle w:val="SingleTxtG"/>
        <w:numPr>
          <w:ilvl w:val="0"/>
          <w:numId w:val="7"/>
        </w:numPr>
        <w:ind w:left="1134" w:firstLine="0"/>
        <w:rPr>
          <w:lang w:eastAsia="en-GB"/>
        </w:rPr>
      </w:pPr>
      <w:r w:rsidRPr="00374074">
        <w:rPr>
          <w:lang w:eastAsia="en-GB"/>
        </w:rPr>
        <w:t xml:space="preserve">The Disability Rights Administration (DRA) was established with the role and duty of disseminating information, monitoring compliance and taking appropriate action including transitional penalties or </w:t>
      </w:r>
      <w:r w:rsidRPr="00374074">
        <w:rPr>
          <w:lang w:eastAsia="en-GB" w:bidi="km-KH"/>
        </w:rPr>
        <w:t>initiating</w:t>
      </w:r>
      <w:r w:rsidRPr="00374074">
        <w:rPr>
          <w:lang w:eastAsia="en-GB"/>
        </w:rPr>
        <w:t xml:space="preserve"> legal proceedings against ministries, institutions and public and private entities that fail to fulfil their obligations or violate the provisions of the LPRPD.</w:t>
      </w:r>
      <w:r w:rsidRPr="00374074">
        <w:rPr>
          <w:vertAlign w:val="superscript"/>
          <w:lang w:eastAsia="en-GB"/>
        </w:rPr>
        <w:footnoteReference w:id="90"/>
      </w:r>
    </w:p>
    <w:p w14:paraId="1F4F4A60" w14:textId="77777777" w:rsidR="00374074" w:rsidRPr="00374074" w:rsidRDefault="00374074" w:rsidP="0040290C">
      <w:pPr>
        <w:pStyle w:val="SingleTxtG"/>
        <w:numPr>
          <w:ilvl w:val="0"/>
          <w:numId w:val="7"/>
        </w:numPr>
        <w:ind w:left="1134" w:firstLine="0"/>
        <w:rPr>
          <w:lang w:eastAsia="en-GB"/>
        </w:rPr>
      </w:pPr>
      <w:r w:rsidRPr="00374074">
        <w:rPr>
          <w:lang w:eastAsia="en-GB"/>
        </w:rPr>
        <w:t>The percentage of employed persons with disabilities was 48% overall.</w:t>
      </w:r>
      <w:r w:rsidRPr="00374074">
        <w:rPr>
          <w:vertAlign w:val="superscript"/>
          <w:cs/>
          <w:lang w:eastAsia="en-GB" w:bidi="km-KH"/>
        </w:rPr>
        <w:footnoteReference w:id="91"/>
      </w:r>
      <w:r w:rsidRPr="00374074">
        <w:rPr>
          <w:lang w:eastAsia="en-GB"/>
        </w:rPr>
        <w:t xml:space="preserve"> Among them, the employment rate for males with disabilities was 56.6%, while the employment rate for females with disabilities was 38.7%.</w:t>
      </w:r>
    </w:p>
    <w:p w14:paraId="3FE5089C" w14:textId="77777777" w:rsidR="00374074" w:rsidRPr="00374074" w:rsidRDefault="00374074" w:rsidP="0040290C">
      <w:pPr>
        <w:pStyle w:val="SingleTxtG"/>
        <w:numPr>
          <w:ilvl w:val="0"/>
          <w:numId w:val="7"/>
        </w:numPr>
        <w:ind w:left="1134" w:firstLine="0"/>
        <w:rPr>
          <w:lang w:eastAsia="en-GB"/>
        </w:rPr>
      </w:pPr>
      <w:r w:rsidRPr="00374074">
        <w:rPr>
          <w:lang w:eastAsia="en-GB"/>
        </w:rPr>
        <w:t xml:space="preserve">In early 2013, the MoSVY released a report on the employment rate of persons with disabilities in ministries and state institutions for the years 2011-2012 covering 32 ministries and institutions, which employed a total of 1,468 persons with disabilities, including 461 who had severe disabilities, each of </w:t>
      </w:r>
      <w:r w:rsidRPr="00374074">
        <w:rPr>
          <w:szCs w:val="39"/>
          <w:lang w:eastAsia="en-GB" w:bidi="km-KH"/>
        </w:rPr>
        <w:t>whom</w:t>
      </w:r>
      <w:r w:rsidRPr="00374074">
        <w:rPr>
          <w:lang w:eastAsia="en-GB"/>
        </w:rPr>
        <w:t xml:space="preserve"> was counted as two individuals, resulting in a total of 1,603 individuals, representing 0.78% of the total workforce. In 2014, there were a total of 1,999 persons with disabilities, out of which 461 were identified as having severe disabilities, with one individual with severe disability counted as equivalent to two individuals with less severe disability, resulting in a total of 2,460 individuals, representing 1.26% of the total workforce. In 2015, there were a total of 2,320 persons with disabilities, among whom 115 had severe disabilities, resulting in a total of 2,550 individuals, and representing 1.17% of the total population of persons with disabilities in Cambodia. In 2016, 2,576 persons with disabilities were employed within government ministries and institutions, comprising 1.72% of the workforce, and 19 private institutions employed 2,124 persons with disabilities. In total, there were 4,700 persons with disabilities employed in both the public and private sectors. In 2017, 43 ministries and state institutions employed 2,737 persons with disabilities, of whom 1,180 had severe disabilities; each person with severe disabilities was equivalent to two persons with mild disabilities, which amounted to 3,917 persons with disabilities, equivalent to 1.78%. Compared to 2016, there was an increase </w:t>
      </w:r>
      <w:r w:rsidRPr="00374074">
        <w:rPr>
          <w:rFonts w:eastAsia="Malgun Gothic"/>
          <w:lang w:eastAsia="ko-KR"/>
        </w:rPr>
        <w:t>of</w:t>
      </w:r>
      <w:r w:rsidRPr="00374074">
        <w:rPr>
          <w:lang w:eastAsia="en-GB"/>
        </w:rPr>
        <w:t xml:space="preserve"> 161 persons with disabilities, equal to 0.06%, indicating the need for continued efforts to reach the goal of 2%. Adding the figures from 63 private entities, which employed 2,962 persons with disabilities, a total of 5,699 persons with disabilities</w:t>
      </w:r>
      <w:r w:rsidRPr="00374074">
        <w:rPr>
          <w:vertAlign w:val="superscript"/>
          <w:lang w:eastAsia="en-GB"/>
        </w:rPr>
        <w:footnoteReference w:id="92"/>
      </w:r>
      <w:r w:rsidRPr="00374074">
        <w:rPr>
          <w:lang w:eastAsia="en-GB"/>
        </w:rPr>
        <w:t xml:space="preserve"> had been hired by private, public and state entities. At the beginning of 2017, the DRA updated the composition of the chairpersons and members of its 25 capital-provincial branches and developed a guideline on procedures for inspection in the disability sector within the Kingdom of Cambodia.</w:t>
      </w:r>
    </w:p>
    <w:p w14:paraId="50882A4E" w14:textId="77777777" w:rsidR="00374074" w:rsidRPr="00374074" w:rsidRDefault="00374074" w:rsidP="0040290C">
      <w:pPr>
        <w:pStyle w:val="SingleTxtG"/>
        <w:numPr>
          <w:ilvl w:val="0"/>
          <w:numId w:val="7"/>
        </w:numPr>
        <w:ind w:left="1134" w:firstLine="0"/>
        <w:rPr>
          <w:lang w:eastAsia="en-GB"/>
        </w:rPr>
      </w:pPr>
      <w:r w:rsidRPr="00374074">
        <w:rPr>
          <w:lang w:eastAsia="en-GB"/>
        </w:rPr>
        <w:lastRenderedPageBreak/>
        <w:t>The Ministry of Labour and Vocational Training (MoLVT) has been improving the employment sector in Cambodia to achieve the agenda of decent works, which is one of the Sustainable Development Goals, by striving to attract both domestic and foreign private investments, which serve as the driving force behind economic growth. Notably, the labour force has transitioned from the agricultural and informal sectors to the industrial, service and structured economy, resulting in the creation of millions of job opportunities over the last two decades. Through regional and global integration to expand product and labour markets, Cambodians have had job opportunities both domestically and abroad. Simultaneously, the RGC  has developed a legal framework and identified a comprehensive vision for employment development to align with the changing socio-economic situation. Through the implementation of the Rectangular Strategy Phase III, the MoLVT paid close attention to formulating and implementing a national policy, including policy on career and employment and labour immigration policy, to create and increase more inclusive job opportunities and strengthen the mechanism for providing employment services by the National Employment Agency (NEA) of the MoLVT through cooperation to support persons with disabilities in having decent jobs. The MoLVT has launched “Labour Marke</w:t>
      </w:r>
      <w:r w:rsidRPr="00374074">
        <w:rPr>
          <w:rFonts w:eastAsia="Malgun Gothic"/>
          <w:lang w:eastAsia="ko-KR"/>
        </w:rPr>
        <w:t>t</w:t>
      </w:r>
      <w:r w:rsidRPr="00374074">
        <w:rPr>
          <w:lang w:eastAsia="en-GB"/>
        </w:rPr>
        <w:t xml:space="preserve"> Program for Job Seekers with Disabilities” in collaboration with the Swedish Public Service Agency</w:t>
      </w:r>
      <w:r w:rsidRPr="00374074">
        <w:rPr>
          <w:rFonts w:eastAsia="Malgun Gothic"/>
          <w:lang w:eastAsia="ko-KR"/>
        </w:rPr>
        <w:t xml:space="preserve"> to </w:t>
      </w:r>
      <w:r w:rsidRPr="00374074">
        <w:rPr>
          <w:lang w:eastAsia="en-GB"/>
        </w:rPr>
        <w:t>promote an inclusive labour market through active support for job seekers with disabilities to ensure compliance with the principle of "Leaving No One Behind" by 2030, contributing to sustainable development and to economic growth.</w:t>
      </w:r>
    </w:p>
    <w:p w14:paraId="12CBBFD1" w14:textId="77777777" w:rsidR="00374074" w:rsidRPr="00374074" w:rsidRDefault="00374074" w:rsidP="0040290C">
      <w:pPr>
        <w:pStyle w:val="SingleTxtG"/>
        <w:numPr>
          <w:ilvl w:val="0"/>
          <w:numId w:val="7"/>
        </w:numPr>
        <w:ind w:left="1134" w:firstLine="0"/>
        <w:rPr>
          <w:shd w:val="clear" w:color="auto" w:fill="FFFFFF"/>
          <w:lang w:eastAsia="en-GB"/>
        </w:rPr>
      </w:pPr>
      <w:r w:rsidRPr="00374074">
        <w:rPr>
          <w:shd w:val="clear" w:color="auto" w:fill="FFFFFF"/>
          <w:lang w:eastAsia="en-GB"/>
        </w:rPr>
        <w:t xml:space="preserve">In the economic sector, women's vocational training centres in 14 provinces have started accepting women with disabilities to participate in life skills training courses and strengthen their </w:t>
      </w:r>
      <w:r w:rsidRPr="002B473D">
        <w:rPr>
          <w:lang w:eastAsia="en-GB"/>
        </w:rPr>
        <w:t>entrepreneurial</w:t>
      </w:r>
      <w:r w:rsidRPr="00374074">
        <w:rPr>
          <w:shd w:val="clear" w:color="auto" w:fill="FFFFFF"/>
          <w:lang w:eastAsia="en-GB"/>
        </w:rPr>
        <w:t xml:space="preserve"> capabilities, and have built infrastructure in the training centres to provide</w:t>
      </w:r>
      <w:r w:rsidRPr="00374074">
        <w:rPr>
          <w:rFonts w:eastAsia="Malgun Gothic"/>
          <w:shd w:val="clear" w:color="auto" w:fill="FFFFFF"/>
          <w:lang w:eastAsia="ko-KR"/>
        </w:rPr>
        <w:t xml:space="preserve"> improved accessibility</w:t>
      </w:r>
      <w:r w:rsidRPr="00374074">
        <w:rPr>
          <w:shd w:val="clear" w:color="auto" w:fill="FFFFFF"/>
          <w:lang w:eastAsia="en-GB"/>
        </w:rPr>
        <w:t>.</w:t>
      </w:r>
      <w:r w:rsidRPr="00374074">
        <w:rPr>
          <w:shd w:val="clear" w:color="auto" w:fill="FFFFFF"/>
          <w:vertAlign w:val="superscript"/>
          <w:lang w:eastAsia="en-GB"/>
        </w:rPr>
        <w:footnoteReference w:id="93"/>
      </w:r>
    </w:p>
    <w:p w14:paraId="2D8A615C" w14:textId="77777777" w:rsidR="00374074" w:rsidRPr="002A5F5C" w:rsidRDefault="00374074" w:rsidP="0040290C">
      <w:pPr>
        <w:pStyle w:val="SingleTxtG"/>
        <w:numPr>
          <w:ilvl w:val="0"/>
          <w:numId w:val="7"/>
        </w:numPr>
        <w:ind w:left="1134" w:firstLine="0"/>
      </w:pPr>
      <w:r w:rsidRPr="00374074">
        <w:rPr>
          <w:shd w:val="clear" w:color="auto" w:fill="FFFFFF"/>
          <w:lang w:eastAsia="en-GB"/>
        </w:rPr>
        <w:t xml:space="preserve">The DAC-SG has organized dissemination and consultation workshops, in collaboration with UNDP under the auspices of the Australian Government, which focused on the Sub-Decree entitled </w:t>
      </w:r>
      <w:r w:rsidRPr="00374074">
        <w:rPr>
          <w:i/>
          <w:iCs/>
          <w:shd w:val="clear" w:color="auto" w:fill="FFFFFF"/>
          <w:lang w:eastAsia="en-GB"/>
        </w:rPr>
        <w:t>“Determining the Quota and Procedures of Employment of Persons with Disabilities”</w:t>
      </w:r>
      <w:r w:rsidRPr="00374074">
        <w:rPr>
          <w:shd w:val="clear" w:color="auto" w:fill="FFFFFF"/>
          <w:lang w:eastAsia="en-GB"/>
        </w:rPr>
        <w:t xml:space="preserve">. The workshop aimed to encourage the private sector to comply with the LPRPD and the Convention by </w:t>
      </w:r>
      <w:r w:rsidRPr="00374074">
        <w:rPr>
          <w:spacing w:val="-2"/>
          <w:shd w:val="clear" w:color="auto" w:fill="FFFFFF"/>
          <w:lang w:eastAsia="en-GB"/>
        </w:rPr>
        <w:t>implementing a 1% quota for employment of persons with disabilities. The attendees consisted of employers from factories, enterprises, private companies, chambers of commerce, entrepreneurship organizations, banking, hotels, unions and NGOs working in various fields, totalling 167 individuals.</w:t>
      </w:r>
    </w:p>
    <w:p w14:paraId="30C5D53F" w14:textId="77777777" w:rsidR="00374074" w:rsidRPr="002A5F5C" w:rsidRDefault="00374074" w:rsidP="0040290C">
      <w:pPr>
        <w:pStyle w:val="SingleTxtG"/>
        <w:numPr>
          <w:ilvl w:val="0"/>
          <w:numId w:val="7"/>
        </w:numPr>
        <w:ind w:left="1134" w:firstLine="0"/>
      </w:pPr>
      <w:r w:rsidRPr="00374074">
        <w:rPr>
          <w:lang w:eastAsia="en-GB"/>
        </w:rPr>
        <w:t xml:space="preserve">Article 11, point 5 of the Law on the Common Statute of Civil Servants (1994), which states that </w:t>
      </w:r>
      <w:r w:rsidRPr="002B473D">
        <w:rPr>
          <w:i/>
          <w:iCs/>
          <w:lang w:eastAsia="en-GB"/>
        </w:rPr>
        <w:t>“candidates of either sex can only be admitted to the civil service if they satisfy the conditions of physical aptitude to perform the functions as required by guidelines and applicable regulations”</w:t>
      </w:r>
      <w:r w:rsidRPr="00374074">
        <w:rPr>
          <w:rFonts w:eastAsiaTheme="majorEastAsia"/>
          <w:vertAlign w:val="superscript"/>
          <w:cs/>
          <w:lang w:eastAsia="en-GB" w:bidi="km-KH"/>
        </w:rPr>
        <w:footnoteReference w:id="94"/>
      </w:r>
      <w:r w:rsidRPr="00374074">
        <w:rPr>
          <w:lang w:eastAsia="en-GB"/>
        </w:rPr>
        <w:t xml:space="preserve"> was repealed in July 2009, following enforcement of the LPRPD. The DAC issued Letter No. 024/14 DAC to the MoEYS on 3 July 2014, requesting an amendment to the criteria for the recruitment of teachers at the Bachelor+1 level, and urging the Ministry to remove the physical fitness requirement, which poses a significant barrier for candidates with disabilities seeking to apply for teaching positions.</w:t>
      </w:r>
    </w:p>
    <w:p w14:paraId="3092AF06" w14:textId="77777777" w:rsidR="00374074" w:rsidRPr="00374074" w:rsidRDefault="00374074" w:rsidP="0040290C">
      <w:pPr>
        <w:pStyle w:val="SingleTxtG"/>
        <w:numPr>
          <w:ilvl w:val="0"/>
          <w:numId w:val="7"/>
        </w:numPr>
        <w:ind w:left="1134" w:firstLine="0"/>
        <w:rPr>
          <w:lang w:eastAsia="en-GB"/>
        </w:rPr>
      </w:pPr>
      <w:r w:rsidRPr="00374074">
        <w:rPr>
          <w:lang w:eastAsia="en-GB"/>
        </w:rPr>
        <w:t xml:space="preserve">Khmer citizens of either sex have the right to choose any occupation based on their abilities and the needs of society, as provided by the Constitution. The NEA of the MoLVT plays a significant role in facilitating job opportunities, especially for persons with disabilities, by providing accurate information on the job market, job search registration, job matching, career consulting and career planning support, as well as technical and vocational education and training. </w:t>
      </w:r>
    </w:p>
    <w:p w14:paraId="06514A8E" w14:textId="77777777" w:rsidR="00374074" w:rsidRPr="00374074" w:rsidRDefault="00374074" w:rsidP="0040290C">
      <w:pPr>
        <w:pStyle w:val="SingleTxtG"/>
        <w:numPr>
          <w:ilvl w:val="0"/>
          <w:numId w:val="7"/>
        </w:numPr>
        <w:ind w:left="1134" w:firstLine="0"/>
        <w:rPr>
          <w:lang w:eastAsia="en-GB"/>
        </w:rPr>
      </w:pPr>
      <w:r w:rsidRPr="00374074">
        <w:rPr>
          <w:lang w:eastAsia="en-GB"/>
        </w:rPr>
        <w:t xml:space="preserve">Social security benefits for occupational risks shall be implemented in accordance with the provisions of chapter 6 of the Law on Social Security Schemes 2019, that have the same spirit of the Labour Law of 1997, article 253: </w:t>
      </w:r>
      <w:r w:rsidRPr="00374074">
        <w:rPr>
          <w:i/>
          <w:iCs/>
          <w:lang w:eastAsia="en-GB"/>
        </w:rPr>
        <w:t>“</w:t>
      </w:r>
      <w:bookmarkStart w:id="69" w:name="_Hlk215313436"/>
      <w:r w:rsidRPr="00374074">
        <w:rPr>
          <w:i/>
          <w:iCs/>
          <w:lang w:eastAsia="en-GB"/>
        </w:rPr>
        <w:t>compensation for fatal accidents or for accidents causing permanent disability is paid to the victim or his beneficiaries as an annuity</w:t>
      </w:r>
      <w:bookmarkEnd w:id="69"/>
      <w:r w:rsidRPr="00374074">
        <w:rPr>
          <w:i/>
          <w:iCs/>
          <w:lang w:eastAsia="en-GB"/>
        </w:rPr>
        <w:t>”.</w:t>
      </w:r>
    </w:p>
    <w:p w14:paraId="77A5E719" w14:textId="77777777" w:rsidR="00374074" w:rsidRPr="00374074" w:rsidRDefault="00374074" w:rsidP="0040290C">
      <w:pPr>
        <w:pStyle w:val="SingleTxtG"/>
        <w:numPr>
          <w:ilvl w:val="0"/>
          <w:numId w:val="7"/>
        </w:numPr>
        <w:ind w:left="1134" w:firstLine="0"/>
        <w:rPr>
          <w:sz w:val="36"/>
          <w:szCs w:val="36"/>
          <w:lang w:eastAsia="en-GB"/>
        </w:rPr>
      </w:pPr>
      <w:r w:rsidRPr="00374074">
        <w:rPr>
          <w:lang w:eastAsia="en-GB"/>
        </w:rPr>
        <w:lastRenderedPageBreak/>
        <w:t xml:space="preserve">In accordance with article 75 of the Constitution, the Labour Law and the Law on Social Security Schemes, employers shall ensure good working conditions for workers and employees and have obligations to register them under the National Social Security Fund (NSSF) to receive the benefits from social security schemes. </w:t>
      </w:r>
      <w:r w:rsidRPr="00374074">
        <w:rPr>
          <w:color w:val="000000" w:themeColor="text1"/>
          <w:vertAlign w:val="superscript"/>
          <w:lang w:eastAsia="en-GB"/>
        </w:rPr>
        <w:t xml:space="preserve"> </w:t>
      </w:r>
      <w:r w:rsidRPr="00374074">
        <w:rPr>
          <w:lang w:eastAsia="en-GB"/>
        </w:rPr>
        <w:t xml:space="preserve">The NSSF of the MoLVT is the sole operating institution that manages and administers the implementation of all aspects of the social security system. </w:t>
      </w:r>
    </w:p>
    <w:p w14:paraId="329FAF28" w14:textId="77777777" w:rsidR="00374074" w:rsidRPr="00374074" w:rsidRDefault="00374074" w:rsidP="0040290C">
      <w:pPr>
        <w:pStyle w:val="SingleTxtG"/>
        <w:numPr>
          <w:ilvl w:val="0"/>
          <w:numId w:val="7"/>
        </w:numPr>
        <w:ind w:left="1134" w:firstLine="0"/>
        <w:rPr>
          <w:cs/>
          <w:lang w:eastAsia="en-GB"/>
        </w:rPr>
      </w:pPr>
      <w:r w:rsidRPr="00374074">
        <w:rPr>
          <w:lang w:eastAsia="en-GB"/>
        </w:rPr>
        <w:t>The interns and civil servants with disabilities are treated in accordance with the Law on the Co</w:t>
      </w:r>
      <w:r w:rsidRPr="00374074">
        <w:rPr>
          <w:rFonts w:eastAsia="Malgun Gothic"/>
          <w:lang w:eastAsia="ko-KR"/>
        </w:rPr>
        <w:t xml:space="preserve">mmon </w:t>
      </w:r>
      <w:r w:rsidRPr="00374074">
        <w:rPr>
          <w:lang w:eastAsia="en-GB"/>
        </w:rPr>
        <w:t>Statute of Civil Servant</w:t>
      </w:r>
      <w:r w:rsidRPr="00374074">
        <w:rPr>
          <w:rFonts w:eastAsia="Malgun Gothic"/>
          <w:lang w:eastAsia="ko-KR"/>
        </w:rPr>
        <w:t>s</w:t>
      </w:r>
      <w:r w:rsidRPr="00374074">
        <w:rPr>
          <w:lang w:eastAsia="en-GB"/>
        </w:rPr>
        <w:t>.</w:t>
      </w:r>
    </w:p>
    <w:p w14:paraId="330F5BC9" w14:textId="77777777" w:rsidR="00374074" w:rsidRPr="00374074" w:rsidRDefault="00374074" w:rsidP="0040290C">
      <w:pPr>
        <w:pStyle w:val="SingleTxtG"/>
        <w:numPr>
          <w:ilvl w:val="0"/>
          <w:numId w:val="7"/>
        </w:numPr>
        <w:ind w:left="1134" w:firstLine="0"/>
        <w:rPr>
          <w:lang w:eastAsia="en-GB"/>
        </w:rPr>
      </w:pPr>
      <w:r w:rsidRPr="00374074">
        <w:rPr>
          <w:lang w:eastAsia="en-GB"/>
        </w:rPr>
        <w:t>Recent recruitment announcements for civil service positions across most ministries and institutions have emphasized their commitment to prioritizing and encouraging qualified candidates with disabilities to apply.</w:t>
      </w:r>
    </w:p>
    <w:p w14:paraId="6F410815" w14:textId="3AF99DEF" w:rsidR="00374074" w:rsidRPr="00374074" w:rsidRDefault="002A5F5C" w:rsidP="002A5F5C">
      <w:pPr>
        <w:pStyle w:val="H1G"/>
        <w:rPr>
          <w:bCs/>
          <w:lang w:eastAsia="en-GB" w:bidi="km-KH"/>
        </w:rPr>
      </w:pPr>
      <w:bookmarkStart w:id="70" w:name="_Toc392839048"/>
      <w:bookmarkStart w:id="71" w:name="_Toc92875451"/>
      <w:bookmarkStart w:id="72" w:name="_Toc215321712"/>
      <w:r>
        <w:rPr>
          <w:lang w:eastAsia="en-GB" w:bidi="km-KH"/>
        </w:rPr>
        <w:tab/>
      </w:r>
      <w:r>
        <w:rPr>
          <w:lang w:eastAsia="en-GB" w:bidi="km-KH"/>
        </w:rPr>
        <w:tab/>
      </w:r>
      <w:bookmarkEnd w:id="70"/>
      <w:bookmarkEnd w:id="71"/>
      <w:r w:rsidR="00374074" w:rsidRPr="00374074">
        <w:rPr>
          <w:lang w:eastAsia="en-GB" w:bidi="km-KH"/>
        </w:rPr>
        <w:t>Adequate standard of living and social protection</w:t>
      </w:r>
      <w:bookmarkEnd w:id="72"/>
      <w:r>
        <w:rPr>
          <w:lang w:eastAsia="en-GB" w:bidi="km-KH"/>
        </w:rPr>
        <w:br/>
      </w:r>
      <w:r w:rsidRPr="00374074">
        <w:rPr>
          <w:lang w:eastAsia="en-GB" w:bidi="km-KH"/>
        </w:rPr>
        <w:t>Article</w:t>
      </w:r>
      <w:r w:rsidRPr="00374074">
        <w:rPr>
          <w:bCs/>
          <w:cs/>
          <w:lang w:eastAsia="en-GB" w:bidi="km-KH"/>
        </w:rPr>
        <w:t xml:space="preserve"> 28</w:t>
      </w:r>
    </w:p>
    <w:p w14:paraId="2CDFF435" w14:textId="77777777" w:rsidR="00374074" w:rsidRPr="00374074" w:rsidRDefault="00374074" w:rsidP="0040290C">
      <w:pPr>
        <w:pStyle w:val="SingleTxtG"/>
        <w:numPr>
          <w:ilvl w:val="0"/>
          <w:numId w:val="7"/>
        </w:numPr>
        <w:ind w:left="1134" w:firstLine="0"/>
        <w:rPr>
          <w:lang w:eastAsia="en-GB"/>
        </w:rPr>
      </w:pPr>
      <w:r w:rsidRPr="00374074">
        <w:rPr>
          <w:lang w:eastAsia="en-GB"/>
        </w:rPr>
        <w:t>Article 61 of the Constitution acknowledges that the RGC is implementing measures to</w:t>
      </w:r>
      <w:r w:rsidRPr="00374074">
        <w:rPr>
          <w:szCs w:val="39"/>
          <w:cs/>
          <w:lang w:eastAsia="en-GB" w:bidi="km-KH"/>
        </w:rPr>
        <w:t xml:space="preserve"> </w:t>
      </w:r>
      <w:r w:rsidRPr="00374074">
        <w:rPr>
          <w:szCs w:val="39"/>
          <w:lang w:eastAsia="en-GB" w:bidi="km-KH"/>
        </w:rPr>
        <w:t>enhance the standard of living</w:t>
      </w:r>
      <w:r w:rsidRPr="00374074">
        <w:rPr>
          <w:lang w:eastAsia="en-GB"/>
        </w:rPr>
        <w:t xml:space="preserve"> for all citizens, including those with disabilities. To do so, the State needs to promote economic development in all sectors, especially agriculture, handicrafts and industry </w:t>
      </w:r>
      <w:r w:rsidRPr="00374074">
        <w:rPr>
          <w:rFonts w:eastAsia="Malgun Gothic"/>
          <w:lang w:eastAsia="ko-KR"/>
        </w:rPr>
        <w:t>in</w:t>
      </w:r>
      <w:r w:rsidRPr="00374074">
        <w:rPr>
          <w:lang w:eastAsia="en-GB"/>
        </w:rPr>
        <w:t xml:space="preserve"> remote areas, by focusing on policies on water, electricity, roads and means of transportation, modern techniques and the credit system.</w:t>
      </w:r>
    </w:p>
    <w:p w14:paraId="26A8625B" w14:textId="77777777" w:rsidR="00374074" w:rsidRPr="00374074" w:rsidRDefault="00374074" w:rsidP="0040290C">
      <w:pPr>
        <w:pStyle w:val="SingleTxtG"/>
        <w:numPr>
          <w:ilvl w:val="0"/>
          <w:numId w:val="7"/>
        </w:numPr>
        <w:ind w:left="1134" w:firstLine="0"/>
        <w:rPr>
          <w:lang w:eastAsia="en-GB"/>
        </w:rPr>
      </w:pPr>
      <w:r w:rsidRPr="00374074">
        <w:rPr>
          <w:lang w:eastAsia="en-GB"/>
        </w:rPr>
        <w:t>To promote the development of the social protection system more effectively and to respond to the needs of matching social protection strategies, policies and activities, the RGC established the National Social Protection Council (NSPC) by the Royal Decree No. NS/RKT/0617/488 dated 15 June 2017, regarding the establishment of the NSPC to be an agent of the RGC in coordinating and providing overall direction on the preparation of social protection strategies and policies.</w:t>
      </w:r>
    </w:p>
    <w:p w14:paraId="24D21361" w14:textId="77777777" w:rsidR="00374074" w:rsidRPr="002A5F5C" w:rsidRDefault="00374074" w:rsidP="0040290C">
      <w:pPr>
        <w:pStyle w:val="SingleTxtG"/>
        <w:numPr>
          <w:ilvl w:val="0"/>
          <w:numId w:val="7"/>
        </w:numPr>
        <w:ind w:left="1134" w:firstLine="0"/>
      </w:pPr>
      <w:r w:rsidRPr="00374074">
        <w:rPr>
          <w:lang w:eastAsia="en-GB"/>
        </w:rPr>
        <w:t>The RGC</w:t>
      </w:r>
      <w:r w:rsidRPr="00374074">
        <w:rPr>
          <w:szCs w:val="39"/>
          <w:lang w:eastAsia="en-GB" w:bidi="km-KH"/>
        </w:rPr>
        <w:t xml:space="preserve"> </w:t>
      </w:r>
      <w:r w:rsidRPr="00374074">
        <w:rPr>
          <w:lang w:eastAsia="en-GB"/>
        </w:rPr>
        <w:t>established the NSSF through the Sub-Decree No. 16 ANKr.BK, dated 2 March 2007, to manage the social security system in accordance with the Law on Social Security Schemes for Persons Defined by the Provisions of the Labour Law.</w:t>
      </w:r>
    </w:p>
    <w:p w14:paraId="2A3E2D4E" w14:textId="77777777" w:rsidR="00374074" w:rsidRPr="002A5F5C" w:rsidRDefault="00374074" w:rsidP="0040290C">
      <w:pPr>
        <w:pStyle w:val="SingleTxtG"/>
        <w:numPr>
          <w:ilvl w:val="0"/>
          <w:numId w:val="7"/>
        </w:numPr>
        <w:ind w:left="1134" w:firstLine="0"/>
        <w:rPr>
          <w:rStyle w:val="SingleTxtGChar"/>
          <w:lang w:eastAsia="en-GB"/>
        </w:rPr>
      </w:pPr>
      <w:r w:rsidRPr="00374074">
        <w:rPr>
          <w:lang w:eastAsia="en-GB"/>
        </w:rPr>
        <w:t xml:space="preserve">The NSSF has also been providing social security benefits in the health care sector for workers and employees, including medical treatment and care services, daily allowances for hospitalization, maternity allowance, and funeral grant. </w:t>
      </w:r>
    </w:p>
    <w:p w14:paraId="2E5CE49A" w14:textId="77777777" w:rsidR="00374074" w:rsidRPr="00374074" w:rsidRDefault="00374074" w:rsidP="0040290C">
      <w:pPr>
        <w:pStyle w:val="SingleTxtG"/>
        <w:numPr>
          <w:ilvl w:val="0"/>
          <w:numId w:val="7"/>
        </w:numPr>
        <w:ind w:left="1134" w:firstLine="0"/>
        <w:rPr>
          <w:lang w:eastAsia="en-GB"/>
        </w:rPr>
      </w:pPr>
      <w:r w:rsidRPr="00374074">
        <w:rPr>
          <w:lang w:eastAsia="en-GB"/>
        </w:rPr>
        <w:t xml:space="preserve">The social security regime for occupational risks was implemented in November 2008 in accordance with the Royal Decree No. NS/RKM/0902/018 dated 25 September 2002 on the promulgation of the Law on Social Security Schemes for Persons Defined by the Provisions of the Labour Law, to protect persons subject to the provisions of the Labour Law, and was expanded nationwide in 2009, along with the implementation of the social security regime for persons in the public sector in accordance with the Royal Decree No. NS/RKT/0217/078 dated 1 February 2017 on the establishment of a social security regime for occupational risks and health care for public officials, former civil servants and veterans. This regime is designed to provide protection in the event of unforeseen events resulting from work accidents, travel accidents, and occupational diseases by providing medical and non-medical benefits, such as 1) medical treatment and care services; 2) compensation for temporary loss of work capacity; 3) pension for permanent loss of work capacity; 4) benefit for permanent loss of work capacity; 5) funeral and life annuity benefits; and, 6) rehabilitation services. </w:t>
      </w:r>
    </w:p>
    <w:p w14:paraId="3CBAA490" w14:textId="77777777" w:rsidR="00374074" w:rsidRPr="00374074" w:rsidRDefault="00374074" w:rsidP="0040290C">
      <w:pPr>
        <w:pStyle w:val="SingleTxtG"/>
        <w:numPr>
          <w:ilvl w:val="0"/>
          <w:numId w:val="7"/>
        </w:numPr>
        <w:ind w:left="1134" w:firstLine="0"/>
        <w:rPr>
          <w:lang w:eastAsia="en-GB"/>
        </w:rPr>
      </w:pPr>
      <w:r w:rsidRPr="00374074">
        <w:rPr>
          <w:lang w:eastAsia="en-GB"/>
        </w:rPr>
        <w:t xml:space="preserve">The RGC has implemented the National Social Protection Policy Framework 2016-2025, which is a guiding document for developing an effective and sustainable social protection system in the Kingdom of Cambodia to reduce and prevent poverty, vulnerability and inequality, and to contribute to the development and protection of stronger human resources and promote national economic growth, focusing on two pillars: the social assistance system and the social security system. The social assistance system has four components, including: 1) emergency response; 2) human capital development; 3) vocational training; and, 4) welfare for vulnerable people. The social security system has five </w:t>
      </w:r>
      <w:r w:rsidRPr="00374074">
        <w:rPr>
          <w:lang w:eastAsia="en-GB"/>
        </w:rPr>
        <w:lastRenderedPageBreak/>
        <w:t xml:space="preserve">components, including: 1) pensions; 2) health care; 3) occupational risks; 4) unemployment; and, 5) disability. </w:t>
      </w:r>
    </w:p>
    <w:p w14:paraId="5F480020" w14:textId="77777777" w:rsidR="00374074" w:rsidRPr="00374074" w:rsidRDefault="00374074" w:rsidP="0040290C">
      <w:pPr>
        <w:pStyle w:val="SingleTxtG"/>
        <w:numPr>
          <w:ilvl w:val="0"/>
          <w:numId w:val="7"/>
        </w:numPr>
        <w:ind w:left="1134" w:firstLine="0"/>
        <w:rPr>
          <w:lang w:eastAsia="en-GB"/>
        </w:rPr>
      </w:pPr>
      <w:r w:rsidRPr="00374074">
        <w:rPr>
          <w:lang w:eastAsia="en-GB"/>
        </w:rPr>
        <w:t>The RGC has implemented the National Aging Policy 2017-2030 to enhance the well-being of the elderly in Cambodia, which was officially launched on 18 January 2018.</w:t>
      </w:r>
    </w:p>
    <w:p w14:paraId="6839C754" w14:textId="77777777" w:rsidR="00374074" w:rsidRPr="00374074" w:rsidRDefault="00374074" w:rsidP="0040290C">
      <w:pPr>
        <w:pStyle w:val="SingleTxtG"/>
        <w:numPr>
          <w:ilvl w:val="0"/>
          <w:numId w:val="7"/>
        </w:numPr>
        <w:ind w:left="1134" w:firstLine="0"/>
        <w:rPr>
          <w:lang w:eastAsia="en-GB"/>
        </w:rPr>
      </w:pPr>
      <w:r w:rsidRPr="00374074">
        <w:rPr>
          <w:lang w:eastAsia="en-GB"/>
        </w:rPr>
        <w:t xml:space="preserve">The establishment of the Cambodian National Committee for the Elderly, which plays a role in promoting and supporting associations of older people within the community, was established through the Sub-Decree No. 158 ANKr.BK, dated 15 July 2011. </w:t>
      </w:r>
    </w:p>
    <w:p w14:paraId="0BA0DD73" w14:textId="77777777" w:rsidR="00374074" w:rsidRPr="00374074" w:rsidRDefault="00374074" w:rsidP="0040290C">
      <w:pPr>
        <w:pStyle w:val="SingleTxtG"/>
        <w:numPr>
          <w:ilvl w:val="0"/>
          <w:numId w:val="7"/>
        </w:numPr>
        <w:ind w:left="1134" w:firstLine="0"/>
        <w:rPr>
          <w:lang w:eastAsia="en-GB"/>
        </w:rPr>
      </w:pPr>
      <w:r w:rsidRPr="00374074">
        <w:rPr>
          <w:lang w:eastAsia="en-GB"/>
        </w:rPr>
        <w:t>Article 8 of the Sub-Decree on the Policy Framework for the Persons with Disabilities Living in a Situation of Poverty in Communities states that “</w:t>
      </w:r>
      <w:r w:rsidRPr="00374074">
        <w:rPr>
          <w:i/>
          <w:iCs/>
          <w:lang w:eastAsia="en-GB"/>
        </w:rPr>
        <w:t>persons with disabilities living in a situation of poverty who are eligible for the policy regime must meet the following conditions: have a home or place of residence recognized by local authorities;</w:t>
      </w:r>
      <w:r w:rsidRPr="00374074">
        <w:rPr>
          <w:rFonts w:cs="DaunPenh"/>
          <w:i/>
          <w:iCs/>
          <w:szCs w:val="39"/>
          <w:lang w:val="en-US" w:eastAsia="en-GB" w:bidi="km-KH"/>
        </w:rPr>
        <w:t xml:space="preserve"> persons with disabilities who </w:t>
      </w:r>
      <w:r w:rsidRPr="00374074">
        <w:rPr>
          <w:i/>
          <w:iCs/>
          <w:lang w:eastAsia="en-GB"/>
        </w:rPr>
        <w:t>have severe disabilities</w:t>
      </w:r>
      <w:r w:rsidRPr="00374074">
        <w:rPr>
          <w:rFonts w:eastAsia="Malgun Gothic"/>
          <w:i/>
          <w:iCs/>
          <w:lang w:eastAsia="ko-KR"/>
        </w:rPr>
        <w:t>,</w:t>
      </w:r>
      <w:r w:rsidRPr="00374074">
        <w:rPr>
          <w:i/>
          <w:iCs/>
          <w:lang w:eastAsia="en-GB"/>
        </w:rPr>
        <w:t xml:space="preserve"> are extremely poor and are helpless; the elderly who are extremely poor and helpless; and, persons with disabilities who have serious injuries, are extremely poor and are helpless.</w:t>
      </w:r>
      <w:r w:rsidRPr="00374074">
        <w:rPr>
          <w:lang w:eastAsia="en-GB"/>
        </w:rPr>
        <w:t>”</w:t>
      </w:r>
      <w:r w:rsidRPr="00374074">
        <w:rPr>
          <w:vertAlign w:val="superscript"/>
          <w:lang w:eastAsia="en-GB"/>
        </w:rPr>
        <w:footnoteReference w:id="95"/>
      </w:r>
      <w:r w:rsidRPr="00374074">
        <w:rPr>
          <w:lang w:eastAsia="en-GB"/>
        </w:rPr>
        <w:t xml:space="preserve"> The Inter-Ministerial Prakas </w:t>
      </w:r>
      <w:r w:rsidRPr="00374074">
        <w:rPr>
          <w:bCs/>
          <w:lang w:eastAsia="en-GB" w:bidi="km-KH"/>
        </w:rPr>
        <w:t>on the Determination of Criteria for Types and Levels of Disability</w:t>
      </w:r>
      <w:r w:rsidRPr="00374074">
        <w:rPr>
          <w:lang w:eastAsia="en-GB"/>
        </w:rPr>
        <w:t xml:space="preserve"> was prepared with the aim of establishing a national framework for collecting statistics and data for the implementation of laws, policies, and programs related to disability in order to help persons with disabilities receive benefits and services from society. </w:t>
      </w:r>
    </w:p>
    <w:p w14:paraId="355C48E3" w14:textId="77777777" w:rsidR="00374074" w:rsidRPr="00374074" w:rsidRDefault="00374074" w:rsidP="0040290C">
      <w:pPr>
        <w:pStyle w:val="SingleTxtG"/>
        <w:numPr>
          <w:ilvl w:val="0"/>
          <w:numId w:val="7"/>
        </w:numPr>
        <w:ind w:left="1134" w:firstLine="0"/>
        <w:rPr>
          <w:color w:val="000000" w:themeColor="text1"/>
          <w:lang w:eastAsia="en-GB"/>
        </w:rPr>
      </w:pPr>
      <w:r w:rsidRPr="00374074">
        <w:rPr>
          <w:lang w:eastAsia="en-GB"/>
        </w:rPr>
        <w:t>The Phnom Penh Social Affairs Drop-in Centre</w:t>
      </w:r>
      <w:r w:rsidRPr="00374074">
        <w:rPr>
          <w:vertAlign w:val="superscript"/>
          <w:lang w:eastAsia="en-GB"/>
        </w:rPr>
        <w:footnoteReference w:id="96"/>
      </w:r>
      <w:r w:rsidRPr="00374074">
        <w:rPr>
          <w:sz w:val="36"/>
          <w:szCs w:val="36"/>
          <w:cs/>
          <w:lang w:eastAsia="en-GB" w:bidi="km-KH"/>
        </w:rPr>
        <w:t xml:space="preserve"> </w:t>
      </w:r>
      <w:r w:rsidRPr="00374074">
        <w:rPr>
          <w:lang w:eastAsia="en-GB"/>
        </w:rPr>
        <w:t xml:space="preserve">provides temporary shelter services that are safe and non-discriminatory, regardless of race and status, allowing victims and vulnerable individuals to </w:t>
      </w:r>
      <w:r w:rsidRPr="00374074">
        <w:rPr>
          <w:rFonts w:eastAsia="Malgun Gothic"/>
          <w:lang w:eastAsia="ko-KR"/>
        </w:rPr>
        <w:t>access</w:t>
      </w:r>
      <w:r w:rsidRPr="00374074">
        <w:rPr>
          <w:lang w:eastAsia="en-GB"/>
        </w:rPr>
        <w:t xml:space="preserve"> temporary shelter, food, healthcare, medical treatment, education, vocational training and life skills training</w:t>
      </w:r>
      <w:r w:rsidRPr="00374074">
        <w:rPr>
          <w:rFonts w:eastAsia="Malgun Gothic"/>
          <w:lang w:eastAsia="ko-KR"/>
        </w:rPr>
        <w:t>,</w:t>
      </w:r>
      <w:r w:rsidRPr="00374074">
        <w:rPr>
          <w:lang w:eastAsia="en-GB"/>
        </w:rPr>
        <w:t xml:space="preserve"> prior to their referral to development partners and reintegration into the community. The Phnom Penh Social Affairs Drop-in Centre </w:t>
      </w:r>
      <w:r w:rsidRPr="00374074">
        <w:rPr>
          <w:rFonts w:eastAsia="Malgun Gothic"/>
          <w:color w:val="000000" w:themeColor="text1"/>
          <w:shd w:val="clear" w:color="auto" w:fill="FFFFFF"/>
          <w:lang w:eastAsia="ko-KR"/>
        </w:rPr>
        <w:t>is responsible</w:t>
      </w:r>
      <w:r w:rsidRPr="00374074">
        <w:rPr>
          <w:color w:val="000000" w:themeColor="text1"/>
          <w:shd w:val="clear" w:color="auto" w:fill="FFFFFF"/>
          <w:lang w:eastAsia="en-GB"/>
        </w:rPr>
        <w:t xml:space="preserve"> </w:t>
      </w:r>
      <w:r w:rsidRPr="00374074">
        <w:rPr>
          <w:rFonts w:eastAsia="Malgun Gothic"/>
          <w:color w:val="000000" w:themeColor="text1"/>
          <w:shd w:val="clear" w:color="auto" w:fill="FFFFFF"/>
          <w:lang w:eastAsia="ko-KR"/>
        </w:rPr>
        <w:t>f</w:t>
      </w:r>
      <w:r w:rsidRPr="00374074">
        <w:rPr>
          <w:color w:val="000000" w:themeColor="text1"/>
          <w:shd w:val="clear" w:color="auto" w:fill="FFFFFF"/>
          <w:lang w:eastAsia="en-GB"/>
        </w:rPr>
        <w:t>o</w:t>
      </w:r>
      <w:r w:rsidRPr="00374074">
        <w:rPr>
          <w:rFonts w:eastAsia="Malgun Gothic"/>
          <w:color w:val="000000" w:themeColor="text1"/>
          <w:shd w:val="clear" w:color="auto" w:fill="FFFFFF"/>
          <w:lang w:eastAsia="ko-KR"/>
        </w:rPr>
        <w:t>r</w:t>
      </w:r>
      <w:r w:rsidRPr="00374074">
        <w:rPr>
          <w:color w:val="000000" w:themeColor="text1"/>
          <w:shd w:val="clear" w:color="auto" w:fill="FFFFFF"/>
          <w:lang w:eastAsia="en-GB"/>
        </w:rPr>
        <w:t xml:space="preserve"> receiving individuals of either sex who have gone there voluntarily or have been officially sent by authorized units and other institutions. The individuals include: (1) the elderly and persons with disabilities; (2) homeless individuals; (3) those who live in poverty; (4) persons with mental illnesses; (5) women and children who are survivors of sex and labour trafficking; (6) homeless drug users; and, (7) victims and other vulnerable individuals.</w:t>
      </w:r>
    </w:p>
    <w:p w14:paraId="30650A93" w14:textId="77777777" w:rsidR="00374074" w:rsidRPr="00374074" w:rsidRDefault="00374074" w:rsidP="0040290C">
      <w:pPr>
        <w:pStyle w:val="SingleTxtG"/>
        <w:numPr>
          <w:ilvl w:val="0"/>
          <w:numId w:val="7"/>
        </w:numPr>
        <w:ind w:left="1134" w:firstLine="0"/>
        <w:rPr>
          <w:lang w:eastAsia="en-GB"/>
        </w:rPr>
      </w:pPr>
      <w:r w:rsidRPr="00374074">
        <w:rPr>
          <w:lang w:eastAsia="en-GB"/>
        </w:rPr>
        <w:t xml:space="preserve">The Elderly </w:t>
      </w:r>
      <w:r w:rsidRPr="002A5F5C">
        <w:rPr>
          <w:color w:val="000000" w:themeColor="text1"/>
          <w:shd w:val="clear" w:color="auto" w:fill="FFFFFF"/>
          <w:lang w:eastAsia="en-GB"/>
        </w:rPr>
        <w:t>Care</w:t>
      </w:r>
      <w:r w:rsidRPr="00374074">
        <w:rPr>
          <w:lang w:eastAsia="en-GB"/>
        </w:rPr>
        <w:t xml:space="preserve"> Centre was established to provide care, housing and basic needs to elderly individuals </w:t>
      </w:r>
      <w:r w:rsidRPr="00374074">
        <w:rPr>
          <w:rFonts w:eastAsia="Malgun Gothic"/>
          <w:lang w:eastAsia="ko-KR"/>
        </w:rPr>
        <w:t>to allow</w:t>
      </w:r>
      <w:r w:rsidRPr="00374074">
        <w:rPr>
          <w:lang w:eastAsia="en-GB"/>
        </w:rPr>
        <w:t xml:space="preserve"> them to live in groups, with a focus on those who are impoverished, vulnerable, childless or lacking familial or communal support, under the Sub-Decree No. 197 ANKr.BK, dated 22 November 2017.</w:t>
      </w:r>
    </w:p>
    <w:p w14:paraId="2F5388A3" w14:textId="77777777" w:rsidR="00374074" w:rsidRPr="00374074" w:rsidRDefault="00374074" w:rsidP="0040290C">
      <w:pPr>
        <w:pStyle w:val="SingleTxtG"/>
        <w:numPr>
          <w:ilvl w:val="0"/>
          <w:numId w:val="7"/>
        </w:numPr>
        <w:ind w:left="1134" w:firstLine="0"/>
        <w:rPr>
          <w:lang w:eastAsia="en-GB"/>
        </w:rPr>
      </w:pPr>
      <w:r w:rsidRPr="00374074">
        <w:rPr>
          <w:lang w:eastAsia="en-GB"/>
        </w:rPr>
        <w:t xml:space="preserve">The RGC established the </w:t>
      </w:r>
      <w:r w:rsidRPr="00374074">
        <w:rPr>
          <w:rFonts w:eastAsia="Malgun Gothic"/>
          <w:lang w:eastAsia="ko-KR"/>
        </w:rPr>
        <w:t>NSSF</w:t>
      </w:r>
      <w:r w:rsidRPr="00374074">
        <w:rPr>
          <w:lang w:eastAsia="en-GB"/>
        </w:rPr>
        <w:t xml:space="preserve"> for civil servants through the Sub-Decree No. 14 ANKr.BK, dated 14 February 2008, to support civil servants, retirees, persons who have lost capacity to work, and </w:t>
      </w:r>
      <w:r w:rsidRPr="00374074">
        <w:rPr>
          <w:rFonts w:eastAsiaTheme="minorEastAsia"/>
          <w:lang w:val="en-US" w:eastAsia="zh-CN"/>
        </w:rPr>
        <w:t xml:space="preserve">their dependents. </w:t>
      </w:r>
    </w:p>
    <w:p w14:paraId="32ADA9E3" w14:textId="77777777" w:rsidR="00374074" w:rsidRPr="00374074" w:rsidRDefault="00374074" w:rsidP="0040290C">
      <w:pPr>
        <w:pStyle w:val="SingleTxtG"/>
        <w:numPr>
          <w:ilvl w:val="0"/>
          <w:numId w:val="7"/>
        </w:numPr>
        <w:ind w:left="1134" w:firstLine="0"/>
        <w:rPr>
          <w:lang w:eastAsia="en-GB"/>
        </w:rPr>
      </w:pPr>
      <w:r w:rsidRPr="00374074">
        <w:rPr>
          <w:lang w:eastAsia="en-GB"/>
        </w:rPr>
        <w:t>The RGC has established the National Fund for Veterans</w:t>
      </w:r>
      <w:r w:rsidRPr="00374074">
        <w:rPr>
          <w:vertAlign w:val="superscript"/>
          <w:lang w:eastAsia="en-GB"/>
        </w:rPr>
        <w:footnoteReference w:id="97"/>
      </w:r>
      <w:r w:rsidRPr="00374074">
        <w:rPr>
          <w:lang w:eastAsia="en-GB"/>
        </w:rPr>
        <w:t xml:space="preserve"> to support veterans of the Royal Cambodian Armed Forces, veterans of the police force, civil service, contract staff, militia, soldiers and citizens, </w:t>
      </w:r>
      <w:r w:rsidRPr="00374074">
        <w:rPr>
          <w:rFonts w:eastAsia="Malgun Gothic"/>
          <w:lang w:eastAsia="ko-KR"/>
        </w:rPr>
        <w:t>as well as</w:t>
      </w:r>
      <w:r w:rsidRPr="00374074">
        <w:rPr>
          <w:lang w:eastAsia="en-GB"/>
        </w:rPr>
        <w:t xml:space="preserve"> their family members, who fought for or served </w:t>
      </w:r>
      <w:r w:rsidRPr="00374074">
        <w:rPr>
          <w:rFonts w:eastAsia="Malgun Gothic"/>
          <w:lang w:eastAsia="ko-KR"/>
        </w:rPr>
        <w:t>o</w:t>
      </w:r>
      <w:r w:rsidRPr="00374074">
        <w:rPr>
          <w:lang w:eastAsia="en-GB"/>
        </w:rPr>
        <w:t>n the battlefield for the country. The nine benefits include</w:t>
      </w:r>
      <w:r w:rsidRPr="00374074">
        <w:rPr>
          <w:rFonts w:eastAsia="Malgun Gothic"/>
          <w:lang w:eastAsia="ko-KR"/>
        </w:rPr>
        <w:t>:</w:t>
      </w:r>
      <w:r w:rsidRPr="00374074">
        <w:rPr>
          <w:lang w:eastAsia="en-GB"/>
        </w:rPr>
        <w:t xml:space="preserve"> 1-retirement; 2-loss of work capacity; 3-maternity; 4-first marriage; 5-death while on duty; 6-death; 7-disability; 8-disease; and 9-support for their families.</w:t>
      </w:r>
    </w:p>
    <w:p w14:paraId="4B5B26AE" w14:textId="77777777" w:rsidR="00374074" w:rsidRPr="00374074" w:rsidRDefault="00374074" w:rsidP="0040290C">
      <w:pPr>
        <w:pStyle w:val="SingleTxtG"/>
        <w:numPr>
          <w:ilvl w:val="0"/>
          <w:numId w:val="7"/>
        </w:numPr>
        <w:ind w:left="1134" w:firstLine="0"/>
        <w:rPr>
          <w:lang w:eastAsia="en-GB"/>
        </w:rPr>
      </w:pPr>
      <w:r w:rsidRPr="00374074">
        <w:rPr>
          <w:lang w:eastAsia="en-GB"/>
        </w:rPr>
        <w:t>The PWDF</w:t>
      </w:r>
      <w:r w:rsidRPr="00374074">
        <w:rPr>
          <w:vertAlign w:val="superscript"/>
          <w:lang w:eastAsia="en-GB"/>
        </w:rPr>
        <w:footnoteReference w:id="98"/>
      </w:r>
      <w:r w:rsidRPr="00374074">
        <w:rPr>
          <w:lang w:eastAsia="en-GB"/>
        </w:rPr>
        <w:t xml:space="preserve"> was </w:t>
      </w:r>
      <w:r w:rsidRPr="002A5F5C">
        <w:rPr>
          <w:rFonts w:eastAsia="Malgun Gothic"/>
          <w:lang w:eastAsia="ko-KR"/>
        </w:rPr>
        <w:t>established</w:t>
      </w:r>
      <w:r w:rsidRPr="00374074">
        <w:rPr>
          <w:lang w:eastAsia="en-GB"/>
        </w:rPr>
        <w:t xml:space="preserve"> by the RGC as a public institution with the following responsibilities: </w:t>
      </w:r>
      <w:bookmarkStart w:id="73" w:name="_Hlk215324334"/>
      <w:r w:rsidRPr="00374074">
        <w:rPr>
          <w:lang w:eastAsia="en-GB"/>
        </w:rPr>
        <w:t xml:space="preserve">(1)to provide rehabilitation services to individuals with disabilities; (2) to manage rehabilitation centres ; (3) to provide funding for implementing programmes which </w:t>
      </w:r>
      <w:r w:rsidRPr="00374074">
        <w:rPr>
          <w:lang w:eastAsia="en-GB"/>
        </w:rPr>
        <w:lastRenderedPageBreak/>
        <w:t>assist persons with disabilities and support to institutions and establishments which provide services to persons with disabilities such as health, rehabilitation, education, vocational training and job placement ; (4) to promote and enhance the welfare of persons with disabilities; (5) to reintegrate persons with disabilities into the community; (6) to manage government-sponsored budget allocations, financing from development partners and NGOs, donations from philanthropists, and profits from legitimate investments and businesses; (7) to gather contributions, transitional fines and other fines from heads of state institutions and legal entities who fail to fulfil their obligations as stipulated in the LPRPD; (8) to encourage citizens, private philanthropists and CSOs to support persons with disabilities; (9) to develop policies to assist and support persons with disabilities; (10) to prepare donation boxes for persons with disabilities; (11) to allocate funds for additional services that benefit persons with disabilities; (12) to oversee and manage the capital investment of the PWDF; and, (13) to conduct technical research and train human resources to provide rehabilitation services..</w:t>
      </w:r>
      <w:bookmarkEnd w:id="73"/>
      <w:r w:rsidRPr="00374074">
        <w:rPr>
          <w:lang w:eastAsia="en-GB"/>
        </w:rPr>
        <w:t xml:space="preserve"> Simultaneously, the RGC has allocated a budget of 30,000 Riels</w:t>
      </w:r>
      <w:r w:rsidRPr="00374074">
        <w:rPr>
          <w:vertAlign w:val="superscript"/>
          <w:lang w:eastAsia="en-GB"/>
        </w:rPr>
        <w:footnoteReference w:id="99"/>
      </w:r>
      <w:r w:rsidRPr="00374074">
        <w:rPr>
          <w:cs/>
          <w:lang w:eastAsia="en-GB" w:bidi="km-KH"/>
        </w:rPr>
        <w:t xml:space="preserve"> </w:t>
      </w:r>
      <w:r w:rsidRPr="00374074">
        <w:rPr>
          <w:lang w:eastAsia="en-GB"/>
        </w:rPr>
        <w:t>for impoverished persons with disabilities to receive medical treatment and healthcare services at health centres. As of 2018, this initiative benefit</w:t>
      </w:r>
      <w:r w:rsidRPr="00374074">
        <w:rPr>
          <w:rFonts w:eastAsia="Malgun Gothic"/>
          <w:lang w:eastAsia="ko-KR"/>
        </w:rPr>
        <w:t>ed</w:t>
      </w:r>
      <w:r w:rsidRPr="00374074">
        <w:rPr>
          <w:lang w:eastAsia="en-GB"/>
        </w:rPr>
        <w:t xml:space="preserve"> 2,644 impoverished persons with disabilities in Pailin, Tbong Khmum and Svay Rieng provinces. </w:t>
      </w:r>
    </w:p>
    <w:p w14:paraId="02E7CA6A" w14:textId="77777777" w:rsidR="00374074" w:rsidRPr="00374074" w:rsidRDefault="00374074" w:rsidP="0040290C">
      <w:pPr>
        <w:pStyle w:val="SingleTxtG"/>
        <w:numPr>
          <w:ilvl w:val="0"/>
          <w:numId w:val="7"/>
        </w:numPr>
        <w:ind w:left="1134" w:firstLine="0"/>
        <w:rPr>
          <w:lang w:eastAsia="en-GB"/>
        </w:rPr>
      </w:pPr>
      <w:r w:rsidRPr="00374074">
        <w:rPr>
          <w:lang w:eastAsia="en-GB"/>
        </w:rPr>
        <w:t>The Equity Funds Program was established by the Ministry of Health in accordance with the Health Strategic Plans for 2008-2015 and 2016-2020 to contribute to the expansion of health services and to support impoverished Cambodians holding ID Poor cards. The Ministry has directed all public health facilities to enhance and extend their activities, including medical treatment provided free of charge to the poor, persons with disabilities</w:t>
      </w:r>
      <w:r w:rsidRPr="00374074">
        <w:rPr>
          <w:rFonts w:eastAsia="Malgun Gothic"/>
          <w:lang w:eastAsia="ko-KR"/>
        </w:rPr>
        <w:t>,</w:t>
      </w:r>
      <w:r w:rsidRPr="00374074">
        <w:rPr>
          <w:lang w:eastAsia="en-GB"/>
        </w:rPr>
        <w:t xml:space="preserve"> and homeless elderly individuals, based on principles of equality and non-discrimination, to promote the successful implementation of the Equity Funds Program in achieving its objectives and fully covering poor people </w:t>
      </w:r>
      <w:r w:rsidRPr="00374074">
        <w:rPr>
          <w:rFonts w:eastAsia="Malgun Gothic"/>
          <w:lang w:eastAsia="ko-KR"/>
        </w:rPr>
        <w:t>across</w:t>
      </w:r>
      <w:r w:rsidRPr="00374074">
        <w:rPr>
          <w:lang w:eastAsia="en-GB"/>
        </w:rPr>
        <w:t xml:space="preserve"> Cambodia. The Equity Funds Program also improves attitude</w:t>
      </w:r>
      <w:r w:rsidRPr="00374074">
        <w:rPr>
          <w:rFonts w:eastAsia="Malgun Gothic"/>
          <w:lang w:eastAsia="ko-KR"/>
        </w:rPr>
        <w:t>s</w:t>
      </w:r>
      <w:r w:rsidRPr="00374074">
        <w:rPr>
          <w:lang w:eastAsia="en-GB"/>
        </w:rPr>
        <w:t xml:space="preserve"> and </w:t>
      </w:r>
      <w:r w:rsidRPr="00374074">
        <w:rPr>
          <w:rFonts w:eastAsia="Malgun Gothic"/>
          <w:lang w:eastAsia="ko-KR"/>
        </w:rPr>
        <w:t xml:space="preserve">the </w:t>
      </w:r>
      <w:r w:rsidRPr="00374074">
        <w:rPr>
          <w:lang w:eastAsia="en-GB"/>
        </w:rPr>
        <w:t xml:space="preserve">code of ethics among medical personnel in providing health care and treatment to impoverished individuals in a genuine and transparent manner. </w:t>
      </w:r>
    </w:p>
    <w:p w14:paraId="114CF8E3" w14:textId="77777777" w:rsidR="00374074" w:rsidRPr="00374074" w:rsidRDefault="00374074" w:rsidP="0040290C">
      <w:pPr>
        <w:pStyle w:val="SingleTxtG"/>
        <w:numPr>
          <w:ilvl w:val="0"/>
          <w:numId w:val="7"/>
        </w:numPr>
        <w:ind w:left="1134" w:firstLine="0"/>
        <w:rPr>
          <w:lang w:eastAsia="en-GB"/>
        </w:rPr>
      </w:pPr>
      <w:r w:rsidRPr="00374074">
        <w:rPr>
          <w:lang w:eastAsia="en-GB"/>
        </w:rPr>
        <w:t xml:space="preserve">The Ministry of Planning identifies poor households to provide them with services and direct development assistance to the poorest households in the community, with the aim of lifting them out of poverty and shielding them from exacerbating factors (such as serious illness or damaged crops). The data obtained from this identification is utilized to </w:t>
      </w:r>
      <w:r w:rsidRPr="00374074">
        <w:rPr>
          <w:rFonts w:eastAsia="Malgun Gothic"/>
          <w:lang w:eastAsia="ko-KR"/>
        </w:rPr>
        <w:t>provide</w:t>
      </w:r>
      <w:r w:rsidRPr="00374074">
        <w:rPr>
          <w:lang w:eastAsia="en-GB"/>
        </w:rPr>
        <w:t xml:space="preserve"> free or reduced-cost medical services (through health equity funds or social health insurance). The identification of poor households has now been incorporated into the government’s National Social Protection Strategy for the Poor and Vulnerable (NSPS 2011-2015), which was endorsed by the Council of Ministers on 18 March 2011. The NSPS</w:t>
      </w:r>
      <w:r w:rsidRPr="00374074">
        <w:rPr>
          <w:rFonts w:eastAsia="Malgun Gothic"/>
          <w:lang w:eastAsia="ko-KR"/>
        </w:rPr>
        <w:t xml:space="preserve"> states</w:t>
      </w:r>
      <w:r w:rsidRPr="00374074">
        <w:rPr>
          <w:lang w:eastAsia="en-GB"/>
        </w:rPr>
        <w:t xml:space="preserve"> that the RGC endeavours to establish the identification of poor households as the primary means in all social protection systems, </w:t>
      </w:r>
      <w:r w:rsidRPr="00374074">
        <w:rPr>
          <w:rFonts w:eastAsia="Malgun Gothic"/>
          <w:lang w:eastAsia="ko-KR"/>
        </w:rPr>
        <w:t>while retaining the option</w:t>
      </w:r>
      <w:r w:rsidRPr="00374074">
        <w:rPr>
          <w:lang w:eastAsia="en-GB"/>
        </w:rPr>
        <w:t xml:space="preserve"> to employ other supplementary means if deemed necessary</w:t>
      </w:r>
      <w:r w:rsidRPr="00374074">
        <w:rPr>
          <w:i/>
          <w:iCs/>
          <w:lang w:eastAsia="en-GB"/>
        </w:rPr>
        <w:t>.</w:t>
      </w:r>
      <w:r w:rsidRPr="00374074">
        <w:rPr>
          <w:lang w:eastAsia="en-GB"/>
        </w:rPr>
        <w:t xml:space="preserve"> </w:t>
      </w:r>
    </w:p>
    <w:p w14:paraId="50F4CEAB" w14:textId="77777777" w:rsidR="00374074" w:rsidRPr="00374074" w:rsidRDefault="00374074" w:rsidP="0040290C">
      <w:pPr>
        <w:pStyle w:val="SingleTxtG"/>
        <w:numPr>
          <w:ilvl w:val="0"/>
          <w:numId w:val="7"/>
        </w:numPr>
        <w:ind w:left="1134" w:firstLine="0"/>
        <w:rPr>
          <w:color w:val="000000" w:themeColor="text1"/>
          <w:lang w:eastAsia="en-GB"/>
        </w:rPr>
      </w:pPr>
      <w:r w:rsidRPr="00374074">
        <w:rPr>
          <w:lang w:eastAsia="en-GB"/>
        </w:rPr>
        <w:t>The RGC has established the Poipet Transit and Reception Centre to receive victims of human trafficking, including persons with disabilities, who are referred by the competent ministries</w:t>
      </w:r>
      <w:r w:rsidRPr="00374074">
        <w:rPr>
          <w:rFonts w:eastAsia="Malgun Gothic"/>
          <w:lang w:eastAsia="ko-KR"/>
        </w:rPr>
        <w:t>,</w:t>
      </w:r>
      <w:r w:rsidRPr="00374074">
        <w:rPr>
          <w:lang w:eastAsia="en-GB"/>
        </w:rPr>
        <w:t xml:space="preserve"> institutions and NGOs. The centre offers accommodation and rehabilitation services to assist the victims </w:t>
      </w:r>
      <w:r w:rsidRPr="00374074">
        <w:rPr>
          <w:rFonts w:eastAsia="Malgun Gothic"/>
          <w:lang w:eastAsia="ko-KR"/>
        </w:rPr>
        <w:t>prior to their</w:t>
      </w:r>
      <w:r w:rsidRPr="00374074">
        <w:rPr>
          <w:lang w:eastAsia="en-GB"/>
        </w:rPr>
        <w:t xml:space="preserve"> reintegrati</w:t>
      </w:r>
      <w:r w:rsidRPr="00374074">
        <w:rPr>
          <w:rFonts w:eastAsia="Malgun Gothic"/>
          <w:lang w:eastAsia="ko-KR"/>
        </w:rPr>
        <w:t>on</w:t>
      </w:r>
      <w:r w:rsidRPr="00374074">
        <w:rPr>
          <w:lang w:eastAsia="en-GB"/>
        </w:rPr>
        <w:t xml:space="preserve"> into their families and communities.</w:t>
      </w:r>
      <w:r w:rsidRPr="00374074">
        <w:rPr>
          <w:vertAlign w:val="superscript"/>
          <w:cs/>
          <w:lang w:eastAsia="en-GB" w:bidi="km-KH"/>
        </w:rPr>
        <w:t xml:space="preserve"> </w:t>
      </w:r>
      <w:r w:rsidRPr="00374074">
        <w:rPr>
          <w:vertAlign w:val="superscript"/>
          <w:cs/>
          <w:lang w:eastAsia="en-GB" w:bidi="km-KH"/>
        </w:rPr>
        <w:footnoteReference w:id="100"/>
      </w:r>
      <w:r w:rsidRPr="00374074">
        <w:rPr>
          <w:lang w:eastAsia="en-GB" w:bidi="km-KH"/>
        </w:rPr>
        <w:t xml:space="preserve"> </w:t>
      </w:r>
      <w:r w:rsidRPr="00374074">
        <w:rPr>
          <w:lang w:eastAsia="en-GB"/>
        </w:rPr>
        <w:t xml:space="preserve">Additionally, the RGC has plans to establish six additional transit centres at major border checkpoints, namely Banteay Meanchey, Oddar Meanchey, Battambang, Pailin, Koh Kong and Svay Rieng </w:t>
      </w:r>
      <w:r w:rsidRPr="00374074">
        <w:rPr>
          <w:rFonts w:eastAsia="Malgun Gothic"/>
          <w:lang w:eastAsia="ko-KR"/>
        </w:rPr>
        <w:t>p</w:t>
      </w:r>
      <w:r w:rsidRPr="00374074">
        <w:rPr>
          <w:lang w:eastAsia="en-GB"/>
        </w:rPr>
        <w:t xml:space="preserve">rovinces. </w:t>
      </w:r>
    </w:p>
    <w:p w14:paraId="5AA95B6C" w14:textId="77777777" w:rsidR="00374074" w:rsidRPr="00374074" w:rsidRDefault="00374074" w:rsidP="0040290C">
      <w:pPr>
        <w:pStyle w:val="SingleTxtG"/>
        <w:numPr>
          <w:ilvl w:val="0"/>
          <w:numId w:val="7"/>
        </w:numPr>
        <w:ind w:left="1134" w:firstLine="0"/>
        <w:rPr>
          <w:color w:val="000000" w:themeColor="text1"/>
          <w:lang w:eastAsia="en-GB"/>
        </w:rPr>
      </w:pPr>
      <w:r w:rsidRPr="00374074">
        <w:rPr>
          <w:lang w:eastAsia="en-GB"/>
        </w:rPr>
        <w:t>The social land concession policy provides social concession land to veterans of the armed forces and their families, with socio-economic goals of providing social land concessions to retired armed forces personnel who have lost work capacity or have</w:t>
      </w:r>
      <w:r w:rsidRPr="00374074">
        <w:rPr>
          <w:rFonts w:eastAsia="Malgun Gothic"/>
          <w:lang w:eastAsia="ko-KR"/>
        </w:rPr>
        <w:t xml:space="preserve"> a </w:t>
      </w:r>
      <w:r w:rsidRPr="00374074">
        <w:rPr>
          <w:lang w:eastAsia="en-GB"/>
        </w:rPr>
        <w:t xml:space="preserve">disability, as well as the bereaved families of armed forces personnel. Additionally, there is a </w:t>
      </w:r>
      <w:r w:rsidRPr="00374074">
        <w:rPr>
          <w:rFonts w:eastAsia="Malgun Gothic"/>
          <w:lang w:eastAsia="ko-KR"/>
        </w:rPr>
        <w:t>s</w:t>
      </w:r>
      <w:r w:rsidRPr="00374074">
        <w:rPr>
          <w:lang w:eastAsia="en-GB"/>
        </w:rPr>
        <w:t>ub-decree on economic land concessions</w:t>
      </w:r>
      <w:r w:rsidRPr="00374074">
        <w:rPr>
          <w:color w:val="000000"/>
          <w:vertAlign w:val="superscript"/>
          <w:lang w:eastAsia="en-GB" w:bidi="km-KH"/>
        </w:rPr>
        <w:footnoteReference w:id="101"/>
      </w:r>
      <w:r w:rsidRPr="00374074">
        <w:rPr>
          <w:lang w:eastAsia="en-GB"/>
        </w:rPr>
        <w:t xml:space="preserve"> that sets criteria, procedures, mechanisms and institutional management for initiating and granting new economic land concession contracts. </w:t>
      </w:r>
      <w:r w:rsidRPr="00374074">
        <w:rPr>
          <w:lang w:eastAsia="en-GB"/>
        </w:rPr>
        <w:lastRenderedPageBreak/>
        <w:t>Proposals for economic land concessions must be made based on a set of criteria</w:t>
      </w:r>
      <w:r w:rsidRPr="00374074">
        <w:rPr>
          <w:color w:val="000000"/>
          <w:vertAlign w:val="superscript"/>
          <w:lang w:eastAsia="en-GB" w:bidi="km-KH"/>
        </w:rPr>
        <w:footnoteReference w:id="102"/>
      </w:r>
      <w:r w:rsidRPr="00374074">
        <w:rPr>
          <w:lang w:eastAsia="en-GB" w:bidi="km-KH"/>
        </w:rPr>
        <w:t xml:space="preserve"> </w:t>
      </w:r>
      <w:r w:rsidRPr="00374074">
        <w:rPr>
          <w:lang w:eastAsia="en-GB"/>
        </w:rPr>
        <w:t xml:space="preserve">that includes raising the living standard of the people, as well as relationship and mutual support between social land concessions and economic land concessions. </w:t>
      </w:r>
    </w:p>
    <w:p w14:paraId="2E252E41" w14:textId="77777777" w:rsidR="00374074" w:rsidRPr="00374074" w:rsidRDefault="00374074" w:rsidP="0040290C">
      <w:pPr>
        <w:pStyle w:val="SingleTxtG"/>
        <w:numPr>
          <w:ilvl w:val="0"/>
          <w:numId w:val="7"/>
        </w:numPr>
        <w:ind w:left="1134" w:firstLine="0"/>
        <w:rPr>
          <w:lang w:eastAsia="en-GB"/>
        </w:rPr>
      </w:pPr>
      <w:r w:rsidRPr="00374074">
        <w:rPr>
          <w:shd w:val="clear" w:color="auto" w:fill="FFFFFF"/>
          <w:lang w:eastAsia="en-GB"/>
        </w:rPr>
        <w:t>From 2013 to 2019, national and international operators cleared 847.64 square kilometres of minefields and explosive remnants of war</w:t>
      </w:r>
      <w:r w:rsidRPr="00374074">
        <w:rPr>
          <w:rFonts w:eastAsia="Malgun Gothic"/>
          <w:shd w:val="clear" w:color="auto" w:fill="FFFFFF"/>
          <w:lang w:eastAsia="ko-KR"/>
        </w:rPr>
        <w:t>,</w:t>
      </w:r>
      <w:r w:rsidRPr="00374074">
        <w:rPr>
          <w:shd w:val="clear" w:color="auto" w:fill="FFFFFF"/>
          <w:lang w:eastAsia="en-GB"/>
        </w:rPr>
        <w:t xml:space="preserve"> and th</w:t>
      </w:r>
      <w:r w:rsidRPr="00374074">
        <w:rPr>
          <w:rFonts w:eastAsia="Malgun Gothic"/>
          <w:shd w:val="clear" w:color="auto" w:fill="FFFFFF"/>
          <w:lang w:eastAsia="ko-KR"/>
        </w:rPr>
        <w:t>e</w:t>
      </w:r>
      <w:r w:rsidRPr="00374074">
        <w:rPr>
          <w:shd w:val="clear" w:color="auto" w:fill="FFFFFF"/>
          <w:lang w:eastAsia="en-GB"/>
        </w:rPr>
        <w:t>se fields</w:t>
      </w:r>
      <w:r w:rsidRPr="00374074">
        <w:rPr>
          <w:rFonts w:eastAsia="Malgun Gothic"/>
          <w:shd w:val="clear" w:color="auto" w:fill="FFFFFF"/>
          <w:lang w:eastAsia="ko-KR"/>
        </w:rPr>
        <w:t xml:space="preserve"> were granted</w:t>
      </w:r>
      <w:r w:rsidRPr="00374074">
        <w:rPr>
          <w:shd w:val="clear" w:color="auto" w:fill="FFFFFF"/>
          <w:lang w:eastAsia="en-GB"/>
        </w:rPr>
        <w:t xml:space="preserve"> to 403,079 families, equal to 764,832 people</w:t>
      </w:r>
      <w:r w:rsidRPr="00374074">
        <w:rPr>
          <w:rFonts w:eastAsia="Malgun Gothic"/>
          <w:shd w:val="clear" w:color="auto" w:fill="FFFFFF"/>
          <w:lang w:eastAsia="ko-KR"/>
        </w:rPr>
        <w:t>,</w:t>
      </w:r>
      <w:r w:rsidRPr="00374074">
        <w:rPr>
          <w:shd w:val="clear" w:color="auto" w:fill="FFFFFF"/>
          <w:lang w:eastAsia="en-GB"/>
        </w:rPr>
        <w:t xml:space="preserve"> including 4,287 persons with disabilities </w:t>
      </w:r>
      <w:r w:rsidRPr="00374074">
        <w:rPr>
          <w:rFonts w:eastAsia="Malgun Gothic"/>
          <w:shd w:val="clear" w:color="auto" w:fill="FFFFFF"/>
          <w:lang w:eastAsia="ko-KR"/>
        </w:rPr>
        <w:t>caused by</w:t>
      </w:r>
      <w:r w:rsidRPr="00374074">
        <w:rPr>
          <w:shd w:val="clear" w:color="auto" w:fill="FFFFFF"/>
          <w:lang w:eastAsia="en-GB"/>
        </w:rPr>
        <w:t xml:space="preserve"> mine</w:t>
      </w:r>
      <w:r w:rsidRPr="00374074">
        <w:rPr>
          <w:rFonts w:eastAsia="Malgun Gothic"/>
          <w:shd w:val="clear" w:color="auto" w:fill="FFFFFF"/>
          <w:lang w:eastAsia="ko-KR"/>
        </w:rPr>
        <w:t>s</w:t>
      </w:r>
      <w:r w:rsidRPr="00374074">
        <w:rPr>
          <w:shd w:val="clear" w:color="auto" w:fill="FFFFFF"/>
          <w:lang w:eastAsia="en-GB"/>
        </w:rPr>
        <w:t xml:space="preserve"> and other persons with disabilities (0.56%), </w:t>
      </w:r>
      <w:r w:rsidRPr="00374074">
        <w:rPr>
          <w:lang w:eastAsia="en-GB"/>
        </w:rPr>
        <w:t xml:space="preserve">for the purpose </w:t>
      </w:r>
      <w:r w:rsidRPr="00374074">
        <w:rPr>
          <w:spacing w:val="4"/>
          <w:lang w:eastAsia="en-GB"/>
        </w:rPr>
        <w:t xml:space="preserve">of habitation, farming and infrastructure development. </w:t>
      </w:r>
    </w:p>
    <w:p w14:paraId="636C3C4B" w14:textId="77777777" w:rsidR="00374074" w:rsidRPr="00374074" w:rsidRDefault="00374074" w:rsidP="0040290C">
      <w:pPr>
        <w:pStyle w:val="SingleTxtG"/>
        <w:numPr>
          <w:ilvl w:val="0"/>
          <w:numId w:val="7"/>
        </w:numPr>
        <w:ind w:left="1134" w:firstLine="0"/>
        <w:rPr>
          <w:lang w:eastAsia="en-GB"/>
        </w:rPr>
      </w:pPr>
      <w:r w:rsidRPr="00374074">
        <w:rPr>
          <w:lang w:eastAsia="en-GB"/>
        </w:rPr>
        <w:t>The Law on Social Security Schemes for Persons Defined by the Provisions of the Labour Law aimed to cover:</w:t>
      </w:r>
    </w:p>
    <w:p w14:paraId="4A51EA6E" w14:textId="2B559E90" w:rsidR="00374074" w:rsidRPr="00374074" w:rsidRDefault="00374074" w:rsidP="0040290C">
      <w:pPr>
        <w:pStyle w:val="SingleTxtG"/>
        <w:numPr>
          <w:ilvl w:val="1"/>
          <w:numId w:val="8"/>
        </w:numPr>
        <w:ind w:left="1134" w:firstLine="567"/>
        <w:rPr>
          <w:rFonts w:eastAsia="Malgun Gothic"/>
          <w:lang w:eastAsia="en-GB"/>
        </w:rPr>
      </w:pPr>
      <w:r w:rsidRPr="00374074">
        <w:rPr>
          <w:rFonts w:eastAsia="Malgun Gothic"/>
          <w:lang w:eastAsia="ko-KR"/>
        </w:rPr>
        <w:t>P</w:t>
      </w:r>
      <w:r w:rsidRPr="00374074">
        <w:rPr>
          <w:lang w:eastAsia="en-GB"/>
        </w:rPr>
        <w:t>ension scheme, providing old-age benefit, incapacity benefit and survivors’ benefit, which was launched in 2019.</w:t>
      </w:r>
    </w:p>
    <w:p w14:paraId="439B47FD" w14:textId="4642C955" w:rsidR="00374074" w:rsidRPr="00374074" w:rsidRDefault="00374074" w:rsidP="0040290C">
      <w:pPr>
        <w:pStyle w:val="SingleTxtG"/>
        <w:numPr>
          <w:ilvl w:val="1"/>
          <w:numId w:val="8"/>
        </w:numPr>
        <w:ind w:left="1134" w:firstLine="567"/>
        <w:rPr>
          <w:lang w:eastAsia="en-GB" w:bidi="km-KH"/>
        </w:rPr>
      </w:pPr>
      <w:r w:rsidRPr="00374074">
        <w:rPr>
          <w:rFonts w:eastAsia="Malgun Gothic"/>
          <w:lang w:eastAsia="ko-KR" w:bidi="km-KH"/>
        </w:rPr>
        <w:t>O</w:t>
      </w:r>
      <w:r w:rsidRPr="00374074">
        <w:rPr>
          <w:lang w:eastAsia="en-GB" w:bidi="km-KH"/>
        </w:rPr>
        <w:t>ccupational risk</w:t>
      </w:r>
      <w:r w:rsidRPr="00374074">
        <w:rPr>
          <w:rFonts w:eastAsia="Malgun Gothic"/>
          <w:lang w:eastAsia="ko-KR" w:bidi="km-KH"/>
        </w:rPr>
        <w:t>,</w:t>
      </w:r>
      <w:r w:rsidRPr="00374074">
        <w:rPr>
          <w:lang w:eastAsia="en-GB" w:bidi="km-KH"/>
        </w:rPr>
        <w:t xml:space="preserve"> providing employment injury and occupational disease benefit</w:t>
      </w:r>
      <w:r w:rsidRPr="00374074">
        <w:rPr>
          <w:rFonts w:eastAsia="Malgun Gothic"/>
          <w:lang w:eastAsia="ko-KR" w:bidi="km-KH"/>
        </w:rPr>
        <w:t>s</w:t>
      </w:r>
      <w:r w:rsidRPr="00374074">
        <w:rPr>
          <w:lang w:eastAsia="en-GB" w:bidi="km-KH"/>
        </w:rPr>
        <w:t>. In compliance with the law, the Occupational Risk Insurance system, which was launched in November 2008. The benefits of this section encompass medical treatment, daily allowances, allowances and annuities for permanent incapacity, survivors’ benefits, funeral grant</w:t>
      </w:r>
      <w:r w:rsidRPr="00374074">
        <w:rPr>
          <w:rFonts w:eastAsia="Malgun Gothic"/>
          <w:lang w:eastAsia="ko-KR" w:bidi="km-KH"/>
        </w:rPr>
        <w:t>s</w:t>
      </w:r>
      <w:r w:rsidRPr="00374074">
        <w:rPr>
          <w:lang w:eastAsia="en-GB" w:bidi="km-KH"/>
        </w:rPr>
        <w:t xml:space="preserve"> and rehabilitation services for workers </w:t>
      </w:r>
      <w:r w:rsidRPr="00374074">
        <w:rPr>
          <w:rFonts w:eastAsia="Malgun Gothic"/>
          <w:lang w:eastAsia="ko-KR" w:bidi="km-KH"/>
        </w:rPr>
        <w:t>with</w:t>
      </w:r>
      <w:r w:rsidRPr="00374074">
        <w:rPr>
          <w:lang w:eastAsia="en-GB" w:bidi="km-KH"/>
        </w:rPr>
        <w:t xml:space="preserve"> occupational injur</w:t>
      </w:r>
      <w:r w:rsidRPr="00374074">
        <w:rPr>
          <w:rFonts w:eastAsia="Malgun Gothic"/>
          <w:lang w:eastAsia="ko-KR" w:bidi="km-KH"/>
        </w:rPr>
        <w:t>ies</w:t>
      </w:r>
      <w:r w:rsidRPr="00374074">
        <w:rPr>
          <w:lang w:eastAsia="en-GB" w:bidi="km-KH"/>
        </w:rPr>
        <w:t xml:space="preserve"> leading to disability. </w:t>
      </w:r>
    </w:p>
    <w:p w14:paraId="3725A06F" w14:textId="77777777" w:rsidR="00374074" w:rsidRPr="00374074" w:rsidRDefault="00374074" w:rsidP="0040290C">
      <w:pPr>
        <w:pStyle w:val="SingleTxtG"/>
        <w:numPr>
          <w:ilvl w:val="0"/>
          <w:numId w:val="7"/>
        </w:numPr>
        <w:ind w:left="1134" w:firstLine="0"/>
        <w:rPr>
          <w:shd w:val="clear" w:color="auto" w:fill="FFFFFF"/>
          <w:lang w:eastAsia="en-GB"/>
        </w:rPr>
      </w:pPr>
      <w:r w:rsidRPr="00374074">
        <w:rPr>
          <w:shd w:val="clear" w:color="auto" w:fill="FFFFFF"/>
          <w:lang w:eastAsia="en-GB"/>
        </w:rPr>
        <w:t>In accordance with the Law on Social Security Sc</w:t>
      </w:r>
      <w:r w:rsidRPr="00374074">
        <w:rPr>
          <w:rFonts w:eastAsia="Malgun Gothic"/>
          <w:shd w:val="clear" w:color="auto" w:fill="FFFFFF"/>
          <w:lang w:eastAsia="ko-KR"/>
        </w:rPr>
        <w:t>h</w:t>
      </w:r>
      <w:r w:rsidRPr="00374074">
        <w:rPr>
          <w:shd w:val="clear" w:color="auto" w:fill="FFFFFF"/>
          <w:lang w:eastAsia="en-GB"/>
        </w:rPr>
        <w:t>emes, the provision of social security benefits in each section shall be implemented as follows:</w:t>
      </w:r>
    </w:p>
    <w:p w14:paraId="39888EE7" w14:textId="60C7E0E0" w:rsidR="00374074" w:rsidRPr="00374074" w:rsidRDefault="00374074" w:rsidP="0040290C">
      <w:pPr>
        <w:pStyle w:val="SingleTxtG"/>
        <w:numPr>
          <w:ilvl w:val="0"/>
          <w:numId w:val="9"/>
        </w:numPr>
        <w:ind w:left="1134" w:firstLine="567"/>
        <w:rPr>
          <w:shd w:val="clear" w:color="auto" w:fill="FFFFFF"/>
          <w:lang w:eastAsia="en-GB"/>
        </w:rPr>
      </w:pPr>
      <w:r w:rsidRPr="00374074">
        <w:rPr>
          <w:shd w:val="clear" w:color="auto" w:fill="FFFFFF"/>
          <w:lang w:eastAsia="en-GB"/>
        </w:rPr>
        <w:t>Pension benefits includ</w:t>
      </w:r>
      <w:r w:rsidRPr="00374074">
        <w:rPr>
          <w:rFonts w:eastAsia="Malgun Gothic"/>
          <w:shd w:val="clear" w:color="auto" w:fill="FFFFFF"/>
          <w:lang w:eastAsia="ko-KR"/>
        </w:rPr>
        <w:t>e</w:t>
      </w:r>
      <w:r w:rsidRPr="00374074">
        <w:rPr>
          <w:shd w:val="clear" w:color="auto" w:fill="FFFFFF"/>
          <w:lang w:eastAsia="en-GB"/>
        </w:rPr>
        <w:t xml:space="preserve"> old-age pension, </w:t>
      </w:r>
      <w:r w:rsidRPr="00374074">
        <w:rPr>
          <w:szCs w:val="39"/>
          <w:shd w:val="clear" w:color="auto" w:fill="FFFFFF"/>
          <w:lang w:val="en-US" w:eastAsia="en-GB" w:bidi="km-KH"/>
        </w:rPr>
        <w:t>incapacity</w:t>
      </w:r>
      <w:r w:rsidRPr="00374074">
        <w:rPr>
          <w:shd w:val="clear" w:color="auto" w:fill="FFFFFF"/>
          <w:lang w:eastAsia="en-GB"/>
        </w:rPr>
        <w:t xml:space="preserve"> pension, survivors’ pension and funeral grant.</w:t>
      </w:r>
    </w:p>
    <w:p w14:paraId="46DEFFD2" w14:textId="409C2198" w:rsidR="00374074" w:rsidRPr="00374074" w:rsidRDefault="00374074" w:rsidP="0040290C">
      <w:pPr>
        <w:pStyle w:val="SingleTxtG"/>
        <w:numPr>
          <w:ilvl w:val="0"/>
          <w:numId w:val="9"/>
        </w:numPr>
        <w:ind w:left="1134" w:firstLine="567"/>
        <w:rPr>
          <w:shd w:val="clear" w:color="auto" w:fill="FFFFFF"/>
          <w:lang w:eastAsia="en-GB"/>
        </w:rPr>
      </w:pPr>
      <w:r w:rsidRPr="00374074">
        <w:rPr>
          <w:shd w:val="clear" w:color="auto" w:fill="FFFFFF"/>
          <w:lang w:eastAsia="en-GB"/>
        </w:rPr>
        <w:t>Occupational risk benefits includ</w:t>
      </w:r>
      <w:r w:rsidRPr="00374074">
        <w:rPr>
          <w:rFonts w:eastAsia="Malgun Gothic"/>
          <w:shd w:val="clear" w:color="auto" w:fill="FFFFFF"/>
          <w:lang w:eastAsia="ko-KR"/>
        </w:rPr>
        <w:t>e</w:t>
      </w:r>
      <w:r w:rsidRPr="00374074">
        <w:rPr>
          <w:shd w:val="clear" w:color="auto" w:fill="FFFFFF"/>
          <w:lang w:eastAsia="en-GB"/>
        </w:rPr>
        <w:t xml:space="preserve"> medical treatment and care, daily allowance for temporary loss of work capacity, pension for permanent loss of work capacity, survivors</w:t>
      </w:r>
      <w:r w:rsidRPr="00374074">
        <w:rPr>
          <w:rFonts w:eastAsia="Malgun Gothic"/>
          <w:shd w:val="clear" w:color="auto" w:fill="FFFFFF"/>
          <w:lang w:eastAsia="ko-KR"/>
        </w:rPr>
        <w:t>’</w:t>
      </w:r>
      <w:r w:rsidRPr="00374074">
        <w:rPr>
          <w:shd w:val="clear" w:color="auto" w:fill="FFFFFF"/>
          <w:lang w:eastAsia="en-GB"/>
        </w:rPr>
        <w:t xml:space="preserve"> pension, funeral grant and rehabilitation services. This section was implemented in 2008 for persons defined by the provisions of the Labo</w:t>
      </w:r>
      <w:r w:rsidRPr="00374074">
        <w:rPr>
          <w:rFonts w:eastAsia="Malgun Gothic"/>
          <w:shd w:val="clear" w:color="auto" w:fill="FFFFFF"/>
          <w:lang w:eastAsia="ko-KR"/>
        </w:rPr>
        <w:t>u</w:t>
      </w:r>
      <w:r w:rsidRPr="00374074">
        <w:rPr>
          <w:shd w:val="clear" w:color="auto" w:fill="FFFFFF"/>
          <w:lang w:eastAsia="en-GB"/>
        </w:rPr>
        <w:t>r Law, including personnel serving in air and maritime transportation as well as domestic workers.</w:t>
      </w:r>
    </w:p>
    <w:p w14:paraId="7408F533" w14:textId="40C1AAF2" w:rsidR="00374074" w:rsidRPr="00374074" w:rsidRDefault="00374074" w:rsidP="0040290C">
      <w:pPr>
        <w:pStyle w:val="SingleTxtG"/>
        <w:numPr>
          <w:ilvl w:val="0"/>
          <w:numId w:val="9"/>
        </w:numPr>
        <w:ind w:left="1134" w:firstLine="567"/>
        <w:rPr>
          <w:shd w:val="clear" w:color="auto" w:fill="FFFFFF"/>
          <w:lang w:eastAsia="en-GB"/>
        </w:rPr>
      </w:pPr>
      <w:r w:rsidRPr="00374074">
        <w:rPr>
          <w:shd w:val="clear" w:color="auto" w:fill="FFFFFF"/>
          <w:lang w:eastAsia="en-GB"/>
        </w:rPr>
        <w:t>Health care benefits include medical treatment and care, daily allowances for hospitalization, maternity allowance, and funeral grant. This section was implemented in 2016 for persons defined by the provisions of the Labo</w:t>
      </w:r>
      <w:r w:rsidRPr="00374074">
        <w:rPr>
          <w:rFonts w:eastAsia="Malgun Gothic"/>
          <w:shd w:val="clear" w:color="auto" w:fill="FFFFFF"/>
          <w:lang w:eastAsia="ko-KR"/>
        </w:rPr>
        <w:t>u</w:t>
      </w:r>
      <w:r w:rsidRPr="00374074">
        <w:rPr>
          <w:shd w:val="clear" w:color="auto" w:fill="FFFFFF"/>
          <w:lang w:eastAsia="en-GB"/>
        </w:rPr>
        <w:t>r Law, including personnel serving in air and maritime transportation as well as domestic workers, and was extended in 2018 to include public sector employees.</w:t>
      </w:r>
    </w:p>
    <w:p w14:paraId="16B3A489" w14:textId="77777777" w:rsidR="00374074" w:rsidRPr="00374074" w:rsidRDefault="00374074" w:rsidP="0040290C">
      <w:pPr>
        <w:pStyle w:val="SingleTxtG"/>
        <w:numPr>
          <w:ilvl w:val="0"/>
          <w:numId w:val="7"/>
        </w:numPr>
        <w:ind w:left="1134" w:firstLine="0"/>
        <w:rPr>
          <w:shd w:val="clear" w:color="auto" w:fill="FFFFFF"/>
          <w:lang w:eastAsia="en-GB"/>
        </w:rPr>
      </w:pPr>
      <w:r w:rsidRPr="00374074">
        <w:rPr>
          <w:lang w:eastAsia="en-GB"/>
        </w:rPr>
        <w:t xml:space="preserve">The Royal Government is paying attention to the livelihood of retired civil servants and veterans by providing monthly social security benefits through its partner commercial banking </w:t>
      </w:r>
      <w:r w:rsidRPr="00D24BC8">
        <w:rPr>
          <w:shd w:val="clear" w:color="auto" w:fill="FFFFFF"/>
          <w:lang w:eastAsia="en-GB"/>
        </w:rPr>
        <w:t>system</w:t>
      </w:r>
      <w:r w:rsidRPr="00374074">
        <w:rPr>
          <w:lang w:eastAsia="en-GB"/>
        </w:rPr>
        <w:t>. Furthermore, retired civil servants and veterans are entitled to an annual increase in their social security benefits, determined based on the national budget and in recognition of their retirement, professional and work incapacity, and disabilities. The monthly social security benefits comprise:</w:t>
      </w:r>
    </w:p>
    <w:p w14:paraId="04BBCAC1" w14:textId="1432CDA9" w:rsidR="00374074" w:rsidRPr="00374074" w:rsidRDefault="00374074" w:rsidP="0040290C">
      <w:pPr>
        <w:pStyle w:val="SingleTxtG"/>
        <w:numPr>
          <w:ilvl w:val="0"/>
          <w:numId w:val="10"/>
        </w:numPr>
        <w:ind w:left="1134" w:firstLine="567"/>
        <w:rPr>
          <w:lang w:eastAsia="en-GB" w:bidi="km-KH"/>
        </w:rPr>
      </w:pPr>
      <w:r w:rsidRPr="00374074">
        <w:rPr>
          <w:rFonts w:eastAsia="Malgun Gothic"/>
          <w:lang w:eastAsia="ko-KR" w:bidi="km-KH"/>
        </w:rPr>
        <w:t>T</w:t>
      </w:r>
      <w:r w:rsidRPr="00374074">
        <w:rPr>
          <w:lang w:eastAsia="en-GB" w:bidi="km-KH"/>
        </w:rPr>
        <w:t>he current monthly payment</w:t>
      </w:r>
      <w:r w:rsidRPr="00374074">
        <w:rPr>
          <w:rFonts w:eastAsia="Malgun Gothic"/>
          <w:lang w:eastAsia="ko-KR" w:bidi="km-KH"/>
        </w:rPr>
        <w:t>s</w:t>
      </w:r>
      <w:r w:rsidRPr="00374074">
        <w:rPr>
          <w:lang w:eastAsia="en-GB" w:bidi="km-KH"/>
        </w:rPr>
        <w:t xml:space="preserve"> for retirement, professional incapacity and disability, treatment services and medical care, and funeral expenses;</w:t>
      </w:r>
    </w:p>
    <w:p w14:paraId="335DFD52" w14:textId="6E3F3680" w:rsidR="00374074" w:rsidRPr="00374074" w:rsidRDefault="00374074" w:rsidP="0040290C">
      <w:pPr>
        <w:pStyle w:val="SingleTxtG"/>
        <w:numPr>
          <w:ilvl w:val="0"/>
          <w:numId w:val="10"/>
        </w:numPr>
        <w:ind w:left="1134" w:firstLine="567"/>
        <w:rPr>
          <w:lang w:eastAsia="en-GB" w:bidi="km-KH"/>
        </w:rPr>
      </w:pPr>
      <w:r w:rsidRPr="00374074">
        <w:rPr>
          <w:rFonts w:eastAsia="Malgun Gothic"/>
          <w:lang w:eastAsia="ko-KR" w:bidi="km-KH"/>
        </w:rPr>
        <w:t>A</w:t>
      </w:r>
      <w:r w:rsidRPr="00374074">
        <w:rPr>
          <w:lang w:eastAsia="en-GB" w:bidi="km-KH"/>
        </w:rPr>
        <w:t xml:space="preserve"> supplementary monthly payment </w:t>
      </w:r>
      <w:r w:rsidRPr="00374074">
        <w:rPr>
          <w:rFonts w:eastAsia="Malgun Gothic"/>
          <w:lang w:eastAsia="ko-KR" w:bidi="km-KH"/>
        </w:rPr>
        <w:t xml:space="preserve">for: </w:t>
      </w:r>
      <w:r w:rsidRPr="00374074">
        <w:rPr>
          <w:lang w:eastAsia="en-GB" w:bidi="km-KH"/>
        </w:rPr>
        <w:t xml:space="preserve">(1) retired civil servants and veterans who are </w:t>
      </w:r>
      <w:r w:rsidRPr="00374074">
        <w:rPr>
          <w:rFonts w:eastAsia="Malgun Gothic"/>
          <w:lang w:eastAsia="ko-KR" w:bidi="km-KH"/>
        </w:rPr>
        <w:t>un</w:t>
      </w:r>
      <w:r w:rsidRPr="00374074">
        <w:rPr>
          <w:lang w:eastAsia="en-GB" w:bidi="km-KH"/>
        </w:rPr>
        <w:t>fit for work</w:t>
      </w:r>
      <w:r w:rsidRPr="00374074">
        <w:rPr>
          <w:rFonts w:eastAsia="Malgun Gothic"/>
          <w:lang w:eastAsia="ko-KR" w:bidi="km-KH"/>
        </w:rPr>
        <w:t>;</w:t>
      </w:r>
      <w:r w:rsidRPr="00374074">
        <w:rPr>
          <w:lang w:eastAsia="en-GB" w:bidi="km-KH"/>
        </w:rPr>
        <w:t xml:space="preserve"> and, (2) retired civil servants and veterans who have los</w:t>
      </w:r>
      <w:r w:rsidRPr="00374074">
        <w:rPr>
          <w:rFonts w:eastAsia="Malgun Gothic"/>
          <w:lang w:eastAsia="ko-KR" w:bidi="km-KH"/>
        </w:rPr>
        <w:t>t</w:t>
      </w:r>
      <w:r w:rsidRPr="00374074">
        <w:rPr>
          <w:lang w:eastAsia="en-GB" w:bidi="km-KH"/>
        </w:rPr>
        <w:t xml:space="preserve"> work capacity and </w:t>
      </w:r>
      <w:r w:rsidRPr="00374074">
        <w:rPr>
          <w:rFonts w:eastAsia="Malgun Gothic"/>
          <w:lang w:eastAsia="ko-KR" w:bidi="km-KH"/>
        </w:rPr>
        <w:t>have</w:t>
      </w:r>
      <w:r w:rsidRPr="00374074">
        <w:rPr>
          <w:lang w:eastAsia="en-GB" w:bidi="km-KH"/>
        </w:rPr>
        <w:t xml:space="preserve"> a disability.</w:t>
      </w:r>
    </w:p>
    <w:p w14:paraId="37CBF6E6" w14:textId="77777777" w:rsidR="00374074" w:rsidRPr="00374074" w:rsidRDefault="00374074" w:rsidP="0040290C">
      <w:pPr>
        <w:pStyle w:val="SingleTxtG"/>
        <w:numPr>
          <w:ilvl w:val="0"/>
          <w:numId w:val="7"/>
        </w:numPr>
        <w:ind w:left="1134" w:firstLine="0"/>
        <w:rPr>
          <w:lang w:eastAsia="en-GB"/>
        </w:rPr>
      </w:pPr>
      <w:r w:rsidRPr="00374074">
        <w:rPr>
          <w:shd w:val="clear" w:color="auto" w:fill="FFFFFF"/>
          <w:lang w:eastAsia="en-GB"/>
        </w:rPr>
        <w:t>The RGC has increased the social security allowance for former civil servants and veterans.</w:t>
      </w:r>
      <w:r w:rsidRPr="00374074">
        <w:rPr>
          <w:vertAlign w:val="superscript"/>
          <w:cs/>
          <w:lang w:eastAsia="en-GB" w:bidi="km-KH"/>
        </w:rPr>
        <w:t xml:space="preserve"> </w:t>
      </w:r>
      <w:r w:rsidRPr="00374074">
        <w:rPr>
          <w:lang w:eastAsia="en-GB" w:bidi="km-KH"/>
        </w:rPr>
        <w:t xml:space="preserve">The </w:t>
      </w:r>
      <w:r w:rsidRPr="00374074">
        <w:rPr>
          <w:shd w:val="clear" w:color="auto" w:fill="FFFFFF"/>
          <w:lang w:eastAsia="en-GB"/>
        </w:rPr>
        <w:t xml:space="preserve">MoSVY </w:t>
      </w:r>
      <w:r w:rsidRPr="00D24BC8">
        <w:rPr>
          <w:lang w:eastAsia="en-GB"/>
        </w:rPr>
        <w:t>has</w:t>
      </w:r>
      <w:r w:rsidRPr="00374074">
        <w:rPr>
          <w:shd w:val="clear" w:color="auto" w:fill="FFFFFF"/>
          <w:lang w:eastAsia="en-GB"/>
        </w:rPr>
        <w:t xml:space="preserve"> issued a circular to ensure </w:t>
      </w:r>
      <w:r w:rsidRPr="00374074">
        <w:rPr>
          <w:rFonts w:eastAsia="Malgun Gothic"/>
          <w:shd w:val="clear" w:color="auto" w:fill="FFFFFF"/>
          <w:lang w:eastAsia="ko-KR"/>
        </w:rPr>
        <w:t>effective and prompt implementation of the</w:t>
      </w:r>
      <w:r w:rsidRPr="00374074">
        <w:rPr>
          <w:shd w:val="clear" w:color="auto" w:fill="FFFFFF"/>
          <w:lang w:eastAsia="en-GB"/>
        </w:rPr>
        <w:t xml:space="preserve"> </w:t>
      </w:r>
      <w:r w:rsidRPr="00374074">
        <w:rPr>
          <w:rFonts w:eastAsia="Malgun Gothic"/>
          <w:shd w:val="clear" w:color="auto" w:fill="FFFFFF"/>
          <w:lang w:eastAsia="ko-KR"/>
        </w:rPr>
        <w:t>S</w:t>
      </w:r>
      <w:r w:rsidRPr="00374074">
        <w:rPr>
          <w:shd w:val="clear" w:color="auto" w:fill="FFFFFF"/>
          <w:lang w:eastAsia="en-GB"/>
        </w:rPr>
        <w:t xml:space="preserve">ub-decree, which includes modifications </w:t>
      </w:r>
      <w:r w:rsidRPr="00374074">
        <w:rPr>
          <w:rFonts w:eastAsia="Malgun Gothic"/>
          <w:shd w:val="clear" w:color="auto" w:fill="FFFFFF"/>
          <w:lang w:eastAsia="ko-KR"/>
        </w:rPr>
        <w:t xml:space="preserve">to </w:t>
      </w:r>
      <w:r w:rsidRPr="00374074">
        <w:rPr>
          <w:shd w:val="clear" w:color="auto" w:fill="FFFFFF"/>
          <w:lang w:eastAsia="en-GB"/>
        </w:rPr>
        <w:t>and incre</w:t>
      </w:r>
      <w:r w:rsidRPr="00374074">
        <w:rPr>
          <w:rFonts w:eastAsia="Malgun Gothic"/>
          <w:shd w:val="clear" w:color="auto" w:fill="FFFFFF"/>
          <w:lang w:eastAsia="ko-KR"/>
        </w:rPr>
        <w:t>ases in</w:t>
      </w:r>
      <w:r w:rsidRPr="00374074">
        <w:rPr>
          <w:shd w:val="clear" w:color="auto" w:fill="FFFFFF"/>
          <w:lang w:eastAsia="en-GB"/>
        </w:rPr>
        <w:t xml:space="preserve"> </w:t>
      </w:r>
      <w:r w:rsidRPr="00374074">
        <w:rPr>
          <w:rFonts w:eastAsia="Malgun Gothic"/>
          <w:shd w:val="clear" w:color="auto" w:fill="FFFFFF"/>
          <w:lang w:eastAsia="ko-KR"/>
        </w:rPr>
        <w:t xml:space="preserve">the </w:t>
      </w:r>
      <w:r w:rsidRPr="00374074">
        <w:rPr>
          <w:shd w:val="clear" w:color="auto" w:fill="FFFFFF"/>
          <w:lang w:eastAsia="en-GB"/>
        </w:rPr>
        <w:t>social security scheme for former civil servants and veterans:</w:t>
      </w:r>
    </w:p>
    <w:p w14:paraId="26CBB3AB" w14:textId="77777777" w:rsidR="00374074" w:rsidRPr="00374074" w:rsidRDefault="00374074" w:rsidP="00D24BC8">
      <w:pPr>
        <w:pStyle w:val="SingleTxtG"/>
        <w:ind w:left="1701" w:firstLine="567"/>
        <w:rPr>
          <w:lang w:eastAsia="en-GB"/>
        </w:rPr>
      </w:pPr>
      <w:r w:rsidRPr="00374074">
        <w:rPr>
          <w:lang w:eastAsia="en-GB"/>
        </w:rPr>
        <w:t>Level 1: The current monthly security allowance equal to or less than 400,000 (four hundred thousand) Riels is increased to 420,000 (four hundred and twenty thousand) Riels per 1 (one) month.</w:t>
      </w:r>
    </w:p>
    <w:p w14:paraId="6FB85FFD" w14:textId="77777777" w:rsidR="00374074" w:rsidRPr="00374074" w:rsidRDefault="00374074" w:rsidP="00D24BC8">
      <w:pPr>
        <w:pStyle w:val="SingleTxtG"/>
        <w:ind w:left="1701" w:firstLine="567"/>
        <w:rPr>
          <w:lang w:eastAsia="en-GB"/>
        </w:rPr>
      </w:pPr>
      <w:r w:rsidRPr="00374074">
        <w:rPr>
          <w:lang w:eastAsia="en-GB"/>
        </w:rPr>
        <w:lastRenderedPageBreak/>
        <w:t>Level 2: The current monthly security allowance in the range of 420,001 (four hundred twenty thousand and one) Riels up to 590,000 (five hundred ninety thousand) Riels will receive an additional amount</w:t>
      </w:r>
      <w:r w:rsidRPr="00374074">
        <w:rPr>
          <w:szCs w:val="39"/>
          <w:lang w:eastAsia="en-GB" w:bidi="km-KH"/>
        </w:rPr>
        <w:t xml:space="preserve"> of</w:t>
      </w:r>
      <w:r w:rsidRPr="00374074">
        <w:rPr>
          <w:lang w:eastAsia="en-GB"/>
        </w:rPr>
        <w:t xml:space="preserve"> 20,000 (twenty thousand) Riels per 1 (one) month.</w:t>
      </w:r>
    </w:p>
    <w:p w14:paraId="0F4767F2" w14:textId="77777777" w:rsidR="00374074" w:rsidRPr="00374074" w:rsidRDefault="00374074" w:rsidP="00D24BC8">
      <w:pPr>
        <w:pStyle w:val="SingleTxtG"/>
        <w:ind w:left="1701" w:firstLine="567"/>
        <w:rPr>
          <w:lang w:eastAsia="en-GB"/>
        </w:rPr>
      </w:pPr>
      <w:r w:rsidRPr="00374074">
        <w:rPr>
          <w:lang w:eastAsia="en-GB"/>
        </w:rPr>
        <w:t>Level 3: The current monthly security allowance in the range of 590,001 (five hundred ninety thousand and one) Riels up to 600,000 (six hundred thousand) Riels will be increased to 610,000 (six hundred ten thousand) Riels per 1 (one) month.</w:t>
      </w:r>
    </w:p>
    <w:p w14:paraId="416B6C48" w14:textId="77777777" w:rsidR="00374074" w:rsidRPr="00374074" w:rsidRDefault="00374074" w:rsidP="00D24BC8">
      <w:pPr>
        <w:pStyle w:val="SingleTxtG"/>
        <w:ind w:left="1701" w:firstLine="567"/>
        <w:rPr>
          <w:lang w:eastAsia="en-GB" w:bidi="km-KH"/>
        </w:rPr>
      </w:pPr>
      <w:r w:rsidRPr="00374074">
        <w:rPr>
          <w:lang w:eastAsia="en-GB" w:bidi="km-KH"/>
        </w:rPr>
        <w:t>Level 4: The current monthly security allowance in the range of 600,001 (six hundred thousand and one) Riels up to 610,000 (six hundred ten thousand) Riels will receive an additional amount of 10,000 (ten thousand) Riels per 1 (one) month.</w:t>
      </w:r>
    </w:p>
    <w:p w14:paraId="5125D6EE" w14:textId="77777777" w:rsidR="00374074" w:rsidRPr="00374074" w:rsidRDefault="00374074" w:rsidP="0040290C">
      <w:pPr>
        <w:pStyle w:val="SingleTxtG"/>
        <w:numPr>
          <w:ilvl w:val="0"/>
          <w:numId w:val="7"/>
        </w:numPr>
        <w:ind w:left="1134" w:firstLine="0"/>
        <w:rPr>
          <w:color w:val="000000" w:themeColor="text1"/>
          <w:lang w:eastAsia="en-GB"/>
        </w:rPr>
      </w:pPr>
      <w:r w:rsidRPr="00374074">
        <w:rPr>
          <w:color w:val="000000" w:themeColor="text1"/>
          <w:lang w:eastAsia="en-GB"/>
        </w:rPr>
        <w:t xml:space="preserve">The National Strategy for Rural Water Supply, Sanitation and Hygiene </w:t>
      </w:r>
      <w:r w:rsidRPr="00374074">
        <w:rPr>
          <w:lang w:eastAsia="en-GB"/>
        </w:rPr>
        <w:t xml:space="preserve">2011-2025 envisions universal </w:t>
      </w:r>
      <w:r w:rsidRPr="00374074">
        <w:rPr>
          <w:lang w:eastAsia="en-GB" w:bidi="km-KH"/>
        </w:rPr>
        <w:t>access</w:t>
      </w:r>
      <w:r w:rsidRPr="00374074">
        <w:rPr>
          <w:lang w:eastAsia="en-GB"/>
        </w:rPr>
        <w:t xml:space="preserve"> to clean water, sanitation and hygiene in an unpolluted environment for all rural inhabitants by 2025.</w:t>
      </w:r>
    </w:p>
    <w:p w14:paraId="33B33AF5" w14:textId="77777777" w:rsidR="00374074" w:rsidRPr="00374074" w:rsidRDefault="00374074" w:rsidP="0040290C">
      <w:pPr>
        <w:pStyle w:val="SingleTxtG"/>
        <w:numPr>
          <w:ilvl w:val="0"/>
          <w:numId w:val="7"/>
        </w:numPr>
        <w:ind w:left="1134" w:firstLine="0"/>
        <w:rPr>
          <w:lang w:eastAsia="en-GB"/>
        </w:rPr>
      </w:pPr>
      <w:r w:rsidRPr="00374074">
        <w:rPr>
          <w:shd w:val="clear" w:color="auto" w:fill="FFFFFF"/>
          <w:lang w:eastAsia="en-GB"/>
        </w:rPr>
        <w:t xml:space="preserve">According to the CIPS 2013, only 19.8% of households have access to tap water; meanwhile, 29.5% use pump well water, 6.2% use well water, and 18.7% rely on water from ponds and lakes. In terms of access to electricity, 48% of the total population has access, with rural households at 36% and urban households at 94%. Of all users, 48.7% use latrines, with 38.7% in rural areas and 87.5% in urban areas that have toilets within the premises of their house. The use of toilets in the home is especially important for visually impaired individuals or those who are unable to move due to disabilities. </w:t>
      </w:r>
      <w:r w:rsidRPr="00374074">
        <w:rPr>
          <w:rFonts w:eastAsia="Malgun Gothic"/>
          <w:shd w:val="clear" w:color="auto" w:fill="FFFFFF"/>
          <w:lang w:eastAsia="ko-KR"/>
        </w:rPr>
        <w:t xml:space="preserve">The </w:t>
      </w:r>
      <w:r w:rsidRPr="00374074">
        <w:rPr>
          <w:shd w:val="clear" w:color="auto" w:fill="FFFFFF"/>
          <w:lang w:eastAsia="en-GB"/>
        </w:rPr>
        <w:t>Kingdom of Cambodia has continued to make significant demographic progress. In 2016, about 53% of households had access to clean drinking water and 55% of people in rural areas received rural sanitation services.</w:t>
      </w:r>
      <w:r w:rsidRPr="00374074">
        <w:rPr>
          <w:vertAlign w:val="superscript"/>
          <w:cs/>
          <w:lang w:eastAsia="en-GB"/>
        </w:rPr>
        <w:footnoteReference w:id="103"/>
      </w:r>
      <w:r w:rsidRPr="00374074">
        <w:rPr>
          <w:shd w:val="clear" w:color="auto" w:fill="FFFFFF"/>
          <w:lang w:eastAsia="en-GB"/>
        </w:rPr>
        <w:t xml:space="preserve"> Rural electricity supply covered 13,364 villages nationwide, which accounts for 14.96% of the total.</w:t>
      </w:r>
    </w:p>
    <w:p w14:paraId="7DE9A251" w14:textId="060FE919" w:rsidR="00374074" w:rsidRPr="00374074" w:rsidRDefault="00D24BC8" w:rsidP="00D24BC8">
      <w:pPr>
        <w:pStyle w:val="H1G"/>
        <w:rPr>
          <w:bCs/>
          <w:lang w:eastAsia="en-GB" w:bidi="km-KH"/>
        </w:rPr>
      </w:pPr>
      <w:bookmarkStart w:id="74" w:name="_Toc368313566"/>
      <w:bookmarkStart w:id="75" w:name="_Toc392839049"/>
      <w:bookmarkStart w:id="76" w:name="_Toc92875452"/>
      <w:bookmarkStart w:id="77" w:name="_Toc215321713"/>
      <w:r>
        <w:rPr>
          <w:lang w:eastAsia="en-GB" w:bidi="km-KH"/>
        </w:rPr>
        <w:tab/>
      </w:r>
      <w:r>
        <w:rPr>
          <w:lang w:eastAsia="en-GB" w:bidi="km-KH"/>
        </w:rPr>
        <w:tab/>
      </w:r>
      <w:r w:rsidR="00374074" w:rsidRPr="00374074">
        <w:rPr>
          <w:lang w:eastAsia="en-GB" w:bidi="km-KH"/>
        </w:rPr>
        <w:t>Participation in political and public</w:t>
      </w:r>
      <w:bookmarkEnd w:id="74"/>
      <w:bookmarkEnd w:id="75"/>
      <w:bookmarkEnd w:id="76"/>
      <w:r w:rsidR="00374074" w:rsidRPr="00374074">
        <w:rPr>
          <w:lang w:eastAsia="en-GB" w:bidi="km-KH"/>
        </w:rPr>
        <w:t xml:space="preserve"> life</w:t>
      </w:r>
      <w:bookmarkEnd w:id="77"/>
      <w:r w:rsidR="000C4430">
        <w:rPr>
          <w:lang w:eastAsia="en-GB" w:bidi="km-KH"/>
        </w:rPr>
        <w:br/>
      </w:r>
      <w:r w:rsidR="000C4430" w:rsidRPr="00374074">
        <w:rPr>
          <w:lang w:eastAsia="en-GB" w:bidi="km-KH"/>
        </w:rPr>
        <w:t xml:space="preserve">Article </w:t>
      </w:r>
      <w:r w:rsidR="000C4430" w:rsidRPr="00374074">
        <w:rPr>
          <w:bCs/>
          <w:cs/>
          <w:lang w:eastAsia="en-GB" w:bidi="km-KH"/>
        </w:rPr>
        <w:t>29</w:t>
      </w:r>
    </w:p>
    <w:p w14:paraId="0704EB0D" w14:textId="77777777" w:rsidR="00374074" w:rsidRPr="00374074" w:rsidRDefault="00374074" w:rsidP="0040290C">
      <w:pPr>
        <w:pStyle w:val="SingleTxtG"/>
        <w:numPr>
          <w:ilvl w:val="0"/>
          <w:numId w:val="7"/>
        </w:numPr>
        <w:ind w:left="1134" w:firstLine="0"/>
        <w:rPr>
          <w:lang w:eastAsia="en-GB"/>
        </w:rPr>
      </w:pPr>
      <w:r w:rsidRPr="00374074">
        <w:rPr>
          <w:lang w:eastAsia="en-GB"/>
        </w:rPr>
        <w:t xml:space="preserve">The </w:t>
      </w:r>
      <w:r w:rsidRPr="000C4430">
        <w:rPr>
          <w:shd w:val="clear" w:color="auto" w:fill="FFFFFF"/>
          <w:lang w:eastAsia="en-GB"/>
        </w:rPr>
        <w:t>Constitution</w:t>
      </w:r>
      <w:r w:rsidRPr="00374074">
        <w:rPr>
          <w:lang w:eastAsia="en-GB"/>
        </w:rPr>
        <w:t xml:space="preserve"> guarantees the right of Cambodian citizens to participate in political life,</w:t>
      </w:r>
      <w:r w:rsidRPr="00374074">
        <w:rPr>
          <w:spacing w:val="-2"/>
          <w:vertAlign w:val="superscript"/>
          <w:cs/>
          <w:lang w:eastAsia="en-GB"/>
        </w:rPr>
        <w:footnoteReference w:id="104"/>
      </w:r>
      <w:r w:rsidRPr="00374074">
        <w:rPr>
          <w:lang w:eastAsia="en-GB"/>
        </w:rPr>
        <w:t xml:space="preserve"> including the right to vote and stand for election, regardless of disability status.</w:t>
      </w:r>
      <w:r w:rsidRPr="00374074">
        <w:rPr>
          <w:vertAlign w:val="superscript"/>
          <w:cs/>
          <w:lang w:eastAsia="en-GB"/>
        </w:rPr>
        <w:footnoteReference w:id="105"/>
      </w:r>
    </w:p>
    <w:p w14:paraId="62B9FB4E" w14:textId="77777777" w:rsidR="00374074" w:rsidRPr="00374074" w:rsidRDefault="00374074" w:rsidP="0040290C">
      <w:pPr>
        <w:pStyle w:val="SingleTxtG"/>
        <w:numPr>
          <w:ilvl w:val="0"/>
          <w:numId w:val="7"/>
        </w:numPr>
        <w:ind w:left="1134" w:firstLine="0"/>
        <w:rPr>
          <w:lang w:eastAsia="en-GB"/>
        </w:rPr>
      </w:pPr>
      <w:r w:rsidRPr="00374074">
        <w:rPr>
          <w:lang w:eastAsia="en-GB"/>
        </w:rPr>
        <w:t xml:space="preserve">According to article 42 of </w:t>
      </w:r>
      <w:r w:rsidRPr="00374074">
        <w:rPr>
          <w:rFonts w:eastAsia="Malgun Gothic"/>
          <w:lang w:eastAsia="ko-KR"/>
        </w:rPr>
        <w:t xml:space="preserve">the </w:t>
      </w:r>
      <w:r w:rsidRPr="00374074">
        <w:rPr>
          <w:lang w:eastAsia="en-GB"/>
        </w:rPr>
        <w:t xml:space="preserve">Constitution, </w:t>
      </w:r>
      <w:r w:rsidRPr="00374074">
        <w:rPr>
          <w:i/>
          <w:iCs/>
          <w:lang w:eastAsia="en-GB"/>
        </w:rPr>
        <w:t>“Khmer citizens shall have the right to create associations and political parties.”</w:t>
      </w:r>
      <w:r w:rsidRPr="00374074">
        <w:rPr>
          <w:lang w:eastAsia="en-GB"/>
        </w:rPr>
        <w:t xml:space="preserve"> Furthermore, article 44 of the Law on the Protection and Promotion of the Rights of Persons with Disabilities states that “</w:t>
      </w:r>
      <w:r w:rsidRPr="00374074">
        <w:rPr>
          <w:i/>
          <w:iCs/>
          <w:lang w:eastAsia="en-GB"/>
        </w:rPr>
        <w:t>All persons with disabilities ha</w:t>
      </w:r>
      <w:r w:rsidRPr="00374074">
        <w:rPr>
          <w:i/>
          <w:iCs/>
          <w:szCs w:val="39"/>
          <w:lang w:eastAsia="en-GB" w:bidi="km-KH"/>
        </w:rPr>
        <w:t>ve</w:t>
      </w:r>
      <w:r w:rsidRPr="00374074">
        <w:rPr>
          <w:i/>
          <w:iCs/>
          <w:lang w:eastAsia="en-GB"/>
        </w:rPr>
        <w:t xml:space="preserve"> the right to vote or to </w:t>
      </w:r>
      <w:r w:rsidRPr="00374074">
        <w:rPr>
          <w:rFonts w:cs="DaunPenh"/>
          <w:i/>
          <w:iCs/>
          <w:szCs w:val="39"/>
          <w:lang w:val="en-US" w:eastAsia="en-GB" w:bidi="km-KH"/>
        </w:rPr>
        <w:t xml:space="preserve">be </w:t>
      </w:r>
      <w:r w:rsidRPr="00374074">
        <w:rPr>
          <w:i/>
          <w:iCs/>
          <w:lang w:eastAsia="en-GB"/>
        </w:rPr>
        <w:t>a candidate to be elected in accordance to the Constitution of the Kingdom of Cambodia and applicable Election Law.”</w:t>
      </w:r>
    </w:p>
    <w:p w14:paraId="13EAD846" w14:textId="77777777" w:rsidR="00374074" w:rsidRPr="00374074" w:rsidRDefault="00374074" w:rsidP="0040290C">
      <w:pPr>
        <w:pStyle w:val="SingleTxtG"/>
        <w:numPr>
          <w:ilvl w:val="0"/>
          <w:numId w:val="7"/>
        </w:numPr>
        <w:ind w:left="1134" w:firstLine="0"/>
        <w:rPr>
          <w:lang w:eastAsia="en-GB"/>
        </w:rPr>
      </w:pPr>
      <w:r w:rsidRPr="00374074">
        <w:rPr>
          <w:lang w:eastAsia="en-GB"/>
        </w:rPr>
        <w:t xml:space="preserve">Article 50 of the LPRPD stipulates: </w:t>
      </w:r>
      <w:r w:rsidRPr="000C4430">
        <w:rPr>
          <w:i/>
          <w:iCs/>
          <w:lang w:eastAsia="en-GB"/>
        </w:rPr>
        <w:t>“Any acts affecting the free exercise of the right to vote or affecting election regulations for persons with disabilities by using violence, coercion, threats or fraudulent actions shall be punishable by imprisonment for 1 (one) to 3 (three) years and liable to a fine ranging from 2,000,000 (two million) Riels to 6,000,000 (six million) Riels. Any offences committed with the use of weapons shall be punishable by imprisonment for 2 (two) to 5 (five) years and liable to a fine ranging from 4,000,000 (four million) Riels to 10,000,000 (ten million) Riels.”</w:t>
      </w:r>
    </w:p>
    <w:p w14:paraId="3377AF5A" w14:textId="77777777" w:rsidR="00374074" w:rsidRPr="00374074" w:rsidRDefault="00374074" w:rsidP="0040290C">
      <w:pPr>
        <w:pStyle w:val="SingleTxtG"/>
        <w:numPr>
          <w:ilvl w:val="0"/>
          <w:numId w:val="7"/>
        </w:numPr>
        <w:ind w:left="1134" w:firstLine="0"/>
        <w:rPr>
          <w:lang w:eastAsia="en-GB"/>
        </w:rPr>
      </w:pPr>
      <w:r w:rsidRPr="00374074">
        <w:rPr>
          <w:lang w:eastAsia="en-GB"/>
        </w:rPr>
        <w:t xml:space="preserve">The National Election Committee (NEC) has released </w:t>
      </w:r>
      <w:r w:rsidRPr="00374074">
        <w:rPr>
          <w:rFonts w:eastAsia="Malgun Gothic"/>
          <w:lang w:eastAsia="ko-KR"/>
        </w:rPr>
        <w:t>I</w:t>
      </w:r>
      <w:r w:rsidRPr="00374074">
        <w:rPr>
          <w:lang w:eastAsia="en-GB"/>
        </w:rPr>
        <w:t>nstruction No. 1272 NEC dated 6 September 2017, which outlines the identification of different categories of voter applicants with disabilities for the purpose of voter list updates and the 2017 voter registration.</w:t>
      </w:r>
      <w:r w:rsidRPr="00374074">
        <w:rPr>
          <w:vertAlign w:val="superscript"/>
          <w:cs/>
          <w:lang w:eastAsia="en-GB"/>
        </w:rPr>
        <w:footnoteReference w:id="106"/>
      </w:r>
    </w:p>
    <w:p w14:paraId="118ED2D6" w14:textId="77777777" w:rsidR="00374074" w:rsidRPr="00374074" w:rsidRDefault="00374074" w:rsidP="0040290C">
      <w:pPr>
        <w:pStyle w:val="SingleTxtG"/>
        <w:numPr>
          <w:ilvl w:val="0"/>
          <w:numId w:val="7"/>
        </w:numPr>
        <w:ind w:left="1134" w:firstLine="0"/>
        <w:rPr>
          <w:lang w:eastAsia="en-GB"/>
        </w:rPr>
      </w:pPr>
      <w:r w:rsidRPr="00374074">
        <w:rPr>
          <w:lang w:eastAsia="en-GB"/>
        </w:rPr>
        <w:t>The NEC fosters cooperation among NGOs, civil societ</w:t>
      </w:r>
      <w:r w:rsidRPr="00374074">
        <w:rPr>
          <w:szCs w:val="39"/>
          <w:lang w:eastAsia="en-GB" w:bidi="km-KH"/>
        </w:rPr>
        <w:t>y</w:t>
      </w:r>
      <w:r w:rsidRPr="00374074">
        <w:rPr>
          <w:lang w:eastAsia="en-GB"/>
        </w:rPr>
        <w:t xml:space="preserve"> and OPDs to educate persons with disabilities about their right to vote and to encourage them to vote. This initiative </w:t>
      </w:r>
      <w:r w:rsidRPr="00374074">
        <w:rPr>
          <w:lang w:eastAsia="en-GB"/>
        </w:rPr>
        <w:lastRenderedPageBreak/>
        <w:t xml:space="preserve">is implemented through election-related television programs, which include the use of sign language. Additionally, the NEC welcomes persons with disabilities to </w:t>
      </w:r>
      <w:r w:rsidRPr="00374074">
        <w:rPr>
          <w:rFonts w:eastAsia="Malgun Gothic"/>
          <w:lang w:eastAsia="ko-KR"/>
        </w:rPr>
        <w:t>serve</w:t>
      </w:r>
      <w:r w:rsidRPr="00374074">
        <w:rPr>
          <w:lang w:eastAsia="en-GB"/>
        </w:rPr>
        <w:t xml:space="preserve"> as election officials. In 2017, 13 employees with disabilities were working at the NEC.</w:t>
      </w:r>
      <w:r w:rsidRPr="00374074">
        <w:rPr>
          <w:vertAlign w:val="superscript"/>
          <w:cs/>
          <w:lang w:eastAsia="en-GB" w:bidi="km-KH"/>
        </w:rPr>
        <w:footnoteReference w:id="107"/>
      </w:r>
    </w:p>
    <w:p w14:paraId="2F3B05A1" w14:textId="77777777" w:rsidR="00374074" w:rsidRPr="00374074" w:rsidRDefault="00374074" w:rsidP="0040290C">
      <w:pPr>
        <w:pStyle w:val="SingleTxtG"/>
        <w:numPr>
          <w:ilvl w:val="0"/>
          <w:numId w:val="7"/>
        </w:numPr>
        <w:ind w:left="1134" w:firstLine="0"/>
        <w:rPr>
          <w:lang w:eastAsia="en-GB"/>
        </w:rPr>
      </w:pPr>
      <w:r w:rsidRPr="00374074">
        <w:rPr>
          <w:lang w:eastAsia="en-GB"/>
        </w:rPr>
        <w:t>A response letter from the NEC No. 1271, dated 6 September 2017, expressed support for the CDPO in executing work at the commune/sangkat level across the country to identify and locate voters with disabilities for the purpose of registering them to vote in the 2017 election.</w:t>
      </w:r>
    </w:p>
    <w:p w14:paraId="0653B993" w14:textId="77777777" w:rsidR="00374074" w:rsidRPr="00374074" w:rsidRDefault="00374074" w:rsidP="0040290C">
      <w:pPr>
        <w:pStyle w:val="SingleTxtG"/>
        <w:numPr>
          <w:ilvl w:val="0"/>
          <w:numId w:val="7"/>
        </w:numPr>
        <w:ind w:left="1134" w:firstLine="0"/>
        <w:rPr>
          <w:lang w:eastAsia="en-GB"/>
        </w:rPr>
      </w:pPr>
      <w:r w:rsidRPr="00374074">
        <w:rPr>
          <w:lang w:eastAsia="en-GB"/>
        </w:rPr>
        <w:t xml:space="preserve">On 29 November 2016, the voter registration for the fourth mandate of the </w:t>
      </w:r>
      <w:r w:rsidRPr="00374074">
        <w:rPr>
          <w:rFonts w:eastAsia="Malgun Gothic"/>
          <w:lang w:eastAsia="ko-KR"/>
        </w:rPr>
        <w:t>c</w:t>
      </w:r>
      <w:r w:rsidRPr="00374074">
        <w:rPr>
          <w:lang w:eastAsia="en-GB"/>
        </w:rPr>
        <w:t>ommune/</w:t>
      </w:r>
      <w:r w:rsidRPr="00374074">
        <w:rPr>
          <w:rFonts w:eastAsia="Malgun Gothic"/>
          <w:lang w:eastAsia="ko-KR"/>
        </w:rPr>
        <w:t>s</w:t>
      </w:r>
      <w:r w:rsidRPr="00374074">
        <w:rPr>
          <w:lang w:eastAsia="en-GB"/>
        </w:rPr>
        <w:t xml:space="preserve">angkat </w:t>
      </w:r>
      <w:r w:rsidRPr="00374074">
        <w:rPr>
          <w:rFonts w:eastAsia="Malgun Gothic"/>
          <w:lang w:eastAsia="ko-KR"/>
        </w:rPr>
        <w:t>c</w:t>
      </w:r>
      <w:r w:rsidRPr="00374074">
        <w:rPr>
          <w:lang w:eastAsia="en-GB"/>
        </w:rPr>
        <w:t xml:space="preserve">ouncil </w:t>
      </w:r>
      <w:r w:rsidRPr="00374074">
        <w:rPr>
          <w:rFonts w:eastAsia="Malgun Gothic"/>
          <w:lang w:eastAsia="ko-KR"/>
        </w:rPr>
        <w:t>e</w:t>
      </w:r>
      <w:r w:rsidRPr="00374074">
        <w:rPr>
          <w:lang w:eastAsia="en-GB"/>
        </w:rPr>
        <w:t>lection was completed. Of the 7,865,033 registered voters, 4,210,914 were women and 8,593 were persons with disabilities, including 2,887 women. Among all persons with disabilities, there were 2,992 individuals with left arm disabilities, including 778 women, and 4,152 individuals with right arm disabilities, including 1,395 women. There were also 1,449 individuals with disabilities in both arms, including 714 women.</w:t>
      </w:r>
      <w:r w:rsidRPr="00374074">
        <w:rPr>
          <w:vertAlign w:val="superscript"/>
          <w:cs/>
          <w:lang w:eastAsia="en-GB" w:bidi="km-KH"/>
        </w:rPr>
        <w:footnoteReference w:id="108"/>
      </w:r>
    </w:p>
    <w:p w14:paraId="5502E5D6" w14:textId="77777777" w:rsidR="00374074" w:rsidRPr="00374074" w:rsidRDefault="00374074" w:rsidP="0040290C">
      <w:pPr>
        <w:pStyle w:val="SingleTxtG"/>
        <w:numPr>
          <w:ilvl w:val="0"/>
          <w:numId w:val="7"/>
        </w:numPr>
        <w:ind w:left="1134" w:firstLine="0"/>
        <w:rPr>
          <w:lang w:eastAsia="en-GB"/>
        </w:rPr>
      </w:pPr>
      <w:r w:rsidRPr="00374074">
        <w:rPr>
          <w:shd w:val="clear" w:color="auto" w:fill="FFFFFF"/>
          <w:lang w:eastAsia="en-GB"/>
        </w:rPr>
        <w:t xml:space="preserve">On 9 November 2017, a total of 8,380,217 people were newly registered to vote, </w:t>
      </w:r>
      <w:r w:rsidRPr="00374074">
        <w:rPr>
          <w:rFonts w:eastAsia="Malgun Gothic"/>
          <w:shd w:val="clear" w:color="auto" w:fill="FFFFFF"/>
          <w:lang w:eastAsia="ko-KR"/>
        </w:rPr>
        <w:t>represent</w:t>
      </w:r>
      <w:r w:rsidRPr="00374074">
        <w:rPr>
          <w:shd w:val="clear" w:color="auto" w:fill="FFFFFF"/>
          <w:lang w:eastAsia="en-GB"/>
        </w:rPr>
        <w:t xml:space="preserve">ing 84.80% of the population, of </w:t>
      </w:r>
      <w:r w:rsidRPr="00374074">
        <w:rPr>
          <w:rFonts w:eastAsia="Malgun Gothic"/>
          <w:shd w:val="clear" w:color="auto" w:fill="FFFFFF"/>
          <w:lang w:eastAsia="ko-KR"/>
        </w:rPr>
        <w:t>these,</w:t>
      </w:r>
      <w:r w:rsidRPr="00374074">
        <w:rPr>
          <w:shd w:val="clear" w:color="auto" w:fill="FFFFFF"/>
          <w:lang w:eastAsia="en-GB"/>
        </w:rPr>
        <w:t xml:space="preserve"> 4,470,864 were women. The number of persons with disabilities who registered in the voters’ list for the 2018 National Assembly election was 5,880. This number included</w:t>
      </w:r>
      <w:r w:rsidRPr="00374074">
        <w:rPr>
          <w:rFonts w:eastAsia="Malgun Gothic"/>
          <w:shd w:val="clear" w:color="auto" w:fill="FFFFFF"/>
          <w:lang w:eastAsia="ko-KR"/>
        </w:rPr>
        <w:t>:</w:t>
      </w:r>
      <w:r w:rsidRPr="00374074">
        <w:rPr>
          <w:shd w:val="clear" w:color="auto" w:fill="FFFFFF"/>
          <w:lang w:eastAsia="en-GB"/>
        </w:rPr>
        <w:t xml:space="preserve"> 2,428 individuals with left arm disabilities (1,193 women)</w:t>
      </w:r>
      <w:r w:rsidRPr="00374074">
        <w:rPr>
          <w:rFonts w:eastAsia="Malgun Gothic"/>
          <w:shd w:val="clear" w:color="auto" w:fill="FFFFFF"/>
          <w:lang w:eastAsia="ko-KR"/>
        </w:rPr>
        <w:t>;</w:t>
      </w:r>
      <w:r w:rsidRPr="00374074">
        <w:rPr>
          <w:shd w:val="clear" w:color="auto" w:fill="FFFFFF"/>
          <w:lang w:eastAsia="en-GB"/>
        </w:rPr>
        <w:t xml:space="preserve"> 2,530 </w:t>
      </w:r>
      <w:r w:rsidRPr="00C44637">
        <w:rPr>
          <w:lang w:eastAsia="en-GB"/>
        </w:rPr>
        <w:t>individuals</w:t>
      </w:r>
      <w:r w:rsidRPr="00374074">
        <w:rPr>
          <w:shd w:val="clear" w:color="auto" w:fill="FFFFFF"/>
          <w:lang w:eastAsia="en-GB"/>
        </w:rPr>
        <w:t xml:space="preserve"> with right arm disabilities</w:t>
      </w:r>
      <w:r w:rsidRPr="00374074">
        <w:rPr>
          <w:rFonts w:eastAsia="Malgun Gothic"/>
          <w:shd w:val="clear" w:color="auto" w:fill="FFFFFF"/>
          <w:lang w:eastAsia="ko-KR"/>
        </w:rPr>
        <w:t xml:space="preserve"> </w:t>
      </w:r>
      <w:r w:rsidRPr="00374074">
        <w:rPr>
          <w:shd w:val="clear" w:color="auto" w:fill="FFFFFF"/>
          <w:lang w:eastAsia="en-GB"/>
        </w:rPr>
        <w:t>(1,258 women)</w:t>
      </w:r>
      <w:r w:rsidRPr="00374074">
        <w:rPr>
          <w:rFonts w:eastAsia="Malgun Gothic"/>
          <w:shd w:val="clear" w:color="auto" w:fill="FFFFFF"/>
          <w:lang w:eastAsia="ko-KR"/>
        </w:rPr>
        <w:t>;</w:t>
      </w:r>
      <w:r w:rsidRPr="00374074">
        <w:rPr>
          <w:shd w:val="clear" w:color="auto" w:fill="FFFFFF"/>
          <w:lang w:eastAsia="en-GB"/>
        </w:rPr>
        <w:t xml:space="preserve"> 745 individuals with disabilities in both arms (427 women)</w:t>
      </w:r>
      <w:r w:rsidRPr="00374074">
        <w:rPr>
          <w:rFonts w:eastAsia="Malgun Gothic"/>
          <w:shd w:val="clear" w:color="auto" w:fill="FFFFFF"/>
          <w:lang w:eastAsia="ko-KR"/>
        </w:rPr>
        <w:t>;</w:t>
      </w:r>
      <w:r w:rsidRPr="00374074">
        <w:rPr>
          <w:shd w:val="clear" w:color="auto" w:fill="FFFFFF"/>
          <w:lang w:eastAsia="en-GB"/>
        </w:rPr>
        <w:t xml:space="preserve"> 45 individuals with disabilities in both legs</w:t>
      </w:r>
      <w:r w:rsidRPr="00374074">
        <w:rPr>
          <w:rFonts w:eastAsia="Malgun Gothic"/>
          <w:shd w:val="clear" w:color="auto" w:fill="FFFFFF"/>
          <w:lang w:eastAsia="ko-KR"/>
        </w:rPr>
        <w:t xml:space="preserve"> </w:t>
      </w:r>
      <w:r w:rsidRPr="00374074">
        <w:rPr>
          <w:shd w:val="clear" w:color="auto" w:fill="FFFFFF"/>
          <w:lang w:eastAsia="en-GB"/>
        </w:rPr>
        <w:t>(14 women)</w:t>
      </w:r>
      <w:r w:rsidRPr="00374074">
        <w:rPr>
          <w:rFonts w:eastAsia="Malgun Gothic"/>
          <w:shd w:val="clear" w:color="auto" w:fill="FFFFFF"/>
          <w:lang w:eastAsia="ko-KR"/>
        </w:rPr>
        <w:t>;</w:t>
      </w:r>
      <w:r w:rsidRPr="00374074">
        <w:rPr>
          <w:shd w:val="clear" w:color="auto" w:fill="FFFFFF"/>
          <w:lang w:eastAsia="en-GB"/>
        </w:rPr>
        <w:t xml:space="preserve"> and, 132 individuals with blindness in both eyes</w:t>
      </w:r>
      <w:r w:rsidRPr="00374074">
        <w:rPr>
          <w:rFonts w:eastAsia="Malgun Gothic"/>
          <w:shd w:val="clear" w:color="auto" w:fill="FFFFFF"/>
          <w:lang w:eastAsia="ko-KR"/>
        </w:rPr>
        <w:t xml:space="preserve"> </w:t>
      </w:r>
      <w:r w:rsidRPr="00374074">
        <w:rPr>
          <w:shd w:val="clear" w:color="auto" w:fill="FFFFFF"/>
          <w:lang w:eastAsia="en-GB"/>
        </w:rPr>
        <w:t>(61 women).</w:t>
      </w:r>
      <w:r w:rsidRPr="00374074">
        <w:rPr>
          <w:vertAlign w:val="superscript"/>
          <w:cs/>
          <w:lang w:eastAsia="en-GB" w:bidi="km-KH"/>
        </w:rPr>
        <w:footnoteReference w:id="109"/>
      </w:r>
    </w:p>
    <w:p w14:paraId="6B382DBD" w14:textId="77777777" w:rsidR="00374074" w:rsidRPr="00374074" w:rsidRDefault="00374074" w:rsidP="0040290C">
      <w:pPr>
        <w:pStyle w:val="SingleTxtG"/>
        <w:numPr>
          <w:ilvl w:val="0"/>
          <w:numId w:val="7"/>
        </w:numPr>
        <w:ind w:left="1134" w:firstLine="0"/>
        <w:rPr>
          <w:lang w:eastAsia="en-GB"/>
        </w:rPr>
      </w:pPr>
      <w:r w:rsidRPr="00374074">
        <w:rPr>
          <w:lang w:eastAsia="en-GB"/>
        </w:rPr>
        <w:t xml:space="preserve">The NEC prioritizes </w:t>
      </w:r>
      <w:r w:rsidRPr="00C44637">
        <w:rPr>
          <w:shd w:val="clear" w:color="auto" w:fill="FFFFFF"/>
          <w:lang w:eastAsia="en-GB"/>
        </w:rPr>
        <w:t>and</w:t>
      </w:r>
      <w:r w:rsidRPr="00374074">
        <w:rPr>
          <w:lang w:eastAsia="en-GB"/>
        </w:rPr>
        <w:t xml:space="preserve"> encourages the selection of candidates who are </w:t>
      </w:r>
      <w:r w:rsidRPr="00374074">
        <w:rPr>
          <w:rFonts w:eastAsia="Malgun Gothic"/>
          <w:lang w:eastAsia="ko-KR"/>
        </w:rPr>
        <w:t>I</w:t>
      </w:r>
      <w:r w:rsidRPr="00374074">
        <w:rPr>
          <w:lang w:eastAsia="en-GB"/>
        </w:rPr>
        <w:t xml:space="preserve">ndigenous or residing in areas with significant </w:t>
      </w:r>
      <w:r w:rsidRPr="00374074">
        <w:rPr>
          <w:rFonts w:eastAsia="Malgun Gothic"/>
          <w:lang w:eastAsia="ko-KR"/>
        </w:rPr>
        <w:t>I</w:t>
      </w:r>
      <w:r w:rsidRPr="00374074">
        <w:rPr>
          <w:lang w:eastAsia="en-GB"/>
        </w:rPr>
        <w:t xml:space="preserve">ndigenous populations, as well as qualified candidates with disabilities who possess the necessary abilities and </w:t>
      </w:r>
      <w:r w:rsidRPr="00374074">
        <w:rPr>
          <w:szCs w:val="39"/>
          <w:lang w:eastAsia="en-GB" w:bidi="km-KH"/>
        </w:rPr>
        <w:t>physical fitness</w:t>
      </w:r>
      <w:r w:rsidRPr="00374074">
        <w:rPr>
          <w:lang w:eastAsia="en-GB"/>
        </w:rPr>
        <w:t xml:space="preserve"> required for their respective roles.</w:t>
      </w:r>
      <w:r w:rsidRPr="00374074">
        <w:rPr>
          <w:vertAlign w:val="superscript"/>
          <w:cs/>
          <w:lang w:eastAsia="en-GB" w:bidi="km-KH"/>
        </w:rPr>
        <w:footnoteReference w:id="110"/>
      </w:r>
    </w:p>
    <w:p w14:paraId="653F942F" w14:textId="77777777" w:rsidR="00374074" w:rsidRPr="00374074" w:rsidRDefault="00374074" w:rsidP="0040290C">
      <w:pPr>
        <w:pStyle w:val="SingleTxtG"/>
        <w:numPr>
          <w:ilvl w:val="0"/>
          <w:numId w:val="7"/>
        </w:numPr>
        <w:ind w:left="1134" w:firstLine="0"/>
        <w:rPr>
          <w:lang w:eastAsia="en-GB"/>
        </w:rPr>
      </w:pPr>
      <w:r w:rsidRPr="00374074">
        <w:rPr>
          <w:lang w:eastAsia="en-GB"/>
        </w:rPr>
        <w:t>If an individual has</w:t>
      </w:r>
      <w:r w:rsidRPr="00374074">
        <w:rPr>
          <w:rFonts w:eastAsia="Malgun Gothic"/>
          <w:lang w:eastAsia="ko-KR"/>
        </w:rPr>
        <w:t xml:space="preserve"> </w:t>
      </w:r>
      <w:r w:rsidRPr="00374074">
        <w:rPr>
          <w:lang w:eastAsia="en-GB"/>
        </w:rPr>
        <w:t xml:space="preserve">disability in one or both arms or does not have fingerprints, the head of the voter registration office shall authorize </w:t>
      </w:r>
      <w:r w:rsidRPr="00374074">
        <w:rPr>
          <w:rFonts w:eastAsia="Malgun Gothic"/>
          <w:lang w:eastAsia="ko-KR"/>
        </w:rPr>
        <w:t>their</w:t>
      </w:r>
      <w:r w:rsidRPr="00374074">
        <w:rPr>
          <w:lang w:eastAsia="en-GB"/>
        </w:rPr>
        <w:t xml:space="preserve"> participat</w:t>
      </w:r>
      <w:r w:rsidRPr="00374074">
        <w:rPr>
          <w:rFonts w:eastAsia="Malgun Gothic"/>
          <w:lang w:eastAsia="ko-KR"/>
        </w:rPr>
        <w:t>ion</w:t>
      </w:r>
      <w:r w:rsidRPr="00374074">
        <w:rPr>
          <w:lang w:eastAsia="en-GB"/>
        </w:rPr>
        <w:t xml:space="preserve"> in the voter registration program.</w:t>
      </w:r>
      <w:r w:rsidRPr="00374074">
        <w:rPr>
          <w:vertAlign w:val="superscript"/>
          <w:cs/>
          <w:lang w:eastAsia="en-GB" w:bidi="km-KH"/>
        </w:rPr>
        <w:footnoteReference w:id="111"/>
      </w:r>
    </w:p>
    <w:p w14:paraId="5324B7E6" w14:textId="77777777" w:rsidR="00374074" w:rsidRPr="00374074" w:rsidRDefault="00374074" w:rsidP="0040290C">
      <w:pPr>
        <w:pStyle w:val="SingleTxtG"/>
        <w:numPr>
          <w:ilvl w:val="0"/>
          <w:numId w:val="7"/>
        </w:numPr>
        <w:ind w:left="1134" w:firstLine="0"/>
        <w:rPr>
          <w:lang w:eastAsia="en-GB"/>
        </w:rPr>
      </w:pPr>
      <w:r w:rsidRPr="00374074">
        <w:rPr>
          <w:rFonts w:eastAsia="Malgun Gothic"/>
          <w:lang w:eastAsia="ko-KR" w:bidi="km-KH"/>
        </w:rPr>
        <w:t xml:space="preserve">Voters who are </w:t>
      </w:r>
      <w:r w:rsidRPr="00374074">
        <w:rPr>
          <w:rFonts w:eastAsia="Malgun Gothic"/>
          <w:lang w:eastAsia="ko-KR"/>
        </w:rPr>
        <w:t>e</w:t>
      </w:r>
      <w:r w:rsidRPr="00374074">
        <w:rPr>
          <w:lang w:eastAsia="en-GB"/>
        </w:rPr>
        <w:t>lderly, pregnant women, women with small children, persons with disabilities and the sick are given priority in the queue.</w:t>
      </w:r>
      <w:r w:rsidRPr="00374074">
        <w:rPr>
          <w:vertAlign w:val="superscript"/>
          <w:cs/>
          <w:lang w:eastAsia="en-GB" w:bidi="km-KH"/>
        </w:rPr>
        <w:footnoteReference w:id="112"/>
      </w:r>
    </w:p>
    <w:p w14:paraId="42AFD0D1" w14:textId="77777777" w:rsidR="00374074" w:rsidRPr="00374074" w:rsidRDefault="00374074" w:rsidP="0040290C">
      <w:pPr>
        <w:pStyle w:val="SingleTxtG"/>
        <w:numPr>
          <w:ilvl w:val="0"/>
          <w:numId w:val="7"/>
        </w:numPr>
        <w:ind w:left="1134" w:firstLine="0"/>
        <w:rPr>
          <w:lang w:eastAsia="en-GB"/>
        </w:rPr>
      </w:pPr>
      <w:r w:rsidRPr="00374074">
        <w:rPr>
          <w:lang w:eastAsia="en-GB"/>
        </w:rPr>
        <w:t>Khmer citizens of either sex have the right to vote and stand for election.</w:t>
      </w:r>
      <w:r w:rsidRPr="00374074">
        <w:rPr>
          <w:vertAlign w:val="superscript"/>
          <w:lang w:eastAsia="en-GB" w:bidi="km-KH"/>
        </w:rPr>
        <w:footnoteReference w:id="113"/>
      </w:r>
    </w:p>
    <w:p w14:paraId="6DEAA8BB" w14:textId="77777777" w:rsidR="00374074" w:rsidRPr="00374074" w:rsidRDefault="00374074" w:rsidP="0040290C">
      <w:pPr>
        <w:pStyle w:val="SingleTxtG"/>
        <w:numPr>
          <w:ilvl w:val="0"/>
          <w:numId w:val="7"/>
        </w:numPr>
        <w:ind w:left="1134" w:firstLine="0"/>
        <w:rPr>
          <w:lang w:eastAsia="en-GB"/>
        </w:rPr>
      </w:pPr>
      <w:r w:rsidRPr="00374074">
        <w:rPr>
          <w:lang w:eastAsia="en-GB"/>
        </w:rPr>
        <w:t xml:space="preserve">Voters who are unable to vote on their own due to disabilities may opt to bring an adult assistant or request assistance from the Chairperson of the Polling Station Committee. The Chairperson of the Polling Station Committee is required to accompany the voter with </w:t>
      </w:r>
      <w:r w:rsidRPr="00374074">
        <w:rPr>
          <w:rFonts w:eastAsia="Malgun Gothic"/>
          <w:lang w:eastAsia="ko-KR"/>
        </w:rPr>
        <w:t xml:space="preserve">a </w:t>
      </w:r>
      <w:r w:rsidRPr="00374074">
        <w:rPr>
          <w:lang w:eastAsia="en-GB"/>
        </w:rPr>
        <w:t>disability or may delegate a member of the Polling Station Committee to assist with the consent of the individual concerned.</w:t>
      </w:r>
      <w:r w:rsidRPr="00374074">
        <w:rPr>
          <w:vertAlign w:val="superscript"/>
          <w:cs/>
          <w:lang w:eastAsia="en-GB" w:bidi="km-KH"/>
        </w:rPr>
        <w:footnoteReference w:id="114"/>
      </w:r>
    </w:p>
    <w:p w14:paraId="5E5800B9" w14:textId="77777777" w:rsidR="00374074" w:rsidRPr="00374074" w:rsidRDefault="00374074" w:rsidP="0040290C">
      <w:pPr>
        <w:pStyle w:val="SingleTxtG"/>
        <w:numPr>
          <w:ilvl w:val="0"/>
          <w:numId w:val="7"/>
        </w:numPr>
        <w:ind w:left="1134" w:firstLine="0"/>
        <w:rPr>
          <w:lang w:eastAsia="en-GB"/>
        </w:rPr>
      </w:pPr>
      <w:r w:rsidRPr="00374074">
        <w:rPr>
          <w:lang w:eastAsia="en-GB"/>
        </w:rPr>
        <w:lastRenderedPageBreak/>
        <w:t xml:space="preserve">In order to facilitate independent voting for individuals </w:t>
      </w:r>
      <w:r w:rsidRPr="00374074">
        <w:rPr>
          <w:rFonts w:eastAsia="Malgun Gothic"/>
          <w:lang w:eastAsia="ko-KR"/>
        </w:rPr>
        <w:t>who are</w:t>
      </w:r>
      <w:r w:rsidRPr="00374074">
        <w:rPr>
          <w:lang w:eastAsia="en-GB"/>
        </w:rPr>
        <w:t xml:space="preserve"> blind in both eyes, the Chairperson of the Polling Station Committee shall provide instruction</w:t>
      </w:r>
      <w:r w:rsidRPr="00374074">
        <w:rPr>
          <w:rFonts w:eastAsia="Malgun Gothic"/>
          <w:lang w:eastAsia="ko-KR"/>
        </w:rPr>
        <w:t>s</w:t>
      </w:r>
      <w:r w:rsidRPr="00374074">
        <w:rPr>
          <w:lang w:eastAsia="en-GB"/>
        </w:rPr>
        <w:t xml:space="preserve"> </w:t>
      </w:r>
      <w:r w:rsidRPr="00374074">
        <w:rPr>
          <w:rFonts w:eastAsia="Malgun Gothic"/>
          <w:lang w:eastAsia="ko-KR"/>
        </w:rPr>
        <w:t>to</w:t>
      </w:r>
      <w:r w:rsidRPr="00374074">
        <w:rPr>
          <w:lang w:eastAsia="en-GB"/>
        </w:rPr>
        <w:t xml:space="preserve"> the voters to use special ballot papers. These papers have elongated rectangular holes </w:t>
      </w:r>
      <w:r w:rsidRPr="00374074">
        <w:rPr>
          <w:rFonts w:eastAsia="Malgun Gothic"/>
          <w:lang w:eastAsia="ko-KR"/>
        </w:rPr>
        <w:t>that are</w:t>
      </w:r>
      <w:r w:rsidRPr="00374074">
        <w:rPr>
          <w:lang w:eastAsia="en-GB"/>
        </w:rPr>
        <w:t xml:space="preserve"> equivalent</w:t>
      </w:r>
      <w:r w:rsidRPr="00374074">
        <w:rPr>
          <w:rFonts w:eastAsia="Malgun Gothic"/>
          <w:lang w:eastAsia="ko-KR"/>
        </w:rPr>
        <w:t xml:space="preserve"> in</w:t>
      </w:r>
      <w:r w:rsidRPr="00374074">
        <w:rPr>
          <w:lang w:eastAsia="en-GB"/>
        </w:rPr>
        <w:t xml:space="preserve"> size to the boxes that represent political parties on the ballot. Voters </w:t>
      </w:r>
      <w:r w:rsidRPr="00374074">
        <w:rPr>
          <w:rFonts w:eastAsia="Malgun Gothic"/>
          <w:lang w:eastAsia="ko-KR"/>
        </w:rPr>
        <w:t>who are</w:t>
      </w:r>
      <w:r w:rsidRPr="00374074">
        <w:rPr>
          <w:lang w:eastAsia="en-GB"/>
        </w:rPr>
        <w:t xml:space="preserve"> blind in both eyes may touch and mark the rectangular holes that correspond to their preferred political party’s box.</w:t>
      </w:r>
      <w:r w:rsidRPr="00374074">
        <w:rPr>
          <w:vertAlign w:val="superscript"/>
          <w:cs/>
          <w:lang w:eastAsia="en-GB" w:bidi="km-KH"/>
        </w:rPr>
        <w:footnoteReference w:id="115"/>
      </w:r>
      <w:bookmarkStart w:id="78" w:name="_Toc92875453"/>
    </w:p>
    <w:p w14:paraId="71209D89" w14:textId="0CD6B01C" w:rsidR="00374074" w:rsidRPr="00374074" w:rsidRDefault="00A42614" w:rsidP="00A42614">
      <w:pPr>
        <w:pStyle w:val="H1G"/>
        <w:rPr>
          <w:bCs/>
          <w:rtl/>
          <w:cs/>
          <w:lang w:eastAsia="en-GB" w:bidi="km-KH"/>
        </w:rPr>
      </w:pPr>
      <w:bookmarkStart w:id="79" w:name="_Toc215321714"/>
      <w:r>
        <w:rPr>
          <w:lang w:eastAsia="en-GB" w:bidi="km-KH"/>
        </w:rPr>
        <w:tab/>
      </w:r>
      <w:r>
        <w:rPr>
          <w:lang w:eastAsia="en-GB" w:bidi="km-KH"/>
        </w:rPr>
        <w:tab/>
      </w:r>
      <w:bookmarkEnd w:id="78"/>
      <w:r w:rsidR="00374074" w:rsidRPr="00374074">
        <w:rPr>
          <w:lang w:eastAsia="en-GB" w:bidi="km-KH"/>
        </w:rPr>
        <w:t>Participation in cultural life, recreation, leisure and sport</w:t>
      </w:r>
      <w:bookmarkEnd w:id="79"/>
      <w:r w:rsidR="00385E92">
        <w:rPr>
          <w:lang w:eastAsia="en-GB" w:bidi="km-KH"/>
        </w:rPr>
        <w:br/>
      </w:r>
      <w:r w:rsidR="00385E92" w:rsidRPr="00374074">
        <w:rPr>
          <w:lang w:eastAsia="en-GB" w:bidi="km-KH"/>
        </w:rPr>
        <w:t>Article</w:t>
      </w:r>
      <w:r w:rsidR="00385E92" w:rsidRPr="00374074">
        <w:rPr>
          <w:bCs/>
          <w:lang w:eastAsia="en-GB" w:bidi="km-KH"/>
        </w:rPr>
        <w:t xml:space="preserve"> </w:t>
      </w:r>
      <w:r w:rsidR="00385E92" w:rsidRPr="00374074">
        <w:rPr>
          <w:bCs/>
          <w:cs/>
          <w:lang w:eastAsia="en-GB" w:bidi="km-KH"/>
        </w:rPr>
        <w:t>30</w:t>
      </w:r>
    </w:p>
    <w:p w14:paraId="0B4872EE" w14:textId="77777777" w:rsidR="00374074" w:rsidRPr="00374074" w:rsidRDefault="00374074" w:rsidP="0040290C">
      <w:pPr>
        <w:pStyle w:val="SingleTxtG"/>
        <w:numPr>
          <w:ilvl w:val="0"/>
          <w:numId w:val="7"/>
        </w:numPr>
        <w:ind w:left="1134" w:firstLine="0"/>
        <w:rPr>
          <w:lang w:eastAsia="en-GB" w:bidi="km-KH"/>
        </w:rPr>
      </w:pPr>
      <w:r w:rsidRPr="00374074">
        <w:rPr>
          <w:lang w:eastAsia="en-GB"/>
        </w:rPr>
        <w:t>The National Paralympic Committee of Cambodia (NPCC)</w:t>
      </w:r>
      <w:r w:rsidRPr="00374074">
        <w:rPr>
          <w:vertAlign w:val="superscript"/>
          <w:cs/>
          <w:lang w:eastAsia="en-GB"/>
        </w:rPr>
        <w:footnoteReference w:id="116"/>
      </w:r>
      <w:r w:rsidRPr="00374074">
        <w:rPr>
          <w:lang w:eastAsia="en-GB"/>
        </w:rPr>
        <w:t xml:space="preserve"> was established by the RGC in 1997 with the aim of promoting the rights of persons with disabilities in various sporting events. From 1999 to 2017, the National Paralympic Committee of Cambodia facilitated the participation of its athletes in 24 international competitions, receiving a total of 159 medals, including 22 gold, 78 silver and 59 bronze.</w:t>
      </w:r>
    </w:p>
    <w:p w14:paraId="756DC623" w14:textId="77777777" w:rsidR="00374074" w:rsidRPr="00374074" w:rsidRDefault="00374074" w:rsidP="0040290C">
      <w:pPr>
        <w:pStyle w:val="SingleTxtG"/>
        <w:numPr>
          <w:ilvl w:val="0"/>
          <w:numId w:val="7"/>
        </w:numPr>
        <w:ind w:left="1134" w:firstLine="0"/>
        <w:rPr>
          <w:lang w:eastAsia="en-GB"/>
        </w:rPr>
      </w:pPr>
      <w:r w:rsidRPr="00374074">
        <w:rPr>
          <w:lang w:eastAsia="en-GB"/>
        </w:rPr>
        <w:t>The National Special Olympic Committee of Cambodia (NSOCC) was established on 1 August 2005, during the inaugural meeting of sports coaches for persons with intellectual disabilities at the National Olympic Stadium. With the aid of this Committee, Cambodia has sent athletes with intellectual disabilities to compete in 12 international contests, including seven at sub-Mekong level, one at Asia-Pacific level and one at Southeast Asia level, acquiring a total of 76 medals, including 23 gold, 49 silver and 4 bronze.</w:t>
      </w:r>
    </w:p>
    <w:p w14:paraId="0F5716F7" w14:textId="77777777" w:rsidR="00374074" w:rsidRPr="00374074" w:rsidRDefault="00374074" w:rsidP="0040290C">
      <w:pPr>
        <w:pStyle w:val="SingleTxtG"/>
        <w:numPr>
          <w:ilvl w:val="0"/>
          <w:numId w:val="7"/>
        </w:numPr>
        <w:ind w:left="1134" w:firstLine="0"/>
        <w:rPr>
          <w:sz w:val="36"/>
          <w:szCs w:val="36"/>
          <w:lang w:eastAsia="en-GB"/>
        </w:rPr>
      </w:pPr>
      <w:r w:rsidRPr="00374074">
        <w:rPr>
          <w:lang w:eastAsia="en-GB"/>
        </w:rPr>
        <w:t>The RGC endeavours to promote the rights of persons with disabilities and foster their participation in professional competitions, as well as national and international Special Olympics on equal footing with their peers, thus harnessing their potential, ingenuity and intellect. With this objective in mind, the government pledges to award up to 40,000,000 (forty million) Riels</w:t>
      </w:r>
      <w:r w:rsidRPr="00374074">
        <w:rPr>
          <w:vertAlign w:val="superscript"/>
          <w:cs/>
          <w:lang w:eastAsia="en-GB" w:bidi="km-KH"/>
        </w:rPr>
        <w:footnoteReference w:id="117"/>
      </w:r>
      <w:r w:rsidRPr="00374074">
        <w:rPr>
          <w:lang w:eastAsia="en-GB"/>
        </w:rPr>
        <w:t xml:space="preserve"> for international gold medals of world-class calibre and 10,000,000 (ten million) Riels for national gold medals. </w:t>
      </w:r>
    </w:p>
    <w:p w14:paraId="1B18CB16" w14:textId="77777777" w:rsidR="00374074" w:rsidRPr="00374074" w:rsidRDefault="00374074" w:rsidP="0040290C">
      <w:pPr>
        <w:pStyle w:val="SingleTxtG"/>
        <w:numPr>
          <w:ilvl w:val="0"/>
          <w:numId w:val="7"/>
        </w:numPr>
        <w:ind w:left="1134" w:firstLine="0"/>
        <w:rPr>
          <w:lang w:eastAsia="en-GB"/>
        </w:rPr>
      </w:pPr>
      <w:r w:rsidRPr="00374074">
        <w:rPr>
          <w:lang w:eastAsia="en-GB"/>
        </w:rPr>
        <w:t>From 14 to 21 March 2019, nine Cambodian athletes with intellectual disabilities, four of whom were women, competed in two world championships in Dubai, United Arab Emirates, in athletic sports and pétanque, achieving a total of three gold, three silver and four bronze medals. The RGC has awarded the following prizes to the medallists: 30,000,000 (thirty million) Riels each for the gold medal winners, 20,000,000 (twenty million) Riels each for the silver medal winners, and 16,000,000 (sixteen million) Riels each for the bronze medal winners</w:t>
      </w:r>
      <w:r w:rsidRPr="00374074">
        <w:rPr>
          <w:szCs w:val="39"/>
          <w:lang w:eastAsia="en-GB" w:bidi="km-KH"/>
        </w:rPr>
        <w:t>.</w:t>
      </w:r>
      <w:r w:rsidRPr="00374074">
        <w:rPr>
          <w:vertAlign w:val="superscript"/>
          <w:cs/>
          <w:lang w:eastAsia="en-GB" w:bidi="km-KH"/>
        </w:rPr>
        <w:footnoteReference w:id="118"/>
      </w:r>
    </w:p>
    <w:p w14:paraId="2133DE2A" w14:textId="77777777" w:rsidR="00374074" w:rsidRPr="00374074" w:rsidRDefault="00374074" w:rsidP="0040290C">
      <w:pPr>
        <w:pStyle w:val="SingleTxtG"/>
        <w:numPr>
          <w:ilvl w:val="0"/>
          <w:numId w:val="7"/>
        </w:numPr>
        <w:ind w:left="1134" w:firstLine="0"/>
        <w:rPr>
          <w:lang w:eastAsia="en-GB"/>
        </w:rPr>
      </w:pPr>
      <w:r w:rsidRPr="00374074">
        <w:rPr>
          <w:lang w:eastAsia="en-GB"/>
        </w:rPr>
        <w:t xml:space="preserve">The Ministry of Culture and Fine Arts (MoCFA) recognizes the excellence of persons with visual impairments in the mastery of the art of Chapey Dang Veng </w:t>
      </w:r>
      <w:r w:rsidRPr="00374074">
        <w:rPr>
          <w:szCs w:val="39"/>
          <w:lang w:eastAsia="en-GB" w:bidi="km-KH"/>
        </w:rPr>
        <w:t>(Khmer Stringed Instrument)</w:t>
      </w:r>
      <w:r w:rsidRPr="00374074">
        <w:rPr>
          <w:lang w:eastAsia="en-GB"/>
        </w:rPr>
        <w:t>. In appreciation of their contributions, the Ministry has conferred the prestigious Phirum Vohar title upon the esteemed elder artist, Grandfather (Lokta) Prach Chhuon, and has bestowed national honours upon the venerable senior artist, Grandfather Kong Nai, with the title of Korsal Vohar. Additionally, Kong Nai has been honoured with the Art and Culture Award 2017 from Fukuoka, Japan.</w:t>
      </w:r>
    </w:p>
    <w:p w14:paraId="5DDEBC8F" w14:textId="77777777" w:rsidR="00374074" w:rsidRPr="00374074" w:rsidRDefault="00374074" w:rsidP="0040290C">
      <w:pPr>
        <w:pStyle w:val="SingleTxtG"/>
        <w:numPr>
          <w:ilvl w:val="0"/>
          <w:numId w:val="7"/>
        </w:numPr>
        <w:ind w:left="1134" w:firstLine="0"/>
        <w:rPr>
          <w:lang w:eastAsia="en-GB"/>
        </w:rPr>
      </w:pPr>
      <w:r w:rsidRPr="00374074">
        <w:rPr>
          <w:lang w:eastAsia="en-GB"/>
        </w:rPr>
        <w:t xml:space="preserve">A total of 603 children and youth with intellectual disabilities were encouraged to explore public spaces, including distinct tourist destinations, which </w:t>
      </w:r>
      <w:r w:rsidRPr="00374074">
        <w:rPr>
          <w:szCs w:val="39"/>
          <w:lang w:eastAsia="en-GB" w:bidi="km-KH"/>
        </w:rPr>
        <w:t xml:space="preserve">they visited </w:t>
      </w:r>
      <w:r w:rsidRPr="00374074">
        <w:rPr>
          <w:lang w:eastAsia="en-GB"/>
        </w:rPr>
        <w:t>four times, and 18 young people with intellectual disabilities participated in four study tours abroad. The RGC t, Senate, Red Cross and some embassies member jointly prepared solidarity meals on seven occasions for 1,050 young persons with disabilities.</w:t>
      </w:r>
      <w:r w:rsidRPr="00374074">
        <w:rPr>
          <w:vertAlign w:val="superscript"/>
          <w:cs/>
          <w:lang w:eastAsia="en-GB" w:bidi="km-KH"/>
        </w:rPr>
        <w:footnoteReference w:id="119"/>
      </w:r>
    </w:p>
    <w:p w14:paraId="44F4A8D8" w14:textId="77777777" w:rsidR="00374074" w:rsidRPr="00374074" w:rsidRDefault="00374074" w:rsidP="00F01A9F">
      <w:pPr>
        <w:pStyle w:val="SingleTxtG"/>
        <w:numPr>
          <w:ilvl w:val="0"/>
          <w:numId w:val="7"/>
        </w:numPr>
        <w:ind w:left="1134" w:firstLine="0"/>
        <w:rPr>
          <w:lang w:eastAsia="en-GB"/>
        </w:rPr>
      </w:pPr>
      <w:r w:rsidRPr="00374074">
        <w:rPr>
          <w:shd w:val="clear" w:color="auto" w:fill="FFFFFF"/>
          <w:lang w:eastAsia="en-GB"/>
        </w:rPr>
        <w:lastRenderedPageBreak/>
        <w:t xml:space="preserve">The DAC has led a team of young persons with disabilities to participate in 10 out of 12 information technology (IT) competitions since 2011. The team received 28 medals in total, including 8 gold </w:t>
      </w:r>
      <w:r w:rsidRPr="00F01A9F">
        <w:rPr>
          <w:lang w:eastAsia="en-GB"/>
        </w:rPr>
        <w:t>medals</w:t>
      </w:r>
      <w:r w:rsidRPr="00374074">
        <w:rPr>
          <w:shd w:val="clear" w:color="auto" w:fill="FFFFFF"/>
          <w:lang w:eastAsia="en-GB"/>
        </w:rPr>
        <w:t>, 7 silver medals and 13 bronze medals.</w:t>
      </w:r>
      <w:r w:rsidRPr="00374074">
        <w:rPr>
          <w:vertAlign w:val="superscript"/>
          <w:cs/>
          <w:lang w:eastAsia="en-GB"/>
        </w:rPr>
        <w:footnoteReference w:id="120"/>
      </w:r>
    </w:p>
    <w:p w14:paraId="78FE39B6" w14:textId="77777777" w:rsidR="00374074" w:rsidRPr="00374074" w:rsidRDefault="00374074" w:rsidP="00F01A9F">
      <w:pPr>
        <w:pStyle w:val="SingleTxtG"/>
        <w:numPr>
          <w:ilvl w:val="0"/>
          <w:numId w:val="7"/>
        </w:numPr>
        <w:ind w:left="1134" w:firstLine="0"/>
        <w:rPr>
          <w:lang w:eastAsia="en-GB"/>
        </w:rPr>
      </w:pPr>
      <w:r w:rsidRPr="00374074">
        <w:rPr>
          <w:lang w:eastAsia="en-GB"/>
        </w:rPr>
        <w:t>The RGC has provided musical instruments for five musical bands and three locations, namely Wat Phnom Park, Park in front of Botum Vatey Pagoda, and Freedom Park, in support of five groups of visually impaired individuals. This initiative aims to showcase the talents of persons with disabilities and provide them with a means of earning a living.</w:t>
      </w:r>
      <w:bookmarkStart w:id="80" w:name="_Toc92875454"/>
      <w:bookmarkStart w:id="81" w:name="_Toc392839052"/>
    </w:p>
    <w:p w14:paraId="4BF8F3C0" w14:textId="7177033E" w:rsidR="00374074" w:rsidRPr="00374074" w:rsidRDefault="001E17DA" w:rsidP="001E17DA">
      <w:pPr>
        <w:pStyle w:val="HChG"/>
        <w:rPr>
          <w:lang w:eastAsia="en-GB" w:bidi="km-KH"/>
        </w:rPr>
      </w:pPr>
      <w:bookmarkStart w:id="82" w:name="_Toc215321715"/>
      <w:r>
        <w:rPr>
          <w:lang w:eastAsia="en-GB" w:bidi="km-KH"/>
        </w:rPr>
        <w:tab/>
      </w:r>
      <w:r w:rsidR="00374074" w:rsidRPr="00374074">
        <w:rPr>
          <w:lang w:eastAsia="en-GB" w:bidi="km-KH"/>
        </w:rPr>
        <w:t>C</w:t>
      </w:r>
      <w:r w:rsidR="00374074" w:rsidRPr="00374074">
        <w:rPr>
          <w:cs/>
          <w:lang w:eastAsia="en-GB" w:bidi="km-KH"/>
        </w:rPr>
        <w:t>.</w:t>
      </w:r>
      <w:r>
        <w:rPr>
          <w:cs/>
          <w:lang w:eastAsia="en-GB" w:bidi="km-KH"/>
        </w:rPr>
        <w:tab/>
      </w:r>
      <w:r w:rsidR="00374074" w:rsidRPr="00374074">
        <w:rPr>
          <w:lang w:eastAsia="en-GB" w:bidi="km-KH"/>
        </w:rPr>
        <w:t>Sections related to the actual situation of</w:t>
      </w:r>
      <w:r w:rsidR="00374074" w:rsidRPr="00374074">
        <w:rPr>
          <w:cs/>
          <w:lang w:eastAsia="en-GB" w:bidi="km-KH"/>
        </w:rPr>
        <w:t xml:space="preserve"> </w:t>
      </w:r>
      <w:r w:rsidR="00374074" w:rsidRPr="00374074">
        <w:rPr>
          <w:lang w:eastAsia="en-GB" w:bidi="km-KH"/>
        </w:rPr>
        <w:t>children and women with disabilities</w:t>
      </w:r>
      <w:bookmarkEnd w:id="80"/>
      <w:bookmarkEnd w:id="82"/>
    </w:p>
    <w:p w14:paraId="28ABF7AD" w14:textId="1699305B" w:rsidR="00374074" w:rsidRPr="00C9141F" w:rsidRDefault="00B35851" w:rsidP="00DE5351">
      <w:pPr>
        <w:pStyle w:val="H1G"/>
        <w:rPr>
          <w:lang w:val="en-US"/>
        </w:rPr>
      </w:pPr>
      <w:bookmarkStart w:id="83" w:name="_Toc215321716"/>
      <w:bookmarkStart w:id="84" w:name="_Toc92875455"/>
      <w:r>
        <w:tab/>
      </w:r>
      <w:r>
        <w:tab/>
      </w:r>
      <w:r w:rsidR="00374074" w:rsidRPr="00DE5351">
        <w:t>Women with disabilities</w:t>
      </w:r>
      <w:bookmarkEnd w:id="83"/>
      <w:bookmarkEnd w:id="81"/>
      <w:bookmarkEnd w:id="84"/>
      <w:r w:rsidR="00C9141F">
        <w:rPr>
          <w:lang w:val="en-US"/>
        </w:rPr>
        <w:br/>
      </w:r>
      <w:r w:rsidR="00C9141F" w:rsidRPr="00DE5351">
        <w:t>Article</w:t>
      </w:r>
      <w:r w:rsidR="00C9141F">
        <w:t xml:space="preserve"> 6</w:t>
      </w:r>
    </w:p>
    <w:p w14:paraId="6849630A" w14:textId="77777777" w:rsidR="00374074" w:rsidRPr="00374074" w:rsidRDefault="00374074" w:rsidP="003B1C7E">
      <w:pPr>
        <w:pStyle w:val="SingleTxtG"/>
        <w:numPr>
          <w:ilvl w:val="0"/>
          <w:numId w:val="7"/>
        </w:numPr>
        <w:ind w:left="1134" w:firstLine="0"/>
        <w:rPr>
          <w:lang w:eastAsia="en-GB"/>
        </w:rPr>
      </w:pPr>
      <w:r w:rsidRPr="00374074">
        <w:rPr>
          <w:lang w:eastAsia="en-GB"/>
        </w:rPr>
        <w:t>The UDHR and the Convention on the Elimination of All Forms of Discrimination against Women (CEDAW) have established a foundation for protecting women’s rights, including women from vulnerable groups or with specific needs. Cambodia ratified the CEDAW in 1992 and its Optional Protocol in 2010.</w:t>
      </w:r>
    </w:p>
    <w:p w14:paraId="62696380" w14:textId="77777777" w:rsidR="00374074" w:rsidRPr="00374074" w:rsidRDefault="00374074" w:rsidP="00CB5620">
      <w:pPr>
        <w:pStyle w:val="SingleTxtG"/>
        <w:numPr>
          <w:ilvl w:val="0"/>
          <w:numId w:val="7"/>
        </w:numPr>
        <w:ind w:left="1134" w:firstLine="0"/>
        <w:rPr>
          <w:lang w:eastAsia="en-GB"/>
        </w:rPr>
      </w:pPr>
      <w:r w:rsidRPr="00374074">
        <w:rPr>
          <w:lang w:eastAsia="en-GB"/>
        </w:rPr>
        <w:t xml:space="preserve">According to article 45 of the Cambodian Constitution, </w:t>
      </w:r>
      <w:r w:rsidRPr="00374074">
        <w:rPr>
          <w:i/>
          <w:iCs/>
          <w:lang w:eastAsia="en-GB"/>
        </w:rPr>
        <w:t>“All forms of discrimination against women shall be abolished. The exploitation of women in labour shall be prohibited.”</w:t>
      </w:r>
      <w:r w:rsidRPr="00374074">
        <w:rPr>
          <w:lang w:eastAsia="en-GB"/>
        </w:rPr>
        <w:t xml:space="preserve"> Furthermore, the Constitution prohibits human trafficking, exploitation through prostitution and obscenity, which affect the reputation of women, as well as the dismissal of women due to pregnancy. Women have the right to paid maternity leave, seniority guarantees and other social benefits in accordance with the Labour Law. The State and society shall provide </w:t>
      </w:r>
      <w:r w:rsidRPr="00374074">
        <w:rPr>
          <w:szCs w:val="39"/>
          <w:lang w:eastAsia="en-GB" w:bidi="km-KH"/>
        </w:rPr>
        <w:t xml:space="preserve">opportunities to </w:t>
      </w:r>
      <w:r w:rsidRPr="00374074">
        <w:rPr>
          <w:lang w:eastAsia="en-GB"/>
        </w:rPr>
        <w:t>women, especially those living in rural areas without adequate social support, so they can get employment, access medical care, send their children to school, and have a decent life.</w:t>
      </w:r>
      <w:r w:rsidRPr="00374074">
        <w:rPr>
          <w:vertAlign w:val="superscript"/>
          <w:cs/>
          <w:lang w:eastAsia="en-GB" w:bidi="km-KH"/>
        </w:rPr>
        <w:footnoteReference w:id="121"/>
      </w:r>
      <w:r w:rsidRPr="00374074">
        <w:rPr>
          <w:cs/>
          <w:lang w:eastAsia="en-GB" w:bidi="km-KH"/>
        </w:rPr>
        <w:t xml:space="preserve"> </w:t>
      </w:r>
      <w:r w:rsidRPr="00374074">
        <w:rPr>
          <w:lang w:eastAsia="en-GB"/>
        </w:rPr>
        <w:t>These statements apply equally to all women, including women with disabilities.</w:t>
      </w:r>
    </w:p>
    <w:p w14:paraId="001B22C9" w14:textId="77777777" w:rsidR="00374074" w:rsidRPr="00374074" w:rsidRDefault="00374074" w:rsidP="00F67C13">
      <w:pPr>
        <w:pStyle w:val="SingleTxtG"/>
        <w:numPr>
          <w:ilvl w:val="0"/>
          <w:numId w:val="7"/>
        </w:numPr>
        <w:ind w:left="1134" w:firstLine="0"/>
        <w:rPr>
          <w:sz w:val="32"/>
          <w:szCs w:val="32"/>
          <w:lang w:eastAsia="en-GB"/>
        </w:rPr>
      </w:pPr>
      <w:r w:rsidRPr="00374074">
        <w:rPr>
          <w:shd w:val="clear" w:color="auto" w:fill="FFFFFF"/>
          <w:lang w:eastAsia="en-GB"/>
        </w:rPr>
        <w:t xml:space="preserve">Since 2001, Cambodia has undertaken efforts to achieve gender equality, including the implementation of the CEDAW, through strengthening the Ministry of Women Affairs (MoWA) and the </w:t>
      </w:r>
      <w:r w:rsidRPr="00F67C13">
        <w:rPr>
          <w:lang w:eastAsia="en-GB"/>
        </w:rPr>
        <w:t>Cambodian</w:t>
      </w:r>
      <w:r w:rsidRPr="00374074">
        <w:rPr>
          <w:shd w:val="clear" w:color="auto" w:fill="FFFFFF"/>
          <w:lang w:eastAsia="en-GB"/>
        </w:rPr>
        <w:t xml:space="preserve"> National Council for Women (CNCW) and integration of gender into various national plans, including the NSDP 2014-2018 and the Neary Rattanak Strategic Plan IV, specifying the mainstreaming of gender in all policies and programs, with a focus on enhancing women’s participation in policies and economic empowerment, as well as the eradication of all forms of discrimination against women in areas such as education, law and health.</w:t>
      </w:r>
    </w:p>
    <w:p w14:paraId="2C12211C" w14:textId="77777777" w:rsidR="00374074" w:rsidRPr="00374074" w:rsidRDefault="00374074" w:rsidP="00CE0957">
      <w:pPr>
        <w:pStyle w:val="SingleTxtG"/>
        <w:numPr>
          <w:ilvl w:val="0"/>
          <w:numId w:val="7"/>
        </w:numPr>
        <w:ind w:left="1134" w:firstLine="0"/>
        <w:rPr>
          <w:lang w:eastAsia="en-GB"/>
        </w:rPr>
      </w:pPr>
      <w:r w:rsidRPr="00374074">
        <w:rPr>
          <w:lang w:eastAsia="en-GB"/>
        </w:rPr>
        <w:t xml:space="preserve">The MoWA Program for 2016-2017 utilized program funds to organize </w:t>
      </w:r>
      <w:r w:rsidRPr="00374074">
        <w:rPr>
          <w:rFonts w:eastAsia="Malgun Gothic"/>
          <w:lang w:eastAsia="ko-KR"/>
        </w:rPr>
        <w:t xml:space="preserve">five </w:t>
      </w:r>
      <w:r w:rsidRPr="00374074">
        <w:rPr>
          <w:lang w:eastAsia="en-GB"/>
        </w:rPr>
        <w:t>workshop</w:t>
      </w:r>
      <w:r w:rsidRPr="00374074">
        <w:rPr>
          <w:rFonts w:eastAsia="Malgun Gothic"/>
          <w:lang w:eastAsia="ko-KR"/>
        </w:rPr>
        <w:t>s</w:t>
      </w:r>
      <w:r w:rsidRPr="00374074">
        <w:rPr>
          <w:lang w:eastAsia="en-GB"/>
        </w:rPr>
        <w:t xml:space="preserve"> an</w:t>
      </w:r>
      <w:r w:rsidRPr="00374074">
        <w:rPr>
          <w:rFonts w:eastAsia="Malgun Gothic"/>
          <w:lang w:eastAsia="ko-KR"/>
        </w:rPr>
        <w:t xml:space="preserve">d </w:t>
      </w:r>
      <w:r w:rsidRPr="00374074">
        <w:rPr>
          <w:lang w:eastAsia="en-GB"/>
        </w:rPr>
        <w:t xml:space="preserve">training courses. Two courses were held in Phnom Penh, while three other sessions took place in Preah Sihanouk, Mondulkiri and Siem Reap. The program focused on promoting the protection of persons with disabilities in relation to gender and eradicating all forms of discrimination against women with disabilities. The training sessions reached 409 participants, including 316 women. Participants included officials from the MoWA, capital and provincial Departments of Women’s Affairs, relevant ministries and institutions, national and international organizations, CSOs, and organizations and associations of persons with disabilities. The program aimed to build capacity, raise awareness, identify measures and challenges encountered, and find appropriate solutions to promote the protection of women and children with disabilities. Additionally, the program laid out the direction for 2018 and the implementation of three action plans in Preah Vihear, Stung Treng and Svay Rieng provinces. The MoWA provided opportunities for six persons with disabilities (four of whom </w:t>
      </w:r>
      <w:r w:rsidRPr="00374074">
        <w:rPr>
          <w:lang w:eastAsia="en-GB"/>
        </w:rPr>
        <w:lastRenderedPageBreak/>
        <w:t>were female) to study and attend workshops abroad, with the aim of promoting and encouraging persons with disabilities.</w:t>
      </w:r>
      <w:r w:rsidRPr="00374074">
        <w:rPr>
          <w:vertAlign w:val="superscript"/>
          <w:cs/>
          <w:lang w:eastAsia="en-GB" w:bidi="km-KH"/>
        </w:rPr>
        <w:footnoteReference w:id="122"/>
      </w:r>
    </w:p>
    <w:p w14:paraId="4E8CE978" w14:textId="5753B161" w:rsidR="00374074" w:rsidRPr="00374074" w:rsidRDefault="00374074" w:rsidP="00D14D10">
      <w:pPr>
        <w:pStyle w:val="SingleTxtG"/>
        <w:numPr>
          <w:ilvl w:val="0"/>
          <w:numId w:val="7"/>
        </w:numPr>
        <w:ind w:left="1134" w:firstLine="0"/>
        <w:rPr>
          <w:lang w:eastAsia="en-GB"/>
        </w:rPr>
      </w:pPr>
      <w:r w:rsidRPr="00374074">
        <w:rPr>
          <w:lang w:eastAsia="en-GB"/>
        </w:rPr>
        <w:t>The MoWA has established the Ministry’s Disability Action Working Group</w:t>
      </w:r>
      <w:r w:rsidRPr="00374074">
        <w:rPr>
          <w:szCs w:val="39"/>
          <w:lang w:eastAsia="en-GB" w:bidi="km-KH"/>
        </w:rPr>
        <w:t xml:space="preserve"> in 2015</w:t>
      </w:r>
      <w:r w:rsidRPr="00374074">
        <w:rPr>
          <w:lang w:eastAsia="en-GB"/>
        </w:rPr>
        <w:t xml:space="preserve"> to support the 16 principles of the CEDAW and the ninth direction of the NDSP 2014-2018, which ensures gender equality and enhances the capacity of women and children with disabilities. This is in accordance with the Prakas of the DAC on the Organization and Functioning of Disability Action Working Groups in line ministries and institutions. The team has an action plan focused on seeking support for gender and disability issues by mainstreaming disability issues in the legal field, policies and the Gender Mainstreaming Action Plan (GMAP) of the ministries and institutions and CSOs through the mechanism of the Gender Mainstreaming Working Group. This is in response to the CEDAW and the Convention, in collaboration with the MoWA.</w:t>
      </w:r>
      <w:r w:rsidRPr="00374074">
        <w:rPr>
          <w:vertAlign w:val="superscript"/>
          <w:lang w:eastAsia="en-GB"/>
        </w:rPr>
        <w:footnoteReference w:id="123"/>
      </w:r>
    </w:p>
    <w:p w14:paraId="0EE56E99" w14:textId="784CBE49" w:rsidR="00374074" w:rsidRPr="00374074" w:rsidRDefault="003D1C42" w:rsidP="003D1C42">
      <w:pPr>
        <w:pStyle w:val="H1G"/>
        <w:rPr>
          <w:lang w:eastAsia="en-GB" w:bidi="km-KH"/>
        </w:rPr>
      </w:pPr>
      <w:bookmarkStart w:id="85" w:name="_Toc392839053"/>
      <w:bookmarkStart w:id="86" w:name="_Toc92875456"/>
      <w:bookmarkStart w:id="87" w:name="_Toc215321717"/>
      <w:r>
        <w:rPr>
          <w:lang w:eastAsia="en-GB" w:bidi="km-KH"/>
        </w:rPr>
        <w:tab/>
      </w:r>
      <w:r>
        <w:rPr>
          <w:lang w:eastAsia="en-GB" w:bidi="km-KH"/>
        </w:rPr>
        <w:tab/>
      </w:r>
      <w:r w:rsidR="00374074" w:rsidRPr="00374074">
        <w:rPr>
          <w:lang w:eastAsia="en-GB" w:bidi="km-KH"/>
        </w:rPr>
        <w:t>Children with disabilities</w:t>
      </w:r>
      <w:bookmarkEnd w:id="85"/>
      <w:bookmarkEnd w:id="86"/>
      <w:bookmarkEnd w:id="87"/>
      <w:r>
        <w:rPr>
          <w:lang w:eastAsia="en-GB" w:bidi="km-KH"/>
        </w:rPr>
        <w:br/>
      </w:r>
      <w:r w:rsidRPr="00374074">
        <w:rPr>
          <w:lang w:eastAsia="en-GB" w:bidi="km-KH"/>
        </w:rPr>
        <w:t>Article</w:t>
      </w:r>
      <w:r>
        <w:rPr>
          <w:lang w:eastAsia="en-GB" w:bidi="km-KH"/>
        </w:rPr>
        <w:t xml:space="preserve"> 7</w:t>
      </w:r>
    </w:p>
    <w:p w14:paraId="12D09A6F" w14:textId="77777777" w:rsidR="00374074" w:rsidRPr="00374074" w:rsidRDefault="00374074" w:rsidP="003D1C42">
      <w:pPr>
        <w:pStyle w:val="SingleTxtG"/>
        <w:numPr>
          <w:ilvl w:val="0"/>
          <w:numId w:val="7"/>
        </w:numPr>
        <w:ind w:left="1134" w:firstLine="0"/>
        <w:rPr>
          <w:lang w:eastAsia="en-GB"/>
        </w:rPr>
      </w:pPr>
      <w:r w:rsidRPr="00374074">
        <w:rPr>
          <w:lang w:eastAsia="en-GB"/>
        </w:rPr>
        <w:t>Chapter III of the Cambodian Constitution enumerates several articles on the rights related to age, including the following:</w:t>
      </w:r>
    </w:p>
    <w:p w14:paraId="67C1464D" w14:textId="4349EC6D" w:rsidR="00374074" w:rsidRPr="00374074" w:rsidRDefault="00374074" w:rsidP="00D30C36">
      <w:pPr>
        <w:pStyle w:val="SingleTxtG"/>
        <w:numPr>
          <w:ilvl w:val="0"/>
          <w:numId w:val="11"/>
        </w:numPr>
        <w:ind w:left="1134" w:firstLine="567"/>
        <w:rPr>
          <w:lang w:eastAsia="en-GB"/>
        </w:rPr>
      </w:pPr>
      <w:r w:rsidRPr="00374074">
        <w:rPr>
          <w:lang w:eastAsia="en-GB"/>
        </w:rPr>
        <w:t>Article 31: The State shall recognize and respect human rights, including those stipulated in the covenants and conventions related to human rights, women’s rights, and children’s rights.</w:t>
      </w:r>
    </w:p>
    <w:p w14:paraId="7CB2D7BA" w14:textId="23682B10" w:rsidR="00374074" w:rsidRPr="00374074" w:rsidRDefault="00374074" w:rsidP="00D30C36">
      <w:pPr>
        <w:pStyle w:val="SingleTxtG"/>
        <w:numPr>
          <w:ilvl w:val="0"/>
          <w:numId w:val="11"/>
        </w:numPr>
        <w:ind w:left="1134" w:firstLine="567"/>
        <w:rPr>
          <w:lang w:eastAsia="en-GB"/>
        </w:rPr>
      </w:pPr>
      <w:r w:rsidRPr="00374074">
        <w:rPr>
          <w:lang w:eastAsia="en-GB"/>
        </w:rPr>
        <w:t>Article 46: The State and society shall provide opportunities for women to get employment, medical care and education for their children.</w:t>
      </w:r>
    </w:p>
    <w:p w14:paraId="740B0004" w14:textId="6E48CF10" w:rsidR="00374074" w:rsidRPr="00374074" w:rsidRDefault="00374074" w:rsidP="00D30C36">
      <w:pPr>
        <w:pStyle w:val="SingleTxtG"/>
        <w:numPr>
          <w:ilvl w:val="0"/>
          <w:numId w:val="11"/>
        </w:numPr>
        <w:ind w:left="1134" w:firstLine="567"/>
        <w:rPr>
          <w:lang w:eastAsia="en-GB"/>
        </w:rPr>
      </w:pPr>
      <w:r w:rsidRPr="00374074">
        <w:rPr>
          <w:lang w:eastAsia="en-GB"/>
        </w:rPr>
        <w:t>Article 47: Parents shall have the duty to take care of and educate their children to become good citizens, and the children shall perform the same duty for their elderly parents.</w:t>
      </w:r>
    </w:p>
    <w:p w14:paraId="650C869F" w14:textId="7A3C993D" w:rsidR="00374074" w:rsidRPr="00374074" w:rsidRDefault="00374074" w:rsidP="00D30C36">
      <w:pPr>
        <w:pStyle w:val="SingleTxtG"/>
        <w:numPr>
          <w:ilvl w:val="0"/>
          <w:numId w:val="11"/>
        </w:numPr>
        <w:ind w:left="1134" w:firstLine="567"/>
        <w:rPr>
          <w:lang w:eastAsia="en-GB"/>
        </w:rPr>
      </w:pPr>
      <w:r w:rsidRPr="00374074">
        <w:rPr>
          <w:lang w:eastAsia="en-GB"/>
        </w:rPr>
        <w:t>Article 48: The State shall protect the rights of children as stipulated in the Convention on the Rights of the Child, particularly the right to life, education, protection during wartime and from economic or sexual exploitation. The State shall protect children from acts that are injurious to their educational opportunities, health and welfare.</w:t>
      </w:r>
    </w:p>
    <w:p w14:paraId="2C9574A1" w14:textId="01CF9FE4" w:rsidR="00374074" w:rsidRPr="00374074" w:rsidRDefault="00374074" w:rsidP="00D30C36">
      <w:pPr>
        <w:pStyle w:val="SingleTxtG"/>
        <w:numPr>
          <w:ilvl w:val="0"/>
          <w:numId w:val="11"/>
        </w:numPr>
        <w:ind w:left="1134" w:firstLine="567"/>
        <w:rPr>
          <w:lang w:eastAsia="en-GB"/>
        </w:rPr>
      </w:pPr>
      <w:r w:rsidRPr="00374074">
        <w:rPr>
          <w:lang w:eastAsia="en-GB"/>
        </w:rPr>
        <w:t>Article 73: The State shall give full consideration to children and mothers. The State shall establish nurseries and provide support for women with many children under their care who have inadequate support.</w:t>
      </w:r>
    </w:p>
    <w:p w14:paraId="7CA8096B" w14:textId="77777777" w:rsidR="00374074" w:rsidRPr="00374074" w:rsidRDefault="00374074" w:rsidP="00D30C36">
      <w:pPr>
        <w:pStyle w:val="SingleTxtG"/>
        <w:numPr>
          <w:ilvl w:val="0"/>
          <w:numId w:val="7"/>
        </w:numPr>
        <w:ind w:left="1134" w:firstLine="0"/>
        <w:rPr>
          <w:lang w:eastAsia="en-GB"/>
        </w:rPr>
      </w:pPr>
      <w:r w:rsidRPr="00374074">
        <w:rPr>
          <w:lang w:eastAsia="en-GB"/>
        </w:rPr>
        <w:t xml:space="preserve">Article 13 of the LPRPD stipulates that “the </w:t>
      </w:r>
      <w:r w:rsidRPr="00374074">
        <w:rPr>
          <w:szCs w:val="39"/>
          <w:lang w:eastAsia="en-GB" w:bidi="km-KH"/>
        </w:rPr>
        <w:t xml:space="preserve">parents </w:t>
      </w:r>
      <w:r w:rsidRPr="00374074">
        <w:rPr>
          <w:lang w:eastAsia="en-GB"/>
        </w:rPr>
        <w:t>and guardians of persons with disabilities shall:</w:t>
      </w:r>
    </w:p>
    <w:p w14:paraId="557E5245" w14:textId="77777777" w:rsidR="00374074" w:rsidRPr="00D30C36" w:rsidRDefault="00374074" w:rsidP="00D30C36">
      <w:pPr>
        <w:pStyle w:val="Bullet1G"/>
        <w:rPr>
          <w:i/>
          <w:iCs/>
          <w:lang w:eastAsia="en-GB"/>
        </w:rPr>
      </w:pPr>
      <w:r w:rsidRPr="00D30C36">
        <w:rPr>
          <w:i/>
          <w:iCs/>
          <w:lang w:eastAsia="en-GB"/>
        </w:rPr>
        <w:t>- Protect the legal rights and interests of persons with disabilities;</w:t>
      </w:r>
    </w:p>
    <w:p w14:paraId="6A26F968" w14:textId="77777777" w:rsidR="00374074" w:rsidRPr="00D30C36" w:rsidRDefault="00374074" w:rsidP="00D30C36">
      <w:pPr>
        <w:pStyle w:val="Bullet1G"/>
        <w:rPr>
          <w:i/>
          <w:iCs/>
          <w:lang w:eastAsia="en-GB"/>
        </w:rPr>
      </w:pPr>
      <w:r w:rsidRPr="00D30C36">
        <w:rPr>
          <w:i/>
          <w:iCs/>
          <w:lang w:eastAsia="en-GB"/>
        </w:rPr>
        <w:t>- Be responsible for taking good care of persons with disabilities; and</w:t>
      </w:r>
    </w:p>
    <w:p w14:paraId="743AEA89" w14:textId="77777777" w:rsidR="00374074" w:rsidRPr="00D30C36" w:rsidRDefault="00374074" w:rsidP="00D30C36">
      <w:pPr>
        <w:pStyle w:val="Bullet1G"/>
        <w:rPr>
          <w:i/>
          <w:iCs/>
          <w:lang w:eastAsia="en-GB"/>
        </w:rPr>
      </w:pPr>
      <w:r w:rsidRPr="00D30C36">
        <w:rPr>
          <w:i/>
          <w:iCs/>
          <w:lang w:eastAsia="en-GB"/>
        </w:rPr>
        <w:t>- Encourage and assist persons with disabilities to live with hope in their lives.”</w:t>
      </w:r>
    </w:p>
    <w:p w14:paraId="13448F38" w14:textId="77777777" w:rsidR="00374074" w:rsidRPr="00374074" w:rsidRDefault="00374074" w:rsidP="00D30C36">
      <w:pPr>
        <w:pStyle w:val="SingleTxtG"/>
        <w:rPr>
          <w:lang w:eastAsia="en-GB" w:bidi="km-KH"/>
        </w:rPr>
      </w:pPr>
      <w:r w:rsidRPr="00374074">
        <w:rPr>
          <w:lang w:eastAsia="en-GB" w:bidi="km-KH"/>
        </w:rPr>
        <w:t>There is no age limit at which parents or guardians cease to be responsible for persons with disabilities under their care, and the law does not provide a separate provision for children with disabilities.</w:t>
      </w:r>
    </w:p>
    <w:p w14:paraId="48371E27" w14:textId="77777777" w:rsidR="00374074" w:rsidRPr="00374074" w:rsidRDefault="00374074" w:rsidP="00D30C36">
      <w:pPr>
        <w:pStyle w:val="SingleTxtG"/>
        <w:numPr>
          <w:ilvl w:val="0"/>
          <w:numId w:val="7"/>
        </w:numPr>
        <w:ind w:left="1134" w:firstLine="0"/>
        <w:rPr>
          <w:lang w:eastAsia="en-GB"/>
        </w:rPr>
      </w:pPr>
      <w:r w:rsidRPr="00374074">
        <w:rPr>
          <w:lang w:eastAsia="en-GB"/>
        </w:rPr>
        <w:t xml:space="preserve">Cambodia’s Policy on Alternative Care for Children (No. 97) 2006, outlines the various options for </w:t>
      </w:r>
      <w:r w:rsidRPr="00374074">
        <w:rPr>
          <w:szCs w:val="39"/>
          <w:lang w:eastAsia="en-GB" w:bidi="km-KH"/>
        </w:rPr>
        <w:t>non-residential</w:t>
      </w:r>
      <w:r w:rsidRPr="00374074">
        <w:rPr>
          <w:lang w:eastAsia="en-GB"/>
        </w:rPr>
        <w:t xml:space="preserve"> care, including care provided by guardians, kinship care, pagoda and other faith-based care and families with children as heads of households, as well as group-home based care. This policy also establishes minimum standards of alternative care. Each option has different goals based on the child’s age and vulnerability such as survivors of domestic violence, kidnapping, mistreatment, homelessness, abuse and exploitation. The policy examines options for children whose parents are unable to care for them, especially in cases where the parent or child is a person with disabilities.</w:t>
      </w:r>
    </w:p>
    <w:p w14:paraId="058C8A99" w14:textId="77777777" w:rsidR="00374074" w:rsidRPr="00374074" w:rsidRDefault="00374074" w:rsidP="0024262A">
      <w:pPr>
        <w:pStyle w:val="SingleTxtG"/>
        <w:numPr>
          <w:ilvl w:val="0"/>
          <w:numId w:val="7"/>
        </w:numPr>
        <w:ind w:left="1134" w:firstLine="0"/>
        <w:rPr>
          <w:lang w:eastAsia="en-GB"/>
        </w:rPr>
      </w:pPr>
      <w:r w:rsidRPr="00374074">
        <w:rPr>
          <w:lang w:eastAsia="en-GB"/>
        </w:rPr>
        <w:lastRenderedPageBreak/>
        <w:t xml:space="preserve">In 2015, the RGC launched the </w:t>
      </w:r>
      <w:r w:rsidRPr="00374074">
        <w:rPr>
          <w:lang w:eastAsia="en-GB" w:bidi="km-KH"/>
        </w:rPr>
        <w:t>National Plan of Action for Child Development</w:t>
      </w:r>
      <w:r w:rsidRPr="00374074">
        <w:rPr>
          <w:lang w:eastAsia="en-GB"/>
        </w:rPr>
        <w:t>, which serves as the comprehensive initial plan and master plan for the ministries, institutions, development partners and all stakeholders to implement child-centred programs that aim to contribute to achieving the Millennium Development Goals of Cambodia and the Rectangular Strategy Phase III of the RGC . The strategic plan outlines four priority strategies, including: (1) enhancing the monitoring and reporting system on children’s rights; (2) strengthening child protection mechanisms; (3) raising awareness and advocacy; and (4) enhancing the capacity of institutions and partnerships.</w:t>
      </w:r>
    </w:p>
    <w:p w14:paraId="7BADCD8B" w14:textId="77777777" w:rsidR="00374074" w:rsidRPr="00374074" w:rsidRDefault="00374074" w:rsidP="0024262A">
      <w:pPr>
        <w:pStyle w:val="SingleTxtG"/>
        <w:numPr>
          <w:ilvl w:val="0"/>
          <w:numId w:val="7"/>
        </w:numPr>
        <w:ind w:left="1134" w:firstLine="0"/>
        <w:rPr>
          <w:lang w:eastAsia="en-GB"/>
        </w:rPr>
      </w:pPr>
      <w:r w:rsidRPr="00374074">
        <w:rPr>
          <w:lang w:eastAsia="en-GB"/>
        </w:rPr>
        <w:t>The Convention on Protection of Children and Co-operation in Respect of Intercountry Adoption (Hague Adoption Convention) was adopted in 1993 and ratified by Cambodia in 2007. The Hague Adoption C</w:t>
      </w:r>
      <w:r w:rsidRPr="00374074">
        <w:rPr>
          <w:spacing w:val="-2"/>
          <w:lang w:eastAsia="en-GB"/>
        </w:rPr>
        <w:t xml:space="preserve">onvention aims to establish a protective system to ensure that international adoption can be </w:t>
      </w:r>
      <w:r w:rsidRPr="0024262A">
        <w:rPr>
          <w:lang w:eastAsia="en-GB"/>
        </w:rPr>
        <w:t>carried</w:t>
      </w:r>
      <w:r w:rsidRPr="00374074">
        <w:rPr>
          <w:spacing w:val="-2"/>
          <w:lang w:eastAsia="en-GB"/>
        </w:rPr>
        <w:t xml:space="preserve"> out in the best interests of the child in relation to human rights, including children with disabilities as well as those without. In Cambodia, individuals over the age of 25 are eligible to apply to adopt,</w:t>
      </w:r>
      <w:r w:rsidRPr="00374074">
        <w:rPr>
          <w:spacing w:val="-2"/>
          <w:vertAlign w:val="superscript"/>
          <w:lang w:eastAsia="en-GB"/>
        </w:rPr>
        <w:footnoteReference w:id="124"/>
      </w:r>
      <w:r w:rsidRPr="00374074">
        <w:rPr>
          <w:spacing w:val="-2"/>
          <w:lang w:eastAsia="en-GB"/>
        </w:rPr>
        <w:t xml:space="preserve"> with or without a spouse. However, full adoption is p</w:t>
      </w:r>
      <w:r w:rsidRPr="00374074">
        <w:rPr>
          <w:rFonts w:eastAsia="Malgun Gothic"/>
          <w:spacing w:val="-2"/>
          <w:lang w:eastAsia="ko-KR"/>
        </w:rPr>
        <w:t>ermitt</w:t>
      </w:r>
      <w:r w:rsidRPr="00374074">
        <w:rPr>
          <w:spacing w:val="-2"/>
          <w:lang w:eastAsia="en-GB"/>
        </w:rPr>
        <w:t>ed only for married couples.</w:t>
      </w:r>
      <w:r w:rsidRPr="00374074">
        <w:rPr>
          <w:spacing w:val="-2"/>
          <w:vertAlign w:val="superscript"/>
          <w:lang w:eastAsia="en-GB"/>
        </w:rPr>
        <w:footnoteReference w:id="125"/>
      </w:r>
      <w:r w:rsidRPr="00374074">
        <w:rPr>
          <w:spacing w:val="-2"/>
          <w:lang w:eastAsia="en-GB"/>
        </w:rPr>
        <w:t xml:space="preserve"> In principle, adopted children must be under eight years old.</w:t>
      </w:r>
      <w:r w:rsidRPr="00374074">
        <w:rPr>
          <w:spacing w:val="-2"/>
          <w:vertAlign w:val="superscript"/>
          <w:lang w:eastAsia="en-GB"/>
        </w:rPr>
        <w:footnoteReference w:id="126"/>
      </w:r>
      <w:r w:rsidRPr="00374074">
        <w:rPr>
          <w:spacing w:val="-2"/>
          <w:lang w:eastAsia="en-GB"/>
        </w:rPr>
        <w:t xml:space="preserve"> In cases where parents are unable to care for their children due to disability, they may decide to allow the adoption of their child (article 1012 of the Civil Code) if they consider that caring for their children is extremely difficult.</w:t>
      </w:r>
      <w:r w:rsidRPr="00374074">
        <w:rPr>
          <w:spacing w:val="-2"/>
          <w:vertAlign w:val="superscript"/>
          <w:lang w:eastAsia="en-GB"/>
        </w:rPr>
        <w:footnoteReference w:id="127"/>
      </w:r>
    </w:p>
    <w:p w14:paraId="55B35604" w14:textId="77777777" w:rsidR="00374074" w:rsidRPr="00374074" w:rsidRDefault="00374074" w:rsidP="0024262A">
      <w:pPr>
        <w:pStyle w:val="SingleTxtG"/>
        <w:numPr>
          <w:ilvl w:val="0"/>
          <w:numId w:val="7"/>
        </w:numPr>
        <w:ind w:left="1134" w:firstLine="0"/>
        <w:rPr>
          <w:szCs w:val="48"/>
          <w:lang w:eastAsia="en-GB"/>
        </w:rPr>
      </w:pPr>
      <w:r w:rsidRPr="00374074">
        <w:rPr>
          <w:lang w:eastAsia="en-GB"/>
        </w:rPr>
        <w:t>Orphans are minors under the age of 18 who have lost one or both parents. As of 2016, there were 22 orphanages, managed by theRGC ,</w:t>
      </w:r>
      <w:r w:rsidRPr="00374074">
        <w:rPr>
          <w:vertAlign w:val="superscript"/>
          <w:lang w:eastAsia="en-GB" w:bidi="km-KH"/>
        </w:rPr>
        <w:footnoteReference w:id="128"/>
      </w:r>
      <w:r w:rsidRPr="00374074">
        <w:rPr>
          <w:lang w:eastAsia="en-GB"/>
        </w:rPr>
        <w:t xml:space="preserve"> providing care for 1,630 children, of whom 735 were </w:t>
      </w:r>
      <w:r w:rsidRPr="00374074">
        <w:rPr>
          <w:rFonts w:eastAsia="Malgun Gothic"/>
          <w:lang w:eastAsia="ko-KR"/>
        </w:rPr>
        <w:t>girls</w:t>
      </w:r>
      <w:r w:rsidRPr="00374074">
        <w:rPr>
          <w:lang w:eastAsia="en-GB"/>
        </w:rPr>
        <w:t xml:space="preserve">. In addition, there were 278 centres managed by NGOs, associations and religious institutions, providing care for 11,171 children and youths, of whom 6,216 were female. An estimated 20,348 children were living in alternative care </w:t>
      </w:r>
      <w:r w:rsidRPr="00374074">
        <w:rPr>
          <w:spacing w:val="-2"/>
          <w:lang w:eastAsia="en-GB"/>
        </w:rPr>
        <w:t>as of November 2011, with 11,470 children receiving in-home care. Approximately 70% of children in orphanages still have at least one surviving parent, although this figure dropped to 2,015 in late 2011, according to UNICEF. Cambodia has since stepped away from orphanage tourism, with a 2011 campaign that stated “</w:t>
      </w:r>
      <w:r w:rsidRPr="00374074">
        <w:rPr>
          <w:i/>
          <w:iCs/>
          <w:spacing w:val="-2"/>
          <w:lang w:eastAsia="en-GB"/>
        </w:rPr>
        <w:t>Children are not a tourist attraction</w:t>
      </w:r>
      <w:r w:rsidRPr="00374074">
        <w:rPr>
          <w:spacing w:val="-2"/>
          <w:lang w:eastAsia="en-GB"/>
        </w:rPr>
        <w:t>”. There is still a need for in-home care, particularly for children with special needs, such as those living with HIV/AIDS or disabilities.</w:t>
      </w:r>
    </w:p>
    <w:p w14:paraId="5BF7AF7E" w14:textId="77777777" w:rsidR="00374074" w:rsidRPr="00374074" w:rsidRDefault="00374074" w:rsidP="0024262A">
      <w:pPr>
        <w:pStyle w:val="SingleTxtG"/>
        <w:numPr>
          <w:ilvl w:val="0"/>
          <w:numId w:val="7"/>
        </w:numPr>
        <w:ind w:left="1134" w:firstLine="0"/>
        <w:rPr>
          <w:lang w:eastAsia="en-GB"/>
        </w:rPr>
      </w:pPr>
      <w:r w:rsidRPr="00374074">
        <w:rPr>
          <w:lang w:eastAsia="en-GB"/>
        </w:rPr>
        <w:t>According to the 2013 CIPS report,</w:t>
      </w:r>
      <w:r w:rsidRPr="00374074">
        <w:rPr>
          <w:vertAlign w:val="superscript"/>
          <w:lang w:eastAsia="en-GB"/>
        </w:rPr>
        <w:t xml:space="preserve"> </w:t>
      </w:r>
      <w:r w:rsidRPr="00374074">
        <w:rPr>
          <w:vertAlign w:val="superscript"/>
          <w:lang w:eastAsia="en-GB"/>
        </w:rPr>
        <w:footnoteReference w:id="129"/>
      </w:r>
      <w:r w:rsidRPr="00374074">
        <w:rPr>
          <w:lang w:eastAsia="en-GB"/>
        </w:rPr>
        <w:t xml:space="preserve"> the rate of child labour among children with disabilities is </w:t>
      </w:r>
      <w:r w:rsidRPr="0024262A">
        <w:rPr>
          <w:spacing w:val="-2"/>
          <w:lang w:eastAsia="en-GB"/>
        </w:rPr>
        <w:t>higher</w:t>
      </w:r>
      <w:r w:rsidRPr="00374074">
        <w:rPr>
          <w:lang w:eastAsia="en-GB"/>
        </w:rPr>
        <w:t xml:space="preserve"> than among children without disabilities. The percentage of engagement in economic activity among orphans aged between 5 and 15 years is 4.33%, compared to 2.39% among non-orphans of the same age. The RGC is implementing reforms to undertake special efforts to integrate children with all type of disabilities, including elimination of child labour.</w:t>
      </w:r>
    </w:p>
    <w:p w14:paraId="48145F06" w14:textId="77777777" w:rsidR="00374074" w:rsidRPr="00374074" w:rsidRDefault="00374074" w:rsidP="0024262A">
      <w:pPr>
        <w:pStyle w:val="SingleTxtG"/>
        <w:numPr>
          <w:ilvl w:val="0"/>
          <w:numId w:val="7"/>
        </w:numPr>
        <w:ind w:left="1134" w:firstLine="0"/>
        <w:rPr>
          <w:lang w:eastAsia="en-GB"/>
        </w:rPr>
      </w:pPr>
      <w:r w:rsidRPr="00374074">
        <w:rPr>
          <w:lang w:eastAsia="en-GB"/>
        </w:rPr>
        <w:t>According to the MoEYS, children with and without disabilities are encouraged to express their opinions in public forums and through television programs. The Ministry has also formulated a gender equality policy which includes age-appropriate gender considerations.</w:t>
      </w:r>
    </w:p>
    <w:p w14:paraId="508E3262" w14:textId="1BE6FBD1" w:rsidR="00374074" w:rsidRPr="00374074" w:rsidRDefault="001E17DA" w:rsidP="001E17DA">
      <w:pPr>
        <w:pStyle w:val="HChG"/>
        <w:rPr>
          <w:lang w:eastAsia="en-GB" w:bidi="km-KH"/>
        </w:rPr>
      </w:pPr>
      <w:bookmarkStart w:id="88" w:name="_Toc92875457"/>
      <w:bookmarkStart w:id="89" w:name="_Toc215321718"/>
      <w:bookmarkStart w:id="90" w:name="_Toc392839055"/>
      <w:r>
        <w:rPr>
          <w:lang w:eastAsia="en-GB" w:bidi="km-KH"/>
        </w:rPr>
        <w:lastRenderedPageBreak/>
        <w:tab/>
      </w:r>
      <w:r w:rsidR="00374074" w:rsidRPr="00374074">
        <w:rPr>
          <w:lang w:eastAsia="en-GB" w:bidi="km-KH"/>
        </w:rPr>
        <w:t>D</w:t>
      </w:r>
      <w:r w:rsidR="00374074" w:rsidRPr="00374074">
        <w:rPr>
          <w:cs/>
          <w:lang w:eastAsia="en-GB" w:bidi="km-KH"/>
        </w:rPr>
        <w:t>.</w:t>
      </w:r>
      <w:r>
        <w:rPr>
          <w:cs/>
          <w:lang w:eastAsia="en-GB" w:bidi="km-KH"/>
        </w:rPr>
        <w:tab/>
      </w:r>
      <w:r w:rsidR="00374074" w:rsidRPr="00374074">
        <w:rPr>
          <w:lang w:eastAsia="en-GB" w:bidi="km-KH"/>
        </w:rPr>
        <w:t>Sections related to specific obligations</w:t>
      </w:r>
      <w:bookmarkEnd w:id="88"/>
      <w:bookmarkEnd w:id="89"/>
    </w:p>
    <w:p w14:paraId="7A2FC532" w14:textId="242F0131" w:rsidR="00374074" w:rsidRPr="00374074" w:rsidRDefault="00C33823" w:rsidP="00C33823">
      <w:pPr>
        <w:pStyle w:val="H1G"/>
        <w:rPr>
          <w:lang w:eastAsia="en-GB" w:bidi="km-KH"/>
        </w:rPr>
      </w:pPr>
      <w:bookmarkStart w:id="91" w:name="_Toc92875458"/>
      <w:bookmarkStart w:id="92" w:name="_Toc215321719"/>
      <w:r>
        <w:rPr>
          <w:lang w:eastAsia="en-GB" w:bidi="km-KH"/>
        </w:rPr>
        <w:tab/>
      </w:r>
      <w:r>
        <w:rPr>
          <w:lang w:eastAsia="en-GB" w:bidi="km-KH"/>
        </w:rPr>
        <w:tab/>
      </w:r>
      <w:r w:rsidR="00374074" w:rsidRPr="00374074">
        <w:rPr>
          <w:lang w:eastAsia="en-GB" w:bidi="km-KH"/>
        </w:rPr>
        <w:t>Statistics</w:t>
      </w:r>
      <w:r w:rsidR="00374074" w:rsidRPr="00374074">
        <w:rPr>
          <w:lang w:eastAsia="en-GB"/>
        </w:rPr>
        <w:t xml:space="preserve"> </w:t>
      </w:r>
      <w:r w:rsidR="00374074" w:rsidRPr="00374074">
        <w:rPr>
          <w:lang w:eastAsia="en-GB" w:bidi="km-KH"/>
        </w:rPr>
        <w:t>and data collection</w:t>
      </w:r>
      <w:bookmarkEnd w:id="90"/>
      <w:bookmarkEnd w:id="91"/>
      <w:bookmarkEnd w:id="92"/>
      <w:r>
        <w:rPr>
          <w:lang w:eastAsia="en-GB" w:bidi="km-KH"/>
        </w:rPr>
        <w:br/>
      </w:r>
      <w:r w:rsidRPr="00374074">
        <w:rPr>
          <w:lang w:eastAsia="en-GB" w:bidi="km-KH"/>
        </w:rPr>
        <w:t>Article</w:t>
      </w:r>
      <w:r>
        <w:rPr>
          <w:lang w:eastAsia="en-GB" w:bidi="km-KH"/>
        </w:rPr>
        <w:t xml:space="preserve"> 31</w:t>
      </w:r>
    </w:p>
    <w:p w14:paraId="15AD0913" w14:textId="77777777" w:rsidR="00374074" w:rsidRPr="00374074" w:rsidRDefault="00374074" w:rsidP="00995251">
      <w:pPr>
        <w:pStyle w:val="SingleTxtG"/>
        <w:numPr>
          <w:ilvl w:val="0"/>
          <w:numId w:val="7"/>
        </w:numPr>
        <w:ind w:left="1134" w:firstLine="0"/>
        <w:rPr>
          <w:lang w:eastAsia="en-GB"/>
        </w:rPr>
      </w:pPr>
      <w:r w:rsidRPr="00374074">
        <w:rPr>
          <w:lang w:eastAsia="en-GB" w:bidi="km-KH"/>
        </w:rPr>
        <w:t xml:space="preserve">The NIS of the Ministry of Planning, as the coordinator in collecting, compiling, analysing, publishing, and disseminating statistical data, in particular, has included persons with </w:t>
      </w:r>
      <w:r w:rsidRPr="00374074">
        <w:rPr>
          <w:lang w:eastAsia="en-GB"/>
        </w:rPr>
        <w:t>disabilities</w:t>
      </w:r>
      <w:r w:rsidRPr="00374074">
        <w:rPr>
          <w:lang w:eastAsia="en-GB" w:bidi="km-KH"/>
        </w:rPr>
        <w:t xml:space="preserve"> in the Cambodian General Population Census since 2008, identifying only five categories of disabilities: (1) visual impairment, (2) mute, (3) hearing impairment, (4) physical disability, and, (5) intellectual disability.</w:t>
      </w:r>
      <w:r w:rsidRPr="00374074">
        <w:rPr>
          <w:vertAlign w:val="superscript"/>
          <w:cs/>
          <w:lang w:eastAsia="en-GB"/>
        </w:rPr>
        <w:footnoteReference w:id="130"/>
      </w:r>
      <w:r w:rsidRPr="00374074">
        <w:rPr>
          <w:vertAlign w:val="superscript"/>
          <w:lang w:eastAsia="en-GB"/>
        </w:rPr>
        <w:t xml:space="preserve"> </w:t>
      </w:r>
    </w:p>
    <w:p w14:paraId="2A41E5C3" w14:textId="77777777" w:rsidR="00374074" w:rsidRPr="00374074" w:rsidRDefault="00374074" w:rsidP="00995251">
      <w:pPr>
        <w:pStyle w:val="SingleTxtG"/>
        <w:numPr>
          <w:ilvl w:val="0"/>
          <w:numId w:val="7"/>
        </w:numPr>
        <w:ind w:left="1134" w:firstLine="0"/>
        <w:rPr>
          <w:lang w:eastAsia="en-GB"/>
        </w:rPr>
      </w:pPr>
      <w:r w:rsidRPr="00374074">
        <w:rPr>
          <w:lang w:eastAsia="en-GB"/>
        </w:rPr>
        <w:t>In 2013, the RGC conducted the CIPS, which included an in-depth analysis of disability by including questions on disabilities such as visual impairment, speech impairment, hearing impairment, motor impairment, mental disabilities, and other disabilities.</w:t>
      </w:r>
      <w:r w:rsidRPr="00374074">
        <w:rPr>
          <w:spacing w:val="-8"/>
          <w:vertAlign w:val="superscript"/>
          <w:cs/>
          <w:lang w:eastAsia="en-GB"/>
        </w:rPr>
        <w:footnoteReference w:id="131"/>
      </w:r>
    </w:p>
    <w:p w14:paraId="3D1824BC" w14:textId="77777777" w:rsidR="00374074" w:rsidRPr="00374074" w:rsidRDefault="00374074" w:rsidP="00995251">
      <w:pPr>
        <w:pStyle w:val="SingleTxtG"/>
        <w:numPr>
          <w:ilvl w:val="0"/>
          <w:numId w:val="7"/>
        </w:numPr>
        <w:ind w:left="1134" w:firstLine="0"/>
        <w:rPr>
          <w:lang w:eastAsia="en-GB" w:bidi="km-KH"/>
        </w:rPr>
      </w:pPr>
      <w:r w:rsidRPr="00374074">
        <w:rPr>
          <w:lang w:eastAsia="en-GB" w:bidi="km-KH"/>
        </w:rPr>
        <w:t>The questions on disabilities were also included in the CDHS 2014 and the Cambodia Socio-</w:t>
      </w:r>
      <w:r w:rsidRPr="00374074">
        <w:rPr>
          <w:lang w:eastAsia="en-GB"/>
        </w:rPr>
        <w:t>Economic</w:t>
      </w:r>
      <w:r w:rsidRPr="00374074">
        <w:rPr>
          <w:lang w:eastAsia="en-GB" w:bidi="km-KH"/>
        </w:rPr>
        <w:t xml:space="preserve"> Survey (CSES) 2014. The questionnaires on disability consist of various types of disabilities, including seeing, hearing, walking or climbing stairs, remembering or concentrating, performing self-care, or communicating.   </w:t>
      </w:r>
    </w:p>
    <w:p w14:paraId="6246114B" w14:textId="77777777" w:rsidR="00374074" w:rsidRPr="00374074" w:rsidRDefault="00374074" w:rsidP="00995251">
      <w:pPr>
        <w:pStyle w:val="SingleTxtG"/>
        <w:numPr>
          <w:ilvl w:val="0"/>
          <w:numId w:val="7"/>
        </w:numPr>
        <w:ind w:left="1134" w:firstLine="0"/>
        <w:rPr>
          <w:lang w:eastAsia="en-GB"/>
        </w:rPr>
      </w:pPr>
      <w:r w:rsidRPr="00374074">
        <w:rPr>
          <w:lang w:eastAsia="en-GB"/>
        </w:rPr>
        <w:t xml:space="preserve">Article 30 of the Law on Statistics stipulates that </w:t>
      </w:r>
      <w:r w:rsidRPr="00C33823">
        <w:rPr>
          <w:i/>
          <w:iCs/>
          <w:lang w:eastAsia="en-GB"/>
        </w:rPr>
        <w:t>“Staff and employees working in the National Institute of Statistics of the Ministry of Planning and statistical units in the ministries and institutions of the Royal Government, as well as designated statistical officers of these organizations shall ensure the confidentiality of all individual information obtained from respondents. The information collected under this law is to be used only for statistical purposes.”</w:t>
      </w:r>
      <w:r w:rsidRPr="00374074">
        <w:rPr>
          <w:vertAlign w:val="superscript"/>
          <w:cs/>
          <w:lang w:eastAsia="en-GB" w:bidi="km-KH"/>
        </w:rPr>
        <w:footnoteReference w:id="132"/>
      </w:r>
      <w:r w:rsidRPr="00374074">
        <w:rPr>
          <w:lang w:eastAsia="en-GB"/>
        </w:rPr>
        <w:t xml:space="preserve"> </w:t>
      </w:r>
    </w:p>
    <w:p w14:paraId="351251A6" w14:textId="77777777" w:rsidR="00374074" w:rsidRPr="00374074" w:rsidRDefault="00374074" w:rsidP="00995251">
      <w:pPr>
        <w:pStyle w:val="SingleTxtG"/>
        <w:numPr>
          <w:ilvl w:val="0"/>
          <w:numId w:val="7"/>
        </w:numPr>
        <w:ind w:left="1134" w:firstLine="0"/>
        <w:rPr>
          <w:lang w:eastAsia="en-GB"/>
        </w:rPr>
      </w:pPr>
      <w:r w:rsidRPr="00374074">
        <w:rPr>
          <w:shd w:val="clear" w:color="auto" w:fill="FFFFFF"/>
          <w:lang w:eastAsia="en-GB"/>
        </w:rPr>
        <w:t xml:space="preserve">The </w:t>
      </w:r>
      <w:r w:rsidRPr="00995251">
        <w:rPr>
          <w:lang w:eastAsia="en-GB"/>
        </w:rPr>
        <w:t>results</w:t>
      </w:r>
      <w:r w:rsidRPr="00374074">
        <w:rPr>
          <w:shd w:val="clear" w:color="auto" w:fill="FFFFFF"/>
          <w:lang w:eastAsia="en-GB"/>
        </w:rPr>
        <w:t xml:space="preserve"> of the census and other surveys in Cambodia have been disseminated widely through different means, including electronically, on the website of the NIS (</w:t>
      </w:r>
      <w:hyperlink r:id="rId13" w:history="1">
        <w:r w:rsidRPr="00374074">
          <w:rPr>
            <w:color w:val="0000FF" w:themeColor="hyperlink"/>
            <w:u w:val="single"/>
            <w:shd w:val="clear" w:color="auto" w:fill="FFFFFF"/>
            <w:lang w:eastAsia="en-GB"/>
          </w:rPr>
          <w:t>www.nis.gov.kh</w:t>
        </w:r>
      </w:hyperlink>
      <w:r w:rsidRPr="00374074">
        <w:rPr>
          <w:shd w:val="clear" w:color="auto" w:fill="FFFFFF"/>
          <w:lang w:eastAsia="en-GB"/>
        </w:rPr>
        <w:t>), publications and workshops at the national and provincial levels, and CDs. These reports are widely utilized by ministries, institutions, international agencies, NGOs, provincial and district planning offices, private universities, institutes, researchers, teachers, students, and other data users. Despite the wide distribution of this data, it is not yet available in accessible formats for persons with disabilities, particularly those with visual and hearing impairments.</w:t>
      </w:r>
    </w:p>
    <w:p w14:paraId="1AD31A42" w14:textId="617E51BB" w:rsidR="00374074" w:rsidRPr="00374074" w:rsidRDefault="00995251" w:rsidP="00995251">
      <w:pPr>
        <w:pStyle w:val="H1G"/>
        <w:rPr>
          <w:lang w:eastAsia="en-GB" w:bidi="km-KH"/>
        </w:rPr>
      </w:pPr>
      <w:bookmarkStart w:id="93" w:name="_Toc392839056"/>
      <w:bookmarkStart w:id="94" w:name="_Toc92875459"/>
      <w:bookmarkStart w:id="95" w:name="_Toc215321720"/>
      <w:r>
        <w:rPr>
          <w:lang w:eastAsia="en-GB" w:bidi="km-KH"/>
        </w:rPr>
        <w:tab/>
      </w:r>
      <w:r>
        <w:rPr>
          <w:lang w:eastAsia="en-GB" w:bidi="km-KH"/>
        </w:rPr>
        <w:tab/>
      </w:r>
      <w:bookmarkEnd w:id="93"/>
      <w:r w:rsidR="00374074" w:rsidRPr="00374074">
        <w:rPr>
          <w:lang w:eastAsia="en-GB" w:bidi="km-KH"/>
        </w:rPr>
        <w:t>International cooperation</w:t>
      </w:r>
      <w:bookmarkEnd w:id="94"/>
      <w:bookmarkEnd w:id="95"/>
      <w:r>
        <w:rPr>
          <w:lang w:eastAsia="en-GB" w:bidi="km-KH"/>
        </w:rPr>
        <w:br/>
      </w:r>
      <w:r w:rsidRPr="00374074">
        <w:rPr>
          <w:lang w:eastAsia="en-GB" w:bidi="km-KH"/>
        </w:rPr>
        <w:t>Article</w:t>
      </w:r>
      <w:r>
        <w:rPr>
          <w:lang w:eastAsia="en-GB" w:bidi="km-KH"/>
        </w:rPr>
        <w:t xml:space="preserve"> 32</w:t>
      </w:r>
    </w:p>
    <w:p w14:paraId="2FA31E5C" w14:textId="77777777" w:rsidR="00374074" w:rsidRPr="00374074" w:rsidRDefault="00374074" w:rsidP="00995251">
      <w:pPr>
        <w:pStyle w:val="SingleTxtG"/>
        <w:numPr>
          <w:ilvl w:val="0"/>
          <w:numId w:val="7"/>
        </w:numPr>
        <w:ind w:left="1134" w:firstLine="0"/>
        <w:rPr>
          <w:lang w:eastAsia="en-GB"/>
        </w:rPr>
      </w:pPr>
      <w:r w:rsidRPr="00374074">
        <w:rPr>
          <w:lang w:eastAsia="en-GB"/>
        </w:rPr>
        <w:t xml:space="preserve">As a member of the United Nations Economic and Social Affairs Committee for Asia and the Pacific (ESCAP), the RGC has shared and exchanged experiences in legislation, policies and </w:t>
      </w:r>
      <w:r w:rsidRPr="00995251">
        <w:rPr>
          <w:shd w:val="clear" w:color="auto" w:fill="FFFFFF"/>
          <w:lang w:eastAsia="en-GB"/>
        </w:rPr>
        <w:t>programs</w:t>
      </w:r>
      <w:r w:rsidRPr="00374074">
        <w:rPr>
          <w:lang w:eastAsia="en-GB"/>
        </w:rPr>
        <w:t xml:space="preserve"> related to persons with disabilities in Cambodia with other members of ESCAP and stakeholders. This has been achieved through active participation in regional workshops for Asia-Pacific countries and the Mekong Sub-region, and joint meetings with other communities in the Association of Southeast Asian Nations (ASEAN), aimed at encouraging the implementation of the Convention.</w:t>
      </w:r>
    </w:p>
    <w:p w14:paraId="1FD074BC" w14:textId="77777777" w:rsidR="00374074" w:rsidRPr="00374074" w:rsidRDefault="00374074" w:rsidP="00995251">
      <w:pPr>
        <w:pStyle w:val="SingleTxtG"/>
        <w:numPr>
          <w:ilvl w:val="0"/>
          <w:numId w:val="7"/>
        </w:numPr>
        <w:ind w:left="1134" w:firstLine="0"/>
        <w:rPr>
          <w:lang w:eastAsia="en-GB"/>
        </w:rPr>
      </w:pPr>
      <w:r w:rsidRPr="00374074">
        <w:rPr>
          <w:lang w:eastAsia="en-GB"/>
        </w:rPr>
        <w:t xml:space="preserve">Between 2014 and 2018, the RGC, the Government of Australia, UNDP, UNICEF and the World </w:t>
      </w:r>
      <w:r w:rsidRPr="00995251">
        <w:rPr>
          <w:shd w:val="clear" w:color="auto" w:fill="FFFFFF"/>
          <w:lang w:eastAsia="en-GB"/>
        </w:rPr>
        <w:t>Health</w:t>
      </w:r>
      <w:r w:rsidRPr="00374074">
        <w:rPr>
          <w:lang w:eastAsia="en-GB"/>
        </w:rPr>
        <w:t xml:space="preserve"> Organization jointly implemented the “Disability Rights Initiative </w:t>
      </w:r>
      <w:r w:rsidRPr="00374074">
        <w:rPr>
          <w:lang w:eastAsia="en-GB"/>
        </w:rPr>
        <w:lastRenderedPageBreak/>
        <w:t>Cambodia”,</w:t>
      </w:r>
      <w:r w:rsidRPr="00374074">
        <w:rPr>
          <w:vertAlign w:val="superscript"/>
          <w:lang w:eastAsia="en-GB" w:bidi="km-KH"/>
        </w:rPr>
        <w:footnoteReference w:id="133"/>
      </w:r>
      <w:r w:rsidRPr="00374074">
        <w:rPr>
          <w:cs/>
          <w:lang w:eastAsia="en-GB" w:bidi="km-KH"/>
        </w:rPr>
        <w:t xml:space="preserve"> </w:t>
      </w:r>
      <w:r w:rsidRPr="00374074">
        <w:rPr>
          <w:lang w:eastAsia="en-GB"/>
        </w:rPr>
        <w:t>with a budget of over $7 million for a four-year period. The initiative aimed to enhance the quality of life of persons with disabilities in Cambodia.</w:t>
      </w:r>
      <w:r w:rsidRPr="00374074">
        <w:rPr>
          <w:vertAlign w:val="superscript"/>
          <w:cs/>
          <w:lang w:eastAsia="en-GB"/>
        </w:rPr>
        <w:footnoteReference w:id="134"/>
      </w:r>
    </w:p>
    <w:p w14:paraId="1B1B0473" w14:textId="77777777" w:rsidR="00374074" w:rsidRPr="00374074" w:rsidRDefault="00374074" w:rsidP="00995251">
      <w:pPr>
        <w:pStyle w:val="SingleTxtG"/>
        <w:numPr>
          <w:ilvl w:val="0"/>
          <w:numId w:val="7"/>
        </w:numPr>
        <w:ind w:left="1134" w:firstLine="0"/>
        <w:rPr>
          <w:sz w:val="36"/>
          <w:szCs w:val="36"/>
          <w:lang w:eastAsia="en-GB" w:bidi="km-KH"/>
        </w:rPr>
      </w:pPr>
      <w:r w:rsidRPr="00374074">
        <w:rPr>
          <w:lang w:eastAsia="en-GB"/>
        </w:rPr>
        <w:t>From 2012 to 2015, Cambodia collaborated with the APCD and ESCAP to successfully implement a project on a disability-free environment in Kien Svay district, Kandal province. The project entailed the standardization of ramps for the bathrooms accessible to persons with disabilities, the elderly and pregnant women at marketplaces, commune halls and entertainment venues. Building upon the success of the aforementioned project, in 2016, the DAC-SG continued to test the project in Tram Kak district, Takeo province under the auspices of UNDP.</w:t>
      </w:r>
    </w:p>
    <w:p w14:paraId="7686736F" w14:textId="77777777" w:rsidR="00374074" w:rsidRPr="00374074" w:rsidRDefault="00374074" w:rsidP="00995251">
      <w:pPr>
        <w:pStyle w:val="SingleTxtG"/>
        <w:numPr>
          <w:ilvl w:val="0"/>
          <w:numId w:val="7"/>
        </w:numPr>
        <w:ind w:left="1134" w:firstLine="0"/>
        <w:rPr>
          <w:lang w:eastAsia="en-GB"/>
        </w:rPr>
      </w:pPr>
      <w:r w:rsidRPr="00374074">
        <w:rPr>
          <w:lang w:eastAsia="en-GB"/>
        </w:rPr>
        <w:t>The RGC is a member of the Community-Based Rehabilitation Asia-Pacific Network and Global Network, the International Rehabilitation Program, and the Association of Entrepreneurs with Disabilities in the ASEAN.</w:t>
      </w:r>
    </w:p>
    <w:p w14:paraId="1F076A5A" w14:textId="77777777" w:rsidR="00374074" w:rsidRPr="00374074" w:rsidRDefault="00374074" w:rsidP="004056E4">
      <w:pPr>
        <w:pStyle w:val="SingleTxtG"/>
        <w:numPr>
          <w:ilvl w:val="0"/>
          <w:numId w:val="7"/>
        </w:numPr>
        <w:ind w:left="1134" w:firstLine="0"/>
        <w:rPr>
          <w:lang w:eastAsia="en-GB" w:bidi="km-KH"/>
        </w:rPr>
      </w:pPr>
      <w:r w:rsidRPr="00374074">
        <w:rPr>
          <w:lang w:eastAsia="en-GB"/>
        </w:rPr>
        <w:t>Annually, the RGC appoints delegates to attend the Conference of States Parties to the Convention</w:t>
      </w:r>
      <w:r w:rsidRPr="00374074">
        <w:rPr>
          <w:rFonts w:eastAsia="Malgun Gothic"/>
          <w:lang w:eastAsia="ko-KR"/>
        </w:rPr>
        <w:t xml:space="preserve"> on the Rights of Persons with Disabilities</w:t>
      </w:r>
      <w:r w:rsidRPr="00374074">
        <w:rPr>
          <w:lang w:eastAsia="en-GB"/>
        </w:rPr>
        <w:t>, to report on progress and demonstrate the Royal Government’s commitment to persons with disabilities at the United Nations Headquarters.</w:t>
      </w:r>
    </w:p>
    <w:p w14:paraId="7A87D070" w14:textId="77777777" w:rsidR="00374074" w:rsidRPr="00374074" w:rsidRDefault="00374074" w:rsidP="004056E4">
      <w:pPr>
        <w:pStyle w:val="SingleTxtG"/>
        <w:numPr>
          <w:ilvl w:val="0"/>
          <w:numId w:val="7"/>
        </w:numPr>
        <w:ind w:left="1134" w:firstLine="0"/>
        <w:rPr>
          <w:lang w:eastAsia="en-GB"/>
        </w:rPr>
      </w:pPr>
      <w:r w:rsidRPr="00374074">
        <w:rPr>
          <w:lang w:eastAsia="en-GB"/>
        </w:rPr>
        <w:t>The RGC regularly appoints representatives to attend the meetings of the Convention on the Prohibition of the Use, Stockpiling, Production and Transfer of Anti-Personnel Mines and their Destruction (Ottawa Convention) to report on progress and demonstrate the Royal Government’s commitment to persons with disabilities. Cambodia hosted the meeting of the States Parties to the Ottawa Convention in 2011, and many other meetings in relation to this convention.</w:t>
      </w:r>
    </w:p>
    <w:p w14:paraId="47545F69" w14:textId="77777777" w:rsidR="00374074" w:rsidRPr="00374074" w:rsidRDefault="00374074" w:rsidP="004056E4">
      <w:pPr>
        <w:pStyle w:val="SingleTxtG"/>
        <w:numPr>
          <w:ilvl w:val="0"/>
          <w:numId w:val="7"/>
        </w:numPr>
        <w:ind w:left="1134" w:firstLine="0"/>
        <w:rPr>
          <w:lang w:eastAsia="en-GB"/>
        </w:rPr>
      </w:pPr>
      <w:r w:rsidRPr="00374074">
        <w:rPr>
          <w:lang w:eastAsia="en-GB"/>
        </w:rPr>
        <w:t>There are approximately 3,492 registered NGOs and associations in Cambodia (1,350 of which are estimated to be still active).</w:t>
      </w:r>
      <w:r w:rsidRPr="00374074">
        <w:rPr>
          <w:vertAlign w:val="superscript"/>
          <w:lang w:eastAsia="en-GB" w:bidi="km-KH"/>
        </w:rPr>
        <w:footnoteReference w:id="135"/>
      </w:r>
      <w:r w:rsidRPr="00374074">
        <w:rPr>
          <w:lang w:eastAsia="en-GB" w:bidi="km-KH"/>
        </w:rPr>
        <w:t xml:space="preserve"> Many </w:t>
      </w:r>
      <w:r w:rsidRPr="00374074">
        <w:rPr>
          <w:lang w:eastAsia="en-GB"/>
        </w:rPr>
        <w:t xml:space="preserve">local and international organizations in Cambodia work to support and advocate for persons with disabilities. The first international NGO working in humanitarian aid arrived in Cambodia in 1989, and since then, many local NGOs have also been established. The RGC has a number of official mechanisms enabling NGOs to participate in the formation and implementation of national development strategies and policies, as well as to take part in dialogues. The Ministry of Interior is responsible for the registration of local NGOs and associations, while the Ministry of Foreign Affairs and International Cooperation is responsible for the registration of international NGOs. More than 60 NGOs work in </w:t>
      </w:r>
      <w:r w:rsidRPr="00374074">
        <w:rPr>
          <w:rFonts w:eastAsia="Malgun Gothic"/>
          <w:lang w:eastAsia="ko-KR"/>
        </w:rPr>
        <w:t xml:space="preserve">the </w:t>
      </w:r>
      <w:r w:rsidRPr="00374074">
        <w:rPr>
          <w:lang w:eastAsia="en-GB"/>
        </w:rPr>
        <w:t>disability</w:t>
      </w:r>
      <w:r w:rsidRPr="00374074">
        <w:rPr>
          <w:rFonts w:eastAsia="Malgun Gothic"/>
          <w:lang w:eastAsia="ko-KR"/>
        </w:rPr>
        <w:t xml:space="preserve"> sector</w:t>
      </w:r>
      <w:r w:rsidRPr="00374074">
        <w:rPr>
          <w:lang w:eastAsia="en-GB"/>
        </w:rPr>
        <w:t>, and 76 are OPDs, including 10 organizations of women with disabilities.</w:t>
      </w:r>
      <w:r w:rsidRPr="00374074">
        <w:rPr>
          <w:vertAlign w:val="superscript"/>
          <w:cs/>
          <w:lang w:eastAsia="en-GB"/>
        </w:rPr>
        <w:footnoteReference w:id="136"/>
      </w:r>
    </w:p>
    <w:p w14:paraId="0ADD0967" w14:textId="48E87F6B" w:rsidR="00374074" w:rsidRPr="00374074" w:rsidRDefault="004056E4" w:rsidP="004056E4">
      <w:pPr>
        <w:pStyle w:val="H1G"/>
        <w:rPr>
          <w:lang w:eastAsia="en-GB" w:bidi="km-KH"/>
        </w:rPr>
      </w:pPr>
      <w:bookmarkStart w:id="96" w:name="_Toc392839057"/>
      <w:bookmarkStart w:id="97" w:name="_Toc92875460"/>
      <w:bookmarkStart w:id="98" w:name="_Toc215321721"/>
      <w:r>
        <w:rPr>
          <w:lang w:eastAsia="en-GB" w:bidi="km-KH"/>
        </w:rPr>
        <w:tab/>
      </w:r>
      <w:r>
        <w:rPr>
          <w:lang w:eastAsia="en-GB" w:bidi="km-KH"/>
        </w:rPr>
        <w:tab/>
      </w:r>
      <w:r w:rsidR="00374074" w:rsidRPr="00374074">
        <w:rPr>
          <w:lang w:eastAsia="en-GB" w:bidi="km-KH"/>
        </w:rPr>
        <w:t>National implementation and monitoring</w:t>
      </w:r>
      <w:bookmarkEnd w:id="96"/>
      <w:bookmarkEnd w:id="97"/>
      <w:bookmarkEnd w:id="98"/>
      <w:r>
        <w:rPr>
          <w:lang w:eastAsia="en-GB" w:bidi="km-KH"/>
        </w:rPr>
        <w:br/>
      </w:r>
      <w:r w:rsidRPr="00374074">
        <w:rPr>
          <w:lang w:eastAsia="en-GB" w:bidi="km-KH"/>
        </w:rPr>
        <w:t>Article</w:t>
      </w:r>
      <w:r>
        <w:rPr>
          <w:lang w:eastAsia="en-GB" w:bidi="km-KH"/>
        </w:rPr>
        <w:t xml:space="preserve"> 33</w:t>
      </w:r>
    </w:p>
    <w:p w14:paraId="5CBE681E" w14:textId="77777777" w:rsidR="00374074" w:rsidRPr="00374074" w:rsidRDefault="00374074" w:rsidP="004056E4">
      <w:pPr>
        <w:pStyle w:val="SingleTxtG"/>
        <w:numPr>
          <w:ilvl w:val="0"/>
          <w:numId w:val="7"/>
        </w:numPr>
        <w:ind w:left="1134" w:firstLine="0"/>
        <w:rPr>
          <w:lang w:eastAsia="en-GB" w:bidi="km-KH"/>
        </w:rPr>
      </w:pPr>
      <w:r w:rsidRPr="00374074">
        <w:rPr>
          <w:lang w:eastAsia="en-GB"/>
        </w:rPr>
        <w:t>The DAC has been mandated by the RGC as a coordination and advisory mechanism for the disability sector, presided by the Minister of MoSVY.</w:t>
      </w:r>
      <w:r w:rsidRPr="00374074">
        <w:rPr>
          <w:vertAlign w:val="superscript"/>
          <w:cs/>
          <w:lang w:eastAsia="en-GB"/>
        </w:rPr>
        <w:footnoteReference w:id="137"/>
      </w:r>
      <w:r w:rsidRPr="00374074">
        <w:rPr>
          <w:lang w:eastAsia="en-GB"/>
        </w:rPr>
        <w:t xml:space="preserve"> The President of DAC serves as the focal point for disability-related matters within the Royal Government, particularly those related to the implementation of the Convention in Cambodia.</w:t>
      </w:r>
    </w:p>
    <w:p w14:paraId="0FAD2D7B" w14:textId="77777777" w:rsidR="00374074" w:rsidRPr="00374074" w:rsidRDefault="00374074" w:rsidP="004056E4">
      <w:pPr>
        <w:pStyle w:val="SingleTxtG"/>
        <w:numPr>
          <w:ilvl w:val="0"/>
          <w:numId w:val="7"/>
        </w:numPr>
        <w:ind w:left="1134" w:firstLine="0"/>
        <w:rPr>
          <w:lang w:eastAsia="en-GB" w:bidi="km-KH"/>
        </w:rPr>
      </w:pPr>
      <w:r w:rsidRPr="00374074">
        <w:rPr>
          <w:shd w:val="clear" w:color="auto" w:fill="FFFFFF"/>
          <w:lang w:eastAsia="en-GB"/>
        </w:rPr>
        <w:t xml:space="preserve">The DAC-SG is a national institution with obligations to promote and monitor the implementation of the Convention, and prepare reports on </w:t>
      </w:r>
      <w:r w:rsidRPr="00374074">
        <w:rPr>
          <w:rFonts w:eastAsia="Malgun Gothic"/>
          <w:shd w:val="clear" w:color="auto" w:fill="FFFFFF"/>
          <w:lang w:eastAsia="ko-KR"/>
        </w:rPr>
        <w:t>its</w:t>
      </w:r>
      <w:r w:rsidRPr="00374074">
        <w:rPr>
          <w:shd w:val="clear" w:color="auto" w:fill="FFFFFF"/>
          <w:lang w:eastAsia="en-GB"/>
        </w:rPr>
        <w:t xml:space="preserve"> implementation f</w:t>
      </w:r>
      <w:r w:rsidRPr="00374074">
        <w:rPr>
          <w:rFonts w:eastAsia="Malgun Gothic"/>
          <w:shd w:val="clear" w:color="auto" w:fill="FFFFFF"/>
          <w:lang w:eastAsia="ko-KR"/>
        </w:rPr>
        <w:t>or</w:t>
      </w:r>
      <w:r w:rsidRPr="00374074">
        <w:rPr>
          <w:shd w:val="clear" w:color="auto" w:fill="FFFFFF"/>
          <w:lang w:eastAsia="en-GB"/>
        </w:rPr>
        <w:t xml:space="preserve"> the Royal Government</w:t>
      </w:r>
      <w:r w:rsidRPr="00374074">
        <w:rPr>
          <w:rFonts w:eastAsia="Malgun Gothic"/>
          <w:shd w:val="clear" w:color="auto" w:fill="FFFFFF"/>
          <w:lang w:eastAsia="ko-KR"/>
        </w:rPr>
        <w:t xml:space="preserve"> </w:t>
      </w:r>
      <w:r w:rsidRPr="00374074">
        <w:rPr>
          <w:shd w:val="clear" w:color="auto" w:fill="FFFFFF"/>
          <w:lang w:eastAsia="en-GB"/>
        </w:rPr>
        <w:t>to submit to the United Nations.</w:t>
      </w:r>
      <w:r w:rsidRPr="00374074">
        <w:rPr>
          <w:vertAlign w:val="superscript"/>
          <w:cs/>
          <w:lang w:eastAsia="en-GB"/>
        </w:rPr>
        <w:footnoteReference w:id="138"/>
      </w:r>
      <w:r w:rsidRPr="00374074">
        <w:rPr>
          <w:vertAlign w:val="superscript"/>
          <w:lang w:eastAsia="en-GB"/>
        </w:rPr>
        <w:t xml:space="preserve">  </w:t>
      </w:r>
      <w:r w:rsidRPr="00374074">
        <w:rPr>
          <w:shd w:val="clear" w:color="auto" w:fill="FFFFFF"/>
          <w:lang w:eastAsia="en-GB"/>
        </w:rPr>
        <w:t xml:space="preserve">The DAC has launched a five-year strategic plan titled “National Disability Strategic Plan 2014-2018”. This was done in consultation </w:t>
      </w:r>
      <w:r w:rsidRPr="00374074">
        <w:rPr>
          <w:shd w:val="clear" w:color="auto" w:fill="FFFFFF"/>
          <w:lang w:eastAsia="en-GB"/>
        </w:rPr>
        <w:lastRenderedPageBreak/>
        <w:t>with ministries, institutions, CSOs, local OPDs and especially with persons with all types of disabilities. The RGC, through the DAC, has attracted more attention to promote the rights of persons with disabilities through collaborating with relevant partners working in the field of disability to monitor the implementation of laws and policies.</w:t>
      </w:r>
    </w:p>
    <w:p w14:paraId="01B66E5A" w14:textId="77777777" w:rsidR="00374074" w:rsidRPr="00374074" w:rsidRDefault="00374074" w:rsidP="00F170DB">
      <w:pPr>
        <w:pStyle w:val="SingleTxtG"/>
        <w:numPr>
          <w:ilvl w:val="0"/>
          <w:numId w:val="7"/>
        </w:numPr>
        <w:ind w:left="1134" w:firstLine="0"/>
        <w:rPr>
          <w:lang w:eastAsia="en-GB" w:bidi="km-KH"/>
        </w:rPr>
      </w:pPr>
      <w:r w:rsidRPr="00374074">
        <w:rPr>
          <w:shd w:val="clear" w:color="auto" w:fill="FFFFFF"/>
          <w:lang w:eastAsia="en-GB"/>
        </w:rPr>
        <w:t>With a strong commitment to incorporating disability issues in the agenda of the entire RGC, the DAC consists of representatives from almost all ministries and institutions as members, including representatives from ministries and institutions, the DAC-SG, the Cambodian Red Cross, OPDs, and representatives from employers,</w:t>
      </w:r>
      <w:r w:rsidRPr="00374074">
        <w:rPr>
          <w:vertAlign w:val="superscript"/>
          <w:cs/>
          <w:lang w:eastAsia="en-GB" w:bidi="km-KH"/>
        </w:rPr>
        <w:footnoteReference w:id="139"/>
      </w:r>
      <w:r w:rsidRPr="00374074">
        <w:rPr>
          <w:shd w:val="clear" w:color="auto" w:fill="FFFFFF"/>
          <w:lang w:eastAsia="en-GB"/>
        </w:rPr>
        <w:t xml:space="preserve"> as well as Deputy Governors from the capital and all provinces,</w:t>
      </w:r>
      <w:r w:rsidRPr="00374074">
        <w:rPr>
          <w:vertAlign w:val="superscript"/>
          <w:cs/>
          <w:lang w:eastAsia="en-GB" w:bidi="km-KH"/>
        </w:rPr>
        <w:footnoteReference w:id="140"/>
      </w:r>
      <w:r w:rsidRPr="00374074">
        <w:rPr>
          <w:shd w:val="clear" w:color="auto" w:fill="FFFFFF"/>
          <w:lang w:eastAsia="en-GB"/>
        </w:rPr>
        <w:t xml:space="preserve"> serving as Chairs of the DAC at sub-national level. </w:t>
      </w:r>
    </w:p>
    <w:p w14:paraId="4EB41BAE" w14:textId="77777777" w:rsidR="00374074" w:rsidRPr="00374074" w:rsidRDefault="00374074" w:rsidP="00F170DB">
      <w:pPr>
        <w:pStyle w:val="SingleTxtG"/>
        <w:numPr>
          <w:ilvl w:val="0"/>
          <w:numId w:val="7"/>
        </w:numPr>
        <w:ind w:left="1134" w:firstLine="0"/>
        <w:rPr>
          <w:lang w:eastAsia="en-GB" w:bidi="km-KH"/>
        </w:rPr>
      </w:pPr>
      <w:r w:rsidRPr="00374074">
        <w:rPr>
          <w:lang w:eastAsia="en-GB"/>
        </w:rPr>
        <w:t xml:space="preserve">The RGC has developed and adopted the NDSP for 2019-2023 with the aim of achieving the goals stated in the LPRPD, the Convention, the Asian and Pacific Decade of Persons with Disabilities 2013-2022, the Incheon Strategy “Make the Right Real”, and the National Social Protection Policy for 2016-2025. These documents serve as the framework for the National </w:t>
      </w:r>
      <w:r w:rsidRPr="00F170DB">
        <w:rPr>
          <w:shd w:val="clear" w:color="auto" w:fill="FFFFFF"/>
          <w:lang w:eastAsia="en-GB"/>
        </w:rPr>
        <w:t>Disability</w:t>
      </w:r>
      <w:r w:rsidRPr="00374074">
        <w:rPr>
          <w:lang w:eastAsia="en-GB"/>
        </w:rPr>
        <w:t xml:space="preserve"> Strategic Plan, as well as a medium-term roadmap for the development of the welfare of persons with disabilities in Cambodia. It delineates the model of action, expected outcomes, implementing institutions, timing and resources, and monitoring mechanisms to ensure successful implementation. Moreover, it expounds prioritized areas, strategic objectives and key actions that are responsive to the needs and challenges in the disability sector. The ultimate objective is to strengthen the capacities of ministries and institutions and to strengthen the social and economic infrastructure to promote the creation of decent living opportunities, reduce poverty and achieve the full participation of persons with disabilities in society. This strategic plan aims to promote the inclusion of persons with disabilities in all areas of development by engaging ministries, institutions, development partners, private sector, CSOs and OPDs, including persons with disabilities themselves, through mainstreaming of disability issues into the implementation of action plans. The aim is to attain a sustainable quality of life for persons with disabilities and their families, enabling full and equal participation in society with respect for their rights and dignity.</w:t>
      </w:r>
    </w:p>
    <w:p w14:paraId="6E96C9C3" w14:textId="77777777" w:rsidR="00374074" w:rsidRPr="00374074" w:rsidRDefault="00374074" w:rsidP="00F170DB">
      <w:pPr>
        <w:pStyle w:val="SingleTxtG"/>
        <w:numPr>
          <w:ilvl w:val="0"/>
          <w:numId w:val="7"/>
        </w:numPr>
        <w:ind w:left="1134" w:firstLine="0"/>
        <w:rPr>
          <w:lang w:eastAsia="en-GB"/>
        </w:rPr>
      </w:pPr>
      <w:r w:rsidRPr="00374074">
        <w:rPr>
          <w:lang w:eastAsia="en-GB"/>
        </w:rPr>
        <w:t>A monitoring and evaluation framework has been finalized to monitor and evaluate the NDSP 2019-2023. This framework serves as a tool for ministries, institutions, CSOs and relevant partners to utilize in setting up a data collection system that reflects each institution’s contributions and accountability. The defined indicators align with indicators related to persons with disabilities and vulnerable people in the Sustainable Development Goals of Cambodia, the Asian and Pacific Decade of Persons with Disabilities 2013-2022, the Incheon Strategy “Make the Right Real”, the Convention, and the ASEAN Enabling Masterplan 2025: Mainstreaming the Rights of Persons with Disabilities.</w:t>
      </w:r>
    </w:p>
    <w:p w14:paraId="790612F5" w14:textId="194FF180" w:rsidR="00374074" w:rsidRPr="00374074" w:rsidRDefault="00374074" w:rsidP="00374074">
      <w:pPr>
        <w:spacing w:before="240"/>
        <w:ind w:left="1134" w:right="1134"/>
        <w:jc w:val="center"/>
        <w:rPr>
          <w:u w:val="single"/>
        </w:rPr>
      </w:pPr>
      <w:r>
        <w:rPr>
          <w:u w:val="single"/>
        </w:rPr>
        <w:tab/>
      </w:r>
      <w:r>
        <w:rPr>
          <w:u w:val="single"/>
        </w:rPr>
        <w:tab/>
      </w:r>
      <w:r>
        <w:rPr>
          <w:u w:val="single"/>
        </w:rPr>
        <w:tab/>
      </w:r>
      <w:r>
        <w:rPr>
          <w:u w:val="single"/>
        </w:rPr>
        <w:tab/>
      </w:r>
    </w:p>
    <w:sectPr w:rsidR="00374074" w:rsidRPr="00374074">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code="9"/>
      <w:pgMar w:top="1417" w:right="1134" w:bottom="1134" w:left="1134"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07536" w14:textId="77777777" w:rsidR="00270C9E" w:rsidRDefault="00270C9E"/>
  </w:endnote>
  <w:endnote w:type="continuationSeparator" w:id="0">
    <w:p w14:paraId="2350A749" w14:textId="77777777" w:rsidR="00270C9E" w:rsidRDefault="00270C9E">
      <w:pPr>
        <w:pStyle w:val="Footer"/>
      </w:pPr>
    </w:p>
  </w:endnote>
  <w:endnote w:type="continuationNotice" w:id="1">
    <w:p w14:paraId="54377732" w14:textId="77777777" w:rsidR="00270C9E" w:rsidRDefault="00270C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aunPenh">
    <w:charset w:val="00"/>
    <w:family w:val="auto"/>
    <w:pitch w:val="variable"/>
    <w:sig w:usb0="80000003" w:usb1="00000000" w:usb2="0001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5D0D" w14:textId="77777777" w:rsidR="00AF434B" w:rsidRDefault="002A7257">
    <w:pPr>
      <w:pStyle w:val="Footer"/>
      <w:tabs>
        <w:tab w:val="right" w:pos="9639"/>
      </w:tabs>
    </w:pPr>
    <w:r>
      <w:rPr>
        <w:b/>
        <w:sz w:val="18"/>
      </w:rPr>
      <w:fldChar w:fldCharType="begin"/>
    </w:r>
    <w:r>
      <w:rPr>
        <w:b/>
        <w:sz w:val="18"/>
      </w:rPr>
      <w:instrText xml:space="preserve"> PAGE  \* MERGEFORMAT </w:instrText>
    </w:r>
    <w:r>
      <w:rPr>
        <w:b/>
        <w:sz w:val="18"/>
      </w:rPr>
      <w:fldChar w:fldCharType="separate"/>
    </w:r>
    <w:r w:rsidR="00921159">
      <w:rPr>
        <w:b/>
        <w:noProof/>
        <w:sz w:val="18"/>
      </w:rPr>
      <w:t>2</w:t>
    </w:r>
    <w:r>
      <w:rPr>
        <w:b/>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3418D" w14:textId="77777777" w:rsidR="00AF434B" w:rsidRDefault="005B7CEF">
    <w:pPr>
      <w:pStyle w:val="Footer"/>
      <w:tabs>
        <w:tab w:val="right" w:pos="9639"/>
      </w:tabs>
      <w:rPr>
        <w:sz w:val="20"/>
      </w:rPr>
    </w:pPr>
    <w:r>
      <w:tab/>
    </w:r>
    <w:r>
      <w:rPr>
        <w:b/>
        <w:sz w:val="18"/>
      </w:rPr>
      <w:fldChar w:fldCharType="begin"/>
    </w:r>
    <w:r>
      <w:rPr>
        <w:b/>
        <w:sz w:val="18"/>
      </w:rPr>
      <w:instrText xml:space="preserve"> PAGE  \* MERGEFORMAT </w:instrText>
    </w:r>
    <w:r>
      <w:rPr>
        <w:b/>
        <w:sz w:val="18"/>
      </w:rPr>
      <w:fldChar w:fldCharType="separate"/>
    </w:r>
    <w:r>
      <w:rPr>
        <w:b/>
        <w:noProof/>
        <w:sz w:val="18"/>
      </w:rPr>
      <w:t>1</w:t>
    </w:r>
    <w:r>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CE522" w14:textId="17B5E16B" w:rsidR="00AF434B" w:rsidRDefault="002A7257">
    <w:pPr>
      <w:pStyle w:val="Footer"/>
      <w:spacing w:before="120"/>
      <w:rPr>
        <w:noProof/>
        <w:sz w:val="20"/>
        <w:lang w:eastAsia="fr-FR"/>
      </w:rPr>
    </w:pPr>
    <w:r>
      <w:rPr>
        <w:noProof/>
        <w:sz w:val="20"/>
        <w:lang w:val="fr-CH" w:eastAsia="fr-CH"/>
      </w:rPr>
      <w:drawing>
        <wp:anchor distT="0" distB="0" distL="114300" distR="114300" simplePos="0" relativeHeight="251658240" behindDoc="0" locked="1" layoutInCell="1" allowOverlap="1" wp14:anchorId="03597A7F" wp14:editId="1ABD1808">
          <wp:simplePos x="0" y="0"/>
          <wp:positionH relativeFrom="column">
            <wp:posOffset>5868670</wp:posOffset>
          </wp:positionH>
          <wp:positionV relativeFrom="paragraph">
            <wp:posOffset>9387840</wp:posOffset>
          </wp:positionV>
          <wp:extent cx="930275" cy="230505"/>
          <wp:effectExtent l="0" t="0" r="3175" b="0"/>
          <wp:wrapNone/>
          <wp:docPr id="7" name="Image 7"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recycle_English"/>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30275" cy="23050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GE.</w:t>
    </w:r>
    <w:r w:rsidR="004E75B6">
      <w:rPr>
        <w:sz w:val="20"/>
      </w:rPr>
      <w:t>26-</w:t>
    </w:r>
  </w:p>
  <w:tbl>
    <w:tblPr>
      <w:tblStyle w:val="TableGrid"/>
      <w:tblpPr w:leftFromText="181" w:rightFromText="181" w:horzAnchor="page" w:tblpX="7656" w:tblpY="140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274"/>
    </w:tblGrid>
    <w:tr w:rsidR="009B770D" w14:paraId="37DDB63C" w14:textId="77777777">
      <w:tc>
        <w:tcPr>
          <w:tcW w:w="1848" w:type="dxa"/>
          <w:vAlign w:val="bottom"/>
        </w:tcPr>
        <w:p w14:paraId="433EFD94" w14:textId="77777777" w:rsidR="00AF434B" w:rsidRDefault="002A7257">
          <w:pPr>
            <w:pStyle w:val="Footer"/>
            <w:spacing w:before="120" w:after="120"/>
            <w:jc w:val="right"/>
          </w:pPr>
          <w:r>
            <w:rPr>
              <w:noProof/>
              <w:sz w:val="20"/>
              <w:lang w:val="fr-CH" w:eastAsia="fr-CH"/>
            </w:rPr>
            <w:drawing>
              <wp:inline distT="0" distB="0" distL="0" distR="0" wp14:anchorId="634F9FBB" wp14:editId="00AFA4F3">
                <wp:extent cx="931545" cy="232410"/>
                <wp:effectExtent l="0" t="0" r="1905" b="0"/>
                <wp:docPr id="4" name="Image 4"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recycle_English"/>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1545" cy="232410"/>
                        </a:xfrm>
                        <a:prstGeom prst="rect">
                          <a:avLst/>
                        </a:prstGeom>
                        <a:noFill/>
                        <a:ln>
                          <a:noFill/>
                        </a:ln>
                      </pic:spPr>
                    </pic:pic>
                  </a:graphicData>
                </a:graphic>
              </wp:inline>
            </w:drawing>
          </w:r>
        </w:p>
      </w:tc>
      <w:tc>
        <w:tcPr>
          <w:tcW w:w="1274" w:type="dxa"/>
        </w:tcPr>
        <w:p w14:paraId="6292E164" w14:textId="77777777" w:rsidR="00AF434B" w:rsidRDefault="00AF434B">
          <w:pPr>
            <w:pStyle w:val="Footer"/>
            <w:jc w:val="right"/>
          </w:pPr>
        </w:p>
      </w:tc>
    </w:tr>
  </w:tbl>
  <w:p w14:paraId="4FA4EDC5" w14:textId="77777777" w:rsidR="00AF434B" w:rsidRDefault="00AF4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8DB64" w14:textId="77777777" w:rsidR="00270C9E" w:rsidRDefault="00270C9E">
      <w:pPr>
        <w:pStyle w:val="Footer"/>
        <w:tabs>
          <w:tab w:val="right" w:pos="2155"/>
        </w:tabs>
        <w:spacing w:after="80" w:line="240" w:lineRule="atLeast"/>
        <w:ind w:left="680"/>
        <w:rPr>
          <w:u w:val="single"/>
        </w:rPr>
      </w:pPr>
      <w:r>
        <w:rPr>
          <w:u w:val="single"/>
        </w:rPr>
        <w:tab/>
      </w:r>
    </w:p>
  </w:footnote>
  <w:footnote w:type="continuationSeparator" w:id="0">
    <w:p w14:paraId="080AF86F" w14:textId="77777777" w:rsidR="00270C9E" w:rsidRDefault="00270C9E">
      <w:pPr>
        <w:pStyle w:val="Footer"/>
        <w:tabs>
          <w:tab w:val="right" w:pos="2155"/>
        </w:tabs>
        <w:spacing w:after="80" w:line="240" w:lineRule="atLeast"/>
        <w:ind w:left="680"/>
        <w:rPr>
          <w:u w:val="single"/>
        </w:rPr>
      </w:pPr>
      <w:r>
        <w:rPr>
          <w:u w:val="single"/>
        </w:rPr>
        <w:tab/>
      </w:r>
    </w:p>
  </w:footnote>
  <w:footnote w:type="continuationNotice" w:id="1">
    <w:p w14:paraId="439E86B1" w14:textId="77777777" w:rsidR="00270C9E" w:rsidRDefault="00270C9E">
      <w:pPr>
        <w:rPr>
          <w:sz w:val="2"/>
          <w:szCs w:val="2"/>
        </w:rPr>
      </w:pPr>
    </w:p>
  </w:footnote>
  <w:footnote w:id="2">
    <w:p w14:paraId="6D57B3D9" w14:textId="77777777" w:rsidR="00B72C2E" w:rsidRPr="00342ADF" w:rsidRDefault="002A7257" w:rsidP="00B72C2E">
      <w:pPr>
        <w:pStyle w:val="FootnoteText"/>
      </w:pPr>
      <w:r>
        <w:tab/>
      </w:r>
      <w:r w:rsidRPr="00B72C2E">
        <w:rPr>
          <w:rStyle w:val="FootnoteReference"/>
          <w:sz w:val="20"/>
          <w:vertAlign w:val="baseline"/>
        </w:rPr>
        <w:t>*</w:t>
      </w:r>
      <w:r>
        <w:tab/>
      </w:r>
      <w:r w:rsidRPr="00342ADF">
        <w:t>The present document is being issued without formal editing.</w:t>
      </w:r>
      <w:r>
        <w:t xml:space="preserve"> </w:t>
      </w:r>
    </w:p>
  </w:footnote>
  <w:footnote w:id="3">
    <w:p w14:paraId="29C72FBC" w14:textId="41873519" w:rsidR="00374074" w:rsidRPr="00AA20F5" w:rsidRDefault="00131CDC" w:rsidP="00374074">
      <w:pPr>
        <w:pStyle w:val="FootnoteText"/>
        <w:rPr>
          <w:lang w:val="en-US"/>
        </w:rPr>
      </w:pPr>
      <w:r>
        <w:tab/>
      </w:r>
      <w:r w:rsidR="00374074">
        <w:rPr>
          <w:rStyle w:val="FootnoteReference"/>
        </w:rPr>
        <w:footnoteRef/>
      </w:r>
      <w:r>
        <w:tab/>
      </w:r>
      <w:r w:rsidR="00374074" w:rsidRPr="00624943">
        <w:t xml:space="preserve">Guidelines on treaty-specific document to be submitted by </w:t>
      </w:r>
      <w:r w:rsidR="00374074">
        <w:t>S</w:t>
      </w:r>
      <w:r w:rsidR="00374074" w:rsidRPr="00624943">
        <w:t xml:space="preserve">tate </w:t>
      </w:r>
      <w:r w:rsidR="00374074">
        <w:t>P</w:t>
      </w:r>
      <w:r w:rsidR="00374074" w:rsidRPr="00624943">
        <w:t xml:space="preserve">arties under </w:t>
      </w:r>
      <w:r w:rsidR="00374074">
        <w:t>A</w:t>
      </w:r>
      <w:r w:rsidR="00374074" w:rsidRPr="00624943">
        <w:t xml:space="preserve">rticle 35, </w:t>
      </w:r>
      <w:r w:rsidR="00374074">
        <w:t>P</w:t>
      </w:r>
      <w:r w:rsidR="00374074" w:rsidRPr="00624943">
        <w:t>aragraph 1, of the Convention on the Rights of Persons with Disabilities CRPD/C/2/3</w:t>
      </w:r>
      <w:r w:rsidR="00374074">
        <w:t xml:space="preserve"> Distr: General 18 November 2009</w:t>
      </w:r>
      <w:r w:rsidR="00374074" w:rsidRPr="00624943">
        <w:t>.</w:t>
      </w:r>
    </w:p>
  </w:footnote>
  <w:footnote w:id="4">
    <w:p w14:paraId="597EF65E" w14:textId="15546C83" w:rsidR="00374074" w:rsidRPr="00624943" w:rsidRDefault="00131CDC" w:rsidP="00131CDC">
      <w:pPr>
        <w:pStyle w:val="FootnoteText"/>
        <w:rPr>
          <w:bCs/>
          <w:cs/>
          <w:lang w:bidi="km-KH"/>
        </w:rPr>
      </w:pPr>
      <w:r>
        <w:tab/>
      </w:r>
      <w:r w:rsidR="00374074" w:rsidRPr="00624943">
        <w:rPr>
          <w:rStyle w:val="FootnoteReference"/>
        </w:rPr>
        <w:footnoteRef/>
      </w:r>
      <w:r>
        <w:tab/>
      </w:r>
      <w:r w:rsidR="00374074" w:rsidRPr="00911B7B">
        <w:rPr>
          <w:szCs w:val="18"/>
        </w:rPr>
        <w:t xml:space="preserve">Royal Kram No. NS/RKM/0709/010 dated 3 July 2009 to promulgate the </w:t>
      </w:r>
      <w:r w:rsidR="00374074" w:rsidRPr="00911B7B">
        <w:rPr>
          <w:rStyle w:val="HChGChar"/>
          <w:b w:val="0"/>
          <w:bCs/>
          <w:sz w:val="18"/>
          <w:szCs w:val="18"/>
          <w:lang w:bidi="km-KH"/>
        </w:rPr>
        <w:t>Law on the Protection and Promotion of the Rights of Persons with Disabilities, art. 2.</w:t>
      </w:r>
      <w:r w:rsidR="00374074" w:rsidRPr="00624943">
        <w:rPr>
          <w:rStyle w:val="HChGChar"/>
          <w:b w:val="0"/>
          <w:bCs/>
          <w:sz w:val="20"/>
          <w:lang w:bidi="km-KH"/>
        </w:rPr>
        <w:t xml:space="preserve"> </w:t>
      </w:r>
    </w:p>
  </w:footnote>
  <w:footnote w:id="5">
    <w:p w14:paraId="76BE6164" w14:textId="41F721E7" w:rsidR="00374074" w:rsidRPr="00624943" w:rsidRDefault="00131CDC" w:rsidP="00131CDC">
      <w:pPr>
        <w:pStyle w:val="FootnoteText"/>
        <w:rPr>
          <w:lang w:bidi="km-KH"/>
        </w:rPr>
      </w:pPr>
      <w:r>
        <w:tab/>
      </w:r>
      <w:r w:rsidR="00374074" w:rsidRPr="00624943">
        <w:rPr>
          <w:rStyle w:val="FootnoteReference"/>
        </w:rPr>
        <w:footnoteRef/>
      </w:r>
      <w:r>
        <w:tab/>
      </w:r>
      <w:r w:rsidR="00374074" w:rsidRPr="00624943">
        <w:t>Ibid</w:t>
      </w:r>
      <w:r w:rsidR="00374074" w:rsidRPr="00AF5756">
        <w:t>.</w:t>
      </w:r>
      <w:r w:rsidR="00374074" w:rsidRPr="00624943">
        <w:t>, a</w:t>
      </w:r>
      <w:r w:rsidR="00374074" w:rsidRPr="00624943">
        <w:rPr>
          <w:rStyle w:val="HChGChar"/>
          <w:b w:val="0"/>
          <w:sz w:val="20"/>
          <w:lang w:bidi="km-KH"/>
        </w:rPr>
        <w:t>rt</w:t>
      </w:r>
      <w:r w:rsidR="00374074" w:rsidRPr="00AF5756">
        <w:rPr>
          <w:rStyle w:val="HChGChar"/>
          <w:b w:val="0"/>
          <w:sz w:val="20"/>
          <w:lang w:bidi="km-KH"/>
        </w:rPr>
        <w:t>.</w:t>
      </w:r>
      <w:r w:rsidR="00374074" w:rsidRPr="00624943">
        <w:rPr>
          <w:rStyle w:val="HChGChar"/>
          <w:b w:val="0"/>
          <w:sz w:val="20"/>
          <w:lang w:bidi="km-KH"/>
        </w:rPr>
        <w:t xml:space="preserve"> </w:t>
      </w:r>
      <w:r w:rsidR="00374074" w:rsidRPr="00624943">
        <w:rPr>
          <w:rStyle w:val="HChGChar"/>
          <w:b w:val="0"/>
          <w:sz w:val="20"/>
          <w:cs/>
          <w:lang w:bidi="km-KH"/>
        </w:rPr>
        <w:t>4</w:t>
      </w:r>
      <w:r w:rsidR="00374074" w:rsidRPr="00624943">
        <w:rPr>
          <w:rStyle w:val="HChGChar"/>
          <w:b w:val="0"/>
          <w:sz w:val="20"/>
          <w:lang w:bidi="km-KH"/>
        </w:rPr>
        <w:t>.</w:t>
      </w:r>
    </w:p>
  </w:footnote>
  <w:footnote w:id="6">
    <w:p w14:paraId="00AB3317" w14:textId="63C56E82" w:rsidR="00374074" w:rsidRPr="00624943" w:rsidRDefault="00131CDC" w:rsidP="00131CDC">
      <w:pPr>
        <w:pStyle w:val="FootnoteText"/>
        <w:rPr>
          <w:cs/>
          <w:lang w:bidi="km-KH"/>
        </w:rPr>
      </w:pPr>
      <w:r>
        <w:tab/>
      </w:r>
      <w:r w:rsidR="00374074" w:rsidRPr="00624943">
        <w:rPr>
          <w:rStyle w:val="FootnoteReference"/>
        </w:rPr>
        <w:footnoteRef/>
      </w:r>
      <w:r>
        <w:tab/>
      </w:r>
      <w:r w:rsidR="00374074" w:rsidRPr="00911B7B">
        <w:rPr>
          <w:rStyle w:val="HChGChar"/>
          <w:b w:val="0"/>
          <w:bCs/>
          <w:sz w:val="18"/>
          <w:szCs w:val="18"/>
          <w:lang w:bidi="km-KH"/>
        </w:rPr>
        <w:t>Inter-Ministerial Prakas No. 2492 MoSVY/BK dated 22 November 2011, on the Determination of Criteria for Types and Levels of Disability</w:t>
      </w:r>
      <w:r w:rsidR="00374074" w:rsidRPr="00911B7B">
        <w:rPr>
          <w:rStyle w:val="HChGChar"/>
          <w:sz w:val="18"/>
          <w:szCs w:val="18"/>
          <w:cs/>
          <w:lang w:bidi="km-KH"/>
        </w:rPr>
        <w:t>.</w:t>
      </w:r>
    </w:p>
  </w:footnote>
  <w:footnote w:id="7">
    <w:p w14:paraId="42D3B346" w14:textId="3B64D5C1" w:rsidR="00374074" w:rsidRPr="00624943" w:rsidRDefault="00131CDC" w:rsidP="00374074">
      <w:pPr>
        <w:pStyle w:val="FootnoteText"/>
      </w:pPr>
      <w:r>
        <w:rPr>
          <w:lang w:bidi="km-KH"/>
        </w:rPr>
        <w:tab/>
      </w:r>
      <w:r w:rsidR="00374074" w:rsidRPr="00573AC7">
        <w:rPr>
          <w:rStyle w:val="FootnoteReference"/>
        </w:rPr>
        <w:footnoteRef/>
      </w:r>
      <w:r>
        <w:tab/>
      </w:r>
      <w:r w:rsidR="00374074" w:rsidRPr="00573AC7">
        <w:t>Cambodia Inter-Censal Population Survey</w:t>
      </w:r>
      <w:r w:rsidR="00374074">
        <w:t>, Final Report</w:t>
      </w:r>
      <w:r w:rsidR="00374074" w:rsidRPr="00573AC7">
        <w:t xml:space="preserve"> </w:t>
      </w:r>
      <w:r w:rsidR="00374074">
        <w:t>(</w:t>
      </w:r>
      <w:r w:rsidR="00374074" w:rsidRPr="00573AC7">
        <w:t>2013</w:t>
      </w:r>
      <w:r w:rsidR="00374074">
        <w:t>)</w:t>
      </w:r>
      <w:r w:rsidR="00374074" w:rsidRPr="00573AC7">
        <w:t>.</w:t>
      </w:r>
    </w:p>
  </w:footnote>
  <w:footnote w:id="8">
    <w:p w14:paraId="4E916DEE" w14:textId="4C6013A5" w:rsidR="00374074" w:rsidRPr="00624943" w:rsidRDefault="005B296B" w:rsidP="005B296B">
      <w:pPr>
        <w:pStyle w:val="FootnoteText"/>
        <w:rPr>
          <w:rFonts w:asciiTheme="majorBidi" w:hAnsiTheme="majorBidi" w:cstheme="majorBidi"/>
          <w:color w:val="000000" w:themeColor="text1"/>
          <w:sz w:val="20"/>
          <w:cs/>
          <w:lang w:bidi="km-KH"/>
        </w:rPr>
      </w:pPr>
      <w:r>
        <w:rPr>
          <w:color w:val="000000" w:themeColor="text1"/>
          <w:sz w:val="20"/>
        </w:rPr>
        <w:tab/>
      </w:r>
      <w:r w:rsidR="00374074" w:rsidRPr="00624943">
        <w:rPr>
          <w:rStyle w:val="FootnoteReference"/>
          <w:color w:val="000000" w:themeColor="text1"/>
          <w:sz w:val="20"/>
        </w:rPr>
        <w:footnoteRef/>
      </w:r>
      <w:r>
        <w:rPr>
          <w:color w:val="000000" w:themeColor="text1"/>
          <w:sz w:val="20"/>
        </w:rPr>
        <w:tab/>
      </w:r>
      <w:r w:rsidR="00374074" w:rsidRPr="00624943">
        <w:rPr>
          <w:color w:val="000000" w:themeColor="text1"/>
          <w:sz w:val="20"/>
          <w:lang w:bidi="km-KH"/>
        </w:rPr>
        <w:t xml:space="preserve">General Population Census of Cambodia, </w:t>
      </w:r>
      <w:r w:rsidR="00374074" w:rsidRPr="00DF712D">
        <w:rPr>
          <w:color w:val="000000" w:themeColor="text1"/>
          <w:sz w:val="20"/>
          <w:lang w:bidi="km-KH"/>
        </w:rPr>
        <w:t>thematic report on disability</w:t>
      </w:r>
      <w:r w:rsidR="00374074">
        <w:rPr>
          <w:color w:val="000000" w:themeColor="text1"/>
          <w:sz w:val="20"/>
          <w:lang w:bidi="km-KH"/>
        </w:rPr>
        <w:t xml:space="preserve"> (2019)</w:t>
      </w:r>
      <w:r w:rsidR="00374074" w:rsidRPr="00624943">
        <w:rPr>
          <w:color w:val="000000" w:themeColor="text1"/>
          <w:sz w:val="20"/>
          <w:lang w:bidi="km-KH"/>
        </w:rPr>
        <w:t>.</w:t>
      </w:r>
    </w:p>
  </w:footnote>
  <w:footnote w:id="9">
    <w:p w14:paraId="3C331F2C" w14:textId="3043AD4E" w:rsidR="00374074" w:rsidRPr="00624943" w:rsidRDefault="005B296B" w:rsidP="005B296B">
      <w:pPr>
        <w:pStyle w:val="FootnoteText"/>
      </w:pPr>
      <w:r>
        <w:rPr>
          <w:rFonts w:asciiTheme="majorBidi" w:hAnsiTheme="majorBidi" w:cstheme="majorBidi"/>
        </w:rPr>
        <w:tab/>
      </w:r>
      <w:r w:rsidR="00374074" w:rsidRPr="00624943">
        <w:rPr>
          <w:rStyle w:val="FootnoteReference"/>
        </w:rPr>
        <w:footnoteRef/>
      </w:r>
      <w:r>
        <w:rPr>
          <w:rFonts w:asciiTheme="majorBidi" w:hAnsiTheme="majorBidi" w:cstheme="majorBidi"/>
        </w:rPr>
        <w:tab/>
      </w:r>
      <w:r w:rsidR="00374074" w:rsidRPr="00624943">
        <w:rPr>
          <w:rStyle w:val="HChGChar"/>
          <w:b w:val="0"/>
          <w:sz w:val="20"/>
          <w:lang w:bidi="km-KH"/>
        </w:rPr>
        <w:t xml:space="preserve">National Disability Strategic Plan 2014-2018, approved </w:t>
      </w:r>
      <w:r w:rsidR="00374074" w:rsidRPr="00DF712D">
        <w:rPr>
          <w:rStyle w:val="HChGChar"/>
          <w:b w:val="0"/>
          <w:sz w:val="20"/>
          <w:lang w:bidi="km-KH"/>
        </w:rPr>
        <w:t>on 30</w:t>
      </w:r>
      <w:r w:rsidR="00374074" w:rsidRPr="00624943">
        <w:rPr>
          <w:rStyle w:val="HChGChar"/>
          <w:b w:val="0"/>
          <w:sz w:val="20"/>
          <w:lang w:bidi="km-KH"/>
        </w:rPr>
        <w:t xml:space="preserve"> June </w:t>
      </w:r>
      <w:r w:rsidR="00374074" w:rsidRPr="00624943">
        <w:rPr>
          <w:rStyle w:val="HChGChar"/>
          <w:b w:val="0"/>
          <w:sz w:val="20"/>
          <w:cs/>
          <w:lang w:bidi="km-KH"/>
        </w:rPr>
        <w:t>2014.</w:t>
      </w:r>
    </w:p>
  </w:footnote>
  <w:footnote w:id="10">
    <w:p w14:paraId="103FC16A" w14:textId="574F4E1C" w:rsidR="00374074" w:rsidRPr="00624943" w:rsidRDefault="005B296B" w:rsidP="005B296B">
      <w:pPr>
        <w:pStyle w:val="FootnoteText"/>
        <w:rPr>
          <w:cs/>
          <w:lang w:bidi="km-KH"/>
        </w:rPr>
      </w:pPr>
      <w:r>
        <w:tab/>
      </w:r>
      <w:r w:rsidR="00374074" w:rsidRPr="00624943">
        <w:rPr>
          <w:rStyle w:val="FootnoteReference"/>
        </w:rPr>
        <w:footnoteRef/>
      </w:r>
      <w:r>
        <w:tab/>
      </w:r>
      <w:r w:rsidR="00374074" w:rsidRPr="00624943">
        <w:rPr>
          <w:bCs/>
          <w:color w:val="000000" w:themeColor="text1"/>
        </w:rPr>
        <w:t>National Social Protection Policy Framework 2016-2025,</w:t>
      </w:r>
      <w:r w:rsidR="00374074">
        <w:rPr>
          <w:bCs/>
          <w:color w:val="000000" w:themeColor="text1"/>
        </w:rPr>
        <w:t xml:space="preserve"> point 2.4: Social Welfare of Vulnerable People and point 3.5: Disabilities, approved on 14 June 2017.</w:t>
      </w:r>
    </w:p>
  </w:footnote>
  <w:footnote w:id="11">
    <w:p w14:paraId="78EBBE98" w14:textId="1DAE8974" w:rsidR="00374074" w:rsidRPr="00624943" w:rsidRDefault="006842A3" w:rsidP="006842A3">
      <w:pPr>
        <w:pStyle w:val="FootnoteText"/>
      </w:pPr>
      <w:r>
        <w:tab/>
      </w:r>
      <w:r w:rsidR="00374074" w:rsidRPr="00624943">
        <w:rPr>
          <w:rStyle w:val="FootnoteReference"/>
        </w:rPr>
        <w:footnoteRef/>
      </w:r>
      <w:r>
        <w:tab/>
      </w:r>
      <w:r w:rsidR="00374074">
        <w:rPr>
          <w:rFonts w:cs="DaunPenh"/>
          <w:szCs w:val="32"/>
          <w:lang w:bidi="km-KH"/>
        </w:rPr>
        <w:t xml:space="preserve">Disability Action Council, </w:t>
      </w:r>
      <w:r w:rsidR="00374074" w:rsidRPr="00624943">
        <w:t>Prakas No. 001 DAC.Pr.K on the Organization and Functioning of Disability Action Working Groups in Ministries and Institutions,</w:t>
      </w:r>
      <w:r w:rsidR="00374074">
        <w:t xml:space="preserve"> dated 9</w:t>
      </w:r>
      <w:r w:rsidR="00374074" w:rsidRPr="00624943">
        <w:t xml:space="preserve"> May 2014.</w:t>
      </w:r>
    </w:p>
  </w:footnote>
  <w:footnote w:id="12">
    <w:p w14:paraId="06FBCB2D" w14:textId="4574E222" w:rsidR="00374074" w:rsidRPr="00624943" w:rsidRDefault="006842A3" w:rsidP="006842A3">
      <w:pPr>
        <w:pStyle w:val="FootnoteText"/>
      </w:pPr>
      <w:r>
        <w:tab/>
      </w:r>
      <w:r w:rsidR="00374074" w:rsidRPr="00624943">
        <w:rPr>
          <w:rStyle w:val="FootnoteReference"/>
        </w:rPr>
        <w:footnoteRef/>
      </w:r>
      <w:r>
        <w:tab/>
      </w:r>
      <w:r w:rsidR="00374074">
        <w:t xml:space="preserve">Disability Action Council, </w:t>
      </w:r>
      <w:r w:rsidR="00374074" w:rsidRPr="00624943">
        <w:t>Prakas No. 002 DAC.Pr.K on the Organization and Functioning of Disability Action Councils at the Capital and Provincial Level,</w:t>
      </w:r>
      <w:r w:rsidR="00374074">
        <w:t xml:space="preserve"> dated 9</w:t>
      </w:r>
      <w:r w:rsidR="00374074" w:rsidRPr="00624943">
        <w:t xml:space="preserve"> May 2014.</w:t>
      </w:r>
    </w:p>
  </w:footnote>
  <w:footnote w:id="13">
    <w:p w14:paraId="04AE3DDD" w14:textId="4CCD3D3C" w:rsidR="00374074" w:rsidRPr="00624943" w:rsidRDefault="006842A3" w:rsidP="00374074">
      <w:pPr>
        <w:pStyle w:val="FootnoteText"/>
      </w:pPr>
      <w:r>
        <w:tab/>
      </w:r>
      <w:r w:rsidR="00374074" w:rsidRPr="00573AC7">
        <w:rPr>
          <w:rStyle w:val="FootnoteReference"/>
        </w:rPr>
        <w:footnoteRef/>
      </w:r>
      <w:r>
        <w:tab/>
      </w:r>
      <w:r w:rsidR="00374074">
        <w:t>Royal Kram No.</w:t>
      </w:r>
      <w:r w:rsidR="00374074" w:rsidRPr="00573AC7">
        <w:t xml:space="preserve"> </w:t>
      </w:r>
      <w:r w:rsidR="00374074">
        <w:t xml:space="preserve">NS/RKM/1109/022, dated 30 November 2009 to promulgate </w:t>
      </w:r>
      <w:r w:rsidR="00374074" w:rsidRPr="00FD15EC">
        <w:t xml:space="preserve">the </w:t>
      </w:r>
      <w:r w:rsidR="00374074" w:rsidRPr="00624943">
        <w:t>Criminal</w:t>
      </w:r>
      <w:r w:rsidR="00374074" w:rsidRPr="00624943">
        <w:rPr>
          <w:rStyle w:val="HChGChar"/>
          <w:sz w:val="20"/>
          <w:lang w:bidi="km-KH"/>
        </w:rPr>
        <w:t xml:space="preserve"> </w:t>
      </w:r>
      <w:r w:rsidR="00374074" w:rsidRPr="00624943">
        <w:rPr>
          <w:rStyle w:val="HChGChar"/>
          <w:b w:val="0"/>
          <w:bCs/>
          <w:sz w:val="20"/>
          <w:lang w:bidi="km-KH"/>
        </w:rPr>
        <w:t>Code of the Kingdom of Cambodia</w:t>
      </w:r>
      <w:r w:rsidR="00374074" w:rsidRPr="00573AC7">
        <w:t>, 2010, art. 265</w:t>
      </w:r>
      <w:r w:rsidR="00374074">
        <w:t xml:space="preserve"> to art. </w:t>
      </w:r>
      <w:r w:rsidR="00374074" w:rsidRPr="00573AC7">
        <w:t>271.</w:t>
      </w:r>
    </w:p>
  </w:footnote>
  <w:footnote w:id="14">
    <w:p w14:paraId="2B8809D3" w14:textId="71E33B47" w:rsidR="00374074" w:rsidRPr="00624943" w:rsidRDefault="006842A3" w:rsidP="006842A3">
      <w:pPr>
        <w:pStyle w:val="FootnoteText"/>
        <w:rPr>
          <w:rStyle w:val="FootnoteReference"/>
          <w:sz w:val="20"/>
          <w:rtl/>
          <w:cs/>
        </w:rPr>
      </w:pPr>
      <w:r>
        <w:tab/>
      </w:r>
      <w:r w:rsidR="00374074" w:rsidRPr="00624943">
        <w:rPr>
          <w:rStyle w:val="FootnoteReference"/>
          <w:sz w:val="20"/>
        </w:rPr>
        <w:footnoteRef/>
      </w:r>
      <w:r>
        <w:tab/>
      </w:r>
      <w:r w:rsidR="00374074">
        <w:t xml:space="preserve">Ministry of Education, Youth and Sport, </w:t>
      </w:r>
      <w:r w:rsidR="00374074" w:rsidRPr="00700D9F">
        <w:rPr>
          <w:rStyle w:val="HChGChar"/>
          <w:b w:val="0"/>
          <w:bCs/>
          <w:sz w:val="20"/>
          <w:lang w:bidi="km-KH"/>
        </w:rPr>
        <w:t>Notification Letter</w:t>
      </w:r>
      <w:r w:rsidR="00374074">
        <w:rPr>
          <w:rStyle w:val="HChGChar"/>
          <w:b w:val="0"/>
          <w:bCs/>
          <w:sz w:val="20"/>
          <w:lang w:bidi="km-KH"/>
        </w:rPr>
        <w:t xml:space="preserve"> (</w:t>
      </w:r>
      <w:r w:rsidR="00374074" w:rsidRPr="00624943">
        <w:rPr>
          <w:rStyle w:val="HChGChar"/>
          <w:b w:val="0"/>
          <w:bCs/>
          <w:sz w:val="20"/>
          <w:lang w:bidi="km-KH"/>
        </w:rPr>
        <w:t>September</w:t>
      </w:r>
      <w:r w:rsidR="00374074" w:rsidRPr="00624943">
        <w:rPr>
          <w:rStyle w:val="HChGChar"/>
          <w:b w:val="0"/>
          <w:bCs/>
          <w:sz w:val="20"/>
          <w:rtl/>
        </w:rPr>
        <w:t xml:space="preserve"> </w:t>
      </w:r>
      <w:r w:rsidR="00374074" w:rsidRPr="00624943">
        <w:rPr>
          <w:rStyle w:val="HChGChar"/>
          <w:sz w:val="20"/>
          <w:cs/>
          <w:lang w:bidi="km-KH"/>
        </w:rPr>
        <w:t>2014</w:t>
      </w:r>
      <w:r w:rsidR="00374074">
        <w:rPr>
          <w:rStyle w:val="HChGChar"/>
          <w:sz w:val="20"/>
          <w:lang w:bidi="km-KH"/>
        </w:rPr>
        <w:t>)</w:t>
      </w:r>
      <w:r w:rsidR="00374074" w:rsidRPr="00624943">
        <w:rPr>
          <w:rStyle w:val="HChGChar"/>
          <w:sz w:val="20"/>
          <w:cs/>
          <w:lang w:bidi="km-KH"/>
        </w:rPr>
        <w:t>.</w:t>
      </w:r>
    </w:p>
  </w:footnote>
  <w:footnote w:id="15">
    <w:p w14:paraId="1CEDA285" w14:textId="00015078" w:rsidR="00374074" w:rsidRPr="00624943" w:rsidRDefault="006842A3" w:rsidP="006842A3">
      <w:pPr>
        <w:pStyle w:val="FootnoteText"/>
        <w:rPr>
          <w:rStyle w:val="FootnoteReference"/>
          <w:rtl/>
          <w:cs/>
        </w:rPr>
      </w:pPr>
      <w:r>
        <w:tab/>
      </w:r>
      <w:r w:rsidR="00374074" w:rsidRPr="00624943">
        <w:rPr>
          <w:rStyle w:val="FootnoteReference"/>
        </w:rPr>
        <w:footnoteRef/>
      </w:r>
      <w:r>
        <w:tab/>
      </w:r>
      <w:r w:rsidR="00374074" w:rsidRPr="00624943">
        <w:t>Sub-Decree No. 56 ANKr.BK,</w:t>
      </w:r>
      <w:r w:rsidR="00374074">
        <w:t xml:space="preserve"> dated</w:t>
      </w:r>
      <w:r w:rsidR="00374074" w:rsidRPr="00624943">
        <w:t xml:space="preserve"> 1 April 2016, on the Management of the Presence of Civil Servants and Contract Officials, art. 7.</w:t>
      </w:r>
    </w:p>
  </w:footnote>
  <w:footnote w:id="16">
    <w:p w14:paraId="63808B00" w14:textId="194D2CF6" w:rsidR="00374074" w:rsidRPr="00624943" w:rsidRDefault="00EB7DE7" w:rsidP="00EB7DE7">
      <w:pPr>
        <w:pStyle w:val="FootnoteText"/>
        <w:rPr>
          <w:rStyle w:val="FootnoteReference"/>
          <w:vertAlign w:val="baseline"/>
          <w:cs/>
          <w:lang w:bidi="km-KH"/>
        </w:rPr>
      </w:pPr>
      <w:r>
        <w:tab/>
      </w:r>
      <w:r w:rsidR="00374074" w:rsidRPr="00624943">
        <w:rPr>
          <w:rStyle w:val="FootnoteReference"/>
        </w:rPr>
        <w:footnoteRef/>
      </w:r>
      <w:r>
        <w:tab/>
      </w:r>
      <w:r w:rsidR="00374074" w:rsidRPr="001E35AF">
        <w:t xml:space="preserve">Ministry of Information, </w:t>
      </w:r>
      <w:r w:rsidR="00374074" w:rsidRPr="001E35AF">
        <w:rPr>
          <w:rStyle w:val="FootnoteReference"/>
          <w:vertAlign w:val="baseline"/>
          <w:lang w:bidi="km-KH"/>
        </w:rPr>
        <w:t xml:space="preserve">Prakas No. </w:t>
      </w:r>
      <w:r w:rsidR="00374074" w:rsidRPr="00624943">
        <w:rPr>
          <w:rStyle w:val="FootnoteReference"/>
          <w:vertAlign w:val="baseline"/>
          <w:cs/>
          <w:lang w:bidi="km-KH"/>
        </w:rPr>
        <w:t xml:space="preserve">538 </w:t>
      </w:r>
      <w:r w:rsidR="00374074" w:rsidRPr="001E35AF">
        <w:rPr>
          <w:lang w:bidi="km-KH"/>
        </w:rPr>
        <w:t xml:space="preserve">MoINF.Pr.K, </w:t>
      </w:r>
      <w:r w:rsidR="00374074" w:rsidRPr="001E35AF">
        <w:rPr>
          <w:rStyle w:val="FootnoteReference"/>
          <w:vertAlign w:val="baseline"/>
          <w:lang w:bidi="km-KH"/>
        </w:rPr>
        <w:t xml:space="preserve">dated </w:t>
      </w:r>
      <w:r w:rsidR="00374074" w:rsidRPr="001E35AF">
        <w:rPr>
          <w:lang w:bidi="km-KH"/>
        </w:rPr>
        <w:t xml:space="preserve">3 </w:t>
      </w:r>
      <w:r w:rsidR="00374074" w:rsidRPr="001E35AF">
        <w:rPr>
          <w:rStyle w:val="FootnoteReference"/>
          <w:vertAlign w:val="baseline"/>
          <w:lang w:bidi="km-KH"/>
        </w:rPr>
        <w:t xml:space="preserve">November </w:t>
      </w:r>
      <w:r w:rsidR="00374074" w:rsidRPr="00624943">
        <w:rPr>
          <w:rStyle w:val="FootnoteReference"/>
          <w:vertAlign w:val="baseline"/>
          <w:cs/>
          <w:lang w:bidi="km-KH"/>
        </w:rPr>
        <w:t>2014</w:t>
      </w:r>
      <w:r w:rsidR="00374074" w:rsidRPr="001E35AF">
        <w:rPr>
          <w:lang w:bidi="km-KH"/>
        </w:rPr>
        <w:t>.</w:t>
      </w:r>
    </w:p>
  </w:footnote>
  <w:footnote w:id="17">
    <w:p w14:paraId="5561722A" w14:textId="643BA041" w:rsidR="00374074" w:rsidRPr="00624943" w:rsidRDefault="00EB7DE7" w:rsidP="00EB7DE7">
      <w:pPr>
        <w:pStyle w:val="FootnoteText"/>
        <w:rPr>
          <w:cs/>
          <w:lang w:bidi="km-KH"/>
        </w:rPr>
      </w:pPr>
      <w:r>
        <w:tab/>
      </w:r>
      <w:r w:rsidR="00374074" w:rsidRPr="00624943">
        <w:rPr>
          <w:rStyle w:val="FootnoteReference"/>
        </w:rPr>
        <w:footnoteRef/>
      </w:r>
      <w:r>
        <w:tab/>
      </w:r>
      <w:r w:rsidR="00374074">
        <w:t xml:space="preserve">Ministry of Information, </w:t>
      </w:r>
      <w:r w:rsidR="00374074" w:rsidRPr="00606F32">
        <w:rPr>
          <w:rStyle w:val="FootnoteReference"/>
          <w:vertAlign w:val="baseline"/>
          <w:lang w:val="en-US" w:bidi="km-KH"/>
        </w:rPr>
        <w:t xml:space="preserve">Prakas No. </w:t>
      </w:r>
      <w:r w:rsidR="00374074" w:rsidRPr="00606F32">
        <w:rPr>
          <w:rStyle w:val="FootnoteReference"/>
          <w:vertAlign w:val="baseline"/>
          <w:cs/>
          <w:lang w:bidi="km-KH"/>
        </w:rPr>
        <w:t>5</w:t>
      </w:r>
      <w:r w:rsidR="00374074" w:rsidRPr="00606F32">
        <w:rPr>
          <w:lang w:bidi="km-KH"/>
        </w:rPr>
        <w:t>80</w:t>
      </w:r>
      <w:r w:rsidR="00374074" w:rsidRPr="00606F32">
        <w:rPr>
          <w:rStyle w:val="FootnoteReference"/>
          <w:vertAlign w:val="baseline"/>
          <w:cs/>
          <w:lang w:bidi="km-KH"/>
        </w:rPr>
        <w:t xml:space="preserve"> </w:t>
      </w:r>
      <w:r w:rsidR="00374074" w:rsidRPr="00606F32">
        <w:rPr>
          <w:rStyle w:val="FootnoteReference"/>
          <w:vertAlign w:val="baseline"/>
          <w:lang w:val="en-US" w:bidi="km-KH"/>
        </w:rPr>
        <w:t>M</w:t>
      </w:r>
      <w:r w:rsidR="00374074" w:rsidRPr="00606F32">
        <w:rPr>
          <w:lang w:val="en-US" w:bidi="km-KH"/>
        </w:rPr>
        <w:t>oI</w:t>
      </w:r>
      <w:r w:rsidR="00374074">
        <w:rPr>
          <w:lang w:val="en-US" w:bidi="km-KH"/>
        </w:rPr>
        <w:t>NF</w:t>
      </w:r>
      <w:r w:rsidR="00374074" w:rsidRPr="00606F32">
        <w:rPr>
          <w:lang w:val="en-US" w:bidi="km-KH"/>
        </w:rPr>
        <w:t>.</w:t>
      </w:r>
      <w:r w:rsidR="00374074">
        <w:rPr>
          <w:lang w:val="en-US" w:bidi="km-KH"/>
        </w:rPr>
        <w:t>P</w:t>
      </w:r>
      <w:r w:rsidR="00374074" w:rsidRPr="00606F32">
        <w:rPr>
          <w:lang w:val="en-US" w:bidi="km-KH"/>
        </w:rPr>
        <w:t xml:space="preserve">r.K, </w:t>
      </w:r>
      <w:r w:rsidR="00374074" w:rsidRPr="00606F32">
        <w:rPr>
          <w:rStyle w:val="FootnoteReference"/>
          <w:vertAlign w:val="baseline"/>
          <w:lang w:val="en-US" w:bidi="km-KH"/>
        </w:rPr>
        <w:t xml:space="preserve">dated </w:t>
      </w:r>
      <w:r w:rsidR="00374074" w:rsidRPr="00606F32">
        <w:rPr>
          <w:lang w:val="en-US" w:bidi="km-KH"/>
        </w:rPr>
        <w:t xml:space="preserve">4 </w:t>
      </w:r>
      <w:r w:rsidR="00374074" w:rsidRPr="00606F32">
        <w:rPr>
          <w:rStyle w:val="FootnoteReference"/>
          <w:vertAlign w:val="baseline"/>
          <w:lang w:val="en-US" w:bidi="km-KH"/>
        </w:rPr>
        <w:t xml:space="preserve">November </w:t>
      </w:r>
      <w:r w:rsidR="00374074" w:rsidRPr="00606F32">
        <w:rPr>
          <w:rStyle w:val="FootnoteReference"/>
          <w:vertAlign w:val="baseline"/>
          <w:cs/>
          <w:lang w:bidi="km-KH"/>
        </w:rPr>
        <w:t>2014</w:t>
      </w:r>
      <w:r w:rsidR="00374074" w:rsidRPr="00606F32">
        <w:rPr>
          <w:lang w:val="en-US" w:bidi="km-KH"/>
        </w:rPr>
        <w:t>.</w:t>
      </w:r>
    </w:p>
  </w:footnote>
  <w:footnote w:id="18">
    <w:p w14:paraId="16659611" w14:textId="038C363C" w:rsidR="00374074" w:rsidRPr="00624943" w:rsidRDefault="00981D36" w:rsidP="00981D36">
      <w:pPr>
        <w:pStyle w:val="FootnoteText"/>
        <w:rPr>
          <w:cs/>
          <w:lang w:bidi="km-KH"/>
        </w:rPr>
      </w:pPr>
      <w:r>
        <w:tab/>
      </w:r>
      <w:r w:rsidR="00374074" w:rsidRPr="00624943">
        <w:rPr>
          <w:rStyle w:val="FootnoteReference"/>
        </w:rPr>
        <w:footnoteRef/>
      </w:r>
      <w:r>
        <w:tab/>
      </w:r>
      <w:r w:rsidR="00374074">
        <w:t xml:space="preserve">Ministry of Interior, Notification Letter </w:t>
      </w:r>
      <w:r w:rsidR="00374074" w:rsidRPr="00624943">
        <w:rPr>
          <w:rStyle w:val="HChGChar"/>
          <w:b w:val="0"/>
          <w:bCs/>
          <w:sz w:val="20"/>
          <w:lang w:bidi="km-KH"/>
        </w:rPr>
        <w:t>No.</w:t>
      </w:r>
      <w:r w:rsidR="00374074" w:rsidRPr="00624943">
        <w:rPr>
          <w:rStyle w:val="HChGChar"/>
          <w:sz w:val="20"/>
          <w:lang w:bidi="km-KH"/>
        </w:rPr>
        <w:t xml:space="preserve"> </w:t>
      </w:r>
      <w:r w:rsidR="00374074" w:rsidRPr="00624943">
        <w:rPr>
          <w:rStyle w:val="HChGChar"/>
          <w:sz w:val="20"/>
          <w:cs/>
          <w:lang w:bidi="km-KH"/>
        </w:rPr>
        <w:t>540</w:t>
      </w:r>
      <w:r w:rsidR="00374074">
        <w:rPr>
          <w:rStyle w:val="HChGChar"/>
          <w:sz w:val="20"/>
          <w:lang w:bidi="km-KH"/>
        </w:rPr>
        <w:t xml:space="preserve"> </w:t>
      </w:r>
      <w:r w:rsidR="00374074">
        <w:rPr>
          <w:rStyle w:val="HChGChar"/>
          <w:b w:val="0"/>
          <w:bCs/>
          <w:sz w:val="20"/>
          <w:lang w:bidi="km-KH"/>
        </w:rPr>
        <w:t>SCN.</w:t>
      </w:r>
      <w:r w:rsidR="00374074" w:rsidRPr="00624943">
        <w:rPr>
          <w:rStyle w:val="HChGChar"/>
          <w:b w:val="0"/>
          <w:bCs/>
          <w:sz w:val="20"/>
          <w:lang w:bidi="km-KH"/>
        </w:rPr>
        <w:t>, dated 24</w:t>
      </w:r>
      <w:r w:rsidR="00374074" w:rsidRPr="00624943">
        <w:rPr>
          <w:rStyle w:val="HChGChar"/>
          <w:sz w:val="20"/>
          <w:lang w:bidi="km-KH"/>
        </w:rPr>
        <w:t xml:space="preserve"> </w:t>
      </w:r>
      <w:r w:rsidR="00374074" w:rsidRPr="00624943">
        <w:rPr>
          <w:rStyle w:val="HChGChar"/>
          <w:b w:val="0"/>
          <w:bCs/>
          <w:sz w:val="20"/>
          <w:lang w:bidi="km-KH"/>
        </w:rPr>
        <w:t>March</w:t>
      </w:r>
      <w:r w:rsidR="00374074" w:rsidRPr="00624943">
        <w:rPr>
          <w:rStyle w:val="HChGChar"/>
          <w:sz w:val="20"/>
          <w:lang w:bidi="km-KH"/>
        </w:rPr>
        <w:t xml:space="preserve"> </w:t>
      </w:r>
      <w:r w:rsidR="00374074" w:rsidRPr="00624943">
        <w:rPr>
          <w:rStyle w:val="HChGChar"/>
          <w:sz w:val="20"/>
          <w:cs/>
          <w:lang w:bidi="km-KH"/>
        </w:rPr>
        <w:t>2016</w:t>
      </w:r>
      <w:r w:rsidR="00374074" w:rsidRPr="00624943">
        <w:rPr>
          <w:rStyle w:val="HChGChar"/>
          <w:b w:val="0"/>
          <w:bCs/>
          <w:sz w:val="20"/>
          <w:lang w:bidi="km-KH"/>
        </w:rPr>
        <w:t>, on the</w:t>
      </w:r>
      <w:r w:rsidR="00374074" w:rsidRPr="00624943">
        <w:rPr>
          <w:rStyle w:val="HChGChar"/>
          <w:sz w:val="20"/>
          <w:lang w:bidi="km-KH"/>
        </w:rPr>
        <w:t xml:space="preserve"> </w:t>
      </w:r>
      <w:r w:rsidR="00374074" w:rsidRPr="00624943">
        <w:t>Need to Include Consideration for People with Disabilities in the Construction of Public Infrastructure at the Sub-National Level.</w:t>
      </w:r>
    </w:p>
  </w:footnote>
  <w:footnote w:id="19">
    <w:p w14:paraId="523AD7BA" w14:textId="625AEAD0" w:rsidR="00374074" w:rsidRPr="00624943" w:rsidRDefault="00981D36" w:rsidP="00981D36">
      <w:pPr>
        <w:pStyle w:val="FootnoteText"/>
      </w:pPr>
      <w:r>
        <w:rPr>
          <w:lang w:bidi="km-KH"/>
        </w:rPr>
        <w:tab/>
      </w:r>
      <w:r w:rsidR="00374074" w:rsidRPr="00624943">
        <w:rPr>
          <w:rStyle w:val="FootnoteReference"/>
        </w:rPr>
        <w:footnoteRef/>
      </w:r>
      <w:r>
        <w:tab/>
      </w:r>
      <w:r w:rsidR="00374074" w:rsidRPr="00624943">
        <w:t>Ministry of Land Management, Urban Planning and Construction</w:t>
      </w:r>
      <w:r w:rsidR="00374074">
        <w:t xml:space="preserve">, </w:t>
      </w:r>
      <w:r w:rsidR="00374074" w:rsidRPr="00624943">
        <w:t>Notification Letter No. 3076 MLMUPC</w:t>
      </w:r>
      <w:r w:rsidR="00374074">
        <w:t>/</w:t>
      </w:r>
      <w:r w:rsidR="00374074">
        <w:rPr>
          <w:rFonts w:cs="DaunPenh"/>
          <w:szCs w:val="32"/>
          <w:lang w:bidi="km-KH"/>
        </w:rPr>
        <w:t>A</w:t>
      </w:r>
      <w:r w:rsidR="00374074">
        <w:t>RB</w:t>
      </w:r>
      <w:r w:rsidR="00374074" w:rsidRPr="00624943">
        <w:t>, dated 7</w:t>
      </w:r>
      <w:r w:rsidR="00374074">
        <w:t xml:space="preserve"> </w:t>
      </w:r>
      <w:r w:rsidR="00374074" w:rsidRPr="00624943">
        <w:t>December 2017</w:t>
      </w:r>
      <w:r w:rsidR="00374074">
        <w:t>.</w:t>
      </w:r>
    </w:p>
  </w:footnote>
  <w:footnote w:id="20">
    <w:p w14:paraId="3672D456" w14:textId="7761A5C7" w:rsidR="00374074" w:rsidRPr="00624943" w:rsidRDefault="00981D36" w:rsidP="00981D36">
      <w:pPr>
        <w:pStyle w:val="FootnoteText"/>
        <w:rPr>
          <w:cs/>
          <w:lang w:bidi="km-KH"/>
        </w:rPr>
      </w:pPr>
      <w:r>
        <w:rPr>
          <w:rStyle w:val="HChGChar"/>
          <w:rFonts w:cs="DaunPenh"/>
          <w:sz w:val="20"/>
          <w:lang w:bidi="km-KH"/>
        </w:rPr>
        <w:tab/>
      </w:r>
      <w:r w:rsidR="00374074" w:rsidRPr="00624943">
        <w:rPr>
          <w:rStyle w:val="FootnoteReference"/>
        </w:rPr>
        <w:footnoteRef/>
      </w:r>
      <w:r>
        <w:rPr>
          <w:rStyle w:val="HChGChar"/>
          <w:rFonts w:cs="DaunPenh"/>
          <w:sz w:val="20"/>
          <w:lang w:bidi="km-KH"/>
        </w:rPr>
        <w:tab/>
      </w:r>
      <w:r w:rsidR="00374074">
        <w:t>Royal Kram No. NS/RKM</w:t>
      </w:r>
      <w:r w:rsidR="00374074" w:rsidRPr="008A103B">
        <w:rPr>
          <w:rStyle w:val="HChGChar"/>
          <w:b w:val="0"/>
          <w:bCs/>
          <w:sz w:val="20"/>
          <w:lang w:bidi="km-KH"/>
        </w:rPr>
        <w:t xml:space="preserve">/0709, dated 3 July 2009 to promulgate the </w:t>
      </w:r>
      <w:r w:rsidR="00374074" w:rsidRPr="00624943">
        <w:rPr>
          <w:rStyle w:val="HChGChar"/>
          <w:b w:val="0"/>
          <w:bCs/>
          <w:sz w:val="20"/>
          <w:lang w:bidi="km-KH"/>
        </w:rPr>
        <w:t xml:space="preserve">Law on the Protection and Promotion of the Rights of Persons with Disabilities, art. </w:t>
      </w:r>
      <w:r w:rsidR="00374074" w:rsidRPr="00624943">
        <w:rPr>
          <w:rStyle w:val="HChGChar"/>
          <w:sz w:val="20"/>
          <w:cs/>
          <w:lang w:bidi="km-KH"/>
        </w:rPr>
        <w:t>13.</w:t>
      </w:r>
    </w:p>
  </w:footnote>
  <w:footnote w:id="21">
    <w:p w14:paraId="6E48B1F1" w14:textId="07E7134F" w:rsidR="00374074" w:rsidRPr="00624943" w:rsidRDefault="00981D36" w:rsidP="00981D36">
      <w:pPr>
        <w:pStyle w:val="FootnoteText"/>
        <w:rPr>
          <w:cs/>
          <w:lang w:bidi="km-KH"/>
        </w:rPr>
      </w:pPr>
      <w:r>
        <w:tab/>
      </w:r>
      <w:r w:rsidR="00374074" w:rsidRPr="00624943">
        <w:rPr>
          <w:rStyle w:val="FootnoteReference"/>
        </w:rPr>
        <w:footnoteRef/>
      </w:r>
      <w:r>
        <w:tab/>
      </w:r>
      <w:r w:rsidR="00374074" w:rsidRPr="00624943">
        <w:t>Sub-Decree No. 137 ANKr.BK</w:t>
      </w:r>
      <w:r w:rsidR="00374074">
        <w:t>, dated 27 June 2011</w:t>
      </w:r>
      <w:r w:rsidR="00374074" w:rsidRPr="00624943">
        <w:t xml:space="preserve"> on Policy Regime for the </w:t>
      </w:r>
      <w:r w:rsidR="00374074">
        <w:t>Persons</w:t>
      </w:r>
      <w:r w:rsidR="00374074" w:rsidRPr="00624943">
        <w:t xml:space="preserve"> with Disabilities</w:t>
      </w:r>
      <w:r w:rsidR="00374074">
        <w:t xml:space="preserve"> </w:t>
      </w:r>
      <w:r w:rsidR="00374074" w:rsidRPr="00A023A2">
        <w:rPr>
          <w:color w:val="000000" w:themeColor="text1"/>
          <w:lang w:bidi="km-KH"/>
        </w:rPr>
        <w:t>living in a situation of poverty in the community</w:t>
      </w:r>
      <w:r w:rsidR="00374074" w:rsidRPr="00624943">
        <w:t>.</w:t>
      </w:r>
    </w:p>
  </w:footnote>
  <w:footnote w:id="22">
    <w:p w14:paraId="75DF6E6C" w14:textId="0D4B0D25" w:rsidR="00374074" w:rsidRPr="00624943" w:rsidRDefault="00E7471C" w:rsidP="00981D36">
      <w:pPr>
        <w:pStyle w:val="FootnoteText"/>
      </w:pPr>
      <w:r>
        <w:tab/>
      </w:r>
      <w:r w:rsidR="00374074" w:rsidRPr="00624943">
        <w:rPr>
          <w:rStyle w:val="FootnoteReference"/>
        </w:rPr>
        <w:footnoteRef/>
      </w:r>
      <w:r>
        <w:tab/>
      </w:r>
      <w:hyperlink r:id="rId1" w:history="1">
        <w:r w:rsidRPr="0086340D">
          <w:rPr>
            <w:rStyle w:val="Hyperlink"/>
          </w:rPr>
          <w:t>www.redcross.org.kh</w:t>
        </w:r>
      </w:hyperlink>
      <w:r w:rsidR="00981D36">
        <w:t xml:space="preserve"> </w:t>
      </w:r>
      <w:r w:rsidR="00374074" w:rsidRPr="00624943">
        <w:t>.</w:t>
      </w:r>
    </w:p>
  </w:footnote>
  <w:footnote w:id="23">
    <w:p w14:paraId="179C1973" w14:textId="1DF4688B" w:rsidR="00374074" w:rsidRPr="00624943" w:rsidRDefault="00E7471C" w:rsidP="00981D36">
      <w:pPr>
        <w:pStyle w:val="FootnoteText"/>
        <w:rPr>
          <w:cs/>
          <w:lang w:bidi="km-KH"/>
        </w:rPr>
      </w:pPr>
      <w:r>
        <w:tab/>
      </w:r>
      <w:r w:rsidR="00374074" w:rsidRPr="00624943">
        <w:rPr>
          <w:rStyle w:val="FootnoteReference"/>
        </w:rPr>
        <w:footnoteRef/>
      </w:r>
      <w:r>
        <w:tab/>
      </w:r>
      <w:r w:rsidR="00374074" w:rsidRPr="00624943">
        <w:t>Cambodian Red Cross Strategy 2011-2020.</w:t>
      </w:r>
    </w:p>
  </w:footnote>
  <w:footnote w:id="24">
    <w:p w14:paraId="5A892020" w14:textId="3AC321C1" w:rsidR="00374074" w:rsidRPr="00624943" w:rsidRDefault="00E7471C" w:rsidP="00E7471C">
      <w:pPr>
        <w:pStyle w:val="FootnoteText"/>
        <w:rPr>
          <w:cs/>
          <w:lang w:bidi="km-KH"/>
        </w:rPr>
      </w:pPr>
      <w:r>
        <w:tab/>
      </w:r>
      <w:r w:rsidR="00374074" w:rsidRPr="00624943">
        <w:rPr>
          <w:rStyle w:val="FootnoteReference"/>
        </w:rPr>
        <w:footnoteRef/>
      </w:r>
      <w:r>
        <w:tab/>
      </w:r>
      <w:r w:rsidR="00374074" w:rsidRPr="00624943">
        <w:t>Explosive Remnants of War.</w:t>
      </w:r>
    </w:p>
  </w:footnote>
  <w:footnote w:id="25">
    <w:p w14:paraId="59A2532D" w14:textId="28BDAC97" w:rsidR="00374074" w:rsidRPr="00624943" w:rsidRDefault="00E7471C" w:rsidP="00E7471C">
      <w:pPr>
        <w:pStyle w:val="FootnoteText"/>
        <w:rPr>
          <w:cs/>
          <w:lang w:bidi="km-KH"/>
        </w:rPr>
      </w:pPr>
      <w:r>
        <w:tab/>
      </w:r>
      <w:r w:rsidR="00374074" w:rsidRPr="00624943">
        <w:rPr>
          <w:rStyle w:val="FootnoteReference"/>
        </w:rPr>
        <w:footnoteRef/>
      </w:r>
      <w:r>
        <w:tab/>
      </w:r>
      <w:r w:rsidR="00374074" w:rsidRPr="00624943">
        <w:t xml:space="preserve">CMVIS </w:t>
      </w:r>
      <w:r w:rsidR="00374074" w:rsidRPr="00624943">
        <w:rPr>
          <w:lang w:bidi="km-KH"/>
        </w:rPr>
        <w:t xml:space="preserve">Monthly report for December 2017, </w:t>
      </w:r>
      <w:hyperlink r:id="rId2" w:history="1">
        <w:r w:rsidRPr="0086340D">
          <w:rPr>
            <w:rStyle w:val="Hyperlink"/>
            <w:sz w:val="20"/>
            <w:lang w:bidi="km-KH"/>
          </w:rPr>
          <w:t>http://www.cmaa.gov.kh/en/documents?cbocateflie=15</w:t>
        </w:r>
      </w:hyperlink>
      <w:r>
        <w:rPr>
          <w:rStyle w:val="HChGChar"/>
          <w:b w:val="0"/>
          <w:sz w:val="20"/>
          <w:lang w:bidi="km-KH"/>
        </w:rPr>
        <w:t xml:space="preserve"> </w:t>
      </w:r>
      <w:r w:rsidR="00374074" w:rsidRPr="00624943">
        <w:rPr>
          <w:rStyle w:val="HChGChar"/>
          <w:b w:val="0"/>
          <w:sz w:val="20"/>
          <w:lang w:bidi="km-KH"/>
        </w:rPr>
        <w:t>.</w:t>
      </w:r>
    </w:p>
  </w:footnote>
  <w:footnote w:id="26">
    <w:p w14:paraId="435DC03C" w14:textId="4111E272" w:rsidR="00374074" w:rsidRPr="00624943" w:rsidRDefault="00E7471C" w:rsidP="00E7471C">
      <w:pPr>
        <w:pStyle w:val="FootnoteText"/>
        <w:rPr>
          <w:b/>
          <w:cs/>
          <w:lang w:bidi="km-KH"/>
        </w:rPr>
      </w:pPr>
      <w:r>
        <w:tab/>
      </w:r>
      <w:r w:rsidR="00374074" w:rsidRPr="00624943">
        <w:rPr>
          <w:rStyle w:val="FootnoteReference"/>
        </w:rPr>
        <w:footnoteRef/>
      </w:r>
      <w:r>
        <w:tab/>
      </w:r>
      <w:r w:rsidR="00374074" w:rsidRPr="00624943">
        <w:t xml:space="preserve">The </w:t>
      </w:r>
      <w:r w:rsidR="00374074">
        <w:t xml:space="preserve">RGC, </w:t>
      </w:r>
      <w:r w:rsidR="00374074" w:rsidRPr="00624943">
        <w:t>Circular No. 5, dated 9 May 2013</w:t>
      </w:r>
      <w:r w:rsidR="00374074">
        <w:t xml:space="preserve">, </w:t>
      </w:r>
      <w:r w:rsidR="00374074" w:rsidRPr="00DB0419">
        <w:t>on Mine Action Sector Management</w:t>
      </w:r>
      <w:r w:rsidR="00374074" w:rsidRPr="00624943">
        <w:t>.</w:t>
      </w:r>
    </w:p>
  </w:footnote>
  <w:footnote w:id="27">
    <w:p w14:paraId="7EA4A44C" w14:textId="7A3EAAD8" w:rsidR="00374074" w:rsidRPr="00624943" w:rsidRDefault="00E7471C" w:rsidP="00E7471C">
      <w:pPr>
        <w:pStyle w:val="FootnoteText"/>
        <w:rPr>
          <w:cs/>
          <w:lang w:bidi="km-KH"/>
        </w:rPr>
      </w:pPr>
      <w:r>
        <w:tab/>
      </w:r>
      <w:r w:rsidR="00374074" w:rsidRPr="00624943">
        <w:rPr>
          <w:rStyle w:val="FootnoteReference"/>
        </w:rPr>
        <w:footnoteRef/>
      </w:r>
      <w:r>
        <w:tab/>
      </w:r>
      <w:r w:rsidR="00374074" w:rsidRPr="00624943">
        <w:t xml:space="preserve">CMVIS </w:t>
      </w:r>
      <w:r w:rsidR="00374074" w:rsidRPr="00624943">
        <w:rPr>
          <w:lang w:bidi="km-KH"/>
        </w:rPr>
        <w:t xml:space="preserve">Monthly report for December 2017, </w:t>
      </w:r>
      <w:hyperlink r:id="rId3" w:history="1">
        <w:r w:rsidRPr="0086340D">
          <w:rPr>
            <w:rStyle w:val="Hyperlink"/>
            <w:sz w:val="20"/>
            <w:lang w:bidi="km-KH"/>
          </w:rPr>
          <w:t>http://www.cmaa.gov.kh/en/documents?cbocateflie=15</w:t>
        </w:r>
      </w:hyperlink>
      <w:r>
        <w:rPr>
          <w:rStyle w:val="HChGChar"/>
          <w:b w:val="0"/>
          <w:sz w:val="20"/>
          <w:lang w:bidi="km-KH"/>
        </w:rPr>
        <w:t xml:space="preserve"> </w:t>
      </w:r>
      <w:r w:rsidR="00374074" w:rsidRPr="00624943">
        <w:rPr>
          <w:rStyle w:val="HChGChar"/>
          <w:b w:val="0"/>
          <w:sz w:val="20"/>
          <w:lang w:bidi="km-KH"/>
        </w:rPr>
        <w:t>.</w:t>
      </w:r>
    </w:p>
  </w:footnote>
  <w:footnote w:id="28">
    <w:p w14:paraId="0D3FE409" w14:textId="51326D26" w:rsidR="00374074" w:rsidRPr="00624943" w:rsidRDefault="00E7471C" w:rsidP="00E7471C">
      <w:pPr>
        <w:pStyle w:val="FootnoteText"/>
        <w:rPr>
          <w:b/>
          <w:cs/>
          <w:lang w:bidi="km-KH"/>
        </w:rPr>
      </w:pPr>
      <w:r>
        <w:tab/>
      </w:r>
      <w:r w:rsidR="00374074" w:rsidRPr="00624943">
        <w:rPr>
          <w:rStyle w:val="FootnoteReference"/>
        </w:rPr>
        <w:footnoteRef/>
      </w:r>
      <w:r>
        <w:tab/>
      </w:r>
      <w:r w:rsidR="00374074" w:rsidRPr="00624943">
        <w:t>Progress report provided by email from Database Unit team of CMAA as of 25 January 2018.</w:t>
      </w:r>
      <w:r w:rsidR="00374074" w:rsidRPr="00624943">
        <w:rPr>
          <w:rStyle w:val="HChGChar"/>
          <w:sz w:val="20"/>
          <w:lang w:bidi="km-KH"/>
        </w:rPr>
        <w:t xml:space="preserve"> </w:t>
      </w:r>
    </w:p>
  </w:footnote>
  <w:footnote w:id="29">
    <w:p w14:paraId="671BDA73" w14:textId="25486B95" w:rsidR="00374074" w:rsidRPr="00624943" w:rsidRDefault="00E7471C" w:rsidP="00E7471C">
      <w:pPr>
        <w:pStyle w:val="FootnoteText"/>
        <w:rPr>
          <w:b/>
          <w:cs/>
          <w:lang w:bidi="km-KH"/>
        </w:rPr>
      </w:pPr>
      <w:r>
        <w:tab/>
      </w:r>
      <w:r w:rsidR="00374074" w:rsidRPr="00624943">
        <w:rPr>
          <w:rStyle w:val="FootnoteReference"/>
        </w:rPr>
        <w:footnoteRef/>
      </w:r>
      <w:r>
        <w:tab/>
      </w:r>
      <w:r w:rsidR="00374074" w:rsidRPr="00624943">
        <w:t>Progress report provided by email from Database Unit team of CMAA as of 25 January 2018.</w:t>
      </w:r>
    </w:p>
  </w:footnote>
  <w:footnote w:id="30">
    <w:p w14:paraId="32985BEC" w14:textId="2FCE0796" w:rsidR="00374074" w:rsidRPr="00624943" w:rsidRDefault="00E7471C" w:rsidP="00E7471C">
      <w:pPr>
        <w:pStyle w:val="FootnoteText"/>
        <w:rPr>
          <w:cs/>
          <w:lang w:bidi="km-KH"/>
        </w:rPr>
      </w:pPr>
      <w:r>
        <w:tab/>
      </w:r>
      <w:r w:rsidR="00374074" w:rsidRPr="00624943">
        <w:rPr>
          <w:rStyle w:val="FootnoteReference"/>
        </w:rPr>
        <w:footnoteRef/>
      </w:r>
      <w:r>
        <w:tab/>
      </w:r>
      <w:r w:rsidR="00374074">
        <w:rPr>
          <w:lang w:bidi="km-KH"/>
        </w:rPr>
        <w:t>D</w:t>
      </w:r>
      <w:r w:rsidR="00374074" w:rsidRPr="00624943">
        <w:rPr>
          <w:lang w:bidi="km-KH"/>
        </w:rPr>
        <w:t xml:space="preserve">ata from </w:t>
      </w:r>
      <w:r w:rsidR="00374074" w:rsidRPr="00CC7917">
        <w:rPr>
          <w:lang w:bidi="km-KH"/>
        </w:rPr>
        <w:t>Cambodian Mine Action Centre</w:t>
      </w:r>
      <w:r w:rsidR="00374074">
        <w:rPr>
          <w:lang w:bidi="km-KH"/>
        </w:rPr>
        <w:t xml:space="preserve"> </w:t>
      </w:r>
      <w:r w:rsidR="00374074" w:rsidRPr="00624943">
        <w:rPr>
          <w:lang w:bidi="km-KH"/>
        </w:rPr>
        <w:t>report</w:t>
      </w:r>
      <w:r w:rsidR="00374074">
        <w:rPr>
          <w:lang w:bidi="km-KH"/>
        </w:rPr>
        <w:t xml:space="preserve"> (</w:t>
      </w:r>
      <w:r w:rsidR="00374074" w:rsidRPr="00624943">
        <w:rPr>
          <w:cs/>
          <w:lang w:bidi="km-KH"/>
        </w:rPr>
        <w:t>2015</w:t>
      </w:r>
      <w:r w:rsidR="00374074">
        <w:rPr>
          <w:lang w:bidi="km-KH"/>
        </w:rPr>
        <w:t>)</w:t>
      </w:r>
      <w:r w:rsidR="00374074" w:rsidRPr="00624943">
        <w:rPr>
          <w:lang w:bidi="km-KH"/>
        </w:rPr>
        <w:t xml:space="preserve">, </w:t>
      </w:r>
      <w:hyperlink r:id="rId4" w:history="1">
        <w:r w:rsidRPr="0086340D">
          <w:rPr>
            <w:rStyle w:val="Hyperlink"/>
            <w:lang w:bidi="km-KH"/>
          </w:rPr>
          <w:t>http://www.the-monitor.org/en-gb/reports/2016/Cambodia/mine-action.aspx</w:t>
        </w:r>
      </w:hyperlink>
      <w:r>
        <w:rPr>
          <w:lang w:bidi="km-KH"/>
        </w:rPr>
        <w:t xml:space="preserve"> </w:t>
      </w:r>
      <w:r w:rsidR="00374074" w:rsidRPr="00624943">
        <w:t>.</w:t>
      </w:r>
    </w:p>
  </w:footnote>
  <w:footnote w:id="31">
    <w:p w14:paraId="1A0B4707" w14:textId="150D08B3" w:rsidR="00374074" w:rsidRPr="00624943" w:rsidRDefault="00E7471C" w:rsidP="00E7471C">
      <w:pPr>
        <w:pStyle w:val="FootnoteText"/>
        <w:rPr>
          <w:cs/>
          <w:lang w:bidi="km-KH"/>
        </w:rPr>
      </w:pPr>
      <w:r>
        <w:rPr>
          <w:lang w:bidi="km-KH"/>
        </w:rPr>
        <w:tab/>
      </w:r>
      <w:r w:rsidR="00374074" w:rsidRPr="00624943">
        <w:rPr>
          <w:rStyle w:val="FootnoteReference"/>
        </w:rPr>
        <w:footnoteRef/>
      </w:r>
      <w:r>
        <w:tab/>
      </w:r>
      <w:hyperlink r:id="rId5" w:history="1">
        <w:r w:rsidRPr="0086340D">
          <w:rPr>
            <w:rStyle w:val="Hyperlink"/>
            <w:sz w:val="20"/>
            <w:lang w:bidi="km-KH"/>
          </w:rPr>
          <w:t>http://www.the-monitor.org/en-gb/reports/2016/cambodia/mine-action.aspx</w:t>
        </w:r>
      </w:hyperlink>
      <w:r>
        <w:rPr>
          <w:rStyle w:val="HChGChar"/>
          <w:b w:val="0"/>
          <w:sz w:val="20"/>
          <w:lang w:bidi="km-KH"/>
        </w:rPr>
        <w:t xml:space="preserve"> </w:t>
      </w:r>
      <w:r w:rsidR="00374074" w:rsidRPr="00624943">
        <w:rPr>
          <w:rStyle w:val="HChGChar"/>
          <w:b w:val="0"/>
          <w:sz w:val="20"/>
          <w:lang w:bidi="km-KH"/>
        </w:rPr>
        <w:t>.</w:t>
      </w:r>
    </w:p>
  </w:footnote>
  <w:footnote w:id="32">
    <w:p w14:paraId="3DB0864C" w14:textId="3CBEEC66" w:rsidR="00374074" w:rsidRPr="00624943" w:rsidRDefault="002F703D" w:rsidP="00374074">
      <w:pPr>
        <w:pStyle w:val="FootnoteText"/>
        <w:rPr>
          <w:rFonts w:cstheme="minorBidi"/>
          <w:szCs w:val="32"/>
          <w:lang w:bidi="km-KH"/>
        </w:rPr>
      </w:pPr>
      <w:r>
        <w:rPr>
          <w:rFonts w:cstheme="minorBidi"/>
          <w:szCs w:val="32"/>
          <w:lang w:bidi="km-KH"/>
        </w:rPr>
        <w:tab/>
      </w:r>
      <w:r w:rsidR="00374074" w:rsidRPr="00573AC7">
        <w:rPr>
          <w:rStyle w:val="FootnoteReference"/>
        </w:rPr>
        <w:footnoteRef/>
      </w:r>
      <w:r>
        <w:rPr>
          <w:rFonts w:cstheme="minorBidi"/>
          <w:szCs w:val="32"/>
          <w:lang w:bidi="km-KH"/>
        </w:rPr>
        <w:tab/>
      </w:r>
      <w:r w:rsidR="00374074">
        <w:t>Royal Kram No. NS/RKM</w:t>
      </w:r>
      <w:r w:rsidR="00374074" w:rsidRPr="00F959D1">
        <w:rPr>
          <w:rStyle w:val="HChGChar"/>
          <w:b w:val="0"/>
          <w:bCs/>
          <w:sz w:val="20"/>
          <w:lang w:bidi="km-KH"/>
        </w:rPr>
        <w:t>/0709, dated 3 July 2009 to promulgate</w:t>
      </w:r>
      <w:r w:rsidR="00374074">
        <w:rPr>
          <w:rStyle w:val="HChGChar"/>
          <w:b w:val="0"/>
          <w:bCs/>
          <w:sz w:val="20"/>
          <w:lang w:bidi="km-KH"/>
        </w:rPr>
        <w:t xml:space="preserve"> the</w:t>
      </w:r>
      <w:r w:rsidR="00374074" w:rsidRPr="00573AC7">
        <w:rPr>
          <w:rFonts w:cstheme="minorBidi"/>
          <w:szCs w:val="32"/>
          <w:lang w:bidi="km-KH"/>
        </w:rPr>
        <w:t xml:space="preserve"> Law on the Protection and Promotion of the Rights of Persons with Disabilities, </w:t>
      </w:r>
      <w:r w:rsidR="00374074">
        <w:rPr>
          <w:rFonts w:cstheme="minorBidi"/>
          <w:szCs w:val="32"/>
          <w:lang w:bidi="km-KH"/>
        </w:rPr>
        <w:t>art. 2</w:t>
      </w:r>
      <w:r w:rsidR="00374074" w:rsidRPr="00573AC7">
        <w:rPr>
          <w:rFonts w:cstheme="minorBidi"/>
          <w:szCs w:val="32"/>
          <w:lang w:bidi="km-KH"/>
        </w:rPr>
        <w:t>.</w:t>
      </w:r>
    </w:p>
  </w:footnote>
  <w:footnote w:id="33">
    <w:p w14:paraId="381CF8A3" w14:textId="6FF79788" w:rsidR="00374074" w:rsidRPr="00624943" w:rsidRDefault="002F703D" w:rsidP="002F703D">
      <w:pPr>
        <w:pStyle w:val="FootnoteText"/>
        <w:rPr>
          <w:rFonts w:cstheme="minorBidi"/>
          <w:lang w:bidi="km-KH"/>
        </w:rPr>
      </w:pPr>
      <w:r>
        <w:tab/>
      </w:r>
      <w:r w:rsidR="00374074" w:rsidRPr="00624943">
        <w:rPr>
          <w:rStyle w:val="FootnoteReference"/>
        </w:rPr>
        <w:footnoteRef/>
      </w:r>
      <w:r>
        <w:tab/>
      </w:r>
      <w:r w:rsidR="00374074">
        <w:t xml:space="preserve">Royal Kram No. NS/RKM/0208/008, dated 21 September 1993 to promulgate the </w:t>
      </w:r>
      <w:r w:rsidR="00374074" w:rsidRPr="00624943">
        <w:rPr>
          <w:lang w:bidi="km-KH"/>
        </w:rPr>
        <w:t>Constitution of the Kingdom of Cambodia, art</w:t>
      </w:r>
      <w:r w:rsidR="00374074">
        <w:rPr>
          <w:lang w:bidi="km-KH"/>
        </w:rPr>
        <w:t>.</w:t>
      </w:r>
      <w:r w:rsidR="00374074" w:rsidRPr="00624943">
        <w:rPr>
          <w:lang w:bidi="km-KH"/>
        </w:rPr>
        <w:t xml:space="preserve"> 42.</w:t>
      </w:r>
    </w:p>
  </w:footnote>
  <w:footnote w:id="34">
    <w:p w14:paraId="4A7B55B0" w14:textId="584BE978" w:rsidR="00374074" w:rsidRPr="00624943" w:rsidRDefault="002F703D" w:rsidP="002F703D">
      <w:pPr>
        <w:pStyle w:val="FootnoteText"/>
        <w:rPr>
          <w:rFonts w:cstheme="minorBidi"/>
          <w:cs/>
          <w:lang w:bidi="km-KH"/>
        </w:rPr>
      </w:pPr>
      <w:r>
        <w:tab/>
      </w:r>
      <w:r w:rsidR="00374074" w:rsidRPr="00624943">
        <w:rPr>
          <w:rStyle w:val="FootnoteReference"/>
        </w:rPr>
        <w:footnoteRef/>
      </w:r>
      <w:r>
        <w:tab/>
      </w:r>
      <w:r w:rsidR="00374074">
        <w:rPr>
          <w:lang w:bidi="km-KH"/>
        </w:rPr>
        <w:t>The Constitution of the Kingdom of Cambodia, 2015</w:t>
      </w:r>
      <w:r w:rsidR="00374074" w:rsidRPr="00624943">
        <w:rPr>
          <w:lang w:bidi="km-KH"/>
        </w:rPr>
        <w:t>, art</w:t>
      </w:r>
      <w:r w:rsidR="00374074">
        <w:rPr>
          <w:lang w:bidi="km-KH"/>
        </w:rPr>
        <w:t>.</w:t>
      </w:r>
      <w:r w:rsidR="00374074" w:rsidRPr="00624943">
        <w:rPr>
          <w:lang w:bidi="km-KH"/>
        </w:rPr>
        <w:t xml:space="preserve"> </w:t>
      </w:r>
      <w:r w:rsidR="00374074" w:rsidRPr="00624943">
        <w:rPr>
          <w:cs/>
          <w:lang w:bidi="km-KH"/>
        </w:rPr>
        <w:t>38.</w:t>
      </w:r>
      <w:r w:rsidR="00374074" w:rsidRPr="00624943">
        <w:rPr>
          <w:rFonts w:asciiTheme="majorBidi" w:hAnsiTheme="majorBidi" w:cstheme="majorBidi"/>
          <w:lang w:bidi="km-KH"/>
        </w:rPr>
        <w:t xml:space="preserve"> </w:t>
      </w:r>
    </w:p>
  </w:footnote>
  <w:footnote w:id="35">
    <w:p w14:paraId="78931DEC" w14:textId="2699BF40" w:rsidR="00374074" w:rsidRPr="00624943" w:rsidRDefault="002F703D" w:rsidP="002F703D">
      <w:pPr>
        <w:pStyle w:val="FootnoteText"/>
        <w:rPr>
          <w:cs/>
          <w:lang w:bidi="km-KH"/>
        </w:rPr>
      </w:pPr>
      <w:r>
        <w:rPr>
          <w:lang w:bidi="km-KH"/>
        </w:rPr>
        <w:tab/>
      </w:r>
      <w:r w:rsidR="00374074" w:rsidRPr="00624943">
        <w:rPr>
          <w:rStyle w:val="FootnoteReference"/>
        </w:rPr>
        <w:footnoteRef/>
      </w:r>
      <w:r>
        <w:tab/>
      </w:r>
      <w:r w:rsidR="00374074" w:rsidRPr="00624943">
        <w:rPr>
          <w:lang w:bidi="km-KH"/>
        </w:rPr>
        <w:t>Legal Aid Policy</w:t>
      </w:r>
      <w:r w:rsidR="00374074" w:rsidRPr="00624943">
        <w:rPr>
          <w:cs/>
          <w:lang w:bidi="km-KH"/>
        </w:rPr>
        <w:t>.</w:t>
      </w:r>
    </w:p>
  </w:footnote>
  <w:footnote w:id="36">
    <w:p w14:paraId="3EEFD089" w14:textId="7545A06A" w:rsidR="00374074" w:rsidRPr="00624943" w:rsidRDefault="002F703D" w:rsidP="00374074">
      <w:pPr>
        <w:pStyle w:val="FootnoteText"/>
        <w:rPr>
          <w:rFonts w:cstheme="minorBidi"/>
          <w:szCs w:val="32"/>
          <w:lang w:bidi="km-KH"/>
        </w:rPr>
      </w:pPr>
      <w:r>
        <w:tab/>
      </w:r>
      <w:r w:rsidR="00374074" w:rsidRPr="00573AC7">
        <w:rPr>
          <w:rStyle w:val="FootnoteReference"/>
        </w:rPr>
        <w:footnoteRef/>
      </w:r>
      <w:r>
        <w:tab/>
      </w:r>
      <w:r w:rsidR="00374074">
        <w:t>Royal Kram No. NS/RKM</w:t>
      </w:r>
      <w:r w:rsidR="00374074" w:rsidRPr="005766CD">
        <w:rPr>
          <w:rStyle w:val="HChGChar"/>
          <w:b w:val="0"/>
          <w:bCs/>
          <w:sz w:val="20"/>
          <w:lang w:bidi="km-KH"/>
        </w:rPr>
        <w:t>/0709, dated 3 July 2009 to promulgate</w:t>
      </w:r>
      <w:r w:rsidR="00374074">
        <w:rPr>
          <w:rStyle w:val="HChGChar"/>
          <w:b w:val="0"/>
          <w:bCs/>
          <w:sz w:val="20"/>
          <w:lang w:bidi="km-KH"/>
        </w:rPr>
        <w:t xml:space="preserve"> the</w:t>
      </w:r>
      <w:r w:rsidR="00374074" w:rsidRPr="00573AC7">
        <w:rPr>
          <w:rFonts w:cstheme="minorBidi"/>
          <w:szCs w:val="32"/>
          <w:lang w:bidi="km-KH"/>
        </w:rPr>
        <w:t xml:space="preserve"> Law on the Protection and Promotion of the Rights of Persons with Disabilities, </w:t>
      </w:r>
      <w:r w:rsidR="00374074">
        <w:rPr>
          <w:rFonts w:cstheme="minorBidi"/>
          <w:szCs w:val="32"/>
          <w:lang w:bidi="km-KH"/>
        </w:rPr>
        <w:t>art. 2</w:t>
      </w:r>
      <w:r w:rsidR="00374074" w:rsidRPr="00573AC7">
        <w:rPr>
          <w:rFonts w:cstheme="minorBidi"/>
          <w:szCs w:val="32"/>
          <w:lang w:bidi="km-KH"/>
        </w:rPr>
        <w:t>.</w:t>
      </w:r>
    </w:p>
  </w:footnote>
  <w:footnote w:id="37">
    <w:p w14:paraId="111FDD88" w14:textId="7B0B6003" w:rsidR="00374074" w:rsidRPr="00624943" w:rsidRDefault="002F703D" w:rsidP="002F703D">
      <w:pPr>
        <w:pStyle w:val="FootnoteText"/>
        <w:rPr>
          <w:cs/>
          <w:lang w:bidi="km-KH"/>
        </w:rPr>
      </w:pPr>
      <w:r>
        <w:tab/>
      </w:r>
      <w:r w:rsidR="00374074" w:rsidRPr="00624943">
        <w:rPr>
          <w:rStyle w:val="FootnoteReference"/>
        </w:rPr>
        <w:footnoteRef/>
      </w:r>
      <w:r>
        <w:tab/>
      </w:r>
      <w:r w:rsidR="00374074">
        <w:t xml:space="preserve">Royal Kram No. NS/RKM/1207/030, dated 8 December 2007 to promulgate the </w:t>
      </w:r>
      <w:r w:rsidR="00374074" w:rsidRPr="00624943">
        <w:rPr>
          <w:lang w:bidi="km-KH"/>
        </w:rPr>
        <w:t>Civil Code</w:t>
      </w:r>
      <w:r w:rsidR="00374074">
        <w:rPr>
          <w:lang w:bidi="km-KH"/>
        </w:rPr>
        <w:t xml:space="preserve"> of the Kingdom of Cambodia</w:t>
      </w:r>
      <w:r w:rsidR="00374074" w:rsidRPr="00624943">
        <w:rPr>
          <w:lang w:bidi="km-KH"/>
        </w:rPr>
        <w:t>, art</w:t>
      </w:r>
      <w:r w:rsidR="00374074" w:rsidRPr="005766CD">
        <w:rPr>
          <w:lang w:bidi="km-KH"/>
        </w:rPr>
        <w:t>.</w:t>
      </w:r>
      <w:r w:rsidR="00374074" w:rsidRPr="00624943">
        <w:rPr>
          <w:lang w:bidi="km-KH"/>
        </w:rPr>
        <w:t xml:space="preserve"> </w:t>
      </w:r>
      <w:r w:rsidR="00374074" w:rsidRPr="00624943">
        <w:rPr>
          <w:cs/>
          <w:lang w:bidi="km-KH"/>
        </w:rPr>
        <w:t>28.</w:t>
      </w:r>
    </w:p>
  </w:footnote>
  <w:footnote w:id="38">
    <w:p w14:paraId="0E826202" w14:textId="6C955308" w:rsidR="00374074" w:rsidRPr="00624943" w:rsidRDefault="00C0727E" w:rsidP="00C0727E">
      <w:pPr>
        <w:pStyle w:val="FootnoteText"/>
        <w:rPr>
          <w:cs/>
          <w:lang w:bidi="km-KH"/>
        </w:rPr>
      </w:pPr>
      <w:r>
        <w:tab/>
      </w:r>
      <w:r w:rsidR="00374074" w:rsidRPr="00624943">
        <w:rPr>
          <w:rStyle w:val="FootnoteReference"/>
        </w:rPr>
        <w:footnoteRef/>
      </w:r>
      <w:r>
        <w:tab/>
      </w:r>
      <w:r w:rsidR="00374074">
        <w:t>Royal Kram No. NS/RKM/1211/021, dated 21 December 2011 to promulgate</w:t>
      </w:r>
      <w:r w:rsidR="00374074" w:rsidRPr="0027446A">
        <w:t xml:space="preserve"> </w:t>
      </w:r>
      <w:r w:rsidR="00374074">
        <w:t xml:space="preserve">the </w:t>
      </w:r>
      <w:r w:rsidR="00374074" w:rsidRPr="00624943">
        <w:t>Law on Prisons, art. 24.</w:t>
      </w:r>
    </w:p>
  </w:footnote>
  <w:footnote w:id="39">
    <w:p w14:paraId="3AF691A9" w14:textId="5B7CED11" w:rsidR="00374074" w:rsidRPr="00624943" w:rsidRDefault="00C0727E" w:rsidP="00C0727E">
      <w:pPr>
        <w:pStyle w:val="FootnoteText"/>
        <w:rPr>
          <w:cs/>
          <w:lang w:bidi="km-KH"/>
        </w:rPr>
      </w:pPr>
      <w:r>
        <w:tab/>
      </w:r>
      <w:r w:rsidR="00374074" w:rsidRPr="00624943">
        <w:rPr>
          <w:rStyle w:val="FootnoteReference"/>
        </w:rPr>
        <w:footnoteRef/>
      </w:r>
      <w:r>
        <w:tab/>
      </w:r>
      <w:r w:rsidR="00374074">
        <w:t>Royal Kram No. NS/RKM/0208/008, dated 21 September 1993 to promulgate</w:t>
      </w:r>
      <w:r w:rsidR="00374074" w:rsidRPr="00FF6B2F">
        <w:t xml:space="preserve"> </w:t>
      </w:r>
      <w:r w:rsidR="00374074">
        <w:t xml:space="preserve">the </w:t>
      </w:r>
      <w:r w:rsidR="00374074" w:rsidRPr="00624943">
        <w:t>Constitution of the Kingdom of Cambodia, art. 32.</w:t>
      </w:r>
    </w:p>
  </w:footnote>
  <w:footnote w:id="40">
    <w:p w14:paraId="203EDD4F" w14:textId="75206035" w:rsidR="00374074" w:rsidRPr="00624943" w:rsidRDefault="00C0727E" w:rsidP="00C0727E">
      <w:pPr>
        <w:pStyle w:val="FootnoteText"/>
        <w:rPr>
          <w:i/>
          <w:iCs/>
          <w:cs/>
          <w:lang w:bidi="km-KH"/>
        </w:rPr>
      </w:pPr>
      <w:r>
        <w:tab/>
      </w:r>
      <w:r w:rsidR="00374074" w:rsidRPr="00624943">
        <w:rPr>
          <w:rStyle w:val="FootnoteReference"/>
        </w:rPr>
        <w:footnoteRef/>
      </w:r>
      <w:r>
        <w:tab/>
      </w:r>
      <w:r w:rsidR="00374074">
        <w:t>Ibid.</w:t>
      </w:r>
      <w:r w:rsidR="00374074" w:rsidRPr="00624943">
        <w:t>, art. 38</w:t>
      </w:r>
      <w:r w:rsidR="00374074">
        <w:t>.</w:t>
      </w:r>
    </w:p>
  </w:footnote>
  <w:footnote w:id="41">
    <w:p w14:paraId="26BCDC2B" w14:textId="49B86FB1" w:rsidR="00374074" w:rsidRPr="00624943" w:rsidRDefault="00C0727E" w:rsidP="00C0727E">
      <w:pPr>
        <w:pStyle w:val="FootnoteText"/>
        <w:rPr>
          <w:cs/>
          <w:lang w:bidi="km-KH"/>
        </w:rPr>
      </w:pPr>
      <w:r>
        <w:tab/>
      </w:r>
      <w:r w:rsidR="00374074" w:rsidRPr="00624943">
        <w:rPr>
          <w:rStyle w:val="FootnoteReference"/>
        </w:rPr>
        <w:footnoteRef/>
      </w:r>
      <w:r>
        <w:tab/>
      </w:r>
      <w:r w:rsidR="00374074" w:rsidRPr="00FD15EC">
        <w:t>Royal Kram No. NS/RK</w:t>
      </w:r>
      <w:r w:rsidR="00374074">
        <w:t>M</w:t>
      </w:r>
      <w:r w:rsidR="00374074" w:rsidRPr="00FD15EC">
        <w:t xml:space="preserve">/1109/022, dated 30 November 2009 to promulgate the </w:t>
      </w:r>
      <w:r w:rsidR="00374074" w:rsidRPr="00624943">
        <w:t>Criminal</w:t>
      </w:r>
      <w:r w:rsidR="00374074" w:rsidRPr="00624943">
        <w:rPr>
          <w:rStyle w:val="HChGChar"/>
          <w:sz w:val="20"/>
          <w:lang w:bidi="km-KH"/>
        </w:rPr>
        <w:t xml:space="preserve"> </w:t>
      </w:r>
      <w:r w:rsidR="00374074" w:rsidRPr="00624943">
        <w:rPr>
          <w:rStyle w:val="HChGChar"/>
          <w:b w:val="0"/>
          <w:bCs/>
          <w:sz w:val="20"/>
          <w:lang w:bidi="km-KH"/>
        </w:rPr>
        <w:t>Code of the Kingdom of Cambodia,</w:t>
      </w:r>
      <w:r w:rsidR="00374074">
        <w:rPr>
          <w:rStyle w:val="HChGChar"/>
          <w:b w:val="0"/>
          <w:bCs/>
          <w:sz w:val="20"/>
          <w:lang w:bidi="km-KH"/>
        </w:rPr>
        <w:t xml:space="preserve"> Ministry of Justice,</w:t>
      </w:r>
      <w:r w:rsidR="00374074" w:rsidRPr="00624943">
        <w:rPr>
          <w:rStyle w:val="HChGChar"/>
          <w:sz w:val="20"/>
          <w:lang w:bidi="km-KH"/>
        </w:rPr>
        <w:t xml:space="preserve"> </w:t>
      </w:r>
      <w:r w:rsidR="00374074" w:rsidRPr="00624943">
        <w:rPr>
          <w:rStyle w:val="HChGChar"/>
          <w:sz w:val="20"/>
          <w:cs/>
          <w:lang w:bidi="km-KH"/>
        </w:rPr>
        <w:t>2010.</w:t>
      </w:r>
    </w:p>
  </w:footnote>
  <w:footnote w:id="42">
    <w:p w14:paraId="36572780" w14:textId="4B9B105F" w:rsidR="00374074" w:rsidRPr="00624943" w:rsidRDefault="004C2139" w:rsidP="004C2139">
      <w:pPr>
        <w:pStyle w:val="FootnoteText"/>
        <w:rPr>
          <w:rFonts w:asciiTheme="majorBidi" w:hAnsiTheme="majorBidi" w:cstheme="majorBidi"/>
          <w:cs/>
          <w:lang w:bidi="km-KH"/>
        </w:rPr>
      </w:pPr>
      <w:r>
        <w:tab/>
      </w:r>
      <w:r w:rsidR="00374074" w:rsidRPr="00624943">
        <w:rPr>
          <w:rStyle w:val="FootnoteReference"/>
        </w:rPr>
        <w:footnoteRef/>
      </w:r>
      <w:r>
        <w:tab/>
      </w:r>
      <w:r w:rsidR="00374074" w:rsidRPr="004C2139">
        <w:rPr>
          <w:rStyle w:val="HChGChar"/>
          <w:b w:val="0"/>
          <w:bCs/>
          <w:sz w:val="18"/>
          <w:szCs w:val="18"/>
          <w:lang w:bidi="km-KH"/>
        </w:rPr>
        <w:t>Royal Decree No. NS/RKT</w:t>
      </w:r>
      <w:r w:rsidR="00374074" w:rsidRPr="004C2139">
        <w:rPr>
          <w:rStyle w:val="HChGChar"/>
          <w:sz w:val="18"/>
          <w:szCs w:val="18"/>
          <w:lang w:bidi="km-KH"/>
        </w:rPr>
        <w:t>/</w:t>
      </w:r>
      <w:r w:rsidR="00374074" w:rsidRPr="004C2139">
        <w:rPr>
          <w:rStyle w:val="HChGChar"/>
          <w:sz w:val="18"/>
          <w:szCs w:val="18"/>
          <w:cs/>
          <w:lang w:bidi="km-KH"/>
        </w:rPr>
        <w:t>0817/619</w:t>
      </w:r>
      <w:r w:rsidR="00374074" w:rsidRPr="004C2139">
        <w:rPr>
          <w:rStyle w:val="HChGChar"/>
          <w:sz w:val="18"/>
          <w:szCs w:val="18"/>
          <w:lang w:bidi="km-KH"/>
        </w:rPr>
        <w:t>,</w:t>
      </w:r>
      <w:r w:rsidR="00374074" w:rsidRPr="004C2139">
        <w:rPr>
          <w:rStyle w:val="HChGChar"/>
          <w:sz w:val="18"/>
          <w:szCs w:val="18"/>
          <w:cs/>
          <w:lang w:bidi="km-KH"/>
        </w:rPr>
        <w:t xml:space="preserve"> </w:t>
      </w:r>
      <w:r w:rsidR="00374074" w:rsidRPr="004C2139">
        <w:rPr>
          <w:rStyle w:val="HChGChar"/>
          <w:b w:val="0"/>
          <w:bCs/>
          <w:sz w:val="18"/>
          <w:szCs w:val="18"/>
          <w:lang w:bidi="km-KH"/>
        </w:rPr>
        <w:t>dated</w:t>
      </w:r>
      <w:r w:rsidR="00374074" w:rsidRPr="004C2139">
        <w:rPr>
          <w:rStyle w:val="HChGChar"/>
          <w:sz w:val="18"/>
          <w:szCs w:val="18"/>
          <w:lang w:bidi="km-KH"/>
        </w:rPr>
        <w:t xml:space="preserve"> </w:t>
      </w:r>
      <w:r w:rsidR="00374074" w:rsidRPr="004C2139">
        <w:rPr>
          <w:rStyle w:val="HChGChar"/>
          <w:sz w:val="18"/>
          <w:szCs w:val="18"/>
          <w:cs/>
          <w:lang w:bidi="km-KH"/>
        </w:rPr>
        <w:t xml:space="preserve">22 </w:t>
      </w:r>
      <w:r w:rsidR="00374074" w:rsidRPr="004C2139">
        <w:rPr>
          <w:rStyle w:val="HChGChar"/>
          <w:b w:val="0"/>
          <w:bCs/>
          <w:sz w:val="18"/>
          <w:szCs w:val="18"/>
          <w:lang w:bidi="km-KH"/>
        </w:rPr>
        <w:t>August</w:t>
      </w:r>
      <w:r w:rsidR="00374074" w:rsidRPr="004C2139">
        <w:rPr>
          <w:rStyle w:val="HChGChar"/>
          <w:sz w:val="18"/>
          <w:szCs w:val="18"/>
          <w:lang w:bidi="km-KH"/>
        </w:rPr>
        <w:t xml:space="preserve"> </w:t>
      </w:r>
      <w:r w:rsidR="00374074" w:rsidRPr="004C2139">
        <w:rPr>
          <w:rStyle w:val="HChGChar"/>
          <w:sz w:val="18"/>
          <w:szCs w:val="18"/>
          <w:cs/>
          <w:lang w:bidi="km-KH"/>
        </w:rPr>
        <w:t>2017</w:t>
      </w:r>
      <w:r w:rsidR="00374074" w:rsidRPr="004C2139">
        <w:rPr>
          <w:rStyle w:val="HChGChar"/>
          <w:b w:val="0"/>
          <w:bCs/>
          <w:sz w:val="18"/>
          <w:szCs w:val="18"/>
          <w:lang w:bidi="km-KH"/>
        </w:rPr>
        <w:t>, on the Establishment of National Committee against Torture and Other Cruel, Inhuman or Degrading Treatment or Punishment</w:t>
      </w:r>
      <w:r w:rsidR="00374074" w:rsidRPr="004C2139">
        <w:rPr>
          <w:rStyle w:val="HChGChar"/>
          <w:rFonts w:cs="DaunPenh"/>
          <w:b w:val="0"/>
          <w:bCs/>
          <w:sz w:val="18"/>
          <w:szCs w:val="18"/>
          <w:lang w:bidi="km-KH"/>
        </w:rPr>
        <w:t>.</w:t>
      </w:r>
    </w:p>
  </w:footnote>
  <w:footnote w:id="43">
    <w:p w14:paraId="48933716" w14:textId="26393652" w:rsidR="00374074" w:rsidRPr="00624943" w:rsidRDefault="004C2139" w:rsidP="004C2139">
      <w:pPr>
        <w:pStyle w:val="FootnoteText"/>
        <w:rPr>
          <w:cs/>
          <w:lang w:bidi="km-KH"/>
        </w:rPr>
      </w:pPr>
      <w:r>
        <w:tab/>
      </w:r>
      <w:r w:rsidR="00374074" w:rsidRPr="00624943">
        <w:rPr>
          <w:rStyle w:val="FootnoteReference"/>
        </w:rPr>
        <w:footnoteRef/>
      </w:r>
      <w:r>
        <w:tab/>
      </w:r>
      <w:r w:rsidR="00374074" w:rsidRPr="004C2139">
        <w:rPr>
          <w:rStyle w:val="HChGChar"/>
          <w:b w:val="0"/>
          <w:bCs/>
          <w:sz w:val="18"/>
          <w:szCs w:val="18"/>
          <w:lang w:bidi="km-KH"/>
        </w:rPr>
        <w:t>Royal Decree No. NS/RKT</w:t>
      </w:r>
      <w:r w:rsidR="00374074" w:rsidRPr="004C2139">
        <w:rPr>
          <w:rStyle w:val="HChGChar"/>
          <w:sz w:val="18"/>
          <w:szCs w:val="18"/>
          <w:lang w:bidi="km-KH"/>
        </w:rPr>
        <w:t>/</w:t>
      </w:r>
      <w:r w:rsidR="00374074" w:rsidRPr="004C2139">
        <w:rPr>
          <w:rStyle w:val="HChGChar"/>
          <w:sz w:val="18"/>
          <w:szCs w:val="18"/>
          <w:cs/>
          <w:lang w:bidi="km-KH"/>
        </w:rPr>
        <w:t>1117/1073</w:t>
      </w:r>
      <w:r w:rsidR="00374074" w:rsidRPr="004C2139">
        <w:rPr>
          <w:rStyle w:val="HChGChar"/>
          <w:sz w:val="18"/>
          <w:szCs w:val="18"/>
          <w:lang w:bidi="km-KH"/>
        </w:rPr>
        <w:t xml:space="preserve">, </w:t>
      </w:r>
      <w:r w:rsidR="00374074" w:rsidRPr="004C2139">
        <w:rPr>
          <w:rStyle w:val="HChGChar"/>
          <w:b w:val="0"/>
          <w:bCs/>
          <w:sz w:val="18"/>
          <w:szCs w:val="18"/>
          <w:lang w:bidi="km-KH"/>
        </w:rPr>
        <w:t>dated</w:t>
      </w:r>
      <w:r w:rsidR="00374074" w:rsidRPr="004C2139">
        <w:rPr>
          <w:rStyle w:val="HChGChar"/>
          <w:sz w:val="18"/>
          <w:szCs w:val="18"/>
          <w:lang w:bidi="km-KH"/>
        </w:rPr>
        <w:t xml:space="preserve"> </w:t>
      </w:r>
      <w:r w:rsidR="00374074" w:rsidRPr="004C2139">
        <w:rPr>
          <w:rStyle w:val="HChGChar"/>
          <w:sz w:val="18"/>
          <w:szCs w:val="18"/>
          <w:cs/>
          <w:lang w:bidi="km-KH"/>
        </w:rPr>
        <w:t xml:space="preserve">22 </w:t>
      </w:r>
      <w:r w:rsidR="00374074" w:rsidRPr="004C2139">
        <w:rPr>
          <w:rStyle w:val="HChGChar"/>
          <w:b w:val="0"/>
          <w:bCs/>
          <w:sz w:val="18"/>
          <w:szCs w:val="18"/>
          <w:lang w:bidi="km-KH"/>
        </w:rPr>
        <w:t>November</w:t>
      </w:r>
      <w:r w:rsidR="00374074" w:rsidRPr="004C2139">
        <w:rPr>
          <w:rStyle w:val="HChGChar"/>
          <w:sz w:val="18"/>
          <w:szCs w:val="18"/>
          <w:lang w:bidi="km-KH"/>
        </w:rPr>
        <w:t xml:space="preserve"> </w:t>
      </w:r>
      <w:r w:rsidR="00374074" w:rsidRPr="004C2139">
        <w:rPr>
          <w:rStyle w:val="HChGChar"/>
          <w:sz w:val="18"/>
          <w:szCs w:val="18"/>
          <w:cs/>
          <w:lang w:bidi="km-KH"/>
        </w:rPr>
        <w:t>2017</w:t>
      </w:r>
      <w:r w:rsidR="00374074" w:rsidRPr="004C2139">
        <w:rPr>
          <w:rStyle w:val="HChGChar"/>
          <w:b w:val="0"/>
          <w:bCs/>
          <w:sz w:val="18"/>
          <w:szCs w:val="18"/>
          <w:lang w:bidi="km-KH"/>
        </w:rPr>
        <w:t>, on the Appointment of Members of the National Committee against Torture and Other Cruel, Inhuman or Degrading Treatment or Punishment.</w:t>
      </w:r>
    </w:p>
  </w:footnote>
  <w:footnote w:id="44">
    <w:p w14:paraId="52B51BCF" w14:textId="70033777" w:rsidR="00374074" w:rsidRPr="00624943" w:rsidRDefault="00FB33DA" w:rsidP="00722B81">
      <w:pPr>
        <w:pStyle w:val="FootnoteText"/>
        <w:rPr>
          <w:rFonts w:eastAsiaTheme="minorEastAsia"/>
          <w:b/>
          <w:bCs/>
          <w:lang w:val="en-US" w:eastAsia="zh-CN"/>
        </w:rPr>
      </w:pPr>
      <w:r>
        <w:tab/>
      </w:r>
      <w:r w:rsidR="00374074" w:rsidRPr="00624943">
        <w:rPr>
          <w:rStyle w:val="FootnoteReference"/>
        </w:rPr>
        <w:footnoteRef/>
      </w:r>
      <w:r>
        <w:tab/>
      </w:r>
      <w:r w:rsidR="00374074" w:rsidRPr="00FB33DA">
        <w:rPr>
          <w:szCs w:val="18"/>
        </w:rPr>
        <w:t xml:space="preserve">Ministry of Health, Notification </w:t>
      </w:r>
      <w:r w:rsidR="00374074" w:rsidRPr="00FB33DA">
        <w:rPr>
          <w:rStyle w:val="HChGChar"/>
          <w:b w:val="0"/>
          <w:bCs/>
          <w:sz w:val="18"/>
          <w:szCs w:val="18"/>
          <w:lang w:bidi="km-KH"/>
        </w:rPr>
        <w:t>Letter No.</w:t>
      </w:r>
      <w:r w:rsidR="00374074" w:rsidRPr="00FB33DA">
        <w:rPr>
          <w:rStyle w:val="HChGChar"/>
          <w:rFonts w:cs="DaunPenh"/>
          <w:b w:val="0"/>
          <w:bCs/>
          <w:sz w:val="18"/>
          <w:szCs w:val="18"/>
          <w:lang w:bidi="km-KH"/>
        </w:rPr>
        <w:t>096 ABS/</w:t>
      </w:r>
      <w:r w:rsidR="00374074" w:rsidRPr="00FB33DA">
        <w:rPr>
          <w:rStyle w:val="HChGChar"/>
          <w:rFonts w:eastAsiaTheme="minorEastAsia" w:cs="DaunPenh"/>
          <w:b w:val="0"/>
          <w:bCs/>
          <w:sz w:val="18"/>
          <w:szCs w:val="18"/>
          <w:lang w:val="en-US" w:eastAsia="zh-CN" w:bidi="km-KH"/>
        </w:rPr>
        <w:t>MP</w:t>
      </w:r>
      <w:r w:rsidR="00374074" w:rsidRPr="00FB33DA">
        <w:rPr>
          <w:rStyle w:val="HChGChar"/>
          <w:b w:val="0"/>
          <w:bCs/>
          <w:sz w:val="18"/>
          <w:szCs w:val="18"/>
          <w:lang w:bidi="km-KH"/>
        </w:rPr>
        <w:t>, dated 19 November 2015</w:t>
      </w:r>
      <w:r w:rsidR="00374074" w:rsidRPr="00FB33DA">
        <w:rPr>
          <w:rStyle w:val="HChGChar"/>
          <w:rFonts w:cs="DaunPenh"/>
          <w:b w:val="0"/>
          <w:bCs/>
          <w:sz w:val="18"/>
          <w:szCs w:val="18"/>
          <w:lang w:bidi="km-KH"/>
        </w:rPr>
        <w:t xml:space="preserve"> on the Provision of Health Care Services for Free of Charge and Based on Code of Ethics to the Persons with Disabilities and Elderly People.</w:t>
      </w:r>
    </w:p>
  </w:footnote>
  <w:footnote w:id="45">
    <w:p w14:paraId="08F8C5B8" w14:textId="7F7D8AEC" w:rsidR="00374074" w:rsidRPr="00624943" w:rsidRDefault="00FB33DA" w:rsidP="00722B81">
      <w:pPr>
        <w:pStyle w:val="FootnoteText"/>
        <w:rPr>
          <w:cs/>
          <w:lang w:bidi="km-KH"/>
        </w:rPr>
      </w:pPr>
      <w:r>
        <w:tab/>
      </w:r>
      <w:r w:rsidR="00374074" w:rsidRPr="00624943">
        <w:rPr>
          <w:rStyle w:val="FootnoteReference"/>
        </w:rPr>
        <w:footnoteRef/>
      </w:r>
      <w:r>
        <w:tab/>
      </w:r>
      <w:r w:rsidR="00374074" w:rsidRPr="00F43429">
        <w:t xml:space="preserve">Royal Kram No. CS/RKT/1197/06, dated 12 November 1997 to promulgate the </w:t>
      </w:r>
      <w:r w:rsidR="00374074" w:rsidRPr="00624943">
        <w:t>Law on Abortion, art. 8.</w:t>
      </w:r>
    </w:p>
  </w:footnote>
  <w:footnote w:id="46">
    <w:p w14:paraId="4AC5DE70" w14:textId="57F2C807" w:rsidR="00374074" w:rsidRPr="00624943" w:rsidRDefault="00FB33DA" w:rsidP="00722B81">
      <w:pPr>
        <w:pStyle w:val="FootnoteText"/>
        <w:rPr>
          <w:cs/>
          <w:lang w:bidi="km-KH"/>
        </w:rPr>
      </w:pPr>
      <w:r>
        <w:rPr>
          <w:rStyle w:val="HChGChar"/>
          <w:b w:val="0"/>
          <w:bCs/>
          <w:sz w:val="20"/>
          <w:lang w:bidi="km-KH"/>
        </w:rPr>
        <w:tab/>
      </w:r>
      <w:r w:rsidR="00374074" w:rsidRPr="00624943">
        <w:rPr>
          <w:rStyle w:val="FootnoteReference"/>
        </w:rPr>
        <w:footnoteRef/>
      </w:r>
      <w:r>
        <w:rPr>
          <w:rStyle w:val="HChGChar"/>
          <w:b w:val="0"/>
          <w:bCs/>
          <w:sz w:val="20"/>
          <w:lang w:bidi="km-KH"/>
        </w:rPr>
        <w:tab/>
      </w:r>
      <w:r w:rsidR="00374074" w:rsidRPr="00FB33DA">
        <w:rPr>
          <w:rStyle w:val="HChGChar"/>
          <w:b w:val="0"/>
          <w:bCs/>
          <w:sz w:val="18"/>
          <w:szCs w:val="18"/>
          <w:lang w:bidi="km-KH"/>
        </w:rPr>
        <w:t>Ibid., art.</w:t>
      </w:r>
      <w:r w:rsidR="00374074" w:rsidRPr="00FB33DA">
        <w:rPr>
          <w:rStyle w:val="HChGChar"/>
          <w:sz w:val="18"/>
          <w:szCs w:val="18"/>
          <w:lang w:bidi="km-KH"/>
        </w:rPr>
        <w:t xml:space="preserve"> </w:t>
      </w:r>
      <w:r w:rsidR="00374074" w:rsidRPr="00FB33DA">
        <w:rPr>
          <w:rStyle w:val="HChGChar"/>
          <w:sz w:val="18"/>
          <w:szCs w:val="18"/>
          <w:cs/>
          <w:lang w:bidi="km-KH"/>
        </w:rPr>
        <w:t>14.</w:t>
      </w:r>
    </w:p>
  </w:footnote>
  <w:footnote w:id="47">
    <w:p w14:paraId="23F34A2D" w14:textId="42706C02" w:rsidR="00374074" w:rsidRPr="00624943" w:rsidRDefault="00FB33DA" w:rsidP="00722B81">
      <w:pPr>
        <w:pStyle w:val="FootnoteText"/>
        <w:rPr>
          <w:cs/>
          <w:lang w:bidi="km-KH"/>
        </w:rPr>
      </w:pPr>
      <w:r>
        <w:tab/>
      </w:r>
      <w:r w:rsidR="00374074" w:rsidRPr="00624943">
        <w:rPr>
          <w:rStyle w:val="FootnoteReference"/>
        </w:rPr>
        <w:footnoteRef/>
      </w:r>
      <w:r>
        <w:tab/>
      </w:r>
      <w:r w:rsidR="00374074" w:rsidRPr="00FB33DA">
        <w:rPr>
          <w:szCs w:val="18"/>
        </w:rPr>
        <w:t xml:space="preserve">Royal Kram No. NS/RKM/0208/008, dated 21 September 1993 to promulgate the </w:t>
      </w:r>
      <w:r w:rsidR="00374074" w:rsidRPr="00FB33DA">
        <w:rPr>
          <w:rStyle w:val="HChGChar"/>
          <w:b w:val="0"/>
          <w:bCs/>
          <w:sz w:val="18"/>
          <w:szCs w:val="18"/>
          <w:lang w:bidi="km-KH"/>
        </w:rPr>
        <w:t>Constitution of the Kingdom of Cambodia, art.</w:t>
      </w:r>
      <w:r w:rsidR="00374074" w:rsidRPr="00FB33DA">
        <w:rPr>
          <w:rStyle w:val="HChGChar"/>
          <w:sz w:val="18"/>
          <w:szCs w:val="18"/>
          <w:lang w:bidi="km-KH"/>
        </w:rPr>
        <w:t xml:space="preserve"> </w:t>
      </w:r>
      <w:r w:rsidR="00374074" w:rsidRPr="00FB33DA">
        <w:rPr>
          <w:rStyle w:val="HChGChar"/>
          <w:sz w:val="18"/>
          <w:szCs w:val="18"/>
          <w:cs/>
          <w:lang w:bidi="km-KH"/>
        </w:rPr>
        <w:t>33.</w:t>
      </w:r>
    </w:p>
  </w:footnote>
  <w:footnote w:id="48">
    <w:p w14:paraId="477171DF" w14:textId="50903F5F" w:rsidR="00374074" w:rsidRPr="00624943" w:rsidRDefault="001D38B3" w:rsidP="001D38B3">
      <w:pPr>
        <w:pStyle w:val="FootnoteText"/>
        <w:rPr>
          <w:cs/>
          <w:lang w:bidi="km-KH"/>
        </w:rPr>
      </w:pPr>
      <w:r>
        <w:tab/>
      </w:r>
      <w:r w:rsidR="00374074" w:rsidRPr="00624943">
        <w:rPr>
          <w:rStyle w:val="FootnoteReference"/>
        </w:rPr>
        <w:footnoteRef/>
      </w:r>
      <w:r>
        <w:tab/>
      </w:r>
      <w:r w:rsidR="00374074" w:rsidRPr="001D38B3">
        <w:rPr>
          <w:rStyle w:val="HChGChar"/>
          <w:b w:val="0"/>
          <w:bCs/>
          <w:sz w:val="18"/>
          <w:szCs w:val="18"/>
          <w:lang w:bidi="km-KH"/>
        </w:rPr>
        <w:t>Ibid., art.</w:t>
      </w:r>
      <w:r w:rsidR="00374074" w:rsidRPr="001D38B3">
        <w:rPr>
          <w:rStyle w:val="HChGChar"/>
          <w:sz w:val="18"/>
          <w:szCs w:val="18"/>
          <w:lang w:bidi="km-KH"/>
        </w:rPr>
        <w:t xml:space="preserve"> </w:t>
      </w:r>
      <w:r w:rsidR="00374074" w:rsidRPr="001D38B3">
        <w:rPr>
          <w:rStyle w:val="HChGChar"/>
          <w:sz w:val="18"/>
          <w:szCs w:val="18"/>
          <w:cs/>
          <w:lang w:bidi="km-KH"/>
        </w:rPr>
        <w:t>40.</w:t>
      </w:r>
    </w:p>
  </w:footnote>
  <w:footnote w:id="49">
    <w:p w14:paraId="662A4376" w14:textId="259FD599" w:rsidR="00374074" w:rsidRPr="00624943" w:rsidRDefault="001D38B3" w:rsidP="001D38B3">
      <w:pPr>
        <w:pStyle w:val="FootnoteText"/>
        <w:rPr>
          <w:rStyle w:val="HChGChar"/>
          <w:sz w:val="20"/>
          <w:cs/>
          <w:lang w:bidi="km-KH"/>
        </w:rPr>
      </w:pPr>
      <w:r>
        <w:tab/>
      </w:r>
      <w:r w:rsidR="00374074" w:rsidRPr="00624943">
        <w:rPr>
          <w:rStyle w:val="FootnoteReference"/>
        </w:rPr>
        <w:footnoteRef/>
      </w:r>
      <w:r>
        <w:tab/>
      </w:r>
      <w:r w:rsidR="00374074" w:rsidRPr="00624943">
        <w:t xml:space="preserve">Sub-Decree No. 103 </w:t>
      </w:r>
      <w:r w:rsidR="00374074" w:rsidRPr="00624943">
        <w:rPr>
          <w:lang w:bidi="km-KH"/>
        </w:rPr>
        <w:t xml:space="preserve">ANKr.BK, dated 29 December 2000, </w:t>
      </w:r>
      <w:r w:rsidR="00374074" w:rsidRPr="00624943">
        <w:t>on the Civil Status.</w:t>
      </w:r>
    </w:p>
  </w:footnote>
  <w:footnote w:id="50">
    <w:p w14:paraId="7E6B02B2" w14:textId="3A57DC00" w:rsidR="00374074" w:rsidRPr="00624943" w:rsidRDefault="001D38B3" w:rsidP="001D38B3">
      <w:pPr>
        <w:pStyle w:val="FootnoteText"/>
        <w:rPr>
          <w:cs/>
          <w:lang w:bidi="km-KH"/>
        </w:rPr>
      </w:pPr>
      <w:r>
        <w:rPr>
          <w:rStyle w:val="HChGChar"/>
          <w:sz w:val="20"/>
          <w:lang w:bidi="km-KH"/>
        </w:rPr>
        <w:tab/>
      </w:r>
      <w:r w:rsidR="00374074" w:rsidRPr="00624943">
        <w:rPr>
          <w:rStyle w:val="FootnoteReference"/>
        </w:rPr>
        <w:footnoteRef/>
      </w:r>
      <w:r>
        <w:rPr>
          <w:rStyle w:val="HChGChar"/>
          <w:sz w:val="20"/>
          <w:lang w:bidi="km-KH"/>
        </w:rPr>
        <w:tab/>
      </w:r>
      <w:r w:rsidR="00374074" w:rsidRPr="001D38B3">
        <w:rPr>
          <w:rStyle w:val="HChGChar"/>
          <w:b w:val="0"/>
          <w:bCs/>
          <w:sz w:val="18"/>
          <w:szCs w:val="18"/>
          <w:lang w:bidi="km-KH"/>
        </w:rPr>
        <w:t xml:space="preserve">Royal Kram No. NS/RKM/1207/030, dated 8 December 2007 to promulgate the Civil Code of the Kingdom of Cambodia, art. </w:t>
      </w:r>
      <w:r w:rsidR="00374074" w:rsidRPr="001D38B3">
        <w:rPr>
          <w:rStyle w:val="HChGChar"/>
          <w:sz w:val="18"/>
          <w:szCs w:val="18"/>
          <w:cs/>
          <w:lang w:bidi="km-KH"/>
        </w:rPr>
        <w:t>985.</w:t>
      </w:r>
      <w:r w:rsidR="00374074" w:rsidRPr="00624943">
        <w:rPr>
          <w:cs/>
          <w:lang w:bidi="km-KH"/>
        </w:rPr>
        <w:t xml:space="preserve"> </w:t>
      </w:r>
    </w:p>
  </w:footnote>
  <w:footnote w:id="51">
    <w:p w14:paraId="6A535807" w14:textId="665B2F37" w:rsidR="00374074" w:rsidRPr="00624943" w:rsidRDefault="001D38B3" w:rsidP="001D38B3">
      <w:pPr>
        <w:pStyle w:val="FootnoteText"/>
        <w:rPr>
          <w:cs/>
          <w:lang w:bidi="km-KH"/>
        </w:rPr>
      </w:pPr>
      <w:r>
        <w:tab/>
      </w:r>
      <w:r w:rsidR="00374074" w:rsidRPr="00624943">
        <w:rPr>
          <w:rStyle w:val="FootnoteReference"/>
        </w:rPr>
        <w:footnoteRef/>
      </w:r>
      <w:r>
        <w:tab/>
      </w:r>
      <w:r w:rsidR="00374074" w:rsidRPr="001D38B3">
        <w:rPr>
          <w:rStyle w:val="HChGChar"/>
          <w:b w:val="0"/>
          <w:sz w:val="18"/>
          <w:szCs w:val="18"/>
          <w:lang w:bidi="km-KH"/>
        </w:rPr>
        <w:t xml:space="preserve">Notification Letter No. </w:t>
      </w:r>
      <w:r w:rsidR="00374074" w:rsidRPr="001D38B3">
        <w:rPr>
          <w:rStyle w:val="HChGChar"/>
          <w:b w:val="0"/>
          <w:sz w:val="18"/>
          <w:szCs w:val="18"/>
          <w:cs/>
          <w:lang w:bidi="km-KH"/>
        </w:rPr>
        <w:t xml:space="preserve">458 </w:t>
      </w:r>
      <w:r w:rsidR="00374074" w:rsidRPr="001D38B3">
        <w:rPr>
          <w:rStyle w:val="HChGChar"/>
          <w:b w:val="0"/>
          <w:sz w:val="18"/>
          <w:szCs w:val="18"/>
          <w:lang w:bidi="km-KH"/>
        </w:rPr>
        <w:t>SCN on the requests of statistics on persons with disabilities who have registered their births and received ID cards, and organizations working in the field of disability that have registered with the Ministry of Interior.</w:t>
      </w:r>
    </w:p>
  </w:footnote>
  <w:footnote w:id="52">
    <w:p w14:paraId="1A64FE01" w14:textId="575148CB" w:rsidR="00374074" w:rsidRPr="0034379F" w:rsidRDefault="001D38B3" w:rsidP="001D38B3">
      <w:pPr>
        <w:pStyle w:val="FootnoteText"/>
        <w:rPr>
          <w:szCs w:val="18"/>
          <w:cs/>
          <w:lang w:bidi="km-KH"/>
        </w:rPr>
      </w:pPr>
      <w:r>
        <w:tab/>
      </w:r>
      <w:r w:rsidR="00374074" w:rsidRPr="00624943">
        <w:rPr>
          <w:rStyle w:val="FootnoteReference"/>
        </w:rPr>
        <w:footnoteRef/>
      </w:r>
      <w:r>
        <w:tab/>
      </w:r>
      <w:r w:rsidR="00374074" w:rsidRPr="0034379F">
        <w:rPr>
          <w:szCs w:val="18"/>
          <w:lang w:bidi="km-KH"/>
        </w:rPr>
        <w:t>Report of the Department of Welfare for Persons with Disability (</w:t>
      </w:r>
      <w:r w:rsidR="00374074" w:rsidRPr="0034379F">
        <w:rPr>
          <w:szCs w:val="18"/>
          <w:cs/>
          <w:lang w:bidi="km-KH"/>
        </w:rPr>
        <w:t>2017</w:t>
      </w:r>
      <w:r w:rsidR="00374074" w:rsidRPr="0034379F">
        <w:rPr>
          <w:szCs w:val="18"/>
          <w:lang w:bidi="km-KH"/>
        </w:rPr>
        <w:t>)</w:t>
      </w:r>
      <w:r w:rsidR="00374074" w:rsidRPr="0034379F">
        <w:rPr>
          <w:szCs w:val="18"/>
          <w:cs/>
          <w:lang w:bidi="km-KH"/>
        </w:rPr>
        <w:t>.</w:t>
      </w:r>
    </w:p>
  </w:footnote>
  <w:footnote w:id="53">
    <w:p w14:paraId="2F7130B3" w14:textId="6ED1670B" w:rsidR="00374074" w:rsidRPr="00624943" w:rsidRDefault="001D38B3" w:rsidP="001D38B3">
      <w:pPr>
        <w:pStyle w:val="FootnoteText"/>
        <w:rPr>
          <w:cs/>
          <w:lang w:bidi="km-KH"/>
        </w:rPr>
      </w:pPr>
      <w:r>
        <w:tab/>
      </w:r>
      <w:r w:rsidR="00374074" w:rsidRPr="00624943">
        <w:rPr>
          <w:rStyle w:val="FootnoteReference"/>
        </w:rPr>
        <w:footnoteRef/>
      </w:r>
      <w:r>
        <w:tab/>
      </w:r>
      <w:r w:rsidR="00374074" w:rsidRPr="00624943">
        <w:t>Report of the Persons with Disabilities F</w:t>
      </w:r>
      <w:r w:rsidR="00374074">
        <w:t>oundation (</w:t>
      </w:r>
      <w:r w:rsidR="00374074" w:rsidRPr="00624943">
        <w:t>2016</w:t>
      </w:r>
      <w:r w:rsidR="00374074">
        <w:t>)</w:t>
      </w:r>
      <w:r w:rsidR="00374074" w:rsidRPr="00624943">
        <w:t xml:space="preserve">. </w:t>
      </w:r>
    </w:p>
  </w:footnote>
  <w:footnote w:id="54">
    <w:p w14:paraId="24660FAE" w14:textId="48CD3EC4" w:rsidR="00374074" w:rsidRPr="00624943" w:rsidRDefault="001D38B3" w:rsidP="001D38B3">
      <w:pPr>
        <w:pStyle w:val="FootnoteText"/>
        <w:rPr>
          <w:cs/>
          <w:lang w:bidi="km-KH"/>
        </w:rPr>
      </w:pPr>
      <w:r>
        <w:rPr>
          <w:lang w:bidi="km-KH"/>
        </w:rPr>
        <w:tab/>
      </w:r>
      <w:r w:rsidR="00374074" w:rsidRPr="00624943">
        <w:rPr>
          <w:rStyle w:val="FootnoteReference"/>
        </w:rPr>
        <w:footnoteRef/>
      </w:r>
      <w:r>
        <w:tab/>
      </w:r>
      <w:r w:rsidR="00374074" w:rsidRPr="00624943">
        <w:t>Prakas No. 1615</w:t>
      </w:r>
      <w:r w:rsidR="00374074">
        <w:rPr>
          <w:rFonts w:cs="DaunPenh"/>
          <w:szCs w:val="32"/>
          <w:lang w:bidi="km-KH"/>
        </w:rPr>
        <w:t>/MoSVY</w:t>
      </w:r>
      <w:r w:rsidR="00374074" w:rsidRPr="00525D65">
        <w:t>, dated 16 June 2014</w:t>
      </w:r>
      <w:r w:rsidR="00374074" w:rsidRPr="00624943">
        <w:t xml:space="preserve"> on the Implementation of the Policy Regime for Persons with Disabilities</w:t>
      </w:r>
      <w:r w:rsidR="00374074">
        <w:t xml:space="preserve"> living in situation of poverty and R</w:t>
      </w:r>
      <w:r w:rsidR="00374074" w:rsidRPr="00624943">
        <w:t>eceive Services at the State-run Rehabilitation Cent</w:t>
      </w:r>
      <w:r w:rsidR="00374074" w:rsidRPr="00525D65">
        <w:t>er</w:t>
      </w:r>
      <w:r w:rsidR="00374074" w:rsidRPr="00624943">
        <w:t>.</w:t>
      </w:r>
    </w:p>
  </w:footnote>
  <w:footnote w:id="55">
    <w:p w14:paraId="7A745914" w14:textId="53215FD8" w:rsidR="00374074" w:rsidRPr="00624943" w:rsidRDefault="001D38B3" w:rsidP="001D38B3">
      <w:pPr>
        <w:pStyle w:val="FootnoteText"/>
        <w:rPr>
          <w:cs/>
          <w:lang w:bidi="km-KH"/>
        </w:rPr>
      </w:pPr>
      <w:r>
        <w:rPr>
          <w:lang w:bidi="km-KH"/>
        </w:rPr>
        <w:tab/>
      </w:r>
      <w:r w:rsidR="00374074" w:rsidRPr="00624943">
        <w:rPr>
          <w:rStyle w:val="FootnoteReference"/>
        </w:rPr>
        <w:footnoteRef/>
      </w:r>
      <w:r>
        <w:tab/>
      </w:r>
      <w:r w:rsidR="00374074" w:rsidRPr="0034379F">
        <w:rPr>
          <w:rStyle w:val="HChGChar"/>
          <w:b w:val="0"/>
          <w:bCs/>
          <w:color w:val="000000"/>
          <w:sz w:val="18"/>
          <w:szCs w:val="18"/>
          <w:lang w:bidi="km-KH"/>
        </w:rPr>
        <w:t>The postal service price list of the Ministry of Posts and Telecommunications</w:t>
      </w:r>
      <w:r w:rsidR="00374074" w:rsidRPr="0034379F">
        <w:rPr>
          <w:rStyle w:val="HChGChar"/>
          <w:b w:val="0"/>
          <w:bCs/>
          <w:color w:val="000000"/>
          <w:sz w:val="18"/>
          <w:szCs w:val="18"/>
          <w:cs/>
          <w:lang w:bidi="km-KH"/>
        </w:rPr>
        <w:t>.</w:t>
      </w:r>
    </w:p>
  </w:footnote>
  <w:footnote w:id="56">
    <w:p w14:paraId="5C8A506C" w14:textId="073AB271" w:rsidR="00374074" w:rsidRPr="00624943" w:rsidRDefault="009D2F0A" w:rsidP="009D2F0A">
      <w:pPr>
        <w:pStyle w:val="FootnoteText"/>
        <w:rPr>
          <w:lang w:bidi="km-KH"/>
        </w:rPr>
      </w:pPr>
      <w:r>
        <w:tab/>
      </w:r>
      <w:r w:rsidR="00374074" w:rsidRPr="00624943">
        <w:rPr>
          <w:rStyle w:val="FootnoteReference"/>
        </w:rPr>
        <w:footnoteRef/>
      </w:r>
      <w:r>
        <w:tab/>
      </w:r>
      <w:r w:rsidR="00374074" w:rsidRPr="00624943">
        <w:t>Draft Law on Access to Information.</w:t>
      </w:r>
    </w:p>
  </w:footnote>
  <w:footnote w:id="57">
    <w:p w14:paraId="413C1853" w14:textId="7EAC7876" w:rsidR="00374074" w:rsidRPr="00624943" w:rsidRDefault="009D2F0A" w:rsidP="009D2F0A">
      <w:pPr>
        <w:pStyle w:val="FootnoteText"/>
      </w:pPr>
      <w:r>
        <w:tab/>
      </w:r>
      <w:r w:rsidR="00374074" w:rsidRPr="00624943">
        <w:rPr>
          <w:rStyle w:val="FootnoteReference"/>
        </w:rPr>
        <w:footnoteRef/>
      </w:r>
      <w:r>
        <w:tab/>
      </w:r>
      <w:r w:rsidR="00374074" w:rsidRPr="00EC137E">
        <w:t>Royal Kram No. NS/RK</w:t>
      </w:r>
      <w:r w:rsidR="00374074">
        <w:t>M</w:t>
      </w:r>
      <w:r w:rsidR="00374074" w:rsidRPr="00EC137E">
        <w:t xml:space="preserve">/0208/008, dated 21 September 1993 to promulgate the </w:t>
      </w:r>
      <w:r w:rsidR="00374074" w:rsidRPr="00624943">
        <w:t>Constitution of the Kingdom of Cambodia, art. 31.</w:t>
      </w:r>
    </w:p>
  </w:footnote>
  <w:footnote w:id="58">
    <w:p w14:paraId="397E00DE" w14:textId="6E361B6B" w:rsidR="00374074" w:rsidRPr="00624943" w:rsidRDefault="009D2F0A" w:rsidP="009D2F0A">
      <w:pPr>
        <w:pStyle w:val="FootnoteText"/>
      </w:pPr>
      <w:r>
        <w:rPr>
          <w:cs/>
          <w:lang w:bidi="km-KH"/>
        </w:rPr>
        <w:tab/>
      </w:r>
      <w:r w:rsidR="00374074" w:rsidRPr="00624943">
        <w:rPr>
          <w:rStyle w:val="FootnoteReference"/>
        </w:rPr>
        <w:footnoteRef/>
      </w:r>
      <w:r>
        <w:rPr>
          <w:cs/>
          <w:lang w:bidi="km-KH"/>
        </w:rPr>
        <w:tab/>
      </w:r>
      <w:r w:rsidR="00374074" w:rsidRPr="00EF08E3">
        <w:t>Royal Kram No. NS/RK</w:t>
      </w:r>
      <w:r w:rsidR="00374074">
        <w:t>M</w:t>
      </w:r>
      <w:r w:rsidR="00374074" w:rsidRPr="00EF08E3">
        <w:t>/0702/015, dated 29 July 2002 to promulgate the</w:t>
      </w:r>
      <w:r w:rsidR="00374074" w:rsidRPr="00EF08E3">
        <w:rPr>
          <w:rStyle w:val="HChGChar"/>
          <w:b w:val="0"/>
          <w:bCs/>
          <w:sz w:val="20"/>
          <w:cs/>
          <w:lang w:bidi="km-KH"/>
        </w:rPr>
        <w:t xml:space="preserve"> </w:t>
      </w:r>
      <w:r w:rsidR="00374074" w:rsidRPr="00624943">
        <w:rPr>
          <w:rStyle w:val="HChGChar"/>
          <w:b w:val="0"/>
          <w:bCs/>
          <w:sz w:val="20"/>
          <w:lang w:bidi="km-KH"/>
        </w:rPr>
        <w:t>Law on Prevention and Control of HIV/AIDS, art.</w:t>
      </w:r>
      <w:r w:rsidR="00374074" w:rsidRPr="00624943">
        <w:rPr>
          <w:rStyle w:val="HChGChar"/>
          <w:b w:val="0"/>
          <w:bCs/>
          <w:sz w:val="20"/>
          <w:cs/>
          <w:lang w:bidi="km-KH"/>
        </w:rPr>
        <w:t xml:space="preserve"> </w:t>
      </w:r>
      <w:r w:rsidR="00374074" w:rsidRPr="00624943">
        <w:rPr>
          <w:rStyle w:val="HChGChar"/>
          <w:sz w:val="20"/>
          <w:cs/>
          <w:lang w:bidi="km-KH"/>
        </w:rPr>
        <w:t>19.</w:t>
      </w:r>
    </w:p>
  </w:footnote>
  <w:footnote w:id="59">
    <w:p w14:paraId="31F420E3" w14:textId="6FE60553" w:rsidR="00374074" w:rsidRPr="00624943" w:rsidRDefault="009D2F0A" w:rsidP="00374074">
      <w:pPr>
        <w:pStyle w:val="FootnoteText"/>
      </w:pPr>
      <w:r>
        <w:tab/>
      </w:r>
      <w:r w:rsidR="00374074" w:rsidRPr="00573AC7">
        <w:rPr>
          <w:rStyle w:val="FootnoteReference"/>
        </w:rPr>
        <w:footnoteRef/>
      </w:r>
      <w:r>
        <w:tab/>
      </w:r>
      <w:r w:rsidR="00374074" w:rsidRPr="0070365F">
        <w:t>Royal Kram No. NS/RK</w:t>
      </w:r>
      <w:r w:rsidR="00374074">
        <w:t>M</w:t>
      </w:r>
      <w:r w:rsidR="00374074" w:rsidRPr="0070365F">
        <w:t>/0208/008, dated 21 September 1993 to promulgate the</w:t>
      </w:r>
      <w:r w:rsidR="00374074" w:rsidRPr="00737D36">
        <w:t xml:space="preserve"> </w:t>
      </w:r>
      <w:r w:rsidR="00374074" w:rsidRPr="00624943">
        <w:t>Constitution of the Kingdom of Cambodia, art. 45.</w:t>
      </w:r>
    </w:p>
  </w:footnote>
  <w:footnote w:id="60">
    <w:p w14:paraId="7D9E6EF1" w14:textId="0A26F0E1" w:rsidR="00374074" w:rsidRPr="00624943" w:rsidRDefault="009D2F0A" w:rsidP="009D2F0A">
      <w:pPr>
        <w:pStyle w:val="FootnoteText"/>
        <w:rPr>
          <w:cs/>
          <w:lang w:bidi="km-KH"/>
        </w:rPr>
      </w:pPr>
      <w:r>
        <w:tab/>
      </w:r>
      <w:r w:rsidR="00374074" w:rsidRPr="00624943">
        <w:rPr>
          <w:rStyle w:val="FootnoteReference"/>
        </w:rPr>
        <w:footnoteRef/>
      </w:r>
      <w:r>
        <w:tab/>
      </w:r>
      <w:r w:rsidR="00374074" w:rsidRPr="009D2F0A">
        <w:rPr>
          <w:szCs w:val="18"/>
        </w:rPr>
        <w:t xml:space="preserve">Royal Kram No. NS/RKM/0709/010, dated 3 July 2009 to promulgate the </w:t>
      </w:r>
      <w:r w:rsidR="00374074" w:rsidRPr="009D2F0A">
        <w:rPr>
          <w:rStyle w:val="HChGChar"/>
          <w:b w:val="0"/>
          <w:bCs/>
          <w:sz w:val="18"/>
          <w:szCs w:val="18"/>
          <w:lang w:bidi="km-KH"/>
        </w:rPr>
        <w:t>Law on the Protection and the Promotion of the Rights of Persons with Disabilities,</w:t>
      </w:r>
      <w:r w:rsidR="00374074" w:rsidRPr="009D2F0A">
        <w:rPr>
          <w:rStyle w:val="HChGChar"/>
          <w:b w:val="0"/>
          <w:bCs/>
          <w:sz w:val="18"/>
          <w:szCs w:val="18"/>
          <w:cs/>
          <w:lang w:bidi="km-KH"/>
        </w:rPr>
        <w:t xml:space="preserve"> </w:t>
      </w:r>
      <w:r w:rsidR="00374074" w:rsidRPr="009D2F0A">
        <w:rPr>
          <w:rStyle w:val="HChGChar"/>
          <w:b w:val="0"/>
          <w:bCs/>
          <w:sz w:val="18"/>
          <w:szCs w:val="18"/>
          <w:lang w:bidi="km-KH"/>
        </w:rPr>
        <w:t>chapter</w:t>
      </w:r>
      <w:r w:rsidR="00374074" w:rsidRPr="009D2F0A">
        <w:rPr>
          <w:rStyle w:val="HChGChar"/>
          <w:sz w:val="18"/>
          <w:szCs w:val="18"/>
          <w:lang w:bidi="km-KH"/>
        </w:rPr>
        <w:t xml:space="preserve"> </w:t>
      </w:r>
      <w:r w:rsidR="00374074" w:rsidRPr="009D2F0A">
        <w:rPr>
          <w:rStyle w:val="HChGChar"/>
          <w:sz w:val="18"/>
          <w:szCs w:val="18"/>
          <w:cs/>
          <w:lang w:bidi="km-KH"/>
        </w:rPr>
        <w:t>12</w:t>
      </w:r>
      <w:r w:rsidR="00374074" w:rsidRPr="009D2F0A">
        <w:rPr>
          <w:rStyle w:val="HChGChar"/>
          <w:sz w:val="18"/>
          <w:szCs w:val="18"/>
          <w:lang w:bidi="km-KH"/>
        </w:rPr>
        <w:t>,</w:t>
      </w:r>
      <w:r w:rsidR="00374074" w:rsidRPr="009D2F0A">
        <w:rPr>
          <w:rStyle w:val="HChGChar"/>
          <w:sz w:val="18"/>
          <w:szCs w:val="18"/>
          <w:cs/>
          <w:lang w:bidi="km-KH"/>
        </w:rPr>
        <w:t xml:space="preserve"> </w:t>
      </w:r>
      <w:r w:rsidR="00374074" w:rsidRPr="009D2F0A">
        <w:rPr>
          <w:rStyle w:val="HChGChar"/>
          <w:b w:val="0"/>
          <w:bCs/>
          <w:sz w:val="18"/>
          <w:szCs w:val="18"/>
          <w:lang w:bidi="km-KH"/>
        </w:rPr>
        <w:t>art.</w:t>
      </w:r>
      <w:r w:rsidR="00374074" w:rsidRPr="009D2F0A">
        <w:rPr>
          <w:rStyle w:val="HChGChar"/>
          <w:sz w:val="18"/>
          <w:szCs w:val="18"/>
          <w:lang w:bidi="km-KH"/>
        </w:rPr>
        <w:t xml:space="preserve"> </w:t>
      </w:r>
      <w:r w:rsidR="00374074" w:rsidRPr="009D2F0A">
        <w:rPr>
          <w:rStyle w:val="HChGChar"/>
          <w:sz w:val="18"/>
          <w:szCs w:val="18"/>
          <w:cs/>
          <w:lang w:bidi="km-KH"/>
        </w:rPr>
        <w:t>50.</w:t>
      </w:r>
    </w:p>
  </w:footnote>
  <w:footnote w:id="61">
    <w:p w14:paraId="42130285" w14:textId="3E16D079" w:rsidR="00374074" w:rsidRPr="00624943" w:rsidRDefault="009D2F0A" w:rsidP="009D2F0A">
      <w:pPr>
        <w:pStyle w:val="FootnoteText"/>
        <w:rPr>
          <w:color w:val="000000" w:themeColor="text1"/>
        </w:rPr>
      </w:pPr>
      <w:r>
        <w:rPr>
          <w:color w:val="000000" w:themeColor="text1"/>
        </w:rPr>
        <w:tab/>
      </w:r>
      <w:r w:rsidR="00374074" w:rsidRPr="00624943">
        <w:rPr>
          <w:rStyle w:val="FootnoteReference"/>
          <w:color w:val="000000" w:themeColor="text1"/>
          <w:sz w:val="20"/>
        </w:rPr>
        <w:footnoteRef/>
      </w:r>
      <w:r>
        <w:rPr>
          <w:color w:val="000000" w:themeColor="text1"/>
        </w:rPr>
        <w:tab/>
      </w:r>
      <w:r w:rsidR="00374074" w:rsidRPr="009D2F0A">
        <w:rPr>
          <w:rStyle w:val="HChGChar"/>
          <w:b w:val="0"/>
          <w:bCs/>
          <w:sz w:val="18"/>
          <w:szCs w:val="18"/>
          <w:lang w:bidi="km-KH"/>
        </w:rPr>
        <w:t>Cambodia Inter-Censal Population Survey</w:t>
      </w:r>
      <w:r w:rsidR="00374074" w:rsidRPr="009D2F0A">
        <w:rPr>
          <w:color w:val="000000" w:themeColor="text1"/>
          <w:szCs w:val="18"/>
        </w:rPr>
        <w:t>, Analysis of the results of CIPS Report 5 – Disability (2013).</w:t>
      </w:r>
    </w:p>
  </w:footnote>
  <w:footnote w:id="62">
    <w:p w14:paraId="6E54829A" w14:textId="72BA3307" w:rsidR="00374074" w:rsidRPr="00624943" w:rsidDel="0040750B" w:rsidRDefault="009D2F0A" w:rsidP="00374074">
      <w:pPr>
        <w:pStyle w:val="FootnoteText"/>
        <w:rPr>
          <w:rFonts w:cs="DaunPenh"/>
          <w:szCs w:val="32"/>
          <w:lang w:bidi="km-KH"/>
        </w:rPr>
      </w:pPr>
      <w:r>
        <w:tab/>
      </w:r>
      <w:r w:rsidR="00374074" w:rsidRPr="00573AC7" w:rsidDel="0040750B">
        <w:rPr>
          <w:rStyle w:val="FootnoteReference"/>
        </w:rPr>
        <w:footnoteRef/>
      </w:r>
      <w:r>
        <w:tab/>
      </w:r>
      <w:r w:rsidR="00374074">
        <w:rPr>
          <w:rFonts w:eastAsiaTheme="minorEastAsia" w:cs="DaunPenh"/>
          <w:szCs w:val="32"/>
          <w:lang w:val="en-US" w:eastAsia="zh-CN" w:bidi="km-KH"/>
        </w:rPr>
        <w:t xml:space="preserve">Royal Kram NS/RKM/1207/032, dated 8 December 2007 to promulgate the </w:t>
      </w:r>
      <w:r w:rsidR="00374074" w:rsidRPr="00624943">
        <w:t>Law on Education</w:t>
      </w:r>
      <w:r w:rsidR="00374074" w:rsidRPr="007704DC">
        <w:t>,</w:t>
      </w:r>
      <w:r w:rsidR="00374074" w:rsidRPr="00624943">
        <w:t xml:space="preserve"> art. 39</w:t>
      </w:r>
      <w:r w:rsidR="00374074">
        <w:rPr>
          <w:rFonts w:cs="DaunPenh"/>
          <w:szCs w:val="32"/>
          <w:lang w:bidi="km-KH"/>
        </w:rPr>
        <w:t>.</w:t>
      </w:r>
    </w:p>
  </w:footnote>
  <w:footnote w:id="63">
    <w:p w14:paraId="3B23496E" w14:textId="310C1867" w:rsidR="00374074" w:rsidRPr="00624943" w:rsidRDefault="009D2F0A" w:rsidP="009D2F0A">
      <w:pPr>
        <w:pStyle w:val="FootnoteText"/>
        <w:rPr>
          <w:cs/>
          <w:lang w:bidi="km-KH"/>
        </w:rPr>
      </w:pPr>
      <w:r>
        <w:tab/>
      </w:r>
      <w:r w:rsidR="00374074" w:rsidRPr="00624943">
        <w:rPr>
          <w:rStyle w:val="FootnoteReference"/>
        </w:rPr>
        <w:footnoteRef/>
      </w:r>
      <w:r>
        <w:tab/>
      </w:r>
      <w:r w:rsidR="00374074" w:rsidRPr="009D2F0A">
        <w:rPr>
          <w:rFonts w:cs="DaunPenh"/>
          <w:szCs w:val="18"/>
          <w:lang w:bidi="km-KH"/>
        </w:rPr>
        <w:t>Congress of MoEYS reviewing performance in</w:t>
      </w:r>
      <w:r w:rsidR="00374074" w:rsidRPr="009D2F0A">
        <w:rPr>
          <w:szCs w:val="18"/>
          <w:lang w:bidi="km-KH"/>
        </w:rPr>
        <w:t xml:space="preserve"> </w:t>
      </w:r>
      <w:r w:rsidR="00374074" w:rsidRPr="009D2F0A">
        <w:rPr>
          <w:rFonts w:cs="DaunPenh"/>
          <w:szCs w:val="18"/>
          <w:lang w:bidi="km-KH"/>
        </w:rPr>
        <w:t>2</w:t>
      </w:r>
      <w:r w:rsidR="00374074" w:rsidRPr="009D2F0A">
        <w:rPr>
          <w:rStyle w:val="HChGChar"/>
          <w:b w:val="0"/>
          <w:sz w:val="18"/>
          <w:szCs w:val="18"/>
          <w:lang w:bidi="km-KH"/>
        </w:rPr>
        <w:t>016-2017 and direction for 2017-2018.</w:t>
      </w:r>
      <w:r w:rsidR="00374074" w:rsidRPr="00624943">
        <w:t xml:space="preserve"> </w:t>
      </w:r>
    </w:p>
  </w:footnote>
  <w:footnote w:id="64">
    <w:p w14:paraId="53C4C1A0" w14:textId="0A7824B9" w:rsidR="00374074" w:rsidRPr="00624943" w:rsidRDefault="009D2F0A" w:rsidP="009D2F0A">
      <w:pPr>
        <w:pStyle w:val="FootnoteText"/>
        <w:rPr>
          <w:cs/>
          <w:lang w:bidi="km-KH"/>
        </w:rPr>
      </w:pPr>
      <w:r>
        <w:tab/>
      </w:r>
      <w:r w:rsidR="00374074" w:rsidRPr="00624943">
        <w:rPr>
          <w:rStyle w:val="FootnoteReference"/>
        </w:rPr>
        <w:footnoteRef/>
      </w:r>
      <w:r>
        <w:tab/>
      </w:r>
      <w:r w:rsidR="00374074">
        <w:t>Ibid.</w:t>
      </w:r>
    </w:p>
  </w:footnote>
  <w:footnote w:id="65">
    <w:p w14:paraId="3E44E799" w14:textId="68358E93" w:rsidR="00374074" w:rsidRPr="00FB38F9" w:rsidRDefault="00FB38F9" w:rsidP="00FB38F9">
      <w:pPr>
        <w:pStyle w:val="FootnoteText"/>
        <w:rPr>
          <w:rFonts w:asciiTheme="majorBidi" w:hAnsiTheme="majorBidi" w:cstheme="majorBidi"/>
          <w:szCs w:val="18"/>
          <w:cs/>
          <w:lang w:bidi="km-KH"/>
        </w:rPr>
      </w:pPr>
      <w:r>
        <w:tab/>
      </w:r>
      <w:r w:rsidR="00374074" w:rsidRPr="00624943">
        <w:rPr>
          <w:rStyle w:val="FootnoteReference"/>
        </w:rPr>
        <w:footnoteRef/>
      </w:r>
      <w:r>
        <w:tab/>
      </w:r>
      <w:r w:rsidR="00374074" w:rsidRPr="00FB38F9">
        <w:rPr>
          <w:rStyle w:val="HChGChar"/>
          <w:rFonts w:asciiTheme="majorBidi" w:hAnsiTheme="majorBidi" w:cstheme="majorBidi"/>
          <w:b w:val="0"/>
          <w:sz w:val="18"/>
          <w:szCs w:val="18"/>
          <w:lang w:bidi="km-KH"/>
        </w:rPr>
        <w:t>Report of the Ministry of Education Youth and Sport 2013-2014</w:t>
      </w:r>
      <w:r w:rsidR="00374074" w:rsidRPr="00FB38F9">
        <w:rPr>
          <w:rStyle w:val="HChGChar"/>
          <w:rFonts w:asciiTheme="majorBidi" w:hAnsiTheme="majorBidi" w:cstheme="majorBidi"/>
          <w:b w:val="0"/>
          <w:sz w:val="18"/>
          <w:szCs w:val="18"/>
          <w:cs/>
          <w:lang w:bidi="km-KH"/>
        </w:rPr>
        <w:t>.</w:t>
      </w:r>
    </w:p>
  </w:footnote>
  <w:footnote w:id="66">
    <w:p w14:paraId="7475B591" w14:textId="65D76A54" w:rsidR="00374074" w:rsidRPr="00624943" w:rsidRDefault="00FB38F9" w:rsidP="00FB38F9">
      <w:pPr>
        <w:pStyle w:val="FootnoteText"/>
        <w:rPr>
          <w:cs/>
          <w:lang w:bidi="km-KH"/>
        </w:rPr>
      </w:pPr>
      <w:r>
        <w:rPr>
          <w:lang w:bidi="km-KH"/>
        </w:rPr>
        <w:tab/>
      </w:r>
      <w:r w:rsidR="00374074" w:rsidRPr="00624943">
        <w:rPr>
          <w:rStyle w:val="FootnoteReference"/>
        </w:rPr>
        <w:footnoteRef/>
      </w:r>
      <w:r>
        <w:tab/>
      </w:r>
      <w:r w:rsidR="00374074" w:rsidRPr="00FB38F9">
        <w:rPr>
          <w:szCs w:val="18"/>
        </w:rPr>
        <w:t xml:space="preserve">Royal Kram No. NS/RKM/0208/008, dated 21 September 1993 to promulgate the </w:t>
      </w:r>
      <w:r w:rsidR="00374074" w:rsidRPr="00FB38F9">
        <w:rPr>
          <w:rStyle w:val="HChGChar"/>
          <w:b w:val="0"/>
          <w:bCs/>
          <w:sz w:val="18"/>
          <w:szCs w:val="18"/>
          <w:lang w:bidi="km-KH"/>
        </w:rPr>
        <w:t>Constitution of the Kingdom of Cambodia, art.</w:t>
      </w:r>
      <w:r w:rsidR="00374074" w:rsidRPr="00FB38F9">
        <w:rPr>
          <w:rStyle w:val="HChGChar"/>
          <w:sz w:val="18"/>
          <w:szCs w:val="18"/>
          <w:lang w:bidi="km-KH"/>
        </w:rPr>
        <w:t xml:space="preserve"> </w:t>
      </w:r>
      <w:r w:rsidR="00374074" w:rsidRPr="00FB38F9">
        <w:rPr>
          <w:rStyle w:val="HChGChar"/>
          <w:sz w:val="18"/>
          <w:szCs w:val="18"/>
          <w:cs/>
          <w:lang w:bidi="km-KH"/>
        </w:rPr>
        <w:t>72.</w:t>
      </w:r>
    </w:p>
  </w:footnote>
  <w:footnote w:id="67">
    <w:p w14:paraId="62C36579" w14:textId="1850C958" w:rsidR="00374074" w:rsidRPr="00113813" w:rsidDel="00241DED" w:rsidRDefault="00FB38F9" w:rsidP="00FB38F9">
      <w:pPr>
        <w:pStyle w:val="FootnoteText"/>
        <w:rPr>
          <w:rFonts w:cs="DaunPenh"/>
          <w:szCs w:val="32"/>
          <w:lang w:val="en-US" w:bidi="km-KH"/>
        </w:rPr>
      </w:pPr>
      <w:r>
        <w:tab/>
      </w:r>
      <w:r w:rsidR="00374074" w:rsidDel="00241DED">
        <w:rPr>
          <w:rStyle w:val="FootnoteReference"/>
        </w:rPr>
        <w:footnoteRef/>
      </w:r>
      <w:r>
        <w:tab/>
      </w:r>
      <w:r w:rsidR="00374074">
        <w:t>A</w:t>
      </w:r>
      <w:r w:rsidR="00374074">
        <w:rPr>
          <w:lang w:val="en-US"/>
        </w:rPr>
        <w:t xml:space="preserve">chievement report of the </w:t>
      </w:r>
      <w:r w:rsidR="00374074">
        <w:t xml:space="preserve">Ministry of Health </w:t>
      </w:r>
      <w:r w:rsidR="00374074" w:rsidDel="00241DED">
        <w:rPr>
          <w:lang w:val="en-US"/>
        </w:rPr>
        <w:t>in 2019, and</w:t>
      </w:r>
      <w:r w:rsidR="00374074">
        <w:rPr>
          <w:rFonts w:hint="cs"/>
          <w:cs/>
          <w:lang w:val="en-US" w:bidi="km-KH"/>
        </w:rPr>
        <w:t xml:space="preserve"> </w:t>
      </w:r>
      <w:r w:rsidR="00374074">
        <w:rPr>
          <w:rFonts w:cs="DaunPenh"/>
          <w:szCs w:val="32"/>
          <w:lang w:val="en-US" w:bidi="km-KH"/>
        </w:rPr>
        <w:t>direction</w:t>
      </w:r>
      <w:r w:rsidR="00374074">
        <w:rPr>
          <w:lang w:val="en-US"/>
        </w:rPr>
        <w:t xml:space="preserve"> </w:t>
      </w:r>
      <w:r w:rsidR="00374074">
        <w:rPr>
          <w:rFonts w:cs="DaunPenh"/>
          <w:szCs w:val="32"/>
          <w:lang w:val="en-US" w:bidi="km-KH"/>
        </w:rPr>
        <w:t>for</w:t>
      </w:r>
      <w:r w:rsidR="00374074">
        <w:rPr>
          <w:lang w:val="en-US"/>
        </w:rPr>
        <w:t xml:space="preserve"> 2020</w:t>
      </w:r>
      <w:r w:rsidR="00374074">
        <w:rPr>
          <w:rFonts w:cs="DaunPenh"/>
          <w:szCs w:val="32"/>
          <w:lang w:val="en-US" w:bidi="km-KH"/>
        </w:rPr>
        <w:t>.</w:t>
      </w:r>
    </w:p>
  </w:footnote>
  <w:footnote w:id="68">
    <w:p w14:paraId="7D18BF13" w14:textId="517B2B94" w:rsidR="00374074" w:rsidRDefault="00FB38F9" w:rsidP="00374074">
      <w:pPr>
        <w:pStyle w:val="FootnoteText"/>
      </w:pPr>
      <w:r>
        <w:rPr>
          <w:lang w:val="en-US"/>
        </w:rPr>
        <w:tab/>
      </w:r>
      <w:r w:rsidR="00374074">
        <w:rPr>
          <w:rStyle w:val="FootnoteReference"/>
        </w:rPr>
        <w:footnoteRef/>
      </w:r>
      <w:r>
        <w:tab/>
      </w:r>
      <w:r w:rsidR="00374074" w:rsidRPr="00EA4E3A">
        <w:t>Ministry of Health Instruction No. 096 ABS/MP dated 19 November 2015, on Strengthening and Expanding Free Medical Examination and Treatment for Persons with Disabilities and Elderly People.</w:t>
      </w:r>
    </w:p>
  </w:footnote>
  <w:footnote w:id="69">
    <w:p w14:paraId="3967403A" w14:textId="2D7C5A1E" w:rsidR="00374074" w:rsidRPr="00624943" w:rsidRDefault="00FB38F9" w:rsidP="00FB38F9">
      <w:pPr>
        <w:pStyle w:val="FootnoteText"/>
        <w:rPr>
          <w:cs/>
          <w:lang w:bidi="km-KH"/>
        </w:rPr>
      </w:pPr>
      <w:r>
        <w:tab/>
      </w:r>
      <w:r w:rsidR="00374074" w:rsidRPr="00624943">
        <w:rPr>
          <w:rStyle w:val="FootnoteReference"/>
        </w:rPr>
        <w:footnoteRef/>
      </w:r>
      <w:r>
        <w:tab/>
      </w:r>
      <w:r w:rsidR="00374074" w:rsidRPr="00FB38F9">
        <w:rPr>
          <w:szCs w:val="18"/>
        </w:rPr>
        <w:t>Ministry of Health, Instruction No. 077 ABS/MP, dated 11 September 2017, on Providing Health Services to Persons with Disabilities.</w:t>
      </w:r>
    </w:p>
  </w:footnote>
  <w:footnote w:id="70">
    <w:p w14:paraId="4917C284" w14:textId="389EF53D" w:rsidR="00374074" w:rsidRPr="00FB38F9" w:rsidRDefault="00FB38F9" w:rsidP="00FB38F9">
      <w:pPr>
        <w:pStyle w:val="FootnoteText"/>
        <w:rPr>
          <w:rFonts w:asciiTheme="majorBidi" w:hAnsiTheme="majorBidi" w:cstheme="majorBidi"/>
          <w:szCs w:val="18"/>
        </w:rPr>
      </w:pPr>
      <w:r>
        <w:rPr>
          <w:rFonts w:asciiTheme="majorBidi" w:hAnsiTheme="majorBidi" w:cstheme="majorBidi"/>
          <w:lang w:bidi="km-KH"/>
        </w:rPr>
        <w:tab/>
      </w:r>
      <w:r w:rsidR="00374074" w:rsidRPr="009A7C62">
        <w:rPr>
          <w:rStyle w:val="FootnoteReference"/>
          <w:rFonts w:asciiTheme="majorBidi" w:hAnsiTheme="majorBidi" w:cstheme="majorBidi"/>
        </w:rPr>
        <w:footnoteRef/>
      </w:r>
      <w:r>
        <w:rPr>
          <w:rFonts w:asciiTheme="majorBidi" w:hAnsiTheme="majorBidi" w:cstheme="majorBidi"/>
        </w:rPr>
        <w:tab/>
      </w:r>
      <w:r w:rsidR="00374074" w:rsidRPr="00FB38F9">
        <w:rPr>
          <w:rFonts w:asciiTheme="majorBidi" w:hAnsiTheme="majorBidi" w:cstheme="majorBidi"/>
          <w:szCs w:val="18"/>
        </w:rPr>
        <w:t xml:space="preserve">Ministry of Health, </w:t>
      </w:r>
      <w:r w:rsidR="00374074" w:rsidRPr="00FB38F9">
        <w:rPr>
          <w:rStyle w:val="HChGChar"/>
          <w:rFonts w:asciiTheme="majorBidi" w:hAnsiTheme="majorBidi" w:cstheme="majorBidi"/>
          <w:b w:val="0"/>
          <w:bCs/>
          <w:sz w:val="18"/>
          <w:szCs w:val="18"/>
          <w:lang w:bidi="km-KH"/>
        </w:rPr>
        <w:t>Information from the Technical</w:t>
      </w:r>
      <w:r w:rsidR="00374074" w:rsidRPr="00FB38F9">
        <w:rPr>
          <w:rStyle w:val="HChGChar"/>
          <w:rFonts w:asciiTheme="majorBidi" w:hAnsiTheme="majorBidi" w:cstheme="majorBidi"/>
          <w:sz w:val="18"/>
          <w:szCs w:val="18"/>
          <w:lang w:bidi="km-KH"/>
        </w:rPr>
        <w:t xml:space="preserve"> </w:t>
      </w:r>
      <w:r w:rsidR="00374074" w:rsidRPr="00FB38F9">
        <w:rPr>
          <w:rStyle w:val="HChGChar"/>
          <w:rFonts w:asciiTheme="majorBidi" w:hAnsiTheme="majorBidi" w:cstheme="majorBidi"/>
          <w:b w:val="0"/>
          <w:bCs/>
          <w:sz w:val="18"/>
          <w:szCs w:val="18"/>
          <w:lang w:bidi="km-KH"/>
        </w:rPr>
        <w:t>Directorate General.</w:t>
      </w:r>
    </w:p>
  </w:footnote>
  <w:footnote w:id="71">
    <w:p w14:paraId="2F8E2CCD" w14:textId="0E53FBC0" w:rsidR="00374074" w:rsidRPr="00FB38F9" w:rsidRDefault="00FB38F9" w:rsidP="00FB38F9">
      <w:pPr>
        <w:pStyle w:val="FootnoteText"/>
        <w:rPr>
          <w:rFonts w:asciiTheme="majorBidi" w:hAnsiTheme="majorBidi" w:cstheme="majorBidi"/>
          <w:bCs/>
          <w:szCs w:val="18"/>
          <w:cs/>
          <w:lang w:bidi="km-KH"/>
        </w:rPr>
      </w:pPr>
      <w:r>
        <w:rPr>
          <w:rStyle w:val="HChGChar"/>
          <w:rFonts w:asciiTheme="majorBidi" w:hAnsiTheme="majorBidi" w:cstheme="majorBidi"/>
          <w:sz w:val="20"/>
          <w:lang w:bidi="km-KH"/>
        </w:rPr>
        <w:tab/>
      </w:r>
      <w:r w:rsidR="00374074" w:rsidRPr="009A7C62">
        <w:rPr>
          <w:rStyle w:val="FootnoteReference"/>
          <w:rFonts w:asciiTheme="majorBidi" w:hAnsiTheme="majorBidi" w:cstheme="majorBidi"/>
        </w:rPr>
        <w:footnoteRef/>
      </w:r>
      <w:r>
        <w:rPr>
          <w:rStyle w:val="HChGChar"/>
          <w:rFonts w:asciiTheme="majorBidi" w:hAnsiTheme="majorBidi" w:cstheme="majorBidi"/>
          <w:sz w:val="20"/>
          <w:lang w:bidi="km-KH"/>
        </w:rPr>
        <w:tab/>
      </w:r>
      <w:r w:rsidR="00374074" w:rsidRPr="00FB38F9">
        <w:rPr>
          <w:rStyle w:val="HChGChar"/>
          <w:rFonts w:asciiTheme="majorBidi" w:hAnsiTheme="majorBidi" w:cstheme="majorBidi"/>
          <w:b w:val="0"/>
          <w:bCs/>
          <w:sz w:val="18"/>
          <w:szCs w:val="18"/>
          <w:lang w:bidi="km-KH"/>
        </w:rPr>
        <w:t xml:space="preserve">Health Achievement Report, 2016. </w:t>
      </w:r>
    </w:p>
  </w:footnote>
  <w:footnote w:id="72">
    <w:p w14:paraId="7C598F0F" w14:textId="561336BD" w:rsidR="00374074" w:rsidRPr="00624943" w:rsidRDefault="00FB38F9" w:rsidP="00FB38F9">
      <w:pPr>
        <w:pStyle w:val="FootnoteText"/>
        <w:rPr>
          <w:cs/>
          <w:lang w:bidi="km-KH"/>
        </w:rPr>
      </w:pPr>
      <w:r>
        <w:tab/>
      </w:r>
      <w:r w:rsidR="00374074" w:rsidRPr="00624943">
        <w:rPr>
          <w:rStyle w:val="FootnoteReference"/>
        </w:rPr>
        <w:footnoteRef/>
      </w:r>
      <w:r>
        <w:tab/>
      </w:r>
      <w:r w:rsidR="00374074" w:rsidRPr="00FB38F9">
        <w:rPr>
          <w:szCs w:val="18"/>
        </w:rPr>
        <w:t xml:space="preserve">Ministry of Planning, </w:t>
      </w:r>
      <w:r w:rsidR="00374074" w:rsidRPr="00FB38F9">
        <w:rPr>
          <w:rStyle w:val="HChGChar"/>
          <w:b w:val="0"/>
          <w:sz w:val="18"/>
          <w:szCs w:val="18"/>
          <w:lang w:bidi="km-KH"/>
        </w:rPr>
        <w:t>Cambodian Democratic Heath Survey (2014).</w:t>
      </w:r>
    </w:p>
  </w:footnote>
  <w:footnote w:id="73">
    <w:p w14:paraId="12D22372" w14:textId="472481FB" w:rsidR="00374074" w:rsidRPr="00FB38F9" w:rsidRDefault="00FB38F9" w:rsidP="00FB38F9">
      <w:pPr>
        <w:pStyle w:val="FootnoteText"/>
        <w:rPr>
          <w:rStyle w:val="HChGChar"/>
          <w:sz w:val="18"/>
          <w:szCs w:val="18"/>
          <w:cs/>
          <w:lang w:bidi="km-KH"/>
        </w:rPr>
      </w:pPr>
      <w:r>
        <w:rPr>
          <w:rStyle w:val="HChGChar"/>
          <w:sz w:val="20"/>
          <w:lang w:bidi="km-KH"/>
        </w:rPr>
        <w:tab/>
      </w:r>
      <w:r w:rsidR="00374074" w:rsidRPr="00624943">
        <w:rPr>
          <w:rStyle w:val="HChGChar"/>
          <w:b w:val="0"/>
          <w:bCs/>
          <w:sz w:val="20"/>
          <w:vertAlign w:val="superscript"/>
          <w:lang w:bidi="km-KH"/>
        </w:rPr>
        <w:footnoteRef/>
      </w:r>
      <w:r>
        <w:rPr>
          <w:rStyle w:val="HChGChar"/>
          <w:sz w:val="20"/>
          <w:lang w:bidi="km-KH"/>
        </w:rPr>
        <w:tab/>
      </w:r>
      <w:r w:rsidR="00374074" w:rsidRPr="00FB38F9">
        <w:rPr>
          <w:rStyle w:val="HChGChar"/>
          <w:b w:val="0"/>
          <w:bCs/>
          <w:sz w:val="18"/>
          <w:szCs w:val="18"/>
          <w:lang w:bidi="km-KH"/>
        </w:rPr>
        <w:t>National Immunization Program Report</w:t>
      </w:r>
      <w:r w:rsidR="00374074" w:rsidRPr="00FB38F9">
        <w:rPr>
          <w:rStyle w:val="HChGChar"/>
          <w:sz w:val="18"/>
          <w:szCs w:val="18"/>
          <w:lang w:bidi="km-KH"/>
        </w:rPr>
        <w:t xml:space="preserve"> (</w:t>
      </w:r>
      <w:r w:rsidR="00374074" w:rsidRPr="00FB38F9">
        <w:rPr>
          <w:rStyle w:val="HChGChar"/>
          <w:sz w:val="18"/>
          <w:szCs w:val="18"/>
          <w:cs/>
          <w:lang w:bidi="km-KH"/>
        </w:rPr>
        <w:t>2016</w:t>
      </w:r>
      <w:r w:rsidR="00374074" w:rsidRPr="00FB38F9">
        <w:rPr>
          <w:rStyle w:val="HChGChar"/>
          <w:sz w:val="18"/>
          <w:szCs w:val="18"/>
          <w:lang w:bidi="km-KH"/>
        </w:rPr>
        <w:t>)</w:t>
      </w:r>
      <w:r w:rsidR="00374074" w:rsidRPr="00FB38F9">
        <w:rPr>
          <w:rStyle w:val="HChGChar"/>
          <w:sz w:val="18"/>
          <w:szCs w:val="18"/>
          <w:cs/>
          <w:lang w:bidi="km-KH"/>
        </w:rPr>
        <w:t>.</w:t>
      </w:r>
    </w:p>
  </w:footnote>
  <w:footnote w:id="74">
    <w:p w14:paraId="22A67C98" w14:textId="4885CF82" w:rsidR="00374074" w:rsidRPr="00624943" w:rsidRDefault="00FB38F9" w:rsidP="00FB38F9">
      <w:pPr>
        <w:pStyle w:val="FootnoteText"/>
        <w:rPr>
          <w:lang w:bidi="km-KH"/>
        </w:rPr>
      </w:pPr>
      <w:r>
        <w:tab/>
      </w:r>
      <w:r w:rsidR="00374074" w:rsidRPr="00624943">
        <w:rPr>
          <w:rStyle w:val="FootnoteReference"/>
        </w:rPr>
        <w:footnoteRef/>
      </w:r>
      <w:r>
        <w:tab/>
      </w:r>
      <w:r w:rsidR="00374074" w:rsidRPr="00927842">
        <w:t>United Nations Economic and Social Commission for Asia and the Pacific</w:t>
      </w:r>
      <w:r w:rsidR="00374074" w:rsidRPr="00624943">
        <w:rPr>
          <w:lang w:bidi="km-KH"/>
        </w:rPr>
        <w:t xml:space="preserve">, Statistic Yearbook for Asia and the Pacific </w:t>
      </w:r>
      <w:r w:rsidR="00374074">
        <w:rPr>
          <w:lang w:bidi="km-KH"/>
        </w:rPr>
        <w:t>(</w:t>
      </w:r>
      <w:r w:rsidR="00374074" w:rsidRPr="00624943">
        <w:rPr>
          <w:lang w:bidi="km-KH"/>
        </w:rPr>
        <w:t>2015</w:t>
      </w:r>
      <w:r w:rsidR="00374074">
        <w:rPr>
          <w:lang w:bidi="km-KH"/>
        </w:rPr>
        <w:t>)</w:t>
      </w:r>
      <w:r w:rsidR="00374074" w:rsidRPr="00624943">
        <w:rPr>
          <w:lang w:bidi="km-KH"/>
        </w:rPr>
        <w:t>.</w:t>
      </w:r>
    </w:p>
  </w:footnote>
  <w:footnote w:id="75">
    <w:p w14:paraId="6806A530" w14:textId="06881DC9" w:rsidR="00374074" w:rsidRPr="00624943" w:rsidRDefault="00FB38F9" w:rsidP="00FB38F9">
      <w:pPr>
        <w:pStyle w:val="FootnoteText"/>
      </w:pPr>
      <w:r>
        <w:tab/>
      </w:r>
      <w:r w:rsidR="00374074" w:rsidRPr="00624943">
        <w:rPr>
          <w:rStyle w:val="FootnoteReference"/>
        </w:rPr>
        <w:footnoteRef/>
      </w:r>
      <w:r>
        <w:tab/>
      </w:r>
      <w:r w:rsidR="00374074" w:rsidRPr="00FB38F9">
        <w:rPr>
          <w:szCs w:val="18"/>
        </w:rPr>
        <w:t xml:space="preserve">Ministry of Planning, </w:t>
      </w:r>
      <w:r w:rsidR="00374074" w:rsidRPr="00FB38F9">
        <w:rPr>
          <w:rStyle w:val="HChGChar"/>
          <w:b w:val="0"/>
          <w:sz w:val="18"/>
          <w:szCs w:val="18"/>
          <w:lang w:bidi="km-KH"/>
        </w:rPr>
        <w:t>Cambodian Democratic Heath Survey (2014).</w:t>
      </w:r>
    </w:p>
  </w:footnote>
  <w:footnote w:id="76">
    <w:p w14:paraId="61FC17B3" w14:textId="36A59D53" w:rsidR="00374074" w:rsidRDefault="00FB38F9" w:rsidP="00374074">
      <w:pPr>
        <w:pStyle w:val="FootnoteText"/>
      </w:pPr>
      <w:r>
        <w:tab/>
      </w:r>
      <w:r w:rsidR="00374074">
        <w:rPr>
          <w:rStyle w:val="FootnoteReference"/>
        </w:rPr>
        <w:footnoteRef/>
      </w:r>
      <w:r>
        <w:tab/>
      </w:r>
      <w:r w:rsidR="00374074" w:rsidRPr="008A35FC">
        <w:t>Royal Kram NS/RKM/0709/010, dated 3 July 2009 to promulgate the Law on the Protection and Promotion of the Rights of Persons with Disabilities, art. 16.</w:t>
      </w:r>
    </w:p>
  </w:footnote>
  <w:footnote w:id="77">
    <w:p w14:paraId="1F261222" w14:textId="7EB7DF2E" w:rsidR="00374074" w:rsidRPr="00624943" w:rsidRDefault="00FB38F9" w:rsidP="00FB38F9">
      <w:pPr>
        <w:pStyle w:val="FootnoteText"/>
        <w:rPr>
          <w:cs/>
          <w:lang w:bidi="km-KH"/>
        </w:rPr>
      </w:pPr>
      <w:r>
        <w:tab/>
      </w:r>
      <w:r w:rsidR="00374074" w:rsidRPr="00624943">
        <w:rPr>
          <w:rStyle w:val="FootnoteReference"/>
        </w:rPr>
        <w:footnoteRef/>
      </w:r>
      <w:r>
        <w:tab/>
      </w:r>
      <w:r w:rsidR="00374074">
        <w:t>Ibid.</w:t>
      </w:r>
      <w:r w:rsidR="00374074" w:rsidRPr="00624943">
        <w:t>, art. 1</w:t>
      </w:r>
      <w:r w:rsidR="00374074">
        <w:t>4</w:t>
      </w:r>
      <w:r w:rsidR="00374074" w:rsidRPr="00624943">
        <w:t>.</w:t>
      </w:r>
    </w:p>
  </w:footnote>
  <w:footnote w:id="78">
    <w:p w14:paraId="12926F9B" w14:textId="356BAF00" w:rsidR="00374074" w:rsidRPr="00624943" w:rsidRDefault="00FB38F9" w:rsidP="00FB38F9">
      <w:pPr>
        <w:pStyle w:val="FootnoteText"/>
        <w:rPr>
          <w:cs/>
          <w:lang w:bidi="km-KH"/>
        </w:rPr>
      </w:pPr>
      <w:r>
        <w:tab/>
      </w:r>
      <w:r w:rsidR="00374074" w:rsidRPr="00624943">
        <w:rPr>
          <w:rStyle w:val="FootnoteReference"/>
        </w:rPr>
        <w:footnoteRef/>
      </w:r>
      <w:r>
        <w:tab/>
      </w:r>
      <w:r w:rsidR="00374074" w:rsidRPr="00624943">
        <w:t>Sub-decree No. 188 ANKr.BK, dated 13 September 2010</w:t>
      </w:r>
      <w:r w:rsidR="00374074">
        <w:t xml:space="preserve"> on the Org</w:t>
      </w:r>
      <w:r w:rsidR="00374074">
        <w:rPr>
          <w:rFonts w:cs="DaunPenh"/>
          <w:szCs w:val="32"/>
          <w:lang w:bidi="km-KH"/>
        </w:rPr>
        <w:t>a</w:t>
      </w:r>
      <w:r w:rsidR="00374074">
        <w:t xml:space="preserve">nization and Functioning of Persons with Disabilities Foundation. </w:t>
      </w:r>
      <w:r w:rsidR="00374074" w:rsidRPr="00624943">
        <w:t xml:space="preserve"> </w:t>
      </w:r>
    </w:p>
  </w:footnote>
  <w:footnote w:id="79">
    <w:p w14:paraId="16D04B34" w14:textId="3C9C4E2F" w:rsidR="00374074" w:rsidRPr="00624943" w:rsidRDefault="00FB38F9" w:rsidP="00FB38F9">
      <w:pPr>
        <w:pStyle w:val="FootnoteText"/>
        <w:rPr>
          <w:cs/>
          <w:lang w:bidi="km-KH"/>
        </w:rPr>
      </w:pPr>
      <w:r>
        <w:rPr>
          <w:lang w:bidi="km-KH"/>
        </w:rPr>
        <w:tab/>
      </w:r>
      <w:r w:rsidR="00374074" w:rsidRPr="00624943">
        <w:rPr>
          <w:rStyle w:val="FootnoteReference"/>
        </w:rPr>
        <w:footnoteRef/>
      </w:r>
      <w:r>
        <w:tab/>
      </w:r>
      <w:r w:rsidR="00374074" w:rsidRPr="00FB38F9">
        <w:rPr>
          <w:rFonts w:asciiTheme="majorBidi" w:hAnsiTheme="majorBidi" w:cstheme="majorBidi"/>
          <w:szCs w:val="18"/>
        </w:rPr>
        <w:t>Report of Persons With Disabilities Foundation 2012-2017</w:t>
      </w:r>
      <w:r w:rsidR="00374074" w:rsidRPr="00FB38F9">
        <w:rPr>
          <w:rStyle w:val="HChGChar"/>
          <w:rFonts w:asciiTheme="majorBidi" w:hAnsiTheme="majorBidi" w:cstheme="majorBidi"/>
          <w:sz w:val="18"/>
          <w:szCs w:val="18"/>
          <w:cs/>
          <w:lang w:bidi="km-KH"/>
        </w:rPr>
        <w:t>.</w:t>
      </w:r>
    </w:p>
  </w:footnote>
  <w:footnote w:id="80">
    <w:p w14:paraId="4FE1BEB7" w14:textId="7DCC2E11" w:rsidR="00374074" w:rsidRPr="00624943" w:rsidRDefault="00FB38F9" w:rsidP="00FB38F9">
      <w:pPr>
        <w:pStyle w:val="FootnoteText"/>
        <w:rPr>
          <w:cs/>
          <w:lang w:bidi="km-KH"/>
        </w:rPr>
      </w:pPr>
      <w:r>
        <w:rPr>
          <w:rStyle w:val="HChGChar"/>
          <w:b w:val="0"/>
          <w:sz w:val="18"/>
          <w:szCs w:val="18"/>
          <w:lang w:bidi="km-KH"/>
        </w:rPr>
        <w:tab/>
      </w:r>
      <w:r w:rsidR="00374074" w:rsidRPr="00624943">
        <w:rPr>
          <w:rStyle w:val="FootnoteReference"/>
        </w:rPr>
        <w:footnoteRef/>
      </w:r>
      <w:r>
        <w:rPr>
          <w:rStyle w:val="HChGChar"/>
          <w:b w:val="0"/>
          <w:sz w:val="18"/>
          <w:szCs w:val="18"/>
          <w:lang w:bidi="km-KH"/>
        </w:rPr>
        <w:tab/>
      </w:r>
      <w:r w:rsidR="00374074" w:rsidRPr="00FB38F9">
        <w:rPr>
          <w:rStyle w:val="HChGChar"/>
          <w:b w:val="0"/>
          <w:sz w:val="18"/>
          <w:szCs w:val="18"/>
          <w:lang w:bidi="km-KH"/>
        </w:rPr>
        <w:t xml:space="preserve">National Institute of Social Affairs, </w:t>
      </w:r>
      <w:hyperlink r:id="rId6" w:history="1">
        <w:r w:rsidR="00374074" w:rsidRPr="00FB38F9">
          <w:rPr>
            <w:rStyle w:val="HChGChar"/>
            <w:b w:val="0"/>
            <w:sz w:val="18"/>
            <w:szCs w:val="18"/>
            <w:lang w:bidi="km-KH"/>
          </w:rPr>
          <w:t>www.nisa-edu.gov.kh</w:t>
        </w:r>
      </w:hyperlink>
      <w:r w:rsidR="00374074" w:rsidRPr="00FB38F9">
        <w:rPr>
          <w:rStyle w:val="HChGChar"/>
          <w:b w:val="0"/>
          <w:sz w:val="18"/>
          <w:szCs w:val="18"/>
          <w:lang w:bidi="km-KH"/>
        </w:rPr>
        <w:t>.</w:t>
      </w:r>
    </w:p>
  </w:footnote>
  <w:footnote w:id="81">
    <w:p w14:paraId="225E4E7F" w14:textId="040A58C2" w:rsidR="00374074" w:rsidRPr="00624943" w:rsidRDefault="00FB38F9" w:rsidP="00FB38F9">
      <w:pPr>
        <w:pStyle w:val="FootnoteText"/>
        <w:rPr>
          <w:cs/>
          <w:lang w:bidi="km-KH"/>
        </w:rPr>
      </w:pPr>
      <w:r>
        <w:tab/>
      </w:r>
      <w:r w:rsidR="00374074" w:rsidRPr="00624943">
        <w:rPr>
          <w:rStyle w:val="FootnoteReference"/>
        </w:rPr>
        <w:footnoteRef/>
      </w:r>
      <w:r>
        <w:tab/>
      </w:r>
      <w:r w:rsidR="00374074" w:rsidRPr="00624943">
        <w:t>Ibid.</w:t>
      </w:r>
    </w:p>
  </w:footnote>
  <w:footnote w:id="82">
    <w:p w14:paraId="16F613B7" w14:textId="547624A1" w:rsidR="00374074" w:rsidRPr="00624943" w:rsidRDefault="00FB38F9" w:rsidP="00FB38F9">
      <w:pPr>
        <w:pStyle w:val="FootnoteText"/>
        <w:rPr>
          <w:cs/>
          <w:lang w:bidi="km-KH"/>
        </w:rPr>
      </w:pPr>
      <w:r>
        <w:tab/>
      </w:r>
      <w:r w:rsidR="00374074" w:rsidRPr="00624943">
        <w:rPr>
          <w:rStyle w:val="FootnoteReference"/>
        </w:rPr>
        <w:footnoteRef/>
      </w:r>
      <w:r>
        <w:tab/>
      </w:r>
      <w:r w:rsidR="00374074" w:rsidRPr="00FB38F9">
        <w:rPr>
          <w:szCs w:val="18"/>
        </w:rPr>
        <w:t>Royal Kram No. NS/RKM/0208/008, dated 21 September 1993 to promulgate the Constitution of the Kingdom of Cambodia</w:t>
      </w:r>
      <w:r w:rsidR="00374074" w:rsidRPr="00FB38F9">
        <w:rPr>
          <w:rStyle w:val="HChGChar"/>
          <w:sz w:val="18"/>
          <w:szCs w:val="18"/>
          <w:lang w:bidi="km-KH"/>
        </w:rPr>
        <w:t xml:space="preserve">, </w:t>
      </w:r>
      <w:r w:rsidR="00374074" w:rsidRPr="00FB38F9">
        <w:rPr>
          <w:rStyle w:val="HChGChar"/>
          <w:b w:val="0"/>
          <w:bCs/>
          <w:sz w:val="18"/>
          <w:szCs w:val="18"/>
          <w:lang w:bidi="km-KH"/>
        </w:rPr>
        <w:t>art.</w:t>
      </w:r>
      <w:r w:rsidR="00374074" w:rsidRPr="00FB38F9">
        <w:rPr>
          <w:rStyle w:val="HChGChar"/>
          <w:sz w:val="18"/>
          <w:szCs w:val="18"/>
          <w:lang w:bidi="km-KH"/>
        </w:rPr>
        <w:t xml:space="preserve"> </w:t>
      </w:r>
      <w:r w:rsidR="00374074" w:rsidRPr="00FB38F9">
        <w:rPr>
          <w:rStyle w:val="HChGChar"/>
          <w:sz w:val="18"/>
          <w:szCs w:val="18"/>
          <w:cs/>
          <w:lang w:bidi="km-KH"/>
        </w:rPr>
        <w:t>36.</w:t>
      </w:r>
    </w:p>
  </w:footnote>
  <w:footnote w:id="83">
    <w:p w14:paraId="795F0215" w14:textId="401297BB" w:rsidR="00374074" w:rsidRPr="00624943" w:rsidRDefault="00FB38F9" w:rsidP="00FB38F9">
      <w:pPr>
        <w:pStyle w:val="FootnoteText"/>
        <w:rPr>
          <w:cs/>
          <w:lang w:bidi="km-KH"/>
        </w:rPr>
      </w:pPr>
      <w:r>
        <w:tab/>
      </w:r>
      <w:r w:rsidR="00374074" w:rsidRPr="00624943">
        <w:rPr>
          <w:rStyle w:val="FootnoteReference"/>
        </w:rPr>
        <w:footnoteRef/>
      </w:r>
      <w:r>
        <w:tab/>
      </w:r>
      <w:r w:rsidR="00374074" w:rsidRPr="00FB38F9">
        <w:rPr>
          <w:szCs w:val="18"/>
        </w:rPr>
        <w:t xml:space="preserve">Royal Kram No. NS/RKM/0709/010 dated 3 July 2009 to promulgate the </w:t>
      </w:r>
      <w:r w:rsidR="00374074" w:rsidRPr="00FB38F9">
        <w:rPr>
          <w:rStyle w:val="HChGChar"/>
          <w:b w:val="0"/>
          <w:bCs/>
          <w:sz w:val="18"/>
          <w:szCs w:val="18"/>
          <w:lang w:bidi="km-KH"/>
        </w:rPr>
        <w:t>Law on the Protection and Promotion of the Rights of Persons with Disabilities, chapter 7, art.</w:t>
      </w:r>
      <w:r w:rsidR="00374074" w:rsidRPr="00FB38F9">
        <w:rPr>
          <w:rStyle w:val="HChGChar"/>
          <w:sz w:val="18"/>
          <w:szCs w:val="18"/>
          <w:lang w:bidi="km-KH"/>
        </w:rPr>
        <w:t xml:space="preserve"> </w:t>
      </w:r>
      <w:r w:rsidR="00374074" w:rsidRPr="00FB38F9">
        <w:rPr>
          <w:rStyle w:val="HChGChar"/>
          <w:sz w:val="18"/>
          <w:szCs w:val="18"/>
          <w:cs/>
          <w:lang w:bidi="km-KH"/>
        </w:rPr>
        <w:t>33.</w:t>
      </w:r>
    </w:p>
  </w:footnote>
  <w:footnote w:id="84">
    <w:p w14:paraId="4CDFDF15" w14:textId="5888CDBD" w:rsidR="00374074" w:rsidRPr="00624943" w:rsidRDefault="00FB38F9" w:rsidP="00FB38F9">
      <w:pPr>
        <w:pStyle w:val="FootnoteText"/>
        <w:rPr>
          <w:cs/>
          <w:lang w:bidi="km-KH"/>
        </w:rPr>
      </w:pPr>
      <w:r>
        <w:tab/>
      </w:r>
      <w:r w:rsidR="00374074" w:rsidRPr="00624943">
        <w:rPr>
          <w:rStyle w:val="FootnoteReference"/>
        </w:rPr>
        <w:footnoteRef/>
      </w:r>
      <w:r>
        <w:tab/>
      </w:r>
      <w:r w:rsidR="00374074" w:rsidRPr="00FB38F9">
        <w:rPr>
          <w:szCs w:val="18"/>
        </w:rPr>
        <w:t xml:space="preserve">Ibid., </w:t>
      </w:r>
      <w:r w:rsidR="00374074" w:rsidRPr="00FB38F9">
        <w:rPr>
          <w:rStyle w:val="HChGChar"/>
          <w:b w:val="0"/>
          <w:bCs/>
          <w:sz w:val="18"/>
          <w:szCs w:val="18"/>
          <w:lang w:bidi="km-KH"/>
        </w:rPr>
        <w:t>chapter 8, art.</w:t>
      </w:r>
      <w:r w:rsidR="00374074" w:rsidRPr="00FB38F9">
        <w:rPr>
          <w:rStyle w:val="HChGChar"/>
          <w:sz w:val="18"/>
          <w:szCs w:val="18"/>
          <w:cs/>
          <w:lang w:bidi="km-KH"/>
        </w:rPr>
        <w:t xml:space="preserve"> 42.</w:t>
      </w:r>
    </w:p>
  </w:footnote>
  <w:footnote w:id="85">
    <w:p w14:paraId="437E016B" w14:textId="6242CC5B" w:rsidR="00374074" w:rsidRPr="00624943" w:rsidRDefault="00FB38F9" w:rsidP="00FB38F9">
      <w:pPr>
        <w:pStyle w:val="FootnoteText"/>
        <w:rPr>
          <w:cs/>
          <w:lang w:bidi="km-KH"/>
        </w:rPr>
      </w:pPr>
      <w:r>
        <w:tab/>
      </w:r>
      <w:r w:rsidR="00374074" w:rsidRPr="00624943">
        <w:rPr>
          <w:rStyle w:val="FootnoteReference"/>
        </w:rPr>
        <w:footnoteRef/>
      </w:r>
      <w:r>
        <w:tab/>
      </w:r>
      <w:r w:rsidR="00374074" w:rsidRPr="00FB38F9">
        <w:rPr>
          <w:szCs w:val="18"/>
        </w:rPr>
        <w:t xml:space="preserve">Sub-Decree </w:t>
      </w:r>
      <w:r w:rsidR="00374074" w:rsidRPr="00FB38F9">
        <w:rPr>
          <w:rStyle w:val="HChGChar"/>
          <w:b w:val="0"/>
          <w:sz w:val="18"/>
          <w:szCs w:val="18"/>
          <w:lang w:bidi="km-KH"/>
        </w:rPr>
        <w:t xml:space="preserve">No. </w:t>
      </w:r>
      <w:r w:rsidR="00374074" w:rsidRPr="00FB38F9">
        <w:rPr>
          <w:rStyle w:val="HChGChar"/>
          <w:b w:val="0"/>
          <w:sz w:val="18"/>
          <w:szCs w:val="18"/>
          <w:cs/>
          <w:lang w:bidi="km-KH"/>
        </w:rPr>
        <w:t xml:space="preserve">108 </w:t>
      </w:r>
      <w:r w:rsidR="00374074" w:rsidRPr="00FB38F9">
        <w:rPr>
          <w:rStyle w:val="HChGChar"/>
          <w:b w:val="0"/>
          <w:sz w:val="18"/>
          <w:szCs w:val="18"/>
          <w:lang w:bidi="km-KH"/>
        </w:rPr>
        <w:t>ANKr.BK,</w:t>
      </w:r>
      <w:r w:rsidR="00374074" w:rsidRPr="00FB38F9">
        <w:rPr>
          <w:rStyle w:val="HChGChar"/>
          <w:b w:val="0"/>
          <w:sz w:val="18"/>
          <w:szCs w:val="18"/>
          <w:cs/>
          <w:lang w:bidi="km-KH"/>
        </w:rPr>
        <w:t xml:space="preserve"> </w:t>
      </w:r>
      <w:r w:rsidR="00374074" w:rsidRPr="00FB38F9">
        <w:rPr>
          <w:rStyle w:val="HChGChar"/>
          <w:b w:val="0"/>
          <w:sz w:val="18"/>
          <w:szCs w:val="18"/>
          <w:lang w:bidi="km-KH"/>
        </w:rPr>
        <w:t xml:space="preserve">dated 30 August </w:t>
      </w:r>
      <w:r w:rsidR="00374074" w:rsidRPr="00FB38F9">
        <w:rPr>
          <w:rStyle w:val="HChGChar"/>
          <w:b w:val="0"/>
          <w:sz w:val="18"/>
          <w:szCs w:val="18"/>
          <w:cs/>
          <w:lang w:bidi="km-KH"/>
        </w:rPr>
        <w:t>2010</w:t>
      </w:r>
      <w:r w:rsidR="00374074" w:rsidRPr="00FB38F9">
        <w:rPr>
          <w:rStyle w:val="HChGChar"/>
          <w:b w:val="0"/>
          <w:sz w:val="18"/>
          <w:szCs w:val="18"/>
          <w:lang w:bidi="km-KH"/>
        </w:rPr>
        <w:t>, on Determining the Rate and Formality of Recruitment of Persons with Disabilities</w:t>
      </w:r>
      <w:r w:rsidR="00374074" w:rsidRPr="00FB38F9">
        <w:rPr>
          <w:rStyle w:val="HChGChar"/>
          <w:b w:val="0"/>
          <w:sz w:val="18"/>
          <w:szCs w:val="18"/>
          <w:cs/>
          <w:lang w:bidi="km-KH"/>
        </w:rPr>
        <w:t>.</w:t>
      </w:r>
    </w:p>
  </w:footnote>
  <w:footnote w:id="86">
    <w:p w14:paraId="54094913" w14:textId="25EB1856" w:rsidR="00374074" w:rsidRPr="00624943" w:rsidRDefault="00FB38F9" w:rsidP="00FB38F9">
      <w:pPr>
        <w:pStyle w:val="FootnoteText"/>
        <w:rPr>
          <w:cs/>
          <w:lang w:bidi="km-KH"/>
        </w:rPr>
      </w:pPr>
      <w:r>
        <w:rPr>
          <w:lang w:bidi="km-KH"/>
        </w:rPr>
        <w:tab/>
      </w:r>
      <w:r w:rsidR="00374074" w:rsidRPr="00624943">
        <w:rPr>
          <w:rStyle w:val="FootnoteReference"/>
        </w:rPr>
        <w:footnoteRef/>
      </w:r>
      <w:r>
        <w:tab/>
      </w:r>
      <w:r w:rsidR="00374074" w:rsidRPr="00FB38F9">
        <w:rPr>
          <w:szCs w:val="18"/>
        </w:rPr>
        <w:t xml:space="preserve">Royal Kram No. NS/RKM/0709/010 dated 3 July 2009 to promulgate the </w:t>
      </w:r>
      <w:r w:rsidR="00374074" w:rsidRPr="00FB38F9">
        <w:rPr>
          <w:rStyle w:val="HChGChar"/>
          <w:b w:val="0"/>
          <w:bCs/>
          <w:sz w:val="18"/>
          <w:szCs w:val="18"/>
          <w:lang w:bidi="km-KH"/>
        </w:rPr>
        <w:t>Law on the Protection and Promotion of the Rights of Persons with Disabilities.</w:t>
      </w:r>
    </w:p>
  </w:footnote>
  <w:footnote w:id="87">
    <w:p w14:paraId="03454AA1" w14:textId="4A0252AF" w:rsidR="00374074" w:rsidRPr="00624943" w:rsidRDefault="00FB38F9" w:rsidP="00FB38F9">
      <w:pPr>
        <w:pStyle w:val="FootnoteText"/>
      </w:pPr>
      <w:r>
        <w:tab/>
      </w:r>
      <w:r w:rsidR="00374074" w:rsidRPr="00624943">
        <w:rPr>
          <w:rStyle w:val="FootnoteReference"/>
        </w:rPr>
        <w:footnoteRef/>
      </w:r>
      <w:r>
        <w:tab/>
      </w:r>
      <w:r w:rsidR="00374074" w:rsidRPr="00FB38F9">
        <w:rPr>
          <w:szCs w:val="18"/>
        </w:rPr>
        <w:t xml:space="preserve">Sub-Decree </w:t>
      </w:r>
      <w:r w:rsidR="00374074" w:rsidRPr="00FB38F9">
        <w:rPr>
          <w:rStyle w:val="HChGChar"/>
          <w:b w:val="0"/>
          <w:sz w:val="18"/>
          <w:szCs w:val="18"/>
          <w:lang w:bidi="km-KH"/>
        </w:rPr>
        <w:t xml:space="preserve">No. </w:t>
      </w:r>
      <w:r w:rsidR="00374074" w:rsidRPr="00FB38F9">
        <w:rPr>
          <w:rStyle w:val="HChGChar"/>
          <w:b w:val="0"/>
          <w:sz w:val="18"/>
          <w:szCs w:val="18"/>
          <w:cs/>
          <w:lang w:bidi="km-KH"/>
        </w:rPr>
        <w:t xml:space="preserve">108 </w:t>
      </w:r>
      <w:r w:rsidR="00374074" w:rsidRPr="00FB38F9">
        <w:rPr>
          <w:rStyle w:val="HChGChar"/>
          <w:b w:val="0"/>
          <w:sz w:val="18"/>
          <w:szCs w:val="18"/>
          <w:lang w:bidi="km-KH"/>
        </w:rPr>
        <w:t>ANKr.BK,</w:t>
      </w:r>
      <w:r w:rsidR="00374074" w:rsidRPr="00FB38F9">
        <w:rPr>
          <w:rStyle w:val="HChGChar"/>
          <w:b w:val="0"/>
          <w:sz w:val="18"/>
          <w:szCs w:val="18"/>
          <w:cs/>
          <w:lang w:bidi="km-KH"/>
        </w:rPr>
        <w:t xml:space="preserve"> </w:t>
      </w:r>
      <w:r w:rsidR="00374074" w:rsidRPr="00FB38F9">
        <w:rPr>
          <w:rStyle w:val="HChGChar"/>
          <w:b w:val="0"/>
          <w:sz w:val="18"/>
          <w:szCs w:val="18"/>
          <w:lang w:bidi="km-KH"/>
        </w:rPr>
        <w:t xml:space="preserve">dated 30 August </w:t>
      </w:r>
      <w:r w:rsidR="00374074" w:rsidRPr="00FB38F9">
        <w:rPr>
          <w:rStyle w:val="HChGChar"/>
          <w:b w:val="0"/>
          <w:sz w:val="18"/>
          <w:szCs w:val="18"/>
          <w:cs/>
          <w:lang w:bidi="km-KH"/>
        </w:rPr>
        <w:t>2010</w:t>
      </w:r>
      <w:r w:rsidR="00374074" w:rsidRPr="00FB38F9">
        <w:rPr>
          <w:rStyle w:val="HChGChar"/>
          <w:b w:val="0"/>
          <w:sz w:val="18"/>
          <w:szCs w:val="18"/>
          <w:lang w:bidi="km-KH"/>
        </w:rPr>
        <w:t>, on Determining the Rate and Formality of Recruitment of Persons with Disabilities,</w:t>
      </w:r>
      <w:r w:rsidR="00374074" w:rsidRPr="00FB38F9">
        <w:rPr>
          <w:rStyle w:val="HChGChar"/>
          <w:sz w:val="18"/>
          <w:szCs w:val="18"/>
          <w:lang w:bidi="km-KH"/>
        </w:rPr>
        <w:t xml:space="preserve"> </w:t>
      </w:r>
      <w:r w:rsidR="00374074" w:rsidRPr="00FB38F9">
        <w:rPr>
          <w:rStyle w:val="HChGChar"/>
          <w:b w:val="0"/>
          <w:bCs/>
          <w:sz w:val="18"/>
          <w:szCs w:val="18"/>
          <w:lang w:bidi="km-KH"/>
        </w:rPr>
        <w:t>art.</w:t>
      </w:r>
      <w:r w:rsidR="00374074" w:rsidRPr="00FB38F9">
        <w:rPr>
          <w:rStyle w:val="HChGChar"/>
          <w:rFonts w:cs="DaunPenh"/>
          <w:sz w:val="18"/>
          <w:szCs w:val="18"/>
          <w:cs/>
          <w:lang w:bidi="km-KH"/>
        </w:rPr>
        <w:t xml:space="preserve"> </w:t>
      </w:r>
      <w:r w:rsidR="00374074" w:rsidRPr="00FB38F9">
        <w:rPr>
          <w:rStyle w:val="HChGChar"/>
          <w:b w:val="0"/>
          <w:bCs/>
          <w:sz w:val="18"/>
          <w:szCs w:val="18"/>
          <w:lang w:bidi="km-KH"/>
        </w:rPr>
        <w:t>5.</w:t>
      </w:r>
    </w:p>
  </w:footnote>
  <w:footnote w:id="88">
    <w:p w14:paraId="144CA51C" w14:textId="3F999AE7" w:rsidR="00374074" w:rsidRPr="00624943" w:rsidRDefault="00FB38F9" w:rsidP="00FB38F9">
      <w:pPr>
        <w:pStyle w:val="FootnoteText"/>
        <w:rPr>
          <w:rStyle w:val="HChGChar"/>
          <w:sz w:val="20"/>
          <w:lang w:bidi="km-KH"/>
        </w:rPr>
      </w:pPr>
      <w:r>
        <w:tab/>
      </w:r>
      <w:r w:rsidR="00374074" w:rsidRPr="00624943">
        <w:rPr>
          <w:rStyle w:val="FootnoteReference"/>
        </w:rPr>
        <w:footnoteRef/>
      </w:r>
      <w:r>
        <w:tab/>
      </w:r>
      <w:r w:rsidR="00374074">
        <w:t xml:space="preserve">Ibid., </w:t>
      </w:r>
      <w:r w:rsidR="00374074" w:rsidRPr="00624943">
        <w:rPr>
          <w:rStyle w:val="HChGChar"/>
          <w:b w:val="0"/>
          <w:bCs/>
          <w:sz w:val="20"/>
          <w:lang w:bidi="km-KH"/>
        </w:rPr>
        <w:t>art.</w:t>
      </w:r>
      <w:r w:rsidR="00374074" w:rsidRPr="00624943">
        <w:rPr>
          <w:rStyle w:val="HChGChar"/>
          <w:b w:val="0"/>
          <w:bCs/>
          <w:sz w:val="20"/>
          <w:cs/>
          <w:lang w:bidi="km-KH"/>
        </w:rPr>
        <w:t xml:space="preserve"> </w:t>
      </w:r>
      <w:r w:rsidR="00374074" w:rsidRPr="00624943">
        <w:rPr>
          <w:rStyle w:val="HChGChar"/>
          <w:sz w:val="20"/>
          <w:cs/>
          <w:lang w:bidi="km-KH"/>
        </w:rPr>
        <w:t>6</w:t>
      </w:r>
      <w:r w:rsidR="00374074" w:rsidRPr="0065505E">
        <w:rPr>
          <w:rStyle w:val="HChGChar"/>
          <w:b w:val="0"/>
          <w:bCs/>
          <w:sz w:val="20"/>
          <w:lang w:bidi="km-KH"/>
        </w:rPr>
        <w:t>.</w:t>
      </w:r>
    </w:p>
  </w:footnote>
  <w:footnote w:id="89">
    <w:p w14:paraId="5B66D380" w14:textId="251D2451" w:rsidR="00374074" w:rsidRPr="00624943" w:rsidRDefault="002B473D" w:rsidP="002B473D">
      <w:pPr>
        <w:pStyle w:val="FootnoteText"/>
      </w:pPr>
      <w:r>
        <w:tab/>
      </w:r>
      <w:r w:rsidR="00374074" w:rsidRPr="00624943">
        <w:rPr>
          <w:rStyle w:val="FootnoteReference"/>
        </w:rPr>
        <w:footnoteRef/>
      </w:r>
      <w:r>
        <w:tab/>
      </w:r>
      <w:r w:rsidR="00374074" w:rsidRPr="002B473D">
        <w:rPr>
          <w:szCs w:val="18"/>
        </w:rPr>
        <w:t>Ibid.,</w:t>
      </w:r>
      <w:r w:rsidR="00374074" w:rsidRPr="002B473D">
        <w:rPr>
          <w:rStyle w:val="HChGChar"/>
          <w:b w:val="0"/>
          <w:sz w:val="18"/>
          <w:szCs w:val="18"/>
          <w:lang w:bidi="km-KH"/>
        </w:rPr>
        <w:t xml:space="preserve"> art. 9-10.</w:t>
      </w:r>
    </w:p>
  </w:footnote>
  <w:footnote w:id="90">
    <w:p w14:paraId="12CCCC6A" w14:textId="73E368F7" w:rsidR="00374074" w:rsidRPr="00624943" w:rsidRDefault="002B473D" w:rsidP="002B473D">
      <w:pPr>
        <w:pStyle w:val="FootnoteText"/>
        <w:rPr>
          <w:lang w:bidi="km-KH"/>
        </w:rPr>
      </w:pPr>
      <w:r>
        <w:tab/>
      </w:r>
      <w:r w:rsidR="00374074" w:rsidRPr="00624943">
        <w:rPr>
          <w:rStyle w:val="FootnoteReference"/>
        </w:rPr>
        <w:footnoteRef/>
      </w:r>
      <w:r>
        <w:tab/>
      </w:r>
      <w:r w:rsidR="00374074" w:rsidRPr="002B473D">
        <w:rPr>
          <w:szCs w:val="18"/>
        </w:rPr>
        <w:t>Ministry of Social Affairs, Veterans, and Youth Rehabilitation, Prakas No. 046 MoSVY, dated 28 January 2010, on the Establishment of the Disability Rights Administration of MoSVY.</w:t>
      </w:r>
    </w:p>
  </w:footnote>
  <w:footnote w:id="91">
    <w:p w14:paraId="55CABC19" w14:textId="7FD961E1" w:rsidR="00374074" w:rsidRPr="002B473D" w:rsidRDefault="002B473D" w:rsidP="002B473D">
      <w:pPr>
        <w:pStyle w:val="FootnoteText"/>
        <w:rPr>
          <w:szCs w:val="18"/>
          <w:cs/>
          <w:lang w:bidi="km-KH"/>
        </w:rPr>
      </w:pPr>
      <w:r>
        <w:rPr>
          <w:rStyle w:val="HChGChar"/>
          <w:sz w:val="20"/>
          <w:lang w:bidi="km-KH"/>
        </w:rPr>
        <w:tab/>
      </w:r>
      <w:r w:rsidR="00374074" w:rsidRPr="00624943">
        <w:rPr>
          <w:rStyle w:val="FootnoteReference"/>
        </w:rPr>
        <w:footnoteRef/>
      </w:r>
      <w:r>
        <w:rPr>
          <w:rStyle w:val="HChGChar"/>
          <w:sz w:val="20"/>
          <w:lang w:bidi="km-KH"/>
        </w:rPr>
        <w:tab/>
      </w:r>
      <w:r w:rsidR="00374074" w:rsidRPr="002B473D">
        <w:rPr>
          <w:rStyle w:val="HChGChar"/>
          <w:b w:val="0"/>
          <w:bCs/>
          <w:sz w:val="18"/>
          <w:szCs w:val="18"/>
          <w:lang w:bidi="km-KH"/>
        </w:rPr>
        <w:t>Cambodia Inter-Censal Population Survey</w:t>
      </w:r>
      <w:r w:rsidR="00374074" w:rsidRPr="002B473D">
        <w:rPr>
          <w:rStyle w:val="HChGChar"/>
          <w:b w:val="0"/>
          <w:sz w:val="18"/>
          <w:szCs w:val="18"/>
          <w:lang w:bidi="km-KH"/>
        </w:rPr>
        <w:t>, final report (2013).</w:t>
      </w:r>
    </w:p>
  </w:footnote>
  <w:footnote w:id="92">
    <w:p w14:paraId="5D9EF0C2" w14:textId="18968762" w:rsidR="00374074" w:rsidRPr="00624943" w:rsidRDefault="002B473D" w:rsidP="00374074">
      <w:pPr>
        <w:pStyle w:val="FootnoteText"/>
      </w:pPr>
      <w:r>
        <w:tab/>
      </w:r>
      <w:r w:rsidR="00374074" w:rsidRPr="00624943">
        <w:rPr>
          <w:rStyle w:val="FootnoteReference"/>
        </w:rPr>
        <w:footnoteRef/>
      </w:r>
      <w:r>
        <w:tab/>
      </w:r>
      <w:r w:rsidR="00374074">
        <w:t xml:space="preserve">Ministry of Social Affairs, Veterans, and Youth Rehabilitation, </w:t>
      </w:r>
      <w:r w:rsidR="00374074" w:rsidRPr="00624943">
        <w:t xml:space="preserve">Report of The Department of Welfares of </w:t>
      </w:r>
      <w:r w:rsidR="00374074">
        <w:t xml:space="preserve">Persons with Disabilities, </w:t>
      </w:r>
      <w:r w:rsidR="00374074" w:rsidRPr="00624943">
        <w:t>on the</w:t>
      </w:r>
      <w:r w:rsidR="00374074">
        <w:t xml:space="preserve"> Implementation of</w:t>
      </w:r>
      <w:r w:rsidR="00374074" w:rsidRPr="00624943">
        <w:t xml:space="preserve"> </w:t>
      </w:r>
      <w:r w:rsidR="00374074">
        <w:t>Q</w:t>
      </w:r>
      <w:r w:rsidR="00374074" w:rsidRPr="00624943">
        <w:t xml:space="preserve">uota of </w:t>
      </w:r>
      <w:r w:rsidR="00374074">
        <w:t>E</w:t>
      </w:r>
      <w:r w:rsidR="00374074" w:rsidRPr="00624943">
        <w:t xml:space="preserve">mployment of </w:t>
      </w:r>
      <w:r w:rsidR="00374074">
        <w:t>P</w:t>
      </w:r>
      <w:r w:rsidR="00374074" w:rsidRPr="00624943">
        <w:t xml:space="preserve">ersons with </w:t>
      </w:r>
      <w:r w:rsidR="00374074">
        <w:t>D</w:t>
      </w:r>
      <w:r w:rsidR="00374074" w:rsidRPr="00624943">
        <w:t xml:space="preserve">isabilities in </w:t>
      </w:r>
      <w:r w:rsidR="00374074" w:rsidRPr="006B5235">
        <w:t>public</w:t>
      </w:r>
      <w:r w:rsidR="00374074" w:rsidRPr="00624943">
        <w:t xml:space="preserve"> in</w:t>
      </w:r>
      <w:r w:rsidR="00374074">
        <w:t>s</w:t>
      </w:r>
      <w:r w:rsidR="00374074" w:rsidRPr="00624943">
        <w:t>titu</w:t>
      </w:r>
      <w:r w:rsidR="00374074">
        <w:t>t</w:t>
      </w:r>
      <w:r w:rsidR="00374074" w:rsidRPr="00624943">
        <w:t>ions.</w:t>
      </w:r>
    </w:p>
  </w:footnote>
  <w:footnote w:id="93">
    <w:p w14:paraId="35872EF9" w14:textId="2CD2E98C" w:rsidR="00374074" w:rsidRPr="00573AC7" w:rsidRDefault="002A5F5C" w:rsidP="00374074">
      <w:pPr>
        <w:pStyle w:val="FootnoteText"/>
      </w:pPr>
      <w:r>
        <w:tab/>
      </w:r>
      <w:r w:rsidR="00374074" w:rsidRPr="00573AC7">
        <w:rPr>
          <w:rStyle w:val="FootnoteReference"/>
        </w:rPr>
        <w:footnoteRef/>
      </w:r>
      <w:r>
        <w:tab/>
      </w:r>
      <w:r w:rsidR="00374074" w:rsidRPr="00573AC7">
        <w:t>Report of M</w:t>
      </w:r>
      <w:r w:rsidR="00374074">
        <w:t>inistry of Women Affairs (2</w:t>
      </w:r>
      <w:r w:rsidR="00374074" w:rsidRPr="00573AC7">
        <w:t>018</w:t>
      </w:r>
      <w:r w:rsidR="00374074">
        <w:t>)</w:t>
      </w:r>
      <w:r w:rsidR="00374074" w:rsidRPr="00573AC7">
        <w:t>.</w:t>
      </w:r>
    </w:p>
  </w:footnote>
  <w:footnote w:id="94">
    <w:p w14:paraId="1E21E0E6" w14:textId="64418E4F" w:rsidR="00374074" w:rsidRPr="00624943" w:rsidRDefault="002A5F5C" w:rsidP="002A5F5C">
      <w:pPr>
        <w:pStyle w:val="FootnoteText"/>
        <w:rPr>
          <w:cs/>
          <w:lang w:bidi="km-KH"/>
        </w:rPr>
      </w:pPr>
      <w:r>
        <w:tab/>
      </w:r>
      <w:r w:rsidR="00374074" w:rsidRPr="00624943">
        <w:rPr>
          <w:rStyle w:val="FootnoteReference"/>
        </w:rPr>
        <w:footnoteRef/>
      </w:r>
      <w:r>
        <w:tab/>
      </w:r>
      <w:r w:rsidR="00374074">
        <w:t xml:space="preserve">Royal Kram No. 06 NS 94 dated 30 October 1994 to promulgate the </w:t>
      </w:r>
      <w:r w:rsidR="00374074" w:rsidRPr="00624943">
        <w:rPr>
          <w:rStyle w:val="HChGChar"/>
          <w:b w:val="0"/>
          <w:bCs/>
          <w:sz w:val="20"/>
          <w:lang w:bidi="km-KH"/>
        </w:rPr>
        <w:t>Law on the Common Statute of Civil Servants</w:t>
      </w:r>
      <w:r w:rsidR="00374074">
        <w:rPr>
          <w:rStyle w:val="HChGChar"/>
          <w:b w:val="0"/>
          <w:bCs/>
          <w:sz w:val="20"/>
          <w:lang w:bidi="km-KH"/>
        </w:rPr>
        <w:t>.</w:t>
      </w:r>
    </w:p>
  </w:footnote>
  <w:footnote w:id="95">
    <w:p w14:paraId="14BD9440" w14:textId="384FFC63" w:rsidR="00374074" w:rsidRPr="00EF698D" w:rsidRDefault="00607124" w:rsidP="00374074">
      <w:pPr>
        <w:pStyle w:val="FootnoteText"/>
      </w:pPr>
      <w:r>
        <w:tab/>
      </w:r>
      <w:r w:rsidR="00374074">
        <w:rPr>
          <w:rStyle w:val="FootnoteReference"/>
        </w:rPr>
        <w:footnoteRef/>
      </w:r>
      <w:r>
        <w:tab/>
      </w:r>
      <w:r w:rsidR="00374074" w:rsidRPr="00624943">
        <w:t>Sub-Decree No. 137 ANKr.BK</w:t>
      </w:r>
      <w:r w:rsidR="00374074">
        <w:t>, dated 27 June 2011,</w:t>
      </w:r>
      <w:r w:rsidR="00374074" w:rsidRPr="00624943">
        <w:t xml:space="preserve"> on Policy Regime for the </w:t>
      </w:r>
      <w:r w:rsidR="00374074">
        <w:t>Persons</w:t>
      </w:r>
      <w:r w:rsidR="00374074" w:rsidRPr="00624943">
        <w:t xml:space="preserve"> with Disabilities</w:t>
      </w:r>
      <w:r w:rsidR="00374074">
        <w:t xml:space="preserve"> </w:t>
      </w:r>
      <w:r w:rsidR="00374074" w:rsidRPr="00A023A2">
        <w:rPr>
          <w:color w:val="000000" w:themeColor="text1"/>
          <w:lang w:bidi="km-KH"/>
        </w:rPr>
        <w:t>living in a situation of poverty in the community</w:t>
      </w:r>
      <w:r w:rsidR="00374074">
        <w:t>, article 8.</w:t>
      </w:r>
    </w:p>
  </w:footnote>
  <w:footnote w:id="96">
    <w:p w14:paraId="47ED13AC" w14:textId="3FCA7733" w:rsidR="00374074" w:rsidRPr="00450878" w:rsidRDefault="00607124" w:rsidP="00374074">
      <w:pPr>
        <w:pStyle w:val="FootnoteText"/>
        <w:rPr>
          <w:lang w:val="en-US"/>
        </w:rPr>
      </w:pPr>
      <w:r>
        <w:tab/>
      </w:r>
      <w:r w:rsidR="00374074">
        <w:rPr>
          <w:rStyle w:val="FootnoteReference"/>
        </w:rPr>
        <w:footnoteRef/>
      </w:r>
      <w:r>
        <w:tab/>
      </w:r>
      <w:r w:rsidR="00374074">
        <w:t xml:space="preserve">Ministry of Social Affairs, Veterans, and Youth Rehabiliation, </w:t>
      </w:r>
      <w:r w:rsidR="00374074">
        <w:rPr>
          <w:lang w:val="en-US"/>
        </w:rPr>
        <w:t xml:space="preserve">Prakas No. 482 MoSVY, dated 29 February 2006, on the Establishment of the </w:t>
      </w:r>
      <w:r w:rsidR="00374074">
        <w:rPr>
          <w:rFonts w:cs="DaunPenh"/>
          <w:szCs w:val="32"/>
          <w:lang w:val="en-US" w:bidi="km-KH"/>
        </w:rPr>
        <w:t xml:space="preserve">Phnom Penh Social </w:t>
      </w:r>
      <w:r w:rsidR="00374074">
        <w:rPr>
          <w:lang w:val="en-US"/>
        </w:rPr>
        <w:t>Affairs Drop-in Centre.</w:t>
      </w:r>
    </w:p>
  </w:footnote>
  <w:footnote w:id="97">
    <w:p w14:paraId="6D187EB4" w14:textId="4B1B757C" w:rsidR="00374074" w:rsidRDefault="00607124" w:rsidP="00374074">
      <w:pPr>
        <w:pStyle w:val="FootnoteText"/>
      </w:pPr>
      <w:r>
        <w:tab/>
      </w:r>
      <w:r w:rsidR="00374074">
        <w:rPr>
          <w:rStyle w:val="FootnoteReference"/>
        </w:rPr>
        <w:footnoteRef/>
      </w:r>
      <w:r>
        <w:tab/>
      </w:r>
      <w:r w:rsidR="00374074" w:rsidRPr="00607124">
        <w:rPr>
          <w:szCs w:val="18"/>
        </w:rPr>
        <w:t>Sub-Decree No. 79</w:t>
      </w:r>
      <w:r w:rsidR="00374074" w:rsidRPr="00607124">
        <w:rPr>
          <w:szCs w:val="18"/>
          <w:cs/>
        </w:rPr>
        <w:t xml:space="preserve"> </w:t>
      </w:r>
      <w:r w:rsidR="00374074" w:rsidRPr="00607124">
        <w:rPr>
          <w:szCs w:val="18"/>
        </w:rPr>
        <w:t>ANKr.BK,</w:t>
      </w:r>
      <w:r w:rsidR="00374074" w:rsidRPr="00607124">
        <w:rPr>
          <w:szCs w:val="18"/>
          <w:cs/>
        </w:rPr>
        <w:t xml:space="preserve"> </w:t>
      </w:r>
      <w:r w:rsidR="00374074" w:rsidRPr="00607124">
        <w:rPr>
          <w:szCs w:val="18"/>
        </w:rPr>
        <w:t>dated 23 July</w:t>
      </w:r>
      <w:r w:rsidR="00374074" w:rsidRPr="00607124">
        <w:rPr>
          <w:szCs w:val="18"/>
          <w:cs/>
        </w:rPr>
        <w:t xml:space="preserve"> 2010</w:t>
      </w:r>
      <w:r w:rsidR="00374074" w:rsidRPr="00607124">
        <w:rPr>
          <w:szCs w:val="18"/>
        </w:rPr>
        <w:t>, on the Establishment of National Fund for Veterans in accordance with the Royal Decree No. NS/RKT/0710/595 dated 15 July 2010 on the Social Security Scheme for Veterans.</w:t>
      </w:r>
    </w:p>
  </w:footnote>
  <w:footnote w:id="98">
    <w:p w14:paraId="5FC1BBB2" w14:textId="3592A730" w:rsidR="00374074" w:rsidRDefault="00607124" w:rsidP="00374074">
      <w:pPr>
        <w:pStyle w:val="FootnoteText"/>
      </w:pPr>
      <w:r>
        <w:tab/>
      </w:r>
      <w:r w:rsidR="00374074">
        <w:rPr>
          <w:rStyle w:val="FootnoteReference"/>
        </w:rPr>
        <w:footnoteRef/>
      </w:r>
      <w:r>
        <w:tab/>
      </w:r>
      <w:r w:rsidR="00374074" w:rsidRPr="00607124">
        <w:rPr>
          <w:szCs w:val="18"/>
        </w:rPr>
        <w:t xml:space="preserve">Sub-Decree No. </w:t>
      </w:r>
      <w:r w:rsidR="00374074" w:rsidRPr="00607124">
        <w:rPr>
          <w:szCs w:val="18"/>
          <w:cs/>
        </w:rPr>
        <w:t xml:space="preserve">118 </w:t>
      </w:r>
      <w:r w:rsidR="00374074" w:rsidRPr="00607124">
        <w:rPr>
          <w:szCs w:val="18"/>
        </w:rPr>
        <w:t>ANKr.BK,</w:t>
      </w:r>
      <w:r w:rsidR="00374074" w:rsidRPr="00607124">
        <w:rPr>
          <w:szCs w:val="18"/>
          <w:cs/>
        </w:rPr>
        <w:t xml:space="preserve"> </w:t>
      </w:r>
      <w:r w:rsidR="00374074" w:rsidRPr="00607124">
        <w:rPr>
          <w:szCs w:val="18"/>
        </w:rPr>
        <w:t>dated 13 September</w:t>
      </w:r>
      <w:r w:rsidR="00374074" w:rsidRPr="00607124">
        <w:rPr>
          <w:szCs w:val="18"/>
          <w:cs/>
        </w:rPr>
        <w:t xml:space="preserve"> 2010</w:t>
      </w:r>
      <w:r w:rsidR="00374074" w:rsidRPr="00607124">
        <w:rPr>
          <w:szCs w:val="18"/>
        </w:rPr>
        <w:t>, on the Establishment of Person With Disabilities Foundation.</w:t>
      </w:r>
    </w:p>
  </w:footnote>
  <w:footnote w:id="99">
    <w:p w14:paraId="264A82B1" w14:textId="05595741" w:rsidR="00374074" w:rsidRPr="00534B7E" w:rsidRDefault="00D24BC8" w:rsidP="00D24BC8">
      <w:pPr>
        <w:pStyle w:val="FootnoteText"/>
        <w:rPr>
          <w:lang w:bidi="km-KH"/>
        </w:rPr>
      </w:pPr>
      <w:r>
        <w:tab/>
      </w:r>
      <w:r w:rsidR="00374074">
        <w:rPr>
          <w:rStyle w:val="FootnoteReference"/>
        </w:rPr>
        <w:footnoteRef/>
      </w:r>
      <w:r>
        <w:tab/>
      </w:r>
      <w:r w:rsidR="00374074" w:rsidRPr="00624943">
        <w:t>Sub-Decree No. 137 ANKr.BK</w:t>
      </w:r>
      <w:r w:rsidR="00374074">
        <w:t>, dated 27 June 2011,</w:t>
      </w:r>
      <w:r w:rsidR="00374074" w:rsidRPr="00624943">
        <w:t xml:space="preserve"> on Policy Regime for the </w:t>
      </w:r>
      <w:r w:rsidR="00374074">
        <w:t>Persons</w:t>
      </w:r>
      <w:r w:rsidR="00374074" w:rsidRPr="00624943">
        <w:t xml:space="preserve"> with Disabilities</w:t>
      </w:r>
      <w:r w:rsidR="00374074">
        <w:t xml:space="preserve"> </w:t>
      </w:r>
      <w:r w:rsidR="00374074" w:rsidRPr="00A023A2">
        <w:rPr>
          <w:color w:val="000000" w:themeColor="text1"/>
          <w:lang w:bidi="km-KH"/>
        </w:rPr>
        <w:t>living in a situation of poverty in the community</w:t>
      </w:r>
      <w:r w:rsidR="00374074" w:rsidRPr="00624943">
        <w:t>, 2011</w:t>
      </w:r>
      <w:r w:rsidR="00374074">
        <w:t>, art. 10.</w:t>
      </w:r>
    </w:p>
  </w:footnote>
  <w:footnote w:id="100">
    <w:p w14:paraId="138490C7" w14:textId="7BC7335F" w:rsidR="00374074" w:rsidRPr="00780BCC" w:rsidRDefault="00D24BC8" w:rsidP="00D24BC8">
      <w:pPr>
        <w:pStyle w:val="FootnoteText"/>
        <w:rPr>
          <w:cs/>
          <w:lang w:bidi="km-KH"/>
        </w:rPr>
      </w:pPr>
      <w:r>
        <w:tab/>
      </w:r>
      <w:r w:rsidR="00374074" w:rsidRPr="00780BCC">
        <w:rPr>
          <w:rStyle w:val="FootnoteReference"/>
        </w:rPr>
        <w:footnoteRef/>
      </w:r>
      <w:r>
        <w:tab/>
      </w:r>
      <w:r w:rsidR="00374074">
        <w:t xml:space="preserve">Ministry of Social Affairs, Veterans and Youth Rehabilitation, </w:t>
      </w:r>
      <w:r w:rsidR="00374074" w:rsidRPr="00780BCC">
        <w:rPr>
          <w:lang w:bidi="km-KH"/>
        </w:rPr>
        <w:t xml:space="preserve">Prakas No. </w:t>
      </w:r>
      <w:r w:rsidR="00374074" w:rsidRPr="00FF525C">
        <w:rPr>
          <w:cs/>
          <w:lang w:bidi="km-KH"/>
        </w:rPr>
        <w:t>174</w:t>
      </w:r>
      <w:r w:rsidR="00374074" w:rsidRPr="00780BCC">
        <w:rPr>
          <w:lang w:bidi="km-KH"/>
        </w:rPr>
        <w:t>9</w:t>
      </w:r>
      <w:r w:rsidR="00374074" w:rsidRPr="00FF525C">
        <w:rPr>
          <w:cs/>
          <w:lang w:bidi="km-KH"/>
        </w:rPr>
        <w:t xml:space="preserve"> </w:t>
      </w:r>
      <w:r w:rsidR="00374074" w:rsidRPr="00780BCC">
        <w:rPr>
          <w:lang w:bidi="km-KH"/>
        </w:rPr>
        <w:t xml:space="preserve">MoSVY, dated </w:t>
      </w:r>
      <w:r w:rsidR="00374074" w:rsidRPr="00FF525C">
        <w:rPr>
          <w:cs/>
          <w:lang w:bidi="km-KH"/>
        </w:rPr>
        <w:t xml:space="preserve">7 </w:t>
      </w:r>
      <w:r w:rsidR="00374074" w:rsidRPr="00780BCC">
        <w:rPr>
          <w:lang w:bidi="km-KH"/>
        </w:rPr>
        <w:t>July 2</w:t>
      </w:r>
      <w:r w:rsidR="00374074" w:rsidRPr="00FF525C">
        <w:rPr>
          <w:cs/>
          <w:lang w:bidi="km-KH"/>
        </w:rPr>
        <w:t>016</w:t>
      </w:r>
      <w:r w:rsidR="00374074">
        <w:rPr>
          <w:lang w:bidi="km-KH"/>
        </w:rPr>
        <w:t xml:space="preserve">, on the Organization and Functioning of the Poipet Transit and Reception Centre. </w:t>
      </w:r>
    </w:p>
  </w:footnote>
  <w:footnote w:id="101">
    <w:p w14:paraId="5FB2D8EA" w14:textId="73FA50A6" w:rsidR="00374074" w:rsidRPr="00780BCC" w:rsidRDefault="00D24BC8" w:rsidP="00D24BC8">
      <w:pPr>
        <w:pStyle w:val="FootnoteText"/>
      </w:pPr>
      <w:r>
        <w:tab/>
      </w:r>
      <w:r w:rsidR="00374074" w:rsidRPr="00780BCC">
        <w:rPr>
          <w:rStyle w:val="FootnoteReference"/>
        </w:rPr>
        <w:footnoteRef/>
      </w:r>
      <w:r>
        <w:tab/>
      </w:r>
      <w:r w:rsidR="00374074" w:rsidRPr="00780BCC">
        <w:t>Sub-Decree No. 146 ANKr.BK, dated 16 December 2005</w:t>
      </w:r>
      <w:r w:rsidR="00374074">
        <w:t xml:space="preserve">, on Economic Land Concession. </w:t>
      </w:r>
    </w:p>
  </w:footnote>
  <w:footnote w:id="102">
    <w:p w14:paraId="6B3872CE" w14:textId="4F5CA81B" w:rsidR="00374074" w:rsidRPr="00780BCC" w:rsidRDefault="00D24BC8" w:rsidP="00D24BC8">
      <w:pPr>
        <w:pStyle w:val="FootnoteText"/>
      </w:pPr>
      <w:r>
        <w:tab/>
      </w:r>
      <w:r w:rsidR="00374074" w:rsidRPr="00780BCC">
        <w:rPr>
          <w:rStyle w:val="FootnoteReference"/>
        </w:rPr>
        <w:footnoteRef/>
      </w:r>
      <w:r>
        <w:tab/>
      </w:r>
      <w:r w:rsidR="00374074">
        <w:t>Ibid., art. 5.</w:t>
      </w:r>
    </w:p>
  </w:footnote>
  <w:footnote w:id="103">
    <w:p w14:paraId="6F9934F4" w14:textId="66FCC4FD" w:rsidR="00374074" w:rsidRPr="00780BCC" w:rsidRDefault="00C44637" w:rsidP="00C44637">
      <w:pPr>
        <w:pStyle w:val="FootnoteText"/>
        <w:rPr>
          <w:rtl/>
          <w:cs/>
        </w:rPr>
      </w:pPr>
      <w:r>
        <w:tab/>
      </w:r>
      <w:r w:rsidR="00374074" w:rsidRPr="00780BCC">
        <w:rPr>
          <w:rStyle w:val="FootnoteReference"/>
        </w:rPr>
        <w:footnoteRef/>
      </w:r>
      <w:r w:rsidR="00374074" w:rsidRPr="00780BCC">
        <w:rPr>
          <w:rtl/>
        </w:rPr>
        <w:tab/>
      </w:r>
      <w:r w:rsidR="00374074" w:rsidRPr="00780BCC">
        <w:rPr>
          <w:lang w:bidi="km-KH"/>
        </w:rPr>
        <w:t>Achievement Summary Report</w:t>
      </w:r>
      <w:r w:rsidR="00374074" w:rsidRPr="00E4642A">
        <w:rPr>
          <w:cs/>
          <w:lang w:bidi="km-KH"/>
        </w:rPr>
        <w:t xml:space="preserve"> 2012-2016</w:t>
      </w:r>
      <w:r w:rsidR="00374074" w:rsidRPr="00780BCC">
        <w:rPr>
          <w:lang w:bidi="km-KH"/>
        </w:rPr>
        <w:t xml:space="preserve">, </w:t>
      </w:r>
      <w:r w:rsidR="00374074" w:rsidRPr="00780BCC">
        <w:t xml:space="preserve">p. </w:t>
      </w:r>
      <w:r w:rsidR="00374074" w:rsidRPr="00E4642A">
        <w:rPr>
          <w:cs/>
          <w:lang w:bidi="km-KH"/>
        </w:rPr>
        <w:t>43.</w:t>
      </w:r>
    </w:p>
  </w:footnote>
  <w:footnote w:id="104">
    <w:p w14:paraId="63917909" w14:textId="227B8A6B" w:rsidR="00374074" w:rsidRPr="00624943" w:rsidRDefault="00C44637" w:rsidP="00C44637">
      <w:pPr>
        <w:pStyle w:val="FootnoteText"/>
        <w:rPr>
          <w:cs/>
          <w:lang w:bidi="km-KH"/>
        </w:rPr>
      </w:pPr>
      <w:r>
        <w:tab/>
      </w:r>
      <w:r w:rsidR="00374074" w:rsidRPr="00624943">
        <w:rPr>
          <w:rStyle w:val="FootnoteReference"/>
        </w:rPr>
        <w:footnoteRef/>
      </w:r>
      <w:r>
        <w:tab/>
      </w:r>
      <w:r w:rsidR="00374074">
        <w:t>Royal Kram No. NS/RKM/0208/008, dated 21 September 1993 to promulgate</w:t>
      </w:r>
      <w:r w:rsidR="00374074" w:rsidRPr="00FF6B2F">
        <w:t xml:space="preserve"> </w:t>
      </w:r>
      <w:r w:rsidR="00374074">
        <w:t xml:space="preserve">the </w:t>
      </w:r>
      <w:r w:rsidR="00374074" w:rsidRPr="00624943">
        <w:t>Constitution of the Kingdom of Cambodia,</w:t>
      </w:r>
      <w:r w:rsidR="00374074">
        <w:t xml:space="preserve"> </w:t>
      </w:r>
      <w:r w:rsidR="00374074" w:rsidRPr="00624943">
        <w:t>art. 35</w:t>
      </w:r>
      <w:r w:rsidR="00374074" w:rsidRPr="00624943">
        <w:rPr>
          <w:lang w:bidi="km-KH"/>
        </w:rPr>
        <w:t>.</w:t>
      </w:r>
    </w:p>
  </w:footnote>
  <w:footnote w:id="105">
    <w:p w14:paraId="5EDD4CF9" w14:textId="589ABFB1" w:rsidR="00374074" w:rsidRPr="00624943" w:rsidRDefault="00C44637" w:rsidP="00C44637">
      <w:pPr>
        <w:pStyle w:val="FootnoteText"/>
        <w:rPr>
          <w:cs/>
          <w:lang w:bidi="km-KH"/>
        </w:rPr>
      </w:pPr>
      <w:r>
        <w:tab/>
      </w:r>
      <w:r w:rsidR="00374074" w:rsidRPr="00624943">
        <w:rPr>
          <w:rStyle w:val="FootnoteReference"/>
        </w:rPr>
        <w:footnoteRef/>
      </w:r>
      <w:r>
        <w:tab/>
      </w:r>
      <w:r w:rsidR="00374074">
        <w:t xml:space="preserve">Ibid., </w:t>
      </w:r>
      <w:r w:rsidR="00374074" w:rsidRPr="00624943">
        <w:t>art. 34 (new)</w:t>
      </w:r>
      <w:r w:rsidR="00374074" w:rsidRPr="00624943">
        <w:rPr>
          <w:rFonts w:cs="DaunPenh"/>
          <w:cs/>
          <w:lang w:bidi="km-KH"/>
        </w:rPr>
        <w:t>.</w:t>
      </w:r>
    </w:p>
  </w:footnote>
  <w:footnote w:id="106">
    <w:p w14:paraId="6ADECC37" w14:textId="74DFE61B" w:rsidR="00374074" w:rsidRPr="00624943" w:rsidRDefault="00C44637" w:rsidP="00C44637">
      <w:pPr>
        <w:pStyle w:val="FootnoteText"/>
        <w:rPr>
          <w:b/>
          <w:bCs/>
          <w:lang w:bidi="km-KH"/>
        </w:rPr>
      </w:pPr>
      <w:r>
        <w:tab/>
      </w:r>
      <w:r w:rsidR="00374074" w:rsidRPr="00624943">
        <w:rPr>
          <w:rStyle w:val="FootnoteReference"/>
        </w:rPr>
        <w:footnoteRef/>
      </w:r>
      <w:r>
        <w:tab/>
      </w:r>
      <w:r w:rsidR="00374074">
        <w:t xml:space="preserve">National Election Committee, </w:t>
      </w:r>
      <w:r w:rsidR="00374074" w:rsidRPr="00624943">
        <w:rPr>
          <w:rStyle w:val="HChGChar"/>
          <w:b w:val="0"/>
          <w:bCs/>
          <w:sz w:val="20"/>
          <w:lang w:bidi="km-KH"/>
        </w:rPr>
        <w:t>Instruction No. 1272</w:t>
      </w:r>
      <w:r w:rsidR="00374074">
        <w:rPr>
          <w:rStyle w:val="HChGChar"/>
          <w:rFonts w:cs="DaunPenh"/>
          <w:b w:val="0"/>
          <w:bCs/>
          <w:sz w:val="20"/>
          <w:lang w:bidi="km-KH"/>
        </w:rPr>
        <w:t>.</w:t>
      </w:r>
    </w:p>
  </w:footnote>
  <w:footnote w:id="107">
    <w:p w14:paraId="004D3912" w14:textId="6CD4E4EA" w:rsidR="00374074" w:rsidRPr="00A42614" w:rsidRDefault="00A42614" w:rsidP="00C44637">
      <w:pPr>
        <w:pStyle w:val="FootnoteText"/>
        <w:rPr>
          <w:bCs/>
          <w:szCs w:val="18"/>
          <w:cs/>
          <w:lang w:bidi="km-KH"/>
        </w:rPr>
      </w:pPr>
      <w:r>
        <w:tab/>
      </w:r>
      <w:r w:rsidR="00374074" w:rsidRPr="00624943">
        <w:rPr>
          <w:rStyle w:val="FootnoteReference"/>
        </w:rPr>
        <w:footnoteRef/>
      </w:r>
      <w:r>
        <w:tab/>
      </w:r>
      <w:r w:rsidR="00374074" w:rsidRPr="00A42614">
        <w:rPr>
          <w:szCs w:val="18"/>
        </w:rPr>
        <w:t xml:space="preserve">National Election Committee, </w:t>
      </w:r>
      <w:r w:rsidR="00374074" w:rsidRPr="00A42614">
        <w:rPr>
          <w:rStyle w:val="HChGChar"/>
          <w:b w:val="0"/>
          <w:bCs/>
          <w:sz w:val="18"/>
          <w:szCs w:val="18"/>
          <w:lang w:bidi="km-KH"/>
        </w:rPr>
        <w:t xml:space="preserve">Statistics of Civil Servants with Disabilities (2017). </w:t>
      </w:r>
    </w:p>
  </w:footnote>
  <w:footnote w:id="108">
    <w:p w14:paraId="2D9307FC" w14:textId="130A1D02" w:rsidR="00374074" w:rsidRPr="00624943" w:rsidRDefault="00A42614" w:rsidP="00C44637">
      <w:pPr>
        <w:pStyle w:val="FootnoteText"/>
        <w:rPr>
          <w:bCs/>
          <w:cs/>
          <w:lang w:bidi="km-KH"/>
        </w:rPr>
      </w:pPr>
      <w:r>
        <w:tab/>
      </w:r>
      <w:r w:rsidR="00374074" w:rsidRPr="00624943">
        <w:rPr>
          <w:rStyle w:val="FootnoteReference"/>
        </w:rPr>
        <w:footnoteRef/>
      </w:r>
      <w:r>
        <w:tab/>
      </w:r>
      <w:r w:rsidR="00374074" w:rsidRPr="00A42614">
        <w:rPr>
          <w:rStyle w:val="HChGChar"/>
          <w:b w:val="0"/>
          <w:bCs/>
          <w:sz w:val="18"/>
          <w:szCs w:val="18"/>
          <w:lang w:bidi="km-KH"/>
        </w:rPr>
        <w:t>Department of Voter Database</w:t>
      </w:r>
      <w:r w:rsidR="00374074" w:rsidRPr="00A42614">
        <w:rPr>
          <w:rStyle w:val="HChGChar"/>
          <w:b w:val="0"/>
          <w:bCs/>
          <w:sz w:val="18"/>
          <w:szCs w:val="18"/>
          <w:cs/>
          <w:lang w:bidi="km-KH"/>
        </w:rPr>
        <w:t xml:space="preserve"> </w:t>
      </w:r>
      <w:r w:rsidR="00374074" w:rsidRPr="00A42614">
        <w:rPr>
          <w:rStyle w:val="HChGChar"/>
          <w:b w:val="0"/>
          <w:bCs/>
          <w:sz w:val="18"/>
          <w:szCs w:val="18"/>
          <w:lang w:bidi="km-KH"/>
        </w:rPr>
        <w:t>Management,</w:t>
      </w:r>
      <w:r w:rsidR="00374074" w:rsidRPr="00A42614">
        <w:rPr>
          <w:rStyle w:val="HChGChar"/>
          <w:b w:val="0"/>
          <w:bCs/>
          <w:sz w:val="18"/>
          <w:szCs w:val="18"/>
          <w:cs/>
          <w:lang w:bidi="km-KH"/>
        </w:rPr>
        <w:t xml:space="preserve"> </w:t>
      </w:r>
      <w:r w:rsidR="00374074" w:rsidRPr="00A42614">
        <w:rPr>
          <w:rStyle w:val="HChGChar"/>
          <w:b w:val="0"/>
          <w:bCs/>
          <w:sz w:val="18"/>
          <w:szCs w:val="18"/>
          <w:lang w:bidi="km-KH"/>
        </w:rPr>
        <w:t>Summary table of the number of persons with disabilities on the official voter list.</w:t>
      </w:r>
      <w:r w:rsidR="00374074">
        <w:rPr>
          <w:rStyle w:val="HChGChar"/>
          <w:b w:val="0"/>
          <w:bCs/>
          <w:sz w:val="20"/>
          <w:lang w:bidi="km-KH"/>
        </w:rPr>
        <w:t xml:space="preserve"> </w:t>
      </w:r>
    </w:p>
  </w:footnote>
  <w:footnote w:id="109">
    <w:p w14:paraId="7CA61AF9" w14:textId="7648340A" w:rsidR="00374074" w:rsidRPr="00624943" w:rsidRDefault="00A42614" w:rsidP="00C44637">
      <w:pPr>
        <w:pStyle w:val="FootnoteText"/>
        <w:rPr>
          <w:rStyle w:val="HChGChar"/>
          <w:b w:val="0"/>
          <w:bCs/>
          <w:sz w:val="20"/>
          <w:cs/>
          <w:lang w:bidi="km-KH"/>
        </w:rPr>
      </w:pPr>
      <w:r>
        <w:rPr>
          <w:rStyle w:val="HChGChar"/>
          <w:b w:val="0"/>
          <w:bCs/>
          <w:sz w:val="20"/>
          <w:lang w:bidi="km-KH"/>
        </w:rPr>
        <w:tab/>
      </w:r>
      <w:r w:rsidR="00374074" w:rsidRPr="00624943">
        <w:rPr>
          <w:rStyle w:val="HChGChar"/>
          <w:b w:val="0"/>
          <w:bCs/>
          <w:sz w:val="20"/>
          <w:vertAlign w:val="superscript"/>
          <w:lang w:bidi="km-KH"/>
        </w:rPr>
        <w:footnoteRef/>
      </w:r>
      <w:r>
        <w:rPr>
          <w:rStyle w:val="HChGChar"/>
          <w:b w:val="0"/>
          <w:bCs/>
          <w:sz w:val="20"/>
          <w:lang w:bidi="km-KH"/>
        </w:rPr>
        <w:tab/>
      </w:r>
      <w:r w:rsidR="00374074" w:rsidRPr="00A42614">
        <w:rPr>
          <w:rStyle w:val="HChGChar"/>
          <w:b w:val="0"/>
          <w:bCs/>
          <w:sz w:val="18"/>
          <w:szCs w:val="18"/>
          <w:lang w:bidi="km-KH"/>
        </w:rPr>
        <w:t>Department of Voter Database</w:t>
      </w:r>
      <w:r w:rsidR="00374074" w:rsidRPr="00A42614">
        <w:rPr>
          <w:rStyle w:val="HChGChar"/>
          <w:b w:val="0"/>
          <w:bCs/>
          <w:sz w:val="18"/>
          <w:szCs w:val="18"/>
          <w:cs/>
          <w:lang w:bidi="km-KH"/>
        </w:rPr>
        <w:t xml:space="preserve"> </w:t>
      </w:r>
      <w:r w:rsidR="00374074" w:rsidRPr="00A42614">
        <w:rPr>
          <w:rStyle w:val="HChGChar"/>
          <w:b w:val="0"/>
          <w:bCs/>
          <w:sz w:val="18"/>
          <w:szCs w:val="18"/>
          <w:lang w:bidi="km-KH"/>
        </w:rPr>
        <w:t>Management, Statistics of Persons with Disabilities Registered (2017).</w:t>
      </w:r>
    </w:p>
  </w:footnote>
  <w:footnote w:id="110">
    <w:p w14:paraId="0B65B52D" w14:textId="6FBA074C" w:rsidR="00374074" w:rsidRPr="00624943" w:rsidRDefault="00A42614" w:rsidP="00C44637">
      <w:pPr>
        <w:pStyle w:val="FootnoteText"/>
        <w:rPr>
          <w:cs/>
          <w:lang w:bidi="km-KH"/>
        </w:rPr>
      </w:pPr>
      <w:r>
        <w:rPr>
          <w:rStyle w:val="HChGChar"/>
          <w:b w:val="0"/>
          <w:bCs/>
          <w:sz w:val="20"/>
          <w:lang w:bidi="km-KH"/>
        </w:rPr>
        <w:tab/>
      </w:r>
      <w:r w:rsidR="00374074" w:rsidRPr="00624943">
        <w:rPr>
          <w:rStyle w:val="HChGChar"/>
          <w:b w:val="0"/>
          <w:bCs/>
          <w:sz w:val="20"/>
          <w:vertAlign w:val="superscript"/>
          <w:lang w:bidi="km-KH"/>
        </w:rPr>
        <w:footnoteRef/>
      </w:r>
      <w:r>
        <w:rPr>
          <w:rStyle w:val="HChGChar"/>
          <w:b w:val="0"/>
          <w:bCs/>
          <w:sz w:val="20"/>
          <w:lang w:bidi="km-KH"/>
        </w:rPr>
        <w:tab/>
      </w:r>
      <w:r w:rsidR="00374074" w:rsidRPr="00A42614">
        <w:rPr>
          <w:rStyle w:val="HChGChar"/>
          <w:b w:val="0"/>
          <w:bCs/>
          <w:sz w:val="18"/>
          <w:szCs w:val="18"/>
          <w:lang w:bidi="km-KH"/>
        </w:rPr>
        <w:t>Regulations and Procedures for Voter Registration to Prepare the New Voter List 2016, pp. 8-9;</w:t>
      </w:r>
      <w:r w:rsidR="00374074" w:rsidRPr="00A42614">
        <w:rPr>
          <w:rStyle w:val="HChGChar"/>
          <w:b w:val="0"/>
          <w:bCs/>
          <w:sz w:val="18"/>
          <w:szCs w:val="18"/>
          <w:cs/>
          <w:lang w:bidi="km-KH"/>
        </w:rPr>
        <w:t xml:space="preserve"> </w:t>
      </w:r>
      <w:r w:rsidR="00374074" w:rsidRPr="00A42614">
        <w:rPr>
          <w:rStyle w:val="HChGChar"/>
          <w:b w:val="0"/>
          <w:bCs/>
          <w:sz w:val="18"/>
          <w:szCs w:val="18"/>
          <w:lang w:bidi="km-KH"/>
        </w:rPr>
        <w:t>Regulations and Procedures for Commune/Sangkat Council Election of the 4th Mandate 2017, pp.</w:t>
      </w:r>
      <w:r w:rsidR="00374074" w:rsidRPr="00A42614">
        <w:rPr>
          <w:rStyle w:val="HChGChar"/>
          <w:b w:val="0"/>
          <w:bCs/>
          <w:sz w:val="18"/>
          <w:szCs w:val="18"/>
          <w:cs/>
          <w:lang w:bidi="km-KH"/>
        </w:rPr>
        <w:t xml:space="preserve"> </w:t>
      </w:r>
      <w:r w:rsidR="00374074" w:rsidRPr="00A42614">
        <w:rPr>
          <w:rStyle w:val="HChGChar"/>
          <w:b w:val="0"/>
          <w:bCs/>
          <w:sz w:val="18"/>
          <w:szCs w:val="18"/>
          <w:lang w:bidi="km-KH"/>
        </w:rPr>
        <w:t>11-12; and Procedures for Election of Senators for the 4th Mandate in 2018, and the Notification on the Recruitment of Contracted Officers in 2017, p.2.</w:t>
      </w:r>
    </w:p>
  </w:footnote>
  <w:footnote w:id="111">
    <w:p w14:paraId="57E4366B" w14:textId="049EF968" w:rsidR="00374074" w:rsidRPr="00624943" w:rsidRDefault="00A42614" w:rsidP="00C44637">
      <w:pPr>
        <w:pStyle w:val="FootnoteText"/>
        <w:rPr>
          <w:bCs/>
          <w:cs/>
          <w:lang w:bidi="km-KH"/>
        </w:rPr>
      </w:pPr>
      <w:r>
        <w:rPr>
          <w:rStyle w:val="HChGChar"/>
          <w:sz w:val="20"/>
          <w:lang w:bidi="km-KH"/>
        </w:rPr>
        <w:tab/>
      </w:r>
      <w:r w:rsidR="00374074" w:rsidRPr="00624943">
        <w:rPr>
          <w:rStyle w:val="HChGChar"/>
          <w:b w:val="0"/>
          <w:bCs/>
          <w:sz w:val="20"/>
          <w:vertAlign w:val="superscript"/>
          <w:lang w:bidi="km-KH"/>
        </w:rPr>
        <w:footnoteRef/>
      </w:r>
      <w:r>
        <w:rPr>
          <w:rStyle w:val="HChGChar"/>
          <w:sz w:val="20"/>
          <w:lang w:bidi="km-KH"/>
        </w:rPr>
        <w:tab/>
      </w:r>
      <w:r w:rsidR="00374074" w:rsidRPr="00A42614">
        <w:rPr>
          <w:rStyle w:val="HChGChar"/>
          <w:b w:val="0"/>
          <w:bCs/>
          <w:sz w:val="18"/>
          <w:szCs w:val="18"/>
          <w:lang w:bidi="km-KH"/>
        </w:rPr>
        <w:t>See the Voter Registration Manual for the Preparation of the New Voter List</w:t>
      </w:r>
      <w:r w:rsidR="00374074" w:rsidRPr="00A42614">
        <w:rPr>
          <w:rStyle w:val="HChGChar"/>
          <w:sz w:val="18"/>
          <w:szCs w:val="18"/>
          <w:lang w:bidi="km-KH"/>
        </w:rPr>
        <w:t xml:space="preserve"> </w:t>
      </w:r>
      <w:r w:rsidR="00374074" w:rsidRPr="00A42614">
        <w:rPr>
          <w:rStyle w:val="HChGChar"/>
          <w:sz w:val="18"/>
          <w:szCs w:val="18"/>
          <w:cs/>
          <w:lang w:bidi="km-KH"/>
        </w:rPr>
        <w:t>2016</w:t>
      </w:r>
      <w:r w:rsidR="00374074" w:rsidRPr="00A42614">
        <w:rPr>
          <w:rStyle w:val="HChGChar"/>
          <w:b w:val="0"/>
          <w:bCs/>
          <w:sz w:val="18"/>
          <w:szCs w:val="18"/>
          <w:lang w:bidi="km-KH"/>
        </w:rPr>
        <w:t xml:space="preserve">, p. </w:t>
      </w:r>
      <w:r w:rsidR="00374074" w:rsidRPr="00A42614">
        <w:rPr>
          <w:rStyle w:val="HChGChar"/>
          <w:sz w:val="18"/>
          <w:szCs w:val="18"/>
          <w:cs/>
          <w:lang w:bidi="km-KH"/>
        </w:rPr>
        <w:t>22</w:t>
      </w:r>
      <w:r w:rsidR="00374074" w:rsidRPr="00A42614">
        <w:rPr>
          <w:rStyle w:val="HChGChar"/>
          <w:b w:val="0"/>
          <w:bCs/>
          <w:sz w:val="18"/>
          <w:szCs w:val="18"/>
          <w:lang w:bidi="km-KH"/>
        </w:rPr>
        <w:t xml:space="preserve">; Manual for Voter List Update and Voter Registration </w:t>
      </w:r>
      <w:r w:rsidR="00374074" w:rsidRPr="00A42614">
        <w:rPr>
          <w:rStyle w:val="HChGChar"/>
          <w:sz w:val="18"/>
          <w:szCs w:val="18"/>
          <w:cs/>
          <w:lang w:bidi="km-KH"/>
        </w:rPr>
        <w:t>2017</w:t>
      </w:r>
      <w:r w:rsidR="00374074" w:rsidRPr="00A42614">
        <w:rPr>
          <w:rStyle w:val="HChGChar"/>
          <w:b w:val="0"/>
          <w:bCs/>
          <w:sz w:val="18"/>
          <w:szCs w:val="18"/>
          <w:lang w:bidi="km-KH"/>
        </w:rPr>
        <w:t>, pp.</w:t>
      </w:r>
      <w:r w:rsidR="00374074" w:rsidRPr="00A42614">
        <w:rPr>
          <w:rStyle w:val="HChGChar"/>
          <w:b w:val="0"/>
          <w:bCs/>
          <w:sz w:val="18"/>
          <w:szCs w:val="18"/>
          <w:cs/>
          <w:lang w:bidi="km-KH"/>
        </w:rPr>
        <w:t xml:space="preserve"> </w:t>
      </w:r>
      <w:r w:rsidR="00374074" w:rsidRPr="00A42614">
        <w:rPr>
          <w:rStyle w:val="HChGChar"/>
          <w:b w:val="0"/>
          <w:bCs/>
          <w:sz w:val="18"/>
          <w:szCs w:val="18"/>
          <w:lang w:bidi="km-KH"/>
        </w:rPr>
        <w:t>24-25.</w:t>
      </w:r>
    </w:p>
  </w:footnote>
  <w:footnote w:id="112">
    <w:p w14:paraId="6908941D" w14:textId="6E7E345F" w:rsidR="00374074" w:rsidRPr="00624943" w:rsidRDefault="00A42614" w:rsidP="00C44637">
      <w:pPr>
        <w:pStyle w:val="FootnoteText"/>
        <w:rPr>
          <w:rStyle w:val="HChGChar"/>
          <w:b w:val="0"/>
          <w:bCs/>
          <w:sz w:val="20"/>
          <w:cs/>
          <w:lang w:bidi="km-KH"/>
        </w:rPr>
      </w:pPr>
      <w:r>
        <w:rPr>
          <w:rStyle w:val="HChGChar"/>
          <w:sz w:val="20"/>
          <w:lang w:bidi="km-KH"/>
        </w:rPr>
        <w:tab/>
      </w:r>
      <w:r w:rsidR="00374074" w:rsidRPr="00624943">
        <w:rPr>
          <w:rStyle w:val="HChGChar"/>
          <w:b w:val="0"/>
          <w:bCs/>
          <w:sz w:val="20"/>
          <w:vertAlign w:val="superscript"/>
          <w:lang w:bidi="km-KH"/>
        </w:rPr>
        <w:footnoteRef/>
      </w:r>
      <w:r>
        <w:rPr>
          <w:rStyle w:val="HChGChar"/>
          <w:sz w:val="20"/>
          <w:lang w:bidi="km-KH"/>
        </w:rPr>
        <w:tab/>
      </w:r>
      <w:r w:rsidR="00374074" w:rsidRPr="00A42614">
        <w:rPr>
          <w:rStyle w:val="HChGChar"/>
          <w:b w:val="0"/>
          <w:bCs/>
          <w:sz w:val="18"/>
          <w:szCs w:val="18"/>
          <w:lang w:bidi="km-KH"/>
        </w:rPr>
        <w:t xml:space="preserve">See the Rules and Procedures for the Election of Senate for the 4th Mandate in </w:t>
      </w:r>
      <w:r w:rsidR="00374074" w:rsidRPr="00A42614">
        <w:rPr>
          <w:rStyle w:val="HChGChar"/>
          <w:sz w:val="18"/>
          <w:szCs w:val="18"/>
          <w:cs/>
          <w:lang w:bidi="km-KH"/>
        </w:rPr>
        <w:t>2018</w:t>
      </w:r>
      <w:r w:rsidR="00374074" w:rsidRPr="00A42614">
        <w:rPr>
          <w:rStyle w:val="HChGChar"/>
          <w:b w:val="0"/>
          <w:bCs/>
          <w:sz w:val="18"/>
          <w:szCs w:val="18"/>
          <w:lang w:bidi="km-KH"/>
        </w:rPr>
        <w:t xml:space="preserve">, p. 111; Guidebook for the Registration of the </w:t>
      </w:r>
      <w:r w:rsidR="00374074" w:rsidRPr="00A42614">
        <w:rPr>
          <w:rStyle w:val="HChGChar"/>
          <w:sz w:val="18"/>
          <w:szCs w:val="18"/>
          <w:cs/>
          <w:lang w:bidi="km-KH"/>
        </w:rPr>
        <w:t>5</w:t>
      </w:r>
      <w:r w:rsidR="00374074" w:rsidRPr="00A42614">
        <w:rPr>
          <w:rStyle w:val="HChGChar"/>
          <w:b w:val="0"/>
          <w:bCs/>
          <w:sz w:val="18"/>
          <w:szCs w:val="18"/>
          <w:lang w:bidi="km-KH"/>
        </w:rPr>
        <w:t xml:space="preserve">th Mandate National Assembly Election </w:t>
      </w:r>
      <w:r w:rsidR="00374074" w:rsidRPr="00A42614">
        <w:rPr>
          <w:rStyle w:val="HChGChar"/>
          <w:sz w:val="18"/>
          <w:szCs w:val="18"/>
          <w:cs/>
          <w:lang w:bidi="km-KH"/>
        </w:rPr>
        <w:t>2013</w:t>
      </w:r>
      <w:r w:rsidR="00374074" w:rsidRPr="00A42614">
        <w:rPr>
          <w:rStyle w:val="HChGChar"/>
          <w:b w:val="0"/>
          <w:bCs/>
          <w:sz w:val="18"/>
          <w:szCs w:val="18"/>
          <w:lang w:bidi="km-KH"/>
        </w:rPr>
        <w:t>, p.</w:t>
      </w:r>
      <w:r w:rsidR="00374074" w:rsidRPr="00A42614">
        <w:rPr>
          <w:rStyle w:val="HChGChar"/>
          <w:b w:val="0"/>
          <w:bCs/>
          <w:sz w:val="18"/>
          <w:szCs w:val="18"/>
          <w:cs/>
          <w:lang w:bidi="km-KH"/>
        </w:rPr>
        <w:t xml:space="preserve"> </w:t>
      </w:r>
      <w:r w:rsidR="00374074" w:rsidRPr="00A42614">
        <w:rPr>
          <w:rStyle w:val="HChGChar"/>
          <w:sz w:val="18"/>
          <w:szCs w:val="18"/>
          <w:cs/>
          <w:lang w:bidi="km-KH"/>
        </w:rPr>
        <w:t>20.</w:t>
      </w:r>
    </w:p>
  </w:footnote>
  <w:footnote w:id="113">
    <w:p w14:paraId="0927164C" w14:textId="4A6CCEC8" w:rsidR="00374074" w:rsidRPr="00624943" w:rsidRDefault="00A42614" w:rsidP="00C44637">
      <w:pPr>
        <w:pStyle w:val="FootnoteText"/>
        <w:rPr>
          <w:rStyle w:val="HChGChar"/>
          <w:b w:val="0"/>
          <w:bCs/>
          <w:sz w:val="20"/>
          <w:cs/>
          <w:lang w:bidi="km-KH"/>
        </w:rPr>
      </w:pPr>
      <w:r>
        <w:rPr>
          <w:rStyle w:val="HChGChar"/>
          <w:b w:val="0"/>
          <w:bCs/>
          <w:sz w:val="20"/>
          <w:lang w:bidi="km-KH"/>
        </w:rPr>
        <w:tab/>
      </w:r>
      <w:r w:rsidR="00374074" w:rsidRPr="00624943">
        <w:rPr>
          <w:rStyle w:val="HChGChar"/>
          <w:b w:val="0"/>
          <w:bCs/>
          <w:sz w:val="20"/>
          <w:vertAlign w:val="superscript"/>
          <w:lang w:bidi="km-KH"/>
        </w:rPr>
        <w:footnoteRef/>
      </w:r>
      <w:r>
        <w:rPr>
          <w:rStyle w:val="HChGChar"/>
          <w:b w:val="0"/>
          <w:bCs/>
          <w:sz w:val="20"/>
          <w:lang w:bidi="km-KH"/>
        </w:rPr>
        <w:tab/>
      </w:r>
      <w:r w:rsidR="00374074" w:rsidRPr="00C44637">
        <w:rPr>
          <w:rStyle w:val="HChGChar"/>
          <w:b w:val="0"/>
          <w:bCs/>
          <w:sz w:val="18"/>
          <w:szCs w:val="18"/>
          <w:lang w:bidi="km-KH"/>
        </w:rPr>
        <w:t>Constitution of the Kingdom of Cambodia, art.</w:t>
      </w:r>
      <w:r w:rsidR="00374074" w:rsidRPr="00C44637">
        <w:rPr>
          <w:rStyle w:val="HChGChar"/>
          <w:b w:val="0"/>
          <w:bCs/>
          <w:sz w:val="18"/>
          <w:szCs w:val="18"/>
          <w:cs/>
          <w:lang w:bidi="km-KH"/>
        </w:rPr>
        <w:t xml:space="preserve"> </w:t>
      </w:r>
      <w:r w:rsidR="00374074" w:rsidRPr="00C44637">
        <w:rPr>
          <w:rStyle w:val="HChGChar"/>
          <w:sz w:val="18"/>
          <w:szCs w:val="18"/>
          <w:cs/>
          <w:lang w:bidi="km-KH"/>
        </w:rPr>
        <w:t xml:space="preserve">34 </w:t>
      </w:r>
      <w:r w:rsidR="00374074" w:rsidRPr="00C44637">
        <w:rPr>
          <w:rStyle w:val="HChGChar"/>
          <w:b w:val="0"/>
          <w:bCs/>
          <w:sz w:val="18"/>
          <w:szCs w:val="18"/>
          <w:lang w:bidi="km-KH"/>
        </w:rPr>
        <w:t xml:space="preserve">new, p.11; Law on the Election of Senators, art. </w:t>
      </w:r>
      <w:r w:rsidR="00374074" w:rsidRPr="00C44637">
        <w:rPr>
          <w:rStyle w:val="HChGChar"/>
          <w:sz w:val="18"/>
          <w:szCs w:val="18"/>
          <w:cs/>
          <w:lang w:bidi="km-KH"/>
        </w:rPr>
        <w:t>13</w:t>
      </w:r>
      <w:r w:rsidR="00374074" w:rsidRPr="00C44637">
        <w:rPr>
          <w:rStyle w:val="HChGChar"/>
          <w:sz w:val="18"/>
          <w:szCs w:val="18"/>
          <w:lang w:bidi="km-KH"/>
        </w:rPr>
        <w:t xml:space="preserve">, </w:t>
      </w:r>
      <w:r w:rsidR="00374074" w:rsidRPr="00C44637">
        <w:rPr>
          <w:rStyle w:val="HChGChar"/>
          <w:b w:val="0"/>
          <w:bCs/>
          <w:sz w:val="18"/>
          <w:szCs w:val="18"/>
          <w:lang w:bidi="km-KH"/>
        </w:rPr>
        <w:t>p.6; Law on the Election of Members of the National Assembly, art.</w:t>
      </w:r>
      <w:r w:rsidR="00374074" w:rsidRPr="00C44637">
        <w:rPr>
          <w:rStyle w:val="HChGChar"/>
          <w:sz w:val="18"/>
          <w:szCs w:val="18"/>
          <w:cs/>
          <w:lang w:bidi="km-KH"/>
        </w:rPr>
        <w:t xml:space="preserve"> 23</w:t>
      </w:r>
      <w:r w:rsidR="00374074" w:rsidRPr="00C44637">
        <w:rPr>
          <w:rStyle w:val="HChGChar"/>
          <w:b w:val="0"/>
          <w:bCs/>
          <w:sz w:val="18"/>
          <w:szCs w:val="18"/>
          <w:lang w:bidi="km-KH"/>
        </w:rPr>
        <w:t>, p.9; Law on Commune/Sangkat Council Election, art.</w:t>
      </w:r>
      <w:r w:rsidR="00374074" w:rsidRPr="00C44637">
        <w:rPr>
          <w:rStyle w:val="HChGChar"/>
          <w:b w:val="0"/>
          <w:bCs/>
          <w:sz w:val="18"/>
          <w:szCs w:val="18"/>
          <w:cs/>
          <w:lang w:bidi="km-KH"/>
        </w:rPr>
        <w:t xml:space="preserve"> </w:t>
      </w:r>
      <w:r w:rsidR="00374074" w:rsidRPr="00C44637">
        <w:rPr>
          <w:rStyle w:val="HChGChar"/>
          <w:sz w:val="18"/>
          <w:szCs w:val="18"/>
          <w:cs/>
          <w:lang w:bidi="km-KH"/>
        </w:rPr>
        <w:t>3</w:t>
      </w:r>
      <w:r w:rsidR="00374074" w:rsidRPr="00C44637">
        <w:rPr>
          <w:rStyle w:val="HChGChar"/>
          <w:b w:val="0"/>
          <w:bCs/>
          <w:sz w:val="18"/>
          <w:szCs w:val="18"/>
          <w:cs/>
          <w:lang w:bidi="km-KH"/>
        </w:rPr>
        <w:t>5</w:t>
      </w:r>
      <w:r w:rsidR="00374074" w:rsidRPr="00C44637">
        <w:rPr>
          <w:rStyle w:val="HChGChar"/>
          <w:b w:val="0"/>
          <w:bCs/>
          <w:sz w:val="18"/>
          <w:szCs w:val="18"/>
          <w:lang w:bidi="km-KH"/>
        </w:rPr>
        <w:t>, p.16.</w:t>
      </w:r>
    </w:p>
  </w:footnote>
  <w:footnote w:id="114">
    <w:p w14:paraId="3B8F1B74" w14:textId="180FF2CE" w:rsidR="00374074" w:rsidRPr="00624943" w:rsidRDefault="00A42614" w:rsidP="00C44637">
      <w:pPr>
        <w:pStyle w:val="FootnoteText"/>
        <w:rPr>
          <w:rStyle w:val="HChGChar"/>
          <w:b w:val="0"/>
          <w:bCs/>
          <w:sz w:val="20"/>
          <w:cs/>
          <w:lang w:bidi="km-KH"/>
        </w:rPr>
      </w:pPr>
      <w:r>
        <w:rPr>
          <w:rStyle w:val="HChGChar"/>
          <w:sz w:val="20"/>
          <w:lang w:bidi="km-KH"/>
        </w:rPr>
        <w:tab/>
      </w:r>
      <w:r w:rsidR="00374074" w:rsidRPr="00624943">
        <w:rPr>
          <w:rStyle w:val="HChGChar"/>
          <w:b w:val="0"/>
          <w:bCs/>
          <w:sz w:val="20"/>
          <w:vertAlign w:val="superscript"/>
          <w:lang w:bidi="km-KH"/>
        </w:rPr>
        <w:footnoteRef/>
      </w:r>
      <w:r>
        <w:rPr>
          <w:rStyle w:val="HChGChar"/>
          <w:sz w:val="20"/>
          <w:lang w:bidi="km-KH"/>
        </w:rPr>
        <w:tab/>
      </w:r>
      <w:r w:rsidR="00374074" w:rsidRPr="00C44637">
        <w:rPr>
          <w:rStyle w:val="HChGChar"/>
          <w:b w:val="0"/>
          <w:bCs/>
          <w:sz w:val="18"/>
          <w:szCs w:val="18"/>
          <w:lang w:bidi="km-KH"/>
        </w:rPr>
        <w:t>Law on the Election of Members of the National Assembly, art.</w:t>
      </w:r>
      <w:r w:rsidR="00374074" w:rsidRPr="00C44637">
        <w:rPr>
          <w:rStyle w:val="HChGChar"/>
          <w:b w:val="0"/>
          <w:bCs/>
          <w:sz w:val="18"/>
          <w:szCs w:val="18"/>
          <w:cs/>
          <w:lang w:bidi="km-KH"/>
        </w:rPr>
        <w:t xml:space="preserve"> </w:t>
      </w:r>
      <w:r w:rsidR="00374074" w:rsidRPr="00C44637">
        <w:rPr>
          <w:rStyle w:val="HChGChar"/>
          <w:b w:val="0"/>
          <w:bCs/>
          <w:sz w:val="18"/>
          <w:szCs w:val="18"/>
          <w:lang w:bidi="km-KH"/>
        </w:rPr>
        <w:t>107, p.43; Law on the Election of Commune/Sangkat Councils, art.</w:t>
      </w:r>
      <w:r w:rsidR="00374074" w:rsidRPr="00C44637">
        <w:rPr>
          <w:rStyle w:val="HChGChar"/>
          <w:b w:val="0"/>
          <w:bCs/>
          <w:sz w:val="18"/>
          <w:szCs w:val="18"/>
          <w:cs/>
          <w:lang w:bidi="km-KH"/>
        </w:rPr>
        <w:t xml:space="preserve"> </w:t>
      </w:r>
      <w:r w:rsidR="00374074" w:rsidRPr="00C44637">
        <w:rPr>
          <w:rStyle w:val="HChGChar"/>
          <w:b w:val="0"/>
          <w:bCs/>
          <w:sz w:val="18"/>
          <w:szCs w:val="18"/>
          <w:lang w:bidi="km-KH"/>
        </w:rPr>
        <w:t>116, p.39 and Guidebook for the Registration of the Commune/Sangkat Election in the 4th Mandate.</w:t>
      </w:r>
    </w:p>
  </w:footnote>
  <w:footnote w:id="115">
    <w:p w14:paraId="7C1D13AB" w14:textId="12470391" w:rsidR="00374074" w:rsidRPr="00385E92" w:rsidRDefault="00385E92" w:rsidP="00385E92">
      <w:pPr>
        <w:pStyle w:val="FootnoteText"/>
        <w:rPr>
          <w:szCs w:val="18"/>
        </w:rPr>
      </w:pPr>
      <w:r>
        <w:rPr>
          <w:rStyle w:val="HChGChar"/>
          <w:sz w:val="20"/>
          <w:lang w:bidi="km-KH"/>
        </w:rPr>
        <w:tab/>
      </w:r>
      <w:r w:rsidR="00374074" w:rsidRPr="00624943">
        <w:rPr>
          <w:rStyle w:val="HChGChar"/>
          <w:b w:val="0"/>
          <w:bCs/>
          <w:sz w:val="20"/>
          <w:vertAlign w:val="superscript"/>
          <w:lang w:bidi="km-KH"/>
        </w:rPr>
        <w:footnoteRef/>
      </w:r>
      <w:r>
        <w:rPr>
          <w:rStyle w:val="HChGChar"/>
          <w:sz w:val="20"/>
          <w:lang w:bidi="km-KH"/>
        </w:rPr>
        <w:tab/>
      </w:r>
      <w:r w:rsidR="00374074" w:rsidRPr="00385E92">
        <w:rPr>
          <w:rStyle w:val="HChGChar"/>
          <w:b w:val="0"/>
          <w:bCs/>
          <w:sz w:val="18"/>
          <w:szCs w:val="18"/>
          <w:lang w:bidi="km-KH"/>
        </w:rPr>
        <w:t>Guidebook for the National Assembly Election for the 5</w:t>
      </w:r>
      <w:r w:rsidR="00374074" w:rsidRPr="00385E92">
        <w:rPr>
          <w:rStyle w:val="HChGChar"/>
          <w:b w:val="0"/>
          <w:bCs/>
          <w:sz w:val="18"/>
          <w:szCs w:val="18"/>
          <w:vertAlign w:val="superscript"/>
          <w:lang w:bidi="km-KH"/>
        </w:rPr>
        <w:t>th</w:t>
      </w:r>
      <w:r w:rsidR="00374074" w:rsidRPr="00385E92">
        <w:rPr>
          <w:rStyle w:val="HChGChar"/>
          <w:b w:val="0"/>
          <w:bCs/>
          <w:sz w:val="18"/>
          <w:szCs w:val="18"/>
          <w:lang w:bidi="km-KH"/>
        </w:rPr>
        <w:t xml:space="preserve"> Mandate, 2013, p.27. </w:t>
      </w:r>
    </w:p>
  </w:footnote>
  <w:footnote w:id="116">
    <w:p w14:paraId="028881DC" w14:textId="0CAD18FA" w:rsidR="00374074" w:rsidRPr="00624943" w:rsidRDefault="00385E92" w:rsidP="00385E92">
      <w:pPr>
        <w:pStyle w:val="FootnoteText"/>
        <w:rPr>
          <w:cs/>
          <w:lang w:bidi="km-KH"/>
        </w:rPr>
      </w:pPr>
      <w:r>
        <w:tab/>
      </w:r>
      <w:r w:rsidR="00374074" w:rsidRPr="00624943">
        <w:rPr>
          <w:rStyle w:val="FootnoteReference"/>
        </w:rPr>
        <w:footnoteRef/>
      </w:r>
      <w:r>
        <w:tab/>
      </w:r>
      <w:r w:rsidR="00374074" w:rsidRPr="00385E92">
        <w:rPr>
          <w:rFonts w:asciiTheme="majorBidi" w:hAnsiTheme="majorBidi" w:cstheme="majorBidi"/>
          <w:szCs w:val="18"/>
        </w:rPr>
        <w:t>Sub-Decree No. 70 ANKr. BK, dated 24 October 1997, on the Establishment of the National Olympic Committee for Persons with Disabilities</w:t>
      </w:r>
      <w:r w:rsidR="00374074" w:rsidRPr="00385E92">
        <w:rPr>
          <w:rFonts w:asciiTheme="majorBidi" w:hAnsiTheme="majorBidi" w:cstheme="majorBidi"/>
          <w:szCs w:val="18"/>
          <w:cs/>
          <w:lang w:bidi="km-KH"/>
        </w:rPr>
        <w:t>​</w:t>
      </w:r>
      <w:r w:rsidR="00374074" w:rsidRPr="00385E92">
        <w:rPr>
          <w:rFonts w:asciiTheme="majorBidi" w:hAnsiTheme="majorBidi" w:cstheme="majorBidi"/>
          <w:szCs w:val="18"/>
          <w:lang w:val="en-US" w:bidi="km-KH"/>
        </w:rPr>
        <w:t xml:space="preserve"> in Cambodia</w:t>
      </w:r>
      <w:r w:rsidR="00374074" w:rsidRPr="00385E92">
        <w:rPr>
          <w:rFonts w:asciiTheme="majorBidi" w:hAnsiTheme="majorBidi" w:cstheme="majorBidi"/>
          <w:szCs w:val="18"/>
        </w:rPr>
        <w:t>.</w:t>
      </w:r>
    </w:p>
  </w:footnote>
  <w:footnote w:id="117">
    <w:p w14:paraId="49EA766A" w14:textId="5995CB21" w:rsidR="00374074" w:rsidRPr="00624943" w:rsidRDefault="00385E92" w:rsidP="00385E92">
      <w:pPr>
        <w:pStyle w:val="FootnoteText"/>
        <w:rPr>
          <w:cs/>
          <w:lang w:bidi="km-KH"/>
        </w:rPr>
      </w:pPr>
      <w:r>
        <w:tab/>
      </w:r>
      <w:r w:rsidR="00374074" w:rsidRPr="00624943">
        <w:rPr>
          <w:rStyle w:val="FootnoteReference"/>
        </w:rPr>
        <w:footnoteRef/>
      </w:r>
      <w:r w:rsidR="0040290C">
        <w:tab/>
      </w:r>
      <w:r w:rsidR="00374074" w:rsidRPr="00624943">
        <w:t>Sub-Decree No. 14 ANKr.BK, dated 25 January 2016</w:t>
      </w:r>
      <w:r w:rsidR="00374074">
        <w:t xml:space="preserve">, on Provision of Rewards for Persons with Disabilities in the </w:t>
      </w:r>
      <w:r w:rsidR="00374074">
        <w:rPr>
          <w:rFonts w:cs="DaunPenh"/>
          <w:szCs w:val="32"/>
          <w:lang w:bidi="km-KH"/>
        </w:rPr>
        <w:t>Competitions, Special Olympic Competitions, and Allowance for Coaches and Coach Assistants</w:t>
      </w:r>
      <w:r w:rsidR="00374074" w:rsidRPr="00624943">
        <w:t>.</w:t>
      </w:r>
    </w:p>
  </w:footnote>
  <w:footnote w:id="118">
    <w:p w14:paraId="42CDA1C4" w14:textId="168887FE" w:rsidR="00374074" w:rsidRPr="00624943" w:rsidRDefault="0040290C" w:rsidP="00385E92">
      <w:pPr>
        <w:pStyle w:val="FootnoteText"/>
        <w:rPr>
          <w:rStyle w:val="HChGChar"/>
          <w:b w:val="0"/>
          <w:bCs/>
          <w:sz w:val="20"/>
          <w:cs/>
          <w:lang w:bidi="km-KH"/>
        </w:rPr>
      </w:pPr>
      <w:r>
        <w:tab/>
      </w:r>
      <w:r w:rsidR="00374074" w:rsidRPr="00624943">
        <w:rPr>
          <w:rStyle w:val="FootnoteReference"/>
        </w:rPr>
        <w:footnoteRef/>
      </w:r>
      <w:r>
        <w:tab/>
      </w:r>
      <w:r w:rsidR="00374074" w:rsidRPr="00B737AA">
        <w:rPr>
          <w:rStyle w:val="HChGChar"/>
          <w:b w:val="0"/>
          <w:bCs/>
          <w:sz w:val="18"/>
          <w:szCs w:val="18"/>
          <w:lang w:bidi="km-KH"/>
        </w:rPr>
        <w:t>Report of MoSVY sent to Samdech Akka Moha Sena Padei Techo Hun Sen, Prime Minister of the Kingdom of Cambodia</w:t>
      </w:r>
      <w:r w:rsidR="00374074" w:rsidRPr="00B737AA">
        <w:rPr>
          <w:rStyle w:val="HChGChar"/>
          <w:b w:val="0"/>
          <w:bCs/>
          <w:sz w:val="18"/>
          <w:szCs w:val="18"/>
          <w:cs/>
          <w:lang w:bidi="km-KH"/>
        </w:rPr>
        <w:t>.</w:t>
      </w:r>
    </w:p>
  </w:footnote>
  <w:footnote w:id="119">
    <w:p w14:paraId="65C3C434" w14:textId="373077BF" w:rsidR="00374074" w:rsidRPr="00624943" w:rsidRDefault="0040290C" w:rsidP="00385E92">
      <w:pPr>
        <w:pStyle w:val="FootnoteText"/>
        <w:rPr>
          <w:cs/>
          <w:lang w:bidi="km-KH"/>
        </w:rPr>
      </w:pPr>
      <w:r>
        <w:tab/>
      </w:r>
      <w:r w:rsidR="00374074" w:rsidRPr="00624943">
        <w:rPr>
          <w:rStyle w:val="FootnoteReference"/>
        </w:rPr>
        <w:footnoteRef/>
      </w:r>
      <w:r>
        <w:tab/>
      </w:r>
      <w:r w:rsidR="00374074" w:rsidRPr="00624943">
        <w:t xml:space="preserve">Report of Hand of Hope Cambodian Organization. </w:t>
      </w:r>
    </w:p>
  </w:footnote>
  <w:footnote w:id="120">
    <w:p w14:paraId="224ADD3A" w14:textId="3267AAD2" w:rsidR="00374074" w:rsidRPr="00624943" w:rsidRDefault="00CE0957" w:rsidP="00FD6289">
      <w:pPr>
        <w:pStyle w:val="FootnoteText"/>
        <w:rPr>
          <w:lang w:bidi="km-KH"/>
        </w:rPr>
      </w:pPr>
      <w:r>
        <w:tab/>
      </w:r>
      <w:r w:rsidR="00374074" w:rsidRPr="00624943">
        <w:rPr>
          <w:rStyle w:val="FootnoteReference"/>
        </w:rPr>
        <w:footnoteRef/>
      </w:r>
      <w:r>
        <w:tab/>
      </w:r>
      <w:hyperlink r:id="rId7" w:history="1">
        <w:r w:rsidRPr="0086340D">
          <w:rPr>
            <w:rStyle w:val="Hyperlink"/>
            <w:lang w:bidi="km-KH"/>
          </w:rPr>
          <w:t>www.globalitchallenge.com/it</w:t>
        </w:r>
      </w:hyperlink>
      <w:r>
        <w:rPr>
          <w:lang w:bidi="km-KH"/>
        </w:rPr>
        <w:t xml:space="preserve"> </w:t>
      </w:r>
      <w:r w:rsidR="00374074" w:rsidRPr="00624943">
        <w:rPr>
          <w:lang w:bidi="km-KH"/>
        </w:rPr>
        <w:t>.</w:t>
      </w:r>
    </w:p>
  </w:footnote>
  <w:footnote w:id="121">
    <w:p w14:paraId="2D15C7D9" w14:textId="31998DBA" w:rsidR="00374074" w:rsidRPr="00624943" w:rsidRDefault="00D14D10" w:rsidP="00FD6289">
      <w:pPr>
        <w:pStyle w:val="FootnoteText"/>
        <w:rPr>
          <w:rtl/>
          <w:cs/>
        </w:rPr>
      </w:pPr>
      <w:r>
        <w:tab/>
      </w:r>
      <w:r w:rsidR="00374074" w:rsidRPr="00624943">
        <w:rPr>
          <w:rStyle w:val="FootnoteReference"/>
        </w:rPr>
        <w:footnoteRef/>
      </w:r>
      <w:r>
        <w:tab/>
      </w:r>
      <w:r w:rsidR="00374074" w:rsidRPr="00D14D10">
        <w:rPr>
          <w:szCs w:val="18"/>
        </w:rPr>
        <w:t>Royal Kram No. NS/RKM/0208/008, dated 21 September 1993 to promulgate the Constitution of the Kingdom of Cambodia,</w:t>
      </w:r>
      <w:r w:rsidR="00374074" w:rsidRPr="00D14D10">
        <w:rPr>
          <w:szCs w:val="18"/>
          <w:lang w:bidi="km-KH"/>
        </w:rPr>
        <w:t xml:space="preserve"> art. </w:t>
      </w:r>
      <w:r w:rsidR="00374074" w:rsidRPr="00D14D10">
        <w:rPr>
          <w:szCs w:val="18"/>
          <w:cs/>
          <w:lang w:bidi="km-KH"/>
        </w:rPr>
        <w:t>46.</w:t>
      </w:r>
    </w:p>
  </w:footnote>
  <w:footnote w:id="122">
    <w:p w14:paraId="37A09823" w14:textId="4449688B" w:rsidR="00374074" w:rsidRPr="00624943" w:rsidRDefault="00B737AA" w:rsidP="00B737AA">
      <w:pPr>
        <w:pStyle w:val="FootnoteText"/>
        <w:rPr>
          <w:cs/>
          <w:lang w:bidi="km-KH"/>
        </w:rPr>
      </w:pPr>
      <w:r>
        <w:rPr>
          <w:lang w:bidi="km-KH"/>
        </w:rPr>
        <w:tab/>
      </w:r>
      <w:r w:rsidR="00374074" w:rsidRPr="00624943">
        <w:rPr>
          <w:rStyle w:val="FootnoteReference"/>
        </w:rPr>
        <w:footnoteRef/>
      </w:r>
      <w:r>
        <w:rPr>
          <w:lang w:bidi="km-KH"/>
        </w:rPr>
        <w:tab/>
      </w:r>
      <w:r w:rsidR="00374074" w:rsidRPr="00B737AA">
        <w:rPr>
          <w:rStyle w:val="HChGChar"/>
          <w:b w:val="0"/>
          <w:bCs/>
          <w:sz w:val="18"/>
          <w:szCs w:val="18"/>
          <w:lang w:bidi="km-KH"/>
        </w:rPr>
        <w:t>Report from Ministry of Women Affairs, 2016, 2017, 2018</w:t>
      </w:r>
      <w:r w:rsidR="00374074" w:rsidRPr="00B737AA">
        <w:rPr>
          <w:rStyle w:val="HChGChar"/>
          <w:sz w:val="18"/>
          <w:szCs w:val="18"/>
          <w:cs/>
          <w:lang w:bidi="km-KH"/>
        </w:rPr>
        <w:t>.</w:t>
      </w:r>
    </w:p>
  </w:footnote>
  <w:footnote w:id="123">
    <w:p w14:paraId="26F95B6C" w14:textId="5302CDFA" w:rsidR="00374074" w:rsidRPr="00624943" w:rsidRDefault="00B737AA" w:rsidP="00374074">
      <w:pPr>
        <w:pStyle w:val="FootnoteText"/>
      </w:pPr>
      <w:r>
        <w:rPr>
          <w:lang w:bidi="km-KH"/>
        </w:rPr>
        <w:tab/>
      </w:r>
      <w:r w:rsidR="00374074" w:rsidRPr="00624943">
        <w:rPr>
          <w:rStyle w:val="FootnoteReference"/>
        </w:rPr>
        <w:footnoteRef/>
      </w:r>
      <w:r>
        <w:tab/>
      </w:r>
      <w:r w:rsidR="00374074" w:rsidRPr="00624943">
        <w:t>Report from M</w:t>
      </w:r>
      <w:r w:rsidR="00374074">
        <w:t>inistry of Women Affairs</w:t>
      </w:r>
    </w:p>
  </w:footnote>
  <w:footnote w:id="124">
    <w:p w14:paraId="4734F681" w14:textId="29E83606" w:rsidR="00374074" w:rsidRPr="00624943" w:rsidRDefault="0039526F" w:rsidP="00374074">
      <w:pPr>
        <w:pStyle w:val="FootnoteText"/>
        <w:spacing w:line="276" w:lineRule="auto"/>
        <w:rPr>
          <w:rStyle w:val="HChGChar"/>
          <w:sz w:val="20"/>
          <w:lang w:bidi="km-KH"/>
        </w:rPr>
      </w:pPr>
      <w:r>
        <w:tab/>
      </w:r>
      <w:r w:rsidR="00374074" w:rsidRPr="00624943">
        <w:rPr>
          <w:rStyle w:val="FootnoteReference"/>
        </w:rPr>
        <w:footnoteRef/>
      </w:r>
      <w:r>
        <w:tab/>
      </w:r>
      <w:r w:rsidR="00374074">
        <w:t xml:space="preserve">Royal Kram No. NS/RKM/1207/030, dated 8 December 2007 to promulgate the </w:t>
      </w:r>
      <w:r w:rsidR="00374074" w:rsidRPr="00624943">
        <w:rPr>
          <w:lang w:bidi="km-KH"/>
        </w:rPr>
        <w:t>Civil Code</w:t>
      </w:r>
      <w:r w:rsidR="00374074">
        <w:rPr>
          <w:lang w:bidi="km-KH"/>
        </w:rPr>
        <w:t xml:space="preserve"> of the Kingdom of Cambodia</w:t>
      </w:r>
      <w:r w:rsidR="00374074" w:rsidRPr="00624943">
        <w:rPr>
          <w:lang w:bidi="km-KH"/>
        </w:rPr>
        <w:t>,</w:t>
      </w:r>
      <w:r w:rsidR="00374074">
        <w:rPr>
          <w:lang w:bidi="km-KH"/>
        </w:rPr>
        <w:t xml:space="preserve"> art. 1009 and art. 1020. </w:t>
      </w:r>
    </w:p>
  </w:footnote>
  <w:footnote w:id="125">
    <w:p w14:paraId="55E19C83" w14:textId="59416976" w:rsidR="00374074" w:rsidRPr="00624943" w:rsidRDefault="0039526F" w:rsidP="00374074">
      <w:pPr>
        <w:pStyle w:val="FootnoteText"/>
        <w:spacing w:line="276" w:lineRule="auto"/>
      </w:pPr>
      <w:r>
        <w:rPr>
          <w:rFonts w:cs="DaunPenh"/>
          <w:cs/>
          <w:lang w:bidi="km-KH"/>
        </w:rPr>
        <w:tab/>
      </w:r>
      <w:r w:rsidR="00374074" w:rsidRPr="00624943">
        <w:rPr>
          <w:rStyle w:val="FootnoteReference"/>
        </w:rPr>
        <w:footnoteRef/>
      </w:r>
      <w:r>
        <w:rPr>
          <w:rFonts w:cs="DaunPenh"/>
          <w:cs/>
          <w:lang w:bidi="km-KH"/>
        </w:rPr>
        <w:tab/>
      </w:r>
      <w:r w:rsidR="00374074" w:rsidRPr="0039526F">
        <w:rPr>
          <w:szCs w:val="18"/>
        </w:rPr>
        <w:t>Ibid., art.</w:t>
      </w:r>
      <w:r w:rsidR="00374074" w:rsidRPr="0039526F">
        <w:rPr>
          <w:szCs w:val="18"/>
          <w:cs/>
          <w:lang w:bidi="km-KH"/>
        </w:rPr>
        <w:t xml:space="preserve"> 1007.</w:t>
      </w:r>
      <w:r w:rsidR="00374074" w:rsidRPr="00690B9F">
        <w:t xml:space="preserve"> </w:t>
      </w:r>
    </w:p>
  </w:footnote>
  <w:footnote w:id="126">
    <w:p w14:paraId="4B3E2BC6" w14:textId="0EFD8C4F" w:rsidR="00374074" w:rsidRPr="00624943" w:rsidRDefault="0039526F" w:rsidP="00374074">
      <w:pPr>
        <w:pStyle w:val="FootnoteText"/>
        <w:spacing w:line="276" w:lineRule="auto"/>
      </w:pPr>
      <w:r>
        <w:tab/>
      </w:r>
      <w:r w:rsidR="00374074" w:rsidRPr="00624943">
        <w:rPr>
          <w:rStyle w:val="FootnoteReference"/>
        </w:rPr>
        <w:footnoteRef/>
      </w:r>
      <w:r>
        <w:tab/>
      </w:r>
      <w:r w:rsidR="00374074" w:rsidRPr="0039526F">
        <w:rPr>
          <w:szCs w:val="18"/>
        </w:rPr>
        <w:t xml:space="preserve">Ibid., art. </w:t>
      </w:r>
      <w:r w:rsidR="00374074" w:rsidRPr="0039526F">
        <w:rPr>
          <w:szCs w:val="18"/>
          <w:cs/>
        </w:rPr>
        <w:t>1010.</w:t>
      </w:r>
    </w:p>
  </w:footnote>
  <w:footnote w:id="127">
    <w:p w14:paraId="2B223122" w14:textId="7D1502B7" w:rsidR="00374074" w:rsidRPr="00573AC7" w:rsidRDefault="0039526F" w:rsidP="00374074">
      <w:pPr>
        <w:pStyle w:val="FootnoteText"/>
      </w:pPr>
      <w:r>
        <w:tab/>
      </w:r>
      <w:r w:rsidR="00374074" w:rsidRPr="00573AC7">
        <w:rPr>
          <w:rStyle w:val="FootnoteReference"/>
        </w:rPr>
        <w:footnoteRef/>
      </w:r>
      <w:r>
        <w:tab/>
      </w:r>
      <w:r w:rsidR="00374074">
        <w:t>Ibid.,</w:t>
      </w:r>
      <w:r w:rsidR="00374074" w:rsidRPr="00573AC7">
        <w:t xml:space="preserve"> art. 1012. </w:t>
      </w:r>
    </w:p>
  </w:footnote>
  <w:footnote w:id="128">
    <w:p w14:paraId="59C3B5E6" w14:textId="46748F75" w:rsidR="00374074" w:rsidRPr="00624943" w:rsidRDefault="0039526F" w:rsidP="00374074">
      <w:pPr>
        <w:pStyle w:val="FootnoteText"/>
        <w:spacing w:line="276" w:lineRule="auto"/>
        <w:rPr>
          <w:bCs/>
        </w:rPr>
      </w:pPr>
      <w:r>
        <w:tab/>
      </w:r>
      <w:r w:rsidR="00374074" w:rsidRPr="00624943">
        <w:rPr>
          <w:rStyle w:val="FootnoteReference"/>
        </w:rPr>
        <w:footnoteRef/>
      </w:r>
      <w:r>
        <w:tab/>
      </w:r>
      <w:r w:rsidR="00374074" w:rsidRPr="0024262A">
        <w:rPr>
          <w:szCs w:val="18"/>
        </w:rPr>
        <w:t xml:space="preserve">Ministry of Social Affairs, Veterans and Youth Rehabilitation, </w:t>
      </w:r>
      <w:r w:rsidR="00374074" w:rsidRPr="0024262A">
        <w:rPr>
          <w:rStyle w:val="HChGChar"/>
          <w:b w:val="0"/>
          <w:bCs/>
          <w:sz w:val="18"/>
          <w:szCs w:val="18"/>
          <w:lang w:bidi="km-KH"/>
        </w:rPr>
        <w:t>Report of the Department of Child Welfare (2016).</w:t>
      </w:r>
    </w:p>
  </w:footnote>
  <w:footnote w:id="129">
    <w:p w14:paraId="44261C82" w14:textId="700EE0C0" w:rsidR="00374074" w:rsidRPr="00624943" w:rsidRDefault="00C33823" w:rsidP="00374074">
      <w:pPr>
        <w:pStyle w:val="FootnoteText"/>
        <w:spacing w:line="276" w:lineRule="auto"/>
      </w:pPr>
      <w:r>
        <w:tab/>
      </w:r>
      <w:r w:rsidR="00374074" w:rsidRPr="00624943">
        <w:rPr>
          <w:rStyle w:val="FootnoteReference"/>
        </w:rPr>
        <w:footnoteRef/>
      </w:r>
      <w:r>
        <w:tab/>
      </w:r>
      <w:r w:rsidR="00374074" w:rsidRPr="0024262A">
        <w:rPr>
          <w:rStyle w:val="HChGChar"/>
          <w:b w:val="0"/>
          <w:bCs/>
          <w:sz w:val="18"/>
          <w:szCs w:val="18"/>
          <w:lang w:bidi="km-KH"/>
        </w:rPr>
        <w:t>Cambodia Inter-Censal Population Survey</w:t>
      </w:r>
      <w:r w:rsidR="00374074" w:rsidRPr="0024262A">
        <w:rPr>
          <w:rStyle w:val="HChGChar"/>
          <w:b w:val="0"/>
          <w:sz w:val="18"/>
          <w:szCs w:val="18"/>
          <w:lang w:bidi="km-KH"/>
        </w:rPr>
        <w:t>,</w:t>
      </w:r>
      <w:r w:rsidR="00374074" w:rsidRPr="0024262A">
        <w:rPr>
          <w:rStyle w:val="HChGChar"/>
          <w:b w:val="0"/>
          <w:sz w:val="18"/>
          <w:szCs w:val="18"/>
          <w:cs/>
          <w:lang w:bidi="km-KH"/>
        </w:rPr>
        <w:t xml:space="preserve"> </w:t>
      </w:r>
      <w:r w:rsidR="00374074" w:rsidRPr="0024262A">
        <w:rPr>
          <w:rStyle w:val="HChGChar"/>
          <w:b w:val="0"/>
          <w:sz w:val="18"/>
          <w:szCs w:val="18"/>
          <w:lang w:bidi="km-KH"/>
        </w:rPr>
        <w:t>Analysis of the results of CIPS, Report</w:t>
      </w:r>
      <w:r w:rsidR="00374074" w:rsidRPr="0024262A">
        <w:rPr>
          <w:rStyle w:val="HChGChar"/>
          <w:b w:val="0"/>
          <w:sz w:val="18"/>
          <w:szCs w:val="18"/>
          <w:cs/>
          <w:lang w:bidi="km-KH"/>
        </w:rPr>
        <w:t xml:space="preserve"> 5 – </w:t>
      </w:r>
      <w:r w:rsidR="00374074" w:rsidRPr="0024262A">
        <w:rPr>
          <w:rStyle w:val="HChGChar"/>
          <w:b w:val="0"/>
          <w:sz w:val="18"/>
          <w:szCs w:val="18"/>
          <w:lang w:bidi="km-KH"/>
        </w:rPr>
        <w:t xml:space="preserve">Disability </w:t>
      </w:r>
      <w:r w:rsidR="00374074" w:rsidRPr="0024262A">
        <w:rPr>
          <w:rStyle w:val="HChGChar"/>
          <w:b w:val="0"/>
          <w:bCs/>
          <w:sz w:val="18"/>
          <w:szCs w:val="18"/>
          <w:lang w:bidi="km-KH"/>
        </w:rPr>
        <w:t>(2013).</w:t>
      </w:r>
    </w:p>
  </w:footnote>
  <w:footnote w:id="130">
    <w:p w14:paraId="05208CE8" w14:textId="3C6A8C98" w:rsidR="00374074" w:rsidRPr="00624943" w:rsidRDefault="00995251" w:rsidP="00374074">
      <w:pPr>
        <w:pStyle w:val="FootnoteText"/>
        <w:spacing w:line="276" w:lineRule="auto"/>
        <w:rPr>
          <w:cs/>
          <w:lang w:bidi="km-KH"/>
        </w:rPr>
      </w:pPr>
      <w:r>
        <w:tab/>
      </w:r>
      <w:r w:rsidR="00374074" w:rsidRPr="00624943">
        <w:rPr>
          <w:rStyle w:val="FootnoteReference"/>
        </w:rPr>
        <w:footnoteRef/>
      </w:r>
      <w:r>
        <w:tab/>
      </w:r>
      <w:r w:rsidR="00374074" w:rsidRPr="00995251">
        <w:rPr>
          <w:rStyle w:val="HChGChar"/>
          <w:b w:val="0"/>
          <w:bCs/>
          <w:sz w:val="18"/>
          <w:szCs w:val="18"/>
          <w:lang w:bidi="km-KH"/>
        </w:rPr>
        <w:t>National Report on the Final Results of the 2008</w:t>
      </w:r>
      <w:r w:rsidR="00374074" w:rsidRPr="00995251">
        <w:rPr>
          <w:rStyle w:val="HChGChar"/>
          <w:b w:val="0"/>
          <w:bCs/>
          <w:sz w:val="18"/>
          <w:szCs w:val="18"/>
          <w:cs/>
          <w:lang w:bidi="km-KH"/>
        </w:rPr>
        <w:t xml:space="preserve"> </w:t>
      </w:r>
      <w:r w:rsidR="00374074" w:rsidRPr="00995251">
        <w:rPr>
          <w:rStyle w:val="HChGChar"/>
          <w:b w:val="0"/>
          <w:bCs/>
          <w:sz w:val="18"/>
          <w:szCs w:val="18"/>
          <w:lang w:bidi="km-KH"/>
        </w:rPr>
        <w:t>Cambodian Census.</w:t>
      </w:r>
    </w:p>
  </w:footnote>
  <w:footnote w:id="131">
    <w:p w14:paraId="4CCA666A" w14:textId="76877BB9" w:rsidR="00374074" w:rsidRPr="00624943" w:rsidRDefault="00995251" w:rsidP="00374074">
      <w:pPr>
        <w:pStyle w:val="FootnoteText"/>
        <w:spacing w:line="276" w:lineRule="auto"/>
        <w:rPr>
          <w:rtl/>
          <w:cs/>
        </w:rPr>
      </w:pPr>
      <w:r>
        <w:rPr>
          <w:b/>
          <w:lang w:bidi="km-KH"/>
        </w:rPr>
        <w:tab/>
      </w:r>
      <w:r w:rsidR="00374074" w:rsidRPr="00624943">
        <w:rPr>
          <w:rStyle w:val="FootnoteReference"/>
        </w:rPr>
        <w:footnoteRef/>
      </w:r>
      <w:r>
        <w:rPr>
          <w:b/>
        </w:rPr>
        <w:tab/>
      </w:r>
      <w:r w:rsidR="00374074" w:rsidRPr="00995251">
        <w:rPr>
          <w:rStyle w:val="HChGChar"/>
          <w:b w:val="0"/>
          <w:bCs/>
          <w:sz w:val="18"/>
          <w:szCs w:val="18"/>
          <w:lang w:bidi="km-KH"/>
        </w:rPr>
        <w:t>Cambodia Inter-Censal Population Survey (2013).</w:t>
      </w:r>
    </w:p>
  </w:footnote>
  <w:footnote w:id="132">
    <w:p w14:paraId="0BC7CAF3" w14:textId="29D3EE87" w:rsidR="00374074" w:rsidRPr="00624943" w:rsidRDefault="00995251" w:rsidP="00374074">
      <w:pPr>
        <w:pStyle w:val="FootnoteText"/>
        <w:spacing w:line="276" w:lineRule="auto"/>
        <w:rPr>
          <w:cs/>
          <w:lang w:bidi="km-KH"/>
        </w:rPr>
      </w:pPr>
      <w:r>
        <w:tab/>
      </w:r>
      <w:r w:rsidR="00374074" w:rsidRPr="00624943">
        <w:rPr>
          <w:rStyle w:val="FootnoteReference"/>
        </w:rPr>
        <w:footnoteRef/>
      </w:r>
      <w:r>
        <w:tab/>
      </w:r>
      <w:r w:rsidR="00374074">
        <w:t>Royal Kram No. NS/RKM/1207/030, dated 24 December 2015 to promulgate the Law on Statistics, art. 30.</w:t>
      </w:r>
    </w:p>
  </w:footnote>
  <w:footnote w:id="133">
    <w:p w14:paraId="0AC188F9" w14:textId="2F0280A1" w:rsidR="00374074" w:rsidRPr="00624943" w:rsidRDefault="003C38F8" w:rsidP="00374074">
      <w:pPr>
        <w:pStyle w:val="FootnoteText"/>
        <w:spacing w:line="276" w:lineRule="auto"/>
      </w:pPr>
      <w:r>
        <w:tab/>
      </w:r>
      <w:r w:rsidR="00374074" w:rsidRPr="00624943">
        <w:rPr>
          <w:rStyle w:val="FootnoteReference"/>
        </w:rPr>
        <w:footnoteRef/>
      </w:r>
      <w:r>
        <w:tab/>
      </w:r>
      <w:r w:rsidR="00374074" w:rsidRPr="003C38F8">
        <w:rPr>
          <w:rStyle w:val="HChGChar"/>
          <w:b w:val="0"/>
          <w:bCs/>
          <w:sz w:val="18"/>
          <w:szCs w:val="18"/>
          <w:lang w:bidi="km-KH"/>
        </w:rPr>
        <w:t>Disability Rights Initiative Cambodia (DRIC),</w:t>
      </w:r>
      <w:r w:rsidR="00374074" w:rsidRPr="003C38F8">
        <w:rPr>
          <w:rStyle w:val="HChGChar"/>
          <w:b w:val="0"/>
          <w:sz w:val="18"/>
          <w:szCs w:val="18"/>
          <w:lang w:bidi="km-KH"/>
        </w:rPr>
        <w:t xml:space="preserve"> </w:t>
      </w:r>
      <w:r w:rsidR="00374074" w:rsidRPr="003C38F8">
        <w:rPr>
          <w:rStyle w:val="HChGChar"/>
          <w:b w:val="0"/>
          <w:bCs/>
          <w:sz w:val="18"/>
          <w:szCs w:val="18"/>
          <w:lang w:bidi="km-KH"/>
        </w:rPr>
        <w:t>Joint Program Document (2013).</w:t>
      </w:r>
    </w:p>
  </w:footnote>
  <w:footnote w:id="134">
    <w:p w14:paraId="3DB070E1" w14:textId="36DA5A6D" w:rsidR="00374074" w:rsidRPr="00624943" w:rsidRDefault="003C38F8" w:rsidP="00374074">
      <w:pPr>
        <w:pStyle w:val="FootnoteText"/>
        <w:spacing w:line="276" w:lineRule="auto"/>
        <w:rPr>
          <w:lang w:bidi="km-KH"/>
        </w:rPr>
      </w:pPr>
      <w:r>
        <w:tab/>
      </w:r>
      <w:r w:rsidR="00374074" w:rsidRPr="00624943">
        <w:rPr>
          <w:rStyle w:val="FootnoteReference"/>
        </w:rPr>
        <w:footnoteRef/>
      </w:r>
      <w:r>
        <w:tab/>
      </w:r>
      <w:r w:rsidR="00374074">
        <w:t xml:space="preserve">DRIC, </w:t>
      </w:r>
      <w:hyperlink r:id="rId8" w:history="1">
        <w:r w:rsidRPr="0086340D">
          <w:rPr>
            <w:rStyle w:val="Hyperlink"/>
            <w:sz w:val="20"/>
            <w:lang w:bidi="km-KH"/>
          </w:rPr>
          <w:t>http://www.kh.undp.org/content/cambodia/en/home/operations/projects/democratic_governance/disability-rights-initiative-cambodia.html</w:t>
        </w:r>
      </w:hyperlink>
      <w:r>
        <w:rPr>
          <w:rStyle w:val="HChGChar"/>
          <w:b w:val="0"/>
          <w:sz w:val="20"/>
          <w:lang w:bidi="km-KH"/>
        </w:rPr>
        <w:t xml:space="preserve"> </w:t>
      </w:r>
    </w:p>
  </w:footnote>
  <w:footnote w:id="135">
    <w:p w14:paraId="34E738F6" w14:textId="56E8723D" w:rsidR="00374074" w:rsidRPr="003C38F8" w:rsidRDefault="003C38F8" w:rsidP="00374074">
      <w:pPr>
        <w:pStyle w:val="FootnoteText"/>
        <w:spacing w:line="276" w:lineRule="auto"/>
        <w:rPr>
          <w:szCs w:val="18"/>
        </w:rPr>
      </w:pPr>
      <w:r>
        <w:tab/>
      </w:r>
      <w:r w:rsidR="00374074" w:rsidRPr="00624943">
        <w:rPr>
          <w:rStyle w:val="FootnoteReference"/>
        </w:rPr>
        <w:footnoteRef/>
      </w:r>
      <w:r>
        <w:tab/>
      </w:r>
      <w:r w:rsidR="00374074" w:rsidRPr="003C38F8">
        <w:rPr>
          <w:szCs w:val="18"/>
        </w:rPr>
        <w:t>The International Center for Not-for-Profit Law</w:t>
      </w:r>
      <w:r w:rsidR="00374074" w:rsidRPr="003C38F8">
        <w:rPr>
          <w:rStyle w:val="HChGChar"/>
          <w:b w:val="0"/>
          <w:sz w:val="18"/>
          <w:szCs w:val="18"/>
        </w:rPr>
        <w:t xml:space="preserve"> (April </w:t>
      </w:r>
      <w:r w:rsidR="00374074" w:rsidRPr="003C38F8">
        <w:rPr>
          <w:rStyle w:val="HChGChar"/>
          <w:b w:val="0"/>
          <w:sz w:val="18"/>
          <w:szCs w:val="18"/>
          <w:cs/>
        </w:rPr>
        <w:t>2014</w:t>
      </w:r>
      <w:r w:rsidR="00374074" w:rsidRPr="003C38F8">
        <w:rPr>
          <w:rStyle w:val="HChGChar"/>
          <w:b w:val="0"/>
          <w:sz w:val="18"/>
          <w:szCs w:val="18"/>
        </w:rPr>
        <w:t>).</w:t>
      </w:r>
    </w:p>
  </w:footnote>
  <w:footnote w:id="136">
    <w:p w14:paraId="25810B50" w14:textId="4C50AA55" w:rsidR="00374074" w:rsidRPr="00624943" w:rsidRDefault="003C38F8" w:rsidP="00374074">
      <w:pPr>
        <w:pStyle w:val="FootnoteText"/>
        <w:spacing w:line="276" w:lineRule="auto"/>
      </w:pPr>
      <w:r>
        <w:tab/>
      </w:r>
      <w:r w:rsidR="00374074" w:rsidRPr="00624943">
        <w:rPr>
          <w:rStyle w:val="FootnoteReference"/>
        </w:rPr>
        <w:footnoteRef/>
      </w:r>
      <w:r>
        <w:tab/>
      </w:r>
      <w:r w:rsidR="00374074" w:rsidRPr="003C38F8">
        <w:rPr>
          <w:rStyle w:val="HChGChar"/>
          <w:b w:val="0"/>
          <w:bCs/>
          <w:sz w:val="18"/>
          <w:szCs w:val="18"/>
          <w:lang w:bidi="km-KH"/>
        </w:rPr>
        <w:t>Member List of</w:t>
      </w:r>
      <w:r w:rsidR="00374074" w:rsidRPr="003C38F8">
        <w:rPr>
          <w:rStyle w:val="HChGChar"/>
          <w:sz w:val="18"/>
          <w:szCs w:val="18"/>
          <w:lang w:bidi="km-KH"/>
        </w:rPr>
        <w:t xml:space="preserve"> </w:t>
      </w:r>
      <w:r w:rsidR="00374074" w:rsidRPr="003C38F8">
        <w:rPr>
          <w:rStyle w:val="HChGChar"/>
          <w:b w:val="0"/>
          <w:bCs/>
          <w:sz w:val="18"/>
          <w:szCs w:val="18"/>
          <w:lang w:bidi="km-KH"/>
        </w:rPr>
        <w:t xml:space="preserve">Cambodian Disabled People’s Organization, </w:t>
      </w:r>
      <w:hyperlink r:id="rId9" w:history="1">
        <w:r w:rsidR="00374074" w:rsidRPr="003C38F8">
          <w:rPr>
            <w:rStyle w:val="HChGChar"/>
            <w:b w:val="0"/>
            <w:bCs/>
            <w:sz w:val="18"/>
            <w:szCs w:val="18"/>
            <w:lang w:bidi="km-KH"/>
          </w:rPr>
          <w:t>www.cdpo.org</w:t>
        </w:r>
      </w:hyperlink>
      <w:r w:rsidR="00374074" w:rsidRPr="003C38F8">
        <w:rPr>
          <w:rStyle w:val="HChGChar"/>
          <w:b w:val="0"/>
          <w:bCs/>
          <w:sz w:val="18"/>
          <w:szCs w:val="18"/>
          <w:lang w:bidi="km-KH"/>
        </w:rPr>
        <w:t>.</w:t>
      </w:r>
    </w:p>
  </w:footnote>
  <w:footnote w:id="137">
    <w:p w14:paraId="629BBCA6" w14:textId="70A068E4" w:rsidR="00374074" w:rsidRPr="00624943" w:rsidRDefault="003C38F8" w:rsidP="00374074">
      <w:pPr>
        <w:pStyle w:val="FootnoteText"/>
        <w:spacing w:line="276" w:lineRule="auto"/>
        <w:rPr>
          <w:cs/>
          <w:lang w:bidi="km-KH"/>
        </w:rPr>
      </w:pPr>
      <w:r>
        <w:tab/>
      </w:r>
      <w:r w:rsidR="00374074" w:rsidRPr="00624943">
        <w:rPr>
          <w:rStyle w:val="FootnoteReference"/>
        </w:rPr>
        <w:footnoteRef/>
      </w:r>
      <w:r>
        <w:tab/>
      </w:r>
      <w:r w:rsidR="00374074" w:rsidRPr="003C38F8">
        <w:rPr>
          <w:rStyle w:val="HChGChar"/>
          <w:b w:val="0"/>
          <w:bCs/>
          <w:sz w:val="18"/>
          <w:szCs w:val="18"/>
          <w:lang w:bidi="km-KH"/>
        </w:rPr>
        <w:t xml:space="preserve">Sub-Decree No. </w:t>
      </w:r>
      <w:r w:rsidR="00374074" w:rsidRPr="003C38F8">
        <w:rPr>
          <w:rStyle w:val="HChGChar"/>
          <w:sz w:val="18"/>
          <w:szCs w:val="18"/>
          <w:cs/>
          <w:lang w:bidi="km-KH"/>
        </w:rPr>
        <w:t>216</w:t>
      </w:r>
      <w:r w:rsidR="00374074" w:rsidRPr="003C38F8">
        <w:rPr>
          <w:rStyle w:val="HChGChar"/>
          <w:b w:val="0"/>
          <w:bCs/>
          <w:sz w:val="18"/>
          <w:szCs w:val="18"/>
          <w:cs/>
          <w:lang w:bidi="km-KH"/>
        </w:rPr>
        <w:t xml:space="preserve"> </w:t>
      </w:r>
      <w:r w:rsidR="00374074" w:rsidRPr="003C38F8">
        <w:rPr>
          <w:rStyle w:val="HChGChar"/>
          <w:b w:val="0"/>
          <w:bCs/>
          <w:sz w:val="18"/>
          <w:szCs w:val="18"/>
          <w:lang w:bidi="km-KH"/>
        </w:rPr>
        <w:t>ANKr.BK, dated 2 May 2013, on the Organization and Functioning of the Disability Action Council</w:t>
      </w:r>
      <w:r w:rsidR="00374074" w:rsidRPr="003C38F8">
        <w:rPr>
          <w:rStyle w:val="HChGChar"/>
          <w:sz w:val="18"/>
          <w:szCs w:val="18"/>
          <w:cs/>
          <w:lang w:bidi="km-KH"/>
        </w:rPr>
        <w:t>.</w:t>
      </w:r>
    </w:p>
  </w:footnote>
  <w:footnote w:id="138">
    <w:p w14:paraId="0BA11C2D" w14:textId="21EBA560" w:rsidR="00374074" w:rsidRPr="00624943" w:rsidRDefault="003C38F8" w:rsidP="00374074">
      <w:pPr>
        <w:pStyle w:val="FootnoteText"/>
        <w:spacing w:line="276" w:lineRule="auto"/>
        <w:rPr>
          <w:cs/>
          <w:lang w:bidi="km-KH"/>
        </w:rPr>
      </w:pPr>
      <w:r>
        <w:rPr>
          <w:lang w:bidi="km-KH"/>
        </w:rPr>
        <w:tab/>
      </w:r>
      <w:r w:rsidR="00374074" w:rsidRPr="00624943">
        <w:rPr>
          <w:rStyle w:val="FootnoteReference"/>
        </w:rPr>
        <w:footnoteRef/>
      </w:r>
      <w:r>
        <w:tab/>
      </w:r>
      <w:r w:rsidR="00374074" w:rsidRPr="003C38F8">
        <w:rPr>
          <w:szCs w:val="18"/>
        </w:rPr>
        <w:t xml:space="preserve">Ibid., </w:t>
      </w:r>
      <w:r w:rsidR="00374074" w:rsidRPr="003C38F8">
        <w:rPr>
          <w:rStyle w:val="HChGChar"/>
          <w:b w:val="0"/>
          <w:bCs/>
          <w:sz w:val="18"/>
          <w:szCs w:val="18"/>
          <w:lang w:bidi="km-KH"/>
        </w:rPr>
        <w:t>Chapter 3.</w:t>
      </w:r>
    </w:p>
  </w:footnote>
  <w:footnote w:id="139">
    <w:p w14:paraId="3EC2A518" w14:textId="483A6107" w:rsidR="00374074" w:rsidRPr="00624943" w:rsidRDefault="00F170DB" w:rsidP="00374074">
      <w:pPr>
        <w:pStyle w:val="FootnoteText"/>
        <w:spacing w:line="276" w:lineRule="auto"/>
        <w:rPr>
          <w:spacing w:val="-4"/>
          <w:cs/>
          <w:lang w:bidi="km-KH"/>
        </w:rPr>
      </w:pPr>
      <w:r>
        <w:rPr>
          <w:spacing w:val="-4"/>
        </w:rPr>
        <w:tab/>
      </w:r>
      <w:r w:rsidR="00374074" w:rsidRPr="00624943">
        <w:rPr>
          <w:rStyle w:val="FootnoteReference"/>
          <w:spacing w:val="-4"/>
        </w:rPr>
        <w:footnoteRef/>
      </w:r>
      <w:r>
        <w:rPr>
          <w:spacing w:val="-4"/>
        </w:rPr>
        <w:tab/>
      </w:r>
      <w:r w:rsidR="00374074" w:rsidRPr="00F170DB">
        <w:rPr>
          <w:szCs w:val="18"/>
        </w:rPr>
        <w:t>Ibid.,</w:t>
      </w:r>
      <w:r w:rsidR="00374074" w:rsidRPr="00F170DB">
        <w:rPr>
          <w:rStyle w:val="HChGChar"/>
          <w:b w:val="0"/>
          <w:bCs/>
          <w:sz w:val="18"/>
          <w:szCs w:val="18"/>
          <w:lang w:bidi="km-KH"/>
        </w:rPr>
        <w:t xml:space="preserve"> Chapter 2.</w:t>
      </w:r>
    </w:p>
  </w:footnote>
  <w:footnote w:id="140">
    <w:p w14:paraId="4C444CC7" w14:textId="71A0D7F0" w:rsidR="00374074" w:rsidRPr="00624943" w:rsidRDefault="00F170DB" w:rsidP="00374074">
      <w:pPr>
        <w:pStyle w:val="FootnoteText"/>
        <w:spacing w:line="276" w:lineRule="auto"/>
        <w:rPr>
          <w:cs/>
          <w:lang w:bidi="km-KH"/>
        </w:rPr>
      </w:pPr>
      <w:r>
        <w:tab/>
      </w:r>
      <w:r w:rsidR="00374074" w:rsidRPr="00624943">
        <w:rPr>
          <w:rStyle w:val="FootnoteReference"/>
        </w:rPr>
        <w:footnoteRef/>
      </w:r>
      <w:r>
        <w:tab/>
      </w:r>
      <w:r w:rsidR="00374074" w:rsidRPr="00F170DB">
        <w:rPr>
          <w:szCs w:val="18"/>
        </w:rPr>
        <w:t xml:space="preserve">Disability Action Council, </w:t>
      </w:r>
      <w:r w:rsidR="00374074" w:rsidRPr="00F170DB">
        <w:rPr>
          <w:rStyle w:val="HChGChar"/>
          <w:b w:val="0"/>
          <w:bCs/>
          <w:sz w:val="18"/>
          <w:szCs w:val="18"/>
          <w:lang w:bidi="km-KH"/>
        </w:rPr>
        <w:t>Prakas No.</w:t>
      </w:r>
      <w:r w:rsidR="00374074" w:rsidRPr="00F170DB">
        <w:rPr>
          <w:rStyle w:val="HChGChar"/>
          <w:sz w:val="18"/>
          <w:szCs w:val="18"/>
          <w:lang w:bidi="km-KH"/>
        </w:rPr>
        <w:t xml:space="preserve"> </w:t>
      </w:r>
      <w:r w:rsidR="00374074" w:rsidRPr="00F170DB">
        <w:rPr>
          <w:rStyle w:val="HChGChar"/>
          <w:sz w:val="18"/>
          <w:szCs w:val="18"/>
          <w:cs/>
          <w:lang w:bidi="km-KH"/>
        </w:rPr>
        <w:t>002</w:t>
      </w:r>
      <w:r w:rsidR="00374074" w:rsidRPr="00F170DB">
        <w:rPr>
          <w:rStyle w:val="HChGChar"/>
          <w:b w:val="0"/>
          <w:bCs/>
          <w:sz w:val="18"/>
          <w:szCs w:val="18"/>
          <w:lang w:bidi="km-KH"/>
        </w:rPr>
        <w:t>, dated 9 May 2014,</w:t>
      </w:r>
      <w:r w:rsidR="00374074" w:rsidRPr="00F170DB">
        <w:rPr>
          <w:rStyle w:val="HChGChar"/>
          <w:b w:val="0"/>
          <w:bCs/>
          <w:sz w:val="18"/>
          <w:szCs w:val="18"/>
          <w:cs/>
          <w:lang w:bidi="km-KH"/>
        </w:rPr>
        <w:t xml:space="preserve"> </w:t>
      </w:r>
      <w:r w:rsidR="00374074" w:rsidRPr="00F170DB">
        <w:rPr>
          <w:rStyle w:val="HChGChar"/>
          <w:b w:val="0"/>
          <w:bCs/>
          <w:sz w:val="18"/>
          <w:szCs w:val="18"/>
          <w:lang w:bidi="km-KH"/>
        </w:rPr>
        <w:t>on the Organization and Functioning of the Disability Action Council of Capital and Provincial Level.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831B9" w14:textId="77777777" w:rsidR="00AF434B" w:rsidRDefault="005B7CEF">
    <w:pPr>
      <w:pStyle w:val="Header"/>
    </w:pPr>
    <w:r>
      <w:t>CRPD/C/KHM/1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BD41" w14:textId="77777777" w:rsidR="00AF434B" w:rsidRDefault="005B7CEF">
    <w:pPr>
      <w:pStyle w:val="Header"/>
      <w:jc w:val="right"/>
    </w:pPr>
    <w:r>
      <w:t>CRPD/C/KHM/1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1CFEE" w14:textId="77777777" w:rsidR="00AF434B" w:rsidRDefault="00AF434B">
    <w:pPr>
      <w:pStyle w:val="Header"/>
      <w:pBdr>
        <w:bottom w:val="none" w:sz="0" w:space="0" w:color="auto"/>
      </w:pBdr>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54887"/>
    <w:multiLevelType w:val="hybridMultilevel"/>
    <w:tmpl w:val="2B362816"/>
    <w:lvl w:ilvl="0" w:tplc="85AECA38">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6D1C6318" w:tentative="1">
      <w:start w:val="1"/>
      <w:numFmt w:val="lowerLetter"/>
      <w:lvlText w:val="%2."/>
      <w:lvlJc w:val="left"/>
      <w:pPr>
        <w:tabs>
          <w:tab w:val="num" w:pos="1440"/>
        </w:tabs>
        <w:ind w:left="1440" w:hanging="360"/>
      </w:pPr>
    </w:lvl>
    <w:lvl w:ilvl="2" w:tplc="E904DEB4" w:tentative="1">
      <w:start w:val="1"/>
      <w:numFmt w:val="lowerRoman"/>
      <w:lvlText w:val="%3."/>
      <w:lvlJc w:val="right"/>
      <w:pPr>
        <w:tabs>
          <w:tab w:val="num" w:pos="2160"/>
        </w:tabs>
        <w:ind w:left="2160" w:hanging="180"/>
      </w:pPr>
    </w:lvl>
    <w:lvl w:ilvl="3" w:tplc="21865F22" w:tentative="1">
      <w:start w:val="1"/>
      <w:numFmt w:val="decimal"/>
      <w:lvlText w:val="%4."/>
      <w:lvlJc w:val="left"/>
      <w:pPr>
        <w:tabs>
          <w:tab w:val="num" w:pos="2880"/>
        </w:tabs>
        <w:ind w:left="2880" w:hanging="360"/>
      </w:pPr>
    </w:lvl>
    <w:lvl w:ilvl="4" w:tplc="0742EA4E" w:tentative="1">
      <w:start w:val="1"/>
      <w:numFmt w:val="lowerLetter"/>
      <w:lvlText w:val="%5."/>
      <w:lvlJc w:val="left"/>
      <w:pPr>
        <w:tabs>
          <w:tab w:val="num" w:pos="3600"/>
        </w:tabs>
        <w:ind w:left="3600" w:hanging="360"/>
      </w:pPr>
    </w:lvl>
    <w:lvl w:ilvl="5" w:tplc="48648D0C" w:tentative="1">
      <w:start w:val="1"/>
      <w:numFmt w:val="lowerRoman"/>
      <w:lvlText w:val="%6."/>
      <w:lvlJc w:val="right"/>
      <w:pPr>
        <w:tabs>
          <w:tab w:val="num" w:pos="4320"/>
        </w:tabs>
        <w:ind w:left="4320" w:hanging="180"/>
      </w:pPr>
    </w:lvl>
    <w:lvl w:ilvl="6" w:tplc="6F38250E" w:tentative="1">
      <w:start w:val="1"/>
      <w:numFmt w:val="decimal"/>
      <w:lvlText w:val="%7."/>
      <w:lvlJc w:val="left"/>
      <w:pPr>
        <w:tabs>
          <w:tab w:val="num" w:pos="5040"/>
        </w:tabs>
        <w:ind w:left="5040" w:hanging="360"/>
      </w:pPr>
    </w:lvl>
    <w:lvl w:ilvl="7" w:tplc="D4BCC782" w:tentative="1">
      <w:start w:val="1"/>
      <w:numFmt w:val="lowerLetter"/>
      <w:lvlText w:val="%8."/>
      <w:lvlJc w:val="left"/>
      <w:pPr>
        <w:tabs>
          <w:tab w:val="num" w:pos="5760"/>
        </w:tabs>
        <w:ind w:left="5760" w:hanging="360"/>
      </w:pPr>
    </w:lvl>
    <w:lvl w:ilvl="8" w:tplc="6A768E5C" w:tentative="1">
      <w:start w:val="1"/>
      <w:numFmt w:val="lowerRoman"/>
      <w:lvlText w:val="%9."/>
      <w:lvlJc w:val="right"/>
      <w:pPr>
        <w:tabs>
          <w:tab w:val="num" w:pos="6480"/>
        </w:tabs>
        <w:ind w:left="6480" w:hanging="180"/>
      </w:pPr>
    </w:lvl>
  </w:abstractNum>
  <w:abstractNum w:abstractNumId="1" w15:restartNumberingAfterBreak="0">
    <w:nsid w:val="110C1EA1"/>
    <w:multiLevelType w:val="hybridMultilevel"/>
    <w:tmpl w:val="0BE005DC"/>
    <w:lvl w:ilvl="0" w:tplc="65AAA922">
      <w:start w:val="1"/>
      <w:numFmt w:val="decimal"/>
      <w:lvlText w:val="%1."/>
      <w:lvlJc w:val="left"/>
      <w:pPr>
        <w:ind w:left="1854" w:hanging="360"/>
      </w:pPr>
      <w:rPr>
        <w:i w:val="0"/>
        <w:iCs w:val="0"/>
        <w:sz w:val="20"/>
        <w:szCs w:val="20"/>
      </w:rPr>
    </w:lvl>
    <w:lvl w:ilvl="1" w:tplc="47482A2E">
      <w:start w:val="1"/>
      <w:numFmt w:val="upperLetter"/>
      <w:lvlText w:val="%2."/>
      <w:lvlJc w:val="left"/>
      <w:pPr>
        <w:ind w:left="2769" w:hanging="555"/>
      </w:pPr>
      <w:rPr>
        <w:rFonts w:eastAsiaTheme="minorHAnsi" w:hint="default"/>
      </w:r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2" w15:restartNumberingAfterBreak="0">
    <w:nsid w:val="3ACF4EB2"/>
    <w:multiLevelType w:val="hybridMultilevel"/>
    <w:tmpl w:val="CB6C816A"/>
    <w:lvl w:ilvl="0" w:tplc="2B9EDAE6">
      <w:start w:val="1"/>
      <w:numFmt w:val="bullet"/>
      <w:pStyle w:val="Bullet2G"/>
      <w:lvlText w:val="•"/>
      <w:lvlJc w:val="left"/>
      <w:pPr>
        <w:tabs>
          <w:tab w:val="num" w:pos="2268"/>
        </w:tabs>
        <w:ind w:left="2268" w:hanging="170"/>
      </w:pPr>
      <w:rPr>
        <w:rFonts w:ascii="Times New Roman" w:hAnsi="Times New Roman" w:cs="Times New Roman" w:hint="default"/>
      </w:rPr>
    </w:lvl>
    <w:lvl w:ilvl="1" w:tplc="23DE79F6" w:tentative="1">
      <w:start w:val="1"/>
      <w:numFmt w:val="bullet"/>
      <w:lvlText w:val="o"/>
      <w:lvlJc w:val="left"/>
      <w:pPr>
        <w:tabs>
          <w:tab w:val="num" w:pos="3708"/>
        </w:tabs>
        <w:ind w:left="3708" w:hanging="360"/>
      </w:pPr>
      <w:rPr>
        <w:rFonts w:ascii="Courier New" w:hAnsi="Courier New" w:hint="default"/>
      </w:rPr>
    </w:lvl>
    <w:lvl w:ilvl="2" w:tplc="779E5718" w:tentative="1">
      <w:start w:val="1"/>
      <w:numFmt w:val="bullet"/>
      <w:lvlText w:val=""/>
      <w:lvlJc w:val="left"/>
      <w:pPr>
        <w:tabs>
          <w:tab w:val="num" w:pos="4428"/>
        </w:tabs>
        <w:ind w:left="4428" w:hanging="360"/>
      </w:pPr>
      <w:rPr>
        <w:rFonts w:ascii="Wingdings" w:hAnsi="Wingdings" w:hint="default"/>
      </w:rPr>
    </w:lvl>
    <w:lvl w:ilvl="3" w:tplc="C8200084" w:tentative="1">
      <w:start w:val="1"/>
      <w:numFmt w:val="bullet"/>
      <w:lvlText w:val=""/>
      <w:lvlJc w:val="left"/>
      <w:pPr>
        <w:tabs>
          <w:tab w:val="num" w:pos="5148"/>
        </w:tabs>
        <w:ind w:left="5148" w:hanging="360"/>
      </w:pPr>
      <w:rPr>
        <w:rFonts w:ascii="Symbol" w:hAnsi="Symbol" w:hint="default"/>
      </w:rPr>
    </w:lvl>
    <w:lvl w:ilvl="4" w:tplc="27F0ABCE" w:tentative="1">
      <w:start w:val="1"/>
      <w:numFmt w:val="bullet"/>
      <w:lvlText w:val="o"/>
      <w:lvlJc w:val="left"/>
      <w:pPr>
        <w:tabs>
          <w:tab w:val="num" w:pos="5868"/>
        </w:tabs>
        <w:ind w:left="5868" w:hanging="360"/>
      </w:pPr>
      <w:rPr>
        <w:rFonts w:ascii="Courier New" w:hAnsi="Courier New" w:hint="default"/>
      </w:rPr>
    </w:lvl>
    <w:lvl w:ilvl="5" w:tplc="712C0D12" w:tentative="1">
      <w:start w:val="1"/>
      <w:numFmt w:val="bullet"/>
      <w:lvlText w:val=""/>
      <w:lvlJc w:val="left"/>
      <w:pPr>
        <w:tabs>
          <w:tab w:val="num" w:pos="6588"/>
        </w:tabs>
        <w:ind w:left="6588" w:hanging="360"/>
      </w:pPr>
      <w:rPr>
        <w:rFonts w:ascii="Wingdings" w:hAnsi="Wingdings" w:hint="default"/>
      </w:rPr>
    </w:lvl>
    <w:lvl w:ilvl="6" w:tplc="B826117E" w:tentative="1">
      <w:start w:val="1"/>
      <w:numFmt w:val="bullet"/>
      <w:lvlText w:val=""/>
      <w:lvlJc w:val="left"/>
      <w:pPr>
        <w:tabs>
          <w:tab w:val="num" w:pos="7308"/>
        </w:tabs>
        <w:ind w:left="7308" w:hanging="360"/>
      </w:pPr>
      <w:rPr>
        <w:rFonts w:ascii="Symbol" w:hAnsi="Symbol" w:hint="default"/>
      </w:rPr>
    </w:lvl>
    <w:lvl w:ilvl="7" w:tplc="53122A72" w:tentative="1">
      <w:start w:val="1"/>
      <w:numFmt w:val="bullet"/>
      <w:lvlText w:val="o"/>
      <w:lvlJc w:val="left"/>
      <w:pPr>
        <w:tabs>
          <w:tab w:val="num" w:pos="8028"/>
        </w:tabs>
        <w:ind w:left="8028" w:hanging="360"/>
      </w:pPr>
      <w:rPr>
        <w:rFonts w:ascii="Courier New" w:hAnsi="Courier New" w:hint="default"/>
      </w:rPr>
    </w:lvl>
    <w:lvl w:ilvl="8" w:tplc="BD90C16E" w:tentative="1">
      <w:start w:val="1"/>
      <w:numFmt w:val="bullet"/>
      <w:lvlText w:val=""/>
      <w:lvlJc w:val="left"/>
      <w:pPr>
        <w:tabs>
          <w:tab w:val="num" w:pos="8748"/>
        </w:tabs>
        <w:ind w:left="8748" w:hanging="360"/>
      </w:pPr>
      <w:rPr>
        <w:rFonts w:ascii="Wingdings" w:hAnsi="Wingdings" w:hint="default"/>
      </w:rPr>
    </w:lvl>
  </w:abstractNum>
  <w:abstractNum w:abstractNumId="3" w15:restartNumberingAfterBreak="0">
    <w:nsid w:val="4D370577"/>
    <w:multiLevelType w:val="hybridMultilevel"/>
    <w:tmpl w:val="BBD0D00C"/>
    <w:lvl w:ilvl="0" w:tplc="AAAE67A0">
      <w:start w:val="1"/>
      <w:numFmt w:val="decimal"/>
      <w:lvlText w:val="%1."/>
      <w:lvlJc w:val="left"/>
      <w:pPr>
        <w:ind w:left="540" w:hanging="360"/>
      </w:pPr>
      <w:rPr>
        <w:rFonts w:ascii="Times New Roman" w:hAnsi="Times New Roman" w:cs="Times New Roman" w:hint="default"/>
        <w:i w:val="0"/>
        <w:iCs w:val="0"/>
        <w:sz w:val="24"/>
        <w:szCs w:val="24"/>
      </w:rPr>
    </w:lvl>
    <w:lvl w:ilvl="1" w:tplc="08090001">
      <w:start w:val="1"/>
      <w:numFmt w:val="bullet"/>
      <w:lvlText w:val=""/>
      <w:lvlJc w:val="left"/>
      <w:pPr>
        <w:ind w:left="1440" w:hanging="360"/>
      </w:pPr>
      <w:rPr>
        <w:rFonts w:ascii="Symbol" w:hAnsi="Symbol" w:hint="default"/>
      </w:rPr>
    </w:lvl>
    <w:lvl w:ilvl="2" w:tplc="B2B8ABB4">
      <w:start w:val="1"/>
      <w:numFmt w:val="upp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6D275E"/>
    <w:multiLevelType w:val="hybridMultilevel"/>
    <w:tmpl w:val="1BE8F876"/>
    <w:lvl w:ilvl="0" w:tplc="E63419D6">
      <w:start w:val="1"/>
      <w:numFmt w:val="lowerLetter"/>
      <w:lvlText w:val="(%1)"/>
      <w:lvlJc w:val="left"/>
      <w:pPr>
        <w:ind w:left="1854" w:hanging="360"/>
      </w:pPr>
      <w:rPr>
        <w:rFonts w:hint="default"/>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5" w15:restartNumberingAfterBreak="0">
    <w:nsid w:val="5F120A3F"/>
    <w:multiLevelType w:val="hybridMultilevel"/>
    <w:tmpl w:val="7BBECDBE"/>
    <w:lvl w:ilvl="0" w:tplc="E63419D6">
      <w:start w:val="1"/>
      <w:numFmt w:val="lowerLetter"/>
      <w:lvlText w:val="(%1)"/>
      <w:lvlJc w:val="left"/>
      <w:pPr>
        <w:ind w:left="1854" w:hanging="360"/>
      </w:pPr>
      <w:rPr>
        <w:rFonts w:hint="default"/>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6" w15:restartNumberingAfterBreak="0">
    <w:nsid w:val="619F621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8AD07B2"/>
    <w:multiLevelType w:val="hybridMultilevel"/>
    <w:tmpl w:val="7FEE3222"/>
    <w:lvl w:ilvl="0" w:tplc="D9A8C10E">
      <w:start w:val="1"/>
      <w:numFmt w:val="bullet"/>
      <w:pStyle w:val="Bullet1G"/>
      <w:lvlText w:val="•"/>
      <w:lvlJc w:val="left"/>
      <w:pPr>
        <w:tabs>
          <w:tab w:val="num" w:pos="1701"/>
        </w:tabs>
        <w:ind w:left="1701" w:hanging="170"/>
      </w:pPr>
      <w:rPr>
        <w:rFonts w:ascii="Times New Roman" w:hAnsi="Times New Roman" w:cs="Times New Roman" w:hint="default"/>
      </w:rPr>
    </w:lvl>
    <w:lvl w:ilvl="1" w:tplc="BEE879E0" w:tentative="1">
      <w:start w:val="1"/>
      <w:numFmt w:val="bullet"/>
      <w:lvlText w:val="o"/>
      <w:lvlJc w:val="left"/>
      <w:pPr>
        <w:tabs>
          <w:tab w:val="num" w:pos="3141"/>
        </w:tabs>
        <w:ind w:left="3141" w:hanging="360"/>
      </w:pPr>
      <w:rPr>
        <w:rFonts w:ascii="Courier New" w:hAnsi="Courier New" w:hint="default"/>
      </w:rPr>
    </w:lvl>
    <w:lvl w:ilvl="2" w:tplc="E6005210" w:tentative="1">
      <w:start w:val="1"/>
      <w:numFmt w:val="bullet"/>
      <w:lvlText w:val=""/>
      <w:lvlJc w:val="left"/>
      <w:pPr>
        <w:tabs>
          <w:tab w:val="num" w:pos="3861"/>
        </w:tabs>
        <w:ind w:left="3861" w:hanging="360"/>
      </w:pPr>
      <w:rPr>
        <w:rFonts w:ascii="Wingdings" w:hAnsi="Wingdings" w:hint="default"/>
      </w:rPr>
    </w:lvl>
    <w:lvl w:ilvl="3" w:tplc="B2F2A5F8" w:tentative="1">
      <w:start w:val="1"/>
      <w:numFmt w:val="bullet"/>
      <w:lvlText w:val=""/>
      <w:lvlJc w:val="left"/>
      <w:pPr>
        <w:tabs>
          <w:tab w:val="num" w:pos="4581"/>
        </w:tabs>
        <w:ind w:left="4581" w:hanging="360"/>
      </w:pPr>
      <w:rPr>
        <w:rFonts w:ascii="Symbol" w:hAnsi="Symbol" w:hint="default"/>
      </w:rPr>
    </w:lvl>
    <w:lvl w:ilvl="4" w:tplc="BAB8DA20" w:tentative="1">
      <w:start w:val="1"/>
      <w:numFmt w:val="bullet"/>
      <w:lvlText w:val="o"/>
      <w:lvlJc w:val="left"/>
      <w:pPr>
        <w:tabs>
          <w:tab w:val="num" w:pos="5301"/>
        </w:tabs>
        <w:ind w:left="5301" w:hanging="360"/>
      </w:pPr>
      <w:rPr>
        <w:rFonts w:ascii="Courier New" w:hAnsi="Courier New" w:hint="default"/>
      </w:rPr>
    </w:lvl>
    <w:lvl w:ilvl="5" w:tplc="A5809E88" w:tentative="1">
      <w:start w:val="1"/>
      <w:numFmt w:val="bullet"/>
      <w:lvlText w:val=""/>
      <w:lvlJc w:val="left"/>
      <w:pPr>
        <w:tabs>
          <w:tab w:val="num" w:pos="6021"/>
        </w:tabs>
        <w:ind w:left="6021" w:hanging="360"/>
      </w:pPr>
      <w:rPr>
        <w:rFonts w:ascii="Wingdings" w:hAnsi="Wingdings" w:hint="default"/>
      </w:rPr>
    </w:lvl>
    <w:lvl w:ilvl="6" w:tplc="3B164282" w:tentative="1">
      <w:start w:val="1"/>
      <w:numFmt w:val="bullet"/>
      <w:lvlText w:val=""/>
      <w:lvlJc w:val="left"/>
      <w:pPr>
        <w:tabs>
          <w:tab w:val="num" w:pos="6741"/>
        </w:tabs>
        <w:ind w:left="6741" w:hanging="360"/>
      </w:pPr>
      <w:rPr>
        <w:rFonts w:ascii="Symbol" w:hAnsi="Symbol" w:hint="default"/>
      </w:rPr>
    </w:lvl>
    <w:lvl w:ilvl="7" w:tplc="0094A4E8" w:tentative="1">
      <w:start w:val="1"/>
      <w:numFmt w:val="bullet"/>
      <w:lvlText w:val="o"/>
      <w:lvlJc w:val="left"/>
      <w:pPr>
        <w:tabs>
          <w:tab w:val="num" w:pos="7461"/>
        </w:tabs>
        <w:ind w:left="7461" w:hanging="360"/>
      </w:pPr>
      <w:rPr>
        <w:rFonts w:ascii="Courier New" w:hAnsi="Courier New" w:hint="default"/>
      </w:rPr>
    </w:lvl>
    <w:lvl w:ilvl="8" w:tplc="FEACC324" w:tentative="1">
      <w:start w:val="1"/>
      <w:numFmt w:val="bullet"/>
      <w:lvlText w:val=""/>
      <w:lvlJc w:val="left"/>
      <w:pPr>
        <w:tabs>
          <w:tab w:val="num" w:pos="8181"/>
        </w:tabs>
        <w:ind w:left="8181" w:hanging="360"/>
      </w:pPr>
      <w:rPr>
        <w:rFonts w:ascii="Wingdings" w:hAnsi="Wingdings" w:hint="default"/>
      </w:rPr>
    </w:lvl>
  </w:abstractNum>
  <w:abstractNum w:abstractNumId="8"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891358A"/>
    <w:multiLevelType w:val="hybridMultilevel"/>
    <w:tmpl w:val="39F4D4B2"/>
    <w:lvl w:ilvl="0" w:tplc="FFFFFFFF">
      <w:start w:val="1"/>
      <w:numFmt w:val="lowerLetter"/>
      <w:lvlText w:val="(%1)"/>
      <w:lvlJc w:val="left"/>
      <w:pPr>
        <w:ind w:left="1854" w:hanging="360"/>
      </w:pPr>
      <w:rPr>
        <w:rFonts w:hint="default"/>
      </w:rPr>
    </w:lvl>
    <w:lvl w:ilvl="1" w:tplc="E63419D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EA43D96"/>
    <w:multiLevelType w:val="hybridMultilevel"/>
    <w:tmpl w:val="F8F2EC70"/>
    <w:lvl w:ilvl="0" w:tplc="4B22AFE8">
      <w:start w:val="1"/>
      <w:numFmt w:val="lowerLetter"/>
      <w:lvlText w:val="%1."/>
      <w:lvlJc w:val="left"/>
      <w:pPr>
        <w:ind w:left="1494" w:hanging="360"/>
      </w:pPr>
      <w:rPr>
        <w:rFonts w:hint="default"/>
      </w:rPr>
    </w:lvl>
    <w:lvl w:ilvl="1" w:tplc="20000019" w:tentative="1">
      <w:start w:val="1"/>
      <w:numFmt w:val="lowerLetter"/>
      <w:lvlText w:val="%2."/>
      <w:lvlJc w:val="left"/>
      <w:pPr>
        <w:ind w:left="2214" w:hanging="360"/>
      </w:pPr>
    </w:lvl>
    <w:lvl w:ilvl="2" w:tplc="2000001B" w:tentative="1">
      <w:start w:val="1"/>
      <w:numFmt w:val="lowerRoman"/>
      <w:lvlText w:val="%3."/>
      <w:lvlJc w:val="right"/>
      <w:pPr>
        <w:ind w:left="2934" w:hanging="180"/>
      </w:pPr>
    </w:lvl>
    <w:lvl w:ilvl="3" w:tplc="2000000F" w:tentative="1">
      <w:start w:val="1"/>
      <w:numFmt w:val="decimal"/>
      <w:lvlText w:val="%4."/>
      <w:lvlJc w:val="left"/>
      <w:pPr>
        <w:ind w:left="3654" w:hanging="360"/>
      </w:pPr>
    </w:lvl>
    <w:lvl w:ilvl="4" w:tplc="20000019" w:tentative="1">
      <w:start w:val="1"/>
      <w:numFmt w:val="lowerLetter"/>
      <w:lvlText w:val="%5."/>
      <w:lvlJc w:val="left"/>
      <w:pPr>
        <w:ind w:left="4374" w:hanging="360"/>
      </w:pPr>
    </w:lvl>
    <w:lvl w:ilvl="5" w:tplc="2000001B" w:tentative="1">
      <w:start w:val="1"/>
      <w:numFmt w:val="lowerRoman"/>
      <w:lvlText w:val="%6."/>
      <w:lvlJc w:val="right"/>
      <w:pPr>
        <w:ind w:left="5094" w:hanging="180"/>
      </w:pPr>
    </w:lvl>
    <w:lvl w:ilvl="6" w:tplc="2000000F" w:tentative="1">
      <w:start w:val="1"/>
      <w:numFmt w:val="decimal"/>
      <w:lvlText w:val="%7."/>
      <w:lvlJc w:val="left"/>
      <w:pPr>
        <w:ind w:left="5814" w:hanging="360"/>
      </w:pPr>
    </w:lvl>
    <w:lvl w:ilvl="7" w:tplc="20000019" w:tentative="1">
      <w:start w:val="1"/>
      <w:numFmt w:val="lowerLetter"/>
      <w:lvlText w:val="%8."/>
      <w:lvlJc w:val="left"/>
      <w:pPr>
        <w:ind w:left="6534" w:hanging="360"/>
      </w:pPr>
    </w:lvl>
    <w:lvl w:ilvl="8" w:tplc="2000001B" w:tentative="1">
      <w:start w:val="1"/>
      <w:numFmt w:val="lowerRoman"/>
      <w:lvlText w:val="%9."/>
      <w:lvlJc w:val="right"/>
      <w:pPr>
        <w:ind w:left="7254" w:hanging="180"/>
      </w:pPr>
    </w:lvl>
  </w:abstractNum>
  <w:abstractNum w:abstractNumId="11" w15:restartNumberingAfterBreak="0">
    <w:nsid w:val="7F8A1D72"/>
    <w:multiLevelType w:val="hybridMultilevel"/>
    <w:tmpl w:val="CBAAC27A"/>
    <w:lvl w:ilvl="0" w:tplc="E63419D6">
      <w:start w:val="1"/>
      <w:numFmt w:val="lowerLetter"/>
      <w:lvlText w:val="(%1)"/>
      <w:lvlJc w:val="left"/>
      <w:pPr>
        <w:ind w:left="1854" w:hanging="360"/>
      </w:pPr>
      <w:rPr>
        <w:rFonts w:hint="default"/>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num w:numId="1" w16cid:durableId="1795366658">
    <w:abstractNumId w:val="6"/>
  </w:num>
  <w:num w:numId="2" w16cid:durableId="2022275707">
    <w:abstractNumId w:val="8"/>
  </w:num>
  <w:num w:numId="3" w16cid:durableId="1125200957">
    <w:abstractNumId w:val="7"/>
  </w:num>
  <w:num w:numId="4" w16cid:durableId="884563289">
    <w:abstractNumId w:val="2"/>
  </w:num>
  <w:num w:numId="5" w16cid:durableId="1229345284">
    <w:abstractNumId w:val="0"/>
  </w:num>
  <w:num w:numId="6" w16cid:durableId="92095572">
    <w:abstractNumId w:val="3"/>
  </w:num>
  <w:num w:numId="7" w16cid:durableId="703942441">
    <w:abstractNumId w:val="1"/>
  </w:num>
  <w:num w:numId="8" w16cid:durableId="969676748">
    <w:abstractNumId w:val="9"/>
  </w:num>
  <w:num w:numId="9" w16cid:durableId="699430419">
    <w:abstractNumId w:val="11"/>
  </w:num>
  <w:num w:numId="10" w16cid:durableId="883828907">
    <w:abstractNumId w:val="4"/>
  </w:num>
  <w:num w:numId="11" w16cid:durableId="615720090">
    <w:abstractNumId w:val="5"/>
  </w:num>
  <w:num w:numId="12" w16cid:durableId="86155171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hyphenationZone w:val="425"/>
  <w:evenAndOddHeader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34B"/>
    <w:rsid w:val="00030085"/>
    <w:rsid w:val="00054A54"/>
    <w:rsid w:val="00073DD6"/>
    <w:rsid w:val="000C4430"/>
    <w:rsid w:val="001147CF"/>
    <w:rsid w:val="00131CDC"/>
    <w:rsid w:val="001D38B3"/>
    <w:rsid w:val="001E17DA"/>
    <w:rsid w:val="0024262A"/>
    <w:rsid w:val="00252149"/>
    <w:rsid w:val="00270C9E"/>
    <w:rsid w:val="002872D4"/>
    <w:rsid w:val="002A5F5C"/>
    <w:rsid w:val="002A7257"/>
    <w:rsid w:val="002B473D"/>
    <w:rsid w:val="002E04D8"/>
    <w:rsid w:val="002F703D"/>
    <w:rsid w:val="00342ADF"/>
    <w:rsid w:val="0034379F"/>
    <w:rsid w:val="00374074"/>
    <w:rsid w:val="00385E92"/>
    <w:rsid w:val="0039526F"/>
    <w:rsid w:val="003B1C7E"/>
    <w:rsid w:val="003C38F8"/>
    <w:rsid w:val="003D1C42"/>
    <w:rsid w:val="0040290C"/>
    <w:rsid w:val="004056E4"/>
    <w:rsid w:val="0040591D"/>
    <w:rsid w:val="00492D27"/>
    <w:rsid w:val="004C2139"/>
    <w:rsid w:val="004D4599"/>
    <w:rsid w:val="004E75B6"/>
    <w:rsid w:val="005B296B"/>
    <w:rsid w:val="005B7CEF"/>
    <w:rsid w:val="00607124"/>
    <w:rsid w:val="006146BE"/>
    <w:rsid w:val="00666266"/>
    <w:rsid w:val="006719C7"/>
    <w:rsid w:val="006842A3"/>
    <w:rsid w:val="00722B81"/>
    <w:rsid w:val="007A2056"/>
    <w:rsid w:val="007C08F8"/>
    <w:rsid w:val="007E725A"/>
    <w:rsid w:val="00810D2C"/>
    <w:rsid w:val="008C6371"/>
    <w:rsid w:val="00911B7B"/>
    <w:rsid w:val="00921159"/>
    <w:rsid w:val="00981D36"/>
    <w:rsid w:val="00995251"/>
    <w:rsid w:val="009B770D"/>
    <w:rsid w:val="009D2F0A"/>
    <w:rsid w:val="009F4C15"/>
    <w:rsid w:val="00A17804"/>
    <w:rsid w:val="00A42614"/>
    <w:rsid w:val="00A816FF"/>
    <w:rsid w:val="00AF434B"/>
    <w:rsid w:val="00B35851"/>
    <w:rsid w:val="00B376A1"/>
    <w:rsid w:val="00B72C2E"/>
    <w:rsid w:val="00B737AA"/>
    <w:rsid w:val="00C0727E"/>
    <w:rsid w:val="00C33823"/>
    <w:rsid w:val="00C44637"/>
    <w:rsid w:val="00C9141F"/>
    <w:rsid w:val="00CB5620"/>
    <w:rsid w:val="00CE0957"/>
    <w:rsid w:val="00CF61A7"/>
    <w:rsid w:val="00D14D10"/>
    <w:rsid w:val="00D24A8A"/>
    <w:rsid w:val="00D24BC8"/>
    <w:rsid w:val="00D30C36"/>
    <w:rsid w:val="00D7030A"/>
    <w:rsid w:val="00DE5351"/>
    <w:rsid w:val="00DE5958"/>
    <w:rsid w:val="00E02AF8"/>
    <w:rsid w:val="00E7471C"/>
    <w:rsid w:val="00EB7DE7"/>
    <w:rsid w:val="00ED5F12"/>
    <w:rsid w:val="00EE6A67"/>
    <w:rsid w:val="00F01A9F"/>
    <w:rsid w:val="00F170DB"/>
    <w:rsid w:val="00F27CE4"/>
    <w:rsid w:val="00F67C13"/>
    <w:rsid w:val="00F929CE"/>
    <w:rsid w:val="00FB1894"/>
    <w:rsid w:val="00FB33DA"/>
    <w:rsid w:val="00FB38F9"/>
    <w:rsid w:val="00FD6289"/>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BC73F"/>
  <w15:docId w15:val="{1CD2F336-C71E-47E2-B19C-FEAB35E51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149"/>
    <w:pPr>
      <w:suppressAutoHyphens/>
      <w:spacing w:after="0" w:line="240" w:lineRule="atLeast"/>
    </w:pPr>
    <w:rPr>
      <w:rFonts w:ascii="Times New Roman" w:eastAsia="Times New Roman" w:hAnsi="Times New Roman" w:cs="Times New Roman"/>
      <w:sz w:val="20"/>
      <w:szCs w:val="20"/>
      <w:lang w:val="en-GB"/>
    </w:rPr>
  </w:style>
  <w:style w:type="paragraph" w:styleId="Heading1">
    <w:name w:val="heading 1"/>
    <w:aliases w:val="Table_G"/>
    <w:basedOn w:val="SingleTxtG"/>
    <w:next w:val="SingleTxtG"/>
    <w:link w:val="Heading1Char"/>
    <w:uiPriority w:val="9"/>
    <w:qFormat/>
    <w:pPr>
      <w:keepNext/>
      <w:keepLines/>
      <w:spacing w:after="0" w:line="240" w:lineRule="auto"/>
      <w:ind w:right="0"/>
      <w:jc w:val="left"/>
      <w:outlineLvl w:val="0"/>
    </w:pPr>
  </w:style>
  <w:style w:type="paragraph" w:styleId="Heading2">
    <w:name w:val="heading 2"/>
    <w:basedOn w:val="Normal"/>
    <w:next w:val="Normal"/>
    <w:link w:val="Heading2Char"/>
    <w:uiPriority w:val="9"/>
    <w:qFormat/>
    <w:pPr>
      <w:kinsoku w:val="0"/>
      <w:overflowPunct w:val="0"/>
      <w:autoSpaceDE w:val="0"/>
      <w:autoSpaceDN w:val="0"/>
      <w:adjustRightInd w:val="0"/>
      <w:snapToGrid w:val="0"/>
      <w:outlineLvl w:val="1"/>
    </w:pPr>
    <w:rPr>
      <w:rFonts w:eastAsiaTheme="minorHAnsi"/>
      <w:lang w:val="fr-CH"/>
    </w:rPr>
  </w:style>
  <w:style w:type="paragraph" w:styleId="Heading3">
    <w:name w:val="heading 3"/>
    <w:basedOn w:val="Normal"/>
    <w:next w:val="Normal"/>
    <w:link w:val="Heading3Char"/>
    <w:uiPriority w:val="9"/>
    <w:qFormat/>
    <w:pPr>
      <w:kinsoku w:val="0"/>
      <w:overflowPunct w:val="0"/>
      <w:autoSpaceDE w:val="0"/>
      <w:autoSpaceDN w:val="0"/>
      <w:adjustRightInd w:val="0"/>
      <w:snapToGrid w:val="0"/>
      <w:outlineLvl w:val="2"/>
    </w:pPr>
    <w:rPr>
      <w:rFonts w:eastAsiaTheme="minorHAnsi"/>
      <w:lang w:val="fr-CH"/>
    </w:rPr>
  </w:style>
  <w:style w:type="paragraph" w:styleId="Heading4">
    <w:name w:val="heading 4"/>
    <w:basedOn w:val="Normal"/>
    <w:next w:val="Normal"/>
    <w:link w:val="Heading4Char"/>
    <w:uiPriority w:val="9"/>
    <w:qFormat/>
    <w:pPr>
      <w:kinsoku w:val="0"/>
      <w:overflowPunct w:val="0"/>
      <w:autoSpaceDE w:val="0"/>
      <w:autoSpaceDN w:val="0"/>
      <w:adjustRightInd w:val="0"/>
      <w:snapToGrid w:val="0"/>
      <w:outlineLvl w:val="3"/>
    </w:pPr>
    <w:rPr>
      <w:rFonts w:eastAsiaTheme="minorHAnsi"/>
      <w:lang w:val="fr-CH"/>
    </w:rPr>
  </w:style>
  <w:style w:type="paragraph" w:styleId="Heading5">
    <w:name w:val="heading 5"/>
    <w:basedOn w:val="Normal"/>
    <w:next w:val="Normal"/>
    <w:link w:val="Heading5Char"/>
    <w:uiPriority w:val="9"/>
    <w:qFormat/>
    <w:pPr>
      <w:kinsoku w:val="0"/>
      <w:overflowPunct w:val="0"/>
      <w:autoSpaceDE w:val="0"/>
      <w:autoSpaceDN w:val="0"/>
      <w:adjustRightInd w:val="0"/>
      <w:snapToGrid w:val="0"/>
      <w:outlineLvl w:val="4"/>
    </w:pPr>
    <w:rPr>
      <w:rFonts w:eastAsiaTheme="minorHAnsi"/>
      <w:lang w:val="fr-CH"/>
    </w:rPr>
  </w:style>
  <w:style w:type="paragraph" w:styleId="Heading6">
    <w:name w:val="heading 6"/>
    <w:basedOn w:val="Normal"/>
    <w:next w:val="Normal"/>
    <w:link w:val="Heading6Char"/>
    <w:semiHidden/>
    <w:qFormat/>
    <w:pPr>
      <w:kinsoku w:val="0"/>
      <w:overflowPunct w:val="0"/>
      <w:autoSpaceDE w:val="0"/>
      <w:autoSpaceDN w:val="0"/>
      <w:adjustRightInd w:val="0"/>
      <w:snapToGrid w:val="0"/>
      <w:outlineLvl w:val="5"/>
    </w:pPr>
    <w:rPr>
      <w:rFonts w:eastAsiaTheme="minorHAnsi"/>
      <w:lang w:val="fr-CH"/>
    </w:rPr>
  </w:style>
  <w:style w:type="paragraph" w:styleId="Heading7">
    <w:name w:val="heading 7"/>
    <w:basedOn w:val="Normal"/>
    <w:next w:val="Normal"/>
    <w:link w:val="Heading7Char"/>
    <w:semiHidden/>
    <w:qFormat/>
    <w:pPr>
      <w:kinsoku w:val="0"/>
      <w:overflowPunct w:val="0"/>
      <w:autoSpaceDE w:val="0"/>
      <w:autoSpaceDN w:val="0"/>
      <w:adjustRightInd w:val="0"/>
      <w:snapToGrid w:val="0"/>
      <w:outlineLvl w:val="6"/>
    </w:pPr>
    <w:rPr>
      <w:rFonts w:eastAsiaTheme="minorHAnsi"/>
      <w:lang w:val="fr-CH"/>
    </w:rPr>
  </w:style>
  <w:style w:type="paragraph" w:styleId="Heading8">
    <w:name w:val="heading 8"/>
    <w:basedOn w:val="Normal"/>
    <w:next w:val="Normal"/>
    <w:link w:val="Heading8Char"/>
    <w:semiHidden/>
    <w:qFormat/>
    <w:pPr>
      <w:kinsoku w:val="0"/>
      <w:overflowPunct w:val="0"/>
      <w:autoSpaceDE w:val="0"/>
      <w:autoSpaceDN w:val="0"/>
      <w:adjustRightInd w:val="0"/>
      <w:snapToGrid w:val="0"/>
      <w:outlineLvl w:val="7"/>
    </w:pPr>
    <w:rPr>
      <w:rFonts w:eastAsiaTheme="minorHAnsi"/>
      <w:lang w:val="fr-CH"/>
    </w:rPr>
  </w:style>
  <w:style w:type="paragraph" w:styleId="Heading9">
    <w:name w:val="heading 9"/>
    <w:basedOn w:val="Normal"/>
    <w:next w:val="Normal"/>
    <w:link w:val="Heading9Char"/>
    <w:semiHidden/>
    <w:qFormat/>
    <w:pPr>
      <w:kinsoku w:val="0"/>
      <w:overflowPunct w:val="0"/>
      <w:autoSpaceDE w:val="0"/>
      <w:autoSpaceDN w:val="0"/>
      <w:adjustRightInd w:val="0"/>
      <w:snapToGrid w:val="0"/>
      <w:outlineLvl w:val="8"/>
    </w:pPr>
    <w:rPr>
      <w:rFonts w:eastAsiaTheme="minorHAnsi"/>
      <w:lang w:val="fr-C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uiPriority w:val="99"/>
    <w:pPr>
      <w:pBdr>
        <w:bottom w:val="single" w:sz="4" w:space="4" w:color="auto"/>
      </w:pBdr>
      <w:suppressAutoHyphens w:val="0"/>
      <w:spacing w:line="240" w:lineRule="auto"/>
    </w:pPr>
    <w:rPr>
      <w:rFonts w:eastAsiaTheme="minorHAnsi"/>
      <w:b/>
      <w:sz w:val="18"/>
    </w:rPr>
  </w:style>
  <w:style w:type="character" w:customStyle="1" w:styleId="HeaderChar">
    <w:name w:val="Header Char"/>
    <w:aliases w:val="6_G Char"/>
    <w:basedOn w:val="DefaultParagraphFont"/>
    <w:link w:val="Header"/>
    <w:uiPriority w:val="99"/>
    <w:rPr>
      <w:rFonts w:ascii="Times New Roman" w:hAnsi="Times New Roman" w:cs="Times New Roman"/>
      <w:b/>
      <w:sz w:val="18"/>
      <w:szCs w:val="20"/>
      <w:lang w:val="en-GB"/>
    </w:rPr>
  </w:style>
  <w:style w:type="paragraph" w:styleId="Footer">
    <w:name w:val="footer"/>
    <w:aliases w:val="3_G"/>
    <w:basedOn w:val="Normal"/>
    <w:link w:val="FooterChar"/>
    <w:uiPriority w:val="99"/>
    <w:pPr>
      <w:suppressAutoHyphens w:val="0"/>
      <w:spacing w:line="240" w:lineRule="auto"/>
    </w:pPr>
    <w:rPr>
      <w:rFonts w:eastAsiaTheme="minorHAnsi"/>
      <w:sz w:val="16"/>
    </w:rPr>
  </w:style>
  <w:style w:type="character" w:customStyle="1" w:styleId="FooterChar">
    <w:name w:val="Footer Char"/>
    <w:aliases w:val="3_G Char"/>
    <w:basedOn w:val="DefaultParagraphFont"/>
    <w:link w:val="Footer"/>
    <w:uiPriority w:val="99"/>
    <w:rPr>
      <w:rFonts w:ascii="Times New Roman" w:hAnsi="Times New Roman" w:cs="Times New Roman"/>
      <w:sz w:val="16"/>
      <w:szCs w:val="20"/>
      <w:lang w:val="en-GB"/>
    </w:rPr>
  </w:style>
  <w:style w:type="paragraph" w:customStyle="1" w:styleId="HMG">
    <w:name w:val="_ H __M_G"/>
    <w:basedOn w:val="Normal"/>
    <w:next w:val="Normal"/>
    <w:qFormat/>
    <w:pPr>
      <w:keepNext/>
      <w:keepLines/>
      <w:tabs>
        <w:tab w:val="right" w:pos="851"/>
      </w:tabs>
      <w:kinsoku w:val="0"/>
      <w:overflowPunct w:val="0"/>
      <w:autoSpaceDE w:val="0"/>
      <w:autoSpaceDN w:val="0"/>
      <w:adjustRightInd w:val="0"/>
      <w:snapToGrid w:val="0"/>
      <w:spacing w:before="240" w:after="240" w:line="360" w:lineRule="exact"/>
      <w:ind w:left="1134" w:right="1134" w:hanging="1134"/>
      <w:outlineLvl w:val="0"/>
    </w:pPr>
    <w:rPr>
      <w:rFonts w:eastAsiaTheme="minorHAnsi"/>
      <w:b/>
      <w:sz w:val="34"/>
    </w:rPr>
  </w:style>
  <w:style w:type="paragraph" w:customStyle="1" w:styleId="HChG">
    <w:name w:val="_ H _Ch_G"/>
    <w:basedOn w:val="Normal"/>
    <w:next w:val="Normal"/>
    <w:link w:val="HChGChar"/>
    <w:qFormat/>
    <w:pPr>
      <w:keepNext/>
      <w:keepLines/>
      <w:tabs>
        <w:tab w:val="right" w:pos="851"/>
      </w:tabs>
      <w:kinsoku w:val="0"/>
      <w:overflowPunct w:val="0"/>
      <w:autoSpaceDE w:val="0"/>
      <w:autoSpaceDN w:val="0"/>
      <w:adjustRightInd w:val="0"/>
      <w:snapToGrid w:val="0"/>
      <w:spacing w:before="360" w:after="240" w:line="300" w:lineRule="exact"/>
      <w:ind w:left="1134" w:right="1134" w:hanging="1134"/>
      <w:outlineLvl w:val="1"/>
    </w:pPr>
    <w:rPr>
      <w:rFonts w:eastAsiaTheme="minorHAnsi"/>
      <w:b/>
      <w:sz w:val="28"/>
    </w:rPr>
  </w:style>
  <w:style w:type="paragraph" w:customStyle="1" w:styleId="H1G">
    <w:name w:val="_ H_1_G"/>
    <w:basedOn w:val="Normal"/>
    <w:next w:val="Normal"/>
    <w:qFormat/>
    <w:pPr>
      <w:keepNext/>
      <w:keepLines/>
      <w:tabs>
        <w:tab w:val="right" w:pos="851"/>
      </w:tabs>
      <w:kinsoku w:val="0"/>
      <w:overflowPunct w:val="0"/>
      <w:autoSpaceDE w:val="0"/>
      <w:autoSpaceDN w:val="0"/>
      <w:adjustRightInd w:val="0"/>
      <w:snapToGrid w:val="0"/>
      <w:spacing w:before="360" w:after="240" w:line="270" w:lineRule="exact"/>
      <w:ind w:left="1134" w:right="1134" w:hanging="1134"/>
      <w:outlineLvl w:val="2"/>
    </w:pPr>
    <w:rPr>
      <w:rFonts w:eastAsiaTheme="minorHAnsi"/>
      <w:b/>
      <w:sz w:val="24"/>
    </w:rPr>
  </w:style>
  <w:style w:type="paragraph" w:customStyle="1" w:styleId="H23G">
    <w:name w:val="_ H_2/3_G"/>
    <w:basedOn w:val="Normal"/>
    <w:next w:val="Normal"/>
    <w:qFormat/>
    <w:pPr>
      <w:keepNext/>
      <w:keepLines/>
      <w:tabs>
        <w:tab w:val="right" w:pos="851"/>
      </w:tabs>
      <w:kinsoku w:val="0"/>
      <w:overflowPunct w:val="0"/>
      <w:autoSpaceDE w:val="0"/>
      <w:autoSpaceDN w:val="0"/>
      <w:adjustRightInd w:val="0"/>
      <w:snapToGrid w:val="0"/>
      <w:spacing w:before="240" w:after="120" w:line="240" w:lineRule="exact"/>
      <w:ind w:left="1134" w:right="1134" w:hanging="1134"/>
      <w:outlineLvl w:val="3"/>
    </w:pPr>
    <w:rPr>
      <w:rFonts w:eastAsiaTheme="minorHAnsi"/>
      <w:b/>
    </w:rPr>
  </w:style>
  <w:style w:type="paragraph" w:customStyle="1" w:styleId="H4G">
    <w:name w:val="_ H_4_G"/>
    <w:basedOn w:val="Normal"/>
    <w:next w:val="Normal"/>
    <w:qFormat/>
    <w:pPr>
      <w:keepNext/>
      <w:keepLines/>
      <w:tabs>
        <w:tab w:val="right" w:pos="851"/>
      </w:tabs>
      <w:kinsoku w:val="0"/>
      <w:overflowPunct w:val="0"/>
      <w:autoSpaceDE w:val="0"/>
      <w:autoSpaceDN w:val="0"/>
      <w:adjustRightInd w:val="0"/>
      <w:snapToGrid w:val="0"/>
      <w:spacing w:before="240" w:after="120" w:line="240" w:lineRule="exact"/>
      <w:ind w:left="1134" w:right="1134" w:hanging="1134"/>
      <w:outlineLvl w:val="4"/>
    </w:pPr>
    <w:rPr>
      <w:rFonts w:eastAsiaTheme="minorHAnsi"/>
      <w:i/>
    </w:rPr>
  </w:style>
  <w:style w:type="paragraph" w:customStyle="1" w:styleId="H56G">
    <w:name w:val="_ H_5/6_G"/>
    <w:basedOn w:val="Normal"/>
    <w:next w:val="Normal"/>
    <w:qFormat/>
    <w:pPr>
      <w:keepNext/>
      <w:keepLines/>
      <w:tabs>
        <w:tab w:val="right" w:pos="851"/>
      </w:tabs>
      <w:kinsoku w:val="0"/>
      <w:overflowPunct w:val="0"/>
      <w:autoSpaceDE w:val="0"/>
      <w:autoSpaceDN w:val="0"/>
      <w:adjustRightInd w:val="0"/>
      <w:snapToGrid w:val="0"/>
      <w:spacing w:before="240" w:after="120" w:line="240" w:lineRule="exact"/>
      <w:ind w:left="1134" w:right="1134" w:hanging="1134"/>
      <w:outlineLvl w:val="5"/>
    </w:pPr>
    <w:rPr>
      <w:rFonts w:eastAsiaTheme="minorHAnsi"/>
    </w:rPr>
  </w:style>
  <w:style w:type="paragraph" w:customStyle="1" w:styleId="SingleTxtG">
    <w:name w:val="_ Single Txt_G"/>
    <w:basedOn w:val="Normal"/>
    <w:link w:val="SingleTxtGChar"/>
    <w:qFormat/>
    <w:pPr>
      <w:tabs>
        <w:tab w:val="left" w:pos="1701"/>
        <w:tab w:val="left" w:pos="2268"/>
        <w:tab w:val="left" w:pos="2835"/>
      </w:tabs>
      <w:kinsoku w:val="0"/>
      <w:overflowPunct w:val="0"/>
      <w:autoSpaceDE w:val="0"/>
      <w:autoSpaceDN w:val="0"/>
      <w:adjustRightInd w:val="0"/>
      <w:snapToGrid w:val="0"/>
      <w:spacing w:after="120"/>
      <w:ind w:left="1134" w:right="1134"/>
      <w:jc w:val="both"/>
    </w:pPr>
    <w:rPr>
      <w:rFonts w:eastAsiaTheme="minorHAnsi"/>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qFormat/>
    <w:pPr>
      <w:numPr>
        <w:numId w:val="3"/>
      </w:numPr>
      <w:kinsoku w:val="0"/>
      <w:overflowPunct w:val="0"/>
      <w:autoSpaceDE w:val="0"/>
      <w:autoSpaceDN w:val="0"/>
      <w:adjustRightInd w:val="0"/>
      <w:snapToGrid w:val="0"/>
      <w:spacing w:after="120"/>
      <w:ind w:right="1134"/>
      <w:jc w:val="both"/>
    </w:pPr>
    <w:rPr>
      <w:rFonts w:eastAsiaTheme="minorHAnsi"/>
    </w:rPr>
  </w:style>
  <w:style w:type="paragraph" w:customStyle="1" w:styleId="Bullet2G">
    <w:name w:val="_Bullet 2_G"/>
    <w:basedOn w:val="Normal"/>
    <w:qFormat/>
    <w:pPr>
      <w:numPr>
        <w:numId w:val="4"/>
      </w:numPr>
      <w:kinsoku w:val="0"/>
      <w:overflowPunct w:val="0"/>
      <w:autoSpaceDE w:val="0"/>
      <w:autoSpaceDN w:val="0"/>
      <w:adjustRightInd w:val="0"/>
      <w:snapToGrid w:val="0"/>
      <w:spacing w:after="120"/>
      <w:ind w:right="1134"/>
      <w:jc w:val="both"/>
    </w:pPr>
    <w:rPr>
      <w:rFonts w:eastAsiaTheme="minorHAnsi"/>
    </w:rPr>
  </w:style>
  <w:style w:type="paragraph" w:customStyle="1" w:styleId="ParNoG">
    <w:name w:val="_ParNo_G"/>
    <w:basedOn w:val="Normal"/>
    <w:qFormat/>
    <w:pPr>
      <w:numPr>
        <w:numId w:val="5"/>
      </w:numPr>
      <w:tabs>
        <w:tab w:val="left" w:pos="1701"/>
        <w:tab w:val="left" w:pos="2268"/>
        <w:tab w:val="left" w:pos="2835"/>
      </w:tabs>
      <w:kinsoku w:val="0"/>
      <w:overflowPunct w:val="0"/>
      <w:autoSpaceDE w:val="0"/>
      <w:autoSpaceDN w:val="0"/>
      <w:adjustRightInd w:val="0"/>
      <w:snapToGrid w:val="0"/>
      <w:spacing w:after="120"/>
      <w:ind w:right="1134"/>
      <w:jc w:val="both"/>
    </w:pPr>
    <w:rPr>
      <w:rFonts w:eastAsiaTheme="minorHAnsi"/>
    </w:rPr>
  </w:style>
  <w:style w:type="character" w:styleId="FootnoteReference">
    <w:name w:val="footnote reference"/>
    <w:aliases w:val="4_G,ftref,Footnotes refss,Footnote text,4_G Char Char Char Char,Footnotes refss Char Char Char Char,ftref Char Char Char Char,BVI fnr Char Char Char Char,BVI fnr Car Car Char Char Char Char,BVI fnr Car Char Char Char Char"/>
    <w:basedOn w:val="DefaultParagraphFont"/>
    <w:link w:val="4GCharCharChar"/>
    <w:uiPriority w:val="99"/>
    <w:qFormat/>
    <w:rPr>
      <w:rFonts w:ascii="Times New Roman" w:hAnsi="Times New Roman"/>
      <w:sz w:val="18"/>
      <w:vertAlign w:val="superscript"/>
      <w:lang w:val="en-GB"/>
    </w:rPr>
  </w:style>
  <w:style w:type="character" w:styleId="EndnoteReference">
    <w:name w:val="endnote reference"/>
    <w:aliases w:val="1_G"/>
    <w:basedOn w:val="FootnoteReference"/>
    <w:uiPriority w:val="99"/>
    <w:qFormat/>
    <w:rPr>
      <w:rFonts w:ascii="Times New Roman" w:hAnsi="Times New Roman"/>
      <w:sz w:val="18"/>
      <w:vertAlign w:val="superscript"/>
      <w:lang w:val="en-GB"/>
    </w:rPr>
  </w:style>
  <w:style w:type="table" w:styleId="TableGrid">
    <w:name w:val="Table Grid"/>
    <w:basedOn w:val="TableNormal"/>
    <w:pPr>
      <w:suppressAutoHyphens/>
      <w:spacing w:after="0" w:line="240" w:lineRule="atLeas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rPr>
      <w:color w:val="0000FF"/>
      <w:u w:val="none"/>
    </w:rPr>
  </w:style>
  <w:style w:type="character" w:styleId="FollowedHyperlink">
    <w:name w:val="FollowedHyperlink"/>
    <w:basedOn w:val="DefaultParagraphFont"/>
    <w:uiPriority w:val="99"/>
    <w:semiHidden/>
    <w:rPr>
      <w:color w:val="0000FF"/>
      <w:u w:val="none"/>
    </w:rPr>
  </w:style>
  <w:style w:type="paragraph" w:styleId="FootnoteText">
    <w:name w:val="footnote text"/>
    <w:aliases w:val="5_G,ft,single space,fn,FOOTNOTES,Geneva 9,Font: Geneva 9,Boston 10,f,脚注文字列 Char2,脚注文字列 Char3 Char Char,脚注文字列 Char2 Char1 Char Char,脚注文字列 Char Char Char Char1 Char,Footnote Text Char Char Char Char1 Char Char Char, Car, Char,Car Char,Car"/>
    <w:basedOn w:val="Normal"/>
    <w:link w:val="FootnoteTextChar"/>
    <w:uiPriority w:val="99"/>
    <w:qFormat/>
    <w:pPr>
      <w:tabs>
        <w:tab w:val="right" w:pos="1021"/>
      </w:tabs>
      <w:kinsoku w:val="0"/>
      <w:overflowPunct w:val="0"/>
      <w:autoSpaceDE w:val="0"/>
      <w:autoSpaceDN w:val="0"/>
      <w:adjustRightInd w:val="0"/>
      <w:snapToGrid w:val="0"/>
      <w:spacing w:line="220" w:lineRule="exact"/>
      <w:ind w:left="1134" w:right="1134" w:hanging="1134"/>
    </w:pPr>
    <w:rPr>
      <w:rFonts w:eastAsiaTheme="minorHAnsi"/>
      <w:sz w:val="18"/>
    </w:rPr>
  </w:style>
  <w:style w:type="character" w:customStyle="1" w:styleId="FootnoteTextChar">
    <w:name w:val="Footnote Text Char"/>
    <w:aliases w:val="5_G Char,ft Char,single space Char,fn Char,FOOTNOTES Char,Geneva 9 Char,Font: Geneva 9 Char,Boston 10 Char,f Char,脚注文字列 Char2 Char,脚注文字列 Char3 Char Char Char,脚注文字列 Char2 Char1 Char Char Char,脚注文字列 Char Char Char Char1 Char Char"/>
    <w:basedOn w:val="DefaultParagraphFont"/>
    <w:link w:val="FootnoteText"/>
    <w:uiPriority w:val="99"/>
    <w:rPr>
      <w:rFonts w:ascii="Times New Roman" w:hAnsi="Times New Roman" w:cs="Times New Roman"/>
      <w:sz w:val="18"/>
      <w:szCs w:val="20"/>
      <w:lang w:val="en-GB"/>
    </w:rPr>
  </w:style>
  <w:style w:type="paragraph" w:styleId="EndnoteText">
    <w:name w:val="endnote text"/>
    <w:aliases w:val="2_G"/>
    <w:basedOn w:val="FootnoteText"/>
    <w:link w:val="EndnoteTextChar"/>
    <w:uiPriority w:val="99"/>
    <w:qFormat/>
  </w:style>
  <w:style w:type="character" w:customStyle="1" w:styleId="EndnoteTextChar">
    <w:name w:val="Endnote Text Char"/>
    <w:aliases w:val="2_G Char"/>
    <w:basedOn w:val="DefaultParagraphFont"/>
    <w:link w:val="EndnoteText"/>
    <w:uiPriority w:val="99"/>
    <w:rPr>
      <w:rFonts w:ascii="Times New Roman" w:hAnsi="Times New Roman" w:cs="Times New Roman"/>
      <w:sz w:val="18"/>
      <w:szCs w:val="20"/>
      <w:lang w:val="en-GB"/>
    </w:rPr>
  </w:style>
  <w:style w:type="character" w:styleId="PageNumber">
    <w:name w:val="page number"/>
    <w:aliases w:val="7_G"/>
    <w:basedOn w:val="DefaultParagraphFont"/>
    <w:qFormat/>
    <w:rPr>
      <w:rFonts w:ascii="Times New Roman" w:hAnsi="Times New Roman"/>
      <w:b/>
      <w:sz w:val="18"/>
      <w:lang w:val="en-GB"/>
    </w:rPr>
  </w:style>
  <w:style w:type="character" w:customStyle="1" w:styleId="Heading1Char">
    <w:name w:val="Heading 1 Char"/>
    <w:aliases w:val="Table_G Char"/>
    <w:basedOn w:val="DefaultParagraphFont"/>
    <w:link w:val="Heading1"/>
    <w:uiPriority w:val="9"/>
    <w:rPr>
      <w:rFonts w:ascii="Times New Roman" w:hAnsi="Times New Roman" w:cs="Times New Roman"/>
      <w:sz w:val="20"/>
      <w:szCs w:val="20"/>
    </w:rPr>
  </w:style>
  <w:style w:type="character" w:customStyle="1" w:styleId="Heading2Char">
    <w:name w:val="Heading 2 Char"/>
    <w:basedOn w:val="DefaultParagraphFont"/>
    <w:link w:val="Heading2"/>
    <w:uiPriority w:val="9"/>
    <w:rPr>
      <w:rFonts w:ascii="Times New Roman" w:hAnsi="Times New Roman" w:cs="Times New Roman"/>
      <w:sz w:val="20"/>
      <w:szCs w:val="20"/>
    </w:rPr>
  </w:style>
  <w:style w:type="character" w:customStyle="1" w:styleId="Heading3Char">
    <w:name w:val="Heading 3 Char"/>
    <w:basedOn w:val="DefaultParagraphFont"/>
    <w:link w:val="Heading3"/>
    <w:uiPriority w:val="9"/>
    <w:rPr>
      <w:rFonts w:ascii="Times New Roman" w:hAnsi="Times New Roman" w:cs="Times New Roman"/>
      <w:sz w:val="20"/>
      <w:szCs w:val="20"/>
    </w:rPr>
  </w:style>
  <w:style w:type="character" w:customStyle="1" w:styleId="Heading4Char">
    <w:name w:val="Heading 4 Char"/>
    <w:basedOn w:val="DefaultParagraphFont"/>
    <w:link w:val="Heading4"/>
    <w:uiPriority w:val="9"/>
    <w:rPr>
      <w:rFonts w:ascii="Times New Roman" w:hAnsi="Times New Roman" w:cs="Times New Roman"/>
      <w:sz w:val="20"/>
      <w:szCs w:val="20"/>
    </w:rPr>
  </w:style>
  <w:style w:type="character" w:customStyle="1" w:styleId="Heading5Char">
    <w:name w:val="Heading 5 Char"/>
    <w:basedOn w:val="DefaultParagraphFont"/>
    <w:link w:val="Heading5"/>
    <w:uiPriority w:val="9"/>
    <w:rPr>
      <w:rFonts w:ascii="Times New Roman" w:hAnsi="Times New Roman" w:cs="Times New Roman"/>
      <w:sz w:val="20"/>
      <w:szCs w:val="20"/>
    </w:rPr>
  </w:style>
  <w:style w:type="character" w:customStyle="1" w:styleId="Heading6Char">
    <w:name w:val="Heading 6 Char"/>
    <w:basedOn w:val="DefaultParagraphFont"/>
    <w:link w:val="Heading6"/>
    <w:semiHidden/>
    <w:rPr>
      <w:rFonts w:ascii="Times New Roman" w:hAnsi="Times New Roman" w:cs="Times New Roman"/>
      <w:sz w:val="20"/>
      <w:szCs w:val="20"/>
    </w:rPr>
  </w:style>
  <w:style w:type="character" w:customStyle="1" w:styleId="Heading7Char">
    <w:name w:val="Heading 7 Char"/>
    <w:basedOn w:val="DefaultParagraphFont"/>
    <w:link w:val="Heading7"/>
    <w:semiHidden/>
    <w:rPr>
      <w:rFonts w:ascii="Times New Roman" w:hAnsi="Times New Roman" w:cs="Times New Roman"/>
      <w:sz w:val="20"/>
      <w:szCs w:val="20"/>
    </w:rPr>
  </w:style>
  <w:style w:type="character" w:customStyle="1" w:styleId="Heading8Char">
    <w:name w:val="Heading 8 Char"/>
    <w:basedOn w:val="DefaultParagraphFont"/>
    <w:link w:val="Heading8"/>
    <w:semiHidden/>
    <w:rPr>
      <w:rFonts w:ascii="Times New Roman" w:hAnsi="Times New Roman" w:cs="Times New Roman"/>
      <w:sz w:val="20"/>
      <w:szCs w:val="20"/>
    </w:rPr>
  </w:style>
  <w:style w:type="character" w:customStyle="1" w:styleId="Heading9Char">
    <w:name w:val="Heading 9 Char"/>
    <w:basedOn w:val="DefaultParagraphFont"/>
    <w:link w:val="Heading9"/>
    <w:semiHidden/>
    <w:rPr>
      <w:rFonts w:ascii="Times New Roman" w:hAnsi="Times New Roman" w:cs="Times New Roman"/>
      <w:sz w:val="20"/>
      <w:szCs w:val="20"/>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GB"/>
    </w:rPr>
  </w:style>
  <w:style w:type="numbering" w:styleId="111111">
    <w:name w:val="Outline List 2"/>
    <w:basedOn w:val="NoList"/>
    <w:semiHidden/>
    <w:pPr>
      <w:numPr>
        <w:numId w:val="1"/>
      </w:numPr>
    </w:pPr>
  </w:style>
  <w:style w:type="numbering" w:styleId="1ai">
    <w:name w:val="Outline List 1"/>
    <w:basedOn w:val="NoList"/>
    <w:semiHidden/>
    <w:pPr>
      <w:numPr>
        <w:numId w:val="2"/>
      </w:numPr>
    </w:pPr>
  </w:style>
  <w:style w:type="character" w:customStyle="1" w:styleId="SingleTxtGChar">
    <w:name w:val="_ Single Txt_G Char"/>
    <w:link w:val="SingleTxtG"/>
    <w:locked/>
    <w:rPr>
      <w:rFonts w:ascii="Times New Roman" w:hAnsi="Times New Roman" w:cs="Times New Roman"/>
      <w:sz w:val="20"/>
      <w:szCs w:val="20"/>
      <w:lang w:val="en-GB"/>
    </w:rPr>
  </w:style>
  <w:style w:type="table" w:customStyle="1" w:styleId="TableGrid1">
    <w:name w:val="Table Grid1"/>
    <w:basedOn w:val="TableNormal"/>
    <w:pPr>
      <w:suppressAutoHyphens/>
      <w:spacing w:after="0" w:line="240" w:lineRule="atLeast"/>
    </w:pPr>
    <w:rPr>
      <w:rFonts w:ascii="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TOCHeading">
    <w:name w:val="TOC Heading"/>
    <w:basedOn w:val="Heading1"/>
    <w:next w:val="Normal"/>
    <w:uiPriority w:val="39"/>
    <w:unhideWhenUsed/>
    <w:qFormat/>
    <w:rsid w:val="00374074"/>
    <w:pPr>
      <w:tabs>
        <w:tab w:val="clear" w:pos="1701"/>
        <w:tab w:val="clear" w:pos="2268"/>
        <w:tab w:val="clear" w:pos="2835"/>
      </w:tabs>
      <w:suppressAutoHyphens w:val="0"/>
      <w:kinsoku/>
      <w:overflowPunct/>
      <w:autoSpaceDE/>
      <w:autoSpaceDN/>
      <w:adjustRightInd/>
      <w:snapToGrid/>
      <w:spacing w:before="240" w:line="259" w:lineRule="auto"/>
      <w:ind w:left="0"/>
      <w:outlineLvl w:val="9"/>
    </w:pPr>
    <w:rPr>
      <w:rFonts w:asciiTheme="majorHAnsi" w:eastAsiaTheme="majorEastAsia" w:hAnsiTheme="majorHAnsi" w:cstheme="majorBidi"/>
      <w:color w:val="365F91" w:themeColor="accent1" w:themeShade="BF"/>
      <w:sz w:val="32"/>
      <w:szCs w:val="32"/>
      <w:lang w:val="en-US"/>
    </w:rPr>
  </w:style>
  <w:style w:type="paragraph" w:styleId="TOC1">
    <w:name w:val="toc 1"/>
    <w:basedOn w:val="Normal"/>
    <w:next w:val="Normal"/>
    <w:autoRedefine/>
    <w:uiPriority w:val="39"/>
    <w:unhideWhenUsed/>
    <w:rsid w:val="00374074"/>
    <w:pPr>
      <w:spacing w:after="100"/>
    </w:pPr>
  </w:style>
  <w:style w:type="numbering" w:customStyle="1" w:styleId="NoList1">
    <w:name w:val="No List1"/>
    <w:next w:val="NoList"/>
    <w:uiPriority w:val="99"/>
    <w:semiHidden/>
    <w:unhideWhenUsed/>
    <w:rsid w:val="00374074"/>
  </w:style>
  <w:style w:type="character" w:customStyle="1" w:styleId="HChGChar">
    <w:name w:val="_ H _Ch_G Char"/>
    <w:link w:val="HChG"/>
    <w:rsid w:val="00374074"/>
    <w:rPr>
      <w:rFonts w:ascii="Times New Roman" w:hAnsi="Times New Roman" w:cs="Times New Roman"/>
      <w:b/>
      <w:sz w:val="28"/>
      <w:szCs w:val="20"/>
      <w:lang w:val="en-GB"/>
    </w:rPr>
  </w:style>
  <w:style w:type="paragraph" w:styleId="TOC2">
    <w:name w:val="toc 2"/>
    <w:basedOn w:val="Normal"/>
    <w:next w:val="Normal"/>
    <w:autoRedefine/>
    <w:uiPriority w:val="39"/>
    <w:unhideWhenUsed/>
    <w:rsid w:val="00374074"/>
    <w:pPr>
      <w:tabs>
        <w:tab w:val="left" w:pos="660"/>
        <w:tab w:val="right" w:leader="dot" w:pos="11057"/>
      </w:tabs>
      <w:spacing w:after="100"/>
      <w:ind w:left="200"/>
    </w:pPr>
    <w:rPr>
      <w:noProof/>
      <w:sz w:val="22"/>
      <w:szCs w:val="22"/>
      <w:lang w:eastAsia="en-GB"/>
    </w:rPr>
  </w:style>
  <w:style w:type="paragraph" w:styleId="TOC3">
    <w:name w:val="toc 3"/>
    <w:basedOn w:val="Normal"/>
    <w:next w:val="Normal"/>
    <w:autoRedefine/>
    <w:uiPriority w:val="39"/>
    <w:unhideWhenUsed/>
    <w:rsid w:val="00374074"/>
    <w:pPr>
      <w:spacing w:after="100"/>
      <w:ind w:left="400"/>
    </w:pPr>
    <w:rPr>
      <w:lang w:eastAsia="en-GB"/>
    </w:rPr>
  </w:style>
  <w:style w:type="paragraph" w:styleId="ListParagraph">
    <w:name w:val="List Paragraph"/>
    <w:basedOn w:val="Normal"/>
    <w:link w:val="ListParagraphChar"/>
    <w:uiPriority w:val="34"/>
    <w:qFormat/>
    <w:rsid w:val="00374074"/>
    <w:pPr>
      <w:ind w:left="720"/>
      <w:contextualSpacing/>
    </w:pPr>
    <w:rPr>
      <w:lang w:eastAsia="en-GB"/>
    </w:rPr>
  </w:style>
  <w:style w:type="paragraph" w:customStyle="1" w:styleId="Default">
    <w:name w:val="Default"/>
    <w:rsid w:val="00374074"/>
    <w:pPr>
      <w:autoSpaceDE w:val="0"/>
      <w:autoSpaceDN w:val="0"/>
      <w:adjustRightInd w:val="0"/>
      <w:spacing w:before="120" w:after="0" w:line="240" w:lineRule="auto"/>
      <w:ind w:left="714" w:hanging="357"/>
      <w:jc w:val="both"/>
    </w:pPr>
    <w:rPr>
      <w:rFonts w:ascii="Times New Roman" w:eastAsiaTheme="minorEastAsia" w:hAnsi="Times New Roman" w:cs="Times New Roman"/>
      <w:color w:val="000000"/>
      <w:sz w:val="24"/>
      <w:szCs w:val="24"/>
      <w:lang w:val="en" w:bidi="km-KH"/>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374074"/>
    <w:pPr>
      <w:suppressAutoHyphens w:val="0"/>
      <w:spacing w:after="160" w:line="240" w:lineRule="exact"/>
      <w:jc w:val="both"/>
    </w:pPr>
    <w:rPr>
      <w:rFonts w:eastAsiaTheme="minorHAnsi" w:cstheme="minorBidi"/>
      <w:sz w:val="18"/>
      <w:szCs w:val="22"/>
      <w:vertAlign w:val="superscript"/>
    </w:rPr>
  </w:style>
  <w:style w:type="character" w:styleId="CommentReference">
    <w:name w:val="annotation reference"/>
    <w:basedOn w:val="DefaultParagraphFont"/>
    <w:uiPriority w:val="99"/>
    <w:semiHidden/>
    <w:unhideWhenUsed/>
    <w:rsid w:val="00374074"/>
    <w:rPr>
      <w:sz w:val="16"/>
      <w:szCs w:val="16"/>
    </w:rPr>
  </w:style>
  <w:style w:type="paragraph" w:styleId="CommentText">
    <w:name w:val="annotation text"/>
    <w:basedOn w:val="Normal"/>
    <w:link w:val="CommentTextChar"/>
    <w:uiPriority w:val="99"/>
    <w:unhideWhenUsed/>
    <w:rsid w:val="00374074"/>
    <w:pPr>
      <w:spacing w:line="240" w:lineRule="auto"/>
    </w:pPr>
    <w:rPr>
      <w:lang w:eastAsia="en-GB"/>
    </w:rPr>
  </w:style>
  <w:style w:type="character" w:customStyle="1" w:styleId="CommentTextChar">
    <w:name w:val="Comment Text Char"/>
    <w:basedOn w:val="DefaultParagraphFont"/>
    <w:link w:val="CommentText"/>
    <w:uiPriority w:val="99"/>
    <w:rsid w:val="00374074"/>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374074"/>
    <w:rPr>
      <w:b/>
      <w:bCs/>
    </w:rPr>
  </w:style>
  <w:style w:type="character" w:customStyle="1" w:styleId="CommentSubjectChar">
    <w:name w:val="Comment Subject Char"/>
    <w:basedOn w:val="CommentTextChar"/>
    <w:link w:val="CommentSubject"/>
    <w:uiPriority w:val="99"/>
    <w:semiHidden/>
    <w:rsid w:val="00374074"/>
    <w:rPr>
      <w:rFonts w:ascii="Times New Roman" w:eastAsia="Times New Roman" w:hAnsi="Times New Roman" w:cs="Times New Roman"/>
      <w:b/>
      <w:bCs/>
      <w:sz w:val="20"/>
      <w:szCs w:val="20"/>
      <w:lang w:val="en-GB" w:eastAsia="en-GB"/>
    </w:rPr>
  </w:style>
  <w:style w:type="paragraph" w:styleId="NormalWeb">
    <w:name w:val="Normal (Web)"/>
    <w:basedOn w:val="Normal"/>
    <w:uiPriority w:val="99"/>
    <w:unhideWhenUsed/>
    <w:rsid w:val="00374074"/>
    <w:pPr>
      <w:suppressAutoHyphens w:val="0"/>
      <w:spacing w:before="100" w:beforeAutospacing="1" w:after="100" w:afterAutospacing="1" w:line="240" w:lineRule="auto"/>
    </w:pPr>
    <w:rPr>
      <w:sz w:val="24"/>
      <w:szCs w:val="24"/>
      <w:lang w:eastAsia="en-GB" w:bidi="km-KH"/>
    </w:rPr>
  </w:style>
  <w:style w:type="character" w:styleId="PlaceholderText">
    <w:name w:val="Placeholder Text"/>
    <w:basedOn w:val="DefaultParagraphFont"/>
    <w:uiPriority w:val="99"/>
    <w:semiHidden/>
    <w:rsid w:val="00374074"/>
    <w:rPr>
      <w:color w:val="808080"/>
    </w:rPr>
  </w:style>
  <w:style w:type="table" w:customStyle="1" w:styleId="TableGrid2">
    <w:name w:val="Table Grid2"/>
    <w:basedOn w:val="TableNormal"/>
    <w:next w:val="TableGrid"/>
    <w:uiPriority w:val="59"/>
    <w:rsid w:val="00374074"/>
    <w:pPr>
      <w:spacing w:before="120" w:after="0" w:line="240" w:lineRule="auto"/>
      <w:ind w:left="714" w:hanging="357"/>
      <w:jc w:val="both"/>
    </w:pPr>
    <w:rPr>
      <w:rFonts w:ascii="Times New Roman" w:eastAsiaTheme="minorEastAsia" w:hAnsi="Times New Roman" w:cs="Times New Roman"/>
      <w:sz w:val="24"/>
      <w:szCs w:val="24"/>
      <w:lang w:val="en" w:bidi="km-KH"/>
    </w:rPr>
    <w:tblPr>
      <w:tblInd w:w="0" w:type="nil"/>
      <w:tblCellMar>
        <w:left w:w="0" w:type="dxa"/>
        <w:right w:w="0" w:type="dxa"/>
      </w:tblCellMar>
    </w:tblPr>
  </w:style>
  <w:style w:type="paragraph" w:styleId="Revision">
    <w:name w:val="Revision"/>
    <w:hidden/>
    <w:uiPriority w:val="99"/>
    <w:semiHidden/>
    <w:rsid w:val="00374074"/>
    <w:pPr>
      <w:spacing w:before="120" w:after="0" w:line="240" w:lineRule="auto"/>
      <w:ind w:left="714" w:hanging="357"/>
      <w:jc w:val="both"/>
    </w:pPr>
    <w:rPr>
      <w:rFonts w:ascii="Times New Roman" w:eastAsia="Times New Roman" w:hAnsi="Times New Roman" w:cs="Times New Roman"/>
      <w:sz w:val="20"/>
      <w:szCs w:val="20"/>
      <w:lang w:val="en"/>
    </w:rPr>
  </w:style>
  <w:style w:type="paragraph" w:customStyle="1" w:styleId="Normal1">
    <w:name w:val="Normal1"/>
    <w:rsid w:val="00374074"/>
    <w:pPr>
      <w:suppressAutoHyphens/>
      <w:autoSpaceDN w:val="0"/>
      <w:spacing w:before="100" w:after="120" w:line="240" w:lineRule="auto"/>
      <w:ind w:left="714" w:hanging="357"/>
      <w:jc w:val="both"/>
      <w:textAlignment w:val="baseline"/>
    </w:pPr>
    <w:rPr>
      <w:rFonts w:ascii="Calibri" w:eastAsia="Times New Roman" w:hAnsi="Calibri" w:cs="Calibri"/>
      <w:color w:val="000000"/>
      <w:sz w:val="24"/>
      <w:szCs w:val="24"/>
      <w:lang w:val="en" w:bidi="km-KH"/>
    </w:rPr>
  </w:style>
  <w:style w:type="character" w:customStyle="1" w:styleId="ListParagraphChar">
    <w:name w:val="List Paragraph Char"/>
    <w:link w:val="ListParagraph"/>
    <w:uiPriority w:val="34"/>
    <w:locked/>
    <w:rsid w:val="00374074"/>
    <w:rPr>
      <w:rFonts w:ascii="Times New Roman" w:eastAsia="Times New Roman" w:hAnsi="Times New Roman" w:cs="Times New Roman"/>
      <w:sz w:val="20"/>
      <w:szCs w:val="20"/>
      <w:lang w:val="en-GB" w:eastAsia="en-GB"/>
    </w:rPr>
  </w:style>
  <w:style w:type="paragraph" w:styleId="BodyText">
    <w:name w:val="Body Text"/>
    <w:basedOn w:val="Normal"/>
    <w:link w:val="BodyTextChar"/>
    <w:uiPriority w:val="99"/>
    <w:semiHidden/>
    <w:unhideWhenUsed/>
    <w:rsid w:val="00374074"/>
    <w:pPr>
      <w:spacing w:after="120"/>
    </w:pPr>
    <w:rPr>
      <w:lang w:eastAsia="en-GB"/>
    </w:rPr>
  </w:style>
  <w:style w:type="character" w:customStyle="1" w:styleId="BodyTextChar">
    <w:name w:val="Body Text Char"/>
    <w:basedOn w:val="DefaultParagraphFont"/>
    <w:link w:val="BodyText"/>
    <w:uiPriority w:val="99"/>
    <w:semiHidden/>
    <w:rsid w:val="00374074"/>
    <w:rPr>
      <w:rFonts w:ascii="Times New Roman" w:eastAsia="Times New Roman" w:hAnsi="Times New Roman" w:cs="Times New Roman"/>
      <w:sz w:val="20"/>
      <w:szCs w:val="20"/>
      <w:lang w:val="en-GB" w:eastAsia="en-GB"/>
    </w:rPr>
  </w:style>
  <w:style w:type="paragraph" w:styleId="BodyTextFirstIndent">
    <w:name w:val="Body Text First Indent"/>
    <w:basedOn w:val="BodyText"/>
    <w:link w:val="BodyTextFirstIndentChar"/>
    <w:uiPriority w:val="99"/>
    <w:unhideWhenUsed/>
    <w:rsid w:val="00374074"/>
    <w:pPr>
      <w:autoSpaceDN w:val="0"/>
      <w:spacing w:after="200" w:line="276" w:lineRule="auto"/>
      <w:ind w:firstLine="360"/>
      <w:textAlignment w:val="baseline"/>
    </w:pPr>
    <w:rPr>
      <w:rFonts w:ascii="Calibri" w:eastAsia="Calibri" w:hAnsi="Calibri" w:cs="DaunPenh"/>
      <w:sz w:val="22"/>
      <w:szCs w:val="36"/>
      <w:lang w:bidi="km-KH"/>
    </w:rPr>
  </w:style>
  <w:style w:type="character" w:customStyle="1" w:styleId="BodyTextFirstIndentChar">
    <w:name w:val="Body Text First Indent Char"/>
    <w:basedOn w:val="BodyTextChar"/>
    <w:link w:val="BodyTextFirstIndent"/>
    <w:uiPriority w:val="99"/>
    <w:rsid w:val="00374074"/>
    <w:rPr>
      <w:rFonts w:ascii="Calibri" w:eastAsia="Calibri" w:hAnsi="Calibri" w:cs="DaunPenh"/>
      <w:sz w:val="20"/>
      <w:szCs w:val="36"/>
      <w:lang w:val="en-GB" w:eastAsia="en-GB" w:bidi="km-KH"/>
    </w:rPr>
  </w:style>
  <w:style w:type="paragraph" w:styleId="Caption">
    <w:name w:val="caption"/>
    <w:basedOn w:val="Normal"/>
    <w:next w:val="Normal"/>
    <w:uiPriority w:val="35"/>
    <w:unhideWhenUsed/>
    <w:qFormat/>
    <w:rsid w:val="00374074"/>
    <w:pPr>
      <w:spacing w:after="200" w:line="240" w:lineRule="auto"/>
    </w:pPr>
    <w:rPr>
      <w:i/>
      <w:iCs/>
      <w:color w:val="1F497D" w:themeColor="text2"/>
      <w:sz w:val="18"/>
      <w:szCs w:val="18"/>
      <w:lang w:eastAsia="en-GB"/>
    </w:rPr>
  </w:style>
  <w:style w:type="paragraph" w:customStyle="1" w:styleId="content">
    <w:name w:val="content"/>
    <w:basedOn w:val="Normal"/>
    <w:rsid w:val="00374074"/>
    <w:pPr>
      <w:suppressAutoHyphens w:val="0"/>
      <w:spacing w:before="100" w:beforeAutospacing="1" w:after="100" w:afterAutospacing="1" w:line="240" w:lineRule="auto"/>
    </w:pPr>
    <w:rPr>
      <w:sz w:val="24"/>
      <w:szCs w:val="24"/>
      <w:lang w:eastAsia="en-GB" w:bidi="km-KH"/>
    </w:rPr>
  </w:style>
  <w:style w:type="character" w:customStyle="1" w:styleId="notion-enable-hover">
    <w:name w:val="notion-enable-hover"/>
    <w:basedOn w:val="DefaultParagraphFont"/>
    <w:rsid w:val="00374074"/>
  </w:style>
  <w:style w:type="character" w:styleId="Emphasis">
    <w:name w:val="Emphasis"/>
    <w:basedOn w:val="DefaultParagraphFont"/>
    <w:uiPriority w:val="20"/>
    <w:qFormat/>
    <w:rsid w:val="00374074"/>
    <w:rPr>
      <w:i/>
      <w:iCs/>
    </w:rPr>
  </w:style>
  <w:style w:type="character" w:customStyle="1" w:styleId="link-annotation-7f85205c-7ff1-426e-a8d2-463b83af2a52--864552470">
    <w:name w:val="link-annotation-7f85205c-7ff1-426e-a8d2-463b83af2a52--864552470"/>
    <w:basedOn w:val="DefaultParagraphFont"/>
    <w:rsid w:val="00374074"/>
  </w:style>
  <w:style w:type="character" w:styleId="UnresolvedMention">
    <w:name w:val="Unresolved Mention"/>
    <w:basedOn w:val="DefaultParagraphFont"/>
    <w:uiPriority w:val="99"/>
    <w:semiHidden/>
    <w:unhideWhenUsed/>
    <w:rsid w:val="00374074"/>
    <w:rPr>
      <w:color w:val="605E5C"/>
      <w:shd w:val="clear" w:color="auto" w:fill="E1DFDD"/>
    </w:rPr>
  </w:style>
  <w:style w:type="character" w:styleId="Mention">
    <w:name w:val="Mention"/>
    <w:basedOn w:val="DefaultParagraphFont"/>
    <w:uiPriority w:val="99"/>
    <w:unhideWhenUsed/>
    <w:rsid w:val="0037407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is.gov.kh"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krousar-thmey.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ac.gov.kh"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www.kh.undp.org/content/cambodia/en/home/operations/projects/democratic_governance/disability-rights-initiative-cambodia.html" TargetMode="External"/><Relationship Id="rId3" Type="http://schemas.openxmlformats.org/officeDocument/2006/relationships/hyperlink" Target="http://www.cmaa.gov.kh/en/documents?cbocateflie=15" TargetMode="External"/><Relationship Id="rId7" Type="http://schemas.openxmlformats.org/officeDocument/2006/relationships/hyperlink" Target="http://www.globalitchallenge.com/it" TargetMode="External"/><Relationship Id="rId2" Type="http://schemas.openxmlformats.org/officeDocument/2006/relationships/hyperlink" Target="http://www.cmaa.gov.kh/en/documents?cbocateflie=15" TargetMode="External"/><Relationship Id="rId1" Type="http://schemas.openxmlformats.org/officeDocument/2006/relationships/hyperlink" Target="http://www.redcross.org.kh" TargetMode="External"/><Relationship Id="rId6" Type="http://schemas.openxmlformats.org/officeDocument/2006/relationships/hyperlink" Target="http://www.nisa-edu.gov.kh" TargetMode="External"/><Relationship Id="rId5" Type="http://schemas.openxmlformats.org/officeDocument/2006/relationships/hyperlink" Target="http://www.the-monitor.org/en-gb/reports/2016/cambodia/mine-action.aspx" TargetMode="External"/><Relationship Id="rId4" Type="http://schemas.openxmlformats.org/officeDocument/2006/relationships/hyperlink" Target="http://www.the-monitor.org/en-gb/reports/2016/Cambodia/mine-action.aspx" TargetMode="External"/><Relationship Id="rId9" Type="http://schemas.openxmlformats.org/officeDocument/2006/relationships/hyperlink" Target="http://www.cdp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A3F5FACD05E93499D4EAF05403D4F75" ma:contentTypeVersion="38" ma:contentTypeDescription="Create a new document." ma:contentTypeScope="" ma:versionID="d48aaa8e29c1fef86800fdedbe4eee49">
  <xsd:schema xmlns:xsd="http://www.w3.org/2001/XMLSchema" xmlns:xs="http://www.w3.org/2001/XMLSchema" xmlns:p="http://schemas.microsoft.com/office/2006/metadata/properties" xmlns:ns3="985ec44e-1bab-4c0b-9df0-6ba128686fc9" xmlns:ns4="11a6fe0c-d8de-4390-afb3-d9c7c54181f0" xmlns:ns5="c43d6523-f909-4250-bbe1-6bcdc0c7194c" targetNamespace="http://schemas.microsoft.com/office/2006/metadata/properties" ma:root="true" ma:fieldsID="22f23b4f927627c331d9f25d80a47f0b" ns3:_="" ns4:_="" ns5:_="">
    <xsd:import namespace="985ec44e-1bab-4c0b-9df0-6ba128686fc9"/>
    <xsd:import namespace="11a6fe0c-d8de-4390-afb3-d9c7c54181f0"/>
    <xsd:import namespace="c43d6523-f909-4250-bbe1-6bcdc0c7194c"/>
    <xsd:element name="properties">
      <xsd:complexType>
        <xsd:sequence>
          <xsd:element name="documentManagement">
            <xsd:complexType>
              <xsd:all>
                <xsd:element ref="ns3:UN_x0020_Official_x0020_Language" minOccurs="0"/>
                <xsd:element ref="ns3:Security_x0020_Level" minOccurs="0"/>
                <xsd:element ref="ns3:Document_x0020_Date" minOccurs="0"/>
                <xsd:element ref="ns3:Document_x0020_Type" minOccurs="0"/>
                <xsd:element ref="ns4:UD_x0020_Added_x0020_By" minOccurs="0"/>
                <xsd:element ref="ns4:UD_x0020_Added_x0020_On" minOccurs="0"/>
                <xsd:element ref="ns4:UD_x0020_Modified_x0020_By" minOccurs="0"/>
                <xsd:element ref="ns4:UD_x0020_Modified_x0020_On" minOccurs="0"/>
                <xsd:element ref="ns4:UD_x0020_Office_x0020_of_x0020_Origin" minOccurs="0"/>
                <xsd:element ref="ns4:Session" minOccurs="0"/>
                <xsd:element ref="ns4:Meeting" minOccurs="0"/>
                <xsd:element ref="ns4:Thematic_x0020_Area" minOccurs="0"/>
                <xsd:element ref="ns4:Country" minOccurs="0"/>
                <xsd:element ref="ns4:Donor" minOccurs="0"/>
                <xsd:element ref="ns4:Field_x0020_Office" minOccurs="0"/>
                <xsd:element ref="ns4:Project_x0020_Name" minOccurs="0"/>
                <xsd:element ref="ns4:Report_x0020_Type" minOccurs="0"/>
                <xsd:element ref="ns4:Treaty_x0020_Body" minOccurs="0"/>
                <xsd:element ref="ns4:Working_x0020_Group" minOccurs="0"/>
                <xsd:element ref="ns5:MediaServiceMetadata" minOccurs="0"/>
                <xsd:element ref="ns5:MediaServiceFastMetadata" minOccurs="0"/>
                <xsd:element ref="ns5:MediaServiceDateTaken" minOccurs="0"/>
                <xsd:element ref="ns5:MediaLengthInSeconds" minOccurs="0"/>
                <xsd:element ref="ns4:SharedWithUsers" minOccurs="0"/>
                <xsd:element ref="ns4:SharedWithDetails" minOccurs="0"/>
                <xsd:element ref="ns5:MediaServiceObjectDetectorVersions" minOccurs="0"/>
                <xsd:element ref="ns5:MediaServiceSearchProperties" minOccurs="0"/>
                <xsd:element ref="ns5:MediaServiceGenerationTime" minOccurs="0"/>
                <xsd:element ref="ns5:MediaServiceEventHashCode" minOccurs="0"/>
                <xsd:element ref="ns5:lcf76f155ced4ddcb4097134ff3c332f" minOccurs="0"/>
                <xsd:element ref="ns3:TaxCatchAll" minOccurs="0"/>
                <xsd:element ref="ns5:MediaServiceOCR"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UN_x0020_Official_x0020_Language" ma:index="9" nillable="true" ma:displayName="Language (UN's Official)" ma:format="Dropdown" ma:internalName="UN_x0020_Official_x0020_Language">
      <xsd:simpleType>
        <xsd:restriction base="dms:Choice">
          <xsd:enumeration value="Arabic"/>
          <xsd:enumeration value="Chinese"/>
          <xsd:enumeration value="English"/>
          <xsd:enumeration value="French"/>
          <xsd:enumeration value="Russian"/>
          <xsd:enumeration value="Spanish"/>
        </xsd:restriction>
      </xsd:simpleType>
    </xsd:element>
    <xsd:element name="Security_x0020_Level" ma:index="10" nillable="true" ma:displayName="Security Level" ma:format="RadioButtons" ma:internalName="Security_x0020_Level">
      <xsd:simpleType>
        <xsd:restriction base="dms:Choice">
          <xsd:enumeration value="Unclassified"/>
          <xsd:enumeration value="Confidential"/>
          <xsd:enumeration value="Strictly Confidential"/>
        </xsd:restriction>
      </xsd:simpleType>
    </xsd:element>
    <xsd:element name="Document_x0020_Date" ma:index="11" nillable="true" ma:displayName="Document Date" ma:default="[today]" ma:description="The date when the file was drafted" ma:format="DateOnly" ma:internalName="Document_x0020_Date">
      <xsd:simpleType>
        <xsd:restriction base="dms:DateTime"/>
      </xsd:simpleType>
    </xsd:element>
    <xsd:element name="Document_x0020_Type" ma:index="12" nillable="true" ma:displayName="Document Type" ma:format="Dropdown" ma:internalName="Document_x0020_Type">
      <xsd:simpleType>
        <xsd:restriction base="dms:Choice">
          <xsd:enumeration value="Code Cable"/>
          <xsd:enumeration value="Facsimile"/>
          <xsd:enumeration value="Form"/>
          <xsd:enumeration value="General Document"/>
          <xsd:enumeration value="Letter"/>
          <xsd:enumeration value="Memorandum"/>
          <xsd:enumeration value="Note"/>
          <xsd:enumeration value="Note verbale"/>
          <xsd:enumeration value="Report"/>
          <xsd:enumeration value="Slip"/>
          <xsd:enumeration value="UN others"/>
          <xsd:enumeration value="Non-UN"/>
        </xsd:restriction>
      </xsd:simpleType>
    </xsd:element>
    <xsd:element name="TaxCatchAll" ma:index="42" nillable="true" ma:displayName="Taxonomy Catch All Column" ma:hidden="true" ma:list="{f274aed0-69a4-4e1d-a03f-4a4dac4a7807}" ma:internalName="TaxCatchAll" ma:showField="CatchAllData" ma:web="11a6fe0c-d8de-4390-afb3-d9c7c54181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a6fe0c-d8de-4390-afb3-d9c7c54181f0" elementFormDefault="qualified">
    <xsd:import namespace="http://schemas.microsoft.com/office/2006/documentManagement/types"/>
    <xsd:import namespace="http://schemas.microsoft.com/office/infopath/2007/PartnerControls"/>
    <xsd:element name="UD_x0020_Added_x0020_By" ma:index="15" nillable="true" ma:displayName="UD Added By" ma:internalName="UD_x0020_Added_x0020_By">
      <xsd:simpleType>
        <xsd:restriction base="dms:Text">
          <xsd:maxLength value="255"/>
        </xsd:restriction>
      </xsd:simpleType>
    </xsd:element>
    <xsd:element name="UD_x0020_Added_x0020_On" ma:index="16" nillable="true" ma:displayName="UD Added On" ma:format="DateOnly" ma:internalName="UD_x0020_Added_x0020_On">
      <xsd:simpleType>
        <xsd:restriction base="dms:DateTime"/>
      </xsd:simpleType>
    </xsd:element>
    <xsd:element name="UD_x0020_Modified_x0020_By" ma:index="17" nillable="true" ma:displayName="UD Modified By" ma:internalName="UD_x0020_Modified_x0020_By">
      <xsd:simpleType>
        <xsd:restriction base="dms:Text">
          <xsd:maxLength value="255"/>
        </xsd:restriction>
      </xsd:simpleType>
    </xsd:element>
    <xsd:element name="UD_x0020_Modified_x0020_On" ma:index="18" nillable="true" ma:displayName="UD Modified On" ma:format="DateOnly" ma:internalName="UD_x0020_Modified_x0020_On">
      <xsd:simpleType>
        <xsd:restriction base="dms:DateTime"/>
      </xsd:simpleType>
    </xsd:element>
    <xsd:element name="UD_x0020_Office_x0020_of_x0020_Origin" ma:index="19" nillable="true" ma:displayName="UD Office of Origin" ma:internalName="UD_x0020_Office_x0020_of_x0020_Origin">
      <xsd:simpleType>
        <xsd:restriction base="dms:Text">
          <xsd:maxLength value="255"/>
        </xsd:restriction>
      </xsd:simpleType>
    </xsd:element>
    <xsd:element name="Session" ma:index="20" nillable="true" ma:displayName="Session" ma:internalName="Session">
      <xsd:simpleType>
        <xsd:restriction base="dms:Text">
          <xsd:maxLength value="255"/>
        </xsd:restriction>
      </xsd:simpleType>
    </xsd:element>
    <xsd:element name="Meeting" ma:index="21" nillable="true" ma:displayName="Meeting" ma:internalName="Meeting">
      <xsd:simpleType>
        <xsd:restriction base="dms:Text">
          <xsd:maxLength value="255"/>
        </xsd:restriction>
      </xsd:simpleType>
    </xsd:element>
    <xsd:element name="Thematic_x0020_Area" ma:index="22" nillable="true" ma:displayName="Thematic Area" ma:internalName="Thematic_x0020_Area">
      <xsd:simpleType>
        <xsd:restriction base="dms:Text">
          <xsd:maxLength value="255"/>
        </xsd:restriction>
      </xsd:simpleType>
    </xsd:element>
    <xsd:element name="Country" ma:index="23" nillable="true" ma:displayName="Country" ma:internalName="Country">
      <xsd:simpleType>
        <xsd:restriction base="dms:Text">
          <xsd:maxLength value="255"/>
        </xsd:restriction>
      </xsd:simpleType>
    </xsd:element>
    <xsd:element name="Donor" ma:index="24" nillable="true" ma:displayName="Donor" ma:internalName="Donor">
      <xsd:simpleType>
        <xsd:restriction base="dms:Text">
          <xsd:maxLength value="255"/>
        </xsd:restriction>
      </xsd:simpleType>
    </xsd:element>
    <xsd:element name="Field_x0020_Office" ma:index="25" nillable="true" ma:displayName="Field Office" ma:internalName="Field_x0020_Office">
      <xsd:simpleType>
        <xsd:restriction base="dms:Text">
          <xsd:maxLength value="255"/>
        </xsd:restriction>
      </xsd:simpleType>
    </xsd:element>
    <xsd:element name="Project_x0020_Name" ma:index="26" nillable="true" ma:displayName="Project Name" ma:internalName="Project_x0020_Name">
      <xsd:simpleType>
        <xsd:restriction base="dms:Text">
          <xsd:maxLength value="255"/>
        </xsd:restriction>
      </xsd:simpleType>
    </xsd:element>
    <xsd:element name="Report_x0020_Type" ma:index="27" nillable="true" ma:displayName="Report Type" ma:internalName="Report_x0020_Type">
      <xsd:simpleType>
        <xsd:restriction base="dms:Text">
          <xsd:maxLength value="255"/>
        </xsd:restriction>
      </xsd:simpleType>
    </xsd:element>
    <xsd:element name="Treaty_x0020_Body" ma:index="28" nillable="true" ma:displayName="Treaty Body" ma:internalName="Treaty_x0020_Body">
      <xsd:simpleType>
        <xsd:restriction base="dms:Text">
          <xsd:maxLength value="255"/>
        </xsd:restriction>
      </xsd:simpleType>
    </xsd:element>
    <xsd:element name="Working_x0020_Group" ma:index="29" nillable="true" ma:displayName="Working Group" ma:internalName="Working_x0020_Group">
      <xsd:simpleType>
        <xsd:restriction base="dms:Text">
          <xsd:maxLength value="255"/>
        </xsd:restriction>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3d6523-f909-4250-bbe1-6bcdc0c7194c"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43" nillable="true" ma:displayName="Extracted Text" ma:internalName="MediaServiceOCR" ma:readOnly="true">
      <xsd:simpleType>
        <xsd:restriction base="dms:Note">
          <xsd:maxLength value="255"/>
        </xsd:restriction>
      </xsd:simpleType>
    </xsd:element>
    <xsd:element name="MediaServiceLocation" ma:index="4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3"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c43d6523-f909-4250-bbe1-6bcdc0c7194c">
      <Terms xmlns="http://schemas.microsoft.com/office/infopath/2007/PartnerControls"/>
    </lcf76f155ced4ddcb4097134ff3c332f>
    <Document_x0020_Date xmlns="985ec44e-1bab-4c0b-9df0-6ba128686fc9">2026-01-22T09:55:40Z</Document_x0020_Date>
    <Donor xmlns="11a6fe0c-d8de-4390-afb3-d9c7c54181f0" xsi:nil="true"/>
    <Report_x0020_Type xmlns="11a6fe0c-d8de-4390-afb3-d9c7c54181f0" xsi:nil="true"/>
    <Field_x0020_Office xmlns="11a6fe0c-d8de-4390-afb3-d9c7c54181f0" xsi:nil="true"/>
    <Document_x0020_Type xmlns="985ec44e-1bab-4c0b-9df0-6ba128686fc9" xsi:nil="true"/>
    <UD_x0020_Added_x0020_On xmlns="11a6fe0c-d8de-4390-afb3-d9c7c54181f0" xsi:nil="true"/>
    <UD_x0020_Modified_x0020_By xmlns="11a6fe0c-d8de-4390-afb3-d9c7c54181f0" xsi:nil="true"/>
    <UD_x0020_Modified_x0020_On xmlns="11a6fe0c-d8de-4390-afb3-d9c7c54181f0" xsi:nil="true"/>
    <Working_x0020_Group xmlns="11a6fe0c-d8de-4390-afb3-d9c7c54181f0" xsi:nil="true"/>
    <Thematic_x0020_Area xmlns="11a6fe0c-d8de-4390-afb3-d9c7c54181f0" xsi:nil="true"/>
    <UD_x0020_Added_x0020_By xmlns="11a6fe0c-d8de-4390-afb3-d9c7c54181f0" xsi:nil="true"/>
    <Project_x0020_Name xmlns="11a6fe0c-d8de-4390-afb3-d9c7c54181f0" xsi:nil="true"/>
    <Session xmlns="11a6fe0c-d8de-4390-afb3-d9c7c54181f0" xsi:nil="true"/>
    <Meeting xmlns="11a6fe0c-d8de-4390-afb3-d9c7c54181f0" xsi:nil="true"/>
    <UD_x0020_Office_x0020_of_x0020_Origin xmlns="11a6fe0c-d8de-4390-afb3-d9c7c54181f0" xsi:nil="true"/>
    <Country xmlns="11a6fe0c-d8de-4390-afb3-d9c7c54181f0" xsi:nil="true"/>
    <Security_x0020_Level xmlns="985ec44e-1bab-4c0b-9df0-6ba128686fc9" xsi:nil="true"/>
    <UN_x0020_Official_x0020_Language xmlns="985ec44e-1bab-4c0b-9df0-6ba128686fc9" xsi:nil="true"/>
    <Treaty_x0020_Body xmlns="11a6fe0c-d8de-4390-afb3-d9c7c54181f0" xsi:nil="true"/>
  </documentManagement>
</p:properties>
</file>

<file path=customXml/itemProps1.xml><?xml version="1.0" encoding="utf-8"?>
<ds:datastoreItem xmlns:ds="http://schemas.openxmlformats.org/officeDocument/2006/customXml" ds:itemID="{D2AA4F2F-7EE9-471B-B16D-1F2078F966EF}">
  <ds:schemaRefs>
    <ds:schemaRef ds:uri="http://schemas.microsoft.com/sharepoint/v3/contenttype/forms"/>
  </ds:schemaRefs>
</ds:datastoreItem>
</file>

<file path=customXml/itemProps2.xml><?xml version="1.0" encoding="utf-8"?>
<ds:datastoreItem xmlns:ds="http://schemas.openxmlformats.org/officeDocument/2006/customXml" ds:itemID="{9C86E33F-5722-4429-B1EF-D41309A582DF}">
  <ds:schemaRefs>
    <ds:schemaRef ds:uri="http://schemas.openxmlformats.org/officeDocument/2006/bibliography"/>
  </ds:schemaRefs>
</ds:datastoreItem>
</file>

<file path=customXml/itemProps3.xml><?xml version="1.0" encoding="utf-8"?>
<ds:datastoreItem xmlns:ds="http://schemas.openxmlformats.org/officeDocument/2006/customXml" ds:itemID="{A4D78906-B156-4DF1-85BF-99428D28B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ec44e-1bab-4c0b-9df0-6ba128686fc9"/>
    <ds:schemaRef ds:uri="11a6fe0c-d8de-4390-afb3-d9c7c54181f0"/>
    <ds:schemaRef ds:uri="c43d6523-f909-4250-bbe1-6bcdc0c71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7D30AD-675C-4FE3-A82F-7F67BF25FBBB}">
  <ds:schemaRefs>
    <ds:schemaRef ds:uri="http://schemas.microsoft.com/office/2006/metadata/properties"/>
    <ds:schemaRef ds:uri="http://schemas.microsoft.com/office/infopath/2007/PartnerControls"/>
    <ds:schemaRef ds:uri="c11320bd-0376-468b-ae19-b827459cb638"/>
    <ds:schemaRef ds:uri="985ec44e-1bab-4c0b-9df0-6ba128686fc9"/>
    <ds:schemaRef ds:uri="c43d6523-f909-4250-bbe1-6bcdc0c7194c"/>
    <ds:schemaRef ds:uri="11a6fe0c-d8de-4390-afb3-d9c7c54181f0"/>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41</Pages>
  <Words>20788</Words>
  <Characters>118495</Characters>
  <Application>Microsoft Office Word</Application>
  <DocSecurity>0</DocSecurity>
  <Lines>987</Lines>
  <Paragraphs>278</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DCM</Company>
  <LinksUpToDate>false</LinksUpToDate>
  <CharactersWithSpaces>139005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CRPD/C/KHM/1</dc:title>
  <dc:creator>Gloria</dc:creator>
  <cp:lastModifiedBy>Robert OUKO</cp:lastModifiedBy>
  <cp:revision>3</cp:revision>
  <cp:lastPrinted>2017-10-25T12:09:00Z</cp:lastPrinted>
  <dcterms:created xsi:type="dcterms:W3CDTF">2026-01-22T15:18:00Z</dcterms:created>
  <dcterms:modified xsi:type="dcterms:W3CDTF">2026-01-22T15:18:00Z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um">
    <vt:lpwstr>[NUMBER]</vt:lpwstr>
  </property>
  <property fmtid="{D5CDD505-2E9C-101B-9397-08002B2CF9AE}" pid="3" name="atitle">
    <vt:lpwstr>[Title]</vt:lpwstr>
  </property>
  <property fmtid="{D5CDD505-2E9C-101B-9397-08002B2CF9AE}" pid="4" name="Author">
    <vt:lpwstr/>
  </property>
  <property fmtid="{D5CDD505-2E9C-101B-9397-08002B2CF9AE}" pid="5" name="bar">
    <vt:lpwstr/>
  </property>
  <property fmtid="{D5CDD505-2E9C-101B-9397-08002B2CF9AE}" pid="6" name="category">
    <vt:lpwstr>CRPD</vt:lpwstr>
  </property>
  <property fmtid="{D5CDD505-2E9C-101B-9397-08002B2CF9AE}" pid="7" name="ContentTypeId">
    <vt:lpwstr>0x0101001A3F5FACD05E93499D4EAF05403D4F75</vt:lpwstr>
  </property>
  <property fmtid="{D5CDD505-2E9C-101B-9397-08002B2CF9AE}" pid="8" name="count">
    <vt:lpwstr>Cambodia</vt:lpwstr>
  </property>
  <property fmtid="{D5CDD505-2E9C-101B-9397-08002B2CF9AE}" pid="9" name="countw">
    <vt:lpwstr>Cambodia</vt:lpwstr>
  </property>
  <property fmtid="{D5CDD505-2E9C-101B-9397-08002B2CF9AE}" pid="10" name="countwd">
    <vt:lpwstr>Cambodia</vt:lpwstr>
  </property>
  <property fmtid="{D5CDD505-2E9C-101B-9397-08002B2CF9AE}" pid="11" name="date">
    <vt:lpwstr>21 January 2026</vt:lpwstr>
  </property>
  <property fmtid="{D5CDD505-2E9C-101B-9397-08002B2CF9AE}" pid="12" name="Date-Generated">
    <vt:filetime>2026-01-22T08:50:17Z</vt:filetime>
  </property>
  <property fmtid="{D5CDD505-2E9C-101B-9397-08002B2CF9AE}" pid="13" name="dist">
    <vt:lpwstr>General</vt:lpwstr>
  </property>
  <property fmtid="{D5CDD505-2E9C-101B-9397-08002B2CF9AE}" pid="14" name="doctype">
    <vt:lpwstr>Final</vt:lpwstr>
  </property>
  <property fmtid="{D5CDD505-2E9C-101B-9397-08002B2CF9AE}" pid="15" name="Entity">
    <vt:lpwstr>Country report</vt:lpwstr>
  </property>
  <property fmtid="{D5CDD505-2E9C-101B-9397-08002B2CF9AE}" pid="16" name="gdoc">
    <vt:lpwstr/>
  </property>
  <property fmtid="{D5CDD505-2E9C-101B-9397-08002B2CF9AE}" pid="17" name="gdocf">
    <vt:lpwstr/>
  </property>
  <property fmtid="{D5CDD505-2E9C-101B-9397-08002B2CF9AE}" pid="18" name="MediaServiceImageTags">
    <vt:lpwstr/>
  </property>
  <property fmtid="{D5CDD505-2E9C-101B-9397-08002B2CF9AE}" pid="19" name="Nmeet">
    <vt:lpwstr>Number</vt:lpwstr>
  </property>
  <property fmtid="{D5CDD505-2E9C-101B-9397-08002B2CF9AE}" pid="20" name="olang">
    <vt:lpwstr>English</vt:lpwstr>
  </property>
  <property fmtid="{D5CDD505-2E9C-101B-9397-08002B2CF9AE}" pid="21" name="Order">
    <vt:r8>173600</vt:r8>
  </property>
  <property fmtid="{D5CDD505-2E9C-101B-9397-08002B2CF9AE}" pid="22" name="Org">
    <vt:lpwstr>OHCHR</vt:lpwstr>
  </property>
  <property fmtid="{D5CDD505-2E9C-101B-9397-08002B2CF9AE}" pid="23" name="prep">
    <vt:lpwstr>initial report of Cambodia</vt:lpwstr>
  </property>
  <property fmtid="{D5CDD505-2E9C-101B-9397-08002B2CF9AE}" pid="24" name="preps">
    <vt:lpwstr>initial report of Cambodia</vt:lpwstr>
  </property>
  <property fmtid="{D5CDD505-2E9C-101B-9397-08002B2CF9AE}" pid="25" name="prepw">
    <vt:lpwstr>initial report</vt:lpwstr>
  </property>
  <property fmtid="{D5CDD505-2E9C-101B-9397-08002B2CF9AE}" pid="26" name="prepwc">
    <vt:lpwstr>Initial report</vt:lpwstr>
  </property>
  <property fmtid="{D5CDD505-2E9C-101B-9397-08002B2CF9AE}" pid="27" name="prepws">
    <vt:lpwstr>initial report</vt:lpwstr>
  </property>
  <property fmtid="{D5CDD505-2E9C-101B-9397-08002B2CF9AE}" pid="28" name="sdate">
    <vt:lpwstr>[Start-End Dates]</vt:lpwstr>
  </property>
  <property fmtid="{D5CDD505-2E9C-101B-9397-08002B2CF9AE}" pid="29" name="sloca">
    <vt:lpwstr>[Location]</vt:lpwstr>
  </property>
  <property fmtid="{D5CDD505-2E9C-101B-9397-08002B2CF9AE}" pid="30" name="snum">
    <vt:lpwstr>[NUMBER]</vt:lpwstr>
  </property>
  <property fmtid="{D5CDD505-2E9C-101B-9397-08002B2CF9AE}" pid="31" name="stitle">
    <vt:lpwstr>[Title]</vt:lpwstr>
  </property>
  <property fmtid="{D5CDD505-2E9C-101B-9397-08002B2CF9AE}" pid="32" name="sym1">
    <vt:lpwstr>C/KHM/1</vt:lpwstr>
  </property>
  <property fmtid="{D5CDD505-2E9C-101B-9397-08002B2CF9AE}" pid="33" name="symh">
    <vt:lpwstr>CRPD/C/KHM/1</vt:lpwstr>
  </property>
  <property fmtid="{D5CDD505-2E9C-101B-9397-08002B2CF9AE}" pid="34" name="Title">
    <vt:lpwstr>CRPD/C/KHM/1</vt:lpwstr>
  </property>
  <property fmtid="{D5CDD505-2E9C-101B-9397-08002B2CF9AE}" pid="35" name="tlang">
    <vt:lpwstr/>
  </property>
  <property fmtid="{D5CDD505-2E9C-101B-9397-08002B2CF9AE}" pid="36" name="virs">
    <vt:lpwstr>English only</vt:lpwstr>
  </property>
</Properties>
</file>