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27264C" w14:paraId="458A2EE6" w14:textId="77777777">
        <w:trPr>
          <w:cantSplit/>
          <w:trHeight w:hRule="exact" w:val="851"/>
        </w:trPr>
        <w:tc>
          <w:tcPr>
            <w:tcW w:w="1276" w:type="dxa"/>
            <w:tcBorders>
              <w:bottom w:val="single" w:sz="4" w:space="0" w:color="auto"/>
            </w:tcBorders>
            <w:vAlign w:val="bottom"/>
          </w:tcPr>
          <w:p w14:paraId="67910572" w14:textId="77777777" w:rsidR="00D12031" w:rsidRDefault="00D12031">
            <w:pPr>
              <w:spacing w:after="80"/>
            </w:pPr>
          </w:p>
        </w:tc>
        <w:tc>
          <w:tcPr>
            <w:tcW w:w="2268" w:type="dxa"/>
            <w:tcBorders>
              <w:bottom w:val="single" w:sz="4" w:space="0" w:color="auto"/>
            </w:tcBorders>
            <w:vAlign w:val="bottom"/>
          </w:tcPr>
          <w:p w14:paraId="418ACDF7" w14:textId="73E0977E" w:rsidR="00D12031" w:rsidRDefault="00D12031">
            <w:pPr>
              <w:spacing w:after="80" w:line="300" w:lineRule="exact"/>
              <w:rPr>
                <w:b/>
                <w:sz w:val="24"/>
                <w:szCs w:val="24"/>
              </w:rPr>
            </w:pPr>
          </w:p>
        </w:tc>
        <w:tc>
          <w:tcPr>
            <w:tcW w:w="6095" w:type="dxa"/>
            <w:gridSpan w:val="2"/>
            <w:tcBorders>
              <w:bottom w:val="single" w:sz="4" w:space="0" w:color="auto"/>
            </w:tcBorders>
            <w:vAlign w:val="bottom"/>
          </w:tcPr>
          <w:p w14:paraId="050C579F" w14:textId="77777777" w:rsidR="00D12031" w:rsidRDefault="00612CF7">
            <w:pPr>
              <w:suppressAutoHyphens w:val="0"/>
              <w:spacing w:after="20"/>
              <w:jc w:val="right"/>
            </w:pPr>
            <w:r>
              <w:rPr>
                <w:sz w:val="40"/>
              </w:rPr>
              <w:t>CRPD</w:t>
            </w:r>
            <w:r>
              <w:t>/C/ZAF/2-4</w:t>
            </w:r>
          </w:p>
        </w:tc>
      </w:tr>
      <w:tr w:rsidR="0027264C" w14:paraId="1CF74FFE" w14:textId="77777777">
        <w:trPr>
          <w:cantSplit/>
          <w:trHeight w:hRule="exact" w:val="2835"/>
        </w:trPr>
        <w:tc>
          <w:tcPr>
            <w:tcW w:w="1276" w:type="dxa"/>
            <w:tcBorders>
              <w:top w:val="single" w:sz="4" w:space="0" w:color="auto"/>
              <w:bottom w:val="single" w:sz="12" w:space="0" w:color="auto"/>
            </w:tcBorders>
          </w:tcPr>
          <w:p w14:paraId="613619F9" w14:textId="78BC88FF" w:rsidR="00D12031" w:rsidRDefault="00D12031">
            <w:pPr>
              <w:spacing w:before="120"/>
              <w:jc w:val="center"/>
            </w:pPr>
          </w:p>
        </w:tc>
        <w:tc>
          <w:tcPr>
            <w:tcW w:w="5528" w:type="dxa"/>
            <w:gridSpan w:val="2"/>
            <w:tcBorders>
              <w:top w:val="single" w:sz="4" w:space="0" w:color="auto"/>
              <w:bottom w:val="single" w:sz="12" w:space="0" w:color="auto"/>
            </w:tcBorders>
          </w:tcPr>
          <w:p w14:paraId="738F5F4A" w14:textId="77777777" w:rsidR="00D12031" w:rsidRDefault="00612CF7">
            <w:pPr>
              <w:spacing w:before="120" w:line="380" w:lineRule="exact"/>
            </w:pPr>
            <w:r>
              <w:rPr>
                <w:b/>
                <w:sz w:val="34"/>
                <w:szCs w:val="40"/>
              </w:rPr>
              <w:t>Convention on the Rights</w:t>
            </w:r>
            <w:r>
              <w:rPr>
                <w:b/>
                <w:sz w:val="34"/>
                <w:szCs w:val="40"/>
              </w:rPr>
              <w:br/>
              <w:t>of Persons with Disabilities</w:t>
            </w:r>
          </w:p>
        </w:tc>
        <w:tc>
          <w:tcPr>
            <w:tcW w:w="2835" w:type="dxa"/>
            <w:tcBorders>
              <w:top w:val="single" w:sz="4" w:space="0" w:color="auto"/>
              <w:bottom w:val="single" w:sz="12" w:space="0" w:color="auto"/>
            </w:tcBorders>
          </w:tcPr>
          <w:p w14:paraId="5E47810F" w14:textId="77777777" w:rsidR="00D12031" w:rsidRPr="00550434" w:rsidRDefault="00612CF7">
            <w:pPr>
              <w:suppressAutoHyphens w:val="0"/>
              <w:spacing w:before="240" w:line="240" w:lineRule="exact"/>
              <w:rPr>
                <w:lang w:val="en-US"/>
              </w:rPr>
            </w:pPr>
            <w:r w:rsidRPr="00550434">
              <w:rPr>
                <w:lang w:val="en-US"/>
              </w:rPr>
              <w:t>Distr.: General</w:t>
            </w:r>
          </w:p>
          <w:p w14:paraId="782EFAEE" w14:textId="3EB15C9C" w:rsidR="00D12031" w:rsidRDefault="00C85E23">
            <w:pPr>
              <w:suppressAutoHyphens w:val="0"/>
              <w:rPr>
                <w:lang w:val="en-US"/>
              </w:rPr>
            </w:pPr>
            <w:r>
              <w:rPr>
                <w:lang w:val="en-US"/>
              </w:rPr>
              <w:t>14</w:t>
            </w:r>
            <w:r w:rsidR="00612CF7" w:rsidRPr="00550434">
              <w:rPr>
                <w:lang w:val="en-US"/>
              </w:rPr>
              <w:t xml:space="preserve"> </w:t>
            </w:r>
            <w:r>
              <w:rPr>
                <w:lang w:val="en-US"/>
              </w:rPr>
              <w:t>March</w:t>
            </w:r>
            <w:r w:rsidR="00612CF7" w:rsidRPr="00550434">
              <w:rPr>
                <w:lang w:val="en-US"/>
              </w:rPr>
              <w:t xml:space="preserve"> 2025</w:t>
            </w:r>
          </w:p>
          <w:p w14:paraId="441B29D7" w14:textId="2703998D" w:rsidR="00C85E23" w:rsidRPr="00C85E23" w:rsidRDefault="00C85E23">
            <w:pPr>
              <w:suppressAutoHyphens w:val="0"/>
              <w:rPr>
                <w:b/>
                <w:bCs/>
                <w:lang w:val="en-US"/>
              </w:rPr>
            </w:pPr>
            <w:r>
              <w:rPr>
                <w:b/>
                <w:bCs/>
                <w:lang w:val="en-US"/>
              </w:rPr>
              <w:t>ADVANCE UNEDITED VERSION</w:t>
            </w:r>
          </w:p>
          <w:p w14:paraId="3D5D7E89" w14:textId="77777777" w:rsidR="00D12031" w:rsidRPr="00550434" w:rsidRDefault="00D12031">
            <w:pPr>
              <w:suppressAutoHyphens w:val="0"/>
              <w:rPr>
                <w:lang w:val="en-US"/>
              </w:rPr>
            </w:pPr>
          </w:p>
          <w:p w14:paraId="22FB479E" w14:textId="03220431" w:rsidR="00D12031" w:rsidRDefault="00612CF7" w:rsidP="00C85E23">
            <w:pPr>
              <w:suppressAutoHyphens w:val="0"/>
            </w:pPr>
            <w:r w:rsidRPr="00550434">
              <w:rPr>
                <w:lang w:val="en-US"/>
              </w:rPr>
              <w:t>Original: English</w:t>
            </w:r>
          </w:p>
        </w:tc>
      </w:tr>
    </w:tbl>
    <w:p w14:paraId="56C483B6" w14:textId="77777777" w:rsidR="00D12031" w:rsidRDefault="00612CF7">
      <w:pPr>
        <w:spacing w:before="120"/>
        <w:rPr>
          <w:b/>
          <w:sz w:val="24"/>
          <w:szCs w:val="24"/>
        </w:rPr>
      </w:pPr>
      <w:r>
        <w:rPr>
          <w:b/>
          <w:sz w:val="24"/>
        </w:rPr>
        <w:t>Committee on the Rights of Persons with Disabilities</w:t>
      </w:r>
    </w:p>
    <w:p w14:paraId="4BFDBF0C" w14:textId="1D4F0B5D" w:rsidR="00D12031" w:rsidRDefault="00612CF7">
      <w:pPr>
        <w:pStyle w:val="HMG"/>
      </w:pPr>
      <w:r>
        <w:tab/>
      </w:r>
      <w:r>
        <w:tab/>
        <w:t xml:space="preserve">Combined second to fourth reports submitted by South Africa under article 35 of the Convention pursuant to the optional reporting procedure, due in </w:t>
      </w:r>
      <w:r w:rsidR="00550434">
        <w:t>2024</w:t>
      </w:r>
      <w:r w:rsidR="00550434">
        <w:rPr>
          <w:rStyle w:val="FootnoteReference"/>
          <w:b w:val="0"/>
          <w:sz w:val="20"/>
          <w:vertAlign w:val="baseline"/>
        </w:rPr>
        <w:footnoteReference w:customMarkFollows="1" w:id="2"/>
        <w:t>*</w:t>
      </w:r>
      <w:r w:rsidR="00550434" w:rsidRPr="002E04D8">
        <w:rPr>
          <w:rStyle w:val="FootnoteReference"/>
          <w:b w:val="0"/>
          <w:sz w:val="20"/>
        </w:rPr>
        <w:t>,</w:t>
      </w:r>
      <w:r w:rsidR="00550434">
        <w:rPr>
          <w:b w:val="0"/>
          <w:sz w:val="20"/>
        </w:rPr>
        <w:t xml:space="preserve"> </w:t>
      </w:r>
      <w:r w:rsidR="00550434">
        <w:rPr>
          <w:rStyle w:val="FootnoteReference"/>
          <w:b w:val="0"/>
          <w:sz w:val="20"/>
          <w:vertAlign w:val="baseline"/>
        </w:rPr>
        <w:footnoteReference w:customMarkFollows="1" w:id="3"/>
        <w:t>**</w:t>
      </w:r>
      <w:r w:rsidR="00550434" w:rsidRPr="002E04D8">
        <w:rPr>
          <w:rStyle w:val="FootnoteReference"/>
          <w:b w:val="0"/>
          <w:sz w:val="20"/>
        </w:rPr>
        <w:t>,</w:t>
      </w:r>
      <w:r w:rsidR="00550434">
        <w:rPr>
          <w:b w:val="0"/>
          <w:sz w:val="20"/>
        </w:rPr>
        <w:t xml:space="preserve"> </w:t>
      </w:r>
      <w:r w:rsidR="00550434" w:rsidRPr="009F4C15">
        <w:rPr>
          <w:rStyle w:val="FootnoteReference"/>
          <w:b w:val="0"/>
          <w:bCs/>
          <w:sz w:val="20"/>
          <w:vertAlign w:val="baseline"/>
        </w:rPr>
        <w:t>*</w:t>
      </w:r>
      <w:r w:rsidR="00550434">
        <w:rPr>
          <w:rStyle w:val="FootnoteReference"/>
          <w:b w:val="0"/>
          <w:sz w:val="20"/>
          <w:vertAlign w:val="baseline"/>
        </w:rPr>
        <w:footnoteReference w:customMarkFollows="1" w:id="4"/>
        <w:t>**</w:t>
      </w:r>
    </w:p>
    <w:p w14:paraId="609718B5" w14:textId="390C0600" w:rsidR="00D12031" w:rsidRDefault="00612CF7">
      <w:pPr>
        <w:pStyle w:val="SingleTxtG"/>
        <w:jc w:val="right"/>
      </w:pPr>
      <w:r>
        <w:t xml:space="preserve"> [Date received: </w:t>
      </w:r>
      <w:r w:rsidR="00550434">
        <w:t>14 March 2025</w:t>
      </w:r>
      <w:r>
        <w:t>]</w:t>
      </w:r>
    </w:p>
    <w:p w14:paraId="7C73EFB5" w14:textId="77777777" w:rsidR="00550434" w:rsidRPr="0052619D" w:rsidRDefault="00612CF7" w:rsidP="00550434">
      <w:pPr>
        <w:jc w:val="center"/>
        <w:rPr>
          <w:b/>
          <w:bCs/>
          <w:sz w:val="28"/>
          <w:szCs w:val="28"/>
        </w:rPr>
      </w:pPr>
      <w:r>
        <w:br w:type="page"/>
      </w:r>
    </w:p>
    <w:p w14:paraId="0AC4AAC1" w14:textId="77777777" w:rsidR="00550434" w:rsidRPr="0052619D" w:rsidRDefault="00550434" w:rsidP="005A0AB6">
      <w:pPr>
        <w:pStyle w:val="SingleTxtG"/>
        <w:rPr>
          <w:rStyle w:val="Strong"/>
          <w:color w:val="000000" w:themeColor="text1"/>
        </w:rPr>
      </w:pPr>
      <w:r w:rsidRPr="0052619D">
        <w:rPr>
          <w:rStyle w:val="Strong"/>
          <w:color w:val="000000" w:themeColor="text1"/>
        </w:rPr>
        <w:lastRenderedPageBreak/>
        <w:t>LIST OF ACRONYMS</w:t>
      </w:r>
    </w:p>
    <w:p w14:paraId="54E09210" w14:textId="77777777" w:rsidR="005A0AB6" w:rsidRDefault="00550434" w:rsidP="005A0AB6">
      <w:pPr>
        <w:pStyle w:val="SingleTxtG"/>
        <w:rPr>
          <w:rStyle w:val="Strong"/>
          <w:color w:val="000000" w:themeColor="text1"/>
        </w:rPr>
      </w:pPr>
      <w:r w:rsidRPr="0052619D">
        <w:rPr>
          <w:rStyle w:val="Strong"/>
          <w:color w:val="000000" w:themeColor="text1"/>
        </w:rPr>
        <w:t>A</w:t>
      </w:r>
    </w:p>
    <w:p w14:paraId="5580B7D5" w14:textId="13305F2D" w:rsidR="005A0AB6" w:rsidRDefault="00550434" w:rsidP="005A0AB6">
      <w:pPr>
        <w:pStyle w:val="SingleTxtG"/>
      </w:pPr>
      <w:r w:rsidRPr="0052619D">
        <w:t>4IR</w:t>
      </w:r>
      <w:r w:rsidRPr="0052619D">
        <w:tab/>
      </w:r>
      <w:r w:rsidRPr="0052619D">
        <w:tab/>
        <w:t>Fourth Industrial Revolution</w:t>
      </w:r>
    </w:p>
    <w:p w14:paraId="5D5F4D88" w14:textId="2C2E4CF9" w:rsidR="005A0AB6" w:rsidRDefault="00550434" w:rsidP="005A0AB6">
      <w:pPr>
        <w:pStyle w:val="SingleTxtG"/>
      </w:pPr>
      <w:r w:rsidRPr="0052619D">
        <w:t>AfCFTA</w:t>
      </w:r>
      <w:r w:rsidRPr="0052619D">
        <w:tab/>
        <w:t>African Continental Free Trade Area</w:t>
      </w:r>
    </w:p>
    <w:p w14:paraId="241240A8" w14:textId="074BBBE3" w:rsidR="00550434" w:rsidRPr="0052619D" w:rsidRDefault="00550434" w:rsidP="005A0AB6">
      <w:pPr>
        <w:pStyle w:val="SingleTxtG"/>
      </w:pPr>
      <w:r w:rsidRPr="0052619D">
        <w:t>AGSA</w:t>
      </w:r>
      <w:r w:rsidRPr="0052619D">
        <w:tab/>
      </w:r>
      <w:r w:rsidRPr="0052619D">
        <w:tab/>
        <w:t>Auditor General of South Africa</w:t>
      </w:r>
    </w:p>
    <w:p w14:paraId="1031DBBF" w14:textId="77777777" w:rsidR="005A0AB6" w:rsidRDefault="00550434" w:rsidP="005A0AB6">
      <w:pPr>
        <w:pStyle w:val="SingleTxtG"/>
      </w:pPr>
      <w:r w:rsidRPr="0052619D">
        <w:t>APPs</w:t>
      </w:r>
      <w:r w:rsidRPr="0052619D">
        <w:tab/>
      </w:r>
      <w:r w:rsidRPr="0052619D">
        <w:tab/>
        <w:t>Annual Performance Plans</w:t>
      </w:r>
    </w:p>
    <w:p w14:paraId="64D0D926" w14:textId="77777777" w:rsidR="005A0AB6" w:rsidRDefault="00550434" w:rsidP="005A0AB6">
      <w:pPr>
        <w:pStyle w:val="SingleTxtG"/>
      </w:pPr>
      <w:r w:rsidRPr="0052619D">
        <w:t>ARC</w:t>
      </w:r>
      <w:r w:rsidRPr="0052619D">
        <w:tab/>
      </w:r>
      <w:r w:rsidRPr="0052619D">
        <w:tab/>
        <w:t>Awareness-Raising Campaigns</w:t>
      </w:r>
    </w:p>
    <w:p w14:paraId="63F0C229" w14:textId="77777777" w:rsidR="005A0AB6" w:rsidRDefault="00550434" w:rsidP="005A0AB6">
      <w:pPr>
        <w:pStyle w:val="SingleTxtG"/>
      </w:pPr>
      <w:r w:rsidRPr="0052619D">
        <w:t xml:space="preserve">ARRC </w:t>
      </w:r>
      <w:r w:rsidRPr="0052619D">
        <w:tab/>
        <w:t>Afrique Rehabilitation &amp; Research Consultants</w:t>
      </w:r>
    </w:p>
    <w:p w14:paraId="6B4738DB" w14:textId="265589D2" w:rsidR="00550434" w:rsidRPr="0052619D" w:rsidRDefault="00550434" w:rsidP="005A0AB6">
      <w:pPr>
        <w:pStyle w:val="SingleTxtG"/>
      </w:pPr>
      <w:r w:rsidRPr="0052619D">
        <w:t>ASSA</w:t>
      </w:r>
      <w:r w:rsidRPr="0052619D">
        <w:tab/>
      </w:r>
      <w:r w:rsidRPr="0052619D">
        <w:tab/>
        <w:t>Albinism Society of South Africa</w:t>
      </w:r>
    </w:p>
    <w:p w14:paraId="265D22DF" w14:textId="77777777" w:rsidR="00550434" w:rsidRPr="0052619D" w:rsidRDefault="00550434" w:rsidP="005A0AB6">
      <w:pPr>
        <w:pStyle w:val="SingleTxtG"/>
      </w:pPr>
      <w:r w:rsidRPr="0052619D">
        <w:t>ATMS</w:t>
      </w:r>
      <w:r w:rsidRPr="0052619D">
        <w:tab/>
      </w:r>
      <w:r w:rsidRPr="0052619D">
        <w:tab/>
        <w:t>Automated Teller Machines</w:t>
      </w:r>
    </w:p>
    <w:p w14:paraId="05D097BC" w14:textId="77777777" w:rsidR="000E5DFC" w:rsidRDefault="00550434" w:rsidP="005A0AB6">
      <w:pPr>
        <w:pStyle w:val="SingleTxtG"/>
        <w:rPr>
          <w:rStyle w:val="Strong"/>
          <w:color w:val="000000" w:themeColor="text1"/>
        </w:rPr>
      </w:pPr>
      <w:r w:rsidRPr="0052619D">
        <w:rPr>
          <w:rStyle w:val="Strong"/>
          <w:color w:val="000000" w:themeColor="text1"/>
        </w:rPr>
        <w:t>B</w:t>
      </w:r>
    </w:p>
    <w:p w14:paraId="13011FE9" w14:textId="2E59BFDF" w:rsidR="00550434" w:rsidRPr="0052619D" w:rsidRDefault="00550434" w:rsidP="005A0AB6">
      <w:pPr>
        <w:pStyle w:val="SingleTxtG"/>
      </w:pPr>
      <w:r w:rsidRPr="0052619D">
        <w:t>BASA</w:t>
      </w:r>
      <w:r w:rsidRPr="0052619D">
        <w:tab/>
      </w:r>
      <w:r w:rsidRPr="0052619D">
        <w:tab/>
        <w:t>Banking Association of South Africa</w:t>
      </w:r>
    </w:p>
    <w:p w14:paraId="714FDF41" w14:textId="77777777" w:rsidR="000E5DFC" w:rsidRDefault="00550434" w:rsidP="005A0AB6">
      <w:pPr>
        <w:pStyle w:val="SingleTxtG"/>
      </w:pPr>
      <w:r w:rsidRPr="0052619D">
        <w:t>B-BBEE</w:t>
      </w:r>
      <w:r w:rsidRPr="0052619D">
        <w:tab/>
        <w:t>Broad-Based Black Economic Empowerment</w:t>
      </w:r>
    </w:p>
    <w:p w14:paraId="1CBB0FF5" w14:textId="77777777" w:rsidR="000E5DFC" w:rsidRDefault="00550434" w:rsidP="005A0AB6">
      <w:pPr>
        <w:pStyle w:val="SingleTxtG"/>
      </w:pPr>
      <w:r w:rsidRPr="0052619D">
        <w:t>BCEA</w:t>
      </w:r>
      <w:r w:rsidRPr="0052619D">
        <w:tab/>
      </w:r>
      <w:r w:rsidRPr="0052619D">
        <w:tab/>
        <w:t>Basic Conditions of Employment Act</w:t>
      </w:r>
    </w:p>
    <w:p w14:paraId="2D31FBA5" w14:textId="2EDFA567" w:rsidR="00550434" w:rsidRPr="0052619D" w:rsidRDefault="00550434" w:rsidP="005A0AB6">
      <w:pPr>
        <w:pStyle w:val="SingleTxtG"/>
      </w:pPr>
      <w:r w:rsidRPr="0052619D">
        <w:t xml:space="preserve">BELA </w:t>
      </w:r>
      <w:r w:rsidRPr="0052619D">
        <w:tab/>
        <w:t>Basic Education Laws Amendment</w:t>
      </w:r>
    </w:p>
    <w:p w14:paraId="2368FBDE" w14:textId="77777777" w:rsidR="000E5DFC" w:rsidRDefault="00550434" w:rsidP="005A0AB6">
      <w:pPr>
        <w:pStyle w:val="SingleTxtG"/>
        <w:rPr>
          <w:rStyle w:val="Strong"/>
          <w:color w:val="000000" w:themeColor="text1"/>
        </w:rPr>
      </w:pPr>
      <w:r w:rsidRPr="0052619D">
        <w:rPr>
          <w:rStyle w:val="Strong"/>
          <w:color w:val="000000" w:themeColor="text1"/>
        </w:rPr>
        <w:t>C</w:t>
      </w:r>
    </w:p>
    <w:p w14:paraId="15D96294" w14:textId="77777777" w:rsidR="000E5DFC" w:rsidRDefault="00550434" w:rsidP="005A0AB6">
      <w:pPr>
        <w:pStyle w:val="SingleTxtG"/>
      </w:pPr>
      <w:r w:rsidRPr="0052619D">
        <w:t>CAA</w:t>
      </w:r>
      <w:r w:rsidRPr="0052619D">
        <w:tab/>
      </w:r>
      <w:r w:rsidRPr="0052619D">
        <w:tab/>
        <w:t>Children's Amendment Act</w:t>
      </w:r>
    </w:p>
    <w:p w14:paraId="72101553" w14:textId="77777777" w:rsidR="000E5DFC" w:rsidRDefault="00550434" w:rsidP="005A0AB6">
      <w:pPr>
        <w:pStyle w:val="SingleTxtG"/>
      </w:pPr>
      <w:r w:rsidRPr="0052619D">
        <w:t>CAPI</w:t>
      </w:r>
      <w:r w:rsidRPr="0052619D">
        <w:tab/>
      </w:r>
      <w:r w:rsidRPr="0052619D">
        <w:tab/>
        <w:t>Computer-Assisted Personal Interviewing</w:t>
      </w:r>
    </w:p>
    <w:p w14:paraId="0788890E" w14:textId="77777777" w:rsidR="000E5DFC" w:rsidRDefault="00550434" w:rsidP="005A0AB6">
      <w:pPr>
        <w:pStyle w:val="SingleTxtG"/>
      </w:pPr>
      <w:r w:rsidRPr="0052619D">
        <w:t xml:space="preserve">CAS </w:t>
      </w:r>
      <w:r w:rsidRPr="0052619D">
        <w:tab/>
      </w:r>
      <w:r w:rsidRPr="0052619D">
        <w:tab/>
        <w:t>Case Administration System</w:t>
      </w:r>
    </w:p>
    <w:p w14:paraId="33B19E82" w14:textId="1BFEA186" w:rsidR="00550434" w:rsidRPr="0052619D" w:rsidRDefault="00550434" w:rsidP="005A0AB6">
      <w:pPr>
        <w:pStyle w:val="SingleTxtG"/>
      </w:pPr>
      <w:r w:rsidRPr="0052619D">
        <w:t>CAT</w:t>
      </w:r>
      <w:r w:rsidRPr="0052619D">
        <w:tab/>
      </w:r>
      <w:r w:rsidRPr="0052619D">
        <w:tab/>
        <w:t>Convention Against Torture</w:t>
      </w:r>
    </w:p>
    <w:p w14:paraId="6D3241A5" w14:textId="77777777" w:rsidR="000E5DFC" w:rsidRDefault="00550434" w:rsidP="005A0AB6">
      <w:pPr>
        <w:pStyle w:val="SingleTxtG"/>
      </w:pPr>
      <w:r w:rsidRPr="0052619D">
        <w:t>CATI</w:t>
      </w:r>
      <w:r w:rsidRPr="0052619D">
        <w:tab/>
      </w:r>
      <w:r w:rsidRPr="0052619D">
        <w:tab/>
        <w:t>Computer-Assisted Telephone Interviewing</w:t>
      </w:r>
    </w:p>
    <w:p w14:paraId="77E70242" w14:textId="77777777" w:rsidR="000E5DFC" w:rsidRDefault="00550434" w:rsidP="005A0AB6">
      <w:pPr>
        <w:pStyle w:val="SingleTxtG"/>
      </w:pPr>
      <w:r w:rsidRPr="0052619D">
        <w:t>CAWI</w:t>
      </w:r>
      <w:r w:rsidRPr="0052619D">
        <w:tab/>
      </w:r>
      <w:r w:rsidRPr="0052619D">
        <w:tab/>
        <w:t>Computer-Assisted Web Interviewing</w:t>
      </w:r>
    </w:p>
    <w:p w14:paraId="2AF4BA3E" w14:textId="6138B977" w:rsidR="000E5DFC" w:rsidRDefault="00550434" w:rsidP="005A0AB6">
      <w:pPr>
        <w:pStyle w:val="SingleTxtG"/>
      </w:pPr>
      <w:r w:rsidRPr="0052619D">
        <w:t>CCMA</w:t>
      </w:r>
      <w:r w:rsidRPr="0052619D">
        <w:tab/>
        <w:t>Commission for Conciliation, Mediation, and Arbitration</w:t>
      </w:r>
    </w:p>
    <w:p w14:paraId="36714A3D" w14:textId="77777777" w:rsidR="000E5DFC" w:rsidRDefault="00550434" w:rsidP="005A0AB6">
      <w:pPr>
        <w:pStyle w:val="SingleTxtG"/>
      </w:pPr>
      <w:r w:rsidRPr="0052619D">
        <w:t>CCMDD</w:t>
      </w:r>
      <w:r w:rsidRPr="0052619D">
        <w:tab/>
        <w:t>Central Chronic Medicine Dispensing and Distribution</w:t>
      </w:r>
    </w:p>
    <w:p w14:paraId="3DD4EA9D" w14:textId="77777777" w:rsidR="000E5DFC" w:rsidRDefault="00550434" w:rsidP="005A0AB6">
      <w:pPr>
        <w:pStyle w:val="SingleTxtG"/>
      </w:pPr>
      <w:r w:rsidRPr="0052619D">
        <w:t>CEE</w:t>
      </w:r>
      <w:r w:rsidRPr="0052619D">
        <w:tab/>
      </w:r>
      <w:r w:rsidRPr="0052619D">
        <w:tab/>
        <w:t>Commission for Employment Equity</w:t>
      </w:r>
    </w:p>
    <w:p w14:paraId="1DC93E75" w14:textId="77777777" w:rsidR="000E5DFC" w:rsidRDefault="00550434" w:rsidP="005A0AB6">
      <w:pPr>
        <w:pStyle w:val="SingleTxtG"/>
      </w:pPr>
      <w:r w:rsidRPr="0052619D">
        <w:t>CET</w:t>
      </w:r>
      <w:r w:rsidRPr="0052619D">
        <w:tab/>
      </w:r>
      <w:r w:rsidRPr="0052619D">
        <w:tab/>
        <w:t>Community Education and Training</w:t>
      </w:r>
    </w:p>
    <w:p w14:paraId="77BC7B69" w14:textId="77777777" w:rsidR="000E5DFC" w:rsidRDefault="00550434" w:rsidP="005A0AB6">
      <w:pPr>
        <w:pStyle w:val="SingleTxtG"/>
      </w:pPr>
      <w:r w:rsidRPr="0052619D">
        <w:t>CDDR</w:t>
      </w:r>
      <w:r w:rsidRPr="0052619D">
        <w:tab/>
      </w:r>
      <w:r w:rsidRPr="0052619D">
        <w:tab/>
        <w:t>Census 2022 Disability Data Report</w:t>
      </w:r>
    </w:p>
    <w:p w14:paraId="29138CCC" w14:textId="77777777" w:rsidR="000E5DFC" w:rsidRDefault="00550434" w:rsidP="005A0AB6">
      <w:pPr>
        <w:pStyle w:val="SingleTxtG"/>
      </w:pPr>
      <w:r w:rsidRPr="0052619D">
        <w:t>CGE</w:t>
      </w:r>
      <w:r w:rsidRPr="0052619D">
        <w:tab/>
      </w:r>
      <w:r w:rsidRPr="0052619D">
        <w:tab/>
        <w:t>Commission for Gender Equality</w:t>
      </w:r>
    </w:p>
    <w:p w14:paraId="401AC10F" w14:textId="6E0D35D0" w:rsidR="00550434" w:rsidRPr="0052619D" w:rsidRDefault="00550434" w:rsidP="005A0AB6">
      <w:pPr>
        <w:pStyle w:val="SingleTxtG"/>
      </w:pPr>
      <w:r w:rsidRPr="0052619D">
        <w:t>CIDB</w:t>
      </w:r>
      <w:r w:rsidRPr="0052619D">
        <w:tab/>
      </w:r>
      <w:r w:rsidRPr="0052619D">
        <w:tab/>
        <w:t>Construction Industry Development Board</w:t>
      </w:r>
    </w:p>
    <w:p w14:paraId="3B1D5820" w14:textId="77777777" w:rsidR="000E5DFC" w:rsidRDefault="00550434" w:rsidP="005A0AB6">
      <w:pPr>
        <w:pStyle w:val="SingleTxtG"/>
      </w:pPr>
      <w:r w:rsidRPr="0052619D">
        <w:t>CITPS</w:t>
      </w:r>
      <w:r w:rsidRPr="0052619D">
        <w:tab/>
      </w:r>
      <w:r w:rsidRPr="0052619D">
        <w:tab/>
        <w:t>Comprehensive Integrated Public Transport Plans</w:t>
      </w:r>
    </w:p>
    <w:p w14:paraId="29FCC5B0" w14:textId="583003D7" w:rsidR="000E5DFC" w:rsidRDefault="00550434" w:rsidP="005A0AB6">
      <w:pPr>
        <w:pStyle w:val="SingleTxtG"/>
      </w:pPr>
      <w:r w:rsidRPr="0052619D">
        <w:t>COIDA</w:t>
      </w:r>
      <w:r w:rsidRPr="0052619D">
        <w:tab/>
        <w:t>Compensation for Occupational Injuries and Diseases Act</w:t>
      </w:r>
    </w:p>
    <w:p w14:paraId="428595ED" w14:textId="77777777" w:rsidR="000E5DFC" w:rsidRDefault="00550434" w:rsidP="005A0AB6">
      <w:pPr>
        <w:pStyle w:val="SingleTxtG"/>
      </w:pPr>
      <w:r w:rsidRPr="0052619D">
        <w:t>CPAP</w:t>
      </w:r>
      <w:r w:rsidRPr="0052619D">
        <w:tab/>
      </w:r>
      <w:r w:rsidRPr="0052619D">
        <w:tab/>
        <w:t>Continuous Positive Airway Pressure</w:t>
      </w:r>
    </w:p>
    <w:p w14:paraId="61872F7E" w14:textId="77777777" w:rsidR="000E5DFC" w:rsidRDefault="00550434" w:rsidP="005A0AB6">
      <w:pPr>
        <w:pStyle w:val="SingleTxtG"/>
      </w:pPr>
      <w:r w:rsidRPr="0052619D">
        <w:t>CPO</w:t>
      </w:r>
      <w:r w:rsidRPr="0052619D">
        <w:tab/>
      </w:r>
      <w:r w:rsidRPr="0052619D">
        <w:tab/>
        <w:t>Court Preparation Office</w:t>
      </w:r>
    </w:p>
    <w:p w14:paraId="6D3C0B09" w14:textId="77777777" w:rsidR="000E5DFC" w:rsidRDefault="00550434" w:rsidP="005A0AB6">
      <w:pPr>
        <w:pStyle w:val="SingleTxtG"/>
      </w:pPr>
      <w:r w:rsidRPr="0052619D">
        <w:t>CRPD</w:t>
      </w:r>
      <w:r w:rsidRPr="0052619D">
        <w:tab/>
      </w:r>
      <w:r w:rsidRPr="0052619D">
        <w:tab/>
        <w:t>Convention on the Rights of Persons with Disabilities</w:t>
      </w:r>
    </w:p>
    <w:p w14:paraId="5D6D4280" w14:textId="338056D3" w:rsidR="00550434" w:rsidRPr="0052619D" w:rsidRDefault="00550434" w:rsidP="005A0AB6">
      <w:pPr>
        <w:pStyle w:val="SingleTxtG"/>
      </w:pPr>
      <w:r w:rsidRPr="0052619D">
        <w:t>CPAP</w:t>
      </w:r>
      <w:r w:rsidRPr="0052619D">
        <w:tab/>
      </w:r>
      <w:r w:rsidRPr="0052619D">
        <w:tab/>
        <w:t>Continuous positive airway pressure</w:t>
      </w:r>
    </w:p>
    <w:p w14:paraId="6C281F27" w14:textId="77777777" w:rsidR="000E5DFC" w:rsidRDefault="00550434" w:rsidP="005A0AB6">
      <w:pPr>
        <w:pStyle w:val="SingleTxtG"/>
      </w:pPr>
      <w:r w:rsidRPr="0052619D">
        <w:t>CPTD</w:t>
      </w:r>
      <w:r w:rsidRPr="0052619D">
        <w:tab/>
      </w:r>
      <w:r w:rsidRPr="0052619D">
        <w:tab/>
        <w:t>Continuous Professional Teacher Development</w:t>
      </w:r>
    </w:p>
    <w:p w14:paraId="753EB052" w14:textId="77777777" w:rsidR="000E5DFC" w:rsidRDefault="00550434" w:rsidP="005A0AB6">
      <w:pPr>
        <w:pStyle w:val="SingleTxtG"/>
      </w:pPr>
      <w:r w:rsidRPr="0052619D">
        <w:t>CSG</w:t>
      </w:r>
      <w:r w:rsidRPr="0052619D">
        <w:tab/>
      </w:r>
      <w:r w:rsidRPr="0052619D">
        <w:tab/>
        <w:t>Child Support Grant</w:t>
      </w:r>
    </w:p>
    <w:p w14:paraId="439D117A" w14:textId="00FF2577" w:rsidR="00550434" w:rsidRPr="0052619D" w:rsidRDefault="00550434" w:rsidP="005A0AB6">
      <w:pPr>
        <w:pStyle w:val="SingleTxtG"/>
      </w:pPr>
      <w:r w:rsidRPr="0052619D">
        <w:t>CYCCs</w:t>
      </w:r>
      <w:r w:rsidRPr="0052619D">
        <w:tab/>
      </w:r>
      <w:r w:rsidRPr="0052619D">
        <w:tab/>
        <w:t>Child and Youth Care Centres</w:t>
      </w:r>
    </w:p>
    <w:p w14:paraId="7BB43B26" w14:textId="574CFA74" w:rsidR="000E5DFC" w:rsidRDefault="000E5DFC">
      <w:pPr>
        <w:suppressAutoHyphens w:val="0"/>
        <w:spacing w:after="200" w:line="276" w:lineRule="auto"/>
        <w:rPr>
          <w:rStyle w:val="Strong"/>
          <w:rFonts w:eastAsiaTheme="minorHAnsi"/>
          <w:color w:val="000000" w:themeColor="text1"/>
        </w:rPr>
      </w:pPr>
      <w:r>
        <w:rPr>
          <w:rStyle w:val="Strong"/>
          <w:color w:val="000000" w:themeColor="text1"/>
        </w:rPr>
        <w:br w:type="page"/>
      </w:r>
    </w:p>
    <w:p w14:paraId="31A099A9" w14:textId="77777777" w:rsidR="000E5DFC" w:rsidRDefault="00550434" w:rsidP="005A0AB6">
      <w:pPr>
        <w:pStyle w:val="SingleTxtG"/>
        <w:rPr>
          <w:rStyle w:val="Strong"/>
          <w:color w:val="000000" w:themeColor="text1"/>
        </w:rPr>
      </w:pPr>
      <w:r w:rsidRPr="0052619D">
        <w:rPr>
          <w:rStyle w:val="Strong"/>
          <w:color w:val="000000" w:themeColor="text1"/>
        </w:rPr>
        <w:lastRenderedPageBreak/>
        <w:t>D</w:t>
      </w:r>
    </w:p>
    <w:p w14:paraId="061958F2" w14:textId="77777777" w:rsidR="000E5DFC" w:rsidRDefault="00550434" w:rsidP="005A0AB6">
      <w:pPr>
        <w:pStyle w:val="SingleTxtG"/>
      </w:pPr>
      <w:r w:rsidRPr="0052619D">
        <w:t>DAC</w:t>
      </w:r>
      <w:r w:rsidRPr="0052619D">
        <w:tab/>
      </w:r>
      <w:r w:rsidRPr="0052619D">
        <w:tab/>
        <w:t>Disability Advisory Committee</w:t>
      </w:r>
    </w:p>
    <w:p w14:paraId="54B33BA0" w14:textId="77777777" w:rsidR="000E5DFC" w:rsidRDefault="00550434" w:rsidP="005A0AB6">
      <w:pPr>
        <w:pStyle w:val="SingleTxtG"/>
      </w:pPr>
      <w:r w:rsidRPr="0052619D">
        <w:t>DBE</w:t>
      </w:r>
      <w:r w:rsidRPr="0052619D">
        <w:tab/>
      </w:r>
      <w:r w:rsidRPr="0052619D">
        <w:tab/>
        <w:t>Department of Basic Education</w:t>
      </w:r>
    </w:p>
    <w:p w14:paraId="6C1BD913" w14:textId="77777777" w:rsidR="000E5DFC" w:rsidRDefault="00550434" w:rsidP="005A0AB6">
      <w:pPr>
        <w:pStyle w:val="SingleTxtG"/>
      </w:pPr>
      <w:r w:rsidRPr="0052619D">
        <w:t>DBST</w:t>
      </w:r>
      <w:r w:rsidRPr="0052619D">
        <w:tab/>
      </w:r>
      <w:r w:rsidRPr="0052619D">
        <w:tab/>
        <w:t>District-Based Support Teams</w:t>
      </w:r>
    </w:p>
    <w:p w14:paraId="761F5B0B" w14:textId="77777777" w:rsidR="000E5DFC" w:rsidRDefault="00550434" w:rsidP="005A0AB6">
      <w:pPr>
        <w:pStyle w:val="SingleTxtG"/>
      </w:pPr>
      <w:r w:rsidRPr="0052619D">
        <w:t>DCDT</w:t>
      </w:r>
      <w:r w:rsidRPr="0052619D">
        <w:tab/>
      </w:r>
      <w:r w:rsidRPr="0052619D">
        <w:tab/>
        <w:t>Department of Communications and Digital Technologies</w:t>
      </w:r>
    </w:p>
    <w:p w14:paraId="5459A0F1" w14:textId="77777777" w:rsidR="000E5DFC" w:rsidRDefault="00550434" w:rsidP="005A0AB6">
      <w:pPr>
        <w:pStyle w:val="SingleTxtG"/>
      </w:pPr>
      <w:r w:rsidRPr="0052619D">
        <w:t>DCS</w:t>
      </w:r>
      <w:r w:rsidRPr="0052619D">
        <w:tab/>
      </w:r>
      <w:r w:rsidRPr="0052619D">
        <w:tab/>
        <w:t>Department of Correctional Services</w:t>
      </w:r>
    </w:p>
    <w:p w14:paraId="27161225" w14:textId="77777777" w:rsidR="000E5DFC" w:rsidRDefault="00550434" w:rsidP="005A0AB6">
      <w:pPr>
        <w:pStyle w:val="SingleTxtG"/>
      </w:pPr>
      <w:r w:rsidRPr="0052619D">
        <w:t>DEL</w:t>
      </w:r>
      <w:r w:rsidRPr="0052619D">
        <w:tab/>
      </w:r>
      <w:r w:rsidRPr="0052619D">
        <w:tab/>
        <w:t>Department of Employment and Labour</w:t>
      </w:r>
    </w:p>
    <w:p w14:paraId="64D4521A" w14:textId="77777777" w:rsidR="000E5DFC" w:rsidRDefault="00550434" w:rsidP="005A0AB6">
      <w:pPr>
        <w:pStyle w:val="SingleTxtG"/>
      </w:pPr>
      <w:r w:rsidRPr="0052619D">
        <w:t>DHA</w:t>
      </w:r>
      <w:r w:rsidRPr="0052619D">
        <w:tab/>
      </w:r>
      <w:r w:rsidRPr="0052619D">
        <w:tab/>
        <w:t>Department of Home Affairs</w:t>
      </w:r>
    </w:p>
    <w:p w14:paraId="65BE63AB" w14:textId="77777777" w:rsidR="000E5DFC" w:rsidRDefault="00550434" w:rsidP="005A0AB6">
      <w:pPr>
        <w:pStyle w:val="SingleTxtG"/>
      </w:pPr>
      <w:r w:rsidRPr="0052619D">
        <w:t>DHET</w:t>
      </w:r>
      <w:r w:rsidRPr="0052619D">
        <w:tab/>
      </w:r>
      <w:r w:rsidRPr="0052619D">
        <w:tab/>
        <w:t>Department of Higher Education and Training</w:t>
      </w:r>
    </w:p>
    <w:p w14:paraId="01479C0A" w14:textId="77777777" w:rsidR="000F423E" w:rsidRDefault="00550434" w:rsidP="005A0AB6">
      <w:pPr>
        <w:pStyle w:val="SingleTxtG"/>
      </w:pPr>
      <w:r w:rsidRPr="0052619D">
        <w:t>DMA</w:t>
      </w:r>
      <w:r w:rsidRPr="0052619D">
        <w:tab/>
      </w:r>
      <w:r w:rsidRPr="0052619D">
        <w:tab/>
        <w:t>National Disaster Management Act</w:t>
      </w:r>
    </w:p>
    <w:p w14:paraId="2A79477C" w14:textId="77777777" w:rsidR="000F423E" w:rsidRDefault="00550434" w:rsidP="005A0AB6">
      <w:pPr>
        <w:pStyle w:val="SingleTxtG"/>
      </w:pPr>
      <w:r w:rsidRPr="0052619D">
        <w:t>DMJSOC</w:t>
      </w:r>
      <w:r w:rsidRPr="0052619D">
        <w:tab/>
        <w:t>Disaster Management Joint Special Operations Command</w:t>
      </w:r>
    </w:p>
    <w:p w14:paraId="25D6BB3D" w14:textId="77777777" w:rsidR="000F423E" w:rsidRDefault="00550434" w:rsidP="005A0AB6">
      <w:pPr>
        <w:pStyle w:val="SingleTxtG"/>
      </w:pPr>
      <w:r w:rsidRPr="0052619D">
        <w:t>DoH</w:t>
      </w:r>
      <w:r w:rsidRPr="0052619D">
        <w:tab/>
      </w:r>
      <w:r w:rsidRPr="0052619D">
        <w:tab/>
        <w:t>Department of Health</w:t>
      </w:r>
    </w:p>
    <w:p w14:paraId="67CA9D4C" w14:textId="77777777" w:rsidR="000F423E" w:rsidRDefault="00550434" w:rsidP="005A0AB6">
      <w:pPr>
        <w:pStyle w:val="SingleTxtG"/>
      </w:pPr>
      <w:r w:rsidRPr="0052619D">
        <w:t>DOJCD</w:t>
      </w:r>
      <w:r w:rsidRPr="0052619D">
        <w:tab/>
      </w:r>
      <w:r w:rsidRPr="0052619D">
        <w:tab/>
        <w:t>Department of Justice and Constitutional Development</w:t>
      </w:r>
    </w:p>
    <w:p w14:paraId="59021A35" w14:textId="77777777" w:rsidR="000F423E" w:rsidRDefault="00550434" w:rsidP="005A0AB6">
      <w:pPr>
        <w:pStyle w:val="SingleTxtG"/>
      </w:pPr>
      <w:r w:rsidRPr="0052619D">
        <w:t>DPME</w:t>
      </w:r>
      <w:r w:rsidRPr="0052619D">
        <w:tab/>
      </w:r>
      <w:r w:rsidRPr="0052619D">
        <w:tab/>
        <w:t>Department of Planning, Monitoring and Evaluation</w:t>
      </w:r>
    </w:p>
    <w:p w14:paraId="07E43DD7" w14:textId="77777777" w:rsidR="000F423E" w:rsidRDefault="00550434" w:rsidP="005A0AB6">
      <w:pPr>
        <w:pStyle w:val="SingleTxtG"/>
      </w:pPr>
      <w:r w:rsidRPr="0052619D">
        <w:t xml:space="preserve">DPOs </w:t>
      </w:r>
      <w:r w:rsidRPr="0052619D">
        <w:tab/>
      </w:r>
      <w:r w:rsidRPr="0052619D">
        <w:tab/>
        <w:t>Disabled People's Organisations</w:t>
      </w:r>
    </w:p>
    <w:p w14:paraId="43B20F5B" w14:textId="77777777" w:rsidR="000F423E" w:rsidRDefault="00550434" w:rsidP="005A0AB6">
      <w:pPr>
        <w:pStyle w:val="SingleTxtG"/>
      </w:pPr>
      <w:r w:rsidRPr="0052619D">
        <w:t>DPSA</w:t>
      </w:r>
      <w:r w:rsidRPr="0052619D">
        <w:tab/>
      </w:r>
      <w:r w:rsidRPr="0052619D">
        <w:tab/>
        <w:t>Disabled People South Africa</w:t>
      </w:r>
    </w:p>
    <w:p w14:paraId="0598E3E8" w14:textId="77777777" w:rsidR="000F423E" w:rsidRDefault="00550434" w:rsidP="005A0AB6">
      <w:pPr>
        <w:pStyle w:val="SingleTxtG"/>
      </w:pPr>
      <w:r w:rsidRPr="0052619D">
        <w:t xml:space="preserve">DPSA </w:t>
      </w:r>
      <w:r w:rsidRPr="0052619D">
        <w:tab/>
      </w:r>
      <w:r w:rsidRPr="0052619D">
        <w:tab/>
        <w:t>Department of Public Service and Administration</w:t>
      </w:r>
    </w:p>
    <w:p w14:paraId="4A3E5B6B" w14:textId="77777777" w:rsidR="000F423E" w:rsidRDefault="00550434" w:rsidP="005A0AB6">
      <w:pPr>
        <w:pStyle w:val="SingleTxtG"/>
      </w:pPr>
      <w:r w:rsidRPr="0052619D">
        <w:t>DRB</w:t>
      </w:r>
      <w:r w:rsidRPr="0052619D">
        <w:tab/>
      </w:r>
      <w:r w:rsidRPr="0052619D">
        <w:tab/>
        <w:t>Disability Rights Bill</w:t>
      </w:r>
    </w:p>
    <w:p w14:paraId="61CF64D1" w14:textId="77777777" w:rsidR="000F423E" w:rsidRDefault="00550434" w:rsidP="005A0AB6">
      <w:pPr>
        <w:pStyle w:val="SingleTxtG"/>
      </w:pPr>
      <w:r w:rsidRPr="0052619D">
        <w:t>DSAC</w:t>
      </w:r>
      <w:r w:rsidRPr="0052619D">
        <w:tab/>
      </w:r>
      <w:r w:rsidRPr="0052619D">
        <w:tab/>
        <w:t>Department of Sports, Arts and Culture</w:t>
      </w:r>
    </w:p>
    <w:p w14:paraId="358AB71C" w14:textId="77777777" w:rsidR="000F423E" w:rsidRDefault="00550434" w:rsidP="005A0AB6">
      <w:pPr>
        <w:pStyle w:val="SingleTxtG"/>
      </w:pPr>
      <w:r w:rsidRPr="0052619D">
        <w:t>DSD</w:t>
      </w:r>
      <w:r w:rsidRPr="0052619D">
        <w:tab/>
      </w:r>
      <w:r w:rsidRPr="0052619D">
        <w:tab/>
        <w:t>Department of Social Development</w:t>
      </w:r>
    </w:p>
    <w:p w14:paraId="266AC1C6" w14:textId="77777777" w:rsidR="000F423E" w:rsidRDefault="00550434" w:rsidP="005A0AB6">
      <w:pPr>
        <w:pStyle w:val="SingleTxtG"/>
      </w:pPr>
      <w:r w:rsidRPr="0052619D">
        <w:t xml:space="preserve">DWYPD </w:t>
      </w:r>
      <w:r w:rsidRPr="0052619D">
        <w:tab/>
        <w:t>Department of Women, Youth, and Persons with Disabilities</w:t>
      </w:r>
    </w:p>
    <w:p w14:paraId="4C4E2C19" w14:textId="68988BB0" w:rsidR="00550434" w:rsidRPr="0052619D" w:rsidRDefault="00550434" w:rsidP="005A0AB6">
      <w:pPr>
        <w:pStyle w:val="SingleTxtG"/>
      </w:pPr>
      <w:r w:rsidRPr="0052619D">
        <w:t>DVA</w:t>
      </w:r>
      <w:r w:rsidRPr="0052619D">
        <w:tab/>
      </w:r>
      <w:r w:rsidRPr="0052619D">
        <w:tab/>
        <w:t>Domestic Violence Amendment Act</w:t>
      </w:r>
    </w:p>
    <w:p w14:paraId="6DFE8855" w14:textId="77777777" w:rsidR="00550434" w:rsidRPr="0052619D" w:rsidRDefault="00550434" w:rsidP="005A0AB6">
      <w:pPr>
        <w:pStyle w:val="SingleTxtG"/>
        <w:rPr>
          <w:rStyle w:val="Strong"/>
          <w:color w:val="000000" w:themeColor="text1"/>
        </w:rPr>
      </w:pPr>
    </w:p>
    <w:p w14:paraId="431B643A" w14:textId="77777777" w:rsidR="000F423E" w:rsidRDefault="00550434" w:rsidP="005A0AB6">
      <w:pPr>
        <w:pStyle w:val="SingleTxtG"/>
      </w:pPr>
      <w:r w:rsidRPr="0052619D">
        <w:rPr>
          <w:rStyle w:val="Strong"/>
          <w:color w:val="000000" w:themeColor="text1"/>
        </w:rPr>
        <w:t>E</w:t>
      </w:r>
      <w:r w:rsidRPr="0052619D">
        <w:br/>
        <w:t>ECD</w:t>
      </w:r>
      <w:r w:rsidRPr="0052619D">
        <w:tab/>
      </w:r>
      <w:r w:rsidRPr="0052619D">
        <w:tab/>
        <w:t>Early Childhood Development</w:t>
      </w:r>
    </w:p>
    <w:p w14:paraId="5610D233" w14:textId="77777777" w:rsidR="000F423E" w:rsidRDefault="00550434" w:rsidP="005A0AB6">
      <w:pPr>
        <w:pStyle w:val="SingleTxtG"/>
      </w:pPr>
      <w:r w:rsidRPr="0052619D">
        <w:t>ECSA</w:t>
      </w:r>
      <w:r w:rsidRPr="0052619D">
        <w:tab/>
      </w:r>
      <w:r w:rsidRPr="0052619D">
        <w:tab/>
        <w:t>Engineering Council of South Africa</w:t>
      </w:r>
    </w:p>
    <w:p w14:paraId="2117E097" w14:textId="77777777" w:rsidR="000F423E" w:rsidRDefault="00550434" w:rsidP="005A0AB6">
      <w:pPr>
        <w:pStyle w:val="SingleTxtG"/>
      </w:pPr>
      <w:r w:rsidRPr="0052619D">
        <w:t>EEA</w:t>
      </w:r>
      <w:r w:rsidRPr="0052619D">
        <w:tab/>
      </w:r>
      <w:r w:rsidRPr="0052619D">
        <w:tab/>
        <w:t>Employment Equity Act</w:t>
      </w:r>
    </w:p>
    <w:p w14:paraId="58C10922" w14:textId="2C0FC471" w:rsidR="00550434" w:rsidRPr="0052619D" w:rsidRDefault="00550434" w:rsidP="005A0AB6">
      <w:pPr>
        <w:pStyle w:val="SingleTxtG"/>
      </w:pPr>
      <w:r w:rsidRPr="0052619D">
        <w:t>EPWP</w:t>
      </w:r>
      <w:r w:rsidRPr="0052619D">
        <w:tab/>
      </w:r>
      <w:r w:rsidRPr="0052619D">
        <w:tab/>
        <w:t>Expanded Public Works Programme</w:t>
      </w:r>
    </w:p>
    <w:p w14:paraId="57D9D31B" w14:textId="77777777" w:rsidR="000F423E" w:rsidRDefault="00550434" w:rsidP="005A0AB6">
      <w:pPr>
        <w:pStyle w:val="SingleTxtG"/>
      </w:pPr>
      <w:r w:rsidRPr="0052619D">
        <w:t>ERRP</w:t>
      </w:r>
      <w:r w:rsidRPr="0052619D">
        <w:tab/>
      </w:r>
      <w:r w:rsidRPr="0052619D">
        <w:tab/>
        <w:t>Economic Reconstruction and Recovery Plan</w:t>
      </w:r>
    </w:p>
    <w:p w14:paraId="24FC8495" w14:textId="77777777" w:rsidR="000F423E" w:rsidRDefault="00550434" w:rsidP="000F423E">
      <w:pPr>
        <w:pStyle w:val="SingleTxtG"/>
        <w:ind w:left="2268" w:hanging="1134"/>
      </w:pPr>
      <w:r w:rsidRPr="0052619D">
        <w:t>ETDP-SETA</w:t>
      </w:r>
      <w:r w:rsidRPr="0052619D">
        <w:tab/>
        <w:t>Education, Training and Development Practices Sector Education and Training Authority</w:t>
      </w:r>
    </w:p>
    <w:p w14:paraId="18D8B106" w14:textId="77777777" w:rsidR="000F423E" w:rsidRDefault="00550434" w:rsidP="005A0AB6">
      <w:pPr>
        <w:pStyle w:val="SingleTxtG"/>
      </w:pPr>
      <w:r w:rsidRPr="0052619D">
        <w:t>EU</w:t>
      </w:r>
      <w:r w:rsidRPr="0052619D">
        <w:tab/>
      </w:r>
      <w:r w:rsidRPr="0052619D">
        <w:tab/>
        <w:t>European Union</w:t>
      </w:r>
    </w:p>
    <w:p w14:paraId="008838B1" w14:textId="4C0BEDD9" w:rsidR="00550434" w:rsidRPr="0052619D" w:rsidRDefault="00550434" w:rsidP="005A0AB6">
      <w:pPr>
        <w:pStyle w:val="SingleTxtG"/>
      </w:pPr>
      <w:r w:rsidRPr="0052619D">
        <w:t xml:space="preserve">EWP6 </w:t>
      </w:r>
      <w:r w:rsidRPr="0052619D">
        <w:tab/>
        <w:t>Education White Paper 6</w:t>
      </w:r>
    </w:p>
    <w:p w14:paraId="04F3A1E4" w14:textId="77777777" w:rsidR="00550434" w:rsidRPr="0052619D" w:rsidRDefault="00550434" w:rsidP="005A0AB6">
      <w:pPr>
        <w:pStyle w:val="SingleTxtG"/>
        <w:rPr>
          <w:rStyle w:val="Strong"/>
          <w:color w:val="000000" w:themeColor="text1"/>
        </w:rPr>
      </w:pPr>
    </w:p>
    <w:p w14:paraId="1196552A" w14:textId="77777777" w:rsidR="00550434" w:rsidRPr="0052619D" w:rsidRDefault="00550434" w:rsidP="005A0AB6">
      <w:pPr>
        <w:pStyle w:val="SingleTxtG"/>
      </w:pPr>
      <w:r w:rsidRPr="0052619D">
        <w:rPr>
          <w:rStyle w:val="Strong"/>
          <w:color w:val="000000" w:themeColor="text1"/>
        </w:rPr>
        <w:t>F</w:t>
      </w:r>
      <w:r w:rsidRPr="0052619D">
        <w:br/>
        <w:t xml:space="preserve">FAS </w:t>
      </w:r>
      <w:r w:rsidRPr="0052619D">
        <w:tab/>
      </w:r>
      <w:r w:rsidRPr="0052619D">
        <w:tab/>
        <w:t>Foetal Alcohol Syndrome</w:t>
      </w:r>
    </w:p>
    <w:p w14:paraId="4F4DE71C" w14:textId="77777777" w:rsidR="00550434" w:rsidRPr="0052619D" w:rsidRDefault="00550434" w:rsidP="005A0AB6">
      <w:pPr>
        <w:pStyle w:val="SingleTxtG"/>
      </w:pPr>
      <w:r w:rsidRPr="0052619D">
        <w:t>FCS</w:t>
      </w:r>
      <w:r w:rsidRPr="0052619D">
        <w:tab/>
      </w:r>
      <w:r w:rsidRPr="0052619D">
        <w:tab/>
        <w:t>Family Violence, Child Protection and Sexual Offences</w:t>
      </w:r>
    </w:p>
    <w:p w14:paraId="7AA7F63D" w14:textId="77777777" w:rsidR="00550434" w:rsidRPr="0052619D" w:rsidRDefault="00550434" w:rsidP="005A0AB6">
      <w:pPr>
        <w:pStyle w:val="SingleTxtG"/>
      </w:pPr>
      <w:r w:rsidRPr="0052619D">
        <w:t>FIPP</w:t>
      </w:r>
      <w:r w:rsidRPr="0052619D">
        <w:tab/>
      </w:r>
      <w:r w:rsidRPr="0052619D">
        <w:tab/>
        <w:t xml:space="preserve">Financial Inclusion and Public Policy Division </w:t>
      </w:r>
    </w:p>
    <w:p w14:paraId="189E891C" w14:textId="00B0804B" w:rsidR="000F423E" w:rsidRDefault="000F423E">
      <w:pPr>
        <w:suppressAutoHyphens w:val="0"/>
        <w:spacing w:after="200" w:line="276" w:lineRule="auto"/>
        <w:rPr>
          <w:rStyle w:val="Strong"/>
          <w:rFonts w:eastAsiaTheme="minorHAnsi"/>
          <w:color w:val="000000" w:themeColor="text1"/>
        </w:rPr>
      </w:pPr>
      <w:r>
        <w:rPr>
          <w:rStyle w:val="Strong"/>
          <w:color w:val="000000" w:themeColor="text1"/>
        </w:rPr>
        <w:br w:type="page"/>
      </w:r>
    </w:p>
    <w:p w14:paraId="40AF0BA2" w14:textId="77777777" w:rsidR="000F423E" w:rsidRDefault="00550434" w:rsidP="005A0AB6">
      <w:pPr>
        <w:pStyle w:val="SingleTxtG"/>
        <w:rPr>
          <w:rStyle w:val="Strong"/>
          <w:color w:val="000000" w:themeColor="text1"/>
        </w:rPr>
      </w:pPr>
      <w:r w:rsidRPr="0052619D">
        <w:rPr>
          <w:rStyle w:val="Strong"/>
          <w:color w:val="000000" w:themeColor="text1"/>
        </w:rPr>
        <w:lastRenderedPageBreak/>
        <w:t>G</w:t>
      </w:r>
    </w:p>
    <w:p w14:paraId="0F27EC2C" w14:textId="77777777" w:rsidR="000F423E" w:rsidRDefault="00550434" w:rsidP="005A0AB6">
      <w:pPr>
        <w:pStyle w:val="SingleTxtG"/>
      </w:pPr>
      <w:r w:rsidRPr="0052619D">
        <w:t xml:space="preserve">GBV </w:t>
      </w:r>
      <w:r w:rsidRPr="0052619D">
        <w:tab/>
      </w:r>
      <w:r w:rsidRPr="0052619D">
        <w:tab/>
        <w:t>Gender-Based Violence</w:t>
      </w:r>
    </w:p>
    <w:p w14:paraId="20BF0B20" w14:textId="2A24C1A2" w:rsidR="000F423E" w:rsidRDefault="00550434" w:rsidP="005A0AB6">
      <w:pPr>
        <w:pStyle w:val="SingleTxtG"/>
      </w:pPr>
      <w:r w:rsidRPr="0052619D">
        <w:t xml:space="preserve">GBVF </w:t>
      </w:r>
      <w:r w:rsidRPr="0052619D">
        <w:tab/>
        <w:t>Gender-Based Violence and Femicide</w:t>
      </w:r>
    </w:p>
    <w:p w14:paraId="65F97339" w14:textId="77777777" w:rsidR="000F423E" w:rsidRDefault="00550434" w:rsidP="005A0AB6">
      <w:pPr>
        <w:pStyle w:val="SingleTxtG"/>
      </w:pPr>
      <w:r w:rsidRPr="0052619D">
        <w:t xml:space="preserve">GCIS </w:t>
      </w:r>
      <w:r w:rsidRPr="0052619D">
        <w:tab/>
      </w:r>
      <w:r w:rsidRPr="0052619D">
        <w:tab/>
        <w:t>Government Communication and Information Systems</w:t>
      </w:r>
    </w:p>
    <w:p w14:paraId="14FEAFE5" w14:textId="2DC643D3" w:rsidR="00550434" w:rsidRPr="0052619D" w:rsidRDefault="00550434" w:rsidP="000F423E">
      <w:pPr>
        <w:pStyle w:val="SingleTxtG"/>
        <w:ind w:left="2268" w:hanging="1134"/>
      </w:pPr>
      <w:r w:rsidRPr="0052619D">
        <w:t>GRPBMEAF</w:t>
      </w:r>
      <w:r w:rsidRPr="0052619D">
        <w:tab/>
        <w:t>Gender Responsive Planning, Budgeting, Monitoring, Evaluation and Auditing Framework</w:t>
      </w:r>
    </w:p>
    <w:p w14:paraId="0C2F2BCA" w14:textId="77777777" w:rsidR="000F423E" w:rsidRDefault="00550434" w:rsidP="005A0AB6">
      <w:pPr>
        <w:pStyle w:val="SingleTxtG"/>
        <w:rPr>
          <w:rStyle w:val="Strong"/>
          <w:color w:val="000000" w:themeColor="text1"/>
        </w:rPr>
      </w:pPr>
      <w:r w:rsidRPr="0052619D">
        <w:rPr>
          <w:rStyle w:val="Strong"/>
          <w:color w:val="000000" w:themeColor="text1"/>
        </w:rPr>
        <w:t>H</w:t>
      </w:r>
    </w:p>
    <w:p w14:paraId="5665BDF2" w14:textId="3A36C3AC" w:rsidR="000F423E" w:rsidRDefault="00550434" w:rsidP="005A0AB6">
      <w:pPr>
        <w:pStyle w:val="SingleTxtG"/>
      </w:pPr>
      <w:r w:rsidRPr="0052619D">
        <w:t>HIV/AIDS</w:t>
      </w:r>
      <w:r w:rsidRPr="0052619D">
        <w:tab/>
        <w:t>Human Immunodeficiency Virus/Acquired Immunodeficiency Syndrome</w:t>
      </w:r>
    </w:p>
    <w:p w14:paraId="0CE00B8F" w14:textId="1834DA2A" w:rsidR="00550434" w:rsidRPr="0052619D" w:rsidRDefault="00550434" w:rsidP="005A0AB6">
      <w:pPr>
        <w:pStyle w:val="SingleTxtG"/>
      </w:pPr>
      <w:r w:rsidRPr="0052619D">
        <w:t>HCBC</w:t>
      </w:r>
      <w:r w:rsidRPr="0052619D">
        <w:tab/>
      </w:r>
      <w:r w:rsidRPr="0052619D">
        <w:tab/>
        <w:t>Home and Community Based Care</w:t>
      </w:r>
    </w:p>
    <w:p w14:paraId="0A282F0A" w14:textId="3EA22A4A" w:rsidR="00550434" w:rsidRPr="0052619D" w:rsidRDefault="00550434" w:rsidP="005A0AB6">
      <w:pPr>
        <w:pStyle w:val="SingleTxtG"/>
      </w:pPr>
      <w:r w:rsidRPr="0052619D">
        <w:t xml:space="preserve">HPCSA </w:t>
      </w:r>
      <w:r w:rsidRPr="0052619D">
        <w:tab/>
        <w:t>Health Professionals Council of South Africa</w:t>
      </w:r>
    </w:p>
    <w:p w14:paraId="5FD44251" w14:textId="77777777" w:rsidR="000F423E" w:rsidRDefault="00550434" w:rsidP="005A0AB6">
      <w:pPr>
        <w:pStyle w:val="SingleTxtG"/>
        <w:rPr>
          <w:rStyle w:val="Strong"/>
          <w:color w:val="000000" w:themeColor="text1"/>
        </w:rPr>
      </w:pPr>
      <w:r w:rsidRPr="0052619D">
        <w:rPr>
          <w:rStyle w:val="Strong"/>
          <w:color w:val="000000" w:themeColor="text1"/>
        </w:rPr>
        <w:t>I</w:t>
      </w:r>
    </w:p>
    <w:p w14:paraId="53A4F0CF" w14:textId="77777777" w:rsidR="000F423E" w:rsidRDefault="00550434" w:rsidP="005A0AB6">
      <w:pPr>
        <w:pStyle w:val="SingleTxtG"/>
      </w:pPr>
      <w:r w:rsidRPr="0052619D">
        <w:t xml:space="preserve">IBT </w:t>
      </w:r>
      <w:r w:rsidRPr="0052619D">
        <w:tab/>
      </w:r>
      <w:r w:rsidRPr="0052619D">
        <w:tab/>
        <w:t>Innovative Building Technology</w:t>
      </w:r>
    </w:p>
    <w:p w14:paraId="74DB826A" w14:textId="0665E157" w:rsidR="000F423E" w:rsidRDefault="00550434" w:rsidP="005A0AB6">
      <w:pPr>
        <w:pStyle w:val="SingleTxtG"/>
      </w:pPr>
      <w:r w:rsidRPr="0052619D">
        <w:t>ICASA</w:t>
      </w:r>
      <w:r w:rsidRPr="0052619D">
        <w:tab/>
        <w:t>Independent Communications Authority of South Africa</w:t>
      </w:r>
    </w:p>
    <w:p w14:paraId="38901114" w14:textId="122A9369" w:rsidR="00DE4DF4" w:rsidRDefault="00550434" w:rsidP="005A0AB6">
      <w:pPr>
        <w:pStyle w:val="SingleTxtG"/>
      </w:pPr>
      <w:r w:rsidRPr="0052619D">
        <w:t>ICDMS</w:t>
      </w:r>
      <w:r w:rsidRPr="0052619D">
        <w:tab/>
        <w:t>Investigative Case Docket Management System</w:t>
      </w:r>
    </w:p>
    <w:p w14:paraId="31878158" w14:textId="77777777" w:rsidR="00DE4DF4" w:rsidRDefault="00550434" w:rsidP="005A0AB6">
      <w:pPr>
        <w:pStyle w:val="SingleTxtG"/>
      </w:pPr>
      <w:r w:rsidRPr="0052619D">
        <w:t>IEC</w:t>
      </w:r>
      <w:r w:rsidRPr="0052619D">
        <w:tab/>
      </w:r>
      <w:r w:rsidRPr="0052619D">
        <w:tab/>
        <w:t>Independent Electoral Commission</w:t>
      </w:r>
    </w:p>
    <w:p w14:paraId="16051432" w14:textId="77777777" w:rsidR="00DE4DF4" w:rsidRDefault="00550434" w:rsidP="005A0AB6">
      <w:pPr>
        <w:pStyle w:val="SingleTxtG"/>
      </w:pPr>
      <w:r w:rsidRPr="0052619D">
        <w:t>ICT</w:t>
      </w:r>
      <w:r w:rsidRPr="0052619D">
        <w:tab/>
      </w:r>
      <w:r w:rsidRPr="0052619D">
        <w:tab/>
        <w:t>Information and Communications Technology</w:t>
      </w:r>
    </w:p>
    <w:p w14:paraId="02300A30" w14:textId="77777777" w:rsidR="00DE4DF4" w:rsidRDefault="00550434" w:rsidP="005A0AB6">
      <w:pPr>
        <w:pStyle w:val="SingleTxtG"/>
      </w:pPr>
      <w:r w:rsidRPr="0052619D">
        <w:t>IMM</w:t>
      </w:r>
      <w:r w:rsidRPr="0052619D">
        <w:tab/>
      </w:r>
      <w:r w:rsidRPr="0052619D">
        <w:tab/>
        <w:t>Independent Monitoring Mechanism</w:t>
      </w:r>
    </w:p>
    <w:p w14:paraId="73861835" w14:textId="77777777" w:rsidR="00DE4DF4" w:rsidRDefault="00550434" w:rsidP="005A0AB6">
      <w:pPr>
        <w:pStyle w:val="SingleTxtG"/>
      </w:pPr>
      <w:r w:rsidRPr="0052619D">
        <w:t>IOM</w:t>
      </w:r>
      <w:r w:rsidRPr="0052619D">
        <w:tab/>
      </w:r>
      <w:r w:rsidRPr="0052619D">
        <w:tab/>
        <w:t>International Organization for Migration</w:t>
      </w:r>
    </w:p>
    <w:p w14:paraId="186121EB" w14:textId="77777777" w:rsidR="00DE4DF4" w:rsidRDefault="00550434" w:rsidP="005A0AB6">
      <w:pPr>
        <w:pStyle w:val="SingleTxtG"/>
      </w:pPr>
      <w:r w:rsidRPr="0052619D">
        <w:t>IPID</w:t>
      </w:r>
      <w:r w:rsidRPr="0052619D">
        <w:tab/>
      </w:r>
      <w:r w:rsidRPr="0052619D">
        <w:tab/>
        <w:t>Independent Police Investigative Directorate</w:t>
      </w:r>
    </w:p>
    <w:p w14:paraId="413C2423" w14:textId="615EF003" w:rsidR="00550434" w:rsidRPr="0052619D" w:rsidRDefault="00550434" w:rsidP="005A0AB6">
      <w:pPr>
        <w:pStyle w:val="SingleTxtG"/>
      </w:pPr>
      <w:r w:rsidRPr="0052619D">
        <w:t>IPTNs</w:t>
      </w:r>
      <w:r w:rsidRPr="0052619D">
        <w:tab/>
      </w:r>
      <w:r w:rsidRPr="0052619D">
        <w:tab/>
        <w:t>Integrated Public Transport Networks</w:t>
      </w:r>
    </w:p>
    <w:p w14:paraId="60339914" w14:textId="77777777" w:rsidR="00DE4DF4" w:rsidRDefault="00550434" w:rsidP="005A0AB6">
      <w:pPr>
        <w:pStyle w:val="SingleTxtG"/>
      </w:pPr>
      <w:r w:rsidRPr="0052619D">
        <w:t>IPV</w:t>
      </w:r>
      <w:r w:rsidRPr="0052619D">
        <w:tab/>
      </w:r>
      <w:r w:rsidRPr="0052619D">
        <w:tab/>
        <w:t>Independent Prison Visitor</w:t>
      </w:r>
    </w:p>
    <w:p w14:paraId="3B431D45" w14:textId="368471B4" w:rsidR="00550434" w:rsidRPr="0052619D" w:rsidRDefault="00550434" w:rsidP="005A0AB6">
      <w:pPr>
        <w:pStyle w:val="SingleTxtG"/>
      </w:pPr>
      <w:r w:rsidRPr="0052619D">
        <w:t xml:space="preserve">IR </w:t>
      </w:r>
      <w:r w:rsidRPr="0052619D">
        <w:tab/>
      </w:r>
      <w:r w:rsidRPr="0052619D">
        <w:tab/>
        <w:t>Information Regulator</w:t>
      </w:r>
    </w:p>
    <w:p w14:paraId="01C77175" w14:textId="77777777" w:rsidR="00DE4DF4" w:rsidRDefault="00550434" w:rsidP="005A0AB6">
      <w:pPr>
        <w:pStyle w:val="SingleTxtG"/>
        <w:rPr>
          <w:rStyle w:val="Strong"/>
          <w:color w:val="000000" w:themeColor="text1"/>
        </w:rPr>
      </w:pPr>
      <w:r w:rsidRPr="0052619D">
        <w:rPr>
          <w:rStyle w:val="Strong"/>
          <w:color w:val="000000" w:themeColor="text1"/>
        </w:rPr>
        <w:t>J</w:t>
      </w:r>
    </w:p>
    <w:p w14:paraId="127E77D4" w14:textId="77777777" w:rsidR="00DE4DF4" w:rsidRDefault="00550434" w:rsidP="005A0AB6">
      <w:pPr>
        <w:pStyle w:val="SingleTxtG"/>
      </w:pPr>
      <w:r w:rsidRPr="0052619D">
        <w:t>JICA</w:t>
      </w:r>
      <w:r w:rsidRPr="0052619D">
        <w:tab/>
      </w:r>
      <w:r w:rsidRPr="0052619D">
        <w:tab/>
        <w:t>Japan International Cooperation Agency</w:t>
      </w:r>
    </w:p>
    <w:p w14:paraId="194CFCAC" w14:textId="18C7AA34" w:rsidR="00550434" w:rsidRPr="0052619D" w:rsidRDefault="00550434" w:rsidP="005A0AB6">
      <w:pPr>
        <w:pStyle w:val="SingleTxtG"/>
      </w:pPr>
      <w:r w:rsidRPr="0052619D">
        <w:t>JICS</w:t>
      </w:r>
      <w:r w:rsidRPr="0052619D">
        <w:tab/>
      </w:r>
      <w:r w:rsidRPr="0052619D">
        <w:tab/>
        <w:t>Judicial Inspectorate for Correctional Services</w:t>
      </w:r>
    </w:p>
    <w:p w14:paraId="310B365D" w14:textId="77777777" w:rsidR="00DE4DF4" w:rsidRDefault="00550434" w:rsidP="005A0AB6">
      <w:pPr>
        <w:pStyle w:val="SingleTxtG"/>
        <w:rPr>
          <w:rStyle w:val="Strong"/>
          <w:color w:val="000000" w:themeColor="text1"/>
        </w:rPr>
      </w:pPr>
      <w:r w:rsidRPr="0052619D">
        <w:rPr>
          <w:rStyle w:val="Strong"/>
          <w:color w:val="000000" w:themeColor="text1"/>
        </w:rPr>
        <w:t>L</w:t>
      </w:r>
    </w:p>
    <w:p w14:paraId="62294041" w14:textId="24C81AFE" w:rsidR="00DE4DF4" w:rsidRDefault="00550434" w:rsidP="005A0AB6">
      <w:pPr>
        <w:pStyle w:val="SingleTxtG"/>
      </w:pPr>
      <w:r w:rsidRPr="0052619D">
        <w:t xml:space="preserve">LASA </w:t>
      </w:r>
      <w:r w:rsidRPr="0052619D">
        <w:tab/>
        <w:t>Legal Aid South Africa</w:t>
      </w:r>
    </w:p>
    <w:p w14:paraId="69AD315A" w14:textId="6392DC8C" w:rsidR="00550434" w:rsidRPr="0052619D" w:rsidRDefault="00550434" w:rsidP="005A0AB6">
      <w:pPr>
        <w:pStyle w:val="SingleTxtG"/>
      </w:pPr>
      <w:r w:rsidRPr="0052619D">
        <w:t>LRA</w:t>
      </w:r>
      <w:r w:rsidRPr="0052619D">
        <w:tab/>
      </w:r>
      <w:r w:rsidRPr="0052619D">
        <w:tab/>
        <w:t>Labour Relations Act</w:t>
      </w:r>
    </w:p>
    <w:p w14:paraId="344B2B8D" w14:textId="207432A8" w:rsidR="00550434" w:rsidRPr="0052619D" w:rsidRDefault="00550434" w:rsidP="005A0AB6">
      <w:pPr>
        <w:pStyle w:val="SingleTxtG"/>
      </w:pPr>
      <w:r w:rsidRPr="0052619D">
        <w:t>LTDOT</w:t>
      </w:r>
      <w:r w:rsidRPr="0052619D">
        <w:tab/>
        <w:t>Long-Term Domiciliary Oxygen Therapy</w:t>
      </w:r>
    </w:p>
    <w:p w14:paraId="44FF5D14" w14:textId="77777777" w:rsidR="00DE4DF4" w:rsidRDefault="00550434" w:rsidP="005A0AB6">
      <w:pPr>
        <w:pStyle w:val="SingleTxtG"/>
        <w:rPr>
          <w:rStyle w:val="Strong"/>
          <w:color w:val="000000" w:themeColor="text1"/>
        </w:rPr>
      </w:pPr>
      <w:r w:rsidRPr="0052619D">
        <w:rPr>
          <w:rStyle w:val="Strong"/>
          <w:color w:val="000000" w:themeColor="text1"/>
        </w:rPr>
        <w:t>M</w:t>
      </w:r>
    </w:p>
    <w:p w14:paraId="338F30F1" w14:textId="77777777" w:rsidR="00DE4DF4" w:rsidRDefault="00550434" w:rsidP="005A0AB6">
      <w:pPr>
        <w:pStyle w:val="SingleTxtG"/>
      </w:pPr>
      <w:r w:rsidRPr="0052619D">
        <w:t xml:space="preserve">MAC </w:t>
      </w:r>
      <w:r w:rsidRPr="0052619D">
        <w:tab/>
      </w:r>
      <w:r w:rsidRPr="0052619D">
        <w:tab/>
        <w:t>Marketing, Advertising and Communication</w:t>
      </w:r>
    </w:p>
    <w:p w14:paraId="56B35A07" w14:textId="77777777" w:rsidR="00DE4DF4" w:rsidRDefault="00550434" w:rsidP="005A0AB6">
      <w:pPr>
        <w:pStyle w:val="SingleTxtG"/>
      </w:pPr>
      <w:r w:rsidRPr="0052619D">
        <w:t xml:space="preserve">MEC </w:t>
      </w:r>
      <w:r w:rsidRPr="0052619D">
        <w:tab/>
      </w:r>
      <w:r w:rsidRPr="0052619D">
        <w:tab/>
        <w:t>Member of the Executive Council</w:t>
      </w:r>
    </w:p>
    <w:p w14:paraId="1B5430FD" w14:textId="134A3231" w:rsidR="00DE4DF4" w:rsidRDefault="00550434" w:rsidP="005A0AB6">
      <w:pPr>
        <w:pStyle w:val="SingleTxtG"/>
      </w:pPr>
      <w:r w:rsidRPr="0052619D">
        <w:t>MHCA</w:t>
      </w:r>
      <w:r w:rsidRPr="0052619D">
        <w:tab/>
        <w:t>Mental Health Care Act</w:t>
      </w:r>
    </w:p>
    <w:p w14:paraId="4A4FB359" w14:textId="69CB323C" w:rsidR="00DE4DF4" w:rsidRDefault="00550434" w:rsidP="005A0AB6">
      <w:pPr>
        <w:pStyle w:val="SingleTxtG"/>
      </w:pPr>
      <w:r w:rsidRPr="0052619D">
        <w:t xml:space="preserve">MHSA </w:t>
      </w:r>
      <w:r w:rsidRPr="0052619D">
        <w:tab/>
        <w:t>Mine Health and Safety Act</w:t>
      </w:r>
    </w:p>
    <w:p w14:paraId="3DD79E3E" w14:textId="08CE10B7" w:rsidR="0026680B" w:rsidRDefault="00550434" w:rsidP="005A0AB6">
      <w:pPr>
        <w:pStyle w:val="SingleTxtG"/>
      </w:pPr>
      <w:r w:rsidRPr="0052619D">
        <w:t>MIICA</w:t>
      </w:r>
      <w:r w:rsidR="0026680B">
        <w:tab/>
      </w:r>
    </w:p>
    <w:p w14:paraId="25B4DABE" w14:textId="283CC17D" w:rsidR="00550434" w:rsidRPr="0052619D" w:rsidRDefault="00550434" w:rsidP="005A0AB6">
      <w:pPr>
        <w:pStyle w:val="SingleTxtG"/>
      </w:pPr>
      <w:r w:rsidRPr="0052619D">
        <w:t>MIT</w:t>
      </w:r>
      <w:r w:rsidRPr="0052619D">
        <w:tab/>
      </w:r>
      <w:r w:rsidRPr="0052619D">
        <w:tab/>
        <w:t>Ministerial Task Team</w:t>
      </w:r>
    </w:p>
    <w:p w14:paraId="0C27C6E5" w14:textId="77777777" w:rsidR="0026680B" w:rsidRDefault="00550434" w:rsidP="005A0AB6">
      <w:pPr>
        <w:pStyle w:val="SingleTxtG"/>
      </w:pPr>
      <w:r w:rsidRPr="0052619D">
        <w:t xml:space="preserve">MoU </w:t>
      </w:r>
      <w:r w:rsidRPr="0052619D">
        <w:tab/>
      </w:r>
      <w:r w:rsidRPr="0052619D">
        <w:tab/>
        <w:t>Memorandum of Understanding</w:t>
      </w:r>
    </w:p>
    <w:p w14:paraId="3082A6D9" w14:textId="77777777" w:rsidR="0026680B" w:rsidRDefault="00550434" w:rsidP="005A0AB6">
      <w:pPr>
        <w:pStyle w:val="SingleTxtG"/>
      </w:pPr>
      <w:r w:rsidRPr="0052619D">
        <w:t xml:space="preserve">MTDP </w:t>
      </w:r>
      <w:r w:rsidRPr="0052619D">
        <w:tab/>
      </w:r>
      <w:r w:rsidRPr="0052619D">
        <w:tab/>
        <w:t>Medium-Term Development Plan</w:t>
      </w:r>
    </w:p>
    <w:p w14:paraId="26387AF9" w14:textId="1F47B0CB" w:rsidR="00550434" w:rsidRPr="0052619D" w:rsidRDefault="00550434" w:rsidP="005A0AB6">
      <w:pPr>
        <w:pStyle w:val="SingleTxtG"/>
      </w:pPr>
      <w:r w:rsidRPr="0052619D">
        <w:t xml:space="preserve">MTSF </w:t>
      </w:r>
      <w:r w:rsidRPr="0052619D">
        <w:tab/>
      </w:r>
      <w:r w:rsidRPr="0052619D">
        <w:tab/>
        <w:t>Medium-Term Strategic Framework</w:t>
      </w:r>
    </w:p>
    <w:p w14:paraId="5FD27507" w14:textId="1C562D0C" w:rsidR="0026680B" w:rsidRDefault="0026680B">
      <w:pPr>
        <w:suppressAutoHyphens w:val="0"/>
        <w:spacing w:after="200" w:line="276" w:lineRule="auto"/>
        <w:rPr>
          <w:rStyle w:val="Strong"/>
          <w:rFonts w:eastAsiaTheme="minorHAnsi"/>
        </w:rPr>
      </w:pPr>
      <w:r>
        <w:rPr>
          <w:rStyle w:val="Strong"/>
        </w:rPr>
        <w:br w:type="page"/>
      </w:r>
    </w:p>
    <w:p w14:paraId="16DBC36D" w14:textId="77777777" w:rsidR="000A6967" w:rsidRDefault="00550434" w:rsidP="005A0AB6">
      <w:pPr>
        <w:pStyle w:val="SingleTxtG"/>
        <w:rPr>
          <w:rStyle w:val="Strong"/>
        </w:rPr>
      </w:pPr>
      <w:r w:rsidRPr="0052619D">
        <w:rPr>
          <w:rStyle w:val="Strong"/>
        </w:rPr>
        <w:lastRenderedPageBreak/>
        <w:t>N</w:t>
      </w:r>
    </w:p>
    <w:p w14:paraId="67E22126" w14:textId="5AD74323" w:rsidR="00550434" w:rsidRPr="0052619D" w:rsidRDefault="00550434" w:rsidP="00AD0AE6">
      <w:pPr>
        <w:pStyle w:val="SingleTxtG"/>
        <w:ind w:left="2268" w:hanging="1134"/>
      </w:pPr>
      <w:r w:rsidRPr="0052619D">
        <w:t>NAP</w:t>
      </w:r>
      <w:r w:rsidRPr="0052619D">
        <w:tab/>
      </w:r>
      <w:r w:rsidRPr="0052619D">
        <w:tab/>
        <w:t>National Action Plan to Combat Racism, Racial Discrimination, Xenophobia and Related</w:t>
      </w:r>
      <w:r w:rsidR="00AD0AE6">
        <w:t xml:space="preserve"> </w:t>
      </w:r>
      <w:r w:rsidRPr="0052619D">
        <w:t>Intolerance (2019)</w:t>
      </w:r>
    </w:p>
    <w:p w14:paraId="615CD71A" w14:textId="77777777" w:rsidR="00AD0AE6" w:rsidRDefault="00550434" w:rsidP="005A0AB6">
      <w:pPr>
        <w:pStyle w:val="SingleTxtG"/>
      </w:pPr>
      <w:r w:rsidRPr="0052619D">
        <w:t>NATF</w:t>
      </w:r>
      <w:r w:rsidRPr="0052619D">
        <w:tab/>
      </w:r>
      <w:r w:rsidRPr="0052619D">
        <w:tab/>
        <w:t>National Albinism Task Force</w:t>
      </w:r>
    </w:p>
    <w:p w14:paraId="0772484A" w14:textId="0D1E52C3" w:rsidR="00AD0AE6" w:rsidRDefault="00550434" w:rsidP="005A0AB6">
      <w:pPr>
        <w:pStyle w:val="SingleTxtG"/>
      </w:pPr>
      <w:r w:rsidRPr="0052619D">
        <w:t>NATTF</w:t>
      </w:r>
      <w:r w:rsidRPr="0052619D">
        <w:tab/>
        <w:t>National Anti-Trafficking Task Force</w:t>
      </w:r>
    </w:p>
    <w:p w14:paraId="3C13C573" w14:textId="4F6C69A9" w:rsidR="00AD0AE6" w:rsidRDefault="00550434" w:rsidP="005A0AB6">
      <w:pPr>
        <w:pStyle w:val="SingleTxtG"/>
      </w:pPr>
      <w:r w:rsidRPr="0052619D">
        <w:t>NCCC</w:t>
      </w:r>
      <w:r w:rsidR="00AD0AE6">
        <w:tab/>
      </w:r>
      <w:r w:rsidRPr="0052619D">
        <w:tab/>
        <w:t>National Coronavirus Command Council</w:t>
      </w:r>
    </w:p>
    <w:p w14:paraId="08B80D5B" w14:textId="6F903AE3" w:rsidR="00AD0AE6" w:rsidRDefault="00550434" w:rsidP="00AD0AE6">
      <w:pPr>
        <w:pStyle w:val="SingleTxtG"/>
      </w:pPr>
      <w:r w:rsidRPr="0052619D">
        <w:t>NCDs</w:t>
      </w:r>
      <w:r w:rsidR="00AD0AE6">
        <w:tab/>
      </w:r>
      <w:r w:rsidRPr="0052619D">
        <w:tab/>
        <w:t>Non-Communicable Diseases</w:t>
      </w:r>
    </w:p>
    <w:p w14:paraId="525A2A4F" w14:textId="210B66F9" w:rsidR="00AD0AE6" w:rsidRDefault="00550434" w:rsidP="00AD0AE6">
      <w:pPr>
        <w:pStyle w:val="SingleTxtG"/>
      </w:pPr>
      <w:r w:rsidRPr="0052619D">
        <w:t>NCPD</w:t>
      </w:r>
      <w:r w:rsidR="00AD0AE6">
        <w:tab/>
      </w:r>
      <w:r w:rsidRPr="0052619D">
        <w:tab/>
        <w:t>National Council of Persons with Disabilities</w:t>
      </w:r>
    </w:p>
    <w:p w14:paraId="7C0DAD8C" w14:textId="77777777" w:rsidR="00AD0AE6" w:rsidRDefault="00550434" w:rsidP="00AD0AE6">
      <w:pPr>
        <w:pStyle w:val="SingleTxtG"/>
      </w:pPr>
      <w:r w:rsidRPr="0052619D">
        <w:t>NCPR</w:t>
      </w:r>
      <w:r w:rsidRPr="0052619D">
        <w:tab/>
      </w:r>
      <w:r w:rsidRPr="0052619D">
        <w:tab/>
        <w:t>National Child Protection Register</w:t>
      </w:r>
    </w:p>
    <w:p w14:paraId="691EA56A" w14:textId="33C7BDBC" w:rsidR="00550434" w:rsidRPr="0052619D" w:rsidRDefault="00550434" w:rsidP="00AD0AE6">
      <w:pPr>
        <w:pStyle w:val="SingleTxtG"/>
      </w:pPr>
      <w:r w:rsidRPr="0052619D">
        <w:t>NCS</w:t>
      </w:r>
      <w:r w:rsidRPr="0052619D">
        <w:tab/>
      </w:r>
      <w:r w:rsidRPr="0052619D">
        <w:tab/>
        <w:t>National Curriculum Statement</w:t>
      </w:r>
    </w:p>
    <w:p w14:paraId="2F4579E4" w14:textId="77777777" w:rsidR="00AD0AE6" w:rsidRDefault="00550434" w:rsidP="005A0AB6">
      <w:pPr>
        <w:pStyle w:val="SingleTxtG"/>
      </w:pPr>
      <w:r w:rsidRPr="0052619D">
        <w:t xml:space="preserve">NDA </w:t>
      </w:r>
      <w:r w:rsidRPr="0052619D">
        <w:tab/>
      </w:r>
      <w:r w:rsidRPr="0052619D">
        <w:tab/>
        <w:t>National Development Agency</w:t>
      </w:r>
    </w:p>
    <w:p w14:paraId="7F8DFD10" w14:textId="2ADF3701" w:rsidR="00AD0AE6" w:rsidRDefault="00550434" w:rsidP="005A0AB6">
      <w:pPr>
        <w:pStyle w:val="SingleTxtG"/>
      </w:pPr>
      <w:r w:rsidRPr="0052619D">
        <w:t>NDMC</w:t>
      </w:r>
      <w:r w:rsidRPr="0052619D">
        <w:tab/>
        <w:t>National Disaster Management Centre</w:t>
      </w:r>
    </w:p>
    <w:p w14:paraId="3220CFA8" w14:textId="77777777" w:rsidR="00AD0AE6" w:rsidRDefault="00550434" w:rsidP="005A0AB6">
      <w:pPr>
        <w:pStyle w:val="SingleTxtG"/>
      </w:pPr>
      <w:r w:rsidRPr="0052619D">
        <w:t xml:space="preserve">NDM </w:t>
      </w:r>
      <w:r w:rsidRPr="0052619D">
        <w:tab/>
      </w:r>
      <w:r w:rsidRPr="0052619D">
        <w:tab/>
        <w:t>National Disaster Management</w:t>
      </w:r>
    </w:p>
    <w:p w14:paraId="0FCDADE8" w14:textId="2E4A2C74" w:rsidR="00AD0AE6" w:rsidRDefault="00550434" w:rsidP="005A0AB6">
      <w:pPr>
        <w:pStyle w:val="SingleTxtG"/>
      </w:pPr>
      <w:r w:rsidRPr="0052619D">
        <w:t>NDMF</w:t>
      </w:r>
      <w:r w:rsidRPr="0052619D">
        <w:tab/>
        <w:t>National Disaster Management Framework</w:t>
      </w:r>
    </w:p>
    <w:p w14:paraId="545257D8" w14:textId="79237C57" w:rsidR="00AD0AE6" w:rsidRDefault="00550434" w:rsidP="005A0AB6">
      <w:pPr>
        <w:pStyle w:val="SingleTxtG"/>
      </w:pPr>
      <w:r w:rsidRPr="0052619D">
        <w:t>NDRM</w:t>
      </w:r>
      <w:r w:rsidR="00AD0AE6">
        <w:tab/>
      </w:r>
      <w:r w:rsidRPr="0052619D">
        <w:t>National Disability Rights Machinery</w:t>
      </w:r>
    </w:p>
    <w:p w14:paraId="5697E712" w14:textId="77777777" w:rsidR="00AD0AE6" w:rsidRDefault="00550434" w:rsidP="005A0AB6">
      <w:pPr>
        <w:pStyle w:val="SingleTxtG"/>
      </w:pPr>
      <w:r w:rsidRPr="0052619D">
        <w:t xml:space="preserve">NDSAG </w:t>
      </w:r>
      <w:r w:rsidRPr="0052619D">
        <w:tab/>
        <w:t>National Disability Statistics Advisory Group</w:t>
      </w:r>
    </w:p>
    <w:p w14:paraId="403606C5" w14:textId="77777777" w:rsidR="00AD0AE6" w:rsidRDefault="00550434" w:rsidP="005A0AB6">
      <w:pPr>
        <w:pStyle w:val="SingleTxtG"/>
      </w:pPr>
      <w:r w:rsidRPr="0052619D">
        <w:t xml:space="preserve">NHA </w:t>
      </w:r>
      <w:r w:rsidRPr="0052619D">
        <w:tab/>
      </w:r>
      <w:r w:rsidRPr="0052619D">
        <w:tab/>
        <w:t>National Health Act</w:t>
      </w:r>
    </w:p>
    <w:p w14:paraId="4BDFE74E" w14:textId="77777777" w:rsidR="00AD0AE6" w:rsidRDefault="00550434" w:rsidP="005A0AB6">
      <w:pPr>
        <w:pStyle w:val="SingleTxtG"/>
      </w:pPr>
      <w:r w:rsidRPr="0052619D">
        <w:t xml:space="preserve">NHBRC </w:t>
      </w:r>
      <w:r w:rsidRPr="0052619D">
        <w:tab/>
        <w:t>National Home Builders Registration Council</w:t>
      </w:r>
    </w:p>
    <w:p w14:paraId="011052F4" w14:textId="02BED73B" w:rsidR="00AD0AE6" w:rsidRDefault="00550434" w:rsidP="005A0AB6">
      <w:pPr>
        <w:pStyle w:val="SingleTxtG"/>
      </w:pPr>
      <w:r w:rsidRPr="0052619D">
        <w:t>NHRI</w:t>
      </w:r>
      <w:r w:rsidR="00AD0AE6">
        <w:tab/>
      </w:r>
      <w:r w:rsidRPr="0052619D">
        <w:tab/>
        <w:t>National Human Rights Institution</w:t>
      </w:r>
    </w:p>
    <w:p w14:paraId="7BF6E683" w14:textId="523BE6EC" w:rsidR="00AD0AE6" w:rsidRDefault="00550434" w:rsidP="005A0AB6">
      <w:pPr>
        <w:pStyle w:val="SingleTxtG"/>
      </w:pPr>
      <w:r w:rsidRPr="0052619D">
        <w:t>NICDEM</w:t>
      </w:r>
      <w:r w:rsidRPr="0052619D">
        <w:tab/>
        <w:t>National Institute for Crime Detection and Evidence Management</w:t>
      </w:r>
    </w:p>
    <w:p w14:paraId="48A297EB" w14:textId="77777777" w:rsidR="00AD0AE6" w:rsidRDefault="00550434" w:rsidP="005A0AB6">
      <w:pPr>
        <w:pStyle w:val="SingleTxtG"/>
      </w:pPr>
      <w:r w:rsidRPr="0052619D">
        <w:t>NMHPFSP</w:t>
      </w:r>
      <w:r w:rsidRPr="0052619D">
        <w:tab/>
        <w:t>National Mental Health Policy Framework and Strategic Plan</w:t>
      </w:r>
    </w:p>
    <w:p w14:paraId="72E81924" w14:textId="4A780413" w:rsidR="00AD0AE6" w:rsidRDefault="00550434" w:rsidP="005A0AB6">
      <w:pPr>
        <w:pStyle w:val="SingleTxtG"/>
      </w:pPr>
      <w:r w:rsidRPr="0052619D">
        <w:t>NPA</w:t>
      </w:r>
      <w:r w:rsidRPr="0052619D">
        <w:tab/>
      </w:r>
      <w:r w:rsidRPr="0052619D">
        <w:tab/>
        <w:t>National Prosecuting Authority</w:t>
      </w:r>
    </w:p>
    <w:p w14:paraId="070179BD" w14:textId="77777777" w:rsidR="00AD0AE6" w:rsidRDefault="00550434" w:rsidP="005A0AB6">
      <w:pPr>
        <w:pStyle w:val="SingleTxtG"/>
      </w:pPr>
      <w:r w:rsidRPr="0052619D">
        <w:t>NPA SOCA</w:t>
      </w:r>
      <w:r w:rsidRPr="0052619D">
        <w:tab/>
        <w:t>National Prosecuting Authority Sexual Offences and Community Affairs Unit</w:t>
      </w:r>
    </w:p>
    <w:p w14:paraId="7F7C40F0" w14:textId="5497467D" w:rsidR="00AD0AE6" w:rsidRDefault="00550434" w:rsidP="005A0AB6">
      <w:pPr>
        <w:pStyle w:val="SingleTxtG"/>
      </w:pPr>
      <w:r w:rsidRPr="0052619D">
        <w:t>NPAC</w:t>
      </w:r>
      <w:r w:rsidRPr="0052619D">
        <w:tab/>
      </w:r>
      <w:r w:rsidRPr="0052619D">
        <w:tab/>
        <w:t>National Plan of Action for Children</w:t>
      </w:r>
    </w:p>
    <w:p w14:paraId="57BCC1F3" w14:textId="5CD438E3" w:rsidR="00550434" w:rsidRPr="0052619D" w:rsidRDefault="00550434" w:rsidP="005A0AB6">
      <w:pPr>
        <w:pStyle w:val="SingleTxtG"/>
      </w:pPr>
      <w:r w:rsidRPr="0052619D">
        <w:t>NPE2024</w:t>
      </w:r>
      <w:r w:rsidRPr="0052619D">
        <w:tab/>
        <w:t>National and Provincial Elections 2024</w:t>
      </w:r>
    </w:p>
    <w:p w14:paraId="7F697D70" w14:textId="77777777" w:rsidR="00550434" w:rsidRPr="0052619D" w:rsidRDefault="00550434" w:rsidP="005A0AB6">
      <w:pPr>
        <w:pStyle w:val="SingleTxtG"/>
        <w:rPr>
          <w:rFonts w:eastAsia="Calibri"/>
          <w:lang w:eastAsia="en-ZA"/>
        </w:rPr>
      </w:pPr>
      <w:r w:rsidRPr="0052619D">
        <w:rPr>
          <w:rFonts w:eastAsia="Calibri"/>
          <w:lang w:eastAsia="en-ZA"/>
        </w:rPr>
        <w:t xml:space="preserve">NPFSOP </w:t>
      </w:r>
      <w:r w:rsidRPr="0052619D">
        <w:rPr>
          <w:rFonts w:eastAsia="Calibri"/>
          <w:lang w:eastAsia="en-ZA"/>
        </w:rPr>
        <w:tab/>
        <w:t xml:space="preserve">National Policy Framework Strategy for Older Persons </w:t>
      </w:r>
    </w:p>
    <w:p w14:paraId="100A4F39" w14:textId="77777777" w:rsidR="00AD0AE6" w:rsidRDefault="00550434" w:rsidP="005A0AB6">
      <w:pPr>
        <w:pStyle w:val="SingleTxtG"/>
      </w:pPr>
      <w:r w:rsidRPr="0052619D">
        <w:t>NPM</w:t>
      </w:r>
      <w:r w:rsidRPr="0052619D">
        <w:tab/>
      </w:r>
      <w:r w:rsidRPr="0052619D">
        <w:tab/>
        <w:t>National Preventive Mechanism</w:t>
      </w:r>
    </w:p>
    <w:p w14:paraId="6265FB0B" w14:textId="77777777" w:rsidR="00AD0AE6" w:rsidRDefault="00550434" w:rsidP="005A0AB6">
      <w:pPr>
        <w:pStyle w:val="SingleTxtG"/>
      </w:pPr>
      <w:r w:rsidRPr="0052619D">
        <w:t>NPO</w:t>
      </w:r>
      <w:r w:rsidRPr="0052619D">
        <w:tab/>
      </w:r>
      <w:r w:rsidRPr="0052619D">
        <w:tab/>
        <w:t>Non-Profit Organisation</w:t>
      </w:r>
    </w:p>
    <w:p w14:paraId="4F7E0539" w14:textId="77777777" w:rsidR="00AD0AE6" w:rsidRDefault="00550434" w:rsidP="005A0AB6">
      <w:pPr>
        <w:pStyle w:val="SingleTxtG"/>
      </w:pPr>
      <w:r w:rsidRPr="0052619D">
        <w:t>NRSO</w:t>
      </w:r>
      <w:r w:rsidRPr="0052619D">
        <w:tab/>
      </w:r>
      <w:r w:rsidRPr="0052619D">
        <w:tab/>
        <w:t>National Register for Sex Offenders</w:t>
      </w:r>
    </w:p>
    <w:p w14:paraId="47569DA5" w14:textId="3BD6BA15" w:rsidR="00AD0AE6" w:rsidRDefault="00550434" w:rsidP="005A0AB6">
      <w:pPr>
        <w:pStyle w:val="SingleTxtG"/>
      </w:pPr>
      <w:r w:rsidRPr="0052619D">
        <w:t>NSAAC</w:t>
      </w:r>
      <w:r w:rsidRPr="0052619D">
        <w:tab/>
        <w:t>National Strategy to Accelerate Action for Children</w:t>
      </w:r>
    </w:p>
    <w:p w14:paraId="0CFE1CB0" w14:textId="60EAA8FE" w:rsidR="00550434" w:rsidRPr="0052619D" w:rsidRDefault="00550434" w:rsidP="005A0AB6">
      <w:pPr>
        <w:pStyle w:val="SingleTxtG"/>
      </w:pPr>
      <w:r w:rsidRPr="0052619D">
        <w:t>NSF</w:t>
      </w:r>
      <w:r w:rsidRPr="0052619D">
        <w:tab/>
      </w:r>
      <w:r w:rsidRPr="0052619D">
        <w:tab/>
        <w:t>National Skills Fund</w:t>
      </w:r>
    </w:p>
    <w:p w14:paraId="1A5BE721" w14:textId="77777777" w:rsidR="00AD0AE6" w:rsidRDefault="00550434" w:rsidP="005A0AB6">
      <w:pPr>
        <w:pStyle w:val="SingleTxtG"/>
      </w:pPr>
      <w:r w:rsidRPr="0052619D">
        <w:t>NSFAS</w:t>
      </w:r>
      <w:r w:rsidRPr="0052619D">
        <w:tab/>
        <w:t>National Student Financial Aid Scheme</w:t>
      </w:r>
    </w:p>
    <w:p w14:paraId="6A8BDC47" w14:textId="77777777" w:rsidR="00AD0AE6" w:rsidRDefault="00550434" w:rsidP="005A0AB6">
      <w:pPr>
        <w:pStyle w:val="SingleTxtG"/>
      </w:pPr>
      <w:r w:rsidRPr="0052619D">
        <w:t>NSG</w:t>
      </w:r>
      <w:r w:rsidRPr="0052619D">
        <w:tab/>
      </w:r>
      <w:r w:rsidRPr="0052619D">
        <w:tab/>
        <w:t>National School of Government</w:t>
      </w:r>
    </w:p>
    <w:p w14:paraId="0B9F4E1A" w14:textId="128E6F54" w:rsidR="00550434" w:rsidRPr="0052619D" w:rsidRDefault="00550434" w:rsidP="005A0AB6">
      <w:pPr>
        <w:pStyle w:val="SingleTxtG"/>
      </w:pPr>
      <w:r w:rsidRPr="0052619D">
        <w:t>NSF</w:t>
      </w:r>
      <w:r w:rsidRPr="0052619D">
        <w:tab/>
      </w:r>
      <w:r w:rsidRPr="0052619D">
        <w:tab/>
        <w:t>National Skills Fund</w:t>
      </w:r>
    </w:p>
    <w:p w14:paraId="426786C2" w14:textId="77777777" w:rsidR="00AD0AE6" w:rsidRDefault="00550434" w:rsidP="005A0AB6">
      <w:pPr>
        <w:pStyle w:val="SingleTxtG"/>
      </w:pPr>
      <w:r w:rsidRPr="0052619D">
        <w:t>NSNP</w:t>
      </w:r>
      <w:r w:rsidRPr="0052619D">
        <w:tab/>
      </w:r>
      <w:r w:rsidRPr="0052619D">
        <w:tab/>
        <w:t>National School Nutrition Program</w:t>
      </w:r>
    </w:p>
    <w:p w14:paraId="7B84FEC2" w14:textId="77777777" w:rsidR="00AD0AE6" w:rsidRDefault="00550434" w:rsidP="005A0AB6">
      <w:pPr>
        <w:pStyle w:val="SingleTxtG"/>
      </w:pPr>
      <w:r w:rsidRPr="0052619D">
        <w:t>NSP</w:t>
      </w:r>
      <w:r w:rsidRPr="0052619D">
        <w:tab/>
      </w:r>
      <w:r w:rsidRPr="0052619D">
        <w:tab/>
        <w:t>National Strategic Plan</w:t>
      </w:r>
    </w:p>
    <w:p w14:paraId="1E0E1E98" w14:textId="77777777" w:rsidR="00AD0AE6" w:rsidRDefault="00550434" w:rsidP="005A0AB6">
      <w:pPr>
        <w:pStyle w:val="SingleTxtG"/>
      </w:pPr>
      <w:r w:rsidRPr="0052619D">
        <w:t>NSPGBVF</w:t>
      </w:r>
      <w:r w:rsidRPr="0052619D">
        <w:tab/>
        <w:t>National Strategic Plan on Gender-Based Violence and Femicide</w:t>
      </w:r>
    </w:p>
    <w:p w14:paraId="0F56B66B" w14:textId="77777777" w:rsidR="00AD0AE6" w:rsidRDefault="00550434" w:rsidP="005A0AB6">
      <w:pPr>
        <w:pStyle w:val="SingleTxtG"/>
      </w:pPr>
      <w:r w:rsidRPr="0052619D">
        <w:t>NSPPA</w:t>
      </w:r>
      <w:r w:rsidRPr="0052619D">
        <w:tab/>
      </w:r>
      <w:r w:rsidRPr="0052619D">
        <w:tab/>
        <w:t>National Safety Plan for Persons with Albinism</w:t>
      </w:r>
    </w:p>
    <w:p w14:paraId="7983FDD4" w14:textId="0CA0CF7C" w:rsidR="00550434" w:rsidRPr="0052619D" w:rsidRDefault="00550434" w:rsidP="005A0AB6">
      <w:pPr>
        <w:pStyle w:val="SingleTxtG"/>
      </w:pPr>
      <w:r w:rsidRPr="0052619D">
        <w:t>NSSF</w:t>
      </w:r>
      <w:r w:rsidRPr="0052619D">
        <w:tab/>
      </w:r>
      <w:r w:rsidRPr="0052619D">
        <w:tab/>
        <w:t>National School Safety Framework</w:t>
      </w:r>
    </w:p>
    <w:p w14:paraId="57ADABAB" w14:textId="10448CC2" w:rsidR="00AD0AE6" w:rsidRDefault="00AD0AE6">
      <w:pPr>
        <w:suppressAutoHyphens w:val="0"/>
        <w:spacing w:after="200" w:line="276" w:lineRule="auto"/>
        <w:rPr>
          <w:rStyle w:val="Strong"/>
          <w:rFonts w:eastAsiaTheme="minorHAnsi"/>
          <w:color w:val="000000" w:themeColor="text1"/>
        </w:rPr>
      </w:pPr>
      <w:r>
        <w:rPr>
          <w:rStyle w:val="Strong"/>
          <w:color w:val="000000" w:themeColor="text1"/>
        </w:rPr>
        <w:br w:type="page"/>
      </w:r>
    </w:p>
    <w:p w14:paraId="3E6CD48B" w14:textId="77777777" w:rsidR="00AD0AE6" w:rsidRDefault="00550434" w:rsidP="005A0AB6">
      <w:pPr>
        <w:pStyle w:val="SingleTxtG"/>
        <w:rPr>
          <w:rStyle w:val="Strong"/>
          <w:color w:val="000000" w:themeColor="text1"/>
        </w:rPr>
      </w:pPr>
      <w:r w:rsidRPr="0052619D">
        <w:rPr>
          <w:rStyle w:val="Strong"/>
          <w:color w:val="000000" w:themeColor="text1"/>
        </w:rPr>
        <w:lastRenderedPageBreak/>
        <w:t>O</w:t>
      </w:r>
    </w:p>
    <w:p w14:paraId="0061F95A" w14:textId="4CE5EC61" w:rsidR="00AD0AE6" w:rsidRDefault="00550434" w:rsidP="005A0AB6">
      <w:pPr>
        <w:pStyle w:val="SingleTxtG"/>
      </w:pPr>
      <w:r w:rsidRPr="0052619D">
        <w:t>OHCHR</w:t>
      </w:r>
      <w:r w:rsidRPr="0052619D">
        <w:tab/>
        <w:t>Office of the High Commissioner for Human Rights</w:t>
      </w:r>
    </w:p>
    <w:p w14:paraId="51EEE75F" w14:textId="77777777" w:rsidR="00AD0AE6" w:rsidRDefault="00550434" w:rsidP="005A0AB6">
      <w:pPr>
        <w:pStyle w:val="SingleTxtG"/>
      </w:pPr>
      <w:r w:rsidRPr="0052619D">
        <w:t>OHSA</w:t>
      </w:r>
      <w:r w:rsidRPr="0052619D">
        <w:tab/>
      </w:r>
      <w:r w:rsidRPr="0052619D">
        <w:tab/>
        <w:t>Occupational Health and Safety Act</w:t>
      </w:r>
    </w:p>
    <w:p w14:paraId="3C9FB07D" w14:textId="552F0A6B" w:rsidR="00550434" w:rsidRPr="0052619D" w:rsidRDefault="00550434" w:rsidP="005A0AB6">
      <w:pPr>
        <w:pStyle w:val="SingleTxtG"/>
      </w:pPr>
      <w:r w:rsidRPr="0052619D">
        <w:t>OPAR</w:t>
      </w:r>
      <w:r w:rsidRPr="0052619D">
        <w:tab/>
      </w:r>
      <w:r w:rsidRPr="0052619D">
        <w:tab/>
        <w:t>Older Persons Abuse Register</w:t>
      </w:r>
    </w:p>
    <w:p w14:paraId="0D0BF2E0" w14:textId="6AD01C98" w:rsidR="009D288D" w:rsidRDefault="00550434" w:rsidP="005A0AB6">
      <w:pPr>
        <w:pStyle w:val="SingleTxtG"/>
        <w:rPr>
          <w:rFonts w:eastAsiaTheme="majorEastAsia"/>
        </w:rPr>
      </w:pPr>
      <w:r w:rsidRPr="0052619D">
        <w:t>OPCAT</w:t>
      </w:r>
      <w:r w:rsidRPr="0052619D">
        <w:tab/>
      </w:r>
      <w:r w:rsidRPr="0052619D">
        <w:rPr>
          <w:rFonts w:eastAsiaTheme="majorEastAsia"/>
        </w:rPr>
        <w:t>Optional Protocol to the Convention Against Torture</w:t>
      </w:r>
    </w:p>
    <w:p w14:paraId="55427E6E" w14:textId="1E712B08" w:rsidR="00550434" w:rsidRPr="0052619D" w:rsidRDefault="00550434" w:rsidP="005A0AB6">
      <w:pPr>
        <w:pStyle w:val="SingleTxtG"/>
      </w:pPr>
      <w:r w:rsidRPr="0052619D">
        <w:t>OPDs</w:t>
      </w:r>
      <w:r w:rsidRPr="0052619D">
        <w:tab/>
      </w:r>
      <w:r w:rsidRPr="0052619D">
        <w:tab/>
        <w:t>Organisations of Persons with Disabilities</w:t>
      </w:r>
    </w:p>
    <w:p w14:paraId="72F925B0" w14:textId="77777777" w:rsidR="00550434" w:rsidRPr="0052619D" w:rsidRDefault="00550434" w:rsidP="005A0AB6">
      <w:pPr>
        <w:pStyle w:val="SingleTxtG"/>
        <w:rPr>
          <w:rStyle w:val="Strong"/>
          <w:color w:val="000000" w:themeColor="text1"/>
        </w:rPr>
      </w:pPr>
    </w:p>
    <w:p w14:paraId="0AE82F9E" w14:textId="77777777" w:rsidR="009D288D" w:rsidRDefault="00550434" w:rsidP="005A0AB6">
      <w:pPr>
        <w:pStyle w:val="SingleTxtG"/>
        <w:rPr>
          <w:rStyle w:val="Strong"/>
          <w:color w:val="000000" w:themeColor="text1"/>
        </w:rPr>
      </w:pPr>
      <w:r w:rsidRPr="0052619D">
        <w:rPr>
          <w:rStyle w:val="Strong"/>
          <w:color w:val="000000" w:themeColor="text1"/>
        </w:rPr>
        <w:t>P</w:t>
      </w:r>
    </w:p>
    <w:p w14:paraId="36D366D2" w14:textId="77777777" w:rsidR="009D288D" w:rsidRDefault="00550434" w:rsidP="005A0AB6">
      <w:pPr>
        <w:pStyle w:val="SingleTxtG"/>
      </w:pPr>
      <w:r w:rsidRPr="0052619D">
        <w:t>PanSALB</w:t>
      </w:r>
      <w:r w:rsidRPr="0052619D">
        <w:tab/>
        <w:t>Pan South African Language Board</w:t>
      </w:r>
    </w:p>
    <w:p w14:paraId="3D7DE627" w14:textId="77777777" w:rsidR="009D288D" w:rsidRDefault="00550434" w:rsidP="005A0AB6">
      <w:pPr>
        <w:pStyle w:val="SingleTxtG"/>
      </w:pPr>
      <w:r w:rsidRPr="0052619D">
        <w:t xml:space="preserve">PES </w:t>
      </w:r>
      <w:r w:rsidRPr="0052619D">
        <w:tab/>
      </w:r>
      <w:r w:rsidRPr="0052619D">
        <w:tab/>
        <w:t>Post Enumeration Survey</w:t>
      </w:r>
    </w:p>
    <w:p w14:paraId="5D8B4746" w14:textId="77777777" w:rsidR="009D288D" w:rsidRDefault="00550434" w:rsidP="005A0AB6">
      <w:pPr>
        <w:pStyle w:val="SingleTxtG"/>
      </w:pPr>
      <w:r w:rsidRPr="0052619D">
        <w:t>PEPUDA</w:t>
      </w:r>
      <w:r w:rsidRPr="0052619D">
        <w:tab/>
        <w:t>Promotion of Equality and Prevention of Unfair Discrimination Act</w:t>
      </w:r>
    </w:p>
    <w:p w14:paraId="5B27C812" w14:textId="2824C409" w:rsidR="00550434" w:rsidRPr="0052619D" w:rsidRDefault="00550434" w:rsidP="005A0AB6">
      <w:pPr>
        <w:pStyle w:val="SingleTxtG"/>
      </w:pPr>
      <w:r w:rsidRPr="0052619D">
        <w:t>POPIA</w:t>
      </w:r>
      <w:r w:rsidRPr="0052619D">
        <w:tab/>
        <w:t>Protection of Personal Information Act</w:t>
      </w:r>
    </w:p>
    <w:p w14:paraId="6AF9ACEB" w14:textId="473FBDE5" w:rsidR="009D288D" w:rsidRDefault="00550434" w:rsidP="005A0AB6">
      <w:pPr>
        <w:pStyle w:val="SingleTxtG"/>
      </w:pPr>
      <w:r w:rsidRPr="0052619D">
        <w:t>PRAAD</w:t>
      </w:r>
      <w:r w:rsidRPr="0052619D">
        <w:tab/>
        <w:t>Policy on Reasonable Accommodation and Assistive Devices</w:t>
      </w:r>
    </w:p>
    <w:p w14:paraId="2033538D" w14:textId="7364CF4F" w:rsidR="00550434" w:rsidRPr="0052619D" w:rsidRDefault="00550434" w:rsidP="005A0AB6">
      <w:pPr>
        <w:pStyle w:val="SingleTxtG"/>
      </w:pPr>
      <w:r w:rsidRPr="0052619D">
        <w:t>PRFPD</w:t>
      </w:r>
      <w:r w:rsidRPr="0052619D">
        <w:tab/>
        <w:t>Policy on Residential Facilities for Persons with Disabilities</w:t>
      </w:r>
    </w:p>
    <w:p w14:paraId="172CE01F" w14:textId="77777777" w:rsidR="009D288D" w:rsidRDefault="00550434" w:rsidP="005A0AB6">
      <w:pPr>
        <w:pStyle w:val="SingleTxtG"/>
      </w:pPr>
      <w:r w:rsidRPr="0052619D">
        <w:t>PTNG</w:t>
      </w:r>
      <w:r w:rsidRPr="0052619D">
        <w:tab/>
      </w:r>
      <w:r w:rsidRPr="0052619D">
        <w:tab/>
        <w:t>Public Transport Network Grant</w:t>
      </w:r>
    </w:p>
    <w:p w14:paraId="6C19091C" w14:textId="2F9EC2EE" w:rsidR="00550434" w:rsidRPr="0052619D" w:rsidRDefault="00550434" w:rsidP="005A0AB6">
      <w:pPr>
        <w:pStyle w:val="SingleTxtG"/>
      </w:pPr>
      <w:r w:rsidRPr="0052619D">
        <w:t>PSET</w:t>
      </w:r>
      <w:r w:rsidRPr="0052619D">
        <w:tab/>
      </w:r>
      <w:r w:rsidRPr="0052619D">
        <w:tab/>
        <w:t>Post School Education and Training</w:t>
      </w:r>
    </w:p>
    <w:p w14:paraId="03426367" w14:textId="10D2760F" w:rsidR="009D288D" w:rsidRDefault="00550434" w:rsidP="005A0AB6">
      <w:pPr>
        <w:pStyle w:val="SingleTxtG"/>
      </w:pPr>
      <w:r w:rsidRPr="0052619D">
        <w:t>PWGD</w:t>
      </w:r>
      <w:r w:rsidRPr="0052619D">
        <w:tab/>
        <w:t>Presidential Working Group on Persons with Disabilities</w:t>
      </w:r>
    </w:p>
    <w:p w14:paraId="17B8D0D2" w14:textId="77777777" w:rsidR="009D288D" w:rsidRDefault="00550434" w:rsidP="005A0AB6">
      <w:pPr>
        <w:pStyle w:val="SingleTxtG"/>
        <w:rPr>
          <w:rStyle w:val="Strong"/>
          <w:color w:val="000000" w:themeColor="text1"/>
        </w:rPr>
      </w:pPr>
      <w:r w:rsidRPr="0052619D">
        <w:rPr>
          <w:rStyle w:val="Strong"/>
          <w:color w:val="000000" w:themeColor="text1"/>
        </w:rPr>
        <w:t>S</w:t>
      </w:r>
    </w:p>
    <w:p w14:paraId="0D951D67" w14:textId="77777777" w:rsidR="009D288D" w:rsidRDefault="00550434" w:rsidP="005A0AB6">
      <w:pPr>
        <w:pStyle w:val="SingleTxtG"/>
      </w:pPr>
      <w:r w:rsidRPr="0052619D">
        <w:t>SABC</w:t>
      </w:r>
      <w:r w:rsidRPr="0052619D">
        <w:tab/>
      </w:r>
      <w:r w:rsidRPr="0052619D">
        <w:tab/>
        <w:t>South African Broadcasting Corporation</w:t>
      </w:r>
    </w:p>
    <w:p w14:paraId="38E615C4" w14:textId="47661DD8" w:rsidR="009D288D" w:rsidRDefault="00550434" w:rsidP="005A0AB6">
      <w:pPr>
        <w:pStyle w:val="SingleTxtG"/>
      </w:pPr>
      <w:r w:rsidRPr="0052619D">
        <w:t>SACAP</w:t>
      </w:r>
      <w:r w:rsidRPr="0052619D">
        <w:tab/>
        <w:t>South African Council for the Architectural Profession</w:t>
      </w:r>
    </w:p>
    <w:p w14:paraId="290AEED9" w14:textId="77777777" w:rsidR="009D288D" w:rsidRDefault="00550434" w:rsidP="005A0AB6">
      <w:pPr>
        <w:pStyle w:val="SingleTxtG"/>
      </w:pPr>
      <w:r w:rsidRPr="0052619D">
        <w:t>SACE</w:t>
      </w:r>
      <w:r w:rsidRPr="0052619D">
        <w:tab/>
      </w:r>
      <w:r w:rsidRPr="0052619D">
        <w:tab/>
        <w:t>South African Council for Educators</w:t>
      </w:r>
    </w:p>
    <w:p w14:paraId="5252B27B" w14:textId="77777777" w:rsidR="009D288D" w:rsidRDefault="00550434" w:rsidP="005A0AB6">
      <w:pPr>
        <w:pStyle w:val="SingleTxtG"/>
      </w:pPr>
      <w:r w:rsidRPr="0052619D">
        <w:t>SADA</w:t>
      </w:r>
      <w:r w:rsidRPr="0052619D">
        <w:tab/>
      </w:r>
      <w:r w:rsidRPr="0052619D">
        <w:tab/>
        <w:t>South African Disability Alliance</w:t>
      </w:r>
    </w:p>
    <w:p w14:paraId="6E4479DA" w14:textId="3977E3AC" w:rsidR="009D288D" w:rsidRDefault="00550434" w:rsidP="005A0AB6">
      <w:pPr>
        <w:pStyle w:val="SingleTxtG"/>
      </w:pPr>
      <w:r w:rsidRPr="0052619D">
        <w:t>SADAG</w:t>
      </w:r>
      <w:r w:rsidRPr="0052619D">
        <w:tab/>
        <w:t>South African Depression and Anxiety Group</w:t>
      </w:r>
    </w:p>
    <w:p w14:paraId="1723A89A" w14:textId="77777777" w:rsidR="009D288D" w:rsidRDefault="00550434" w:rsidP="005A0AB6">
      <w:pPr>
        <w:pStyle w:val="SingleTxtG"/>
      </w:pPr>
      <w:r w:rsidRPr="0052619D">
        <w:t>SADC</w:t>
      </w:r>
      <w:r w:rsidRPr="0052619D">
        <w:tab/>
      </w:r>
      <w:r w:rsidRPr="0052619D">
        <w:tab/>
        <w:t>Southern African Development Community</w:t>
      </w:r>
    </w:p>
    <w:p w14:paraId="37DF5C8B" w14:textId="233EC0D1" w:rsidR="009D288D" w:rsidRDefault="00550434" w:rsidP="005A0AB6">
      <w:pPr>
        <w:pStyle w:val="SingleTxtG"/>
      </w:pPr>
      <w:r w:rsidRPr="0052619D">
        <w:t>SAFMH</w:t>
      </w:r>
      <w:r w:rsidRPr="0052619D">
        <w:tab/>
        <w:t>South African Federation for Mental Health</w:t>
      </w:r>
    </w:p>
    <w:p w14:paraId="0C0E5DED" w14:textId="0EEE1A1D" w:rsidR="00550434" w:rsidRPr="0052619D" w:rsidRDefault="00550434" w:rsidP="005A0AB6">
      <w:pPr>
        <w:pStyle w:val="SingleTxtG"/>
      </w:pPr>
      <w:r w:rsidRPr="0052619D">
        <w:t>SAGA</w:t>
      </w:r>
      <w:r w:rsidRPr="0052619D">
        <w:tab/>
      </w:r>
      <w:r w:rsidRPr="0052619D">
        <w:tab/>
        <w:t>South African Guide Dogs Association</w:t>
      </w:r>
    </w:p>
    <w:p w14:paraId="618F7AB9" w14:textId="1F0BD032" w:rsidR="009D288D" w:rsidRDefault="00550434" w:rsidP="005A0AB6">
      <w:pPr>
        <w:pStyle w:val="SingleTxtG"/>
      </w:pPr>
      <w:r w:rsidRPr="0052619D">
        <w:t>SAHRC</w:t>
      </w:r>
      <w:r w:rsidRPr="0052619D">
        <w:tab/>
        <w:t>South African Human Rights Commission</w:t>
      </w:r>
    </w:p>
    <w:p w14:paraId="6E62B5E6" w14:textId="16D5B19F" w:rsidR="009D288D" w:rsidRDefault="00550434" w:rsidP="005A0AB6">
      <w:pPr>
        <w:pStyle w:val="SingleTxtG"/>
      </w:pPr>
      <w:r w:rsidRPr="0052619D">
        <w:t>SALRC</w:t>
      </w:r>
      <w:r w:rsidRPr="0052619D">
        <w:tab/>
        <w:t>South African Law Reform Commission</w:t>
      </w:r>
    </w:p>
    <w:p w14:paraId="00D6F2DD" w14:textId="77777777" w:rsidR="009D288D" w:rsidRDefault="00550434" w:rsidP="005A0AB6">
      <w:pPr>
        <w:pStyle w:val="SingleTxtG"/>
      </w:pPr>
      <w:r w:rsidRPr="0052619D">
        <w:t>SALIS</w:t>
      </w:r>
      <w:r w:rsidRPr="0052619D">
        <w:tab/>
      </w:r>
      <w:r w:rsidRPr="0052619D">
        <w:tab/>
        <w:t>Sign Language Interpreters South Africa</w:t>
      </w:r>
    </w:p>
    <w:p w14:paraId="7CA8AA07" w14:textId="77777777" w:rsidR="009D288D" w:rsidRDefault="00550434" w:rsidP="005A0AB6">
      <w:pPr>
        <w:pStyle w:val="SingleTxtG"/>
      </w:pPr>
      <w:r w:rsidRPr="0052619D">
        <w:t>SALSRC</w:t>
      </w:r>
      <w:r w:rsidRPr="0052619D">
        <w:tab/>
        <w:t>South African Law Reform Commission</w:t>
      </w:r>
    </w:p>
    <w:p w14:paraId="1E35F244" w14:textId="12670FCC" w:rsidR="00550434" w:rsidRPr="0052619D" w:rsidRDefault="00550434" w:rsidP="005A0AB6">
      <w:pPr>
        <w:pStyle w:val="SingleTxtG"/>
      </w:pPr>
      <w:r w:rsidRPr="0052619D">
        <w:t>SANAC</w:t>
      </w:r>
      <w:r w:rsidRPr="0052619D">
        <w:tab/>
        <w:t>SA National Aids Council</w:t>
      </w:r>
    </w:p>
    <w:p w14:paraId="1AB05D69" w14:textId="77777777" w:rsidR="009D288D" w:rsidRDefault="00550434" w:rsidP="005A0AB6">
      <w:pPr>
        <w:pStyle w:val="SingleTxtG"/>
      </w:pPr>
      <w:r w:rsidRPr="0052619D">
        <w:t>SAPS</w:t>
      </w:r>
      <w:r w:rsidRPr="0052619D">
        <w:tab/>
      </w:r>
      <w:r w:rsidRPr="0052619D">
        <w:tab/>
        <w:t>South African Police Service</w:t>
      </w:r>
    </w:p>
    <w:p w14:paraId="12EAC7B6" w14:textId="77777777" w:rsidR="009D288D" w:rsidRDefault="00550434" w:rsidP="005A0AB6">
      <w:pPr>
        <w:pStyle w:val="SingleTxtG"/>
      </w:pPr>
      <w:r w:rsidRPr="0052619D">
        <w:t xml:space="preserve">SASA-II </w:t>
      </w:r>
      <w:r w:rsidRPr="0052619D">
        <w:tab/>
        <w:t>South African Sports Association for the Intellectually Impaired</w:t>
      </w:r>
    </w:p>
    <w:p w14:paraId="44102088" w14:textId="3A270A8D" w:rsidR="009D288D" w:rsidRDefault="00550434" w:rsidP="005A0AB6">
      <w:pPr>
        <w:pStyle w:val="SingleTxtG"/>
      </w:pPr>
      <w:r w:rsidRPr="0052619D">
        <w:t xml:space="preserve">SASSA </w:t>
      </w:r>
      <w:r w:rsidRPr="0052619D">
        <w:tab/>
        <w:t>South African Social Security Agency</w:t>
      </w:r>
    </w:p>
    <w:p w14:paraId="782B3DB4" w14:textId="77777777" w:rsidR="009D288D" w:rsidRDefault="00550434" w:rsidP="005A0AB6">
      <w:pPr>
        <w:pStyle w:val="SingleTxtG"/>
      </w:pPr>
      <w:r w:rsidRPr="0052619D">
        <w:t xml:space="preserve">SASL </w:t>
      </w:r>
      <w:r w:rsidRPr="0052619D">
        <w:tab/>
      </w:r>
      <w:r w:rsidRPr="0052619D">
        <w:tab/>
        <w:t>South African Sign Language</w:t>
      </w:r>
    </w:p>
    <w:p w14:paraId="695A9008" w14:textId="77777777" w:rsidR="009D288D" w:rsidRDefault="00550434" w:rsidP="005A0AB6">
      <w:pPr>
        <w:pStyle w:val="SingleTxtG"/>
      </w:pPr>
      <w:r w:rsidRPr="0052619D">
        <w:t>SGB</w:t>
      </w:r>
      <w:r w:rsidRPr="0052619D">
        <w:tab/>
      </w:r>
      <w:r w:rsidRPr="0052619D">
        <w:tab/>
        <w:t>School Governing Body</w:t>
      </w:r>
    </w:p>
    <w:p w14:paraId="5C848DF3" w14:textId="715A8ED9" w:rsidR="009D288D" w:rsidRDefault="00550434" w:rsidP="005A0AB6">
      <w:pPr>
        <w:pStyle w:val="SingleTxtG"/>
      </w:pPr>
      <w:r w:rsidRPr="0052619D">
        <w:t>SETAs</w:t>
      </w:r>
      <w:r w:rsidRPr="0052619D">
        <w:tab/>
        <w:t>Sector Education Training Authorities</w:t>
      </w:r>
    </w:p>
    <w:p w14:paraId="169BD1C7" w14:textId="64467C24" w:rsidR="00550434" w:rsidRPr="0052619D" w:rsidRDefault="00550434" w:rsidP="005A0AB6">
      <w:pPr>
        <w:pStyle w:val="SingleTxtG"/>
      </w:pPr>
      <w:r w:rsidRPr="0052619D">
        <w:t>SGB</w:t>
      </w:r>
      <w:r w:rsidRPr="0052619D">
        <w:tab/>
      </w:r>
      <w:r w:rsidRPr="0052619D">
        <w:tab/>
        <w:t>School Governing Body</w:t>
      </w:r>
    </w:p>
    <w:p w14:paraId="72CB862C" w14:textId="77777777" w:rsidR="00550434" w:rsidRPr="0052619D" w:rsidRDefault="00550434" w:rsidP="005A0AB6">
      <w:pPr>
        <w:pStyle w:val="SingleTxtG"/>
        <w:rPr>
          <w:rFonts w:eastAsia="Calibri"/>
          <w:lang w:eastAsia="en-ZA"/>
        </w:rPr>
      </w:pPr>
      <w:r w:rsidRPr="0052619D">
        <w:t>SIAS</w:t>
      </w:r>
      <w:r w:rsidRPr="0052619D">
        <w:tab/>
      </w:r>
      <w:r w:rsidRPr="0052619D">
        <w:tab/>
      </w:r>
      <w:r w:rsidRPr="0052619D">
        <w:rPr>
          <w:rFonts w:eastAsia="Calibri"/>
          <w:lang w:eastAsia="en-ZA"/>
        </w:rPr>
        <w:t xml:space="preserve">Screening, Identification, Assessment, and Support </w:t>
      </w:r>
    </w:p>
    <w:p w14:paraId="7B878482" w14:textId="77777777" w:rsidR="00CE67A6" w:rsidRDefault="00550434" w:rsidP="005A0AB6">
      <w:pPr>
        <w:pStyle w:val="SingleTxtG"/>
      </w:pPr>
      <w:r w:rsidRPr="0052619D">
        <w:t>SITA</w:t>
      </w:r>
      <w:r w:rsidRPr="0052619D">
        <w:tab/>
      </w:r>
      <w:r w:rsidRPr="0052619D">
        <w:tab/>
        <w:t>State Information Technology Agency</w:t>
      </w:r>
    </w:p>
    <w:p w14:paraId="04E73FBF" w14:textId="18F36FCE" w:rsidR="00550434" w:rsidRPr="0052619D" w:rsidRDefault="00550434" w:rsidP="005A0AB6">
      <w:pPr>
        <w:pStyle w:val="SingleTxtG"/>
      </w:pPr>
      <w:r w:rsidRPr="0052619D">
        <w:lastRenderedPageBreak/>
        <w:t>SMT</w:t>
      </w:r>
      <w:r w:rsidRPr="0052619D">
        <w:tab/>
      </w:r>
      <w:r w:rsidRPr="0052619D">
        <w:tab/>
        <w:t>School Management Teams</w:t>
      </w:r>
    </w:p>
    <w:p w14:paraId="16AD51B2" w14:textId="77777777" w:rsidR="00CE67A6" w:rsidRDefault="00550434" w:rsidP="005A0AB6">
      <w:pPr>
        <w:pStyle w:val="SingleTxtG"/>
      </w:pPr>
      <w:r w:rsidRPr="0052619D">
        <w:t xml:space="preserve">SOPs </w:t>
      </w:r>
      <w:r w:rsidRPr="0052619D">
        <w:tab/>
      </w:r>
      <w:r w:rsidRPr="0052619D">
        <w:tab/>
        <w:t>Standard Operating Procedures</w:t>
      </w:r>
    </w:p>
    <w:p w14:paraId="5152345F" w14:textId="77777777" w:rsidR="00CE67A6" w:rsidRDefault="00550434" w:rsidP="005A0AB6">
      <w:pPr>
        <w:pStyle w:val="SingleTxtG"/>
      </w:pPr>
      <w:r w:rsidRPr="0052619D">
        <w:t>SOCA</w:t>
      </w:r>
      <w:r w:rsidRPr="0052619D">
        <w:tab/>
        <w:t xml:space="preserve"> </w:t>
      </w:r>
      <w:r w:rsidRPr="0052619D">
        <w:tab/>
        <w:t>Sexual Offences and Community Affairs</w:t>
      </w:r>
    </w:p>
    <w:p w14:paraId="36853C4F" w14:textId="3A9225FC" w:rsidR="00550434" w:rsidRPr="0052619D" w:rsidRDefault="00550434" w:rsidP="005A0AB6">
      <w:pPr>
        <w:pStyle w:val="SingleTxtG"/>
      </w:pPr>
      <w:r w:rsidRPr="0052619D">
        <w:t>SOGIE</w:t>
      </w:r>
      <w:r w:rsidRPr="0052619D">
        <w:tab/>
        <w:t>Sexual Orientation, Gender Identity and Expression</w:t>
      </w:r>
    </w:p>
    <w:p w14:paraId="0E372599" w14:textId="77777777" w:rsidR="00CE67A6" w:rsidRDefault="00550434" w:rsidP="005A0AB6">
      <w:pPr>
        <w:pStyle w:val="SingleTxtG"/>
      </w:pPr>
      <w:r w:rsidRPr="0052619D">
        <w:t xml:space="preserve">SRD </w:t>
      </w:r>
      <w:r w:rsidRPr="0052619D">
        <w:tab/>
      </w:r>
      <w:r w:rsidRPr="0052619D">
        <w:tab/>
        <w:t>Social Relief of Distress</w:t>
      </w:r>
    </w:p>
    <w:p w14:paraId="7CF3BC99" w14:textId="77777777" w:rsidR="00CE67A6" w:rsidRDefault="00550434" w:rsidP="005A0AB6">
      <w:pPr>
        <w:pStyle w:val="SingleTxtG"/>
      </w:pPr>
      <w:r w:rsidRPr="0052619D">
        <w:t>SRHR</w:t>
      </w:r>
      <w:r w:rsidRPr="0052619D">
        <w:tab/>
      </w:r>
      <w:r w:rsidRPr="0052619D">
        <w:tab/>
        <w:t>Sexual and Reproductive Health Rights</w:t>
      </w:r>
    </w:p>
    <w:p w14:paraId="3F5B7D58" w14:textId="5F6E315A" w:rsidR="00CE67A6" w:rsidRDefault="00550434" w:rsidP="005A0AB6">
      <w:pPr>
        <w:pStyle w:val="SingleTxtG"/>
      </w:pPr>
      <w:r w:rsidRPr="0052619D">
        <w:t>Stats SA</w:t>
      </w:r>
      <w:r w:rsidRPr="0052619D">
        <w:tab/>
        <w:t>Statistics South Africa</w:t>
      </w:r>
    </w:p>
    <w:p w14:paraId="306765D6" w14:textId="33E47BCD" w:rsidR="00550434" w:rsidRPr="0052619D" w:rsidRDefault="00550434" w:rsidP="005A0AB6">
      <w:pPr>
        <w:pStyle w:val="SingleTxtG"/>
      </w:pPr>
      <w:r w:rsidRPr="0052619D">
        <w:t>STGs</w:t>
      </w:r>
      <w:r w:rsidRPr="0052619D">
        <w:tab/>
      </w:r>
      <w:r w:rsidRPr="0052619D">
        <w:tab/>
        <w:t>Standard Treatment Guidelines</w:t>
      </w:r>
    </w:p>
    <w:p w14:paraId="33CB9F6A" w14:textId="77777777" w:rsidR="00CE67A6" w:rsidRDefault="00550434" w:rsidP="005A0AB6">
      <w:pPr>
        <w:pStyle w:val="SingleTxtG"/>
        <w:rPr>
          <w:rStyle w:val="Strong"/>
          <w:color w:val="000000" w:themeColor="text1"/>
        </w:rPr>
      </w:pPr>
      <w:r w:rsidRPr="0052619D">
        <w:rPr>
          <w:rStyle w:val="Strong"/>
          <w:color w:val="000000" w:themeColor="text1"/>
        </w:rPr>
        <w:t>T</w:t>
      </w:r>
    </w:p>
    <w:p w14:paraId="38185859" w14:textId="77777777" w:rsidR="00CE67A6" w:rsidRDefault="00550434" w:rsidP="005A0AB6">
      <w:pPr>
        <w:pStyle w:val="SingleTxtG"/>
      </w:pPr>
      <w:r w:rsidRPr="0052619D">
        <w:t xml:space="preserve">TCC </w:t>
      </w:r>
      <w:r w:rsidRPr="0052619D">
        <w:tab/>
      </w:r>
      <w:r w:rsidRPr="0052619D">
        <w:tab/>
        <w:t>Thuthuzela Care Centre</w:t>
      </w:r>
    </w:p>
    <w:p w14:paraId="55A5E25A" w14:textId="024A977B" w:rsidR="00550434" w:rsidRPr="0052619D" w:rsidRDefault="00550434" w:rsidP="005A0AB6">
      <w:pPr>
        <w:pStyle w:val="SingleTxtG"/>
      </w:pPr>
      <w:r w:rsidRPr="0052619D">
        <w:t xml:space="preserve">TIP Act </w:t>
      </w:r>
      <w:r w:rsidRPr="0052619D">
        <w:tab/>
        <w:t>Prevention and Combating of Trafficking in Persons Act</w:t>
      </w:r>
    </w:p>
    <w:p w14:paraId="57E98CDB" w14:textId="77777777" w:rsidR="00550434" w:rsidRPr="00CE67A6" w:rsidRDefault="00550434" w:rsidP="005A0AB6">
      <w:pPr>
        <w:pStyle w:val="SingleTxtG"/>
        <w:rPr>
          <w:rStyle w:val="Strong"/>
          <w:b w:val="0"/>
          <w:bCs w:val="0"/>
          <w:color w:val="000000" w:themeColor="text1"/>
        </w:rPr>
      </w:pPr>
      <w:r w:rsidRPr="00CE67A6">
        <w:rPr>
          <w:rStyle w:val="Strong"/>
          <w:b w:val="0"/>
          <w:bCs w:val="0"/>
          <w:color w:val="000000" w:themeColor="text1"/>
        </w:rPr>
        <w:t>TT</w:t>
      </w:r>
      <w:r w:rsidRPr="00CE67A6">
        <w:rPr>
          <w:rStyle w:val="Strong"/>
          <w:b w:val="0"/>
          <w:bCs w:val="0"/>
          <w:color w:val="000000" w:themeColor="text1"/>
        </w:rPr>
        <w:tab/>
      </w:r>
      <w:r w:rsidRPr="00CE67A6">
        <w:rPr>
          <w:rStyle w:val="Strong"/>
          <w:b w:val="0"/>
          <w:bCs w:val="0"/>
          <w:color w:val="000000" w:themeColor="text1"/>
        </w:rPr>
        <w:tab/>
        <w:t>Task Team</w:t>
      </w:r>
    </w:p>
    <w:p w14:paraId="1A744B57" w14:textId="77777777" w:rsidR="00CE67A6" w:rsidRDefault="00550434" w:rsidP="005A0AB6">
      <w:pPr>
        <w:pStyle w:val="SingleTxtG"/>
        <w:rPr>
          <w:rStyle w:val="Strong"/>
          <w:color w:val="000000" w:themeColor="text1"/>
        </w:rPr>
      </w:pPr>
      <w:r w:rsidRPr="0052619D">
        <w:rPr>
          <w:rStyle w:val="Strong"/>
          <w:color w:val="000000" w:themeColor="text1"/>
        </w:rPr>
        <w:t>U</w:t>
      </w:r>
    </w:p>
    <w:p w14:paraId="616FB174" w14:textId="77777777" w:rsidR="00CE67A6" w:rsidRDefault="00550434" w:rsidP="005A0AB6">
      <w:pPr>
        <w:pStyle w:val="SingleTxtG"/>
      </w:pPr>
      <w:r w:rsidRPr="0052619D">
        <w:t>UCT</w:t>
      </w:r>
      <w:r w:rsidRPr="0052619D">
        <w:tab/>
      </w:r>
      <w:r w:rsidRPr="0052619D">
        <w:tab/>
        <w:t>University of Cape Town</w:t>
      </w:r>
    </w:p>
    <w:p w14:paraId="1646427A" w14:textId="77777777" w:rsidR="00CE67A6" w:rsidRDefault="00550434" w:rsidP="005A0AB6">
      <w:pPr>
        <w:pStyle w:val="SingleTxtG"/>
      </w:pPr>
      <w:r w:rsidRPr="0052619D">
        <w:t>UDAP</w:t>
      </w:r>
      <w:r w:rsidRPr="0052619D">
        <w:tab/>
      </w:r>
      <w:r w:rsidRPr="0052619D">
        <w:tab/>
        <w:t>Universal Design and Access Plan</w:t>
      </w:r>
    </w:p>
    <w:p w14:paraId="3FE88C5F" w14:textId="77777777" w:rsidR="00CE67A6" w:rsidRDefault="00550434" w:rsidP="005A0AB6">
      <w:pPr>
        <w:pStyle w:val="SingleTxtG"/>
      </w:pPr>
      <w:r w:rsidRPr="0052619D">
        <w:t>UN</w:t>
      </w:r>
      <w:r w:rsidRPr="0052619D">
        <w:tab/>
      </w:r>
      <w:r w:rsidRPr="0052619D">
        <w:tab/>
        <w:t>United Nations</w:t>
      </w:r>
    </w:p>
    <w:p w14:paraId="523B4C50" w14:textId="77777777" w:rsidR="00207BAF" w:rsidRDefault="00550434" w:rsidP="005A0AB6">
      <w:pPr>
        <w:pStyle w:val="SingleTxtG"/>
      </w:pPr>
      <w:r w:rsidRPr="0052619D">
        <w:t>UNCAT</w:t>
      </w:r>
      <w:r w:rsidRPr="0052619D">
        <w:tab/>
      </w:r>
      <w:r w:rsidRPr="0052619D">
        <w:tab/>
        <w:t>United Nations Convention Against Torture</w:t>
      </w:r>
    </w:p>
    <w:p w14:paraId="3AEFAE99" w14:textId="77777777" w:rsidR="00207BAF" w:rsidRDefault="00550434" w:rsidP="005A0AB6">
      <w:pPr>
        <w:pStyle w:val="SingleTxtG"/>
      </w:pPr>
      <w:r w:rsidRPr="0052619D">
        <w:t>UNCRPD</w:t>
      </w:r>
      <w:r w:rsidRPr="0052619D">
        <w:tab/>
        <w:t>United Nations Convention on the Rights of Persons with Disabilities</w:t>
      </w:r>
    </w:p>
    <w:p w14:paraId="33617259" w14:textId="77777777" w:rsidR="00207BAF" w:rsidRDefault="00550434" w:rsidP="005A0AB6">
      <w:pPr>
        <w:pStyle w:val="SingleTxtG"/>
      </w:pPr>
      <w:r w:rsidRPr="0052619D">
        <w:t>UNICEF</w:t>
      </w:r>
      <w:r w:rsidRPr="0052619D">
        <w:tab/>
        <w:t>United Nations International Children's Emergency Fund</w:t>
      </w:r>
    </w:p>
    <w:p w14:paraId="2C731EBC" w14:textId="77777777" w:rsidR="00207BAF" w:rsidRDefault="00550434" w:rsidP="005A0AB6">
      <w:pPr>
        <w:pStyle w:val="SingleTxtG"/>
      </w:pPr>
      <w:r w:rsidRPr="0052619D">
        <w:t>USSD</w:t>
      </w:r>
      <w:r w:rsidRPr="0052619D">
        <w:tab/>
      </w:r>
      <w:r w:rsidRPr="0052619D">
        <w:tab/>
        <w:t>Unstructured Supplementary Service Data</w:t>
      </w:r>
    </w:p>
    <w:p w14:paraId="35CD988F" w14:textId="576EDC06" w:rsidR="00550434" w:rsidRPr="0052619D" w:rsidRDefault="00550434" w:rsidP="005A0AB6">
      <w:pPr>
        <w:pStyle w:val="SingleTxtG"/>
      </w:pPr>
      <w:r w:rsidRPr="0052619D">
        <w:t>UWC</w:t>
      </w:r>
      <w:r w:rsidRPr="0052619D">
        <w:tab/>
      </w:r>
      <w:r w:rsidRPr="0052619D">
        <w:tab/>
        <w:t>University of the Western Cape</w:t>
      </w:r>
    </w:p>
    <w:p w14:paraId="7940E2EB" w14:textId="77777777" w:rsidR="00550434" w:rsidRPr="0052619D" w:rsidRDefault="00550434" w:rsidP="005A0AB6">
      <w:pPr>
        <w:pStyle w:val="SingleTxtG"/>
        <w:rPr>
          <w:rStyle w:val="Strong"/>
          <w:color w:val="000000" w:themeColor="text1"/>
        </w:rPr>
      </w:pPr>
      <w:r w:rsidRPr="0052619D">
        <w:rPr>
          <w:rStyle w:val="Strong"/>
          <w:color w:val="000000" w:themeColor="text1"/>
        </w:rPr>
        <w:t>V</w:t>
      </w:r>
    </w:p>
    <w:p w14:paraId="494E4F07" w14:textId="77777777" w:rsidR="00550434" w:rsidRPr="0052619D" w:rsidRDefault="00550434" w:rsidP="005A0AB6">
      <w:pPr>
        <w:pStyle w:val="SingleTxtG"/>
      </w:pPr>
      <w:r w:rsidRPr="0052619D">
        <w:t xml:space="preserve">VEP </w:t>
      </w:r>
      <w:r w:rsidRPr="0052619D">
        <w:tab/>
      </w:r>
      <w:r w:rsidRPr="0052619D">
        <w:tab/>
        <w:t>Victim Empowerment Programme</w:t>
      </w:r>
    </w:p>
    <w:p w14:paraId="09462689" w14:textId="77777777" w:rsidR="00207BAF" w:rsidRDefault="00550434" w:rsidP="005A0AB6">
      <w:pPr>
        <w:pStyle w:val="SingleTxtG"/>
        <w:rPr>
          <w:rStyle w:val="Strong"/>
          <w:color w:val="000000" w:themeColor="text1"/>
        </w:rPr>
      </w:pPr>
      <w:r w:rsidRPr="0052619D">
        <w:rPr>
          <w:rStyle w:val="Strong"/>
          <w:color w:val="000000" w:themeColor="text1"/>
        </w:rPr>
        <w:t>W</w:t>
      </w:r>
    </w:p>
    <w:p w14:paraId="2BF0FFC2" w14:textId="77777777" w:rsidR="00207BAF" w:rsidRDefault="00550434" w:rsidP="005A0AB6">
      <w:pPr>
        <w:pStyle w:val="SingleTxtG"/>
      </w:pPr>
      <w:r w:rsidRPr="0052619D">
        <w:t xml:space="preserve">W3C </w:t>
      </w:r>
      <w:r w:rsidRPr="0052619D">
        <w:tab/>
      </w:r>
      <w:r w:rsidRPr="0052619D">
        <w:tab/>
        <w:t>World Wide Web Consortium</w:t>
      </w:r>
    </w:p>
    <w:p w14:paraId="6ADAEE85" w14:textId="77777777" w:rsidR="00207BAF" w:rsidRDefault="00550434" w:rsidP="005A0AB6">
      <w:pPr>
        <w:pStyle w:val="SingleTxtG"/>
      </w:pPr>
      <w:r w:rsidRPr="0052619D">
        <w:t xml:space="preserve">WAI </w:t>
      </w:r>
      <w:r w:rsidRPr="0052619D">
        <w:tab/>
      </w:r>
      <w:r w:rsidRPr="0052619D">
        <w:tab/>
        <w:t>Web Accessibility Initiative</w:t>
      </w:r>
    </w:p>
    <w:p w14:paraId="4CE1EFE1" w14:textId="6BFD499E" w:rsidR="00550434" w:rsidRPr="0052619D" w:rsidRDefault="00550434" w:rsidP="005A0AB6">
      <w:pPr>
        <w:pStyle w:val="SingleTxtG"/>
      </w:pPr>
      <w:r w:rsidRPr="0052619D">
        <w:t>WECONA</w:t>
      </w:r>
      <w:r w:rsidRPr="0052619D">
        <w:tab/>
        <w:t>Women’s Economic Assembly</w:t>
      </w:r>
    </w:p>
    <w:p w14:paraId="267B2BA1" w14:textId="77777777" w:rsidR="00207BAF" w:rsidRDefault="00550434" w:rsidP="005A0AB6">
      <w:pPr>
        <w:pStyle w:val="SingleTxtG"/>
      </w:pPr>
      <w:r w:rsidRPr="0052619D">
        <w:t>WHO</w:t>
      </w:r>
      <w:r w:rsidRPr="0052619D">
        <w:tab/>
      </w:r>
      <w:r w:rsidRPr="0052619D">
        <w:tab/>
        <w:t>World Health Organization</w:t>
      </w:r>
    </w:p>
    <w:p w14:paraId="12BC6E79" w14:textId="7AB64B3E" w:rsidR="00550434" w:rsidRPr="0052619D" w:rsidRDefault="00550434" w:rsidP="005A0AB6">
      <w:pPr>
        <w:pStyle w:val="SingleTxtG"/>
      </w:pPr>
      <w:r w:rsidRPr="0052619D">
        <w:t>WPRPD</w:t>
      </w:r>
      <w:r w:rsidRPr="0052619D">
        <w:tab/>
        <w:t>White Paper on the Rights of Persons with Disabilities</w:t>
      </w:r>
    </w:p>
    <w:p w14:paraId="6CBB62A4" w14:textId="77777777" w:rsidR="00550434" w:rsidRPr="0052619D" w:rsidRDefault="00550434" w:rsidP="005A0AB6">
      <w:pPr>
        <w:pStyle w:val="SingleTxtG"/>
        <w:rPr>
          <w:rStyle w:val="Strong"/>
          <w:color w:val="000000" w:themeColor="text1"/>
        </w:rPr>
      </w:pPr>
      <w:r w:rsidRPr="0052619D">
        <w:rPr>
          <w:rStyle w:val="Strong"/>
          <w:color w:val="000000" w:themeColor="text1"/>
        </w:rPr>
        <w:t>Y</w:t>
      </w:r>
    </w:p>
    <w:p w14:paraId="6BC42D41" w14:textId="77777777" w:rsidR="00550434" w:rsidRPr="00207BAF" w:rsidRDefault="00550434" w:rsidP="005A0AB6">
      <w:pPr>
        <w:pStyle w:val="SingleTxtG"/>
        <w:rPr>
          <w:rStyle w:val="Strong"/>
          <w:b w:val="0"/>
          <w:bCs w:val="0"/>
          <w:color w:val="000000" w:themeColor="text1"/>
        </w:rPr>
      </w:pPr>
      <w:r w:rsidRPr="00207BAF">
        <w:rPr>
          <w:rStyle w:val="Strong"/>
          <w:b w:val="0"/>
          <w:bCs w:val="0"/>
          <w:color w:val="000000" w:themeColor="text1"/>
        </w:rPr>
        <w:t>YES</w:t>
      </w:r>
      <w:r w:rsidRPr="00207BAF">
        <w:rPr>
          <w:rStyle w:val="Strong"/>
          <w:b w:val="0"/>
          <w:bCs w:val="0"/>
          <w:color w:val="000000" w:themeColor="text1"/>
        </w:rPr>
        <w:tab/>
      </w:r>
      <w:r w:rsidRPr="00207BAF">
        <w:rPr>
          <w:rStyle w:val="Strong"/>
          <w:b w:val="0"/>
          <w:bCs w:val="0"/>
          <w:color w:val="000000" w:themeColor="text1"/>
        </w:rPr>
        <w:tab/>
        <w:t>Youth Employment Service</w:t>
      </w:r>
    </w:p>
    <w:p w14:paraId="2BE71007" w14:textId="77777777" w:rsidR="00207BAF" w:rsidRDefault="00550434" w:rsidP="005A0AB6">
      <w:pPr>
        <w:pStyle w:val="SingleTxtG"/>
        <w:rPr>
          <w:rStyle w:val="Strong"/>
          <w:color w:val="000000" w:themeColor="text1"/>
        </w:rPr>
      </w:pPr>
      <w:r w:rsidRPr="0052619D">
        <w:rPr>
          <w:rStyle w:val="Strong"/>
          <w:color w:val="000000" w:themeColor="text1"/>
        </w:rPr>
        <w:t>Z</w:t>
      </w:r>
    </w:p>
    <w:p w14:paraId="54F441BF" w14:textId="5A5E9CE8" w:rsidR="00550434" w:rsidRPr="0052619D" w:rsidRDefault="00550434" w:rsidP="005A0AB6">
      <w:pPr>
        <w:pStyle w:val="SingleTxtG"/>
      </w:pPr>
      <w:r w:rsidRPr="0052619D">
        <w:t>ZAF</w:t>
      </w:r>
      <w:r w:rsidRPr="0052619D">
        <w:tab/>
      </w:r>
      <w:r w:rsidRPr="0052619D">
        <w:tab/>
        <w:t>South Africa (ISO country code)</w:t>
      </w:r>
    </w:p>
    <w:p w14:paraId="398B0EF5" w14:textId="0C658019" w:rsidR="0026680B" w:rsidRDefault="0026680B">
      <w:pPr>
        <w:suppressAutoHyphens w:val="0"/>
        <w:spacing w:after="200" w:line="276" w:lineRule="auto"/>
      </w:pPr>
      <w:r>
        <w:br w:type="page"/>
      </w:r>
    </w:p>
    <w:p w14:paraId="48EC453B" w14:textId="3821983D" w:rsidR="00550434" w:rsidRPr="0052619D" w:rsidRDefault="00207BAF" w:rsidP="00207BAF">
      <w:pPr>
        <w:pStyle w:val="H1G"/>
      </w:pPr>
      <w:r>
        <w:lastRenderedPageBreak/>
        <w:tab/>
      </w:r>
      <w:r>
        <w:tab/>
      </w:r>
      <w:r w:rsidR="00550434" w:rsidRPr="0052619D">
        <w:t>Introduction</w:t>
      </w:r>
    </w:p>
    <w:p w14:paraId="2B28CC64" w14:textId="777B6D74" w:rsidR="00550434" w:rsidRPr="0052619D" w:rsidRDefault="00550434" w:rsidP="00FA528F">
      <w:pPr>
        <w:pStyle w:val="SingleTxtG"/>
        <w:numPr>
          <w:ilvl w:val="0"/>
          <w:numId w:val="28"/>
        </w:numPr>
        <w:ind w:left="1134" w:firstLine="0"/>
      </w:pPr>
      <w:r w:rsidRPr="0052619D">
        <w:t xml:space="preserve">The Republic of South Africa is pleased to present its responses to the combined list of questions </w:t>
      </w:r>
      <w:bookmarkStart w:id="0" w:name="_Hlk192412595"/>
      <w:r w:rsidRPr="0052619D">
        <w:t>(CRPD/C/ZAF/2-4)</w:t>
      </w:r>
      <w:bookmarkEnd w:id="0"/>
      <w:r w:rsidRPr="0052619D">
        <w:t xml:space="preserve"> from the eminent Committee on the Rights of Persons with Disabilities in line with Article 35 of the Convention for the Rights of Persons with Disabilities (the Convention). </w:t>
      </w:r>
    </w:p>
    <w:p w14:paraId="479E9B13" w14:textId="176EF475" w:rsidR="00550434" w:rsidRPr="0052619D" w:rsidRDefault="00550434" w:rsidP="00FA528F">
      <w:pPr>
        <w:pStyle w:val="SingleTxtG"/>
        <w:numPr>
          <w:ilvl w:val="0"/>
          <w:numId w:val="28"/>
        </w:numPr>
        <w:ind w:left="1134" w:firstLine="0"/>
      </w:pPr>
      <w:r w:rsidRPr="0052619D">
        <w:t>South Africa reaffirms its unwavering commitment to advancing the rights of persons with disabilities in alignment with the Convention with an appreciation that disability inclusion is integral to achieving social justice, equality, and sustainable development. With the second-largest population on the African continent (62 million people), South Africa faces the complex challenge of ensuring disability inclusion of approximately 3,3million people within a rapidly growing and diverse society. As a nation emerging from the profound legacies of Apartheid and colonialism, South Africa’s responses are rooted in its Constitution and respect for human rights.</w:t>
      </w:r>
    </w:p>
    <w:p w14:paraId="3D56A6A9" w14:textId="53B89754" w:rsidR="00550434" w:rsidRPr="0052619D" w:rsidRDefault="00550434" w:rsidP="00FA528F">
      <w:pPr>
        <w:pStyle w:val="SingleTxtG"/>
        <w:numPr>
          <w:ilvl w:val="0"/>
          <w:numId w:val="28"/>
        </w:numPr>
        <w:ind w:left="1134" w:firstLine="0"/>
      </w:pPr>
      <w:r w:rsidRPr="0052619D">
        <w:t>Since receiving the Committee’s Concluding Observations in 2018, significant strides have been taken within a challenging global milieu to strengthen our legal, policy, and institutional frameworks to effectively address systemic barriers faced by persons with disabilities, including in instances of disaster. </w:t>
      </w:r>
    </w:p>
    <w:p w14:paraId="1EF635F0" w14:textId="5CCD5E3A" w:rsidR="00550434" w:rsidRPr="0052619D" w:rsidRDefault="00550434" w:rsidP="00FA528F">
      <w:pPr>
        <w:pStyle w:val="SingleTxtG"/>
        <w:numPr>
          <w:ilvl w:val="0"/>
          <w:numId w:val="28"/>
        </w:numPr>
        <w:ind w:left="1134" w:firstLine="0"/>
      </w:pPr>
      <w:r w:rsidRPr="0052619D">
        <w:t>Institutional strengthening has been central to South Africa’s response, with the establishment of the Department of Women, Youth, and Persons with Disabilities (DWYPD) in 2019, to enhance coordination, monitoring, and advocacy for disability inclusion across government. The DWYPD has been central to the integration of disability in the national development agenda, embedded in the State Parties 5-year Medium Term Development Plan (MTDP).  </w:t>
      </w:r>
    </w:p>
    <w:p w14:paraId="53EB3127" w14:textId="441BA830" w:rsidR="00550434" w:rsidRPr="0052619D" w:rsidRDefault="00550434" w:rsidP="00FA528F">
      <w:pPr>
        <w:pStyle w:val="SingleTxtG"/>
        <w:numPr>
          <w:ilvl w:val="0"/>
          <w:numId w:val="28"/>
        </w:numPr>
        <w:ind w:left="1134" w:firstLine="0"/>
      </w:pPr>
      <w:r w:rsidRPr="0052619D">
        <w:t xml:space="preserve">The evolving global social and geopolitical landscape has bolstered South Africa’s resolve to achieve a thriving, diverse and rights-oriented society in pursuit of the Sustainable Development Goals (SDGs). </w:t>
      </w:r>
    </w:p>
    <w:p w14:paraId="50675B60" w14:textId="4AC8DAAE" w:rsidR="00550434" w:rsidRPr="0052619D" w:rsidRDefault="00550434" w:rsidP="00FA528F">
      <w:pPr>
        <w:pStyle w:val="SingleTxtG"/>
        <w:numPr>
          <w:ilvl w:val="0"/>
          <w:numId w:val="28"/>
        </w:numPr>
        <w:ind w:left="1134" w:firstLine="0"/>
      </w:pPr>
      <w:r w:rsidRPr="0052619D">
        <w:t>The State Party responses highlight developments and measures implemented post 2018 to give effect to the rights of persons with disabilities outlined in the Convention.</w:t>
      </w:r>
    </w:p>
    <w:p w14:paraId="55A06DB7" w14:textId="50ECA1CB" w:rsidR="00550434" w:rsidRPr="0052619D" w:rsidRDefault="00550434" w:rsidP="00FA528F">
      <w:pPr>
        <w:pStyle w:val="SingleTxtG"/>
        <w:numPr>
          <w:ilvl w:val="0"/>
          <w:numId w:val="28"/>
        </w:numPr>
        <w:ind w:left="1134" w:firstLine="0"/>
      </w:pPr>
      <w:r w:rsidRPr="0052619D">
        <w:t>Mindful of reporting compliance requirements, our responses include cross references to avoid repetition and are supported by annexures which provide, selected examples, reports and case law.</w:t>
      </w:r>
    </w:p>
    <w:p w14:paraId="740E219E" w14:textId="0023EB1E" w:rsidR="00550434" w:rsidRPr="0052619D" w:rsidRDefault="00550434" w:rsidP="00FA528F">
      <w:pPr>
        <w:pStyle w:val="SingleTxtG"/>
        <w:numPr>
          <w:ilvl w:val="0"/>
          <w:numId w:val="28"/>
        </w:numPr>
        <w:ind w:left="1134" w:firstLine="0"/>
      </w:pPr>
      <w:r w:rsidRPr="0052619D">
        <w:t>The State Party recognises that despite some progress, challenges in respect of gaps in disaggregated disability data persist. The commitment to enhancing information and computer technology (ICT) systems, data quality, and accessibility is a priority. Over the next five years, targeted investments will ensure more comprehensive, reliable, and inclusive data to drive evidence-based policy and accountability.</w:t>
      </w:r>
    </w:p>
    <w:p w14:paraId="15CA856C" w14:textId="3EDB8500" w:rsidR="00550434" w:rsidRPr="0052619D" w:rsidRDefault="00550434" w:rsidP="00FA528F">
      <w:pPr>
        <w:pStyle w:val="SingleTxtG"/>
        <w:numPr>
          <w:ilvl w:val="0"/>
          <w:numId w:val="28"/>
        </w:numPr>
        <w:ind w:left="1134" w:firstLine="0"/>
      </w:pPr>
      <w:r w:rsidRPr="0052619D">
        <w:t>South Africa provides assurance of its unwavering commitment and thanks the Committee for its consideration of the combined response.</w:t>
      </w:r>
    </w:p>
    <w:p w14:paraId="1A54340F" w14:textId="26D7F9D9" w:rsidR="00550434" w:rsidRPr="0052619D" w:rsidRDefault="00207BAF" w:rsidP="00B46C53">
      <w:pPr>
        <w:pStyle w:val="H1G"/>
      </w:pPr>
      <w:r>
        <w:tab/>
      </w:r>
      <w:r w:rsidR="00550434" w:rsidRPr="0052619D">
        <w:t>A.</w:t>
      </w:r>
      <w:r>
        <w:tab/>
      </w:r>
      <w:r w:rsidR="00550434" w:rsidRPr="0052619D">
        <w:t xml:space="preserve">Purpose and general obligations (arts. 1–4) </w:t>
      </w:r>
    </w:p>
    <w:p w14:paraId="4A756EFC" w14:textId="7DC00BB3" w:rsidR="00550434" w:rsidRPr="0052619D" w:rsidRDefault="002C3743" w:rsidP="002C3743">
      <w:pPr>
        <w:pStyle w:val="H23G"/>
      </w:pPr>
      <w:r>
        <w:tab/>
      </w:r>
      <w:r>
        <w:tab/>
      </w:r>
      <w:r w:rsidR="00550434" w:rsidRPr="0052619D">
        <w:t xml:space="preserve">Reply to </w:t>
      </w:r>
      <w:r w:rsidR="00207BAF">
        <w:t xml:space="preserve">question </w:t>
      </w:r>
      <w:r w:rsidR="00550434" w:rsidRPr="0052619D">
        <w:t>1. (a)</w:t>
      </w:r>
    </w:p>
    <w:p w14:paraId="3A4A2DBB" w14:textId="28110838" w:rsidR="00550434" w:rsidRPr="0052619D" w:rsidRDefault="00550434" w:rsidP="00FA528F">
      <w:pPr>
        <w:pStyle w:val="SingleTxtG"/>
        <w:numPr>
          <w:ilvl w:val="0"/>
          <w:numId w:val="28"/>
        </w:numPr>
        <w:ind w:left="1134" w:firstLine="0"/>
      </w:pPr>
      <w:r w:rsidRPr="0052619D">
        <w:t xml:space="preserve">Since 2018, South Africa has introduced significant legislative and policy reforms to move away from the medical model of disability toward a rights-based approach. Amendments to the Mental Health Care Act, 2022 (MHCA) include new regulations for residential and daycare facilities for persons with disabilities and the adoption of the National Mental Health Policy Framework and Strategic Plan 2023-2030 (NMFPFST) was adopted. </w:t>
      </w:r>
    </w:p>
    <w:p w14:paraId="25EFA5F4" w14:textId="3B74C02D" w:rsidR="00550434" w:rsidRPr="0052619D" w:rsidRDefault="00550434" w:rsidP="00FA528F">
      <w:pPr>
        <w:pStyle w:val="SingleTxtG"/>
        <w:numPr>
          <w:ilvl w:val="0"/>
          <w:numId w:val="28"/>
        </w:numPr>
        <w:ind w:left="1134" w:firstLine="0"/>
      </w:pPr>
      <w:r w:rsidRPr="0052619D">
        <w:t>The South African Law Reform Commission drafted a Disability Rights Bill (DRB)</w:t>
      </w:r>
      <w:r w:rsidRPr="0052619D">
        <w:rPr>
          <w:color w:val="FF0000"/>
        </w:rPr>
        <w:t xml:space="preserve"> </w:t>
      </w:r>
      <w:r w:rsidRPr="0052619D">
        <w:t xml:space="preserve">to entrench monitoring and protect disability rights. </w:t>
      </w:r>
    </w:p>
    <w:p w14:paraId="22B9F001" w14:textId="6422348E" w:rsidR="00550434" w:rsidRPr="0052619D" w:rsidRDefault="00550434" w:rsidP="00FA528F">
      <w:pPr>
        <w:pStyle w:val="SingleTxtG"/>
        <w:numPr>
          <w:ilvl w:val="0"/>
          <w:numId w:val="28"/>
        </w:numPr>
        <w:ind w:left="1134" w:firstLine="0"/>
      </w:pPr>
      <w:r w:rsidRPr="0052619D">
        <w:t xml:space="preserve">In July 2023, South African Sign Language (SASL) was recognized as the twelfth official language, addressing historical marginalization of the deaf community. This places </w:t>
      </w:r>
      <w:r w:rsidRPr="0052619D">
        <w:lastRenderedPageBreak/>
        <w:t>South Africa in the company of only 13 other states globally, to include sign language as an official language.</w:t>
      </w:r>
    </w:p>
    <w:p w14:paraId="74436BDB" w14:textId="68FBA5B8" w:rsidR="00550434" w:rsidRPr="0052619D" w:rsidRDefault="00550434" w:rsidP="00FA528F">
      <w:pPr>
        <w:pStyle w:val="SingleTxtG"/>
        <w:numPr>
          <w:ilvl w:val="0"/>
          <w:numId w:val="28"/>
        </w:numPr>
        <w:ind w:left="1134" w:firstLine="0"/>
      </w:pPr>
      <w:r w:rsidRPr="0052619D">
        <w:t>The Marriage Bill of 2023 (B43-2023), currently before Parliament, aligns marriage rights with international disability standards. The Committee is referred to 24(a) for more detail</w:t>
      </w:r>
      <w:r w:rsidRPr="0052619D">
        <w:rPr>
          <w:color w:val="FF0000"/>
        </w:rPr>
        <w:t>.</w:t>
      </w:r>
    </w:p>
    <w:p w14:paraId="2BABFB9F" w14:textId="318947B9" w:rsidR="00550434" w:rsidRPr="0052619D" w:rsidRDefault="00AA0316" w:rsidP="00AA0316">
      <w:pPr>
        <w:pStyle w:val="H23G"/>
      </w:pPr>
      <w:r>
        <w:tab/>
      </w:r>
      <w:r>
        <w:tab/>
      </w:r>
      <w:r w:rsidR="00550434" w:rsidRPr="0052619D">
        <w:t xml:space="preserve">Reply to </w:t>
      </w:r>
      <w:r w:rsidR="00805D46">
        <w:t xml:space="preserve">question </w:t>
      </w:r>
      <w:r w:rsidR="00550434" w:rsidRPr="0052619D">
        <w:t>1(b)</w:t>
      </w:r>
    </w:p>
    <w:p w14:paraId="70A6EFAD" w14:textId="577466E9" w:rsidR="00550434" w:rsidRPr="0052619D" w:rsidRDefault="00550434" w:rsidP="00FA528F">
      <w:pPr>
        <w:pStyle w:val="SingleTxtG"/>
        <w:numPr>
          <w:ilvl w:val="0"/>
          <w:numId w:val="28"/>
        </w:numPr>
        <w:ind w:left="1134" w:firstLine="0"/>
      </w:pPr>
      <w:r w:rsidRPr="0052619D">
        <w:t xml:space="preserve">The White Paper on the Rights of Persons with Disabilities (WPRPD) aligns national policies with the Convention. A 2023 evaluation assessed government interventions and led to an Improvement Plan for strengthened accountability. </w:t>
      </w:r>
    </w:p>
    <w:p w14:paraId="3E536D98" w14:textId="5B6DFDC6" w:rsidR="00550434" w:rsidRPr="0052619D" w:rsidRDefault="00550434" w:rsidP="00FA528F">
      <w:pPr>
        <w:pStyle w:val="SingleTxtG"/>
        <w:numPr>
          <w:ilvl w:val="0"/>
          <w:numId w:val="28"/>
        </w:numPr>
        <w:ind w:left="1134" w:firstLine="0"/>
      </w:pPr>
      <w:r w:rsidRPr="0052619D">
        <w:t xml:space="preserve">The DRB, once enacted, will standardize disability rights across all laws, complementing the Promotion of Equality and Prevention of Unfair Discrimination Act (PEPUDA). </w:t>
      </w:r>
    </w:p>
    <w:p w14:paraId="1CC5ED44" w14:textId="75D2131F" w:rsidR="00550434" w:rsidRPr="0052619D" w:rsidRDefault="00550434" w:rsidP="00FA528F">
      <w:pPr>
        <w:pStyle w:val="SingleTxtG"/>
        <w:numPr>
          <w:ilvl w:val="0"/>
          <w:numId w:val="28"/>
        </w:numPr>
        <w:ind w:left="1134" w:firstLine="0"/>
      </w:pPr>
      <w:r w:rsidRPr="0052619D">
        <w:t xml:space="preserve">Legal developments include the Criminal Law and Related Matters Amendment Act, which recognises non-verbal testimony in courts and extends intermediary services to civil proceedings. </w:t>
      </w:r>
    </w:p>
    <w:p w14:paraId="67680829" w14:textId="09D6624F" w:rsidR="00550434" w:rsidRPr="0052619D" w:rsidRDefault="00550434" w:rsidP="00FA528F">
      <w:pPr>
        <w:pStyle w:val="SingleTxtG"/>
        <w:numPr>
          <w:ilvl w:val="0"/>
          <w:numId w:val="28"/>
        </w:numPr>
        <w:ind w:left="1134" w:firstLine="0"/>
      </w:pPr>
      <w:r w:rsidRPr="0052619D">
        <w:t xml:space="preserve">The </w:t>
      </w:r>
      <w:r w:rsidRPr="0052619D">
        <w:rPr>
          <w:color w:val="474747"/>
          <w:shd w:val="clear" w:color="auto" w:fill="FFFFFF"/>
        </w:rPr>
        <w:t>Criminal</w:t>
      </w:r>
      <w:r w:rsidRPr="0052619D">
        <w:rPr>
          <w:shd w:val="clear" w:color="auto" w:fill="FFFFFF"/>
        </w:rPr>
        <w:t> </w:t>
      </w:r>
      <w:r w:rsidRPr="0052619D">
        <w:rPr>
          <w:rStyle w:val="Emphasis"/>
          <w:rFonts w:eastAsiaTheme="majorEastAsia"/>
          <w:color w:val="000000" w:themeColor="text1"/>
          <w:shd w:val="clear" w:color="auto" w:fill="FFFFFF"/>
        </w:rPr>
        <w:t>Law</w:t>
      </w:r>
      <w:r w:rsidRPr="0052619D">
        <w:rPr>
          <w:shd w:val="clear" w:color="auto" w:fill="FFFFFF"/>
        </w:rPr>
        <w:t> (</w:t>
      </w:r>
      <w:r w:rsidRPr="0052619D">
        <w:rPr>
          <w:rStyle w:val="Emphasis"/>
          <w:rFonts w:eastAsiaTheme="majorEastAsia"/>
          <w:color w:val="000000" w:themeColor="text1"/>
          <w:shd w:val="clear" w:color="auto" w:fill="FFFFFF"/>
        </w:rPr>
        <w:t>Sexual Offences</w:t>
      </w:r>
      <w:r w:rsidRPr="0052619D">
        <w:rPr>
          <w:shd w:val="clear" w:color="auto" w:fill="FFFFFF"/>
        </w:rPr>
        <w:t> and Related Matters) </w:t>
      </w:r>
      <w:r w:rsidRPr="0052619D">
        <w:rPr>
          <w:rStyle w:val="Emphasis"/>
          <w:rFonts w:eastAsiaTheme="majorEastAsia"/>
          <w:color w:val="000000" w:themeColor="text1"/>
          <w:shd w:val="clear" w:color="auto" w:fill="FFFFFF"/>
        </w:rPr>
        <w:t>Amendment</w:t>
      </w:r>
      <w:r w:rsidRPr="0052619D">
        <w:rPr>
          <w:shd w:val="clear" w:color="auto" w:fill="FFFFFF"/>
        </w:rPr>
        <w:t> </w:t>
      </w:r>
      <w:r w:rsidRPr="0052619D">
        <w:rPr>
          <w:rStyle w:val="Emphasis"/>
          <w:rFonts w:eastAsiaTheme="majorEastAsia"/>
          <w:color w:val="000000" w:themeColor="text1"/>
          <w:shd w:val="clear" w:color="auto" w:fill="FFFFFF"/>
        </w:rPr>
        <w:t>Act</w:t>
      </w:r>
      <w:r w:rsidRPr="0052619D">
        <w:rPr>
          <w:shd w:val="clear" w:color="auto" w:fill="FFFFFF"/>
        </w:rPr>
        <w:t xml:space="preserve">, (2007), </w:t>
      </w:r>
      <w:r w:rsidRPr="0052619D">
        <w:t xml:space="preserve">mandates reporting of sexual crimes against persons with disabilities and expands protections against exploitation and grooming. The National Register for Sex Offenders (NRSO) now requires screening of individuals working with persons with disabilities. </w:t>
      </w:r>
    </w:p>
    <w:p w14:paraId="3A0BC3F4" w14:textId="2022D55D" w:rsidR="00550434" w:rsidRPr="0052619D" w:rsidRDefault="00550434" w:rsidP="00FA528F">
      <w:pPr>
        <w:pStyle w:val="SingleTxtG"/>
        <w:numPr>
          <w:ilvl w:val="0"/>
          <w:numId w:val="28"/>
        </w:numPr>
        <w:ind w:left="1134" w:firstLine="0"/>
      </w:pPr>
      <w:r w:rsidRPr="0052619D">
        <w:t xml:space="preserve">The Children’s Amendment Act expands child protection measures, while the Domestic Violence Amendment Act (DVAA) imposes a duty to report abuse against children, persons with disabilities, and older persons. </w:t>
      </w:r>
    </w:p>
    <w:p w14:paraId="0D2509D9" w14:textId="48D17BA8" w:rsidR="00550434" w:rsidRPr="0052619D" w:rsidRDefault="00550434" w:rsidP="00FA528F">
      <w:pPr>
        <w:pStyle w:val="SingleTxtG"/>
        <w:numPr>
          <w:ilvl w:val="0"/>
          <w:numId w:val="28"/>
        </w:numPr>
        <w:ind w:left="1134" w:firstLine="0"/>
      </w:pPr>
      <w:r w:rsidRPr="0052619D">
        <w:t>In December 2024, the Constitutional Court temporarily amended the Copyright Act to grant access for persons with print disabilities.</w:t>
      </w:r>
    </w:p>
    <w:p w14:paraId="113E94FF" w14:textId="02C9ACAF" w:rsidR="00550434" w:rsidRPr="0052619D" w:rsidRDefault="00550434" w:rsidP="00FA528F">
      <w:pPr>
        <w:pStyle w:val="SingleTxtG"/>
        <w:numPr>
          <w:ilvl w:val="0"/>
          <w:numId w:val="28"/>
        </w:numPr>
        <w:ind w:left="1134" w:firstLine="0"/>
      </w:pPr>
      <w:r w:rsidRPr="0052619D">
        <w:t xml:space="preserve">All legislation must comply with constitutional protections, which require courts to interpret laws consistently with international human rights standards. The DWYPD scrutinizes proposed laws for disability inclusion, impacts and engages Disabled People’s Organisations (DPOs) in consultations to make submissions for reforms. </w:t>
      </w:r>
    </w:p>
    <w:p w14:paraId="34ACA077" w14:textId="7686D5AF" w:rsidR="00550434" w:rsidRPr="0052619D" w:rsidRDefault="00550434" w:rsidP="00FA528F">
      <w:pPr>
        <w:pStyle w:val="SingleTxtG"/>
        <w:numPr>
          <w:ilvl w:val="0"/>
          <w:numId w:val="28"/>
        </w:numPr>
        <w:ind w:left="1134" w:firstLine="0"/>
      </w:pPr>
      <w:r w:rsidRPr="0052619D">
        <w:t xml:space="preserve">The National Policy Framework on Reasonable Accommodations in Courts was introduced in 2022 to ensure accessible justice for persons with disabilities. </w:t>
      </w:r>
    </w:p>
    <w:p w14:paraId="3203A9C3" w14:textId="720C05E9" w:rsidR="00550434" w:rsidRPr="0052619D" w:rsidRDefault="00550434" w:rsidP="00FA528F">
      <w:pPr>
        <w:pStyle w:val="SingleTxtG"/>
        <w:numPr>
          <w:ilvl w:val="0"/>
          <w:numId w:val="28"/>
        </w:numPr>
        <w:ind w:left="1134" w:firstLine="0"/>
      </w:pPr>
      <w:r w:rsidRPr="0052619D">
        <w:t xml:space="preserve">The revised Policy on Services to Persons with Disabilities, pending Cabinet approval, aims to improve accessibility in rural areas. </w:t>
      </w:r>
      <w:r>
        <w:t>T</w:t>
      </w:r>
      <w:r w:rsidRPr="0052619D">
        <w:t>he National Strategy on Integrated Services for Children with Disabilities</w:t>
      </w:r>
      <w:r>
        <w:t xml:space="preserve"> (2022)</w:t>
      </w:r>
      <w:r w:rsidRPr="0052619D">
        <w:t xml:space="preserve"> seeks to mainstream disability inclusion in social services</w:t>
      </w:r>
      <w:r>
        <w:t>, health and education</w:t>
      </w:r>
      <w:r w:rsidRPr="0052619D">
        <w:t>.</w:t>
      </w:r>
      <w:r>
        <w:t xml:space="preserve"> All disability programs have been capacitated on the strategy with monitoring of implementation scheduled for the outer years.</w:t>
      </w:r>
    </w:p>
    <w:p w14:paraId="46B1EC0A" w14:textId="32FF419C" w:rsidR="00550434" w:rsidRPr="0052619D" w:rsidRDefault="00100B86" w:rsidP="00100B86">
      <w:pPr>
        <w:pStyle w:val="H23G"/>
      </w:pPr>
      <w:r>
        <w:tab/>
      </w:r>
      <w:r>
        <w:tab/>
      </w:r>
      <w:r w:rsidR="00550434" w:rsidRPr="0052619D">
        <w:t xml:space="preserve">Reply to </w:t>
      </w:r>
      <w:r>
        <w:t xml:space="preserve">question </w:t>
      </w:r>
      <w:r w:rsidR="00550434" w:rsidRPr="0052619D">
        <w:t>1(c)</w:t>
      </w:r>
    </w:p>
    <w:p w14:paraId="01F80EF1" w14:textId="37726108" w:rsidR="00550434" w:rsidRPr="0052619D" w:rsidRDefault="00550434" w:rsidP="00FA528F">
      <w:pPr>
        <w:pStyle w:val="SingleTxtG"/>
        <w:numPr>
          <w:ilvl w:val="0"/>
          <w:numId w:val="28"/>
        </w:numPr>
        <w:ind w:left="1134" w:firstLine="0"/>
      </w:pPr>
      <w:r w:rsidRPr="0052619D">
        <w:t>Efforts to standardize disability assessment tools continue. Data collection for the census currently relies on the Washington Group Short Set of Questions, though reforms are underway to standardise statistical data collection and improve disaggregation in the collection and recording of administrative data government wide. The health sector employs a joint treatment model to integrate assessments. The Department of Social Development (DSD) is developing regulations to operationalize the Harmonized Assessment Tools for persons with disabilities.</w:t>
      </w:r>
    </w:p>
    <w:p w14:paraId="5C69F7E3" w14:textId="1CB815B7" w:rsidR="00550434" w:rsidRPr="0052619D" w:rsidRDefault="00100B86" w:rsidP="00100B86">
      <w:pPr>
        <w:pStyle w:val="H23G"/>
      </w:pPr>
      <w:r>
        <w:tab/>
      </w:r>
      <w:r>
        <w:tab/>
      </w:r>
      <w:r w:rsidR="00550434" w:rsidRPr="0052619D">
        <w:t>Reply to 1(d)</w:t>
      </w:r>
    </w:p>
    <w:p w14:paraId="04BDAA35" w14:textId="0FEA91B7" w:rsidR="00550434" w:rsidRPr="0052619D" w:rsidRDefault="00550434" w:rsidP="00FA528F">
      <w:pPr>
        <w:pStyle w:val="SingleTxtG"/>
        <w:numPr>
          <w:ilvl w:val="0"/>
          <w:numId w:val="28"/>
        </w:numPr>
        <w:ind w:left="1134" w:firstLine="0"/>
      </w:pPr>
      <w:r w:rsidRPr="0052619D">
        <w:t xml:space="preserve">The Draft Discussion Paper and the draft DRB have been published by the SALRC for public comment. Several extensions for comment were adopted to allow sufficient time for public comment. Upon consideration of public comments, a socio-economic impact and theory of change assessment is required. </w:t>
      </w:r>
    </w:p>
    <w:p w14:paraId="19752E33" w14:textId="10C8BC6F" w:rsidR="00550434" w:rsidRPr="0052619D" w:rsidRDefault="00550434" w:rsidP="00FA528F">
      <w:pPr>
        <w:pStyle w:val="SingleTxtG"/>
        <w:numPr>
          <w:ilvl w:val="0"/>
          <w:numId w:val="28"/>
        </w:numPr>
        <w:ind w:left="1134" w:firstLine="0"/>
      </w:pPr>
      <w:r w:rsidRPr="0052619D">
        <w:t xml:space="preserve">Government continues the process of internal engagement with stakeholders such as the Judiciary and Gender Machinery while public comments are being submitted. The DRB </w:t>
      </w:r>
      <w:r w:rsidRPr="0052619D">
        <w:lastRenderedPageBreak/>
        <w:t>will ultimately serve before Cabinet and undergo legislative processes such as Parliamentary debate. Once assented to by the President a programme to comprehensively review other laws and practices impacted by the DRB will follow.</w:t>
      </w:r>
    </w:p>
    <w:p w14:paraId="4B9CE9D3" w14:textId="5ABB4BC3" w:rsidR="00550434" w:rsidRPr="0052619D" w:rsidRDefault="00100B86" w:rsidP="00100B86">
      <w:pPr>
        <w:pStyle w:val="H23G"/>
      </w:pPr>
      <w:r>
        <w:tab/>
      </w:r>
      <w:r>
        <w:tab/>
      </w:r>
      <w:r w:rsidR="00550434" w:rsidRPr="0052619D">
        <w:t>Reply to 1(e)</w:t>
      </w:r>
    </w:p>
    <w:p w14:paraId="20CB0266" w14:textId="4F9FFBDF" w:rsidR="00550434" w:rsidRPr="0052619D" w:rsidRDefault="00550434" w:rsidP="00FA528F">
      <w:pPr>
        <w:pStyle w:val="SingleTxtG"/>
        <w:numPr>
          <w:ilvl w:val="0"/>
          <w:numId w:val="28"/>
        </w:numPr>
        <w:ind w:left="1134" w:firstLine="0"/>
      </w:pPr>
      <w:r w:rsidRPr="0052619D">
        <w:t xml:space="preserve">The National Disability Rights Machinery (NDRM) and the Presidential Working Group on Persons with Disabilities (PWGD) facilitate government consultations with the disability sector. The PWGD meets annually with the President to ensure accountability, while the NDRM coordinates between ministries. </w:t>
      </w:r>
    </w:p>
    <w:p w14:paraId="392AD5BC" w14:textId="32814E11" w:rsidR="00550434" w:rsidRPr="0052619D" w:rsidRDefault="00550434" w:rsidP="00FA528F">
      <w:pPr>
        <w:pStyle w:val="SingleTxtG"/>
        <w:numPr>
          <w:ilvl w:val="0"/>
          <w:numId w:val="28"/>
        </w:numPr>
        <w:ind w:left="1134" w:firstLine="0"/>
      </w:pPr>
      <w:r w:rsidRPr="0052619D">
        <w:t>Consultation also occurs at provincial and municipal levels. Public participation is mandated in legislative and policy development, with government departments like the Department of Justice and Constitutional Development (DOJCD) engaging its internal disability forum to enhance inclusivity.</w:t>
      </w:r>
    </w:p>
    <w:p w14:paraId="7BEAC4F4" w14:textId="3D8D0A8B" w:rsidR="00550434" w:rsidRPr="0052619D" w:rsidRDefault="00100B86" w:rsidP="00100B86">
      <w:pPr>
        <w:pStyle w:val="H23G"/>
      </w:pPr>
      <w:r>
        <w:tab/>
      </w:r>
      <w:r>
        <w:tab/>
      </w:r>
      <w:r w:rsidR="00550434" w:rsidRPr="0052619D">
        <w:t>Reply to 1(f)</w:t>
      </w:r>
    </w:p>
    <w:p w14:paraId="313A685B" w14:textId="02F79D87" w:rsidR="00550434" w:rsidRPr="0052619D" w:rsidRDefault="00550434" w:rsidP="00FA528F">
      <w:pPr>
        <w:pStyle w:val="SingleTxtG"/>
        <w:numPr>
          <w:ilvl w:val="0"/>
          <w:numId w:val="28"/>
        </w:numPr>
        <w:ind w:left="1134" w:firstLine="0"/>
      </w:pPr>
      <w:r w:rsidRPr="0052619D">
        <w:t xml:space="preserve">Training programmes promote the human rights model of disability across government. </w:t>
      </w:r>
    </w:p>
    <w:p w14:paraId="3D9B1718" w14:textId="245D2AF4" w:rsidR="00550434" w:rsidRPr="0052619D" w:rsidRDefault="00550434" w:rsidP="00FA528F">
      <w:pPr>
        <w:pStyle w:val="SingleTxtG"/>
        <w:numPr>
          <w:ilvl w:val="0"/>
          <w:numId w:val="28"/>
        </w:numPr>
        <w:ind w:left="1134" w:firstLine="0"/>
      </w:pPr>
      <w:r w:rsidRPr="0052619D">
        <w:t xml:space="preserve">Departments report annually on sensitization efforts under the WPRPD Implementation Matrix, and their respective Awareness Raising Campaign Action Plans. </w:t>
      </w:r>
    </w:p>
    <w:p w14:paraId="65BF9B89" w14:textId="1F1A0E5B" w:rsidR="00550434" w:rsidRPr="0052619D" w:rsidRDefault="00550434" w:rsidP="00FA528F">
      <w:pPr>
        <w:pStyle w:val="SingleTxtG"/>
        <w:numPr>
          <w:ilvl w:val="0"/>
          <w:numId w:val="28"/>
        </w:numPr>
        <w:ind w:left="1134" w:firstLine="0"/>
      </w:pPr>
      <w:r w:rsidRPr="0052619D">
        <w:t xml:space="preserve">The South African Police Service (SAPS) has trained over 11,000 officials in disability inclusion and reasonable accommodations, including specialized training on crimes against vulnerable groups. The DOJCD provides annual training on minimum standards for disability accommodations in courts. </w:t>
      </w:r>
    </w:p>
    <w:p w14:paraId="6E3E77A6" w14:textId="718E838C" w:rsidR="00550434" w:rsidRPr="0052619D" w:rsidRDefault="00550434" w:rsidP="00FA528F">
      <w:pPr>
        <w:pStyle w:val="SingleTxtG"/>
        <w:numPr>
          <w:ilvl w:val="0"/>
          <w:numId w:val="28"/>
        </w:numPr>
        <w:ind w:left="1134" w:firstLine="0"/>
      </w:pPr>
      <w:r w:rsidRPr="0052619D">
        <w:t>The National School of Government has introduced disability inclusion courses, with 582 officials completing training to date. Training in disability rights is now a requirement for senior public service positions, reinforcing the principles of non-discrimination and responsiveness.</w:t>
      </w:r>
    </w:p>
    <w:p w14:paraId="0854C92B" w14:textId="3C6B7001" w:rsidR="00550434" w:rsidRPr="0052619D" w:rsidRDefault="00B46C53" w:rsidP="00B46C53">
      <w:pPr>
        <w:pStyle w:val="H23G"/>
      </w:pPr>
      <w:r>
        <w:tab/>
      </w:r>
      <w:r>
        <w:tab/>
      </w:r>
      <w:r w:rsidR="00550434" w:rsidRPr="0052619D">
        <w:t>Reply to 2(a)</w:t>
      </w:r>
    </w:p>
    <w:p w14:paraId="62295660" w14:textId="03F43A0E" w:rsidR="00550434" w:rsidRPr="0052619D" w:rsidRDefault="00550434" w:rsidP="00FA528F">
      <w:pPr>
        <w:pStyle w:val="SingleTxtG"/>
        <w:numPr>
          <w:ilvl w:val="0"/>
          <w:numId w:val="28"/>
        </w:numPr>
        <w:ind w:left="1134" w:firstLine="0"/>
      </w:pPr>
      <w:r w:rsidRPr="0052619D">
        <w:t>The NDRM is established as a consultative platform by government (national, provincial and local), structures and with persons with disabilities to ensure regular, close consultation in the development, monitoring and implementation of laws and policies aligned to Convention.</w:t>
      </w:r>
    </w:p>
    <w:p w14:paraId="3FE1D069" w14:textId="7A607B52" w:rsidR="00550434" w:rsidRPr="0052619D" w:rsidRDefault="00550434" w:rsidP="00FA528F">
      <w:pPr>
        <w:pStyle w:val="SingleTxtG"/>
        <w:numPr>
          <w:ilvl w:val="0"/>
          <w:numId w:val="28"/>
        </w:numPr>
        <w:ind w:left="1134" w:firstLine="0"/>
      </w:pPr>
      <w:r w:rsidRPr="0052619D">
        <w:t>The NDRM outcomes have yet to be formally assessed and will be undertaken by end of each financial year. </w:t>
      </w:r>
    </w:p>
    <w:p w14:paraId="42B9F8C5" w14:textId="2312CD83" w:rsidR="00550434" w:rsidRPr="0052619D" w:rsidRDefault="00B46C53" w:rsidP="00B46C53">
      <w:pPr>
        <w:pStyle w:val="H23G"/>
      </w:pPr>
      <w:r>
        <w:tab/>
      </w:r>
      <w:r>
        <w:tab/>
      </w:r>
      <w:r w:rsidR="00550434" w:rsidRPr="0052619D">
        <w:t xml:space="preserve">Reply to 2 (b) </w:t>
      </w:r>
    </w:p>
    <w:p w14:paraId="7389705C" w14:textId="54BB3387" w:rsidR="00550434" w:rsidRPr="0052619D" w:rsidRDefault="00550434" w:rsidP="00FA528F">
      <w:pPr>
        <w:pStyle w:val="SingleTxtG"/>
        <w:numPr>
          <w:ilvl w:val="0"/>
          <w:numId w:val="28"/>
        </w:numPr>
        <w:ind w:left="1134" w:firstLine="0"/>
      </w:pPr>
      <w:r w:rsidRPr="0052619D">
        <w:t>South Africa’s policy development architecture is premised on consultation and participation.</w:t>
      </w:r>
    </w:p>
    <w:p w14:paraId="7AA86E9B" w14:textId="77777777" w:rsidR="00550434" w:rsidRPr="0052619D" w:rsidRDefault="00550434" w:rsidP="00B46C53">
      <w:pPr>
        <w:pStyle w:val="SingleTxtG"/>
      </w:pPr>
      <w:r w:rsidRPr="0052619D">
        <w:t xml:space="preserve">Mechanisms supporting consultation include the NDRM, the PWGD (discussed above s1((e)). </w:t>
      </w:r>
    </w:p>
    <w:p w14:paraId="11D85DA6" w14:textId="2E72D304" w:rsidR="00550434" w:rsidRPr="0052619D" w:rsidRDefault="00550434" w:rsidP="00FA528F">
      <w:pPr>
        <w:pStyle w:val="SingleTxtG"/>
        <w:numPr>
          <w:ilvl w:val="0"/>
          <w:numId w:val="28"/>
        </w:numPr>
        <w:ind w:left="1134" w:firstLine="0"/>
      </w:pPr>
      <w:r w:rsidRPr="0052619D">
        <w:t xml:space="preserve">Both the PWGD and the NDRM, include the South African Disability Alliance (SADA) and Disabled People South Africa (DPSA), which consist of organisations of and for persons with disabilities. Membership includes more recently formed organisations such as the Equal Citizens of Short Stature. These national mechanisms promote the right of self-representation, participation and the spirit of consultation nationally.  </w:t>
      </w:r>
    </w:p>
    <w:p w14:paraId="30B9B8F9" w14:textId="07719977" w:rsidR="00550434" w:rsidRPr="0052619D" w:rsidRDefault="00550434" w:rsidP="00FA528F">
      <w:pPr>
        <w:pStyle w:val="SingleTxtG"/>
        <w:numPr>
          <w:ilvl w:val="0"/>
          <w:numId w:val="28"/>
        </w:numPr>
        <w:ind w:left="1134" w:firstLine="0"/>
      </w:pPr>
      <w:r w:rsidRPr="0052619D">
        <w:t>SADA and organisations of/and for persons with disabilities are also consulted by various government departments, and at community level including in rural areas. Departments identify local organisations of and for persons with disabilities who must be included in consultations. The representative structures are encouraged to include participation by persons who experience inter-related stigma, discrimination and compounded vulnerabilities. </w:t>
      </w:r>
    </w:p>
    <w:p w14:paraId="12EF698A" w14:textId="2C8B8A2B" w:rsidR="00550434" w:rsidRPr="0052619D" w:rsidRDefault="00550434" w:rsidP="00FA528F">
      <w:pPr>
        <w:pStyle w:val="SingleTxtG"/>
        <w:numPr>
          <w:ilvl w:val="0"/>
          <w:numId w:val="28"/>
        </w:numPr>
        <w:ind w:left="1134" w:firstLine="0"/>
      </w:pPr>
      <w:r w:rsidRPr="0052619D">
        <w:lastRenderedPageBreak/>
        <w:t xml:space="preserve">Disability Forums at provincial and local level strive for inclusivity and diverse participation, which reveals a greater policy shift across government to ensure self-representation. </w:t>
      </w:r>
    </w:p>
    <w:p w14:paraId="5EFB0DEC" w14:textId="20009D7D" w:rsidR="00550434" w:rsidRPr="0052619D" w:rsidRDefault="00550434" w:rsidP="00FA528F">
      <w:pPr>
        <w:pStyle w:val="SingleTxtG"/>
        <w:numPr>
          <w:ilvl w:val="0"/>
          <w:numId w:val="28"/>
        </w:numPr>
        <w:ind w:left="1134" w:firstLine="0"/>
      </w:pPr>
      <w:r w:rsidRPr="0052619D">
        <w:t>Person</w:t>
      </w:r>
      <w:r>
        <w:t>s</w:t>
      </w:r>
      <w:r w:rsidRPr="0052619D">
        <w:t xml:space="preserve"> with Disability Parliaments have also been held, which together with Intergovernmental Development Planning (IDPs) provide opportunities for persons with disabilities from all local areas to actively participate. </w:t>
      </w:r>
    </w:p>
    <w:p w14:paraId="6051FAD6" w14:textId="6B4AFA6C" w:rsidR="00550434" w:rsidRPr="0052619D" w:rsidRDefault="00550434" w:rsidP="00FA528F">
      <w:pPr>
        <w:pStyle w:val="SingleTxtG"/>
        <w:numPr>
          <w:ilvl w:val="0"/>
          <w:numId w:val="28"/>
        </w:numPr>
        <w:ind w:left="1134" w:firstLine="0"/>
      </w:pPr>
      <w:r w:rsidRPr="0052619D">
        <w:t>Selected examples from key service departments measures include:</w:t>
      </w:r>
    </w:p>
    <w:p w14:paraId="5522A250" w14:textId="77777777" w:rsidR="00550434" w:rsidRPr="0052619D" w:rsidRDefault="00550434" w:rsidP="00FA528F">
      <w:pPr>
        <w:pStyle w:val="SingleTxtG"/>
        <w:numPr>
          <w:ilvl w:val="0"/>
          <w:numId w:val="20"/>
        </w:numPr>
        <w:ind w:left="1134" w:firstLine="567"/>
      </w:pPr>
      <w:r w:rsidRPr="0052619D">
        <w:t>The Department of Home Affairs (DHA) engages with non-governmental organisations (NGOs), and through its Disability Rights Forums for employees throughout the country with the specific focus on the right to liberty of movement and nationality as per article 18 of the CRPD, and the right pertaining to respect for home and family as per article 23 in so far as marriage, and consent is involved.</w:t>
      </w:r>
    </w:p>
    <w:p w14:paraId="2CB9B240" w14:textId="77777777" w:rsidR="00550434" w:rsidRPr="0052619D" w:rsidRDefault="00550434" w:rsidP="00FA528F">
      <w:pPr>
        <w:pStyle w:val="SingleTxtG"/>
        <w:numPr>
          <w:ilvl w:val="0"/>
          <w:numId w:val="20"/>
        </w:numPr>
        <w:ind w:left="1134" w:firstLine="567"/>
      </w:pPr>
      <w:r w:rsidRPr="0052619D">
        <w:t>The SAPS partners with organisations such as Deaf Federation of South Africa which support the provision of sign language interpretation services to deaf victims and alleged offenders including in remote and rural communities.  The SAPS also supports programmes of the National Council and for Persons with Disability with fundraising initiatives. In addition, the SAPS Disability Task Teams (TT) and Employment Equity Consultative Forum are mechanisms at national and provincial levels which include persons with disabilities to identify issues, trends and serve as a platform to monitor progress of disability programmes.</w:t>
      </w:r>
    </w:p>
    <w:p w14:paraId="6AF81D42" w14:textId="77777777" w:rsidR="00550434" w:rsidRPr="0052619D" w:rsidRDefault="00550434" w:rsidP="00FA528F">
      <w:pPr>
        <w:pStyle w:val="SingleTxtG"/>
        <w:numPr>
          <w:ilvl w:val="0"/>
          <w:numId w:val="20"/>
        </w:numPr>
        <w:ind w:left="1134" w:firstLine="567"/>
      </w:pPr>
      <w:r w:rsidRPr="0052619D">
        <w:t>National Prosecuting Authority (NPA) Sexual Offences and Community Affairs (SOCA) Unit through the Thuthuzela Care Centre Model (TCCs) collaborates with civil society organisations including those working with deaf, blind, and other vulnerable people to provide trauma containment support to victims of GBV.  The NPA collaborates with organisations such as Blind SA and Deaf SA, to develop materials such as brochures for both written and verbal communication on TCC services.  The NPA also works with the deaf community in the training of staff. The SOCA Unit also undertakes outreach interventions across the country.</w:t>
      </w:r>
    </w:p>
    <w:p w14:paraId="4B876F47" w14:textId="77777777" w:rsidR="00550434" w:rsidRPr="0052619D" w:rsidRDefault="00550434" w:rsidP="00FA528F">
      <w:pPr>
        <w:pStyle w:val="SingleTxtG"/>
        <w:numPr>
          <w:ilvl w:val="0"/>
          <w:numId w:val="20"/>
        </w:numPr>
        <w:ind w:left="1134" w:firstLine="567"/>
      </w:pPr>
      <w:r w:rsidRPr="0052619D">
        <w:t xml:space="preserve">The Pan South African Language Board (PanSALB) hosts regular stakeholder engagements with the SASL National Language Body to consult and receive advice on matters relating to SASL and the deaf community.  The National Language Body membership comprises of various organisations working with the deaf community, including women and persons with albinism.  </w:t>
      </w:r>
    </w:p>
    <w:p w14:paraId="09CCB0CE" w14:textId="79BA6F2A" w:rsidR="00550434" w:rsidRPr="0052619D" w:rsidRDefault="00B46C53" w:rsidP="00B46C53">
      <w:pPr>
        <w:pStyle w:val="HChG"/>
      </w:pPr>
      <w:r>
        <w:tab/>
      </w:r>
      <w:r w:rsidR="00550434" w:rsidRPr="0052619D">
        <w:t>B.</w:t>
      </w:r>
      <w:r>
        <w:tab/>
      </w:r>
      <w:r w:rsidR="00550434" w:rsidRPr="0052619D">
        <w:t>Specific rights (arts. 5–30)</w:t>
      </w:r>
    </w:p>
    <w:p w14:paraId="0CA77D12" w14:textId="5DFEE259" w:rsidR="00550434" w:rsidRPr="0052619D" w:rsidRDefault="00B46C53" w:rsidP="00B46C53">
      <w:pPr>
        <w:pStyle w:val="H1G"/>
      </w:pPr>
      <w:bookmarkStart w:id="1" w:name="_Hlk191539081"/>
      <w:r>
        <w:tab/>
      </w:r>
      <w:r>
        <w:tab/>
      </w:r>
      <w:r w:rsidR="00550434" w:rsidRPr="0052619D">
        <w:t>Equality and non-discrimination (art. 5)</w:t>
      </w:r>
    </w:p>
    <w:p w14:paraId="12FDF958" w14:textId="12A7A872" w:rsidR="00550434" w:rsidRPr="0052619D" w:rsidRDefault="00B46C53" w:rsidP="00B46C53">
      <w:pPr>
        <w:pStyle w:val="H23G"/>
      </w:pPr>
      <w:r>
        <w:tab/>
      </w:r>
      <w:r>
        <w:tab/>
      </w:r>
      <w:r w:rsidR="00550434" w:rsidRPr="0052619D">
        <w:t xml:space="preserve">Reply to 3(a) </w:t>
      </w:r>
    </w:p>
    <w:p w14:paraId="7C88FE2D" w14:textId="22688D35" w:rsidR="00550434" w:rsidRPr="0052619D" w:rsidRDefault="00550434" w:rsidP="00FA528F">
      <w:pPr>
        <w:pStyle w:val="SingleTxtG"/>
        <w:numPr>
          <w:ilvl w:val="0"/>
          <w:numId w:val="28"/>
        </w:numPr>
        <w:ind w:left="1134" w:firstLine="0"/>
      </w:pPr>
      <w:r w:rsidRPr="0052619D">
        <w:t xml:space="preserve">The Constitution of South Africa, the PEPUDA and the Prevention and Combating of Hate Crimes and Hate Speech Act (2023), guarantee substantive equality and prohibit unfair discrimination, including on the grounds of disability. </w:t>
      </w:r>
    </w:p>
    <w:p w14:paraId="4DF3373F" w14:textId="31D82D45" w:rsidR="00550434" w:rsidRPr="0052619D" w:rsidRDefault="00550434" w:rsidP="00FA528F">
      <w:pPr>
        <w:pStyle w:val="SingleTxtG"/>
        <w:numPr>
          <w:ilvl w:val="0"/>
          <w:numId w:val="28"/>
        </w:numPr>
        <w:ind w:left="1134" w:firstLine="0"/>
      </w:pPr>
      <w:r w:rsidRPr="0052619D">
        <w:t xml:space="preserve">PEPUDA designates Magistrates Courts as Equality Courts, which have simplified procedures to enhance access to justice for cases involving unfair discrimination, hate speech, and harassment. Intermediaries are provided to support witnesses with physical, psychological, or emotional conditions, including older persons. </w:t>
      </w:r>
    </w:p>
    <w:p w14:paraId="0DC062E4" w14:textId="7F93BC3D" w:rsidR="00550434" w:rsidRPr="0052619D" w:rsidRDefault="002A11A9" w:rsidP="002A11A9">
      <w:pPr>
        <w:pStyle w:val="H23G"/>
      </w:pPr>
      <w:r>
        <w:tab/>
      </w:r>
      <w:r>
        <w:tab/>
      </w:r>
      <w:r w:rsidR="00550434" w:rsidRPr="0052619D">
        <w:t xml:space="preserve">Reply to 3 (b) </w:t>
      </w:r>
    </w:p>
    <w:p w14:paraId="657F5738" w14:textId="5C6EE42C" w:rsidR="00550434" w:rsidRPr="0052619D" w:rsidRDefault="00550434" w:rsidP="00FA528F">
      <w:pPr>
        <w:pStyle w:val="SingleTxtG"/>
        <w:numPr>
          <w:ilvl w:val="0"/>
          <w:numId w:val="28"/>
        </w:numPr>
        <w:ind w:left="1134" w:firstLine="0"/>
      </w:pPr>
      <w:r w:rsidRPr="0052619D">
        <w:t>Reasonable accommodation is a permanent agenda item in national machinery meetings, with continuous training and awareness campaigns conducted across government.</w:t>
      </w:r>
    </w:p>
    <w:p w14:paraId="36BCCBAB" w14:textId="007CA2F9" w:rsidR="00550434" w:rsidRPr="0052619D" w:rsidRDefault="00550434" w:rsidP="00FA528F">
      <w:pPr>
        <w:pStyle w:val="SingleTxtG"/>
        <w:numPr>
          <w:ilvl w:val="0"/>
          <w:numId w:val="28"/>
        </w:numPr>
        <w:ind w:left="1134" w:firstLine="0"/>
      </w:pPr>
      <w:r w:rsidRPr="0052619D">
        <w:t xml:space="preserve">Complaints procedures are made available to service beneficiaries, and affected persons can pursue discrimination complaints through courts or the Commission for </w:t>
      </w:r>
      <w:r w:rsidRPr="0052619D">
        <w:lastRenderedPageBreak/>
        <w:t>Conciliation, Mediation, and Arbitration (CCMA) in respect of disability related discrimination in the workplace.</w:t>
      </w:r>
    </w:p>
    <w:p w14:paraId="7EE2EB0B" w14:textId="1E182822" w:rsidR="00550434" w:rsidRPr="0052619D" w:rsidRDefault="00550434" w:rsidP="00FA528F">
      <w:pPr>
        <w:pStyle w:val="SingleTxtG"/>
        <w:numPr>
          <w:ilvl w:val="0"/>
          <w:numId w:val="28"/>
        </w:numPr>
        <w:ind w:left="1134" w:firstLine="0"/>
      </w:pPr>
      <w:r w:rsidRPr="0052619D">
        <w:rPr>
          <w:color w:val="000000" w:themeColor="text1"/>
        </w:rPr>
        <w:t>While Chapter 5 of PEPUDA is not fully operationalized, g</w:t>
      </w:r>
      <w:r w:rsidRPr="0052619D">
        <w:t>overnment has taken several actions to realise the provisions in Chapter 5 while awaiting the operationalisation processes, which include designation of magistrate’s courts as equality courts. It should be noted that PEPUDA requires proactive measures to be taken to remove barriers to equality (s9 and s14). Further sections 14 and section 24 address reasonable accommodation, establishing the test for unfair discrimination and the power of the courts to grant appropriate relief respectively.</w:t>
      </w:r>
    </w:p>
    <w:p w14:paraId="1A88D246" w14:textId="234879E7" w:rsidR="00550434" w:rsidRPr="0052619D" w:rsidRDefault="00550434" w:rsidP="00FA528F">
      <w:pPr>
        <w:pStyle w:val="SingleTxtG"/>
        <w:numPr>
          <w:ilvl w:val="0"/>
          <w:numId w:val="28"/>
        </w:numPr>
        <w:ind w:left="1134" w:firstLine="0"/>
      </w:pPr>
      <w:r w:rsidRPr="0052619D">
        <w:t>Public education campaigns, in collaboration with constitutional bodies, raise awareness of equality and reasonable accommodation rights. Complementary laws, such as the Employment Equity Act (EEA) and Basic Conditions of Employment Act (BCEA), reinforce PEPUDA’s principles by mandating reasonable accommodation in workplaces and public services.</w:t>
      </w:r>
    </w:p>
    <w:p w14:paraId="694A126D" w14:textId="2D314E3A" w:rsidR="00550434" w:rsidRPr="0052619D" w:rsidRDefault="00550434" w:rsidP="00FA528F">
      <w:pPr>
        <w:pStyle w:val="SingleTxtG"/>
        <w:numPr>
          <w:ilvl w:val="0"/>
          <w:numId w:val="28"/>
        </w:numPr>
        <w:ind w:left="1134" w:firstLine="0"/>
      </w:pPr>
      <w:r w:rsidRPr="0052619D">
        <w:t>The government has developed guidelines, including the Code of Good Practice on the Employment of People with Disabilities and the Policy on Reasonable Accommodation and Assistive Devices (PRAAD), which is under review to strengthen implementation. The Technical Assistance Guidelines on the Employment of People with Disabilities (2022) and the National Strategic Framework on Reasonable Accommodation for Persons with Disabilities (2022) provide practical examples, and address legislative processes, budgeting, and capacity building.</w:t>
      </w:r>
    </w:p>
    <w:p w14:paraId="161A81B6" w14:textId="27D70CBB" w:rsidR="00550434" w:rsidRPr="0052619D" w:rsidRDefault="00550434" w:rsidP="00FA528F">
      <w:pPr>
        <w:pStyle w:val="SingleTxtG"/>
        <w:numPr>
          <w:ilvl w:val="0"/>
          <w:numId w:val="28"/>
        </w:numPr>
        <w:ind w:left="1134" w:firstLine="0"/>
      </w:pPr>
      <w:r w:rsidRPr="0052619D">
        <w:t>Sector-specific measures, such as the Department of Correctional Services (DCS) Policy and Procedures on Offenders with Disabilities (2022), ensure access to assistive devices and interpreters. Awareness programmes, including Disability Rights Awareness Month and ‘365 days’ campaigns, promote reasonable accommodation to public officials and the private sector.</w:t>
      </w:r>
    </w:p>
    <w:p w14:paraId="130FF25E" w14:textId="0C2513CA" w:rsidR="00550434" w:rsidRPr="0052619D" w:rsidRDefault="002A11A9" w:rsidP="002A11A9">
      <w:pPr>
        <w:pStyle w:val="H23G"/>
      </w:pPr>
      <w:r>
        <w:tab/>
      </w:r>
      <w:r>
        <w:tab/>
      </w:r>
      <w:r w:rsidR="00550434" w:rsidRPr="0052619D">
        <w:t xml:space="preserve">Reply to 3(c) </w:t>
      </w:r>
    </w:p>
    <w:p w14:paraId="3A3523AB" w14:textId="32E5E73E" w:rsidR="00550434" w:rsidRPr="0052619D" w:rsidRDefault="00550434" w:rsidP="00FA528F">
      <w:pPr>
        <w:pStyle w:val="SingleTxtG"/>
        <w:numPr>
          <w:ilvl w:val="0"/>
          <w:numId w:val="28"/>
        </w:numPr>
        <w:ind w:left="1134" w:firstLine="0"/>
      </w:pPr>
      <w:r w:rsidRPr="0052619D">
        <w:t>Government departments have internal complaints mechanisms with escalation and appeal measures. Complainants may approach the courts or independent constitutional bodies, such as the South African Human Rights Commission (SAHRC), Commission for Gender Equality (CGE), and the Office of the Public Protector, for redress.</w:t>
      </w:r>
    </w:p>
    <w:p w14:paraId="365B6573" w14:textId="4447BC88" w:rsidR="00550434" w:rsidRPr="0052619D" w:rsidRDefault="00550434" w:rsidP="00FA528F">
      <w:pPr>
        <w:pStyle w:val="SingleTxtG"/>
        <w:numPr>
          <w:ilvl w:val="0"/>
          <w:numId w:val="28"/>
        </w:numPr>
        <w:ind w:left="1134" w:firstLine="0"/>
      </w:pPr>
      <w:r w:rsidRPr="0052619D">
        <w:t>Sector-specific measures, such as improved complaints management in health facilities and mandatory reporting under the MHCA ensure accountability and redress.</w:t>
      </w:r>
    </w:p>
    <w:p w14:paraId="6DE5542E" w14:textId="0AE528A3" w:rsidR="00550434" w:rsidRPr="0052619D" w:rsidRDefault="002A11A9" w:rsidP="002A11A9">
      <w:pPr>
        <w:pStyle w:val="H23G"/>
      </w:pPr>
      <w:r>
        <w:tab/>
      </w:r>
      <w:r>
        <w:tab/>
      </w:r>
      <w:r w:rsidR="00550434" w:rsidRPr="0052619D">
        <w:t xml:space="preserve">Reply to 3(d) </w:t>
      </w:r>
    </w:p>
    <w:p w14:paraId="28BF317B" w14:textId="0C780E33" w:rsidR="00550434" w:rsidRPr="0052619D" w:rsidRDefault="00550434" w:rsidP="00FA528F">
      <w:pPr>
        <w:pStyle w:val="SingleTxtG"/>
        <w:numPr>
          <w:ilvl w:val="0"/>
          <w:numId w:val="28"/>
        </w:numPr>
        <w:ind w:left="1134" w:firstLine="0"/>
      </w:pPr>
      <w:r w:rsidRPr="0052619D">
        <w:t xml:space="preserve">Government is developing an enhanced system, in collaboration with the State Information Technology Agency (SITA), to centralise and streamline data collection on complaints. This initiative aims to address fragmented approaches and improve disaggregation of data by disability type. </w:t>
      </w:r>
    </w:p>
    <w:p w14:paraId="4D113784" w14:textId="04512207" w:rsidR="00550434" w:rsidRDefault="00550434" w:rsidP="00FA528F">
      <w:pPr>
        <w:pStyle w:val="SingleTxtG"/>
        <w:numPr>
          <w:ilvl w:val="0"/>
          <w:numId w:val="28"/>
        </w:numPr>
        <w:ind w:left="1134" w:firstLine="0"/>
      </w:pPr>
    </w:p>
    <w:p w14:paraId="4923EEB3" w14:textId="5AD46C3F" w:rsidR="002A11A9" w:rsidRPr="0048511E" w:rsidRDefault="00550434" w:rsidP="00FA528F">
      <w:pPr>
        <w:pStyle w:val="SingleTxtG"/>
        <w:numPr>
          <w:ilvl w:val="0"/>
          <w:numId w:val="21"/>
        </w:numPr>
        <w:ind w:left="1134" w:firstLine="567"/>
      </w:pPr>
      <w:r w:rsidRPr="0048511E">
        <w:t xml:space="preserve">The SAHRC reported 215 equality complaints related to disability discrimination between 2018 and 2023.    </w:t>
      </w:r>
    </w:p>
    <w:p w14:paraId="288BACC1" w14:textId="455D1CA4" w:rsidR="00550434" w:rsidRPr="0048511E" w:rsidRDefault="00550434" w:rsidP="00FA528F">
      <w:pPr>
        <w:pStyle w:val="SingleTxtG"/>
        <w:numPr>
          <w:ilvl w:val="0"/>
          <w:numId w:val="21"/>
        </w:numPr>
        <w:ind w:left="1134" w:firstLine="567"/>
      </w:pPr>
      <w:r w:rsidRPr="0048511E">
        <w:t>Efforts are underway to improve data extraction in systems such as the SAPS Complaints Nodal Point System and the Justice System Call Centre, enabling better monitoring and reform.</w:t>
      </w:r>
    </w:p>
    <w:p w14:paraId="116F2DE0" w14:textId="2020A123" w:rsidR="00550434" w:rsidRPr="0048511E" w:rsidRDefault="00550434" w:rsidP="00FA528F">
      <w:pPr>
        <w:pStyle w:val="SingleTxtG"/>
        <w:numPr>
          <w:ilvl w:val="0"/>
          <w:numId w:val="21"/>
        </w:numPr>
        <w:ind w:left="1134" w:firstLine="567"/>
      </w:pPr>
      <w:r w:rsidRPr="0048511E">
        <w:t>The DoH has undertaken to adjust its complaints management software to record disaggregated data.</w:t>
      </w:r>
    </w:p>
    <w:p w14:paraId="31359EC1" w14:textId="77777777" w:rsidR="00550434" w:rsidRPr="0052619D" w:rsidRDefault="00550434" w:rsidP="0048511E">
      <w:pPr>
        <w:pStyle w:val="SingleTxtG"/>
      </w:pPr>
      <w:r w:rsidRPr="0048511E">
        <w:t>Further</w:t>
      </w:r>
      <w:r w:rsidRPr="0052619D">
        <w:t xml:space="preserve"> information of sector specific complaints and redress measures available are provided in Annexure 1, hereto. </w:t>
      </w:r>
    </w:p>
    <w:bookmarkEnd w:id="1"/>
    <w:p w14:paraId="47D3BBE1" w14:textId="0DBB9C12" w:rsidR="00550434" w:rsidRPr="0052619D" w:rsidRDefault="00706993" w:rsidP="00706993">
      <w:pPr>
        <w:pStyle w:val="H1G"/>
      </w:pPr>
      <w:r>
        <w:lastRenderedPageBreak/>
        <w:tab/>
      </w:r>
      <w:r>
        <w:tab/>
        <w:t>Article</w:t>
      </w:r>
      <w:r w:rsidR="00550434" w:rsidRPr="0052619D">
        <w:t>. 6</w:t>
      </w:r>
      <w:r>
        <w:br/>
      </w:r>
      <w:r w:rsidRPr="0052619D">
        <w:t>Women with disabilities</w:t>
      </w:r>
    </w:p>
    <w:p w14:paraId="20DB92DD" w14:textId="1301759A" w:rsidR="00550434" w:rsidRPr="0052619D" w:rsidRDefault="00CA7539" w:rsidP="00CA7539">
      <w:pPr>
        <w:pStyle w:val="H23G"/>
      </w:pPr>
      <w:bookmarkStart w:id="2" w:name="_heading=h.3o7alnk" w:colFirst="0" w:colLast="0"/>
      <w:bookmarkEnd w:id="2"/>
      <w:r>
        <w:tab/>
      </w:r>
      <w:r>
        <w:tab/>
      </w:r>
      <w:r w:rsidR="00550434" w:rsidRPr="0052619D">
        <w:t xml:space="preserve">Reply to 4 (a) </w:t>
      </w:r>
    </w:p>
    <w:p w14:paraId="1DA2B267" w14:textId="34CAC1AA" w:rsidR="00550434" w:rsidRPr="0052619D" w:rsidRDefault="00550434" w:rsidP="00FA528F">
      <w:pPr>
        <w:pStyle w:val="SingleTxtG"/>
        <w:numPr>
          <w:ilvl w:val="0"/>
          <w:numId w:val="28"/>
        </w:numPr>
        <w:ind w:left="1134" w:firstLine="0"/>
      </w:pPr>
      <w:r w:rsidRPr="0052619D">
        <w:t xml:space="preserve">The National Strategic Plan on Gender-Based Violence and Femicide (NSP), adopted in 2020, includes specific interventions for women and girls with disabilities, such as ensuring accessibility of tools and materials, addressing barriers, and developing a disability index. </w:t>
      </w:r>
    </w:p>
    <w:p w14:paraId="5211198F" w14:textId="6F705A41" w:rsidR="00550434" w:rsidRPr="0052619D" w:rsidRDefault="00550434" w:rsidP="00FA528F">
      <w:pPr>
        <w:pStyle w:val="SingleTxtG"/>
        <w:numPr>
          <w:ilvl w:val="0"/>
          <w:numId w:val="28"/>
        </w:numPr>
        <w:ind w:left="1134" w:firstLine="0"/>
      </w:pPr>
      <w:r w:rsidRPr="0052619D">
        <w:t>The Comprehensive National Gender-Based Violence and Femicide Prevention Strategy integrates a focus on women and girls with disabilities, while the National Council on Gender-Based Violence and Femicide Act, 2024 provides for accessible support services, shelters, and courts, including sign language interpreters and universal design. The Act also mandates disaggregated data collection to monitor GBVF’s impact on women and girls with disabilities.</w:t>
      </w:r>
    </w:p>
    <w:p w14:paraId="4665FC63" w14:textId="05AD2680" w:rsidR="00550434" w:rsidRPr="0052619D" w:rsidRDefault="00550434" w:rsidP="00FA528F">
      <w:pPr>
        <w:pStyle w:val="SingleTxtG"/>
        <w:numPr>
          <w:ilvl w:val="0"/>
          <w:numId w:val="28"/>
        </w:numPr>
        <w:ind w:left="1134" w:firstLine="0"/>
      </w:pPr>
      <w:r w:rsidRPr="0052619D">
        <w:t xml:space="preserve">Government has committed to gender equality by allocating 40% of public procurement to women-owned businesses and increasing Employment Equity targets for persons with disabilities to 7% by 2030. </w:t>
      </w:r>
    </w:p>
    <w:p w14:paraId="2495680C" w14:textId="62F6F43D" w:rsidR="00550434" w:rsidRPr="0052619D" w:rsidRDefault="00550434" w:rsidP="00FA528F">
      <w:pPr>
        <w:pStyle w:val="SingleTxtG"/>
        <w:numPr>
          <w:ilvl w:val="0"/>
          <w:numId w:val="28"/>
        </w:numPr>
        <w:ind w:left="1134" w:firstLine="0"/>
        <w:rPr>
          <w:color w:val="000000" w:themeColor="text1"/>
        </w:rPr>
      </w:pPr>
      <w:r w:rsidRPr="0052619D">
        <w:t xml:space="preserve">The DWYPD leads socio-economic transformation through initiatives like the Women’s Economic Assembly (WECONA) and the Cooperative Financial Institution programme ensures equitable opportunities for women, youth, and people with disabilities through financial literacy, business support, and entrepreneurship programmes. </w:t>
      </w:r>
    </w:p>
    <w:p w14:paraId="35D4A93E" w14:textId="43D9D8A9" w:rsidR="00550434" w:rsidRPr="0052619D" w:rsidRDefault="00550434" w:rsidP="00FA528F">
      <w:pPr>
        <w:pStyle w:val="SingleTxtG"/>
        <w:numPr>
          <w:ilvl w:val="0"/>
          <w:numId w:val="28"/>
        </w:numPr>
        <w:ind w:left="1134" w:firstLine="0"/>
      </w:pPr>
      <w:r w:rsidRPr="0052619D">
        <w:t>Key monitoring and research interventions by the DWYPD include the review of:</w:t>
      </w:r>
    </w:p>
    <w:p w14:paraId="3A6D7D86" w14:textId="4DDE9B8D" w:rsidR="00550434" w:rsidRPr="0048511E" w:rsidRDefault="00550434" w:rsidP="00FA528F">
      <w:pPr>
        <w:pStyle w:val="SingleTxtG"/>
        <w:numPr>
          <w:ilvl w:val="0"/>
          <w:numId w:val="22"/>
        </w:numPr>
        <w:ind w:left="1134" w:firstLine="567"/>
      </w:pPr>
      <w:r w:rsidRPr="0048511E">
        <w:t>Annual Performance Plans (APPs) for disability inclusivity, key government plans and policies including the Medium-Term Budget Policy and Strategic Framework</w:t>
      </w:r>
    </w:p>
    <w:p w14:paraId="15755AE5" w14:textId="3648D5BA" w:rsidR="00550434" w:rsidRPr="0048511E" w:rsidRDefault="00550434" w:rsidP="00FA528F">
      <w:pPr>
        <w:pStyle w:val="SingleTxtG"/>
        <w:numPr>
          <w:ilvl w:val="0"/>
          <w:numId w:val="22"/>
        </w:numPr>
        <w:ind w:left="1134" w:firstLine="567"/>
      </w:pPr>
      <w:r w:rsidRPr="0048511E">
        <w:t xml:space="preserve">review and evaluation of the WPRPD, </w:t>
      </w:r>
    </w:p>
    <w:p w14:paraId="522CB52B" w14:textId="517DE5EC" w:rsidR="00550434" w:rsidRPr="0048511E" w:rsidRDefault="00550434" w:rsidP="00FA528F">
      <w:pPr>
        <w:pStyle w:val="SingleTxtG"/>
        <w:numPr>
          <w:ilvl w:val="0"/>
          <w:numId w:val="22"/>
        </w:numPr>
        <w:ind w:left="1134" w:firstLine="567"/>
      </w:pPr>
      <w:r w:rsidRPr="0048511E">
        <w:t xml:space="preserve">the 30-year post democracy report on progress, </w:t>
      </w:r>
    </w:p>
    <w:p w14:paraId="182F1262" w14:textId="74FE6557" w:rsidR="00550434" w:rsidRPr="0048511E" w:rsidRDefault="00550434" w:rsidP="00FA528F">
      <w:pPr>
        <w:pStyle w:val="SingleTxtG"/>
        <w:numPr>
          <w:ilvl w:val="0"/>
          <w:numId w:val="22"/>
        </w:numPr>
        <w:ind w:left="1134" w:firstLine="567"/>
      </w:pPr>
      <w:r w:rsidRPr="0048511E">
        <w:t>implementation of the Gender Responsive Planning, Budgeting, Monitoring, Evaluation, and Auditing       Framework (GRPBMEAF).</w:t>
      </w:r>
    </w:p>
    <w:p w14:paraId="60E0F252" w14:textId="0FD4BE6F" w:rsidR="00550434" w:rsidRPr="0048511E" w:rsidRDefault="00550434" w:rsidP="00FA528F">
      <w:pPr>
        <w:pStyle w:val="SingleTxtG"/>
        <w:numPr>
          <w:ilvl w:val="0"/>
          <w:numId w:val="22"/>
        </w:numPr>
        <w:ind w:left="1134" w:firstLine="567"/>
      </w:pPr>
      <w:r w:rsidRPr="0048511E">
        <w:t>The DWYPD also conducts research on climate change impacts, education access, and public procurement for persons with disabilities</w:t>
      </w:r>
    </w:p>
    <w:p w14:paraId="30BD20E3" w14:textId="6542627C" w:rsidR="00550434" w:rsidRPr="0052619D" w:rsidRDefault="00550434" w:rsidP="00FA528F">
      <w:pPr>
        <w:pStyle w:val="SingleTxtG"/>
        <w:numPr>
          <w:ilvl w:val="0"/>
          <w:numId w:val="22"/>
        </w:numPr>
        <w:ind w:left="1134" w:firstLine="567"/>
      </w:pPr>
      <w:r w:rsidRPr="0052619D">
        <w:t>More recently 52 </w:t>
      </w:r>
      <w:r w:rsidRPr="0052619D">
        <w:rPr>
          <w:rFonts w:eastAsiaTheme="majorEastAsia"/>
        </w:rPr>
        <w:t>District Development Model (DDM) One Plans (2022-2027),</w:t>
      </w:r>
      <w:r w:rsidRPr="0052619D">
        <w:t> and 205 </w:t>
      </w:r>
      <w:r w:rsidRPr="0052619D">
        <w:rPr>
          <w:rFonts w:eastAsiaTheme="majorEastAsia"/>
        </w:rPr>
        <w:t>Integrated Development Plans (IDPs) (2022-2027)</w:t>
      </w:r>
      <w:r w:rsidRPr="0052619D">
        <w:t xml:space="preserve"> were evaluated for alignment with national priorities in respect of persons with disabilities. Progress is evident at the local level in respect of </w:t>
      </w:r>
      <w:r w:rsidRPr="0052619D">
        <w:rPr>
          <w:rFonts w:eastAsiaTheme="majorEastAsia"/>
        </w:rPr>
        <w:t>strategic alignment, economic empowerment, integrated service delivery, and governance structures.</w:t>
      </w:r>
      <w:r w:rsidRPr="0052619D">
        <w:t> Following recommendations from the DYWPD, the local plans are to be strengthened further for clear alignment with priorities through clear local policy, governance, and monitoring and evaluation indicators to promote integration of services, consultation, participation, development, accountability, and inclusion.</w:t>
      </w:r>
    </w:p>
    <w:p w14:paraId="32236B30" w14:textId="70BFF9DA" w:rsidR="00550434" w:rsidRPr="0052619D" w:rsidRDefault="00CA7539" w:rsidP="00CA7539">
      <w:pPr>
        <w:pStyle w:val="H23G"/>
      </w:pPr>
      <w:r>
        <w:tab/>
      </w:r>
      <w:r>
        <w:tab/>
      </w:r>
      <w:r w:rsidR="00550434" w:rsidRPr="0052619D">
        <w:t xml:space="preserve">Reply to 4(b) </w:t>
      </w:r>
    </w:p>
    <w:p w14:paraId="3F406BF9" w14:textId="5B10F62D" w:rsidR="00550434" w:rsidRPr="0052619D" w:rsidRDefault="00550434" w:rsidP="00FA528F">
      <w:pPr>
        <w:pStyle w:val="SingleTxtG"/>
        <w:numPr>
          <w:ilvl w:val="0"/>
          <w:numId w:val="28"/>
        </w:numPr>
        <w:ind w:left="1134" w:firstLine="0"/>
      </w:pPr>
      <w:r w:rsidRPr="0052619D">
        <w:t xml:space="preserve">Pillar 5 of the WPRPD focuses on reducing economic vulnerability for persons with disabilities, with specific targets for procurement and economic opportunities for Small Micro Medium Enterprises (SMMEs) owned by persons with disabilities. </w:t>
      </w:r>
    </w:p>
    <w:p w14:paraId="79D614A9" w14:textId="3E679940" w:rsidR="00550434" w:rsidRPr="0052619D" w:rsidRDefault="00550434" w:rsidP="00FA528F">
      <w:pPr>
        <w:pStyle w:val="SingleTxtG"/>
        <w:numPr>
          <w:ilvl w:val="0"/>
          <w:numId w:val="28"/>
        </w:numPr>
        <w:ind w:left="1134" w:firstLine="0"/>
      </w:pPr>
      <w:r w:rsidRPr="0052619D">
        <w:t>Legislative measures, such as the Preferential Procurement Policy Framework Act (2000) and the Public Procurement Act (2024), support economic inclusion. Government recruitment strategies encourage applications from women and persons with disabilities, with 7% of procurement spend benefiting businesses owned by persons with disabilities.</w:t>
      </w:r>
    </w:p>
    <w:p w14:paraId="49ABE0CB" w14:textId="78736306" w:rsidR="00550434" w:rsidRPr="0052619D" w:rsidRDefault="00550434" w:rsidP="00FA528F">
      <w:pPr>
        <w:pStyle w:val="SingleTxtG"/>
        <w:numPr>
          <w:ilvl w:val="0"/>
          <w:numId w:val="28"/>
        </w:numPr>
        <w:ind w:left="1134" w:firstLine="0"/>
      </w:pPr>
      <w:r w:rsidRPr="0052619D">
        <w:t>The Sector Education Training Authorities (SETAs) provide training and employment opportunities, while the    Presidential Employment Stimulus Programme has created over 1 million job opportunities since 2020. The    National Pathway Management Network supports over 3 million young people, with 60% of placements awarded to young women.</w:t>
      </w:r>
    </w:p>
    <w:p w14:paraId="45887957" w14:textId="550355C0" w:rsidR="00550434" w:rsidRPr="0052619D" w:rsidRDefault="00550434" w:rsidP="00FA528F">
      <w:pPr>
        <w:pStyle w:val="SingleTxtG"/>
        <w:numPr>
          <w:ilvl w:val="0"/>
          <w:numId w:val="28"/>
        </w:numPr>
        <w:ind w:left="1134" w:firstLine="0"/>
      </w:pPr>
      <w:r w:rsidRPr="0052619D">
        <w:lastRenderedPageBreak/>
        <w:t xml:space="preserve">Awareness programmes combat discrimination through collaborations with international agencies, NGOs, and academic institutions. Dedicated constitutional bodies, such as the SAHRC and CGE, run anti-discrimination and social cohesion programmes. </w:t>
      </w:r>
    </w:p>
    <w:p w14:paraId="6D096FB2" w14:textId="4A7944A2" w:rsidR="00550434" w:rsidRPr="0052619D" w:rsidRDefault="00550434" w:rsidP="00FA528F">
      <w:pPr>
        <w:pStyle w:val="SingleTxtG"/>
        <w:numPr>
          <w:ilvl w:val="0"/>
          <w:numId w:val="28"/>
        </w:numPr>
        <w:ind w:left="1134" w:firstLine="0"/>
      </w:pPr>
      <w:r w:rsidRPr="0052619D">
        <w:t xml:space="preserve">Activities such as participation in the Presidential DDM </w:t>
      </w:r>
      <w:r w:rsidRPr="0052619D">
        <w:rPr>
          <w:i/>
          <w:iCs/>
        </w:rPr>
        <w:t xml:space="preserve">Imbizo </w:t>
      </w:r>
      <w:r w:rsidRPr="0052619D">
        <w:t xml:space="preserve">in May 2023 – which focussed on the socioeconomic empowerment of WYPD; engagement with key oversight structures such as the multi-party women’s caucus in national parliament on the rights of women and girls with disabilities; </w:t>
      </w:r>
      <w:r w:rsidRPr="0052619D">
        <w:rPr>
          <w:color w:val="000000" w:themeColor="text1"/>
        </w:rPr>
        <w:t xml:space="preserve">training to judicial and law enforcement officials, ensure that cases and matters involving persons with disabilities are accorded respect. </w:t>
      </w:r>
    </w:p>
    <w:p w14:paraId="3BE8CDF5" w14:textId="33703B3E" w:rsidR="00550434" w:rsidRPr="0052619D" w:rsidRDefault="00550434" w:rsidP="00FA528F">
      <w:pPr>
        <w:pStyle w:val="SingleTxtG"/>
        <w:numPr>
          <w:ilvl w:val="0"/>
          <w:numId w:val="28"/>
        </w:numPr>
        <w:ind w:left="1134" w:firstLine="0"/>
      </w:pPr>
      <w:r w:rsidRPr="0052619D">
        <w:t xml:space="preserve">Initiatives like dialogues on ritual femicide and harmful traditional practices, such as </w:t>
      </w:r>
      <w:r w:rsidRPr="0052619D">
        <w:rPr>
          <w:i/>
          <w:iCs/>
        </w:rPr>
        <w:t>Ukuthwala</w:t>
      </w:r>
      <w:r w:rsidRPr="0052619D">
        <w:t xml:space="preserve"> and </w:t>
      </w:r>
      <w:r w:rsidRPr="0052619D">
        <w:rPr>
          <w:i/>
          <w:iCs/>
        </w:rPr>
        <w:t>Ukungenwa</w:t>
      </w:r>
      <w:r w:rsidRPr="0052619D">
        <w:t>, engage faith-based organisations and traditional leaders to debunk myths and extend protections to rural communities.</w:t>
      </w:r>
    </w:p>
    <w:p w14:paraId="32042869" w14:textId="276F8F00" w:rsidR="00550434" w:rsidRPr="0052619D" w:rsidRDefault="00550434" w:rsidP="00FA528F">
      <w:pPr>
        <w:pStyle w:val="SingleTxtG"/>
        <w:numPr>
          <w:ilvl w:val="0"/>
          <w:numId w:val="28"/>
        </w:numPr>
        <w:ind w:left="1134" w:firstLine="0"/>
      </w:pPr>
      <w:r w:rsidRPr="0052619D">
        <w:t>The DWYPD advocates and mainstreams empowerment of women and girls with disabilities across all government departments and the private sector. Strategic stakeholder engagements with Parliament, the private sector, civil society, judiciary, regional bodies, and think-thanks amongst others are sustained to ensure information and best practice are shared and to encourage buy-in.</w:t>
      </w:r>
    </w:p>
    <w:p w14:paraId="648F1DD5" w14:textId="77777777" w:rsidR="00550434" w:rsidRPr="0052619D" w:rsidRDefault="00550434" w:rsidP="00CA7539">
      <w:pPr>
        <w:pStyle w:val="SingleTxtG"/>
      </w:pPr>
      <w:r w:rsidRPr="0052619D">
        <w:t xml:space="preserve">A growing focus on partnerships with organisations across sectors has seen the launch of community driven projects including food security and sustainable development training where inter-related adverse impacts on women with disabilities are typically pronounced.  </w:t>
      </w:r>
    </w:p>
    <w:p w14:paraId="61CD4FF3" w14:textId="7F5C691A" w:rsidR="00550434" w:rsidRPr="0052619D" w:rsidRDefault="00CA7539" w:rsidP="00CA7539">
      <w:pPr>
        <w:pStyle w:val="H1G"/>
      </w:pPr>
      <w:r>
        <w:tab/>
      </w:r>
      <w:r>
        <w:tab/>
      </w:r>
      <w:r w:rsidR="00550434" w:rsidRPr="0052619D">
        <w:t>Article 7</w:t>
      </w:r>
      <w:r>
        <w:br/>
      </w:r>
      <w:r w:rsidRPr="0052619D">
        <w:t>Children with Disabilities</w:t>
      </w:r>
    </w:p>
    <w:p w14:paraId="1C81111E" w14:textId="6B20BA60" w:rsidR="00550434" w:rsidRPr="0052619D" w:rsidRDefault="00CA7539" w:rsidP="00CA7539">
      <w:pPr>
        <w:pStyle w:val="H23G"/>
      </w:pPr>
      <w:r>
        <w:tab/>
      </w:r>
      <w:r>
        <w:tab/>
      </w:r>
      <w:r w:rsidR="00550434" w:rsidRPr="0052619D">
        <w:t>Reply to 5(a)</w:t>
      </w:r>
    </w:p>
    <w:p w14:paraId="5C5B417D" w14:textId="2D64A51F" w:rsidR="00550434" w:rsidRPr="0052619D" w:rsidRDefault="00550434" w:rsidP="00FA528F">
      <w:pPr>
        <w:pStyle w:val="SingleTxtG"/>
        <w:numPr>
          <w:ilvl w:val="0"/>
          <w:numId w:val="28"/>
        </w:numPr>
        <w:ind w:left="1134" w:firstLine="0"/>
      </w:pPr>
      <w:r w:rsidRPr="0052619D">
        <w:t>South Africa has implemented various legislative and policy measures post-2018 to uphold the rights of children with disabilities, ensuring inclusive education, healthcare, social protection, and well-being in alignment with the UNCRPD.</w:t>
      </w:r>
    </w:p>
    <w:p w14:paraId="07CF0D3C" w14:textId="23267C0E" w:rsidR="00550434" w:rsidRPr="0052619D" w:rsidRDefault="00550434" w:rsidP="00FA528F">
      <w:pPr>
        <w:pStyle w:val="SingleTxtG"/>
        <w:numPr>
          <w:ilvl w:val="0"/>
          <w:numId w:val="28"/>
        </w:numPr>
        <w:ind w:left="1134" w:firstLine="0"/>
      </w:pPr>
      <w:r w:rsidRPr="0052619D">
        <w:t>Legislative Measures</w:t>
      </w:r>
    </w:p>
    <w:p w14:paraId="2D3B7451" w14:textId="77777777" w:rsidR="00550434" w:rsidRPr="0052619D" w:rsidRDefault="00550434" w:rsidP="00FA528F">
      <w:pPr>
        <w:pStyle w:val="SingleTxtG"/>
        <w:numPr>
          <w:ilvl w:val="0"/>
          <w:numId w:val="28"/>
        </w:numPr>
        <w:ind w:left="1134" w:firstLine="0"/>
      </w:pPr>
      <w:r w:rsidRPr="0052619D">
        <w:t xml:space="preserve">Key legislative advancements include: the Social Assistance Amendment Act (16 of 2020), which expands social assistance for child-headed households, benefiting orphans and vulnerable children. Regulations broaden the pool of professionals assessing eligibility for Care Dependency Grants. </w:t>
      </w:r>
    </w:p>
    <w:p w14:paraId="5CE9FFC5" w14:textId="77777777" w:rsidR="00550434" w:rsidRPr="0052619D" w:rsidRDefault="00550434" w:rsidP="00FA528F">
      <w:pPr>
        <w:pStyle w:val="SingleTxtG"/>
        <w:numPr>
          <w:ilvl w:val="0"/>
          <w:numId w:val="7"/>
        </w:numPr>
        <w:tabs>
          <w:tab w:val="clear" w:pos="1701"/>
        </w:tabs>
        <w:ind w:left="1134" w:firstLine="567"/>
      </w:pPr>
      <w:r w:rsidRPr="0052619D">
        <w:t xml:space="preserve">The Child Justice Amendment Act (28 of 2019) raises the minimum age of criminal capacity from 10 to 12 and removes the burden of proving criminal capacity in preliminary inquiries. </w:t>
      </w:r>
    </w:p>
    <w:p w14:paraId="18061930" w14:textId="77777777" w:rsidR="00550434" w:rsidRPr="0052619D" w:rsidRDefault="00550434" w:rsidP="00FA528F">
      <w:pPr>
        <w:pStyle w:val="SingleTxtG"/>
        <w:numPr>
          <w:ilvl w:val="0"/>
          <w:numId w:val="7"/>
        </w:numPr>
        <w:tabs>
          <w:tab w:val="clear" w:pos="1701"/>
        </w:tabs>
        <w:ind w:left="1134" w:firstLine="567"/>
      </w:pPr>
      <w:r w:rsidRPr="0052619D">
        <w:t xml:space="preserve">The Basic Education Laws Amendment Act, 2024 (BELA) strengthens inclusive education and mandates school enrolment for all children. The BELA is yet to be operationalized. The Children’s Amendment Act (CAA) enhances access to social services, including foster care, adoption, and legal recourse for guardianship. </w:t>
      </w:r>
    </w:p>
    <w:p w14:paraId="3D00FA23" w14:textId="77777777" w:rsidR="00550434" w:rsidRPr="0052619D" w:rsidRDefault="00550434" w:rsidP="00FA528F">
      <w:pPr>
        <w:pStyle w:val="SingleTxtG"/>
        <w:numPr>
          <w:ilvl w:val="0"/>
          <w:numId w:val="7"/>
        </w:numPr>
        <w:tabs>
          <w:tab w:val="clear" w:pos="1701"/>
        </w:tabs>
        <w:ind w:left="1134" w:firstLine="567"/>
      </w:pPr>
      <w:r w:rsidRPr="0052619D">
        <w:t>The Criminal and Related Matters Amendment Act (2021) improves justice system accessibility for children with disabilities by providing intermediary services and sign language interpretation. Regulations to the National Health Act guarantee free healthcare services and access to assistive devices and rehabilitation.</w:t>
      </w:r>
    </w:p>
    <w:p w14:paraId="4683C546" w14:textId="7E973AF0" w:rsidR="00550434" w:rsidRPr="0052619D" w:rsidRDefault="00550434" w:rsidP="00FA528F">
      <w:pPr>
        <w:pStyle w:val="SingleTxtG"/>
        <w:numPr>
          <w:ilvl w:val="0"/>
          <w:numId w:val="28"/>
        </w:numPr>
        <w:ind w:left="1134" w:firstLine="0"/>
      </w:pPr>
      <w:r w:rsidRPr="0052619D">
        <w:t>Policy Measures</w:t>
      </w:r>
    </w:p>
    <w:p w14:paraId="4833DDC7" w14:textId="77777777" w:rsidR="00550434" w:rsidRPr="0052619D" w:rsidRDefault="00550434" w:rsidP="00FA528F">
      <w:pPr>
        <w:pStyle w:val="SingleTxtG"/>
        <w:numPr>
          <w:ilvl w:val="0"/>
          <w:numId w:val="8"/>
        </w:numPr>
        <w:tabs>
          <w:tab w:val="clear" w:pos="1701"/>
        </w:tabs>
        <w:ind w:left="1134" w:firstLine="567"/>
      </w:pPr>
      <w:r w:rsidRPr="0052619D">
        <w:t xml:space="preserve">The National Child Care and Protection Policy (2019) establishes a framework for child protection, addressing online exploitation and abuse as well. </w:t>
      </w:r>
    </w:p>
    <w:p w14:paraId="08D002D9" w14:textId="77777777" w:rsidR="00550434" w:rsidRPr="0052619D" w:rsidRDefault="00550434" w:rsidP="00FA528F">
      <w:pPr>
        <w:pStyle w:val="SingleTxtG"/>
        <w:numPr>
          <w:ilvl w:val="0"/>
          <w:numId w:val="28"/>
        </w:numPr>
        <w:ind w:left="1134" w:firstLine="0"/>
      </w:pPr>
      <w:r w:rsidRPr="0052619D">
        <w:t xml:space="preserve">The National Policy Framework for Children with Disabilities (2021) supports inclusive education, early childhood development (ECD), and social grants. The Policy on Social Development Services to Persons with Disabilities (2022) provides guidance on community-based care, respite services, and family support. </w:t>
      </w:r>
    </w:p>
    <w:p w14:paraId="2F09F35C" w14:textId="77777777" w:rsidR="00550434" w:rsidRPr="0052619D" w:rsidRDefault="00550434" w:rsidP="00FA528F">
      <w:pPr>
        <w:pStyle w:val="SingleTxtG"/>
        <w:numPr>
          <w:ilvl w:val="0"/>
          <w:numId w:val="8"/>
        </w:numPr>
        <w:tabs>
          <w:tab w:val="clear" w:pos="1701"/>
        </w:tabs>
        <w:ind w:left="1134" w:firstLine="567"/>
      </w:pPr>
      <w:r w:rsidRPr="0052619D">
        <w:lastRenderedPageBreak/>
        <w:t xml:space="preserve">The Fourth National Plan of Action for Children (NPAC) (2019-2024) promotes (a 2025 Plan is discussed below), intersectoral collaboration and has been made available in a child-friendly format. The National Strategy on Integrated Services to Children with Disabilities ensures equal access to essential services through enhanced interdepartmental coordination. </w:t>
      </w:r>
    </w:p>
    <w:p w14:paraId="2BC9D090" w14:textId="77777777" w:rsidR="00550434" w:rsidRPr="0052619D" w:rsidRDefault="00550434" w:rsidP="00FA528F">
      <w:pPr>
        <w:pStyle w:val="SingleTxtG"/>
        <w:numPr>
          <w:ilvl w:val="0"/>
          <w:numId w:val="8"/>
        </w:numPr>
        <w:tabs>
          <w:tab w:val="clear" w:pos="1701"/>
        </w:tabs>
        <w:ind w:left="1134" w:firstLine="567"/>
      </w:pPr>
      <w:r w:rsidRPr="0052619D">
        <w:t>The National Integrated Early Childhood Development Policy (2015) and Updated Implementation Plans focus on inclusive Early Childhood Development (ECD) services, complemented by the 2023 Policy on Social Development Services for Persons with Disabilities to expand access and strengthen effective inclusion.</w:t>
      </w:r>
    </w:p>
    <w:p w14:paraId="7852EA5E" w14:textId="77777777" w:rsidR="00550434" w:rsidRPr="0052619D" w:rsidRDefault="00550434" w:rsidP="00FA528F">
      <w:pPr>
        <w:pStyle w:val="SingleTxtG"/>
        <w:numPr>
          <w:ilvl w:val="0"/>
          <w:numId w:val="8"/>
        </w:numPr>
        <w:tabs>
          <w:tab w:val="clear" w:pos="1701"/>
        </w:tabs>
        <w:ind w:left="1134" w:firstLine="567"/>
      </w:pPr>
      <w:r w:rsidRPr="0052619D">
        <w:t xml:space="preserve">The National Strategic Framework on Reasonable Accommodation (2022) addresses infrastructure accessibility, assistive devices, and support services. The NMHPFSP enhances mental health services for children with psychosocial disabilities. </w:t>
      </w:r>
    </w:p>
    <w:p w14:paraId="1FF611FC" w14:textId="77777777" w:rsidR="00550434" w:rsidRPr="0052619D" w:rsidRDefault="00550434" w:rsidP="00FA528F">
      <w:pPr>
        <w:pStyle w:val="SingleTxtG"/>
        <w:numPr>
          <w:ilvl w:val="0"/>
          <w:numId w:val="8"/>
        </w:numPr>
        <w:tabs>
          <w:tab w:val="clear" w:pos="1701"/>
        </w:tabs>
        <w:ind w:left="1134" w:firstLine="567"/>
      </w:pPr>
      <w:r w:rsidRPr="0052619D">
        <w:t>The National School Safety Framework (NSSF) tackles discrimination and gender-based violence, training educators on inclusive practices. The NSP includes provisions for girls with disabilities. The Child Responsive Budgeting Report identifies progress and gaps in child-centred financial allocations.</w:t>
      </w:r>
    </w:p>
    <w:p w14:paraId="3E1CB183" w14:textId="77777777" w:rsidR="00550434" w:rsidRPr="0052619D" w:rsidRDefault="00550434" w:rsidP="00FA528F">
      <w:pPr>
        <w:pStyle w:val="SingleTxtG"/>
        <w:numPr>
          <w:ilvl w:val="0"/>
          <w:numId w:val="8"/>
        </w:numPr>
        <w:tabs>
          <w:tab w:val="clear" w:pos="1701"/>
        </w:tabs>
        <w:ind w:left="1134" w:firstLine="567"/>
      </w:pPr>
      <w:r w:rsidRPr="0052619D">
        <w:t xml:space="preserve">The National Strategy to Accelerate Action for Children – 2025 (NSAAC) is currently before Cabinet for approval. It provides the framework for a high degree of intersectoral collaboration between government, civil society, and the private sector to support the implementation of apex priorities needed for all children to achieve optimal well-being and thrive. To ensure effective delivery, the NSAAC implementation plan is guided by key indicators and baselines that measure progress in child wellbeing, including child mortality rates, nutrition levels, school participation, and access to social protection services.  </w:t>
      </w:r>
    </w:p>
    <w:p w14:paraId="476637E7" w14:textId="3DB7D441" w:rsidR="00550434" w:rsidRPr="0052619D" w:rsidRDefault="00550434" w:rsidP="00FA528F">
      <w:pPr>
        <w:pStyle w:val="SingleTxtG"/>
        <w:numPr>
          <w:ilvl w:val="0"/>
          <w:numId w:val="28"/>
        </w:numPr>
        <w:ind w:left="1134" w:firstLine="0"/>
      </w:pPr>
      <w:r w:rsidRPr="0052619D">
        <w:t>Baseline data is drawn from national surveys, administrative records, and independent monitoring mechanisms, with periodic evaluations tracking improvements in service delivery, policy alignment, and child rights outcomes.  These indicators are integrated into the MTDP and government performance monitoring frameworks to drive accountability and measurable impact.</w:t>
      </w:r>
    </w:p>
    <w:p w14:paraId="188EEFE4" w14:textId="00E64BC5" w:rsidR="00550434" w:rsidRPr="0052619D" w:rsidRDefault="00CA7539" w:rsidP="00CA7539">
      <w:pPr>
        <w:pStyle w:val="H23G"/>
      </w:pPr>
      <w:r>
        <w:tab/>
      </w:r>
      <w:r>
        <w:tab/>
      </w:r>
      <w:r w:rsidR="00550434" w:rsidRPr="0052619D">
        <w:t xml:space="preserve">Reply to 5 (b) </w:t>
      </w:r>
    </w:p>
    <w:p w14:paraId="0EE558D7" w14:textId="6C5C710C" w:rsidR="00550434" w:rsidRPr="0052619D" w:rsidRDefault="00550434" w:rsidP="00FA528F">
      <w:pPr>
        <w:pStyle w:val="SingleTxtG"/>
        <w:numPr>
          <w:ilvl w:val="0"/>
          <w:numId w:val="28"/>
        </w:numPr>
        <w:ind w:left="1134" w:firstLine="0"/>
      </w:pPr>
      <w:r w:rsidRPr="0052619D">
        <w:t xml:space="preserve">Efforts to promote access to information and self-expression among children with disabilities include the development of child-friendly versions of key policies, including the Children’s Act as amended and NPAC (2019-2024). </w:t>
      </w:r>
    </w:p>
    <w:p w14:paraId="5240D2B6" w14:textId="2C195854" w:rsidR="00550434" w:rsidRPr="0052619D" w:rsidRDefault="00550434" w:rsidP="00FA528F">
      <w:pPr>
        <w:pStyle w:val="SingleTxtG"/>
        <w:numPr>
          <w:ilvl w:val="0"/>
          <w:numId w:val="28"/>
        </w:numPr>
        <w:ind w:left="1134" w:firstLine="0"/>
      </w:pPr>
      <w:r w:rsidRPr="0052619D">
        <w:t xml:space="preserve">Legal and educational materials have been converted into accessible formats such as Braille, large print, and pictorial design by various departments, including the DOJCD and the DSD, however not all the vast number of key materials are child friendly. </w:t>
      </w:r>
    </w:p>
    <w:p w14:paraId="0ECE8554" w14:textId="20EBFB4C" w:rsidR="00550434" w:rsidRPr="0052619D" w:rsidRDefault="00550434" w:rsidP="00FA528F">
      <w:pPr>
        <w:pStyle w:val="SingleTxtG"/>
        <w:numPr>
          <w:ilvl w:val="0"/>
          <w:numId w:val="28"/>
        </w:numPr>
        <w:ind w:left="1134" w:firstLine="0"/>
      </w:pPr>
      <w:r w:rsidRPr="0052619D">
        <w:t>The Children’s Dialogue (2024) and Children’s Parliament provide platforms for children, including those with disabilities, to engage in policymaking. Participation in the development of the Children’s Manifesto (2019) ensures children have a voice in government accountability over a five-year period.</w:t>
      </w:r>
    </w:p>
    <w:p w14:paraId="0A4774A7" w14:textId="1F19BED4" w:rsidR="00550434" w:rsidRPr="0052619D" w:rsidRDefault="00550434" w:rsidP="00FA528F">
      <w:pPr>
        <w:pStyle w:val="SingleTxtG"/>
        <w:numPr>
          <w:ilvl w:val="0"/>
          <w:numId w:val="28"/>
        </w:numPr>
        <w:ind w:left="1134" w:firstLine="0"/>
      </w:pPr>
      <w:r w:rsidRPr="0052619D">
        <w:t>While much progress has been made, the government will take steps to adapt information and expand accessibility of information, including in respect of key new developments.</w:t>
      </w:r>
    </w:p>
    <w:p w14:paraId="701583A1" w14:textId="49A7BCCD" w:rsidR="00550434" w:rsidRPr="0052619D" w:rsidRDefault="00CA7539" w:rsidP="00CA7539">
      <w:pPr>
        <w:pStyle w:val="H23G"/>
      </w:pPr>
      <w:r>
        <w:tab/>
      </w:r>
      <w:r>
        <w:tab/>
      </w:r>
      <w:r w:rsidR="00550434" w:rsidRPr="0052619D">
        <w:t xml:space="preserve">Reply to 5(c) </w:t>
      </w:r>
    </w:p>
    <w:p w14:paraId="16ABF955" w14:textId="4E25F379" w:rsidR="00550434" w:rsidRPr="0052619D" w:rsidRDefault="00550434" w:rsidP="00FA528F">
      <w:pPr>
        <w:pStyle w:val="SingleTxtG"/>
        <w:numPr>
          <w:ilvl w:val="0"/>
          <w:numId w:val="28"/>
        </w:numPr>
        <w:ind w:left="1134" w:firstLine="0"/>
      </w:pPr>
      <w:r w:rsidRPr="0052619D">
        <w:t xml:space="preserve">Regular government consultations with parents' organizations and disability groups take place to improve services. The NMHPFSP advocates deinstitutionalization and community-based care. </w:t>
      </w:r>
    </w:p>
    <w:p w14:paraId="44A2C7EE" w14:textId="5E64540A" w:rsidR="00550434" w:rsidRPr="0052619D" w:rsidRDefault="00550434" w:rsidP="00FA528F">
      <w:pPr>
        <w:pStyle w:val="SingleTxtG"/>
        <w:numPr>
          <w:ilvl w:val="0"/>
          <w:numId w:val="28"/>
        </w:numPr>
        <w:ind w:left="1134" w:firstLine="0"/>
      </w:pPr>
      <w:r w:rsidRPr="0052619D">
        <w:t xml:space="preserve">Public awareness initiatives include media campaigns, research conferences, and community dialogues such as </w:t>
      </w:r>
      <w:r w:rsidRPr="0052619D">
        <w:rPr>
          <w:i/>
          <w:iCs/>
        </w:rPr>
        <w:t>Imbizos</w:t>
      </w:r>
      <w:r w:rsidRPr="0052619D">
        <w:t xml:space="preserve"> and disability forums. The DSD’s 9-9-9 advocacy campaign targets Foetal Alcohol Syndrome (FAS) awareness for people with disabilities and supports reintegration into families and communities. </w:t>
      </w:r>
    </w:p>
    <w:p w14:paraId="37F87AEE" w14:textId="77284863" w:rsidR="00550434" w:rsidRPr="0052619D" w:rsidRDefault="00550434" w:rsidP="00FA528F">
      <w:pPr>
        <w:pStyle w:val="SingleTxtG"/>
        <w:numPr>
          <w:ilvl w:val="0"/>
          <w:numId w:val="28"/>
        </w:numPr>
        <w:ind w:left="1134" w:firstLine="0"/>
      </w:pPr>
      <w:r w:rsidRPr="0052619D">
        <w:lastRenderedPageBreak/>
        <w:t>Funding and subsidies</w:t>
      </w:r>
      <w:r>
        <w:t xml:space="preserve"> to 379</w:t>
      </w:r>
      <w:r w:rsidRPr="0052619D">
        <w:t xml:space="preserve"> NPOs and DPOs rendering disability-related services</w:t>
      </w:r>
      <w:r>
        <w:t xml:space="preserve"> amount to </w:t>
      </w:r>
      <w:r w:rsidRPr="00DF0832">
        <w:t>R616 337 050.78</w:t>
      </w:r>
      <w:r>
        <w:t>.</w:t>
      </w:r>
      <w:r w:rsidRPr="0052619D">
        <w:t xml:space="preserve">  </w:t>
      </w:r>
    </w:p>
    <w:p w14:paraId="1A96ACD8" w14:textId="130C4788" w:rsidR="00550434" w:rsidRPr="0052619D" w:rsidRDefault="00550434" w:rsidP="00FA528F">
      <w:pPr>
        <w:pStyle w:val="SingleTxtG"/>
        <w:numPr>
          <w:ilvl w:val="0"/>
          <w:numId w:val="28"/>
        </w:numPr>
        <w:ind w:left="1134" w:firstLine="0"/>
      </w:pPr>
      <w:r w:rsidRPr="0052619D">
        <w:rPr>
          <w:rStyle w:val="Emphasis"/>
          <w:rFonts w:eastAsiaTheme="majorEastAsia"/>
          <w:color w:val="000000" w:themeColor="text1"/>
          <w:shd w:val="clear" w:color="auto" w:fill="FFFFFF"/>
        </w:rPr>
        <w:t>Respite care services for families of children and adults with disabilities</w:t>
      </w:r>
      <w:r w:rsidRPr="0052619D">
        <w:rPr>
          <w:shd w:val="clear" w:color="auto" w:fill="FFFFFF"/>
        </w:rPr>
        <w:t xml:space="preserve"> </w:t>
      </w:r>
      <w:r w:rsidRPr="0052619D">
        <w:t>were developed in partnership with Japan International Cooperation Agency (JICA) to support caregivers and families. The Risiha Community-Based Programme, launched in 2021, operates in 1,200 sites and assists 992 children with disabilities through drop-in centres and respite care.</w:t>
      </w:r>
    </w:p>
    <w:p w14:paraId="1E67972E" w14:textId="610981C7" w:rsidR="00550434" w:rsidRPr="0052619D" w:rsidRDefault="00550434" w:rsidP="00FA528F">
      <w:pPr>
        <w:pStyle w:val="SingleTxtG"/>
        <w:numPr>
          <w:ilvl w:val="0"/>
          <w:numId w:val="28"/>
        </w:numPr>
        <w:ind w:left="1134" w:firstLine="0"/>
      </w:pPr>
      <w:r w:rsidRPr="0052619D">
        <w:t xml:space="preserve">Social assistance grants provide crucial support to families caring for children with disabilities. South Africa allocates 3.31% of its GDP to social assistance, among the highest globally. </w:t>
      </w:r>
    </w:p>
    <w:p w14:paraId="5FB4C607" w14:textId="4618071C" w:rsidR="00550434" w:rsidRPr="0052619D" w:rsidRDefault="00550434" w:rsidP="00FA528F">
      <w:pPr>
        <w:pStyle w:val="SingleTxtG"/>
        <w:numPr>
          <w:ilvl w:val="0"/>
          <w:numId w:val="28"/>
        </w:numPr>
        <w:ind w:left="1134" w:firstLine="0"/>
      </w:pPr>
      <w:r w:rsidRPr="0052619D">
        <w:t xml:space="preserve">The Care Dependency Grant supports 172,415 children with severe disabilities. The Foster Care Grant assists 198,424 children in alternative care arrangements. The Child Support Grant (CSG) extends financial aid to low-income families, including those with children with disabilities. </w:t>
      </w:r>
    </w:p>
    <w:p w14:paraId="5483641C" w14:textId="150DF0E5" w:rsidR="00550434" w:rsidRPr="0052619D" w:rsidRDefault="00550434" w:rsidP="00FA528F">
      <w:pPr>
        <w:pStyle w:val="SingleTxtG"/>
        <w:numPr>
          <w:ilvl w:val="0"/>
          <w:numId w:val="28"/>
        </w:numPr>
        <w:ind w:left="1134" w:firstLine="0"/>
        <w:rPr>
          <w:b/>
          <w:bCs/>
        </w:rPr>
      </w:pPr>
      <w:r w:rsidRPr="0052619D">
        <w:t>The Disability Grant and Care in Aid Grant serve over 1.1 million beneficiaries. In total, 19.2 million grants were disbursed, amounting to R38.5 billion.</w:t>
      </w:r>
    </w:p>
    <w:p w14:paraId="4FA460D6" w14:textId="79EA3F02" w:rsidR="00550434" w:rsidRPr="0052619D" w:rsidRDefault="003E7F1F" w:rsidP="003E7F1F">
      <w:pPr>
        <w:pStyle w:val="H1G"/>
      </w:pPr>
      <w:bookmarkStart w:id="3" w:name="_heading=h.111kx3o" w:colFirst="0" w:colLast="0"/>
      <w:bookmarkEnd w:id="3"/>
      <w:r>
        <w:tab/>
      </w:r>
      <w:r>
        <w:tab/>
        <w:t>Article 8</w:t>
      </w:r>
      <w:r>
        <w:br/>
      </w:r>
      <w:r w:rsidRPr="0052619D">
        <w:t>Awareness-raising</w:t>
      </w:r>
    </w:p>
    <w:p w14:paraId="7023C356" w14:textId="56A3E35B" w:rsidR="00550434" w:rsidRPr="0052619D" w:rsidRDefault="003E7F1F" w:rsidP="003E7F1F">
      <w:pPr>
        <w:pStyle w:val="H23G"/>
      </w:pPr>
      <w:r>
        <w:tab/>
      </w:r>
      <w:r>
        <w:tab/>
      </w:r>
      <w:r w:rsidR="00550434" w:rsidRPr="0052619D">
        <w:t>Reply to 6 (a)</w:t>
      </w:r>
    </w:p>
    <w:p w14:paraId="3A25E5E4" w14:textId="30428100" w:rsidR="00550434" w:rsidRPr="0052619D" w:rsidRDefault="00550434" w:rsidP="00FA528F">
      <w:pPr>
        <w:pStyle w:val="SingleTxtG"/>
        <w:numPr>
          <w:ilvl w:val="0"/>
          <w:numId w:val="28"/>
        </w:numPr>
        <w:ind w:left="1134" w:firstLine="0"/>
      </w:pPr>
      <w:r w:rsidRPr="0052619D">
        <w:t xml:space="preserve">The </w:t>
      </w:r>
      <w:r w:rsidRPr="0052619D">
        <w:rPr>
          <w:rFonts w:eastAsiaTheme="majorEastAsia"/>
        </w:rPr>
        <w:t>National Strategic</w:t>
      </w:r>
      <w:r w:rsidRPr="0052619D">
        <w:rPr>
          <w:rFonts w:eastAsiaTheme="majorEastAsia"/>
          <w:b/>
          <w:bCs/>
        </w:rPr>
        <w:t xml:space="preserve"> </w:t>
      </w:r>
      <w:r w:rsidRPr="0052619D">
        <w:rPr>
          <w:rFonts w:eastAsiaTheme="majorEastAsia"/>
        </w:rPr>
        <w:t>Framework on Awareness Raising Campaigns (2022)</w:t>
      </w:r>
      <w:r w:rsidRPr="0052619D">
        <w:t xml:space="preserve"> highlights four focus areas of awareness-raising campaigns as promulgated in article 8 of the UNCRPD namely; enhancement of awareness-raising campaigns (disability rights focus), awareness raising for specific sectoral groups, communication strategy and media, relationship between media and awareness-raising campaigns on the rights of persons with disabilities and sensitization (trainings), and establishes a coordinated, multidisciplinary approach to awareness raising campaigns (ARCs) across all sectors including the private sector. </w:t>
      </w:r>
    </w:p>
    <w:p w14:paraId="7079EBC0" w14:textId="0A2210A4" w:rsidR="00550434" w:rsidRPr="0052619D" w:rsidRDefault="00550434" w:rsidP="00FA528F">
      <w:pPr>
        <w:pStyle w:val="SingleTxtG"/>
        <w:numPr>
          <w:ilvl w:val="0"/>
          <w:numId w:val="28"/>
        </w:numPr>
        <w:ind w:left="1134" w:firstLine="0"/>
        <w:rPr>
          <w:color w:val="000000" w:themeColor="text1"/>
        </w:rPr>
      </w:pPr>
      <w:r w:rsidRPr="0052619D">
        <w:t>The Framework develops national performance standards and guidelines and creates a national coordinating mechanism to support implementation of ARCs. All sectors are required to submit their ARC plans to the DWYPD annually.</w:t>
      </w:r>
    </w:p>
    <w:p w14:paraId="523968CE" w14:textId="0E9844F1" w:rsidR="00550434" w:rsidRPr="0052619D" w:rsidRDefault="00550434" w:rsidP="00FA528F">
      <w:pPr>
        <w:pStyle w:val="SingleTxtG"/>
        <w:numPr>
          <w:ilvl w:val="0"/>
          <w:numId w:val="28"/>
        </w:numPr>
        <w:ind w:left="1134" w:firstLine="0"/>
      </w:pPr>
      <w:bookmarkStart w:id="4" w:name="_heading=h.206ipza" w:colFirst="0" w:colLast="0"/>
      <w:bookmarkStart w:id="5" w:name="_heading=h.4k668n3" w:colFirst="0" w:colLast="0"/>
      <w:bookmarkEnd w:id="4"/>
      <w:bookmarkEnd w:id="5"/>
      <w:r w:rsidRPr="0052619D">
        <w:t>The Government Communication Information System (GCIS) has developed a communication strategy that includes disability in the observance of all commemorative days and includes disability considerations in the Government calendar.</w:t>
      </w:r>
      <w:bookmarkStart w:id="6" w:name="_heading=h.1egqt2p" w:colFirst="0" w:colLast="0"/>
      <w:bookmarkEnd w:id="6"/>
      <w:r w:rsidRPr="0052619D">
        <w:t xml:space="preserve"> </w:t>
      </w:r>
    </w:p>
    <w:p w14:paraId="0235C760" w14:textId="28D86154" w:rsidR="00550434" w:rsidRPr="0052619D" w:rsidRDefault="00550434" w:rsidP="00FA528F">
      <w:pPr>
        <w:pStyle w:val="SingleTxtG"/>
        <w:numPr>
          <w:ilvl w:val="0"/>
          <w:numId w:val="28"/>
        </w:numPr>
        <w:ind w:left="1134" w:firstLine="0"/>
      </w:pPr>
      <w:r w:rsidRPr="0052619D">
        <w:t xml:space="preserve">Government departments also develop their own advocacy plans aligned with the strategy and ARCs. For example, the health sector approach integrates and accelerates information sharing in collaboration with other departments and NGOs funded by the National Department of Health (DoH) through Side-by-Side Campaigns using different platforms such as radio, drama, social media and school health platforms improving access to children.  </w:t>
      </w:r>
      <w:bookmarkStart w:id="7" w:name="_heading=h.39kk8xu" w:colFirst="0" w:colLast="0"/>
      <w:bookmarkEnd w:id="7"/>
    </w:p>
    <w:p w14:paraId="60FADB25" w14:textId="31AA6884" w:rsidR="00550434" w:rsidRPr="0052619D" w:rsidRDefault="00550434" w:rsidP="00FA528F">
      <w:pPr>
        <w:pStyle w:val="SingleTxtG"/>
        <w:numPr>
          <w:ilvl w:val="0"/>
          <w:numId w:val="28"/>
        </w:numPr>
        <w:ind w:left="1134" w:firstLine="0"/>
      </w:pPr>
      <w:r w:rsidRPr="0052619D">
        <w:t xml:space="preserve">The SOCA Unit delivers public awareness interventions in communities including schools, universities and community stakeholder </w:t>
      </w:r>
      <w:r w:rsidRPr="0052619D">
        <w:rPr>
          <w:i/>
          <w:iCs/>
        </w:rPr>
        <w:t>Indabas</w:t>
      </w:r>
      <w:r w:rsidRPr="0052619D">
        <w:t xml:space="preserve"> </w:t>
      </w:r>
      <w:r w:rsidRPr="003F6D42">
        <w:t>addressingissues</w:t>
      </w:r>
      <w:r w:rsidRPr="0052619D">
        <w:t xml:space="preserve"> of gender-based violence, trafficking in persons, child justice and maintenance by the SOCA Unit.</w:t>
      </w:r>
    </w:p>
    <w:p w14:paraId="6D65B1EA" w14:textId="3AA25997" w:rsidR="00550434" w:rsidRPr="0052619D" w:rsidRDefault="003F6D42" w:rsidP="003F6D42">
      <w:pPr>
        <w:pStyle w:val="H23G"/>
      </w:pPr>
      <w:bookmarkStart w:id="8" w:name="_heading=h.3ygebqi" w:colFirst="0" w:colLast="0"/>
      <w:bookmarkEnd w:id="8"/>
      <w:r>
        <w:tab/>
      </w:r>
      <w:r>
        <w:tab/>
      </w:r>
      <w:r w:rsidR="00550434" w:rsidRPr="0052619D">
        <w:t xml:space="preserve">Reply to 6(b) </w:t>
      </w:r>
    </w:p>
    <w:p w14:paraId="24BE78FE" w14:textId="10A1D825" w:rsidR="00550434" w:rsidRPr="0052619D" w:rsidRDefault="00550434" w:rsidP="00FA528F">
      <w:pPr>
        <w:pStyle w:val="SingleTxtG"/>
        <w:numPr>
          <w:ilvl w:val="0"/>
          <w:numId w:val="28"/>
        </w:numPr>
        <w:ind w:left="1134" w:firstLine="0"/>
      </w:pPr>
      <w:r w:rsidRPr="0052619D">
        <w:t xml:space="preserve">Government and its stakeholders provide access to the UNCRPD for specific interventions, such as capacity building for officials and community training sessions. </w:t>
      </w:r>
    </w:p>
    <w:p w14:paraId="05F5A352" w14:textId="33167E7C" w:rsidR="00550434" w:rsidRPr="0052619D" w:rsidRDefault="00550434" w:rsidP="00FA528F">
      <w:pPr>
        <w:pStyle w:val="SingleTxtG"/>
        <w:numPr>
          <w:ilvl w:val="0"/>
          <w:numId w:val="28"/>
        </w:numPr>
        <w:ind w:left="1134" w:firstLine="0"/>
      </w:pPr>
      <w:r w:rsidRPr="0052619D">
        <w:t xml:space="preserve">Government will take steps to produce translated versions of the Convention in official languages, in Braille and accessible visual formats before the end of 2025 in line with the welcomed addition of SASL as an official language. </w:t>
      </w:r>
    </w:p>
    <w:p w14:paraId="4F488B37" w14:textId="254C8176" w:rsidR="00550434" w:rsidRPr="0052619D" w:rsidRDefault="003F6D42" w:rsidP="00FD713E">
      <w:pPr>
        <w:pStyle w:val="H23G"/>
      </w:pPr>
      <w:bookmarkStart w:id="9" w:name="_heading=h.2dlolyb" w:colFirst="0" w:colLast="0"/>
      <w:bookmarkEnd w:id="9"/>
      <w:r>
        <w:lastRenderedPageBreak/>
        <w:tab/>
      </w:r>
      <w:r w:rsidR="00FD713E">
        <w:tab/>
      </w:r>
      <w:r w:rsidR="00FD713E">
        <w:tab/>
      </w:r>
      <w:r w:rsidR="00550434" w:rsidRPr="0052619D">
        <w:t xml:space="preserve">Reply to 6(c) </w:t>
      </w:r>
    </w:p>
    <w:p w14:paraId="194C2B83" w14:textId="2B8B3105" w:rsidR="00550434" w:rsidRPr="0052619D" w:rsidRDefault="00550434" w:rsidP="00FA528F">
      <w:pPr>
        <w:pStyle w:val="SingleTxtG"/>
        <w:numPr>
          <w:ilvl w:val="0"/>
          <w:numId w:val="28"/>
        </w:numPr>
        <w:ind w:left="1134" w:firstLine="0"/>
      </w:pPr>
      <w:r w:rsidRPr="0052619D">
        <w:t xml:space="preserve">Awareness-raising initiatives in South Africa extend beyond the Annual Disability Rights Awareness Month are implemented in accordance with sector specific plans through the year, allowing localised responses to identified needs in particular regions. </w:t>
      </w:r>
    </w:p>
    <w:p w14:paraId="72042A4F" w14:textId="6292A091" w:rsidR="00550434" w:rsidRPr="0052619D" w:rsidRDefault="00550434" w:rsidP="00FA528F">
      <w:pPr>
        <w:pStyle w:val="SingleTxtG"/>
        <w:numPr>
          <w:ilvl w:val="0"/>
          <w:numId w:val="28"/>
        </w:numPr>
        <w:ind w:left="1134" w:firstLine="0"/>
      </w:pPr>
      <w:r w:rsidRPr="0052619D">
        <w:t xml:space="preserve">In accordance with National Awareness Raising Campaigns Strategy (ARC) all officials are required to be trained on disability awareness.  Accordingly key service functions like the SAPS trained over 11,000 officials between 2021 and 2024 on disability rights and reasonable accommodation and a total of 7,167 officials on the CRPWD.  </w:t>
      </w:r>
    </w:p>
    <w:p w14:paraId="0E044CEA" w14:textId="5768B752" w:rsidR="00550434" w:rsidRPr="0052619D" w:rsidRDefault="00550434" w:rsidP="00FA528F">
      <w:pPr>
        <w:pStyle w:val="SingleTxtG"/>
        <w:numPr>
          <w:ilvl w:val="0"/>
          <w:numId w:val="28"/>
        </w:numPr>
        <w:ind w:left="1134" w:firstLine="0"/>
      </w:pPr>
      <w:r w:rsidRPr="0052619D">
        <w:t>The Convention is included in the curriculum of the National School of Government (NSG) for all senior public servants who are obliged to attend training while in service and for those entering public service.  The first cohort saw over 200 officials trained.</w:t>
      </w:r>
    </w:p>
    <w:p w14:paraId="0B4E9788" w14:textId="3DC82F1F" w:rsidR="00550434" w:rsidRPr="0052619D" w:rsidRDefault="00FD713E" w:rsidP="00FD713E">
      <w:pPr>
        <w:pStyle w:val="H23G"/>
      </w:pPr>
      <w:bookmarkStart w:id="10" w:name="_heading=h.1302m92" w:colFirst="0" w:colLast="0"/>
      <w:bookmarkStart w:id="11" w:name="_heading=h.sqyw64" w:colFirst="0" w:colLast="0"/>
      <w:bookmarkStart w:id="12" w:name="_heading=h.4bvk7pj" w:colFirst="0" w:colLast="0"/>
      <w:bookmarkEnd w:id="10"/>
      <w:bookmarkEnd w:id="11"/>
      <w:bookmarkEnd w:id="12"/>
      <w:r>
        <w:tab/>
      </w:r>
      <w:r>
        <w:tab/>
      </w:r>
      <w:r w:rsidR="00550434" w:rsidRPr="0052619D">
        <w:t xml:space="preserve">Reply to 6(d) </w:t>
      </w:r>
    </w:p>
    <w:p w14:paraId="6CFBD28C" w14:textId="76B30F02" w:rsidR="00550434" w:rsidRPr="0052619D" w:rsidRDefault="00550434" w:rsidP="00FA528F">
      <w:pPr>
        <w:pStyle w:val="SingleTxtG"/>
        <w:numPr>
          <w:ilvl w:val="0"/>
          <w:numId w:val="28"/>
        </w:numPr>
        <w:ind w:left="1134" w:firstLine="0"/>
      </w:pPr>
      <w:r w:rsidRPr="0052619D">
        <w:t xml:space="preserve">Government, through partnerships between the Department of Communications and Digital Technologies (DCDT) and the DSD, conducts targeted awareness campaigns to combat the stigmatisation and marginalisation of persons with disabilities. These campaigns include dissemination of messaging via mainstream and social media, with specific focus periods such as Autism Month, Epilepsy Month, Mental Health Care Month, and Albinism Month. </w:t>
      </w:r>
    </w:p>
    <w:p w14:paraId="2BF5425A" w14:textId="6E1B07C4" w:rsidR="00550434" w:rsidRPr="0052619D" w:rsidRDefault="00550434" w:rsidP="00FA528F">
      <w:pPr>
        <w:pStyle w:val="SingleTxtG"/>
        <w:numPr>
          <w:ilvl w:val="0"/>
          <w:numId w:val="28"/>
        </w:numPr>
        <w:ind w:left="1134" w:firstLine="0"/>
      </w:pPr>
      <w:r w:rsidRPr="0052619D">
        <w:t>Efforts to address the killing and discrimination of persons with Albinism include community dialogues with traditional and religious leaders to dispel myths and integrate Albinism protection into national anti-trafficking mechanisms. Awareness about trafficking, including risks to persons with Albinism, are conducted through collaborative efforts by members of the task team and through the SAPS at ports of entry and borders.</w:t>
      </w:r>
    </w:p>
    <w:p w14:paraId="2FD5888A" w14:textId="009414C3" w:rsidR="00550434" w:rsidRPr="0052619D" w:rsidRDefault="00550434" w:rsidP="00FA528F">
      <w:pPr>
        <w:pStyle w:val="SingleTxtG"/>
        <w:numPr>
          <w:ilvl w:val="0"/>
          <w:numId w:val="28"/>
        </w:numPr>
        <w:ind w:left="1134" w:firstLine="0"/>
      </w:pPr>
      <w:r w:rsidRPr="0052619D">
        <w:t>The DSD also conducts awareness-raising through Ministerial Outreach Programmes and annual events such as World Elder Abuse Awareness Day and International Day for Older Persons. These activities receive broadcast and print media coverage, with selected outreach initiatives supported by paid media content.</w:t>
      </w:r>
    </w:p>
    <w:p w14:paraId="1818E792" w14:textId="4ADCC9AB" w:rsidR="00550434" w:rsidRPr="0052619D" w:rsidRDefault="00CF0225" w:rsidP="00CF0225">
      <w:pPr>
        <w:pStyle w:val="H23G"/>
      </w:pPr>
      <w:r>
        <w:tab/>
      </w:r>
      <w:r>
        <w:tab/>
      </w:r>
      <w:r w:rsidR="00550434" w:rsidRPr="0052619D">
        <w:t xml:space="preserve">Reply to 6(e) </w:t>
      </w:r>
    </w:p>
    <w:p w14:paraId="3F144463" w14:textId="64FE7B90" w:rsidR="00550434" w:rsidRPr="0052619D" w:rsidRDefault="00550434" w:rsidP="00FA528F">
      <w:pPr>
        <w:pStyle w:val="SingleTxtG"/>
        <w:numPr>
          <w:ilvl w:val="0"/>
          <w:numId w:val="28"/>
        </w:numPr>
        <w:ind w:left="1134" w:firstLine="0"/>
      </w:pPr>
      <w:r w:rsidRPr="0052619D">
        <w:t xml:space="preserve">The Local Government Disability Mainstreaming Framework ensures disability issues are integrated into all local government policies, plans, and programmes. </w:t>
      </w:r>
    </w:p>
    <w:p w14:paraId="46100D03" w14:textId="0416BBAC" w:rsidR="00550434" w:rsidRPr="0052619D" w:rsidRDefault="00550434" w:rsidP="00FA528F">
      <w:pPr>
        <w:pStyle w:val="SingleTxtG"/>
        <w:numPr>
          <w:ilvl w:val="0"/>
          <w:numId w:val="28"/>
        </w:numPr>
        <w:ind w:left="1134" w:firstLine="0"/>
      </w:pPr>
      <w:r w:rsidRPr="0052619D">
        <w:t>Since 2018, Government, in collaboration with the JICA, has trained disability organisations and rural municipal focal persons on disability mainstreaming and empowerment, with the project anticipated to remain active until 2026.</w:t>
      </w:r>
    </w:p>
    <w:p w14:paraId="784F43D1" w14:textId="45D0E825" w:rsidR="00550434" w:rsidRPr="0052619D" w:rsidRDefault="00550434" w:rsidP="00FA528F">
      <w:pPr>
        <w:pStyle w:val="SingleTxtG"/>
        <w:numPr>
          <w:ilvl w:val="0"/>
          <w:numId w:val="28"/>
        </w:numPr>
        <w:ind w:left="1134" w:firstLine="0"/>
      </w:pPr>
      <w:r w:rsidRPr="0052619D">
        <w:t>The South African Federation for Mental Health (SAFMH), funded by Government, conducts mental health user empowerment sessions to establish care user groups, increase representation, and involve users in policy development. SAFMH’s radio network, represented on the Ministerial Advisory Committee on Mental Health, promotes advocacy and awareness in rural areas.</w:t>
      </w:r>
    </w:p>
    <w:p w14:paraId="078597AB" w14:textId="4F3BEFE3" w:rsidR="00550434" w:rsidRPr="0052619D" w:rsidRDefault="00550434" w:rsidP="00FA528F">
      <w:pPr>
        <w:pStyle w:val="SingleTxtG"/>
        <w:numPr>
          <w:ilvl w:val="0"/>
          <w:numId w:val="28"/>
        </w:numPr>
        <w:ind w:left="1134" w:firstLine="0"/>
      </w:pPr>
      <w:r w:rsidRPr="0052619D">
        <w:t>Rehabilitation programmes integrated into primary and community health care systems include home visits, site audits, and the provision of assistive devices by community health workers. Government also contracts NGOs to deliver services such as wheelchair repair and maintenance, alongside awareness-raising in rural communities.</w:t>
      </w:r>
    </w:p>
    <w:p w14:paraId="59B215E6" w14:textId="60E5C765" w:rsidR="00550434" w:rsidRPr="0052619D" w:rsidRDefault="00550434" w:rsidP="00FA528F">
      <w:pPr>
        <w:pStyle w:val="SingleTxtG"/>
        <w:numPr>
          <w:ilvl w:val="0"/>
          <w:numId w:val="28"/>
        </w:numPr>
        <w:ind w:left="1134" w:firstLine="0"/>
      </w:pPr>
      <w:r w:rsidRPr="0052619D">
        <w:t>Awareness interventions are evaluated through activity-specific assessments and quarterly reports to the DWYPD. Government aims to develop comprehensive evaluations through DPO forums and departmental action plans to identify trends, best practices, and budgetary priorities.</w:t>
      </w:r>
    </w:p>
    <w:p w14:paraId="15AB1B94" w14:textId="78EE7BCB" w:rsidR="00550434" w:rsidRPr="0052619D" w:rsidRDefault="00970F7E" w:rsidP="00970F7E">
      <w:pPr>
        <w:pStyle w:val="H1G"/>
      </w:pPr>
      <w:r>
        <w:lastRenderedPageBreak/>
        <w:tab/>
      </w:r>
      <w:r>
        <w:tab/>
        <w:t>Article</w:t>
      </w:r>
      <w:r w:rsidR="00550434" w:rsidRPr="0052619D">
        <w:t xml:space="preserve"> 9</w:t>
      </w:r>
      <w:r>
        <w:br/>
      </w:r>
      <w:r w:rsidRPr="0052619D">
        <w:t>Accessibility</w:t>
      </w:r>
    </w:p>
    <w:p w14:paraId="604DB3C3" w14:textId="53618AF7" w:rsidR="00550434" w:rsidRPr="0052619D" w:rsidRDefault="00970F7E" w:rsidP="00970F7E">
      <w:pPr>
        <w:pStyle w:val="H23G"/>
      </w:pPr>
      <w:r>
        <w:tab/>
      </w:r>
      <w:r>
        <w:tab/>
      </w:r>
      <w:r w:rsidR="00550434" w:rsidRPr="0052619D">
        <w:t xml:space="preserve">Reply to 7 (a) </w:t>
      </w:r>
    </w:p>
    <w:p w14:paraId="4121246A" w14:textId="6419DE12" w:rsidR="00550434" w:rsidRPr="0052619D" w:rsidRDefault="00550434" w:rsidP="00FA528F">
      <w:pPr>
        <w:pStyle w:val="SingleTxtG"/>
        <w:numPr>
          <w:ilvl w:val="0"/>
          <w:numId w:val="28"/>
        </w:numPr>
        <w:ind w:left="1134" w:firstLine="0"/>
      </w:pPr>
      <w:r w:rsidRPr="0052619D">
        <w:t xml:space="preserve">Government has made significant strides in enhancing public transport accessibility for persons with disabilities, guided by the National Strategic Framework on Universal Design and Access (2021), the Universal Design and Access Plan (UDAP) and National Transport Policy White Paper (2022). </w:t>
      </w:r>
    </w:p>
    <w:p w14:paraId="2FF1ADA9" w14:textId="20B642C9" w:rsidR="00550434" w:rsidRPr="0052619D" w:rsidRDefault="00550434" w:rsidP="00FA528F">
      <w:pPr>
        <w:pStyle w:val="SingleTxtG"/>
        <w:numPr>
          <w:ilvl w:val="0"/>
          <w:numId w:val="28"/>
        </w:numPr>
        <w:ind w:left="1134" w:firstLine="0"/>
      </w:pPr>
      <w:r w:rsidRPr="0052619D">
        <w:t>The Public Transport Network Grant (PTNG) requires municipalities to develop and implement plans for accessible public transport within integrated public transport networks (IPTNs) has been successful in ten of the largest municipalities.</w:t>
      </w:r>
    </w:p>
    <w:p w14:paraId="43A0E58F" w14:textId="3C4B7D84" w:rsidR="00550434" w:rsidRPr="0052619D" w:rsidRDefault="00550434" w:rsidP="00FA528F">
      <w:pPr>
        <w:pStyle w:val="SingleTxtG"/>
        <w:numPr>
          <w:ilvl w:val="0"/>
          <w:numId w:val="28"/>
        </w:numPr>
        <w:ind w:left="1134" w:firstLine="0"/>
      </w:pPr>
      <w:r w:rsidRPr="0052619D">
        <w:t>To address delays in rural accessibility, the Action Plan for Universally Accessible Transport: ‘Accessible Transport for All’, November 2024 (Action Plan) was developed by government following the Transport Summit on Universal Accessibility. The Action Plan covers all forms of public transport, including land-based, rail, air, and maritime transport, and aims to ensure universal accessibility across urban and rural areas. The Action Plan also addresses the need for capacity building among municipal and provincial transport officials for its effective implementation.</w:t>
      </w:r>
    </w:p>
    <w:p w14:paraId="4C371BEA" w14:textId="438FC770" w:rsidR="00550434" w:rsidRPr="0052619D" w:rsidRDefault="00550434" w:rsidP="00FA528F">
      <w:pPr>
        <w:pStyle w:val="SingleTxtG"/>
        <w:numPr>
          <w:ilvl w:val="0"/>
          <w:numId w:val="28"/>
        </w:numPr>
        <w:ind w:left="1134" w:firstLine="0"/>
      </w:pPr>
      <w:r w:rsidRPr="0052619D">
        <w:t>The Universal Access Oversight Committee monitors the implementation of the Action Plan, ensuring active engagement with stakeholders, to foster the full participation of persons with disabilities in society.</w:t>
      </w:r>
    </w:p>
    <w:p w14:paraId="4408C58E" w14:textId="10044ED5" w:rsidR="00550434" w:rsidRPr="0052619D" w:rsidRDefault="00550434" w:rsidP="00FA528F">
      <w:pPr>
        <w:pStyle w:val="SingleTxtG"/>
        <w:numPr>
          <w:ilvl w:val="0"/>
          <w:numId w:val="28"/>
        </w:numPr>
        <w:ind w:left="1134" w:firstLine="0"/>
      </w:pPr>
      <w:r w:rsidRPr="0052619D">
        <w:t>Comprehensive Integrated Public Transport Plans (CITPS) are in place which include universal accessibility as a minimum requirement, ensuring that accessibility is planned and implemented across the country. Specific projects like GO George, which reported 100% accessibility at bus stops and 94% on-board accessibility for persons with disabilities in 2023, and Dial-a-Ride, which provides tailored transport services for individuals with mobility challenges and showcase innovative practice.</w:t>
      </w:r>
    </w:p>
    <w:p w14:paraId="6701CE2A" w14:textId="649CC922" w:rsidR="00550434" w:rsidRPr="0052619D" w:rsidRDefault="00550434" w:rsidP="00FA528F">
      <w:pPr>
        <w:pStyle w:val="SingleTxtG"/>
        <w:numPr>
          <w:ilvl w:val="0"/>
          <w:numId w:val="28"/>
        </w:numPr>
        <w:ind w:left="1134" w:firstLine="0"/>
      </w:pPr>
      <w:r w:rsidRPr="0052619D">
        <w:t xml:space="preserve">The National Travel Survey documents the accessibility of transport options, with a focus on rural areas to strengthen access interventions. </w:t>
      </w:r>
    </w:p>
    <w:p w14:paraId="325F6499" w14:textId="5C0A0B19" w:rsidR="00550434" w:rsidRPr="0052619D" w:rsidRDefault="00970F7E" w:rsidP="00970F7E">
      <w:pPr>
        <w:pStyle w:val="H23G"/>
      </w:pPr>
      <w:bookmarkStart w:id="13" w:name="_heading=h.2r0uhxc" w:colFirst="0" w:colLast="0"/>
      <w:bookmarkEnd w:id="13"/>
      <w:r>
        <w:tab/>
      </w:r>
      <w:r>
        <w:tab/>
      </w:r>
      <w:r w:rsidR="00550434" w:rsidRPr="0052619D">
        <w:t xml:space="preserve">Reply to 7 (b) </w:t>
      </w:r>
    </w:p>
    <w:p w14:paraId="591875AB" w14:textId="37407CDA" w:rsidR="00550434" w:rsidRPr="0052619D" w:rsidRDefault="00550434" w:rsidP="00FA528F">
      <w:pPr>
        <w:pStyle w:val="SingleTxtG"/>
        <w:numPr>
          <w:ilvl w:val="0"/>
          <w:numId w:val="28"/>
        </w:numPr>
        <w:ind w:left="1134" w:firstLine="0"/>
      </w:pPr>
      <w:bookmarkStart w:id="14" w:name="_heading=h.1664s55" w:colFirst="0" w:colLast="0"/>
      <w:bookmarkEnd w:id="14"/>
      <w:r w:rsidRPr="0052619D">
        <w:t xml:space="preserve">Government’s ICT Disability Chamber has worked with the Banking Association of South Africa (BASA) to improve online banking accessibility for persons with disabilities. While accessibility varies across banks, advancements by the sector, particularly in mobile banking applications that enable easier access to financial services were notable. </w:t>
      </w:r>
    </w:p>
    <w:p w14:paraId="7DC1A980" w14:textId="224BBAC3" w:rsidR="00550434" w:rsidRPr="0052619D" w:rsidRDefault="00550434" w:rsidP="00FA528F">
      <w:pPr>
        <w:pStyle w:val="SingleTxtG"/>
        <w:numPr>
          <w:ilvl w:val="0"/>
          <w:numId w:val="28"/>
        </w:numPr>
        <w:ind w:left="1134" w:firstLine="0"/>
      </w:pPr>
      <w:r w:rsidRPr="0052619D">
        <w:t>Government continues to engage with BASA, advocating for accessibility enhancements such as automated teller machines (ATMs) with headphone functionality. The number of ATMs in South Africa have decreased aligned with global trends. BASA’s Financial Inclusion and Public Policy Division (FIPP) has committed to reviewing and strengthening products and services designed for vulnerable customers, ensuring reasonable accommodations for those who disclose their disabilities.</w:t>
      </w:r>
    </w:p>
    <w:p w14:paraId="07435763" w14:textId="3C28600E" w:rsidR="00550434" w:rsidRPr="0052619D" w:rsidRDefault="00550434" w:rsidP="00FA528F">
      <w:pPr>
        <w:pStyle w:val="SingleTxtG"/>
        <w:numPr>
          <w:ilvl w:val="0"/>
          <w:numId w:val="28"/>
        </w:numPr>
        <w:ind w:left="1134" w:firstLine="0"/>
      </w:pPr>
      <w:r w:rsidRPr="0052619D">
        <w:t>Progress to improve accessibility in select provinces were noteworthy, including Postbank’s initiatives to support bedridden and elderly beneficiaries who cannot travel to collect their new bank cards by direct delivery of bank cards to recipients. Additionally, Postbank conducts financial inclusion and literacy training in special schools, equipping learners with the skills to manage their finances and access banking services independently.</w:t>
      </w:r>
    </w:p>
    <w:p w14:paraId="5F2CED9C" w14:textId="460AD8E7" w:rsidR="00550434" w:rsidRPr="0052619D" w:rsidRDefault="00550434" w:rsidP="00FA528F">
      <w:pPr>
        <w:pStyle w:val="SingleTxtG"/>
        <w:numPr>
          <w:ilvl w:val="0"/>
          <w:numId w:val="28"/>
        </w:numPr>
        <w:ind w:left="1134" w:firstLine="0"/>
      </w:pPr>
      <w:r w:rsidRPr="0052619D">
        <w:t>Ongoing collaboration between Government, the banking sector, and advocacy groups is driving continued improvements in accessibility, particularly for persons with visual, intellectual, and psychosocial impairments to access to financial services.</w:t>
      </w:r>
    </w:p>
    <w:p w14:paraId="109A74F6" w14:textId="6E9A56A0" w:rsidR="00550434" w:rsidRPr="0052619D" w:rsidRDefault="00970F7E" w:rsidP="00970F7E">
      <w:pPr>
        <w:pStyle w:val="H23G"/>
      </w:pPr>
      <w:r>
        <w:lastRenderedPageBreak/>
        <w:tab/>
      </w:r>
      <w:r>
        <w:tab/>
      </w:r>
      <w:r w:rsidR="00550434" w:rsidRPr="0052619D">
        <w:t xml:space="preserve">Reply to 7 (c) </w:t>
      </w:r>
    </w:p>
    <w:p w14:paraId="77D30D78" w14:textId="17498ADB" w:rsidR="00550434" w:rsidRPr="0052619D" w:rsidRDefault="00550434" w:rsidP="00FA528F">
      <w:pPr>
        <w:pStyle w:val="SingleTxtG"/>
        <w:numPr>
          <w:ilvl w:val="0"/>
          <w:numId w:val="28"/>
        </w:numPr>
        <w:ind w:left="1134" w:firstLine="0"/>
      </w:pPr>
      <w:r w:rsidRPr="0052619D">
        <w:t xml:space="preserve">Active reforms to legislation and policies to embed the UDAP within departmental planning, budgeting, and reporting envisaged in the National Strategic Framework on Universal Design and Access (2021) are underway. </w:t>
      </w:r>
    </w:p>
    <w:p w14:paraId="263C3073" w14:textId="31D02B98" w:rsidR="00550434" w:rsidRPr="0052619D" w:rsidRDefault="00550434" w:rsidP="00FA528F">
      <w:pPr>
        <w:pStyle w:val="SingleTxtG"/>
        <w:numPr>
          <w:ilvl w:val="0"/>
          <w:numId w:val="28"/>
        </w:numPr>
        <w:ind w:left="1134" w:firstLine="0"/>
      </w:pPr>
      <w:r w:rsidRPr="0052619D">
        <w:t xml:space="preserve">Key measures include: inclusion of accessibility as a prerequisite for mandatory occupancy compliance certificates and in criteria for government tenders and procurement. </w:t>
      </w:r>
    </w:p>
    <w:p w14:paraId="2C3605DF" w14:textId="7A555EA5" w:rsidR="00550434" w:rsidRPr="0052619D" w:rsidRDefault="00550434" w:rsidP="00FA528F">
      <w:pPr>
        <w:pStyle w:val="SingleTxtG"/>
        <w:numPr>
          <w:ilvl w:val="0"/>
          <w:numId w:val="28"/>
        </w:numPr>
        <w:ind w:left="1134" w:firstLine="0"/>
      </w:pPr>
      <w:r w:rsidRPr="0052619D">
        <w:t xml:space="preserve">Development of the UDAP will result in enhanced monitoring mechanisms, and support training for access liaison officers. These reforms, together with existing mechanisms such as building inspectors at local level aim to strengthen compliance and sanction non-compliance. </w:t>
      </w:r>
    </w:p>
    <w:p w14:paraId="2A57B314" w14:textId="024FE60F" w:rsidR="00550434" w:rsidRPr="0052619D" w:rsidRDefault="00550434" w:rsidP="00FA528F">
      <w:pPr>
        <w:pStyle w:val="SingleTxtG"/>
        <w:numPr>
          <w:ilvl w:val="0"/>
          <w:numId w:val="28"/>
        </w:numPr>
        <w:ind w:left="1134" w:firstLine="0"/>
      </w:pPr>
      <w:r w:rsidRPr="0052619D">
        <w:t>Additionally punitive sanctions for non-compliance are available both through civil litigation and through the Equality Courts where persons with disabilities may institute proceedings regarding inaccessibility of buildings where no other reasonable access is provided.</w:t>
      </w:r>
    </w:p>
    <w:p w14:paraId="52C6979A" w14:textId="6D701CB5" w:rsidR="00550434" w:rsidRPr="0052619D" w:rsidRDefault="00550434" w:rsidP="00FA528F">
      <w:pPr>
        <w:pStyle w:val="SingleTxtG"/>
        <w:numPr>
          <w:ilvl w:val="0"/>
          <w:numId w:val="28"/>
        </w:numPr>
        <w:ind w:left="1134" w:firstLine="0"/>
      </w:pPr>
      <w:r w:rsidRPr="0052619D">
        <w:t xml:space="preserve">Several other mechanisms such as regulatory and professional bodies support compliance and are mandated to investigate and impose sanctions for noncompliance in the built environment. The National Home Builders Registration Council (NHBRC) enforces standards prescribed by the South African Bureau of Standards within the housing sector, ensuring compliance and capacity-building initiatives. The Engineering Council of South Africa (ECSA) and the South African Council for the Architectural Profession (SACAP) regulate professional standards to ensure accessible infrastructure design. </w:t>
      </w:r>
    </w:p>
    <w:p w14:paraId="14C176A3" w14:textId="14E20E78" w:rsidR="00550434" w:rsidRPr="0052619D" w:rsidRDefault="00550434" w:rsidP="00FA528F">
      <w:pPr>
        <w:pStyle w:val="SingleTxtG"/>
        <w:numPr>
          <w:ilvl w:val="0"/>
          <w:numId w:val="28"/>
        </w:numPr>
        <w:ind w:left="1134" w:firstLine="0"/>
      </w:pPr>
      <w:r w:rsidRPr="0052619D">
        <w:t>Additionally, the Construction Industry Development Board (CIDB) oversees contractor compliance with accessibility standards. NHBRC, ECSA, SACAP, and CIDB have enforcement mechanisms, with NHBRC focusing on housing compliance, ECSA and SACAP regulate professionals, and CIDB oversee contractors. Sanctions range from fines and corrective measures to deregistration and project disqualification.</w:t>
      </w:r>
    </w:p>
    <w:p w14:paraId="2436C02C" w14:textId="3E38A6E3" w:rsidR="00550434" w:rsidRPr="0052619D" w:rsidRDefault="00550434" w:rsidP="00FA528F">
      <w:pPr>
        <w:pStyle w:val="SingleTxtG"/>
        <w:numPr>
          <w:ilvl w:val="0"/>
          <w:numId w:val="28"/>
        </w:numPr>
        <w:ind w:left="1134" w:firstLine="0"/>
      </w:pPr>
      <w:r w:rsidRPr="0052619D">
        <w:t xml:space="preserve">The Centre for Research and Housing Innovation has showcased nine Innovative Building Technology (IBT) structures, two specifically accommodating persons with disabilities. Since 2019, the NHBRC has trained over 12,000 professionals, including persons with disabilities. </w:t>
      </w:r>
    </w:p>
    <w:p w14:paraId="6DAE299C" w14:textId="06A5DC3D" w:rsidR="00550434" w:rsidRPr="0052619D" w:rsidRDefault="00550434" w:rsidP="00FA528F">
      <w:pPr>
        <w:pStyle w:val="SingleTxtG"/>
        <w:numPr>
          <w:ilvl w:val="0"/>
          <w:numId w:val="28"/>
        </w:numPr>
        <w:ind w:left="1134" w:firstLine="0"/>
      </w:pPr>
      <w:r w:rsidRPr="0052619D">
        <w:t xml:space="preserve">Progress in compliance is evident across several sectors such as law enforcement and justice where 962 police stations and 214 courts have been upgraded to disability accessibility standards. </w:t>
      </w:r>
    </w:p>
    <w:p w14:paraId="2205499C" w14:textId="7BBFDE5F" w:rsidR="00550434" w:rsidRPr="0052619D" w:rsidRDefault="00970F7E" w:rsidP="00970F7E">
      <w:pPr>
        <w:pStyle w:val="H1G"/>
      </w:pPr>
      <w:r>
        <w:tab/>
      </w:r>
      <w:r>
        <w:tab/>
        <w:t>A</w:t>
      </w:r>
      <w:r w:rsidR="00550434" w:rsidRPr="0052619D">
        <w:t>rt</w:t>
      </w:r>
      <w:r>
        <w:t>icle</w:t>
      </w:r>
      <w:r w:rsidR="00550434" w:rsidRPr="0052619D">
        <w:t>. 10</w:t>
      </w:r>
      <w:r>
        <w:br/>
      </w:r>
      <w:r w:rsidRPr="0052619D">
        <w:t>Right to life</w:t>
      </w:r>
    </w:p>
    <w:p w14:paraId="3FE5B4A6" w14:textId="7D66FC1E" w:rsidR="00550434" w:rsidRPr="0052619D" w:rsidRDefault="00970F7E" w:rsidP="00970F7E">
      <w:pPr>
        <w:pStyle w:val="H23G"/>
        <w:rPr>
          <w:bCs/>
        </w:rPr>
      </w:pPr>
      <w:r>
        <w:tab/>
      </w:r>
      <w:r>
        <w:tab/>
      </w:r>
      <w:r w:rsidR="00550434" w:rsidRPr="0052619D">
        <w:t xml:space="preserve">Reply to 8 (a) </w:t>
      </w:r>
    </w:p>
    <w:p w14:paraId="1B76A796" w14:textId="6C473C89" w:rsidR="00550434" w:rsidRPr="0052619D" w:rsidRDefault="00550434" w:rsidP="00FA528F">
      <w:pPr>
        <w:pStyle w:val="SingleTxtG"/>
        <w:numPr>
          <w:ilvl w:val="0"/>
          <w:numId w:val="28"/>
        </w:numPr>
        <w:ind w:left="1134" w:firstLine="0"/>
      </w:pPr>
      <w:r w:rsidRPr="0052619D">
        <w:t xml:space="preserve">The National Albinism Task Force, in collaboration with DWYPD and Department of Sports, Arts and Culture (DSAC), developed the National Safety Plan for Persons with Albinism (NSPPA) to strengthen protection, prevent discrimination, and eradicate harmful practices. </w:t>
      </w:r>
    </w:p>
    <w:p w14:paraId="73B96124" w14:textId="351C0985" w:rsidR="00550434" w:rsidRPr="0052619D" w:rsidRDefault="00550434" w:rsidP="00FA528F">
      <w:pPr>
        <w:pStyle w:val="SingleTxtG"/>
        <w:numPr>
          <w:ilvl w:val="0"/>
          <w:numId w:val="28"/>
        </w:numPr>
        <w:ind w:left="1134" w:firstLine="0"/>
      </w:pPr>
      <w:r w:rsidRPr="0052619D">
        <w:t xml:space="preserve">Crimes against people with Albinism are treated as serious offenses, with the NPA prioritising victim-centric approaches and prosecutor-guided investigations for swift trials.  The Committee is referred to Annexure 2 for examples of cases which </w:t>
      </w:r>
      <w:r w:rsidRPr="0052619D">
        <w:rPr>
          <w:color w:val="000000" w:themeColor="text1"/>
        </w:rPr>
        <w:t>demonstrate judicial responses to hate crimes.</w:t>
      </w:r>
    </w:p>
    <w:p w14:paraId="412B55B8" w14:textId="7D6ABA72" w:rsidR="00550434" w:rsidRPr="0052619D" w:rsidRDefault="00550434" w:rsidP="00FA528F">
      <w:pPr>
        <w:pStyle w:val="SingleTxtG"/>
        <w:numPr>
          <w:ilvl w:val="0"/>
          <w:numId w:val="28"/>
        </w:numPr>
        <w:ind w:left="1134" w:firstLine="0"/>
      </w:pPr>
      <w:r w:rsidRPr="0052619D">
        <w:t xml:space="preserve">Awareness initiatives include SAPS collaboration with the Albinism Society of South Africa (ASSA) to dispel myths, border campaigns with Mozambique and Eswatini, and DOJCD-led discussions on equal justice. Materials such as brochures </w:t>
      </w:r>
      <w:r w:rsidRPr="0052619D">
        <w:rPr>
          <w:color w:val="000000" w:themeColor="text1"/>
        </w:rPr>
        <w:t xml:space="preserve">on Security Tips for Parents and Children with Albinism and those addressing myths attached to people with Albinism were distributed across borders and to officials working at the border gates. </w:t>
      </w:r>
      <w:r w:rsidRPr="0052619D">
        <w:t>The Social Cohesion Community Outreach and Moral Regeneration Programme raises awareness to combat stigma and persecution, especially in rural areas.</w:t>
      </w:r>
    </w:p>
    <w:p w14:paraId="0A51FF05" w14:textId="0E32AC46" w:rsidR="00550434" w:rsidRPr="0052619D" w:rsidRDefault="00550434" w:rsidP="00FA528F">
      <w:pPr>
        <w:pStyle w:val="SingleTxtG"/>
        <w:numPr>
          <w:ilvl w:val="0"/>
          <w:numId w:val="28"/>
        </w:numPr>
        <w:ind w:left="1134" w:firstLine="0"/>
        <w:rPr>
          <w:color w:val="000000" w:themeColor="text1"/>
        </w:rPr>
      </w:pPr>
      <w:r w:rsidRPr="0052619D">
        <w:lastRenderedPageBreak/>
        <w:t>Legislative measures include the Prevention and Combating of Hate Crimes and Hate Speech Act (2023) which specifically lists albinism as a disability, and the proposed Prohibition of Witchcraft Practices Associated with Witchcraft Beliefs Bill which criminalizes ritual killings.</w:t>
      </w:r>
      <w:r w:rsidRPr="0052619D">
        <w:rPr>
          <w:color w:val="000000" w:themeColor="text1"/>
        </w:rPr>
        <w:t xml:space="preserve">  The proposed Bill prohibits killings relating to ritual and traditional beliefs.</w:t>
      </w:r>
    </w:p>
    <w:p w14:paraId="53FB9E0B" w14:textId="49F6C52A" w:rsidR="00550434" w:rsidRPr="0052619D" w:rsidRDefault="00970F7E" w:rsidP="00970F7E">
      <w:pPr>
        <w:pStyle w:val="H23G"/>
        <w:rPr>
          <w:highlight w:val="yellow"/>
        </w:rPr>
      </w:pPr>
      <w:r>
        <w:tab/>
      </w:r>
      <w:r>
        <w:tab/>
      </w:r>
      <w:r w:rsidR="00550434" w:rsidRPr="0052619D">
        <w:t xml:space="preserve">Reply to 8 (b) </w:t>
      </w:r>
    </w:p>
    <w:p w14:paraId="30264A62" w14:textId="00933114" w:rsidR="00550434" w:rsidRPr="0052619D" w:rsidRDefault="00550434" w:rsidP="00FA528F">
      <w:pPr>
        <w:pStyle w:val="SingleTxtG"/>
        <w:numPr>
          <w:ilvl w:val="0"/>
          <w:numId w:val="28"/>
        </w:numPr>
        <w:ind w:left="1134" w:firstLine="0"/>
      </w:pPr>
      <w:r w:rsidRPr="0052619D">
        <w:t>The National Albinism Task Force (NATF), established in 2019 under the auspices of the former UN Independent Expert on Albinism (Ms Ikponwosa Ero), developed the NSPPA in consultation with stakeholders, aligning it with the Ekurhuleni Declaration. Its operational period is under review for potential extension to 2030 subject to Cabinet approval.</w:t>
      </w:r>
    </w:p>
    <w:p w14:paraId="53999A8C" w14:textId="08ACB107" w:rsidR="00550434" w:rsidRPr="0052619D" w:rsidRDefault="00550434" w:rsidP="00FA528F">
      <w:pPr>
        <w:pStyle w:val="SingleTxtG"/>
        <w:numPr>
          <w:ilvl w:val="0"/>
          <w:numId w:val="28"/>
        </w:numPr>
        <w:ind w:left="1134" w:firstLine="0"/>
      </w:pPr>
      <w:r w:rsidRPr="0052619D">
        <w:t>Persons with albinism can report human rights violations through government bodies, the SAHRC, CGE, Parliamentary Committees, SAPS, and the Office of the Public Protector, and seek redress through the courts.</w:t>
      </w:r>
    </w:p>
    <w:p w14:paraId="702F24EA" w14:textId="1524CCF8" w:rsidR="00550434" w:rsidRPr="0052619D" w:rsidRDefault="00970F7E" w:rsidP="00970F7E">
      <w:pPr>
        <w:pStyle w:val="H23G"/>
      </w:pPr>
      <w:bookmarkStart w:id="15" w:name="_heading=h.34g0dwd" w:colFirst="0" w:colLast="0"/>
      <w:bookmarkStart w:id="16" w:name="_heading=h.1jlao46" w:colFirst="0" w:colLast="0"/>
      <w:bookmarkEnd w:id="15"/>
      <w:bookmarkEnd w:id="16"/>
      <w:r>
        <w:tab/>
      </w:r>
      <w:r>
        <w:tab/>
      </w:r>
      <w:r w:rsidR="00550434" w:rsidRPr="0052619D">
        <w:t>Reply to 8 (c)</w:t>
      </w:r>
    </w:p>
    <w:p w14:paraId="5C6EDCF3" w14:textId="2D82D9B0" w:rsidR="00550434" w:rsidRPr="0052619D" w:rsidRDefault="00550434" w:rsidP="00FA528F">
      <w:pPr>
        <w:pStyle w:val="SingleTxtG"/>
        <w:numPr>
          <w:ilvl w:val="0"/>
          <w:numId w:val="28"/>
        </w:numPr>
        <w:ind w:left="1134" w:firstLine="0"/>
      </w:pPr>
      <w:r w:rsidRPr="0052619D">
        <w:rPr>
          <w:bCs/>
        </w:rPr>
        <w:t>An</w:t>
      </w:r>
      <w:r w:rsidRPr="0052619D">
        <w:t xml:space="preserve"> Independent Tribunal was established in 2018 to investigate the Life Esidimeni tragedy. Claimants received a R1.2 million arbitration award in compensatory and reparatory damages, expenses, and pain and suffering, with R159.46 million paid out to date. </w:t>
      </w:r>
    </w:p>
    <w:p w14:paraId="5D5A4B7D" w14:textId="22795F78" w:rsidR="00550434" w:rsidRPr="0052619D" w:rsidRDefault="00550434" w:rsidP="00FA528F">
      <w:pPr>
        <w:pStyle w:val="SingleTxtG"/>
        <w:numPr>
          <w:ilvl w:val="0"/>
          <w:numId w:val="28"/>
        </w:numPr>
        <w:ind w:left="1134" w:firstLine="0"/>
      </w:pPr>
      <w:r w:rsidRPr="0052619D">
        <w:t>The High Court identified two senior officials as responsible for unnatural deaths, and the NPA is in the process of assessing these cases against the two individuals.</w:t>
      </w:r>
    </w:p>
    <w:p w14:paraId="12B1AD3D" w14:textId="4A4320DC" w:rsidR="00550434" w:rsidRPr="0052619D" w:rsidRDefault="00550434" w:rsidP="00FA528F">
      <w:pPr>
        <w:pStyle w:val="SingleTxtG"/>
        <w:numPr>
          <w:ilvl w:val="0"/>
          <w:numId w:val="28"/>
        </w:numPr>
        <w:ind w:left="1134" w:firstLine="0"/>
      </w:pPr>
      <w:r w:rsidRPr="0052619D">
        <w:t>Efforts to locate eight unaccounted persons with disabilities continue through DoH, SAPS, DHA, and the Sou</w:t>
      </w:r>
      <w:r w:rsidRPr="0052619D">
        <w:rPr>
          <w:color w:val="000000" w:themeColor="text1"/>
        </w:rPr>
        <w:t>th African Social Security Agency (</w:t>
      </w:r>
      <w:r w:rsidRPr="0052619D">
        <w:t>SASSA), but incomplete records have significantly hindered tracing and progress.</w:t>
      </w:r>
    </w:p>
    <w:p w14:paraId="21150267" w14:textId="38D39D58" w:rsidR="00550434" w:rsidRPr="0052619D" w:rsidRDefault="00970F7E" w:rsidP="00970F7E">
      <w:pPr>
        <w:pStyle w:val="H23G"/>
      </w:pPr>
      <w:bookmarkStart w:id="17" w:name="_heading=h.2pta16n" w:colFirst="0" w:colLast="0"/>
      <w:bookmarkStart w:id="18" w:name="_heading=h.43ky6rz" w:colFirst="0" w:colLast="0"/>
      <w:bookmarkEnd w:id="17"/>
      <w:bookmarkEnd w:id="18"/>
      <w:r>
        <w:tab/>
      </w:r>
      <w:r>
        <w:tab/>
      </w:r>
      <w:r w:rsidR="00550434" w:rsidRPr="0052619D">
        <w:t>Reply to 8 (d)</w:t>
      </w:r>
    </w:p>
    <w:p w14:paraId="1B9FCC8A" w14:textId="51F4D93D" w:rsidR="00550434" w:rsidRPr="0052619D" w:rsidRDefault="00550434" w:rsidP="00FA528F">
      <w:pPr>
        <w:pStyle w:val="SingleTxtG"/>
        <w:numPr>
          <w:ilvl w:val="0"/>
          <w:numId w:val="28"/>
        </w:numPr>
        <w:ind w:left="1134" w:firstLine="0"/>
      </w:pPr>
      <w:r w:rsidRPr="0052619D">
        <w:t xml:space="preserve">Government has introduced measures to stabilize electricity and incentivize alternative energy solutions. Long-Term Domiciliary Oxygen Therapy (LTDOT) is available through a national contract, providing concentrators for people with electricity access and cylinder-based services for those without. </w:t>
      </w:r>
      <w:r w:rsidRPr="0052619D">
        <w:rPr>
          <w:color w:val="000000" w:themeColor="text1"/>
        </w:rPr>
        <w:t>Continuous positive airway pressure</w:t>
      </w:r>
      <w:r w:rsidRPr="0052619D">
        <w:t xml:space="preserve"> (CPAP) therapy is not included.</w:t>
      </w:r>
    </w:p>
    <w:p w14:paraId="490E17B9" w14:textId="0FDDD875" w:rsidR="00550434" w:rsidRPr="0052619D" w:rsidRDefault="00550434" w:rsidP="00FA528F">
      <w:pPr>
        <w:pStyle w:val="SingleTxtG"/>
        <w:numPr>
          <w:ilvl w:val="0"/>
          <w:numId w:val="28"/>
        </w:numPr>
        <w:ind w:left="1134" w:firstLine="0"/>
      </w:pPr>
      <w:r w:rsidRPr="0052619D">
        <w:t>Government has implemented measures to stabilise the power supply. Additionally, Government has introduced incentives to promote the use of alternative energy solutions, such as solar and battery-powered systems, making them more accessible to those in need.</w:t>
      </w:r>
    </w:p>
    <w:p w14:paraId="6A8C5552" w14:textId="44A99D98" w:rsidR="00550434" w:rsidRPr="0052619D" w:rsidRDefault="00970F7E" w:rsidP="00970F7E">
      <w:pPr>
        <w:pStyle w:val="H1G"/>
      </w:pPr>
      <w:bookmarkStart w:id="19" w:name="_heading=h.xvir7l" w:colFirst="0" w:colLast="0"/>
      <w:bookmarkEnd w:id="19"/>
      <w:r>
        <w:tab/>
      </w:r>
      <w:r>
        <w:tab/>
        <w:t>Article</w:t>
      </w:r>
      <w:r w:rsidR="00550434" w:rsidRPr="0052619D">
        <w:t>. 11</w:t>
      </w:r>
      <w:r>
        <w:br/>
      </w:r>
      <w:r w:rsidRPr="0052619D">
        <w:t>Situations of risk and humanitarian emergencies</w:t>
      </w:r>
    </w:p>
    <w:p w14:paraId="24B22D64" w14:textId="4170E349" w:rsidR="00550434" w:rsidRPr="0052619D" w:rsidRDefault="00970F7E" w:rsidP="00970F7E">
      <w:pPr>
        <w:pStyle w:val="H23G"/>
      </w:pPr>
      <w:r>
        <w:tab/>
      </w:r>
      <w:r>
        <w:tab/>
      </w:r>
      <w:r w:rsidR="00550434" w:rsidRPr="0052619D">
        <w:t>Reply to 9(a)</w:t>
      </w:r>
    </w:p>
    <w:p w14:paraId="01C510CF" w14:textId="0F5DB9FF" w:rsidR="00550434" w:rsidRPr="0052619D" w:rsidRDefault="00550434" w:rsidP="00FA528F">
      <w:pPr>
        <w:pStyle w:val="SingleTxtG"/>
        <w:numPr>
          <w:ilvl w:val="0"/>
          <w:numId w:val="28"/>
        </w:numPr>
        <w:ind w:left="1134" w:firstLine="0"/>
      </w:pPr>
      <w:bookmarkStart w:id="20" w:name="_heading=h.3hv69ve" w:colFirst="0" w:colLast="0"/>
      <w:bookmarkEnd w:id="20"/>
      <w:r w:rsidRPr="0052619D">
        <w:t xml:space="preserve">South Africa faced significant challenges during the COVID-19 pandemic, exacerbated by deep inequality, poverty, and a strained public health system. </w:t>
      </w:r>
    </w:p>
    <w:p w14:paraId="47F085E0" w14:textId="39D84FAE" w:rsidR="00550434" w:rsidRPr="0052619D" w:rsidRDefault="00550434" w:rsidP="00FA528F">
      <w:pPr>
        <w:pStyle w:val="SingleTxtG"/>
        <w:numPr>
          <w:ilvl w:val="0"/>
          <w:numId w:val="28"/>
        </w:numPr>
        <w:ind w:left="1134" w:firstLine="0"/>
      </w:pPr>
      <w:r w:rsidRPr="0052619D">
        <w:t>Government implemented targeted interventions to protect all citizens, including persons with disabilities. The National Treasury allocated R500 billion between 2020 and 2021 to health, social grants, and emergency relief. A special relief of distress grant was provided by government to the unemployed during the period and has been extended until 2026.</w:t>
      </w:r>
    </w:p>
    <w:p w14:paraId="2827E1AB" w14:textId="13017C44" w:rsidR="00550434" w:rsidRPr="0052619D" w:rsidRDefault="00550434" w:rsidP="00FA528F">
      <w:pPr>
        <w:pStyle w:val="SingleTxtG"/>
        <w:numPr>
          <w:ilvl w:val="0"/>
          <w:numId w:val="28"/>
        </w:numPr>
        <w:ind w:left="1134" w:firstLine="0"/>
      </w:pPr>
      <w:r w:rsidRPr="0052619D">
        <w:t>Recognising that persons with disabilities and vulnerable groups faced heightened risks due to healthcare, information, and social service barriers, the government activated the National Disaster Management Act (DMA) and established the National Coronavirus Command Council (NCCC).</w:t>
      </w:r>
    </w:p>
    <w:p w14:paraId="044C5B87" w14:textId="1649ACD9" w:rsidR="00550434" w:rsidRPr="0052619D" w:rsidRDefault="00550434" w:rsidP="00FA528F">
      <w:pPr>
        <w:pStyle w:val="SingleTxtG"/>
        <w:numPr>
          <w:ilvl w:val="0"/>
          <w:numId w:val="28"/>
        </w:numPr>
        <w:ind w:left="1134" w:firstLine="0"/>
      </w:pPr>
      <w:r w:rsidRPr="0052619D">
        <w:lastRenderedPageBreak/>
        <w:t>The NCCC, supported by multidisciplinary experts, ensured that disability-specific concerns were raised through the DWYPD. Sector-specific regulations and phased lockdowns took into account vulnerable and at-risk populations.</w:t>
      </w:r>
    </w:p>
    <w:p w14:paraId="7DAA67B1" w14:textId="6C91F730" w:rsidR="00550434" w:rsidRPr="0052619D" w:rsidRDefault="00550434" w:rsidP="00FA528F">
      <w:pPr>
        <w:pStyle w:val="SingleTxtG"/>
        <w:numPr>
          <w:ilvl w:val="0"/>
          <w:numId w:val="28"/>
        </w:numPr>
        <w:ind w:left="1134" w:firstLine="0"/>
      </w:pPr>
      <w:r w:rsidRPr="0052619D">
        <w:t>Health facilities were repurposed, and field hospitals were established. Mobile clinics and community health workers expanded healthcare access, while drive-through testing reduced exposure risks. The February 2021 vaccination rollout included targeted outreach, ensuring accessibility through formats such as sign language interpretation.</w:t>
      </w:r>
    </w:p>
    <w:p w14:paraId="27B747B0" w14:textId="0779FFAB" w:rsidR="00550434" w:rsidRPr="0052619D" w:rsidRDefault="00550434" w:rsidP="00FA528F">
      <w:pPr>
        <w:pStyle w:val="SingleTxtG"/>
        <w:numPr>
          <w:ilvl w:val="0"/>
          <w:numId w:val="28"/>
        </w:numPr>
        <w:ind w:left="1134" w:firstLine="0"/>
      </w:pPr>
      <w:r w:rsidRPr="0052619D">
        <w:t>Social assistance was sustained, with additional food parcels and social distress packages, ensuring access to essentials like masks and medicines. The National School Nutrition Programme (NSNP) continued to provide meals to over nine million children, including those with disabilities.</w:t>
      </w:r>
    </w:p>
    <w:p w14:paraId="40E1C719" w14:textId="18DF08AD" w:rsidR="00550434" w:rsidRPr="0052619D" w:rsidRDefault="00550434" w:rsidP="00FA528F">
      <w:pPr>
        <w:pStyle w:val="SingleTxtG"/>
        <w:numPr>
          <w:ilvl w:val="0"/>
          <w:numId w:val="28"/>
        </w:numPr>
        <w:ind w:left="1134" w:firstLine="0"/>
      </w:pPr>
      <w:r w:rsidRPr="0052619D">
        <w:t>Over 670 auxiliary workers were trained to support people with disabilities, aligned with the Guidelines for the Empowerment of Persons with Disabilities (2020). Standard Operating Procedures (SOPs) were issued for disability centres, with training for caregivers, officials, and parents. Child and Youth Care Centres (CYCCs) developed aligned SOPs, adopting national monitoring tools.</w:t>
      </w:r>
    </w:p>
    <w:p w14:paraId="7E6B23C2" w14:textId="08068D4D" w:rsidR="00550434" w:rsidRPr="0052619D" w:rsidRDefault="00550434" w:rsidP="00FA528F">
      <w:pPr>
        <w:pStyle w:val="SingleTxtG"/>
        <w:numPr>
          <w:ilvl w:val="0"/>
          <w:numId w:val="28"/>
        </w:numPr>
        <w:ind w:left="1134" w:firstLine="0"/>
      </w:pPr>
      <w:r w:rsidRPr="0052619D">
        <w:t>Public communication efforts included daily briefings with sign language interpretation, standardised SASL terms for COVID-19, and broad dissemination via community radio and public broadcasting. In collaboration with UNICEF and the LEGO Foundation, resources for home-based stimulation reached over 510,000 parents and children. A dedicated COVID-19 website provided continuously updated resources.</w:t>
      </w:r>
    </w:p>
    <w:p w14:paraId="3235F155" w14:textId="58315081" w:rsidR="00550434" w:rsidRPr="0052619D" w:rsidRDefault="00550434" w:rsidP="00FA528F">
      <w:pPr>
        <w:pStyle w:val="SingleTxtG"/>
        <w:numPr>
          <w:ilvl w:val="0"/>
          <w:numId w:val="28"/>
        </w:numPr>
        <w:ind w:left="1134" w:firstLine="0"/>
      </w:pPr>
      <w:r w:rsidRPr="0052619D">
        <w:t xml:space="preserve">The pandemic’s economic fallout increased government debt and hindered social objectives. The Economic Reconstruction and Recovery Plan (ERRP) was launched, prioritizing job creation, infrastructure development, and social relief. </w:t>
      </w:r>
    </w:p>
    <w:p w14:paraId="4D0DA661" w14:textId="6EE89627" w:rsidR="00550434" w:rsidRPr="0052619D" w:rsidRDefault="00550434" w:rsidP="00FA528F">
      <w:pPr>
        <w:pStyle w:val="SingleTxtG"/>
        <w:numPr>
          <w:ilvl w:val="0"/>
          <w:numId w:val="28"/>
        </w:numPr>
        <w:ind w:left="1134" w:firstLine="0"/>
      </w:pPr>
      <w:r w:rsidRPr="0052619D">
        <w:t>The Presidential Employment Stimulus, and expanded social grants aimed to address poverty and inequality. Digital transformation investments, including telemedicine and e-learning, enhanced accessibility for people with disabilities.</w:t>
      </w:r>
    </w:p>
    <w:p w14:paraId="720B5D29" w14:textId="2CAF905D" w:rsidR="00550434" w:rsidRPr="0052619D" w:rsidRDefault="00550434" w:rsidP="00FA528F">
      <w:pPr>
        <w:pStyle w:val="SingleTxtG"/>
        <w:numPr>
          <w:ilvl w:val="0"/>
          <w:numId w:val="28"/>
        </w:numPr>
        <w:ind w:left="1134" w:firstLine="0"/>
      </w:pPr>
      <w:r w:rsidRPr="0052619D">
        <w:t>Research conducted in partnership with the United Nations Office of the High Commissioner for Human Rights (OHCHR) highlighted the pandemic’s impact on persons with disabilities. Insights from these lived experiences and consultation will also inform revisions to the NDM to improve risk mitigation, inclusion and resilience in future emergencies.</w:t>
      </w:r>
    </w:p>
    <w:p w14:paraId="16523249" w14:textId="5AF16B35" w:rsidR="00550434" w:rsidRPr="0052619D" w:rsidRDefault="008F23F1" w:rsidP="008F23F1">
      <w:pPr>
        <w:pStyle w:val="H23G"/>
      </w:pPr>
      <w:r>
        <w:tab/>
      </w:r>
      <w:r>
        <w:tab/>
      </w:r>
      <w:r w:rsidR="00550434" w:rsidRPr="0052619D">
        <w:t>Reply to 9 (b)</w:t>
      </w:r>
    </w:p>
    <w:p w14:paraId="79F28FD9" w14:textId="666BBD7B" w:rsidR="00550434" w:rsidRPr="0052619D" w:rsidRDefault="00550434" w:rsidP="00FA528F">
      <w:pPr>
        <w:pStyle w:val="SingleTxtG"/>
        <w:numPr>
          <w:ilvl w:val="0"/>
          <w:numId w:val="28"/>
        </w:numPr>
        <w:ind w:left="1134" w:firstLine="0"/>
      </w:pPr>
      <w:r w:rsidRPr="0052619D">
        <w:t>The International Organization for Migration (IOM) collaborates with the government and the National Anti-Trafficking-Task Force (NATTF) to enhance safety and protection for migrants with disabilities, including persons with Albinism. These interventions will be integrated into the revised DMA.</w:t>
      </w:r>
    </w:p>
    <w:p w14:paraId="3D66C4F4" w14:textId="67052405" w:rsidR="00550434" w:rsidRPr="0052619D" w:rsidRDefault="00550434" w:rsidP="00FA528F">
      <w:pPr>
        <w:pStyle w:val="SingleTxtG"/>
        <w:numPr>
          <w:ilvl w:val="0"/>
          <w:numId w:val="28"/>
        </w:numPr>
        <w:ind w:left="1134" w:firstLine="0"/>
      </w:pPr>
      <w:r w:rsidRPr="0052619D">
        <w:t>During the pandemic, all individuals, regardless of legal status, had access to essential services such as healthcare, temporary accommodation, school nutrition programmes, and social distress packages under the DMA. The DHA implemented online services to facilitate processing. Designated repatriation centres adhered to SOPs aligned with disaster regulations. Separated migrant children with disabilities were housed in shelters and CYCCs.</w:t>
      </w:r>
    </w:p>
    <w:p w14:paraId="23943673" w14:textId="0DE6DD86" w:rsidR="00550434" w:rsidRPr="0052619D" w:rsidRDefault="00550434" w:rsidP="00FA528F">
      <w:pPr>
        <w:pStyle w:val="SingleTxtG"/>
        <w:numPr>
          <w:ilvl w:val="0"/>
          <w:numId w:val="28"/>
        </w:numPr>
        <w:ind w:left="1134" w:firstLine="0"/>
      </w:pPr>
      <w:r w:rsidRPr="0052619D">
        <w:t>Government partnerships with donor agencies, NGOs, and the private sector expanded service provision, ensuring access to food, vaccination, information, and protection services for all persons, including undocumented migrants.</w:t>
      </w:r>
    </w:p>
    <w:p w14:paraId="1021F4F2" w14:textId="4828B57C" w:rsidR="00550434" w:rsidRPr="0052619D" w:rsidRDefault="00550434" w:rsidP="00FA528F">
      <w:pPr>
        <w:pStyle w:val="SingleTxtG"/>
        <w:numPr>
          <w:ilvl w:val="0"/>
          <w:numId w:val="28"/>
        </w:numPr>
        <w:ind w:left="1134" w:firstLine="0"/>
      </w:pPr>
      <w:r w:rsidRPr="0052619D">
        <w:t>Refugees and permanent residents have full access to housing rights. However, outside emergency and disaster situations, housing rights are not progressively realized for individuals who are undocumented migrants. Undocumented migrants with disabilities can access healthcare and education but not permanent social housing, except for temporary residential units during emergencies.</w:t>
      </w:r>
    </w:p>
    <w:p w14:paraId="0A53265F" w14:textId="611D43DA" w:rsidR="00550434" w:rsidRPr="0052619D" w:rsidRDefault="00550434" w:rsidP="00FA528F">
      <w:pPr>
        <w:pStyle w:val="SingleTxtG"/>
        <w:numPr>
          <w:ilvl w:val="0"/>
          <w:numId w:val="28"/>
        </w:numPr>
        <w:ind w:left="1134" w:firstLine="0"/>
      </w:pPr>
      <w:r w:rsidRPr="0052619D">
        <w:t xml:space="preserve">Prejudice against undocumented migrants has led to sporadic xenophobic violence. Government continues to implement the National Action Plan to Combat Racism, Racial </w:t>
      </w:r>
      <w:r w:rsidRPr="0052619D">
        <w:lastRenderedPageBreak/>
        <w:t>Discrimination, Xenophobia and Relate Intolerance (2019) (NAP) in collaboration with the OHCHR, regional counterparts, and local communities to promote social cohesion, combat xenophobia, and strengthen human rights protections for migrants with disabilities.</w:t>
      </w:r>
    </w:p>
    <w:p w14:paraId="4CE34F08" w14:textId="364676BF" w:rsidR="00550434" w:rsidRPr="0052619D" w:rsidRDefault="00550434" w:rsidP="00FA528F">
      <w:pPr>
        <w:pStyle w:val="SingleTxtG"/>
        <w:numPr>
          <w:ilvl w:val="0"/>
          <w:numId w:val="28"/>
        </w:numPr>
        <w:ind w:left="1134" w:firstLine="0"/>
      </w:pPr>
      <w:r w:rsidRPr="0052619D">
        <w:t>South Africa has also signed the Southern African Development Community (SADC) Protocol on Facilitation of the Movement of Persons, which includes provisions beneficial to persons with disabilities.</w:t>
      </w:r>
    </w:p>
    <w:p w14:paraId="2577885B" w14:textId="57ADE2EB" w:rsidR="00550434" w:rsidRPr="0052619D" w:rsidRDefault="008F23F1" w:rsidP="008F23F1">
      <w:pPr>
        <w:pStyle w:val="H23G"/>
      </w:pPr>
      <w:r>
        <w:tab/>
      </w:r>
      <w:r>
        <w:tab/>
      </w:r>
      <w:r w:rsidR="00550434" w:rsidRPr="0052619D">
        <w:t>Reply to 9 (c)</w:t>
      </w:r>
    </w:p>
    <w:p w14:paraId="01927E99" w14:textId="3734C6DC" w:rsidR="00550434" w:rsidRPr="0052619D" w:rsidRDefault="00550434" w:rsidP="00FA528F">
      <w:pPr>
        <w:pStyle w:val="SingleTxtG"/>
        <w:numPr>
          <w:ilvl w:val="0"/>
          <w:numId w:val="28"/>
        </w:numPr>
        <w:ind w:left="1134" w:firstLine="0"/>
      </w:pPr>
      <w:r w:rsidRPr="0052619D">
        <w:t>Research and engagement with DPOs underscored the interrelated and exacerbated challenges faced by people with psychosocial disabilities. The DMA and the National Disaster Management Framework (NDMF) mandate disability-inclusive disaster planning. Ongoing reviews aim to strengthen implementation and alignment with global frameworks like the Sendai Framework for Disaster Risk Reduction (2015–2030).</w:t>
      </w:r>
    </w:p>
    <w:p w14:paraId="243C8FC8" w14:textId="3F9B317E" w:rsidR="00550434" w:rsidRPr="0052619D" w:rsidRDefault="00550434" w:rsidP="00FA528F">
      <w:pPr>
        <w:pStyle w:val="SingleTxtG"/>
        <w:numPr>
          <w:ilvl w:val="0"/>
          <w:numId w:val="28"/>
        </w:numPr>
        <w:ind w:left="1134" w:firstLine="0"/>
      </w:pPr>
      <w:r w:rsidRPr="0052619D">
        <w:t>Disaster Management Centres at all levels coordinate emergency responses, supported by advisory forums that include technical experts and disability advocates. The Disaster Management Joint Special Operations Command (DMJSOC) oversees multi-hazard responses. Institutions such as the SAHRC and the CGE monitor discriminatory practices. The DWYPD ensures disability considerations are integrated across interventions.</w:t>
      </w:r>
    </w:p>
    <w:p w14:paraId="2CC60428" w14:textId="59948340" w:rsidR="00550434" w:rsidRPr="0052619D" w:rsidRDefault="00550434" w:rsidP="00FA528F">
      <w:pPr>
        <w:pStyle w:val="SingleTxtG"/>
        <w:numPr>
          <w:ilvl w:val="0"/>
          <w:numId w:val="28"/>
        </w:numPr>
        <w:ind w:left="1134" w:firstLine="0"/>
      </w:pPr>
      <w:r w:rsidRPr="0052619D">
        <w:t>Government-led emergency relief measures include health services, temporary shelter, food, water, sanitation, security, replacement of lost documentation, and early warning systems to ensure timely disaster alerts for people with disabilities. Collaboration with international and domestic partners enhances service delivery.</w:t>
      </w:r>
    </w:p>
    <w:p w14:paraId="11AFE757" w14:textId="1848EC55" w:rsidR="00550434" w:rsidRPr="0052619D" w:rsidRDefault="00550434" w:rsidP="00FA528F">
      <w:pPr>
        <w:pStyle w:val="SingleTxtG"/>
        <w:numPr>
          <w:ilvl w:val="0"/>
          <w:numId w:val="28"/>
        </w:numPr>
        <w:ind w:left="1134" w:firstLine="0"/>
      </w:pPr>
      <w:r w:rsidRPr="0052619D">
        <w:t>Recognising the impact of climate change, South Africa adopted the Just Transition Framework to promote an inclusive shift to a low-carbon economy. A 2023 status report on climate change and disability inclusion informs ongoing research for inclusive disaster management strategies by 2025. The government remains committed to strengthening resilience, reducing vulnerabilities, and ensuring disability-inclusive disaster risk reduction and response efforts.</w:t>
      </w:r>
    </w:p>
    <w:p w14:paraId="62B6D5EA" w14:textId="25AB05A9" w:rsidR="00550434" w:rsidRPr="0052619D" w:rsidRDefault="00470B6A" w:rsidP="00470B6A">
      <w:pPr>
        <w:pStyle w:val="H23G"/>
      </w:pPr>
      <w:r>
        <w:tab/>
      </w:r>
      <w:r>
        <w:tab/>
      </w:r>
      <w:r w:rsidR="00550434" w:rsidRPr="0052619D">
        <w:t>Reply to 9 (d)</w:t>
      </w:r>
    </w:p>
    <w:p w14:paraId="03A62CE6" w14:textId="6A187FB6" w:rsidR="00550434" w:rsidRPr="0052619D" w:rsidRDefault="00550434" w:rsidP="00FA528F">
      <w:pPr>
        <w:pStyle w:val="SingleTxtG"/>
        <w:numPr>
          <w:ilvl w:val="0"/>
          <w:numId w:val="28"/>
        </w:numPr>
        <w:ind w:left="1134" w:firstLine="0"/>
      </w:pPr>
      <w:r w:rsidRPr="0052619D">
        <w:t>Government communication policies ensure risk-related information is accessible to all. Sign language is now South Africa’s 12th official language, with interpreters available for emergency communication. Organizations like PanSALB disseminate SASL videos via social media and digital platforms.</w:t>
      </w:r>
    </w:p>
    <w:p w14:paraId="5D029E81" w14:textId="0FDC88F7" w:rsidR="00550434" w:rsidRPr="0052619D" w:rsidRDefault="00550434" w:rsidP="00FA528F">
      <w:pPr>
        <w:pStyle w:val="SingleTxtG"/>
        <w:numPr>
          <w:ilvl w:val="0"/>
          <w:numId w:val="28"/>
        </w:numPr>
        <w:ind w:left="1134" w:firstLine="0"/>
      </w:pPr>
      <w:r w:rsidRPr="0052619D">
        <w:t>Government departments provide simplified emergency information in accessible formats. The state broadcaster airs updates with subtitles and sign language interpretation. Community development workers and disaster teams sustain on-site communications.</w:t>
      </w:r>
    </w:p>
    <w:p w14:paraId="19069986" w14:textId="1D544518" w:rsidR="00550434" w:rsidRPr="0052619D" w:rsidRDefault="00550434" w:rsidP="00FA528F">
      <w:pPr>
        <w:pStyle w:val="SingleTxtG"/>
        <w:numPr>
          <w:ilvl w:val="0"/>
          <w:numId w:val="28"/>
        </w:numPr>
        <w:ind w:left="1134" w:firstLine="0"/>
      </w:pPr>
      <w:r w:rsidRPr="0052619D">
        <w:t xml:space="preserve">An </w:t>
      </w:r>
      <w:r w:rsidRPr="0052619D">
        <w:rPr>
          <w:color w:val="000000" w:themeColor="text1"/>
        </w:rPr>
        <w:t>Unstructured Supplementary Service Data</w:t>
      </w:r>
      <w:r w:rsidRPr="0052619D">
        <w:t xml:space="preserve"> (USSD) based system is being developed to facilitate transport solutions and emergency notifications for people with disabilities in rural areas, creating a regional database for evacuation coordination.</w:t>
      </w:r>
    </w:p>
    <w:p w14:paraId="02C57711" w14:textId="2711E0FC" w:rsidR="00550434" w:rsidRPr="0052619D" w:rsidRDefault="00550434" w:rsidP="00FA528F">
      <w:pPr>
        <w:pStyle w:val="SingleTxtG"/>
        <w:numPr>
          <w:ilvl w:val="0"/>
          <w:numId w:val="28"/>
        </w:numPr>
        <w:ind w:left="1134" w:firstLine="0"/>
      </w:pPr>
      <w:r w:rsidRPr="0052619D">
        <w:t>Government continues to prioritize the protection, inclusion, and accessibility of persons with disabilities in all disaster risk reduction efforts, ensuring that future crises are met with stronger, more inclusive frameworks.</w:t>
      </w:r>
    </w:p>
    <w:p w14:paraId="6FCD02E9" w14:textId="10CA6925" w:rsidR="00550434" w:rsidRPr="0052619D" w:rsidRDefault="00470B6A" w:rsidP="00470B6A">
      <w:pPr>
        <w:pStyle w:val="H1G"/>
        <w:rPr>
          <w:spacing w:val="-5"/>
        </w:rPr>
      </w:pPr>
      <w:r>
        <w:tab/>
      </w:r>
      <w:r>
        <w:tab/>
        <w:t>Article</w:t>
      </w:r>
      <w:r w:rsidR="00550434" w:rsidRPr="0052619D">
        <w:t>.</w:t>
      </w:r>
      <w:r w:rsidR="00550434" w:rsidRPr="0052619D">
        <w:rPr>
          <w:spacing w:val="-6"/>
        </w:rPr>
        <w:t xml:space="preserve"> </w:t>
      </w:r>
      <w:r w:rsidR="00550434" w:rsidRPr="0052619D">
        <w:rPr>
          <w:spacing w:val="-5"/>
        </w:rPr>
        <w:t>12</w:t>
      </w:r>
      <w:r>
        <w:rPr>
          <w:spacing w:val="-5"/>
        </w:rPr>
        <w:br/>
      </w:r>
      <w:r w:rsidR="006624FA" w:rsidRPr="0052619D">
        <w:t>Equal</w:t>
      </w:r>
      <w:r w:rsidR="006624FA" w:rsidRPr="0052619D">
        <w:rPr>
          <w:spacing w:val="-5"/>
        </w:rPr>
        <w:t xml:space="preserve"> </w:t>
      </w:r>
      <w:r w:rsidR="006624FA" w:rsidRPr="0052619D">
        <w:t>recognition</w:t>
      </w:r>
      <w:r w:rsidR="006624FA" w:rsidRPr="0052619D">
        <w:rPr>
          <w:spacing w:val="-5"/>
        </w:rPr>
        <w:t xml:space="preserve"> </w:t>
      </w:r>
      <w:r w:rsidR="006624FA" w:rsidRPr="0052619D">
        <w:t>before</w:t>
      </w:r>
      <w:r w:rsidR="006624FA" w:rsidRPr="0052619D">
        <w:rPr>
          <w:spacing w:val="-4"/>
        </w:rPr>
        <w:t xml:space="preserve"> </w:t>
      </w:r>
      <w:r w:rsidR="006624FA" w:rsidRPr="0052619D">
        <w:t>the</w:t>
      </w:r>
      <w:r w:rsidR="006624FA" w:rsidRPr="0052619D">
        <w:rPr>
          <w:spacing w:val="-4"/>
        </w:rPr>
        <w:t xml:space="preserve"> </w:t>
      </w:r>
      <w:r w:rsidR="006624FA" w:rsidRPr="0052619D">
        <w:t>law</w:t>
      </w:r>
    </w:p>
    <w:p w14:paraId="26F5A4D9" w14:textId="3B1C46D8" w:rsidR="00550434" w:rsidRPr="0052619D" w:rsidRDefault="006624FA" w:rsidP="006624FA">
      <w:pPr>
        <w:pStyle w:val="H23G"/>
      </w:pPr>
      <w:r>
        <w:tab/>
      </w:r>
      <w:r>
        <w:tab/>
      </w:r>
      <w:r w:rsidR="00550434" w:rsidRPr="0052619D">
        <w:t xml:space="preserve">Reply to 10 (a) </w:t>
      </w:r>
    </w:p>
    <w:p w14:paraId="02511021" w14:textId="671C498E" w:rsidR="00550434" w:rsidRPr="0052619D" w:rsidRDefault="00550434" w:rsidP="00FA528F">
      <w:pPr>
        <w:pStyle w:val="SingleTxtG"/>
        <w:numPr>
          <w:ilvl w:val="0"/>
          <w:numId w:val="28"/>
        </w:numPr>
        <w:ind w:left="1134" w:firstLine="0"/>
      </w:pPr>
      <w:r w:rsidRPr="0052619D">
        <w:t xml:space="preserve">The DOJCD Standing Standards informs the determination of assisted and supported decision-making strategies through proxy and procuratorship.  Determination of legal capacity for persons with disabilities regarding their livelihood decisions are also in place.  Legal standards assist the courts to make decisions on proxies, procuratorship, intermediaries, legal capacity, guardianships and adoptions. </w:t>
      </w:r>
    </w:p>
    <w:p w14:paraId="11662BEF" w14:textId="77777777" w:rsidR="00086060" w:rsidRDefault="00550434" w:rsidP="00FA528F">
      <w:pPr>
        <w:pStyle w:val="SingleTxtG"/>
        <w:numPr>
          <w:ilvl w:val="0"/>
          <w:numId w:val="28"/>
        </w:numPr>
        <w:ind w:left="1134" w:firstLine="0"/>
      </w:pPr>
      <w:r w:rsidRPr="0052619D">
        <w:lastRenderedPageBreak/>
        <w:t xml:space="preserve">155. </w:t>
      </w:r>
    </w:p>
    <w:p w14:paraId="271F8311" w14:textId="7BC7391A" w:rsidR="00550434" w:rsidRPr="0052619D" w:rsidRDefault="00550434" w:rsidP="00FA528F">
      <w:pPr>
        <w:pStyle w:val="SingleTxtG"/>
        <w:numPr>
          <w:ilvl w:val="0"/>
          <w:numId w:val="23"/>
        </w:numPr>
        <w:ind w:left="1134" w:firstLine="567"/>
      </w:pPr>
      <w:r w:rsidRPr="0052619D">
        <w:t xml:space="preserve">Government has taken an important step in the development of the Assisted Decision-Making Paper which proposes legal recognition for “informal support measures” applicable to persons with disabilities being supported by third parties when contracting, subject to certain safeguards.  The proposed creation of “formal support measures” includes a mechanism whereby the Master of the High Court may appoint a “financial supporter and/or a personal welfare supporter for a person with disability.”  The new regime is intended to replace the current curator </w:t>
      </w:r>
      <w:r w:rsidRPr="0052619D">
        <w:rPr>
          <w:i/>
          <w:iCs/>
        </w:rPr>
        <w:t>bonis and curator personae</w:t>
      </w:r>
      <w:r w:rsidRPr="0052619D">
        <w:t xml:space="preserve"> to ensure informed consent, autonomy and supported decision-making is promoted. </w:t>
      </w:r>
    </w:p>
    <w:p w14:paraId="6C590C82" w14:textId="7A60D828" w:rsidR="00550434" w:rsidRPr="0052619D" w:rsidRDefault="00550434" w:rsidP="00FA528F">
      <w:pPr>
        <w:pStyle w:val="SingleTxtG"/>
        <w:numPr>
          <w:ilvl w:val="0"/>
          <w:numId w:val="23"/>
        </w:numPr>
        <w:ind w:left="1134" w:firstLine="567"/>
      </w:pPr>
      <w:r w:rsidRPr="0052619D">
        <w:t xml:space="preserve">Plans are underway for the Brigitte Mabandla Justice College to develop a comprehensive training manual which would be inclusive of matters dealing with the legal capacity of persons with disabilities and on good practices in supported decision-making. </w:t>
      </w:r>
    </w:p>
    <w:p w14:paraId="0AF57418" w14:textId="3A894497" w:rsidR="00550434" w:rsidRPr="0052619D" w:rsidRDefault="001E0424" w:rsidP="001E0424">
      <w:pPr>
        <w:pStyle w:val="H23G"/>
      </w:pPr>
      <w:r>
        <w:tab/>
      </w:r>
      <w:r>
        <w:tab/>
      </w:r>
      <w:r w:rsidR="00550434" w:rsidRPr="0052619D">
        <w:t>Reply to 10(b)</w:t>
      </w:r>
    </w:p>
    <w:p w14:paraId="367938CC" w14:textId="77777777" w:rsidR="00550434" w:rsidRPr="0052619D" w:rsidRDefault="00550434" w:rsidP="00FA528F">
      <w:pPr>
        <w:pStyle w:val="SingleTxtG"/>
        <w:numPr>
          <w:ilvl w:val="0"/>
          <w:numId w:val="28"/>
        </w:numPr>
        <w:ind w:left="1134" w:firstLine="0"/>
      </w:pPr>
      <w:r w:rsidRPr="0052619D">
        <w:t>156. The DOJCD, has finalised and released the Discussion Paper and report on project 122 "Assisted Decision-Making" to the public.  Priority has been given to the development of a DRB which will impact on matters such as supported decision-making. (See s10(a) above).</w:t>
      </w:r>
    </w:p>
    <w:p w14:paraId="0E831A81" w14:textId="2D344F45" w:rsidR="00550434" w:rsidRPr="0052619D" w:rsidRDefault="001E0424" w:rsidP="001E0424">
      <w:pPr>
        <w:pStyle w:val="H23G"/>
      </w:pPr>
      <w:r>
        <w:tab/>
      </w:r>
      <w:r>
        <w:tab/>
      </w:r>
      <w:r w:rsidR="00550434" w:rsidRPr="0052619D">
        <w:t xml:space="preserve">Reply to 10 (c) </w:t>
      </w:r>
    </w:p>
    <w:p w14:paraId="4CC34521" w14:textId="77777777" w:rsidR="00550434" w:rsidRPr="0052619D" w:rsidRDefault="00550434" w:rsidP="00FA528F">
      <w:pPr>
        <w:pStyle w:val="SingleTxtG"/>
        <w:numPr>
          <w:ilvl w:val="0"/>
          <w:numId w:val="28"/>
        </w:numPr>
        <w:ind w:left="1134" w:firstLine="0"/>
      </w:pPr>
      <w:r w:rsidRPr="0052619D">
        <w:t xml:space="preserve">157. Government does not have disaggregated data of persons under guardianship or statistics for reviews of guardianship at the time of submission. The programme for the full integration of data is nearing completion and is intended to harmonise data collection and quality in governments 5-year plans. </w:t>
      </w:r>
    </w:p>
    <w:p w14:paraId="004C5414" w14:textId="77777777" w:rsidR="00550434" w:rsidRPr="0052619D" w:rsidRDefault="00550434" w:rsidP="00FA528F">
      <w:pPr>
        <w:pStyle w:val="SingleTxtG"/>
        <w:numPr>
          <w:ilvl w:val="0"/>
          <w:numId w:val="28"/>
        </w:numPr>
        <w:ind w:left="1134" w:firstLine="0"/>
      </w:pPr>
      <w:r w:rsidRPr="0052619D">
        <w:t>Government is cognisant of the challenges relating to data and statistics; however, government is able to provide assurance that processes for the review of guardianship are subject to strict judicial scrutiny, particularly in the case of vulnerable persons.</w:t>
      </w:r>
    </w:p>
    <w:p w14:paraId="05607288" w14:textId="43D8E09C" w:rsidR="00550434" w:rsidRPr="0052619D" w:rsidRDefault="001E0424" w:rsidP="001E0424">
      <w:pPr>
        <w:pStyle w:val="H23G"/>
      </w:pPr>
      <w:r>
        <w:tab/>
      </w:r>
      <w:r>
        <w:tab/>
      </w:r>
      <w:r w:rsidR="00550434" w:rsidRPr="0052619D">
        <w:t xml:space="preserve">Reply to 10 (d) </w:t>
      </w:r>
    </w:p>
    <w:p w14:paraId="57567916" w14:textId="65C7189F" w:rsidR="00550434" w:rsidRPr="0052619D" w:rsidRDefault="00550434" w:rsidP="00FA528F">
      <w:pPr>
        <w:pStyle w:val="SingleTxtG"/>
        <w:numPr>
          <w:ilvl w:val="0"/>
          <w:numId w:val="28"/>
        </w:numPr>
        <w:ind w:left="1134" w:firstLine="0"/>
      </w:pPr>
      <w:bookmarkStart w:id="21" w:name="_Hlk189733969"/>
      <w:r w:rsidRPr="0052619D">
        <w:t xml:space="preserve">The approved and gazetted Self-Representation </w:t>
      </w:r>
      <w:sdt>
        <w:sdtPr>
          <w:tag w:val="goog_rdk_81"/>
          <w:id w:val="-192545401"/>
        </w:sdtPr>
        <w:sdtEndPr/>
        <w:sdtContent/>
      </w:sdt>
      <w:r w:rsidRPr="0052619D">
        <w:t xml:space="preserve">Framework (October 2024), provides for inclusivity by encouraging supported decision-making by persons with disabilities, and their representation in key structures, and includes capacity building and training of legal officers.  </w:t>
      </w:r>
    </w:p>
    <w:p w14:paraId="077746E8" w14:textId="77777777" w:rsidR="00550434" w:rsidRPr="0052619D" w:rsidRDefault="00550434" w:rsidP="00FA528F">
      <w:pPr>
        <w:pStyle w:val="SingleTxtG"/>
        <w:numPr>
          <w:ilvl w:val="0"/>
          <w:numId w:val="28"/>
        </w:numPr>
        <w:ind w:left="1134" w:firstLine="0"/>
      </w:pPr>
      <w:r w:rsidRPr="0052619D">
        <w:t>159. Training on SASL has been provided to frontline personnel in some sectors to strengthen communication upon which supported decision-making can better be realised.</w:t>
      </w:r>
    </w:p>
    <w:p w14:paraId="2DAAE689" w14:textId="1A1B28DB" w:rsidR="00550434" w:rsidRPr="0052619D" w:rsidRDefault="00550434" w:rsidP="00FA528F">
      <w:pPr>
        <w:pStyle w:val="SingleTxtG"/>
        <w:numPr>
          <w:ilvl w:val="0"/>
          <w:numId w:val="28"/>
        </w:numPr>
        <w:ind w:left="1134" w:firstLine="0"/>
      </w:pPr>
      <w:r w:rsidRPr="0052619D">
        <w:t xml:space="preserve">Policing training includes training about persons with disabilities and is provided through police academies to sensitise and sustain awareness of good practice and the risk of substituted decision making. </w:t>
      </w:r>
    </w:p>
    <w:bookmarkEnd w:id="21"/>
    <w:p w14:paraId="0AC9AF4E" w14:textId="7FB6CC8E" w:rsidR="00550434" w:rsidRPr="0052619D" w:rsidRDefault="00550434" w:rsidP="00FA528F">
      <w:pPr>
        <w:pStyle w:val="SingleTxtG"/>
        <w:numPr>
          <w:ilvl w:val="0"/>
          <w:numId w:val="28"/>
        </w:numPr>
        <w:ind w:left="1134" w:firstLine="0"/>
        <w:rPr>
          <w:b/>
          <w:bCs/>
        </w:rPr>
      </w:pPr>
      <w:r w:rsidRPr="0052619D">
        <w:t xml:space="preserve">Government plans to develop a comprehensive training manual which would be inclusive of matters dealing with the legal capacity of persons with disabilities and on good practices in supported decision-making. </w:t>
      </w:r>
    </w:p>
    <w:p w14:paraId="02C5AA0A" w14:textId="51831D03" w:rsidR="00550434" w:rsidRPr="0052619D" w:rsidRDefault="00550434" w:rsidP="00FA528F">
      <w:pPr>
        <w:pStyle w:val="SingleTxtG"/>
        <w:numPr>
          <w:ilvl w:val="0"/>
          <w:numId w:val="28"/>
        </w:numPr>
        <w:ind w:left="1134" w:firstLine="0"/>
      </w:pPr>
      <w:r w:rsidRPr="0052619D">
        <w:t>Additional information on training of civil servants and the judiciary is discussed in section 1(f).</w:t>
      </w:r>
    </w:p>
    <w:p w14:paraId="5C77E38E" w14:textId="73489BBB" w:rsidR="00550434" w:rsidRPr="0052619D" w:rsidRDefault="001E0424" w:rsidP="001E0424">
      <w:pPr>
        <w:pStyle w:val="H1G"/>
      </w:pPr>
      <w:r>
        <w:tab/>
      </w:r>
      <w:r>
        <w:tab/>
        <w:t>Article</w:t>
      </w:r>
      <w:r w:rsidR="00550434" w:rsidRPr="0052619D">
        <w:t>. 13</w:t>
      </w:r>
      <w:r>
        <w:br/>
      </w:r>
      <w:r w:rsidRPr="0052619D">
        <w:t>Access to Justice</w:t>
      </w:r>
    </w:p>
    <w:p w14:paraId="7E619E91" w14:textId="584FBFD5" w:rsidR="00550434" w:rsidRPr="0052619D" w:rsidRDefault="001E0424" w:rsidP="001E0424">
      <w:pPr>
        <w:pStyle w:val="H23G"/>
      </w:pPr>
      <w:r>
        <w:tab/>
      </w:r>
      <w:r>
        <w:tab/>
      </w:r>
      <w:r w:rsidR="00550434" w:rsidRPr="0052619D">
        <w:t xml:space="preserve">Reply to 11 (a) </w:t>
      </w:r>
    </w:p>
    <w:p w14:paraId="4ADE9E7D" w14:textId="22C7470A" w:rsidR="00550434" w:rsidRPr="0052619D" w:rsidRDefault="00550434" w:rsidP="00FA528F">
      <w:pPr>
        <w:pStyle w:val="SingleTxtG"/>
        <w:numPr>
          <w:ilvl w:val="0"/>
          <w:numId w:val="28"/>
        </w:numPr>
        <w:ind w:left="1134" w:firstLine="0"/>
      </w:pPr>
      <w:r w:rsidRPr="0052619D">
        <w:t>Government has intensified, consolidated and coordinated its all of society fight against GBVF through the implementation of the NSP (discussed in s 4(a)) which contains information regarding victim support.</w:t>
      </w:r>
    </w:p>
    <w:p w14:paraId="2DFAADF3" w14:textId="2EA9D3F8" w:rsidR="00550434" w:rsidRPr="0052619D" w:rsidRDefault="00550434" w:rsidP="00FA528F">
      <w:pPr>
        <w:pStyle w:val="SingleTxtG"/>
        <w:numPr>
          <w:ilvl w:val="0"/>
          <w:numId w:val="28"/>
        </w:numPr>
        <w:ind w:left="1134" w:firstLine="0"/>
      </w:pPr>
      <w:r w:rsidRPr="0052619D">
        <w:lastRenderedPageBreak/>
        <w:t>Victim support centres include: the One-Stop Care Centres which is a key mechanism to improve access to justice for victims.  The TCCs were established by the SOCA Unit. The TCCs are strategically located in healthcare facilities and linked to courts providing victims with integrated services, including medical attention, psychosocial support, and legal assistance, reducing secondary victimisation and improving prosecution outcomes.  Forensic social workers further support victims with psychosocial and therapeutic services.</w:t>
      </w:r>
    </w:p>
    <w:p w14:paraId="06EB03FE" w14:textId="487F3DA7" w:rsidR="00550434" w:rsidRPr="0052619D" w:rsidRDefault="00550434" w:rsidP="00FA528F">
      <w:pPr>
        <w:pStyle w:val="SingleTxtG"/>
        <w:numPr>
          <w:ilvl w:val="0"/>
          <w:numId w:val="28"/>
        </w:numPr>
        <w:ind w:left="1134" w:firstLine="0"/>
      </w:pPr>
      <w:r w:rsidRPr="0052619D">
        <w:t xml:space="preserve">Victim Empowerment Programmes led by the DSD provide a holistic basket of support services throughout the country. </w:t>
      </w:r>
    </w:p>
    <w:p w14:paraId="33907AAE" w14:textId="1EEF539E" w:rsidR="00550434" w:rsidRPr="0052619D" w:rsidRDefault="00550434" w:rsidP="00FA528F">
      <w:pPr>
        <w:pStyle w:val="SingleTxtG"/>
        <w:numPr>
          <w:ilvl w:val="0"/>
          <w:numId w:val="28"/>
        </w:numPr>
        <w:ind w:left="1134" w:firstLine="0"/>
      </w:pPr>
      <w:r w:rsidRPr="0052619D">
        <w:t xml:space="preserve">The DSD-managed GBV Command Call Centre, is declared as an essential service, and is accessible to all, including persons with disabilities. Two deaf social auxiliary workers support deaf participants, and online platforms like Skype and SMS cater to specific needs, ensuring timely and inclusive support. </w:t>
      </w:r>
    </w:p>
    <w:p w14:paraId="6A6743F7" w14:textId="043CF2E3" w:rsidR="00550434" w:rsidRPr="0052619D" w:rsidRDefault="00550434" w:rsidP="00FA528F">
      <w:pPr>
        <w:pStyle w:val="SingleTxtG"/>
        <w:numPr>
          <w:ilvl w:val="0"/>
          <w:numId w:val="28"/>
        </w:numPr>
        <w:ind w:left="1134" w:firstLine="0"/>
      </w:pPr>
      <w:r w:rsidRPr="0052619D">
        <w:t xml:space="preserve">Government departments, NPOs, like the Tears Foundation, political leaders through Ministerial </w:t>
      </w:r>
      <w:r w:rsidRPr="0052619D">
        <w:rPr>
          <w:i/>
          <w:iCs/>
        </w:rPr>
        <w:t>Imbizos</w:t>
      </w:r>
      <w:r w:rsidRPr="0052619D">
        <w:t xml:space="preserve">, and community workers promote the Call Centre through events like the Men's March against GBVF and the 16 Days of Activism for No Violence Against Women and Children Campaign. </w:t>
      </w:r>
    </w:p>
    <w:p w14:paraId="2AC0525F" w14:textId="7E0387AA" w:rsidR="00550434" w:rsidRPr="0052619D" w:rsidRDefault="00550434" w:rsidP="00FA528F">
      <w:pPr>
        <w:pStyle w:val="SingleTxtG"/>
        <w:numPr>
          <w:ilvl w:val="0"/>
          <w:numId w:val="28"/>
        </w:numPr>
        <w:ind w:left="1134" w:firstLine="0"/>
      </w:pPr>
      <w:r w:rsidRPr="0052619D">
        <w:t>Government Communication and Information Systems (GCIS) platforms are used to disseminate information such as media statements, and about annual events like the Shelter Indaba. The dissemination of messaging via social and mobile media is undertaken in terms of the communication strategy. The NSP guides government efforts against GBVF, emphasising victim support.</w:t>
      </w:r>
    </w:p>
    <w:p w14:paraId="339D5B6E" w14:textId="542209F2" w:rsidR="00550434" w:rsidRPr="0052619D" w:rsidRDefault="00550434" w:rsidP="00FA528F">
      <w:pPr>
        <w:pStyle w:val="SingleTxtG"/>
        <w:numPr>
          <w:ilvl w:val="0"/>
          <w:numId w:val="28"/>
        </w:numPr>
        <w:ind w:left="1134" w:firstLine="0"/>
      </w:pPr>
      <w:r w:rsidRPr="0052619D">
        <w:t xml:space="preserve">Victim support centres, include 65 One-Stop Care Centres and 51 TCCs, to advance governments Anti-Rape Anti Violence strategy. The centres provide integrated services like medical care, psychosocial support, and legal assistance, reducing secondary victimisation. </w:t>
      </w:r>
    </w:p>
    <w:p w14:paraId="663E48E0" w14:textId="096CFEF5" w:rsidR="00550434" w:rsidRPr="0052619D" w:rsidRDefault="00550434" w:rsidP="00FA528F">
      <w:pPr>
        <w:pStyle w:val="SingleTxtG"/>
        <w:numPr>
          <w:ilvl w:val="0"/>
          <w:numId w:val="28"/>
        </w:numPr>
        <w:ind w:left="1134" w:firstLine="0"/>
      </w:pPr>
      <w:r w:rsidRPr="0052619D">
        <w:t xml:space="preserve">The SAPS has established 1,161 victim-friendly rooms in 90% of police stations, ensuring safe reporting spaces. Dedicated Family Violence, Child Protection and Sexual Offences (FCS) units, and GBV desks, and collaboration with the Deaf Federation, to enhance support for people with disabilities. SAPS systems like Case Administration System (CAS) and </w:t>
      </w:r>
      <w:r w:rsidRPr="0052619D">
        <w:rPr>
          <w:color w:val="000000" w:themeColor="text1"/>
        </w:rPr>
        <w:t>Investigative Case Docket Management System</w:t>
      </w:r>
      <w:r w:rsidRPr="0052619D">
        <w:t xml:space="preserve"> (ICDMS) include disability-specific data fields for inclusive case management.</w:t>
      </w:r>
    </w:p>
    <w:p w14:paraId="5E155AC6" w14:textId="0EBE992F" w:rsidR="00550434" w:rsidRPr="0052619D" w:rsidRDefault="002E121C" w:rsidP="002E121C">
      <w:pPr>
        <w:pStyle w:val="H23G"/>
      </w:pPr>
      <w:r>
        <w:tab/>
      </w:r>
      <w:r>
        <w:tab/>
      </w:r>
      <w:r w:rsidR="00550434" w:rsidRPr="0052619D">
        <w:t>Reply to 11(b)</w:t>
      </w:r>
    </w:p>
    <w:p w14:paraId="1306016E" w14:textId="4586F90A" w:rsidR="00550434" w:rsidRPr="0052619D" w:rsidRDefault="00550434" w:rsidP="00FA528F">
      <w:pPr>
        <w:pStyle w:val="SingleTxtG"/>
        <w:numPr>
          <w:ilvl w:val="0"/>
          <w:numId w:val="28"/>
        </w:numPr>
        <w:ind w:left="1134" w:firstLine="0"/>
      </w:pPr>
      <w:r w:rsidRPr="0052619D">
        <w:t>South Africa offers subsidised legal aid, and pro bono services from university law clinics and NGOs. Legal Aid SA (LASA) facilitates pro bono assistance in criminal and selected civil matters, and provides legal advice through its Advice Line, which has assisted 995 persons with disabilities over six years. LASA ensures offices are accessible and offers technology, including online sign language interpreters, to support clients with special needs.</w:t>
      </w:r>
    </w:p>
    <w:p w14:paraId="6747F4CE" w14:textId="2194D1EB" w:rsidR="00550434" w:rsidRPr="0052619D" w:rsidRDefault="002E121C" w:rsidP="002E121C">
      <w:pPr>
        <w:pStyle w:val="H23G"/>
      </w:pPr>
      <w:r>
        <w:tab/>
      </w:r>
      <w:r>
        <w:tab/>
      </w:r>
      <w:r w:rsidR="00550434" w:rsidRPr="0052619D">
        <w:t>Reply to 11 (c)</w:t>
      </w:r>
    </w:p>
    <w:p w14:paraId="3E003C39" w14:textId="164BC26B" w:rsidR="00550434" w:rsidRPr="0052619D" w:rsidRDefault="00550434" w:rsidP="00FA528F">
      <w:pPr>
        <w:pStyle w:val="SingleTxtG"/>
        <w:numPr>
          <w:ilvl w:val="0"/>
          <w:numId w:val="28"/>
        </w:numPr>
        <w:ind w:left="1134" w:firstLine="0"/>
      </w:pPr>
      <w:r w:rsidRPr="0052619D">
        <w:t>The DOJCD’s National Policy Framework on Reasonable Accommodations ensures effective support for court users with disabilities. Measures include recognising sign language as evidence, providing intermediary services, and offering accessible online applications for protection orders.</w:t>
      </w:r>
    </w:p>
    <w:p w14:paraId="3A885B92" w14:textId="56E9AD33" w:rsidR="00550434" w:rsidRPr="0052619D" w:rsidRDefault="00550434" w:rsidP="00FA528F">
      <w:pPr>
        <w:pStyle w:val="SingleTxtG"/>
        <w:numPr>
          <w:ilvl w:val="0"/>
          <w:numId w:val="28"/>
        </w:numPr>
        <w:ind w:left="1134" w:firstLine="0"/>
      </w:pPr>
      <w:r w:rsidRPr="0052619D">
        <w:t>Since 2022, Minimum Standards on Reasonable Accommodation have introduced services like sign language interpretation, private testifying spaces, and dedicated areas for service animals. The NPA’s Court Preparation Office assists vulnerable witnesses, ensuring reasonable accommodations in courtrooms.</w:t>
      </w:r>
    </w:p>
    <w:p w14:paraId="22535DAC" w14:textId="394A2437" w:rsidR="00550434" w:rsidRPr="0052619D" w:rsidRDefault="00C6377D" w:rsidP="00C6377D">
      <w:pPr>
        <w:pStyle w:val="H23G"/>
      </w:pPr>
      <w:r>
        <w:tab/>
      </w:r>
      <w:r>
        <w:tab/>
      </w:r>
      <w:r w:rsidR="00550434" w:rsidRPr="0052619D">
        <w:t>Reply to 11(d)</w:t>
      </w:r>
    </w:p>
    <w:p w14:paraId="140FFD12" w14:textId="187CBD62" w:rsidR="00550434" w:rsidRPr="0052619D" w:rsidRDefault="00550434" w:rsidP="00FA528F">
      <w:pPr>
        <w:pStyle w:val="SingleTxtG"/>
        <w:numPr>
          <w:ilvl w:val="0"/>
          <w:numId w:val="28"/>
        </w:numPr>
        <w:ind w:left="1134" w:firstLine="0"/>
      </w:pPr>
      <w:r w:rsidRPr="0052619D">
        <w:t xml:space="preserve">The DOJCD coordinates training for court officials, judges, and legal representatives on access to justice for persons with disabilities, covering disability types, court-based support needs, and reasonable accommodations. </w:t>
      </w:r>
    </w:p>
    <w:p w14:paraId="0CD1FF17" w14:textId="6854811E" w:rsidR="00550434" w:rsidRPr="0052619D" w:rsidRDefault="00550434" w:rsidP="00FA528F">
      <w:pPr>
        <w:pStyle w:val="SingleTxtG"/>
        <w:numPr>
          <w:ilvl w:val="0"/>
          <w:numId w:val="28"/>
        </w:numPr>
        <w:ind w:left="1134" w:firstLine="0"/>
      </w:pPr>
      <w:r w:rsidRPr="0052619D">
        <w:t xml:space="preserve">Over 7,000 SAPS employees have been sensitised on disability rights, and 106,549 have achieved competency status. </w:t>
      </w:r>
    </w:p>
    <w:p w14:paraId="31DD1758" w14:textId="2362AEB4" w:rsidR="00550434" w:rsidRPr="0052619D" w:rsidRDefault="00550434" w:rsidP="00FA528F">
      <w:pPr>
        <w:pStyle w:val="SingleTxtG"/>
        <w:numPr>
          <w:ilvl w:val="0"/>
          <w:numId w:val="28"/>
        </w:numPr>
        <w:ind w:left="1134" w:firstLine="0"/>
      </w:pPr>
      <w:r w:rsidRPr="0052619D">
        <w:lastRenderedPageBreak/>
        <w:t>The NPA provides ongoing training for Court Preparation Offices, focusing on cases involving persons with disabilities and sexual violence victims. Training aligns with the NSP and includes social context awareness in GBV matters.</w:t>
      </w:r>
    </w:p>
    <w:p w14:paraId="583EC541" w14:textId="6C75FBF3" w:rsidR="00550434" w:rsidRPr="0052619D" w:rsidRDefault="00C6377D" w:rsidP="00C6377D">
      <w:pPr>
        <w:pStyle w:val="H23G"/>
      </w:pPr>
      <w:r>
        <w:tab/>
      </w:r>
      <w:r>
        <w:tab/>
      </w:r>
      <w:r w:rsidR="00550434" w:rsidRPr="0052619D">
        <w:t xml:space="preserve">Reply to 11 (e) </w:t>
      </w:r>
    </w:p>
    <w:p w14:paraId="67E70247" w14:textId="53212DAF" w:rsidR="00550434" w:rsidRPr="0052619D" w:rsidRDefault="00550434" w:rsidP="00FA528F">
      <w:pPr>
        <w:pStyle w:val="SingleTxtG"/>
        <w:numPr>
          <w:ilvl w:val="0"/>
          <w:numId w:val="28"/>
        </w:numPr>
        <w:ind w:left="1134" w:firstLine="0"/>
      </w:pPr>
      <w:r w:rsidRPr="0052619D">
        <w:t>The DOJCD has converted information materials into official languages and accessible formats like Braille, large print, and easy-to-read designs, distributed across all provinces. However, not all materials are in Braille.</w:t>
      </w:r>
    </w:p>
    <w:p w14:paraId="1026FBBB" w14:textId="34F5C8FE" w:rsidR="00550434" w:rsidRPr="0052619D" w:rsidRDefault="00550434" w:rsidP="00FA528F">
      <w:pPr>
        <w:pStyle w:val="SingleTxtG"/>
        <w:numPr>
          <w:ilvl w:val="0"/>
          <w:numId w:val="28"/>
        </w:numPr>
        <w:ind w:left="1134" w:firstLine="0"/>
      </w:pPr>
      <w:r w:rsidRPr="0052619D">
        <w:t>Government websites like Justice.gov.za and SAFLII provide access to legislation and case law, while LASA, university law clinics, and NGOs offer educational materials. Online platforms like GroundUp and Street Law South Africa simplify legal information, ensuring citizens are informed about their rights.</w:t>
      </w:r>
    </w:p>
    <w:p w14:paraId="408F8713" w14:textId="7A7215A5" w:rsidR="00550434" w:rsidRPr="0052619D" w:rsidRDefault="00C6377D" w:rsidP="00C6377D">
      <w:pPr>
        <w:pStyle w:val="H23G"/>
      </w:pPr>
      <w:r>
        <w:tab/>
      </w:r>
      <w:r>
        <w:tab/>
      </w:r>
      <w:r w:rsidR="00550434" w:rsidRPr="0052619D">
        <w:t xml:space="preserve">Reply to 11(f) </w:t>
      </w:r>
    </w:p>
    <w:p w14:paraId="232984C5" w14:textId="4F913F62" w:rsidR="00550434" w:rsidRPr="0052619D" w:rsidRDefault="00550434" w:rsidP="00FA528F">
      <w:pPr>
        <w:pStyle w:val="SingleTxtG"/>
        <w:numPr>
          <w:ilvl w:val="0"/>
          <w:numId w:val="28"/>
        </w:numPr>
        <w:ind w:left="1134" w:firstLine="0"/>
      </w:pPr>
      <w:r w:rsidRPr="0052619D">
        <w:t xml:space="preserve">The Victim Support Services Bill (2019) acknowledges the high rates of crimes against women, LGBTQI+ individuals, children, older persons, and persons with disabilities in South Africa. It emphasizes the necessity of effective, integrated, and multi-disciplinary support services to mitigate secondary victimization, and aims to empower women and eliminate discrimination, including economic and socio-economic empowerment for women with disabilities. </w:t>
      </w:r>
    </w:p>
    <w:p w14:paraId="7CDF058B" w14:textId="39F211DF" w:rsidR="00550434" w:rsidRPr="0052619D" w:rsidRDefault="00550434" w:rsidP="00FA528F">
      <w:pPr>
        <w:pStyle w:val="SingleTxtG"/>
        <w:numPr>
          <w:ilvl w:val="0"/>
          <w:numId w:val="28"/>
        </w:numPr>
        <w:ind w:left="1134" w:firstLine="0"/>
      </w:pPr>
      <w:r w:rsidRPr="0052619D">
        <w:t xml:space="preserve">The DOJCD conducts information sessions on behaviour modification for court officials, addressing the stigmatisation of women complainants and persons with disabilities, including the dissemination of material and awareness raising activities on Sexual Orientation Gender Identity and Expression rights. </w:t>
      </w:r>
    </w:p>
    <w:p w14:paraId="6745A653" w14:textId="5396D0B4" w:rsidR="00550434" w:rsidRPr="0052619D" w:rsidRDefault="00C6377D" w:rsidP="00C6377D">
      <w:pPr>
        <w:pStyle w:val="H1G"/>
      </w:pPr>
      <w:r>
        <w:tab/>
      </w:r>
      <w:r>
        <w:tab/>
      </w:r>
      <w:r w:rsidR="00132A1A">
        <w:t>A</w:t>
      </w:r>
      <w:r w:rsidR="00132A1A" w:rsidRPr="0052619D">
        <w:t>rt</w:t>
      </w:r>
      <w:r w:rsidR="00132A1A">
        <w:t>icle</w:t>
      </w:r>
      <w:r w:rsidR="00132A1A" w:rsidRPr="0052619D">
        <w:t>.14</w:t>
      </w:r>
      <w:r w:rsidR="00132A1A">
        <w:br/>
      </w:r>
      <w:r w:rsidR="00550434" w:rsidRPr="0052619D">
        <w:t>Liberty and Security of the Person</w:t>
      </w:r>
    </w:p>
    <w:p w14:paraId="760ABB48" w14:textId="12178687" w:rsidR="00550434" w:rsidRPr="0052619D" w:rsidRDefault="00E97B90" w:rsidP="00E97B90">
      <w:pPr>
        <w:pStyle w:val="H23G"/>
      </w:pPr>
      <w:r>
        <w:tab/>
      </w:r>
      <w:r>
        <w:tab/>
      </w:r>
      <w:r w:rsidR="00550434" w:rsidRPr="0052619D">
        <w:t xml:space="preserve">Reply to 12. </w:t>
      </w:r>
    </w:p>
    <w:p w14:paraId="166B3BE2" w14:textId="6BC1B177" w:rsidR="00550434" w:rsidRPr="0052619D" w:rsidRDefault="00550434" w:rsidP="00FA528F">
      <w:pPr>
        <w:pStyle w:val="SingleTxtG"/>
        <w:numPr>
          <w:ilvl w:val="0"/>
          <w:numId w:val="28"/>
        </w:numPr>
        <w:ind w:left="1134" w:firstLine="0"/>
      </w:pPr>
      <w:bookmarkStart w:id="22" w:name="_Toc189210076"/>
      <w:r w:rsidRPr="0052619D">
        <w:t xml:space="preserve">Government views the current MHCA as reflective of human rights principles and is satisfied that adequate controls are in place to limit intrusion only to necessity only and in the best interests of the mental health user. </w:t>
      </w:r>
    </w:p>
    <w:p w14:paraId="5AE12531" w14:textId="4552DCAC" w:rsidR="00B500C6" w:rsidRDefault="00B500C6" w:rsidP="00FA528F">
      <w:pPr>
        <w:pStyle w:val="SingleTxtG"/>
        <w:numPr>
          <w:ilvl w:val="0"/>
          <w:numId w:val="28"/>
        </w:numPr>
        <w:ind w:left="1134" w:firstLine="0"/>
      </w:pPr>
    </w:p>
    <w:p w14:paraId="31143FC1" w14:textId="22C25B7F" w:rsidR="00550434" w:rsidRPr="0052619D" w:rsidRDefault="00550434" w:rsidP="00FA528F">
      <w:pPr>
        <w:pStyle w:val="SingleTxtG"/>
        <w:numPr>
          <w:ilvl w:val="0"/>
          <w:numId w:val="24"/>
        </w:numPr>
        <w:ind w:left="1134" w:firstLine="567"/>
      </w:pPr>
      <w:r w:rsidRPr="0052619D">
        <w:t>Challenges to the MHCA were the subject of constitutional scrutiny specifically on the substantive and procedural legality of provisions involving the deprivation of liberty of persons with mental impairments. In a considered judgement, having regard to international norms and standards, the Constitution, domestic laws, and the controls in the MHCA itself, the Constitutional Court did not find a basis for confirming unconstitutionality of the impugned provisions of the MHCA. (A summary of the judgement produced by the Constitutional Court is appended in Annexure 3)</w:t>
      </w:r>
    </w:p>
    <w:p w14:paraId="70DE9C49" w14:textId="133526B6" w:rsidR="00550434" w:rsidRPr="0052619D" w:rsidRDefault="00550434" w:rsidP="00FA528F">
      <w:pPr>
        <w:pStyle w:val="SingleTxtG"/>
        <w:numPr>
          <w:ilvl w:val="0"/>
          <w:numId w:val="24"/>
        </w:numPr>
        <w:ind w:left="1134" w:firstLine="567"/>
        <w:rPr>
          <w:color w:val="000000" w:themeColor="text1"/>
        </w:rPr>
      </w:pPr>
      <w:r w:rsidRPr="0052619D">
        <w:rPr>
          <w:color w:val="000000" w:themeColor="text1"/>
        </w:rPr>
        <w:t xml:space="preserve">The MHCA prescribes periodic review of all assisted, involuntary and prisoners with disabilities through mental health care facilities </w:t>
      </w:r>
      <w:r w:rsidRPr="00B500C6">
        <w:t>in</w:t>
      </w:r>
      <w:r w:rsidRPr="0052619D">
        <w:rPr>
          <w:color w:val="000000" w:themeColor="text1"/>
        </w:rPr>
        <w:t xml:space="preserve"> a prescribed manner. Reviews are conducted on a six-monthly basis in the first year of their admission and annually thereafter by the Mental Health Review Boards.</w:t>
      </w:r>
    </w:p>
    <w:p w14:paraId="271EA02C" w14:textId="52D3B498" w:rsidR="00550434" w:rsidRPr="0052619D" w:rsidRDefault="00550434" w:rsidP="00FA528F">
      <w:pPr>
        <w:pStyle w:val="SingleTxtG"/>
        <w:numPr>
          <w:ilvl w:val="0"/>
          <w:numId w:val="24"/>
        </w:numPr>
        <w:ind w:left="1134" w:firstLine="567"/>
        <w:rPr>
          <w:color w:val="000000" w:themeColor="text1"/>
        </w:rPr>
      </w:pPr>
      <w:r w:rsidRPr="0052619D">
        <w:rPr>
          <w:color w:val="000000" w:themeColor="text1"/>
        </w:rPr>
        <w:t>State patients are reviewed periodically by the head of the DoH.</w:t>
      </w:r>
    </w:p>
    <w:p w14:paraId="5CF37101" w14:textId="2934A591" w:rsidR="00550434" w:rsidRPr="0052619D" w:rsidRDefault="00550434" w:rsidP="00FA528F">
      <w:pPr>
        <w:pStyle w:val="SingleTxtG"/>
        <w:numPr>
          <w:ilvl w:val="0"/>
          <w:numId w:val="24"/>
        </w:numPr>
        <w:ind w:left="1134" w:firstLine="567"/>
        <w:rPr>
          <w:color w:val="000000" w:themeColor="text1"/>
        </w:rPr>
      </w:pPr>
      <w:r w:rsidRPr="0052619D">
        <w:rPr>
          <w:color w:val="000000" w:themeColor="text1"/>
        </w:rPr>
        <w:t>2223 Prisoners and 2925 State patients were reviewed between April 2023 and March 2024</w:t>
      </w:r>
    </w:p>
    <w:p w14:paraId="024315F9" w14:textId="578BA6E6" w:rsidR="00550434" w:rsidRPr="0052619D" w:rsidRDefault="00550434" w:rsidP="00FA528F">
      <w:pPr>
        <w:pStyle w:val="SingleTxtG"/>
        <w:numPr>
          <w:ilvl w:val="0"/>
          <w:numId w:val="24"/>
        </w:numPr>
        <w:ind w:left="1134" w:firstLine="567"/>
        <w:rPr>
          <w:color w:val="000000" w:themeColor="text1"/>
        </w:rPr>
      </w:pPr>
      <w:r w:rsidRPr="0052619D">
        <w:rPr>
          <w:color w:val="000000" w:themeColor="text1"/>
        </w:rPr>
        <w:t xml:space="preserve">Resource </w:t>
      </w:r>
      <w:r w:rsidRPr="00B500C6">
        <w:t>constraints</w:t>
      </w:r>
      <w:r w:rsidRPr="0052619D">
        <w:rPr>
          <w:color w:val="000000" w:themeColor="text1"/>
        </w:rPr>
        <w:t xml:space="preserve"> have impacted on the ability to collect data of assisted and involuntary patient reviews.</w:t>
      </w:r>
    </w:p>
    <w:bookmarkEnd w:id="22"/>
    <w:p w14:paraId="6133B3E9" w14:textId="449FD90F" w:rsidR="00550434" w:rsidRPr="0052619D" w:rsidRDefault="00E97B90" w:rsidP="00E97B90">
      <w:pPr>
        <w:pStyle w:val="H23G"/>
      </w:pPr>
      <w:r>
        <w:lastRenderedPageBreak/>
        <w:tab/>
      </w:r>
      <w:r>
        <w:tab/>
      </w:r>
      <w:r w:rsidR="00550434" w:rsidRPr="0052619D">
        <w:t>Reply to 13 (a)</w:t>
      </w:r>
    </w:p>
    <w:p w14:paraId="1ED6E89F" w14:textId="57AC31E3" w:rsidR="00550434" w:rsidRPr="0052619D" w:rsidRDefault="00550434" w:rsidP="00FA528F">
      <w:pPr>
        <w:pStyle w:val="SingleTxtG"/>
        <w:numPr>
          <w:ilvl w:val="0"/>
          <w:numId w:val="28"/>
        </w:numPr>
        <w:ind w:left="1134" w:firstLine="0"/>
      </w:pPr>
      <w:r w:rsidRPr="0052619D">
        <w:t xml:space="preserve">The Older Persons Amendment Bill, 2022 proposes the inclusion of "assisted living facility", as a defined term, referring to residential facilities providing safe and accessible accommodation with access to care and support services for older persons who are partially independent. This inclusion enhances the framework for supporting older persons, including those with mental health care needs. </w:t>
      </w:r>
    </w:p>
    <w:p w14:paraId="601D92A5" w14:textId="19F625AE" w:rsidR="00550434" w:rsidRPr="0052619D" w:rsidRDefault="00550434" w:rsidP="00FA528F">
      <w:pPr>
        <w:pStyle w:val="SingleTxtG"/>
        <w:numPr>
          <w:ilvl w:val="0"/>
          <w:numId w:val="28"/>
        </w:numPr>
        <w:ind w:left="1134" w:firstLine="0"/>
        <w:rPr>
          <w:strike/>
        </w:rPr>
      </w:pPr>
      <w:r w:rsidRPr="0052619D">
        <w:t>Monitoring and evaluation of services is reflected in the amendments strengthening oversight and protections for older persons. Services to older persons with disability and chronic illness are proposed for inclusion to improve access to appropriate services – aligned with Article 13: Protocol to the African Charter on Human and People’s’ Rights on the Rights of Older Persons in Africa.</w:t>
      </w:r>
    </w:p>
    <w:p w14:paraId="458534C0" w14:textId="1493FBC1" w:rsidR="00550434" w:rsidRPr="0052619D" w:rsidRDefault="00132A1A" w:rsidP="00132A1A">
      <w:pPr>
        <w:pStyle w:val="H23G"/>
      </w:pPr>
      <w:r>
        <w:tab/>
      </w:r>
      <w:r>
        <w:tab/>
      </w:r>
      <w:r w:rsidR="00550434" w:rsidRPr="0052619D">
        <w:t xml:space="preserve">Reply to 13(b) </w:t>
      </w:r>
    </w:p>
    <w:p w14:paraId="60D01E46" w14:textId="6B5AAE95" w:rsidR="00550434" w:rsidRPr="0052619D" w:rsidRDefault="00550434" w:rsidP="00FA528F">
      <w:pPr>
        <w:pStyle w:val="SingleTxtG"/>
        <w:numPr>
          <w:ilvl w:val="0"/>
          <w:numId w:val="28"/>
        </w:numPr>
        <w:ind w:left="1134" w:firstLine="0"/>
      </w:pPr>
      <w:r w:rsidRPr="0052619D">
        <w:t xml:space="preserve">The MHCA promotes community care rather than institutional care. The MHCA contains specific measures to uphold the rights of mental health care users including: the right to appeal the decisions of the Head of the DoH; and the right to make representations before the Mental Health Review Boards and the courts. </w:t>
      </w:r>
    </w:p>
    <w:p w14:paraId="78BB0730" w14:textId="1EB7A8F2" w:rsidR="00550434" w:rsidRPr="0052619D" w:rsidRDefault="00550434" w:rsidP="00FA528F">
      <w:pPr>
        <w:pStyle w:val="SingleTxtG"/>
        <w:numPr>
          <w:ilvl w:val="0"/>
          <w:numId w:val="28"/>
        </w:numPr>
        <w:ind w:left="1134" w:firstLine="0"/>
      </w:pPr>
      <w:r w:rsidRPr="0052619D">
        <w:t xml:space="preserve">As indicated previously (in s12), Government takes assurance from the scrutiny by the Constitutional Court of the conditions and processes that govern the deprivation of liberty in respect of persons with impairments. </w:t>
      </w:r>
    </w:p>
    <w:p w14:paraId="06BC68D0" w14:textId="513D3FE2" w:rsidR="00550434" w:rsidRPr="0052619D" w:rsidRDefault="00132A1A" w:rsidP="00132A1A">
      <w:pPr>
        <w:pStyle w:val="H23G"/>
      </w:pPr>
      <w:r>
        <w:tab/>
      </w:r>
      <w:r>
        <w:tab/>
      </w:r>
      <w:r w:rsidR="00550434" w:rsidRPr="0052619D">
        <w:t xml:space="preserve">Reply to 13(c) </w:t>
      </w:r>
    </w:p>
    <w:p w14:paraId="76A029E1" w14:textId="52A8EB2E" w:rsidR="00550434" w:rsidRPr="0052619D" w:rsidRDefault="00550434" w:rsidP="00FA528F">
      <w:pPr>
        <w:pStyle w:val="SingleTxtG"/>
        <w:numPr>
          <w:ilvl w:val="0"/>
          <w:numId w:val="28"/>
        </w:numPr>
        <w:ind w:left="1134" w:firstLine="0"/>
      </w:pPr>
      <w:r w:rsidRPr="0052619D">
        <w:t xml:space="preserve">The NMHPFSP was developed and approved in 2023 and is currently being implemented.  The Policy Framework reflects South Africa’s commitment to strengthening governance and evidence-based mental health care services. </w:t>
      </w:r>
    </w:p>
    <w:p w14:paraId="72885FF4" w14:textId="3FAB1360" w:rsidR="00550434" w:rsidRPr="0052619D" w:rsidRDefault="00132A1A" w:rsidP="00132A1A">
      <w:pPr>
        <w:pStyle w:val="H23G"/>
      </w:pPr>
      <w:bookmarkStart w:id="23" w:name="_Toc189210084"/>
      <w:r>
        <w:tab/>
      </w:r>
      <w:r>
        <w:tab/>
      </w:r>
      <w:r w:rsidR="00550434" w:rsidRPr="0052619D">
        <w:t xml:space="preserve">Reply to 13 (d) </w:t>
      </w:r>
    </w:p>
    <w:bookmarkEnd w:id="23"/>
    <w:p w14:paraId="53795A94" w14:textId="1D6C7ED1" w:rsidR="00550434" w:rsidRPr="0052619D" w:rsidRDefault="00550434" w:rsidP="00FA528F">
      <w:pPr>
        <w:pStyle w:val="SingleTxtG"/>
        <w:numPr>
          <w:ilvl w:val="0"/>
          <w:numId w:val="28"/>
        </w:numPr>
        <w:ind w:left="1134" w:firstLine="0"/>
      </w:pPr>
      <w:r w:rsidRPr="0052619D">
        <w:t xml:space="preserve">Persons with disabilities participate and are capacitated through the programmes and services developed and implemented in residential facilities, CYCCs, and correctional centres. </w:t>
      </w:r>
    </w:p>
    <w:p w14:paraId="716D834E" w14:textId="20EF6297" w:rsidR="00550434" w:rsidRPr="0052619D" w:rsidRDefault="00550434" w:rsidP="00FA528F">
      <w:pPr>
        <w:pStyle w:val="SingleTxtG"/>
        <w:numPr>
          <w:ilvl w:val="0"/>
          <w:numId w:val="28"/>
        </w:numPr>
        <w:ind w:left="1134" w:firstLine="0"/>
      </w:pPr>
      <w:r w:rsidRPr="0052619D">
        <w:t>Policy, guidelines and strategies are developed in consultation with the disability sector, parents, carers and children. All organisations that work with key service departments like the DSD, are subject to quality assurance processes competency standards and are required to comply with prescribed policies, operational guidelines, norms and standards.</w:t>
      </w:r>
    </w:p>
    <w:p w14:paraId="4279500E" w14:textId="6D23788F" w:rsidR="00550434" w:rsidRPr="0052619D" w:rsidRDefault="00550434" w:rsidP="00FA528F">
      <w:pPr>
        <w:pStyle w:val="SingleTxtG"/>
        <w:numPr>
          <w:ilvl w:val="0"/>
          <w:numId w:val="28"/>
        </w:numPr>
        <w:ind w:left="1134" w:firstLine="0"/>
      </w:pPr>
      <w:r w:rsidRPr="0052619D">
        <w:t>The Judicial Inspectorate of Prisons (JICS), through the Independent Prison Visitors (IPV) scheme undertakes monitoring of correctional facilities, and provides independent monitoring on complaints, and reports of systemic matters to JICS.</w:t>
      </w:r>
    </w:p>
    <w:p w14:paraId="15C95314" w14:textId="26E37A72" w:rsidR="00550434" w:rsidRPr="0052619D" w:rsidRDefault="00550434" w:rsidP="00FA528F">
      <w:pPr>
        <w:pStyle w:val="SingleTxtG"/>
        <w:numPr>
          <w:ilvl w:val="0"/>
          <w:numId w:val="28"/>
        </w:numPr>
        <w:ind w:left="1134" w:firstLine="0"/>
      </w:pPr>
      <w:r w:rsidRPr="0052619D">
        <w:t xml:space="preserve">Government communicates mental health matters regularly through the Communication Nodal Point to sustain levels of awareness on mental health and related matters. All health training institutions include compulsory training on persons with disabilities and mental health conditions, as part of the health education curriculum applicable to all health professionals. </w:t>
      </w:r>
    </w:p>
    <w:p w14:paraId="7070EADF" w14:textId="077B13F1" w:rsidR="00550434" w:rsidRPr="0052619D" w:rsidRDefault="00550434" w:rsidP="00FA528F">
      <w:pPr>
        <w:pStyle w:val="SingleTxtG"/>
        <w:numPr>
          <w:ilvl w:val="0"/>
          <w:numId w:val="28"/>
        </w:numPr>
        <w:ind w:left="1134" w:firstLine="0"/>
      </w:pPr>
      <w:r w:rsidRPr="0052619D">
        <w:t>With respect to the training provided to law enforcement and prison officials, the DCS, through the Implementation Plan for their Framework on Awareness Raising focuses educating staff and offenders about disability rights and the specific needs of offenders with disabilities. The Plan aims to reduce stigma, promote understanding, and ensure that the rights of offenders with disabilities are upheld in line with international norms and standards. Training provided to enforcement officials is discussed in s11(d) above.</w:t>
      </w:r>
    </w:p>
    <w:p w14:paraId="187A5D1C" w14:textId="526B76D4" w:rsidR="00550434" w:rsidRPr="0052619D" w:rsidRDefault="00550434" w:rsidP="00FA528F">
      <w:pPr>
        <w:pStyle w:val="SingleTxtG"/>
        <w:numPr>
          <w:ilvl w:val="0"/>
          <w:numId w:val="28"/>
        </w:numPr>
        <w:ind w:left="1134" w:firstLine="0"/>
      </w:pPr>
      <w:r w:rsidRPr="0052619D">
        <w:t xml:space="preserve">Government is cognisant of the fact that the disability organisations are to be empowered to effectively undertake monitoring of institutions, however this process is yet to be formally adopted. </w:t>
      </w:r>
    </w:p>
    <w:p w14:paraId="6541F99F" w14:textId="20524644" w:rsidR="00550434" w:rsidRPr="0052619D" w:rsidRDefault="00132A1A" w:rsidP="00132A1A">
      <w:pPr>
        <w:pStyle w:val="H1G"/>
      </w:pPr>
      <w:r>
        <w:lastRenderedPageBreak/>
        <w:tab/>
      </w:r>
      <w:r>
        <w:tab/>
        <w:t>Article 15</w:t>
      </w:r>
      <w:r>
        <w:br/>
      </w:r>
      <w:r w:rsidR="00550434" w:rsidRPr="0052619D">
        <w:t>Freedom from torture or cruel, inhuman or degrading treatment or punishment</w:t>
      </w:r>
    </w:p>
    <w:p w14:paraId="2F122513" w14:textId="0EDA039E" w:rsidR="00550434" w:rsidRPr="0052619D" w:rsidRDefault="00132A1A" w:rsidP="00132A1A">
      <w:pPr>
        <w:pStyle w:val="H23G"/>
      </w:pPr>
      <w:r>
        <w:tab/>
      </w:r>
      <w:r>
        <w:tab/>
      </w:r>
      <w:r w:rsidR="00550434" w:rsidRPr="0052619D">
        <w:t>Reply to 14.</w:t>
      </w:r>
    </w:p>
    <w:p w14:paraId="3897102E" w14:textId="5221D127" w:rsidR="00550434" w:rsidRPr="0052619D" w:rsidRDefault="00550434" w:rsidP="00FA528F">
      <w:pPr>
        <w:pStyle w:val="SingleTxtG"/>
        <w:numPr>
          <w:ilvl w:val="0"/>
          <w:numId w:val="28"/>
        </w:numPr>
        <w:ind w:left="1134" w:firstLine="0"/>
      </w:pPr>
      <w:bookmarkStart w:id="24" w:name="_Toc189210088"/>
      <w:r w:rsidRPr="0052619D">
        <w:t xml:space="preserve">Measures taken at Ikwezi Lokusa Special School </w:t>
      </w:r>
      <w:bookmarkEnd w:id="24"/>
      <w:r w:rsidRPr="0052619D">
        <w:t>included a series of engagements with the school community; the development of a risk assessment and safety review; and renovation of the school which was completed in two phases during 2024. Included in the R 11.2m project, was the renovation of hostels and drainage of unused swimming pools. Tuition catch-up plans were implemented on account of the late start of the school year.  In addition, transport provision for day-scholars, to and from school has been made. The accountable educator was found not guilty but was arrested again for a similar offence and is in police custody.</w:t>
      </w:r>
    </w:p>
    <w:p w14:paraId="450A479A" w14:textId="3279407A" w:rsidR="00550434" w:rsidRPr="0052619D" w:rsidRDefault="00550434" w:rsidP="00FA528F">
      <w:pPr>
        <w:pStyle w:val="SingleTxtG"/>
        <w:numPr>
          <w:ilvl w:val="0"/>
          <w:numId w:val="28"/>
        </w:numPr>
        <w:ind w:left="1134" w:firstLine="0"/>
      </w:pPr>
      <w:r w:rsidRPr="0052619D">
        <w:t xml:space="preserve">Several measures to maintain safety and protect learners from ill-treatment and neglect are in place. Practical steps and measures include: </w:t>
      </w:r>
    </w:p>
    <w:p w14:paraId="3669B57D" w14:textId="77777777" w:rsidR="00550434" w:rsidRPr="0052619D" w:rsidRDefault="00550434" w:rsidP="00FA528F">
      <w:pPr>
        <w:pStyle w:val="SingleTxtG"/>
        <w:numPr>
          <w:ilvl w:val="0"/>
          <w:numId w:val="25"/>
        </w:numPr>
        <w:ind w:left="1134" w:firstLine="567"/>
      </w:pPr>
      <w:r w:rsidRPr="0052619D">
        <w:t xml:space="preserve">Oversight and compliance – inspections are conducted by district inspectors and provincial departments of education to ensure adherence to safety policies, infrastructure standards, and emergency preparedness. School Management Teams (SMTs) and School Governing Bodies (SGBs) oversee safety measures and incident reporting. </w:t>
      </w:r>
    </w:p>
    <w:p w14:paraId="10644E63" w14:textId="77777777" w:rsidR="00550434" w:rsidRPr="0052619D" w:rsidRDefault="00550434" w:rsidP="00FA528F">
      <w:pPr>
        <w:pStyle w:val="SingleTxtG"/>
        <w:numPr>
          <w:ilvl w:val="0"/>
          <w:numId w:val="25"/>
        </w:numPr>
        <w:ind w:left="1134" w:firstLine="567"/>
      </w:pPr>
      <w:r w:rsidRPr="0052619D">
        <w:t>Interdepartmental collaboration – Schools work with SAPS, social services, health and disaster management teams to assess risks, conduct safety drills, raise awareness and respond to threats.</w:t>
      </w:r>
    </w:p>
    <w:p w14:paraId="731FD480" w14:textId="77777777" w:rsidR="00550434" w:rsidRPr="0052619D" w:rsidRDefault="00550434" w:rsidP="00FA528F">
      <w:pPr>
        <w:pStyle w:val="SingleTxtG"/>
        <w:numPr>
          <w:ilvl w:val="0"/>
          <w:numId w:val="25"/>
        </w:numPr>
        <w:ind w:left="1134" w:firstLine="567"/>
      </w:pPr>
      <w:r w:rsidRPr="0052619D">
        <w:t>Legislative and policy measures – Schools must comply with the Occupational Health and Safety Act, the South African Schools Act, and the White Paper 6 on Inclusive Education. Non-compliance results in interventions, funding reviews, or legal action.</w:t>
      </w:r>
    </w:p>
    <w:p w14:paraId="2728169B" w14:textId="77777777" w:rsidR="00550434" w:rsidRPr="0052619D" w:rsidRDefault="00550434" w:rsidP="00FA528F">
      <w:pPr>
        <w:pStyle w:val="SingleTxtG"/>
        <w:numPr>
          <w:ilvl w:val="0"/>
          <w:numId w:val="25"/>
        </w:numPr>
        <w:ind w:left="1134" w:firstLine="567"/>
      </w:pPr>
      <w:r w:rsidRPr="0052619D">
        <w:t>Safety and protection protocols – Schools follow the Protocol on the Management and Reporting of Sexual Abuse and Harassment in Schools and the Protocol on the Management of Incidences of Corporal Punishment to guide responses to abuse, harassment, and corporal punishment. These protocols ensure proper reporting, psychosocial support, and collaboration with law enforcement.</w:t>
      </w:r>
    </w:p>
    <w:p w14:paraId="47F8058F" w14:textId="77777777" w:rsidR="00550434" w:rsidRPr="0052619D" w:rsidRDefault="00550434" w:rsidP="00FA528F">
      <w:pPr>
        <w:pStyle w:val="SingleTxtG"/>
        <w:numPr>
          <w:ilvl w:val="0"/>
          <w:numId w:val="25"/>
        </w:numPr>
        <w:ind w:left="1134" w:firstLine="567"/>
      </w:pPr>
      <w:r w:rsidRPr="0052619D">
        <w:t>Accountability and prevention – The Rules for the Prevention of Reappointment of Former Educators Dismissed or Deemed Dismissed for Misconduct, together with NRSO and CPR prohibit the re-employment of individuals found guilty of sexual offences, violence, or substance-related misconduct. Additionally, under a collective agreement within the Education Labour Relations Council (ELRC), arbitration awards involving educator misconduct, particularly sexual offences, are final and binding, with appeals permitted only through the Labour Court.</w:t>
      </w:r>
    </w:p>
    <w:p w14:paraId="67255D14" w14:textId="65052CFB" w:rsidR="00550434" w:rsidRPr="0052619D" w:rsidRDefault="00132A1A" w:rsidP="00132A1A">
      <w:pPr>
        <w:pStyle w:val="H23G"/>
      </w:pPr>
      <w:r>
        <w:tab/>
      </w:r>
      <w:r>
        <w:tab/>
      </w:r>
      <w:r w:rsidR="00550434" w:rsidRPr="0052619D">
        <w:t>Reply to 15 (a)</w:t>
      </w:r>
    </w:p>
    <w:p w14:paraId="3F5B13BB" w14:textId="5CD92594" w:rsidR="00550434" w:rsidRPr="0052619D" w:rsidRDefault="00550434" w:rsidP="00FA528F">
      <w:pPr>
        <w:pStyle w:val="SingleTxtG"/>
        <w:numPr>
          <w:ilvl w:val="0"/>
          <w:numId w:val="28"/>
        </w:numPr>
        <w:ind w:left="1134" w:firstLine="0"/>
      </w:pPr>
      <w:r w:rsidRPr="0052619D">
        <w:t xml:space="preserve">South Africa has ratified the Convention against Torture (CAT) and Optional Protocol to the Convention Against Torture (OPCAT), reaffirming its commitment to protecting persons with disabilities, particularly women, girls, and those with intellectual or psychosocial disabilities, from torture and degrading treatment. </w:t>
      </w:r>
    </w:p>
    <w:p w14:paraId="31EB9402" w14:textId="56284036" w:rsidR="00550434" w:rsidRPr="0052619D" w:rsidRDefault="00550434" w:rsidP="00FA528F">
      <w:pPr>
        <w:pStyle w:val="SingleTxtG"/>
        <w:numPr>
          <w:ilvl w:val="0"/>
          <w:numId w:val="28"/>
        </w:numPr>
        <w:ind w:left="1134" w:firstLine="0"/>
      </w:pPr>
      <w:r w:rsidRPr="0052619D">
        <w:t>The DCS Implementation Plan raises awareness among staff and offenders about disability rights, while the CPR and NRSO gateway vetting mechanisms prevent convicted individuals from working with vulnerable groups. South Africa plans to make the NRSO public to enhance accessibility and protection.</w:t>
      </w:r>
    </w:p>
    <w:p w14:paraId="6C9D7049" w14:textId="30C4D7A5" w:rsidR="00550434" w:rsidRPr="0052619D" w:rsidRDefault="00550434" w:rsidP="00FA528F">
      <w:pPr>
        <w:pStyle w:val="SingleTxtG"/>
        <w:numPr>
          <w:ilvl w:val="0"/>
          <w:numId w:val="28"/>
        </w:numPr>
        <w:ind w:left="1134" w:firstLine="0"/>
      </w:pPr>
      <w:r w:rsidRPr="0052619D">
        <w:t xml:space="preserve">The Older Persons Abuse Register (OPAR) tracks elder abuse, with over 300 social workers trained to improve reporting and support. </w:t>
      </w:r>
    </w:p>
    <w:p w14:paraId="117A658B" w14:textId="0AB9FD59" w:rsidR="00550434" w:rsidRPr="0052619D" w:rsidRDefault="00550434" w:rsidP="00FA528F">
      <w:pPr>
        <w:pStyle w:val="SingleTxtG"/>
        <w:numPr>
          <w:ilvl w:val="0"/>
          <w:numId w:val="28"/>
        </w:numPr>
        <w:ind w:left="1134" w:firstLine="0"/>
      </w:pPr>
      <w:r w:rsidRPr="0052619D">
        <w:t xml:space="preserve">The Protocol on the Management of Elder Abuse (2010) provides a framework for addressing abuse, supported by collaboration with the DOJCD and DoH. Complaints registers are available in all registered facilities, and government monitors these through </w:t>
      </w:r>
      <w:r w:rsidRPr="0052619D">
        <w:lastRenderedPageBreak/>
        <w:t>engagements with residents and management committees. However, resource constraints limit comprehensive quarterly monitoring, and capacity-building remains a priority.</w:t>
      </w:r>
    </w:p>
    <w:p w14:paraId="633C614C" w14:textId="0C95688B" w:rsidR="00550434" w:rsidRPr="0052619D" w:rsidRDefault="00132A1A" w:rsidP="00132A1A">
      <w:pPr>
        <w:pStyle w:val="H23G"/>
      </w:pPr>
      <w:r>
        <w:tab/>
      </w:r>
      <w:r>
        <w:tab/>
      </w:r>
      <w:r w:rsidR="00550434" w:rsidRPr="0052619D">
        <w:t xml:space="preserve">Reply to15(b) </w:t>
      </w:r>
    </w:p>
    <w:p w14:paraId="6B160764" w14:textId="7C4C18B5" w:rsidR="00550434" w:rsidRPr="0052619D" w:rsidRDefault="00550434" w:rsidP="00FA528F">
      <w:pPr>
        <w:pStyle w:val="SingleTxtG"/>
        <w:numPr>
          <w:ilvl w:val="0"/>
          <w:numId w:val="28"/>
        </w:numPr>
        <w:ind w:left="1134" w:firstLine="0"/>
      </w:pPr>
      <w:r w:rsidRPr="0052619D">
        <w:t>Between 2018 and 2024, the JICS reported 30 complaints of torture and 591 complaints of inhumane treatment in correctional facilities.  JICS statistics will be disaggregated from 2025. The IPID reported 164 cases of alleged torture by SAPS carried over from previous years, with an additional 204 cases as of December 2024.</w:t>
      </w:r>
    </w:p>
    <w:p w14:paraId="2C35BDA3" w14:textId="439928FC" w:rsidR="00550434" w:rsidRPr="0052619D" w:rsidRDefault="00550434" w:rsidP="00FA528F">
      <w:pPr>
        <w:pStyle w:val="SingleTxtG"/>
        <w:numPr>
          <w:ilvl w:val="0"/>
          <w:numId w:val="28"/>
        </w:numPr>
        <w:ind w:left="1134" w:firstLine="0"/>
      </w:pPr>
      <w:r w:rsidRPr="0052619D">
        <w:t>Data for complaints to other mechanisms and institutions was not at governments disposal at the time of reporting.</w:t>
      </w:r>
    </w:p>
    <w:p w14:paraId="645FCBF5" w14:textId="3B035D35" w:rsidR="00550434" w:rsidRPr="0052619D" w:rsidRDefault="00132A1A" w:rsidP="00132A1A">
      <w:pPr>
        <w:pStyle w:val="H23G"/>
      </w:pPr>
      <w:r>
        <w:tab/>
      </w:r>
      <w:r>
        <w:tab/>
      </w:r>
      <w:r w:rsidR="00550434" w:rsidRPr="0052619D">
        <w:t xml:space="preserve">Reply to 15 (c) </w:t>
      </w:r>
    </w:p>
    <w:p w14:paraId="563930E8" w14:textId="43AECB32" w:rsidR="00550434" w:rsidRPr="0052619D" w:rsidRDefault="00550434" w:rsidP="00FA528F">
      <w:pPr>
        <w:pStyle w:val="SingleTxtG"/>
        <w:numPr>
          <w:ilvl w:val="0"/>
          <w:numId w:val="28"/>
        </w:numPr>
        <w:ind w:left="1134" w:firstLine="0"/>
      </w:pPr>
      <w:r w:rsidRPr="0052619D">
        <w:t xml:space="preserve">Government provides comprehensive support through the justice system, statutory bodies like JICS, IPID, and SAHRC, and dedicated TCCs. </w:t>
      </w:r>
    </w:p>
    <w:p w14:paraId="473FB769" w14:textId="28412389" w:rsidR="00550434" w:rsidRPr="0052619D" w:rsidRDefault="00550434" w:rsidP="00FA528F">
      <w:pPr>
        <w:pStyle w:val="SingleTxtG"/>
        <w:numPr>
          <w:ilvl w:val="0"/>
          <w:numId w:val="28"/>
        </w:numPr>
        <w:ind w:left="1134" w:firstLine="0"/>
      </w:pPr>
      <w:r w:rsidRPr="0052619D">
        <w:t>Victims have access to shelters, trauma counselling, and economic support. Subsidised legal aid is available through LASA.</w:t>
      </w:r>
    </w:p>
    <w:p w14:paraId="350E39A7" w14:textId="538D257A" w:rsidR="00550434" w:rsidRPr="0052619D" w:rsidRDefault="00550434" w:rsidP="00FA528F">
      <w:pPr>
        <w:pStyle w:val="SingleTxtG"/>
        <w:numPr>
          <w:ilvl w:val="0"/>
          <w:numId w:val="28"/>
        </w:numPr>
        <w:ind w:left="1134" w:firstLine="0"/>
      </w:pPr>
      <w:r w:rsidRPr="0052619D">
        <w:t>The NSP Pillar 4 focuses on support, care, and healing, with the GBVF Response Fund mobilising R128 million to support over 160 community-based organisations.</w:t>
      </w:r>
    </w:p>
    <w:p w14:paraId="4628F07C" w14:textId="487E6D15" w:rsidR="00550434" w:rsidRPr="0052619D" w:rsidRDefault="00550434" w:rsidP="00FA528F">
      <w:pPr>
        <w:pStyle w:val="SingleTxtG"/>
        <w:numPr>
          <w:ilvl w:val="0"/>
          <w:numId w:val="28"/>
        </w:numPr>
        <w:ind w:left="1134" w:firstLine="0"/>
      </w:pPr>
      <w:r w:rsidRPr="0052619D">
        <w:t>Legal mechanisms include Section 300 Compensation Orders under the CPA, which provide for damages, medical expenses, and counselling. Workplace compensation is also available under the Compensation for Occupational Injuries and Diseases Act (1993).</w:t>
      </w:r>
    </w:p>
    <w:p w14:paraId="001132D4" w14:textId="07BA60EB" w:rsidR="00550434" w:rsidRPr="0052619D" w:rsidRDefault="00132A1A" w:rsidP="00132A1A">
      <w:pPr>
        <w:pStyle w:val="H23G"/>
      </w:pPr>
      <w:r>
        <w:tab/>
      </w:r>
      <w:r>
        <w:tab/>
      </w:r>
      <w:r w:rsidR="00550434" w:rsidRPr="0052619D">
        <w:t xml:space="preserve">Reply to 15 (d) </w:t>
      </w:r>
    </w:p>
    <w:p w14:paraId="22F73CA3" w14:textId="3B9513EB" w:rsidR="00550434" w:rsidRPr="0052619D" w:rsidRDefault="00550434" w:rsidP="00FA528F">
      <w:pPr>
        <w:pStyle w:val="SingleTxtG"/>
        <w:numPr>
          <w:ilvl w:val="0"/>
          <w:numId w:val="28"/>
        </w:numPr>
        <w:ind w:left="1134" w:firstLine="0"/>
      </w:pPr>
      <w:r w:rsidRPr="0052619D">
        <w:t>Perpetrators are prosecuted by the NPA under the Prevention and Combating of Torture of Persons Act (13 of 2013) through the criminal justice system. Disciplinary processes are also enforced through internal mechanisms in and by independent sector bodies like SACE (educators), IPID (law enforcement), and HPCSA (health professionals), ensuring accountability across sectors.</w:t>
      </w:r>
    </w:p>
    <w:p w14:paraId="433D4FA3" w14:textId="1F8DBBB3" w:rsidR="00550434" w:rsidRPr="0052619D" w:rsidRDefault="00132A1A" w:rsidP="00132A1A">
      <w:pPr>
        <w:pStyle w:val="H23G"/>
      </w:pPr>
      <w:r>
        <w:tab/>
      </w:r>
      <w:r>
        <w:tab/>
      </w:r>
      <w:r w:rsidR="00550434" w:rsidRPr="0052619D">
        <w:t xml:space="preserve">Reply to 15 (e) </w:t>
      </w:r>
    </w:p>
    <w:p w14:paraId="00B37017" w14:textId="0380E463" w:rsidR="00550434" w:rsidRPr="0052619D" w:rsidRDefault="00550434" w:rsidP="00FA528F">
      <w:pPr>
        <w:pStyle w:val="SingleTxtG"/>
        <w:numPr>
          <w:ilvl w:val="0"/>
          <w:numId w:val="28"/>
        </w:numPr>
        <w:ind w:left="1134" w:firstLine="0"/>
      </w:pPr>
      <w:r w:rsidRPr="0052619D">
        <w:t xml:space="preserve">South Africa has a robust oversight framework, including the Constitution, MHCA, and statutes establishing IPID, JICS, and the National Preventive Mechanism (NPM) under OPCAT. </w:t>
      </w:r>
    </w:p>
    <w:p w14:paraId="6901C1BE" w14:textId="51C746EE" w:rsidR="00550434" w:rsidRPr="0052619D" w:rsidRDefault="00550434" w:rsidP="00FA528F">
      <w:pPr>
        <w:pStyle w:val="SingleTxtG"/>
        <w:numPr>
          <w:ilvl w:val="0"/>
          <w:numId w:val="28"/>
        </w:numPr>
        <w:ind w:left="1134" w:firstLine="0"/>
      </w:pPr>
      <w:r w:rsidRPr="0052619D">
        <w:t xml:space="preserve">The 2023 Regulations for Licensing Community Mental Health Facilities ensure compliance and safeguard mental health care users. Provincial Review Boards monitor conditions, investigate complaints, and ensure legislative compliance. </w:t>
      </w:r>
    </w:p>
    <w:p w14:paraId="5D9E04E1" w14:textId="1AC6A8E5" w:rsidR="00550434" w:rsidRPr="0052619D" w:rsidRDefault="00550434" w:rsidP="00FA528F">
      <w:pPr>
        <w:pStyle w:val="SingleTxtG"/>
        <w:numPr>
          <w:ilvl w:val="0"/>
          <w:numId w:val="28"/>
        </w:numPr>
        <w:ind w:left="1134" w:firstLine="0"/>
      </w:pPr>
      <w:r w:rsidRPr="0052619D">
        <w:t xml:space="preserve">The Office for Health Standards Compliance (OHSC) conducts facility inspections, and psychiatric hospitals have quality assurance managers. Government officials and civil society organisations, such as SADAG, conduct monitoring visits. </w:t>
      </w:r>
    </w:p>
    <w:p w14:paraId="0D0B743F" w14:textId="06449C76" w:rsidR="00550434" w:rsidRPr="0052619D" w:rsidRDefault="00550434" w:rsidP="00FA528F">
      <w:pPr>
        <w:pStyle w:val="SingleTxtG"/>
        <w:numPr>
          <w:ilvl w:val="0"/>
          <w:numId w:val="28"/>
        </w:numPr>
        <w:ind w:left="1134" w:firstLine="0"/>
      </w:pPr>
      <w:r w:rsidRPr="0052619D">
        <w:t xml:space="preserve">The NPM, comprising IPID, the Military Ombud, Health Ombud, and JICS, oversees police stations, correctional centres, and mental health institutions. </w:t>
      </w:r>
    </w:p>
    <w:p w14:paraId="7D6743B1" w14:textId="03789880" w:rsidR="00550434" w:rsidRPr="0052619D" w:rsidRDefault="00550434" w:rsidP="00FA528F">
      <w:pPr>
        <w:pStyle w:val="SingleTxtG"/>
        <w:numPr>
          <w:ilvl w:val="0"/>
          <w:numId w:val="28"/>
        </w:numPr>
        <w:ind w:left="1134" w:firstLine="0"/>
      </w:pPr>
      <w:r w:rsidRPr="0052619D">
        <w:t xml:space="preserve">The SAHRC and CGE also monitor and investigate human rights violations. The DCS has internal complaints mechanisms, with ICCVs reporting to JICS and escalating unresolved issues. </w:t>
      </w:r>
    </w:p>
    <w:p w14:paraId="03BCC8B4" w14:textId="5E4CE930" w:rsidR="00550434" w:rsidRPr="0052619D" w:rsidRDefault="00550434" w:rsidP="00FA528F">
      <w:pPr>
        <w:pStyle w:val="SingleTxtG"/>
        <w:numPr>
          <w:ilvl w:val="0"/>
          <w:numId w:val="28"/>
        </w:numPr>
        <w:ind w:left="1134" w:firstLine="0"/>
      </w:pPr>
      <w:r w:rsidRPr="0052619D">
        <w:t>The State Party undergoes periodic CAT reviews to ensure compliance with international standards.</w:t>
      </w:r>
    </w:p>
    <w:p w14:paraId="7B401E96" w14:textId="39F36F57" w:rsidR="007124A3" w:rsidRDefault="007124A3" w:rsidP="007124A3">
      <w:pPr>
        <w:pStyle w:val="H1G"/>
      </w:pPr>
      <w:r>
        <w:lastRenderedPageBreak/>
        <w:tab/>
      </w:r>
      <w:r>
        <w:tab/>
      </w:r>
      <w:r w:rsidR="009768F4">
        <w:t>Article 16</w:t>
      </w:r>
      <w:r w:rsidR="009768F4">
        <w:br/>
      </w:r>
      <w:r w:rsidR="00550434" w:rsidRPr="0052619D">
        <w:t>Freedom from exploitation, violence, and abuse</w:t>
      </w:r>
    </w:p>
    <w:p w14:paraId="3ED39086" w14:textId="074E1DB1" w:rsidR="00550434" w:rsidRPr="0052619D" w:rsidRDefault="007124A3" w:rsidP="007124A3">
      <w:pPr>
        <w:pStyle w:val="H23G"/>
      </w:pPr>
      <w:r>
        <w:tab/>
      </w:r>
      <w:r>
        <w:tab/>
      </w:r>
      <w:r w:rsidR="00550434" w:rsidRPr="0052619D">
        <w:t>Reply to 16 (a)</w:t>
      </w:r>
    </w:p>
    <w:p w14:paraId="4D6FF627" w14:textId="49A66D9B" w:rsidR="00550434" w:rsidRPr="0052619D" w:rsidRDefault="00550434" w:rsidP="00FA528F">
      <w:pPr>
        <w:pStyle w:val="SingleTxtG"/>
        <w:numPr>
          <w:ilvl w:val="0"/>
          <w:numId w:val="28"/>
        </w:numPr>
        <w:ind w:left="1134" w:firstLine="0"/>
      </w:pPr>
      <w:r w:rsidRPr="0052619D">
        <w:t>The Committee is referred to s11 (a)) regarding measures implemented by Government to address violence and abuse of women and girls as discussed in this report.</w:t>
      </w:r>
    </w:p>
    <w:p w14:paraId="392E32DA" w14:textId="1E899FB8" w:rsidR="00550434" w:rsidRPr="0052619D" w:rsidRDefault="00550434" w:rsidP="00FA528F">
      <w:pPr>
        <w:pStyle w:val="SingleTxtG"/>
        <w:numPr>
          <w:ilvl w:val="0"/>
          <w:numId w:val="28"/>
        </w:numPr>
        <w:ind w:left="1134" w:firstLine="0"/>
      </w:pPr>
      <w:r w:rsidRPr="0052619D">
        <w:t>Measures adopted to prevent and combat trafficking of persons including persons with disabilities include the Prevention and Combating of Trafficking in Persons Act (2013) which is supported by a National Policy Framework (2019) that outlines a four-pillar strategy: prevention, protection, prosecution, and partnerships. Key institutional arrangements include the National Anti-Trafficking Coordinator, Provincial Task Teams, and Rapid Response Teams. The Criminal Law (Sexual Offences and Related Matters) Amendment Act and the NRSO, ensure vetting of individuals working with persons with disabilities.</w:t>
      </w:r>
    </w:p>
    <w:p w14:paraId="0B22D6D5" w14:textId="75AD8829" w:rsidR="00550434" w:rsidRPr="0052619D" w:rsidRDefault="00550434" w:rsidP="00FA528F">
      <w:pPr>
        <w:pStyle w:val="SingleTxtG"/>
        <w:numPr>
          <w:ilvl w:val="0"/>
          <w:numId w:val="28"/>
        </w:numPr>
        <w:ind w:left="1134" w:firstLine="0"/>
      </w:pPr>
      <w:r w:rsidRPr="0052619D">
        <w:t>Measures adopted to prevent corporal punishment in all settings, including schools and private homes include the 2019 constitutional ruling declaring the defence of against "reasonable chastisement” unlawful. The Protocol to Deal with Incidences of Corporal Punishment in Schools (2017) ensures uniform handling of reported cases. The Children’s Amendment Act (2024) further strengthens protections for children with disabilities, requiring reporting of abuse and neglect to the National Child Protection Register (NCPR). The Committee is referred to s16 (c) and s 25, where this is discussed in greater detail.</w:t>
      </w:r>
    </w:p>
    <w:p w14:paraId="3AA4E9EE" w14:textId="23B3C037" w:rsidR="00550434" w:rsidRPr="0052619D" w:rsidRDefault="007124A3" w:rsidP="007124A3">
      <w:pPr>
        <w:pStyle w:val="H23G"/>
      </w:pPr>
      <w:r>
        <w:tab/>
      </w:r>
      <w:r>
        <w:tab/>
      </w:r>
      <w:r w:rsidR="00550434" w:rsidRPr="0052619D">
        <w:t xml:space="preserve">Reply to 16 (b) </w:t>
      </w:r>
    </w:p>
    <w:p w14:paraId="4F6BFC31" w14:textId="597924DA" w:rsidR="00550434" w:rsidRPr="0052619D" w:rsidRDefault="00550434" w:rsidP="00FA528F">
      <w:pPr>
        <w:pStyle w:val="SingleTxtG"/>
        <w:numPr>
          <w:ilvl w:val="0"/>
          <w:numId w:val="28"/>
        </w:numPr>
        <w:ind w:left="1134" w:firstLine="0"/>
      </w:pPr>
      <w:r w:rsidRPr="0052619D">
        <w:t>South Africa has introduced targeted legal and policy measures to address gender-based violence (GBV) and discrimination. The NSP provides a framework for coordinated interventions, particularly for women and children with disabilities. The GBVF Act institutionalises a multi-sectoral approach, ensuring independent oversight and dedicated funding.</w:t>
      </w:r>
    </w:p>
    <w:p w14:paraId="08D576EB" w14:textId="1C4337C8" w:rsidR="00550434" w:rsidRPr="0052619D" w:rsidRDefault="00550434" w:rsidP="00FA528F">
      <w:pPr>
        <w:pStyle w:val="SingleTxtG"/>
        <w:numPr>
          <w:ilvl w:val="0"/>
          <w:numId w:val="28"/>
        </w:numPr>
        <w:ind w:left="1134" w:firstLine="0"/>
      </w:pPr>
      <w:r w:rsidRPr="0052619D">
        <w:t>Health and psychological services are provided through community-based programs and TCCs which offer medical and legal assistance to survivors.</w:t>
      </w:r>
    </w:p>
    <w:p w14:paraId="2B1CF217" w14:textId="152B16F5" w:rsidR="00550434" w:rsidRPr="0052619D" w:rsidRDefault="00550434" w:rsidP="00FA528F">
      <w:pPr>
        <w:pStyle w:val="SingleTxtG"/>
        <w:numPr>
          <w:ilvl w:val="0"/>
          <w:numId w:val="28"/>
        </w:numPr>
        <w:ind w:left="1134" w:firstLine="0"/>
      </w:pPr>
      <w:r w:rsidRPr="0052619D">
        <w:t>Legal protections include the Integrated Action Plan for Provisioning of Police Services (2022–2026) which aims to remove barriers preventing persons with disabilities from accessing justice and the National Instruction 8/2022 (MHCA), to ensure proper policing and protection of mental health care users requiring medical intervention. LASA provides subsidised legal services, while constitutional bodies like the CGE and the SAHRC offer free legal support.</w:t>
      </w:r>
    </w:p>
    <w:p w14:paraId="1FCED1B1" w14:textId="79830925" w:rsidR="00550434" w:rsidRPr="0052619D" w:rsidRDefault="00550434" w:rsidP="00FA528F">
      <w:pPr>
        <w:pStyle w:val="SingleTxtG"/>
        <w:numPr>
          <w:ilvl w:val="0"/>
          <w:numId w:val="28"/>
        </w:numPr>
        <w:ind w:left="1134" w:firstLine="0"/>
      </w:pPr>
      <w:r w:rsidRPr="0052619D">
        <w:t xml:space="preserve">Virtual courts allow witnesses to testify via audio-visual links, reducing delays and secondary victimisation. Intermediary services have been extended to include persons with disabilities in civil and family law proceedings. </w:t>
      </w:r>
    </w:p>
    <w:p w14:paraId="678EC3EC" w14:textId="2B5BF328" w:rsidR="00550434" w:rsidRPr="0052619D" w:rsidRDefault="00550434" w:rsidP="00FA528F">
      <w:pPr>
        <w:pStyle w:val="SingleTxtG"/>
        <w:numPr>
          <w:ilvl w:val="0"/>
          <w:numId w:val="28"/>
        </w:numPr>
        <w:ind w:left="1134" w:firstLine="0"/>
      </w:pPr>
      <w:r w:rsidRPr="0052619D">
        <w:t xml:space="preserve">The Police are prohibited from releasing perpetrators of violence before their first court appearance, and courts impose tougher sentences for crimes against children and femicide. </w:t>
      </w:r>
    </w:p>
    <w:p w14:paraId="5A28FDAC" w14:textId="48EF9A7E" w:rsidR="00550434" w:rsidRPr="0052619D" w:rsidRDefault="00550434" w:rsidP="00FA528F">
      <w:pPr>
        <w:pStyle w:val="SingleTxtG"/>
        <w:numPr>
          <w:ilvl w:val="0"/>
          <w:numId w:val="28"/>
        </w:numPr>
        <w:ind w:left="1134" w:firstLine="0"/>
      </w:pPr>
      <w:r w:rsidRPr="0052619D">
        <w:t>An online web portal allows the public to make applications for protection orders under the DVA, increasing access to protection against violence and abuse.</w:t>
      </w:r>
    </w:p>
    <w:p w14:paraId="039409EF" w14:textId="58303D7F" w:rsidR="00550434" w:rsidRPr="0052619D" w:rsidRDefault="007124A3" w:rsidP="007124A3">
      <w:pPr>
        <w:pStyle w:val="H23G"/>
      </w:pPr>
      <w:r>
        <w:tab/>
      </w:r>
      <w:r>
        <w:tab/>
      </w:r>
      <w:r w:rsidR="00550434" w:rsidRPr="0052619D">
        <w:t xml:space="preserve">Reply to 16 (c) </w:t>
      </w:r>
    </w:p>
    <w:p w14:paraId="7DB7FD18" w14:textId="727D0ABF" w:rsidR="00550434" w:rsidRPr="0052619D" w:rsidRDefault="00550434" w:rsidP="00FA528F">
      <w:pPr>
        <w:pStyle w:val="SingleTxtG"/>
        <w:numPr>
          <w:ilvl w:val="0"/>
          <w:numId w:val="28"/>
        </w:numPr>
        <w:ind w:left="1134" w:firstLine="0"/>
      </w:pPr>
      <w:r w:rsidRPr="0052619D">
        <w:t xml:space="preserve">South Africa maintains a zero-tolerance policy towards violence and discrimination against children with disabilities. Corporal punishment is prohibited in all settings, and the 2019 General Household Survey showed a decline in incidents from 16% in 2009 to 6% in 2019. </w:t>
      </w:r>
    </w:p>
    <w:p w14:paraId="32D86592" w14:textId="3B4FEFBF" w:rsidR="00550434" w:rsidRPr="0052619D" w:rsidRDefault="00550434" w:rsidP="00FA528F">
      <w:pPr>
        <w:pStyle w:val="SingleTxtG"/>
        <w:numPr>
          <w:ilvl w:val="0"/>
          <w:numId w:val="28"/>
        </w:numPr>
        <w:ind w:left="1134" w:firstLine="0"/>
      </w:pPr>
      <w:r w:rsidRPr="0052619D">
        <w:t xml:space="preserve">Legal measures, including the Abolition of Corporal Punishment Act (1997) and the Protocol to Deal with Incidences of Corporal Punishment in Schools (2017), enforce this prohibition.  The Positive Behaviour Intervention Systems programmes empower all </w:t>
      </w:r>
      <w:r w:rsidRPr="0052619D">
        <w:lastRenderedPageBreak/>
        <w:t>stakeholders to respond constructively towards learner ill-discipline and sustained training is provided to educators and stakeholders in the school environment.</w:t>
      </w:r>
    </w:p>
    <w:p w14:paraId="27EEC7C4" w14:textId="79682D75" w:rsidR="00550434" w:rsidRPr="0052619D" w:rsidRDefault="00550434" w:rsidP="00FA528F">
      <w:pPr>
        <w:pStyle w:val="SingleTxtG"/>
        <w:numPr>
          <w:ilvl w:val="0"/>
          <w:numId w:val="28"/>
        </w:numPr>
        <w:ind w:left="1134" w:firstLine="0"/>
      </w:pPr>
      <w:r w:rsidRPr="0052619D">
        <w:t xml:space="preserve">Several measures to maintain safety and protect learners from ill-treatment and neglect are in place. The practical steps and measures are referred to at para 195 above. </w:t>
      </w:r>
    </w:p>
    <w:p w14:paraId="5718B002" w14:textId="3ABD1A24" w:rsidR="00550434" w:rsidRPr="0052619D" w:rsidRDefault="0084024F" w:rsidP="0084024F">
      <w:pPr>
        <w:pStyle w:val="H23G"/>
      </w:pPr>
      <w:r>
        <w:tab/>
      </w:r>
      <w:r>
        <w:tab/>
      </w:r>
      <w:r w:rsidR="00550434" w:rsidRPr="0052619D">
        <w:t xml:space="preserve">Reply to 16 (d) </w:t>
      </w:r>
    </w:p>
    <w:p w14:paraId="4FDF5ED6" w14:textId="75BBEB44" w:rsidR="00550434" w:rsidRPr="0052619D" w:rsidRDefault="00550434" w:rsidP="00FA528F">
      <w:pPr>
        <w:pStyle w:val="SingleTxtG"/>
        <w:numPr>
          <w:ilvl w:val="0"/>
          <w:numId w:val="28"/>
        </w:numPr>
        <w:ind w:left="1134" w:firstLine="0"/>
      </w:pPr>
      <w:r w:rsidRPr="0052619D">
        <w:t>Pre-employment vetting includes checks against the NRSO and NCPR. The Criminal Law (Sexual Offenses and Related Matters) Amendment Act (2007) requires individuals with sexual offence convictions to disclose this to employers. The SACE mandates criminal record checks for teacher registration. The 2024 amendment to the General Regulations Regarding Children requires the NCPR, which also provides offender information, be maintained and updated by a dedicated Registrar. Measures to prevent the re-employment of unfit educators are also in place, as discussed above in s14).</w:t>
      </w:r>
    </w:p>
    <w:p w14:paraId="6892D67A" w14:textId="1105D423" w:rsidR="00550434" w:rsidRPr="0052619D" w:rsidRDefault="0084024F" w:rsidP="0084024F">
      <w:pPr>
        <w:pStyle w:val="H23G"/>
      </w:pPr>
      <w:r>
        <w:tab/>
      </w:r>
      <w:r>
        <w:tab/>
      </w:r>
      <w:r w:rsidR="00550434" w:rsidRPr="0052619D">
        <w:t xml:space="preserve">Reply to 16 (e) </w:t>
      </w:r>
    </w:p>
    <w:p w14:paraId="445F97EB" w14:textId="2407E47C" w:rsidR="00550434" w:rsidRPr="0052619D" w:rsidRDefault="00550434" w:rsidP="00FA528F">
      <w:pPr>
        <w:pStyle w:val="SingleTxtG"/>
        <w:numPr>
          <w:ilvl w:val="0"/>
          <w:numId w:val="28"/>
        </w:numPr>
        <w:ind w:left="1134" w:firstLine="0"/>
      </w:pPr>
      <w:r w:rsidRPr="0052619D">
        <w:t>The Integrated Crime and Violence Prevention Strategy (ICVPS) 2022 includes a comprehensive framework for victim support, focusing on children’s rights and services. The SAHRC and UNICEF developed Child-Friendly Complaints Handling Procedures, and schools have independent complaint platforms. The Western Cape Commissioner for Children has implemented child-friendly complaint mechanisms, allowing children to report abuse through various channels.</w:t>
      </w:r>
    </w:p>
    <w:p w14:paraId="05E4E476" w14:textId="634C6292" w:rsidR="00550434" w:rsidRPr="0052619D" w:rsidRDefault="0084024F" w:rsidP="0084024F">
      <w:pPr>
        <w:pStyle w:val="H23G"/>
      </w:pPr>
      <w:r>
        <w:tab/>
      </w:r>
      <w:r>
        <w:tab/>
      </w:r>
      <w:r w:rsidR="00550434" w:rsidRPr="0052619D">
        <w:t xml:space="preserve">Reply to 16 (f) </w:t>
      </w:r>
    </w:p>
    <w:p w14:paraId="300587CA" w14:textId="55BB3DB1" w:rsidR="00550434" w:rsidRPr="0052619D" w:rsidRDefault="00550434" w:rsidP="00FA528F">
      <w:pPr>
        <w:pStyle w:val="SingleTxtG"/>
        <w:numPr>
          <w:ilvl w:val="0"/>
          <w:numId w:val="28"/>
        </w:numPr>
        <w:ind w:left="1134" w:firstLine="0"/>
      </w:pPr>
      <w:r w:rsidRPr="0052619D">
        <w:t>The Command Call Centre is accessible to persons with disabilities, with sign language interpreters and assistance for deaf persons, including via Instagram. Government programmes target the social sector to ensure accessible information, though monitoring remains a challenge. Strengthening monitoring measures is a priority to ensure barrier-free access.</w:t>
      </w:r>
    </w:p>
    <w:p w14:paraId="60F44E8B" w14:textId="165071F9" w:rsidR="00550434" w:rsidRPr="0052619D" w:rsidRDefault="0084024F" w:rsidP="0084024F">
      <w:pPr>
        <w:pStyle w:val="H23G"/>
      </w:pPr>
      <w:r>
        <w:tab/>
      </w:r>
      <w:r>
        <w:tab/>
      </w:r>
      <w:r w:rsidR="00550434" w:rsidRPr="0052619D">
        <w:t>Reply to 16 (g)</w:t>
      </w:r>
    </w:p>
    <w:p w14:paraId="27F56D5F" w14:textId="52385F9F" w:rsidR="00550434" w:rsidRPr="0052619D" w:rsidRDefault="00550434" w:rsidP="00FA528F">
      <w:pPr>
        <w:pStyle w:val="SingleTxtG"/>
        <w:numPr>
          <w:ilvl w:val="0"/>
          <w:numId w:val="28"/>
        </w:numPr>
        <w:ind w:left="1134" w:firstLine="0"/>
      </w:pPr>
      <w:r w:rsidRPr="0052619D">
        <w:t>Government appreciates the raising of this issue and takes note of it. No specific or verifiable information regarding the matter is at its disposal. Persons of short stature are represented on Government mechanisms but have not raised the matter through the available mechanisms. Legal remedies and legal assistance, together with support services remain open to persons of short stature across the country.</w:t>
      </w:r>
    </w:p>
    <w:p w14:paraId="583F3C78" w14:textId="4FDB6677" w:rsidR="00550434" w:rsidRPr="0052619D" w:rsidRDefault="0084024F" w:rsidP="0084024F">
      <w:pPr>
        <w:pStyle w:val="H1G"/>
      </w:pPr>
      <w:r>
        <w:tab/>
      </w:r>
      <w:r>
        <w:tab/>
        <w:t>Article 17</w:t>
      </w:r>
      <w:r>
        <w:br/>
      </w:r>
      <w:r w:rsidR="00550434" w:rsidRPr="0052619D">
        <w:t>Protecting the integrity of the person</w:t>
      </w:r>
    </w:p>
    <w:p w14:paraId="4656CBB2" w14:textId="755438BE" w:rsidR="00550434" w:rsidRPr="0052619D" w:rsidRDefault="0084024F" w:rsidP="0084024F">
      <w:pPr>
        <w:pStyle w:val="H23G"/>
        <w:rPr>
          <w:iCs/>
        </w:rPr>
      </w:pPr>
      <w:r>
        <w:tab/>
      </w:r>
      <w:r>
        <w:tab/>
      </w:r>
      <w:r w:rsidR="00550434" w:rsidRPr="0052619D">
        <w:t xml:space="preserve">Reply to 17 </w:t>
      </w:r>
      <w:r w:rsidR="00550434" w:rsidRPr="0052619D">
        <w:rPr>
          <w:iCs/>
        </w:rPr>
        <w:t xml:space="preserve">(a) </w:t>
      </w:r>
    </w:p>
    <w:p w14:paraId="16FFF316" w14:textId="48908641" w:rsidR="00550434" w:rsidRPr="0052619D" w:rsidRDefault="00550434" w:rsidP="00FA528F">
      <w:pPr>
        <w:pStyle w:val="SingleTxtG"/>
        <w:numPr>
          <w:ilvl w:val="0"/>
          <w:numId w:val="28"/>
        </w:numPr>
        <w:ind w:left="1134" w:firstLine="0"/>
      </w:pPr>
      <w:r w:rsidRPr="0052619D">
        <w:t xml:space="preserve">The Sterilisation Act 44 of 1998 and the Choice of Termination of Pregnancy Amendment Act (1 of 2008) remain in force.  Government is however focused on monitoring mechanisms to ensure implementation of the legislation is subject to appropriate controls in accordance with human rights standards and norms.  It should be noted that the legislation regulates the conditions under which sterilisation procedures may be performed, including provisions for individuals who are unable to provide informed consent due to extreme intellectual disability. </w:t>
      </w:r>
    </w:p>
    <w:p w14:paraId="2164A3EF" w14:textId="57BE3D59" w:rsidR="00550434" w:rsidRPr="0052619D" w:rsidRDefault="0084024F" w:rsidP="0084024F">
      <w:pPr>
        <w:pStyle w:val="H23G"/>
      </w:pPr>
      <w:r>
        <w:tab/>
      </w:r>
      <w:r>
        <w:tab/>
      </w:r>
      <w:r w:rsidR="00550434" w:rsidRPr="0052619D">
        <w:t>Reply to 17(b)</w:t>
      </w:r>
    </w:p>
    <w:p w14:paraId="51BF3E3A" w14:textId="05782593" w:rsidR="00550434" w:rsidRPr="0052619D" w:rsidRDefault="00550434" w:rsidP="00FA528F">
      <w:pPr>
        <w:pStyle w:val="SingleTxtG"/>
        <w:numPr>
          <w:ilvl w:val="0"/>
          <w:numId w:val="28"/>
        </w:numPr>
        <w:ind w:left="1134" w:firstLine="0"/>
      </w:pPr>
      <w:r w:rsidRPr="0052619D">
        <w:t>Government has noted the CGE report documenting complaints of forced sterilisation and terminations.  Government has submitted a comprehensive formal response to the questions raised with South Africa by the United Nations on the issues.  The comprehensive response is annexed for the Committees reference and addresses (b) of Question 17 (Annexure 4).</w:t>
      </w:r>
    </w:p>
    <w:p w14:paraId="4A4F1F92" w14:textId="4B74C733" w:rsidR="00550434" w:rsidRPr="0052619D" w:rsidRDefault="00550434" w:rsidP="00FA528F">
      <w:pPr>
        <w:pStyle w:val="SingleTxtG"/>
        <w:numPr>
          <w:ilvl w:val="0"/>
          <w:numId w:val="28"/>
        </w:numPr>
        <w:ind w:left="1134" w:firstLine="0"/>
      </w:pPr>
      <w:r w:rsidRPr="0052619D">
        <w:lastRenderedPageBreak/>
        <w:t>Government has revised the maternity case record procedures to ensure that sterilisation is discussed with patients from their first antenatal visit (typically in the first three months of pregnancy) and at subsequent visits, allowing women sufficient time to reflect and make decisions.  The Maternal, Perinatal and Neonatal Health Policy (2021) informs the Respectful Maternity Care Service Package, to support informed choices. Included in this framework are procedures to attain consent free of coercion.</w:t>
      </w:r>
    </w:p>
    <w:p w14:paraId="0061FE50" w14:textId="732FC61F" w:rsidR="00550434" w:rsidRPr="0052619D" w:rsidRDefault="0084024F" w:rsidP="0084024F">
      <w:pPr>
        <w:pStyle w:val="H23G"/>
      </w:pPr>
      <w:bookmarkStart w:id="25" w:name="_heading=h.12jfdx2" w:colFirst="0" w:colLast="0"/>
      <w:bookmarkEnd w:id="25"/>
      <w:r>
        <w:tab/>
      </w:r>
      <w:r>
        <w:tab/>
      </w:r>
      <w:r w:rsidR="00550434" w:rsidRPr="0052619D">
        <w:t>Reply to 17(c)</w:t>
      </w:r>
    </w:p>
    <w:p w14:paraId="43F22657" w14:textId="0F1E809F" w:rsidR="00550434" w:rsidRPr="0052619D" w:rsidRDefault="00550434" w:rsidP="00FA528F">
      <w:pPr>
        <w:pStyle w:val="SingleTxtG"/>
        <w:numPr>
          <w:ilvl w:val="0"/>
          <w:numId w:val="28"/>
        </w:numPr>
        <w:ind w:left="1134" w:firstLine="0"/>
      </w:pPr>
      <w:r w:rsidRPr="0052619D">
        <w:t xml:space="preserve">On record at the disposal of the Government, there is no evidence of induced menstrual suppression as a practice, nor the use of experimental or new drugs and treatment on persons without free and informed consent, under any condition including admission into education.  South Africa remains firmly bound by the prescripts of the Constitution, and legislation which protect bodily integrity, autonomy and right to health. </w:t>
      </w:r>
    </w:p>
    <w:p w14:paraId="47001615" w14:textId="4FECA00A" w:rsidR="00550434" w:rsidRPr="0052619D" w:rsidRDefault="00C226DE" w:rsidP="00C226DE">
      <w:pPr>
        <w:pStyle w:val="H23G"/>
      </w:pPr>
      <w:r>
        <w:tab/>
      </w:r>
      <w:r>
        <w:tab/>
      </w:r>
      <w:r w:rsidR="00550434" w:rsidRPr="0052619D">
        <w:t xml:space="preserve">Reply to 17(d)  </w:t>
      </w:r>
    </w:p>
    <w:p w14:paraId="097971DF" w14:textId="1C6BF31C" w:rsidR="00550434" w:rsidRPr="0052619D" w:rsidRDefault="00550434" w:rsidP="00FA528F">
      <w:pPr>
        <w:pStyle w:val="SingleTxtG"/>
        <w:numPr>
          <w:ilvl w:val="0"/>
          <w:numId w:val="28"/>
        </w:numPr>
        <w:ind w:left="1134" w:firstLine="0"/>
      </w:pPr>
      <w:r w:rsidRPr="0052619D">
        <w:t>The 2020 Primary Health Care Standard Treatment Guidelines (STGs) and Essential Medicines List includes a guideline which recommends the use of high potency sunscreen.  Provincial Departments of Health acquire sunscreens through the national department to ensure availability and accessibility at all local levels of care within the country.</w:t>
      </w:r>
    </w:p>
    <w:p w14:paraId="3D0995D7" w14:textId="7EB2C2B3" w:rsidR="00550434" w:rsidRPr="0052619D" w:rsidRDefault="00550434" w:rsidP="00FA528F">
      <w:pPr>
        <w:pStyle w:val="SingleTxtG"/>
        <w:numPr>
          <w:ilvl w:val="0"/>
          <w:numId w:val="28"/>
        </w:numPr>
        <w:ind w:left="1134" w:firstLine="0"/>
      </w:pPr>
      <w:r w:rsidRPr="0052619D">
        <w:t>The availability of sunscreen at all government health care facilities across the country is however not consistent since provincial procurement volumes and frequency differs per region, based on levels of demand.</w:t>
      </w:r>
    </w:p>
    <w:p w14:paraId="52CE9FEB" w14:textId="7DE5E96C" w:rsidR="00550434" w:rsidRPr="0052619D" w:rsidRDefault="00550434" w:rsidP="00FA528F">
      <w:pPr>
        <w:pStyle w:val="SingleTxtG"/>
        <w:numPr>
          <w:ilvl w:val="0"/>
          <w:numId w:val="28"/>
        </w:numPr>
        <w:ind w:left="1134" w:firstLine="0"/>
      </w:pPr>
      <w:r w:rsidRPr="0052619D">
        <w:t>The Adult Primary Care Training Programme for health professionals in Primary Health Care facilities includes guidance on diagnosis, treatment and care of albinism. </w:t>
      </w:r>
    </w:p>
    <w:p w14:paraId="4DC8F7A2" w14:textId="2260C4CF" w:rsidR="00550434" w:rsidRPr="0052619D" w:rsidRDefault="00C226DE" w:rsidP="00C226DE">
      <w:pPr>
        <w:pStyle w:val="H23G"/>
        <w:rPr>
          <w:iCs/>
        </w:rPr>
      </w:pPr>
      <w:r>
        <w:tab/>
      </w:r>
      <w:r>
        <w:tab/>
      </w:r>
      <w:r w:rsidR="00550434" w:rsidRPr="0052619D">
        <w:t>Reply to 18.</w:t>
      </w:r>
      <w:r w:rsidR="00550434" w:rsidRPr="0052619D">
        <w:rPr>
          <w:i/>
        </w:rPr>
        <w:t xml:space="preserve"> </w:t>
      </w:r>
    </w:p>
    <w:p w14:paraId="37E1806F" w14:textId="1E0DF1EC" w:rsidR="00550434" w:rsidRPr="0052619D" w:rsidRDefault="00550434" w:rsidP="00FA528F">
      <w:pPr>
        <w:pStyle w:val="SingleTxtG"/>
        <w:numPr>
          <w:ilvl w:val="0"/>
          <w:numId w:val="28"/>
        </w:numPr>
        <w:ind w:left="1134" w:firstLine="0"/>
      </w:pPr>
      <w:r w:rsidRPr="0052619D">
        <w:t xml:space="preserve">The Community Crime Awareness Section is established to drive public education campaigns, advocacy, dialogues, </w:t>
      </w:r>
      <w:r w:rsidRPr="0052619D">
        <w:rPr>
          <w:i/>
          <w:iCs/>
        </w:rPr>
        <w:t>Imbizos</w:t>
      </w:r>
      <w:r w:rsidRPr="0052619D">
        <w:t xml:space="preserve"> and develop accessible awareness raising materials in response to community-related crimes such as</w:t>
      </w:r>
      <w:r w:rsidRPr="0052619D">
        <w:rPr>
          <w:i/>
          <w:iCs/>
        </w:rPr>
        <w:t xml:space="preserve"> Ukuthwala</w:t>
      </w:r>
      <w:r w:rsidRPr="0052619D">
        <w:t xml:space="preserve">. The awareness initiatives seek to demystify myths and deter harmful practices against persons with albinism and traditional practice such as </w:t>
      </w:r>
      <w:r w:rsidRPr="0052619D">
        <w:rPr>
          <w:i/>
          <w:iCs/>
        </w:rPr>
        <w:t>Ukuthwala,</w:t>
      </w:r>
      <w:r w:rsidRPr="0052619D">
        <w:t xml:space="preserve"> and to encourage local chiefs to speak out against the practice.</w:t>
      </w:r>
    </w:p>
    <w:p w14:paraId="309C2A7C" w14:textId="5573F635" w:rsidR="00550434" w:rsidRPr="0052619D" w:rsidRDefault="00550434" w:rsidP="00FA528F">
      <w:pPr>
        <w:pStyle w:val="SingleTxtG"/>
        <w:numPr>
          <w:ilvl w:val="0"/>
          <w:numId w:val="28"/>
        </w:numPr>
        <w:ind w:left="1134" w:firstLine="0"/>
      </w:pPr>
      <w:r w:rsidRPr="0052619D">
        <w:t xml:space="preserve">The SALRC has produced a Discussion Paper for comment on </w:t>
      </w:r>
      <w:r w:rsidRPr="0052619D">
        <w:rPr>
          <w:i/>
          <w:iCs/>
        </w:rPr>
        <w:t>Ukuthwala</w:t>
      </w:r>
      <w:r w:rsidRPr="0052619D">
        <w:t>. Awareness sessions on the paper were held in rural areas of the Eastern Cape and KwaZulu Natal, where the practice is rife.</w:t>
      </w:r>
    </w:p>
    <w:p w14:paraId="676535FC" w14:textId="448852AF" w:rsidR="00550434" w:rsidRPr="0052619D" w:rsidRDefault="00550434" w:rsidP="00FA528F">
      <w:pPr>
        <w:pStyle w:val="SingleTxtG"/>
        <w:numPr>
          <w:ilvl w:val="0"/>
          <w:numId w:val="28"/>
        </w:numPr>
        <w:ind w:left="1134" w:firstLine="0"/>
      </w:pPr>
      <w:r w:rsidRPr="0052619D">
        <w:t xml:space="preserve">The courts have decisively ruled that </w:t>
      </w:r>
      <w:r w:rsidRPr="0052619D">
        <w:rPr>
          <w:i/>
          <w:iCs/>
        </w:rPr>
        <w:t>Ukuthwala</w:t>
      </w:r>
      <w:r w:rsidRPr="0052619D">
        <w:t xml:space="preserve"> is a criminal offence. In the case of Jezile Vs the State, the offender was found guilty of human trafficking, rape, grievous bodily harm and assault, and sentenced to 22 years’ imprisonment.  </w:t>
      </w:r>
    </w:p>
    <w:p w14:paraId="759D1D02" w14:textId="3BBD6A4E" w:rsidR="00550434" w:rsidRPr="0052619D" w:rsidRDefault="00C226DE" w:rsidP="00C226DE">
      <w:pPr>
        <w:pStyle w:val="H1G"/>
      </w:pPr>
      <w:r>
        <w:tab/>
      </w:r>
      <w:r>
        <w:tab/>
        <w:t>Article 18</w:t>
      </w:r>
      <w:r>
        <w:br/>
      </w:r>
      <w:r w:rsidR="00550434" w:rsidRPr="0052619D">
        <w:t>Liberty of movement and nationality</w:t>
      </w:r>
    </w:p>
    <w:p w14:paraId="276EC67F" w14:textId="0A983B00" w:rsidR="00550434" w:rsidRPr="0052619D" w:rsidRDefault="00C226DE" w:rsidP="00C226DE">
      <w:pPr>
        <w:pStyle w:val="H23G"/>
        <w:rPr>
          <w:iCs/>
        </w:rPr>
      </w:pPr>
      <w:r>
        <w:tab/>
      </w:r>
      <w:r>
        <w:tab/>
      </w:r>
      <w:r w:rsidR="00550434" w:rsidRPr="0052619D">
        <w:t>Reply to 19</w:t>
      </w:r>
    </w:p>
    <w:p w14:paraId="25B6E523" w14:textId="1E9E9435" w:rsidR="00550434" w:rsidRPr="0052619D" w:rsidRDefault="00550434" w:rsidP="00FA528F">
      <w:pPr>
        <w:pStyle w:val="SingleTxtG"/>
        <w:numPr>
          <w:ilvl w:val="0"/>
          <w:numId w:val="28"/>
        </w:numPr>
        <w:ind w:left="1134" w:firstLine="0"/>
      </w:pPr>
      <w:r w:rsidRPr="0052619D">
        <w:t>South Africa has between 250 000 to 350 000 recognised refugee and asylum seekers.  Undocumented migrants are estimated to range between 1.6 to 4 million persons, although these figures are potentially much higher given instability in the region and other socio-economic drivers.  Government has, in accordance with international commitments and domestic legislation, made accessible a range of social support services to migrants with disabilities, subject to their immigration status.  Persons with albinism who are documented receive access to social services as reflected below.</w:t>
      </w:r>
    </w:p>
    <w:p w14:paraId="1C82BA32" w14:textId="75391157" w:rsidR="00550434" w:rsidRPr="0052619D" w:rsidRDefault="00550434" w:rsidP="00FA528F">
      <w:pPr>
        <w:pStyle w:val="SingleTxtG"/>
        <w:numPr>
          <w:ilvl w:val="0"/>
          <w:numId w:val="28"/>
        </w:numPr>
        <w:ind w:left="1134" w:firstLine="0"/>
      </w:pPr>
      <w:r w:rsidRPr="0052619D">
        <w:t xml:space="preserve">Both the disability and care dependency grants are made available to documented migrants including persons with albinism.  </w:t>
      </w:r>
    </w:p>
    <w:p w14:paraId="1DD6AF52" w14:textId="082AEAF6" w:rsidR="00550434" w:rsidRPr="0052619D" w:rsidRDefault="00550434" w:rsidP="00FA528F">
      <w:pPr>
        <w:pStyle w:val="SingleTxtG"/>
        <w:numPr>
          <w:ilvl w:val="0"/>
          <w:numId w:val="28"/>
        </w:numPr>
        <w:ind w:left="1134" w:firstLine="0"/>
      </w:pPr>
      <w:r w:rsidRPr="0052619D">
        <w:t xml:space="preserve">Similarly, access to government housing programs are available to documented migrants with disabilities, on a case-by-case basis. However, undocumented migrants with </w:t>
      </w:r>
      <w:r w:rsidRPr="0052619D">
        <w:lastRenderedPageBreak/>
        <w:t>albinism do not have automatic access to social housing (except in cases of disaster and emergencies). Access to housing is provided in cases of persons with albinism who are victims or suspected victims of trafficking.</w:t>
      </w:r>
    </w:p>
    <w:p w14:paraId="27E58215" w14:textId="0AC83DEC" w:rsidR="00550434" w:rsidRPr="0052619D" w:rsidRDefault="00550434" w:rsidP="00FA528F">
      <w:pPr>
        <w:pStyle w:val="SingleTxtG"/>
        <w:numPr>
          <w:ilvl w:val="0"/>
          <w:numId w:val="28"/>
        </w:numPr>
        <w:ind w:left="1134" w:firstLine="0"/>
      </w:pPr>
      <w:r w:rsidRPr="0052619D">
        <w:t xml:space="preserve">All migrants with disabilities have access to public healthcare services, including emergency medical care and basic health services. </w:t>
      </w:r>
    </w:p>
    <w:p w14:paraId="0ED0A67B" w14:textId="0290156B" w:rsidR="00550434" w:rsidRPr="0052619D" w:rsidRDefault="00550434" w:rsidP="00FA528F">
      <w:pPr>
        <w:pStyle w:val="SingleTxtG"/>
        <w:numPr>
          <w:ilvl w:val="0"/>
          <w:numId w:val="28"/>
        </w:numPr>
        <w:ind w:left="1134" w:firstLine="0"/>
      </w:pPr>
      <w:r w:rsidRPr="0052619D">
        <w:t>Similarly, Government has aligned its policies to allow all children of migrants, documented and undocumented, to have access to basic education through existing schools and special needs schools, following a court judgement in the Centre for Child Law v Minister of Basic Education.  The court's decision underscores the principle that a child's right to education cannot be impeded by a lack of documentation given the constitutional protections for the right to access basic education.  Children with disabilities both documented and undocumented also have access to appropriate learning materials and devices, and to receive meals through the national school feeding program.</w:t>
      </w:r>
    </w:p>
    <w:p w14:paraId="1B30622C" w14:textId="22CCEA8A" w:rsidR="00550434" w:rsidRPr="0052619D" w:rsidRDefault="00550434" w:rsidP="00FA528F">
      <w:pPr>
        <w:pStyle w:val="SingleTxtG"/>
        <w:numPr>
          <w:ilvl w:val="0"/>
          <w:numId w:val="28"/>
        </w:numPr>
        <w:ind w:left="1134" w:firstLine="0"/>
      </w:pPr>
      <w:r w:rsidRPr="0052619D">
        <w:t xml:space="preserve">Government has submitted its response to the measures taken to heighten protection for persons with albinism in this report (s6(d) and 8(a)(b)).  Protection and awareness efforts through the dedicated unit within the SAPS, and broader justice cluster, trafficking task team, NGO’s and social services provide additional support. </w:t>
      </w:r>
    </w:p>
    <w:p w14:paraId="7F881B4B" w14:textId="1B0CF8F0" w:rsidR="00550434" w:rsidRPr="0052619D" w:rsidRDefault="00550434" w:rsidP="00FA528F">
      <w:pPr>
        <w:pStyle w:val="SingleTxtG"/>
        <w:numPr>
          <w:ilvl w:val="0"/>
          <w:numId w:val="28"/>
        </w:numPr>
        <w:ind w:left="1134" w:firstLine="0"/>
      </w:pPr>
      <w:r w:rsidRPr="0052619D">
        <w:t>Other mechanisms to secure access to justice and social services include the TCCs, legal aid services, services provided by registered NPO’s, and public health services for persons with albinism.  In addition, cognisant of challenges faced by persons with Albinism, government continues efforts to respond to stigma, prejudice and discrimination through targeted awareness interventions and sub-regional engagements.</w:t>
      </w:r>
    </w:p>
    <w:p w14:paraId="4BF7C9DB" w14:textId="14C0F0CE" w:rsidR="00550434" w:rsidRPr="0052619D" w:rsidRDefault="00C226DE" w:rsidP="00C226DE">
      <w:pPr>
        <w:pStyle w:val="H1G"/>
      </w:pPr>
      <w:r>
        <w:tab/>
      </w:r>
      <w:r>
        <w:tab/>
        <w:t>Article 19</w:t>
      </w:r>
      <w:r>
        <w:br/>
      </w:r>
      <w:r w:rsidR="00550434" w:rsidRPr="0052619D">
        <w:t>Living independently and being included in the community</w:t>
      </w:r>
    </w:p>
    <w:p w14:paraId="7C07B15E" w14:textId="7A4C2C97" w:rsidR="00550434" w:rsidRPr="0052619D" w:rsidRDefault="00542011" w:rsidP="00542011">
      <w:pPr>
        <w:pStyle w:val="H23G"/>
      </w:pPr>
      <w:r>
        <w:tab/>
      </w:r>
      <w:r>
        <w:tab/>
      </w:r>
      <w:r w:rsidR="00550434" w:rsidRPr="0052619D">
        <w:t xml:space="preserve">Reply to 20(a) </w:t>
      </w:r>
    </w:p>
    <w:p w14:paraId="18C6BB9E" w14:textId="17E9F6BE" w:rsidR="00550434" w:rsidRPr="0052619D" w:rsidRDefault="00550434" w:rsidP="00FA528F">
      <w:pPr>
        <w:pStyle w:val="SingleTxtG"/>
        <w:numPr>
          <w:ilvl w:val="0"/>
          <w:numId w:val="28"/>
        </w:numPr>
        <w:ind w:left="1134" w:firstLine="0"/>
        <w:rPr>
          <w:lang w:eastAsia="en-ZA"/>
        </w:rPr>
      </w:pPr>
      <w:r w:rsidRPr="0052619D">
        <w:rPr>
          <w:lang w:eastAsia="en-ZA"/>
        </w:rPr>
        <w:t xml:space="preserve">The SALRC published Discussion Paper 168 and the draft DRB in October 2024, which </w:t>
      </w:r>
      <w:r w:rsidRPr="0052619D">
        <w:t>focus</w:t>
      </w:r>
      <w:r w:rsidRPr="0052619D">
        <w:rPr>
          <w:lang w:eastAsia="en-ZA"/>
        </w:rPr>
        <w:t xml:space="preserve"> on deinstitutionalisation. Once adopted, the draft DRB will provide a legislative framework aligned with the Convention, guiding policy and practice on deinstitutionalisation.</w:t>
      </w:r>
    </w:p>
    <w:p w14:paraId="0EC5B5AA" w14:textId="3FB68BB3" w:rsidR="00550434" w:rsidRPr="0052619D" w:rsidRDefault="00550434" w:rsidP="00FA528F">
      <w:pPr>
        <w:pStyle w:val="SingleTxtG"/>
        <w:numPr>
          <w:ilvl w:val="0"/>
          <w:numId w:val="28"/>
        </w:numPr>
        <w:ind w:left="1134" w:firstLine="0"/>
        <w:rPr>
          <w:lang w:eastAsia="en-ZA"/>
        </w:rPr>
      </w:pPr>
      <w:r w:rsidRPr="0052619D">
        <w:rPr>
          <w:lang w:eastAsia="en-ZA"/>
        </w:rPr>
        <w:t xml:space="preserve">In the interim, Government has strengthened community-based mental health services, integrating mental health units into general hospitals, and funding NGOs to provide community day care and residential services. Psychotropic medication and mental health </w:t>
      </w:r>
      <w:r w:rsidRPr="0052619D">
        <w:t>professionals</w:t>
      </w:r>
      <w:r w:rsidRPr="0052619D">
        <w:rPr>
          <w:lang w:eastAsia="en-ZA"/>
        </w:rPr>
        <w:t xml:space="preserve"> are available at primary health care facilities. Psychosocial rehabilitation programmes are also being implemented at the community level.</w:t>
      </w:r>
    </w:p>
    <w:p w14:paraId="3B92BB96" w14:textId="3E8D6935" w:rsidR="00550434" w:rsidRPr="0052619D" w:rsidRDefault="00550434" w:rsidP="00FA528F">
      <w:pPr>
        <w:pStyle w:val="SingleTxtG"/>
        <w:numPr>
          <w:ilvl w:val="0"/>
          <w:numId w:val="28"/>
        </w:numPr>
        <w:ind w:left="1134" w:firstLine="0"/>
        <w:rPr>
          <w:lang w:eastAsia="en-ZA"/>
        </w:rPr>
      </w:pPr>
      <w:r w:rsidRPr="0052619D">
        <w:rPr>
          <w:lang w:eastAsia="en-ZA"/>
        </w:rPr>
        <w:t xml:space="preserve">The DSD ensures frail older persons have access to vetted and registered residential facilities. Social grants, such as the care dependency grant, disability grant, and child support </w:t>
      </w:r>
      <w:r w:rsidRPr="0052619D">
        <w:t>grant</w:t>
      </w:r>
      <w:r w:rsidRPr="0052619D">
        <w:rPr>
          <w:lang w:eastAsia="en-ZA"/>
        </w:rPr>
        <w:t>, support community-based living for persons with disabilities, including those with mental disabilities.</w:t>
      </w:r>
    </w:p>
    <w:p w14:paraId="50F93019" w14:textId="16B33C18" w:rsidR="00550434" w:rsidRPr="0052619D" w:rsidRDefault="00550434" w:rsidP="00FA528F">
      <w:pPr>
        <w:pStyle w:val="SingleTxtG"/>
        <w:numPr>
          <w:ilvl w:val="0"/>
          <w:numId w:val="28"/>
        </w:numPr>
        <w:ind w:left="1134" w:firstLine="0"/>
        <w:rPr>
          <w:lang w:eastAsia="en-ZA"/>
        </w:rPr>
      </w:pPr>
      <w:r w:rsidRPr="0052619D">
        <w:rPr>
          <w:lang w:eastAsia="en-ZA"/>
        </w:rPr>
        <w:t xml:space="preserve">Policy interventions include the </w:t>
      </w:r>
      <w:r w:rsidRPr="0052619D">
        <w:t>Policy on Residential Facilities for Persons with Disabilities (PRFPD)</w:t>
      </w:r>
      <w:r w:rsidRPr="0052619D">
        <w:rPr>
          <w:lang w:eastAsia="en-ZA"/>
        </w:rPr>
        <w:t>, which promotes quality of life and protects residents' rights provides detailed directives and guideline to ensure governance, management and the provision of services. The Revised Policy on Psycho-Social Services in Social and Life Skills Centres (2022) engages adults with disabilities in development activities through day programmes, with 293 centres subsidised by Government.</w:t>
      </w:r>
    </w:p>
    <w:p w14:paraId="44C3E18D" w14:textId="6D1934A3" w:rsidR="00550434" w:rsidRPr="0052619D" w:rsidRDefault="00542011" w:rsidP="00542011">
      <w:pPr>
        <w:pStyle w:val="H23G"/>
        <w:rPr>
          <w:lang w:eastAsia="en-ZA"/>
        </w:rPr>
      </w:pPr>
      <w:r>
        <w:rPr>
          <w:lang w:eastAsia="en-ZA"/>
        </w:rPr>
        <w:tab/>
      </w:r>
      <w:r>
        <w:rPr>
          <w:lang w:eastAsia="en-ZA"/>
        </w:rPr>
        <w:tab/>
      </w:r>
      <w:r w:rsidR="00550434" w:rsidRPr="0052619D">
        <w:rPr>
          <w:lang w:eastAsia="en-ZA"/>
        </w:rPr>
        <w:t xml:space="preserve">Reply to 20(b) </w:t>
      </w:r>
    </w:p>
    <w:p w14:paraId="7A9DD17A" w14:textId="508CF95E" w:rsidR="00550434" w:rsidRPr="0052619D" w:rsidRDefault="00550434" w:rsidP="00FA528F">
      <w:pPr>
        <w:pStyle w:val="SingleTxtG"/>
        <w:numPr>
          <w:ilvl w:val="0"/>
          <w:numId w:val="28"/>
        </w:numPr>
        <w:ind w:left="1134" w:firstLine="0"/>
        <w:rPr>
          <w:lang w:eastAsia="en-ZA"/>
        </w:rPr>
      </w:pPr>
      <w:r w:rsidRPr="0052619D">
        <w:rPr>
          <w:lang w:eastAsia="en-ZA"/>
        </w:rPr>
        <w:t xml:space="preserve">The DSD revised its </w:t>
      </w:r>
      <w:r w:rsidRPr="0052619D">
        <w:t>PRFPD</w:t>
      </w:r>
      <w:r w:rsidRPr="0052619D">
        <w:rPr>
          <w:lang w:eastAsia="en-ZA"/>
        </w:rPr>
        <w:t xml:space="preserve"> following the Life Esidimeni tragedy, aligning it with the Health Ombud's recommendations. The policy focuses on assessment, monitoring, and compliance, ensuring better support for beneficiaries.</w:t>
      </w:r>
    </w:p>
    <w:p w14:paraId="51B7AF2F" w14:textId="08CC2ACA" w:rsidR="00550434" w:rsidRPr="0052619D" w:rsidRDefault="00550434" w:rsidP="00FA528F">
      <w:pPr>
        <w:pStyle w:val="SingleTxtG"/>
        <w:numPr>
          <w:ilvl w:val="0"/>
          <w:numId w:val="28"/>
        </w:numPr>
        <w:ind w:left="1134" w:firstLine="0"/>
        <w:rPr>
          <w:lang w:eastAsia="en-ZA"/>
        </w:rPr>
      </w:pPr>
      <w:r w:rsidRPr="0052619D">
        <w:t>The</w:t>
      </w:r>
      <w:r w:rsidRPr="0052619D">
        <w:rPr>
          <w:lang w:eastAsia="en-ZA"/>
        </w:rPr>
        <w:t xml:space="preserve"> Children’s Act promotes community-based measures, such as early childhood development centres and drop-in centres, to discourage institutionalisation. </w:t>
      </w:r>
    </w:p>
    <w:p w14:paraId="3F3694F1" w14:textId="3765A904" w:rsidR="00550434" w:rsidRPr="0052619D" w:rsidRDefault="00550434" w:rsidP="00FA528F">
      <w:pPr>
        <w:pStyle w:val="SingleTxtG"/>
        <w:numPr>
          <w:ilvl w:val="0"/>
          <w:numId w:val="28"/>
        </w:numPr>
        <w:ind w:left="1134" w:firstLine="0"/>
        <w:rPr>
          <w:lang w:eastAsia="en-ZA"/>
        </w:rPr>
      </w:pPr>
      <w:r w:rsidRPr="0052619D">
        <w:rPr>
          <w:lang w:eastAsia="en-ZA"/>
        </w:rPr>
        <w:lastRenderedPageBreak/>
        <w:t xml:space="preserve">Cabinet approved the Policy on Social Housing Needs (2021), which supports assisted living </w:t>
      </w:r>
      <w:r w:rsidRPr="0052619D">
        <w:t>arrangements</w:t>
      </w:r>
      <w:r w:rsidRPr="0052619D">
        <w:rPr>
          <w:lang w:eastAsia="en-ZA"/>
        </w:rPr>
        <w:t>, increasing autonomy for residents.</w:t>
      </w:r>
    </w:p>
    <w:p w14:paraId="1A8B130B" w14:textId="6CE7EC0A" w:rsidR="00550434" w:rsidRPr="0052619D" w:rsidRDefault="00550434" w:rsidP="00FA528F">
      <w:pPr>
        <w:pStyle w:val="SingleTxtG"/>
        <w:numPr>
          <w:ilvl w:val="0"/>
          <w:numId w:val="28"/>
        </w:numPr>
        <w:ind w:left="1134" w:firstLine="0"/>
      </w:pPr>
      <w:r w:rsidRPr="0052619D">
        <w:t>DSD has identified the need for a community-based system for Personal Assistance to Support Independent Living within the community. The User Specification Tool developed with stakeholders is aligned with the Disability Mainstreaming Project and is an important mechanism to inform specific support required for independent living.</w:t>
      </w:r>
    </w:p>
    <w:p w14:paraId="45E3242B" w14:textId="4FA4E6DE" w:rsidR="00550434" w:rsidRPr="0052619D" w:rsidRDefault="00542011" w:rsidP="00542011">
      <w:pPr>
        <w:pStyle w:val="H23G"/>
        <w:rPr>
          <w:lang w:eastAsia="en-ZA"/>
        </w:rPr>
      </w:pPr>
      <w:r>
        <w:rPr>
          <w:lang w:eastAsia="en-ZA"/>
        </w:rPr>
        <w:tab/>
      </w:r>
      <w:r>
        <w:rPr>
          <w:lang w:eastAsia="en-ZA"/>
        </w:rPr>
        <w:tab/>
      </w:r>
      <w:r w:rsidR="00550434" w:rsidRPr="0052619D">
        <w:rPr>
          <w:lang w:eastAsia="en-ZA"/>
        </w:rPr>
        <w:t xml:space="preserve">Reply to 20(c) </w:t>
      </w:r>
    </w:p>
    <w:p w14:paraId="38AD0061" w14:textId="3A7B1711" w:rsidR="00550434" w:rsidRPr="0052619D" w:rsidRDefault="00550434" w:rsidP="00FA528F">
      <w:pPr>
        <w:pStyle w:val="SingleTxtG"/>
        <w:numPr>
          <w:ilvl w:val="0"/>
          <w:numId w:val="28"/>
        </w:numPr>
        <w:ind w:left="1134" w:firstLine="0"/>
        <w:rPr>
          <w:lang w:eastAsia="en-ZA"/>
        </w:rPr>
      </w:pPr>
      <w:r w:rsidRPr="0052619D">
        <w:rPr>
          <w:lang w:eastAsia="en-ZA"/>
        </w:rPr>
        <w:t>The DBE has expanded access for learners with disabilities through full-service schools, with 832 such schools currently operational. Approximately 120,000 learners with disabilities are enrolled in ordinary public schools. Special schools have increased to 489, serving 137,483 learners.</w:t>
      </w:r>
    </w:p>
    <w:p w14:paraId="3D366BB0" w14:textId="7BA2ECA4" w:rsidR="00550434" w:rsidRPr="0052619D" w:rsidRDefault="00550434" w:rsidP="00FA528F">
      <w:pPr>
        <w:pStyle w:val="SingleTxtG"/>
        <w:numPr>
          <w:ilvl w:val="0"/>
          <w:numId w:val="28"/>
        </w:numPr>
        <w:ind w:left="1134" w:firstLine="0"/>
        <w:rPr>
          <w:lang w:eastAsia="en-ZA"/>
        </w:rPr>
      </w:pPr>
      <w:r w:rsidRPr="0052619D">
        <w:rPr>
          <w:lang w:eastAsia="en-ZA"/>
        </w:rPr>
        <w:t>Since 2015, the DBE has trained 178,757 teachers, 786 officials, and 8,727 early childhood development (ECD) practitioners on the Screening, Identification, Assessment and Support (</w:t>
      </w:r>
      <w:r w:rsidRPr="0052619D">
        <w:t>SIAS</w:t>
      </w:r>
      <w:r w:rsidRPr="0052619D">
        <w:rPr>
          <w:lang w:eastAsia="en-ZA"/>
        </w:rPr>
        <w:t>). The transfer of ECD from DSD to DBE is government priority and will enhance inclusion for learners with disabilities into the foundational phases.</w:t>
      </w:r>
    </w:p>
    <w:p w14:paraId="5D31B51C" w14:textId="1DB507EB" w:rsidR="00550434" w:rsidRPr="0052619D" w:rsidRDefault="00542011" w:rsidP="00542011">
      <w:pPr>
        <w:pStyle w:val="H23G"/>
        <w:rPr>
          <w:lang w:eastAsia="en-ZA"/>
        </w:rPr>
      </w:pPr>
      <w:r>
        <w:rPr>
          <w:lang w:eastAsia="en-ZA"/>
        </w:rPr>
        <w:tab/>
      </w:r>
      <w:r>
        <w:rPr>
          <w:lang w:eastAsia="en-ZA"/>
        </w:rPr>
        <w:tab/>
      </w:r>
      <w:r>
        <w:rPr>
          <w:lang w:eastAsia="en-ZA"/>
        </w:rPr>
        <w:tab/>
      </w:r>
      <w:r w:rsidR="00550434" w:rsidRPr="0052619D">
        <w:rPr>
          <w:lang w:eastAsia="en-ZA"/>
        </w:rPr>
        <w:t>Reply to 20(d)</w:t>
      </w:r>
    </w:p>
    <w:p w14:paraId="6363AA1A" w14:textId="0E4513A2" w:rsidR="00550434" w:rsidRPr="0052619D" w:rsidRDefault="00550434" w:rsidP="00FA528F">
      <w:pPr>
        <w:pStyle w:val="SingleTxtG"/>
        <w:numPr>
          <w:ilvl w:val="0"/>
          <w:numId w:val="28"/>
        </w:numPr>
        <w:ind w:left="1134" w:firstLine="0"/>
        <w:rPr>
          <w:lang w:eastAsia="en-ZA"/>
        </w:rPr>
      </w:pPr>
      <w:r w:rsidRPr="0052619D">
        <w:rPr>
          <w:lang w:eastAsia="en-ZA"/>
        </w:rPr>
        <w:t xml:space="preserve">Since the promulgation of the Older Persons Act in 2015, Government has provided community-based services, including active ageing programmes and home-based care. The DoH is </w:t>
      </w:r>
      <w:r w:rsidRPr="0052619D">
        <w:t>finalising</w:t>
      </w:r>
      <w:r w:rsidRPr="0052619D">
        <w:rPr>
          <w:lang w:eastAsia="en-ZA"/>
        </w:rPr>
        <w:t xml:space="preserve"> the National Policy Framework Strategy for Older Persons (NPFSOP) to improve access to quality healthcare and support independent living. The NPFSOP will include systematic collection of disaggregated data on older persons with disabilities.</w:t>
      </w:r>
    </w:p>
    <w:p w14:paraId="6415337A" w14:textId="2D9FC50A" w:rsidR="00550434" w:rsidRPr="0052619D" w:rsidRDefault="00542011" w:rsidP="00542011">
      <w:pPr>
        <w:pStyle w:val="H23G"/>
        <w:rPr>
          <w:lang w:eastAsia="en-ZA"/>
        </w:rPr>
      </w:pPr>
      <w:r>
        <w:rPr>
          <w:lang w:eastAsia="en-ZA"/>
        </w:rPr>
        <w:tab/>
      </w:r>
      <w:r>
        <w:rPr>
          <w:lang w:eastAsia="en-ZA"/>
        </w:rPr>
        <w:tab/>
      </w:r>
      <w:r w:rsidR="00550434" w:rsidRPr="0052619D">
        <w:rPr>
          <w:lang w:eastAsia="en-ZA"/>
        </w:rPr>
        <w:t xml:space="preserve">Reply to 20(e) </w:t>
      </w:r>
    </w:p>
    <w:p w14:paraId="60A2BA06" w14:textId="019689AE" w:rsidR="00550434" w:rsidRPr="0052619D" w:rsidRDefault="00550434" w:rsidP="00FA528F">
      <w:pPr>
        <w:pStyle w:val="SingleTxtG"/>
        <w:numPr>
          <w:ilvl w:val="0"/>
          <w:numId w:val="28"/>
        </w:numPr>
        <w:ind w:left="1134" w:firstLine="0"/>
        <w:rPr>
          <w:lang w:eastAsia="en-ZA"/>
        </w:rPr>
      </w:pPr>
      <w:r w:rsidRPr="0052619D">
        <w:rPr>
          <w:lang w:eastAsia="en-ZA"/>
        </w:rPr>
        <w:t>South Africa allocates 51% of its social assistance budget to the Older Persons Grant, spending five times more than its peers on social pensions. Social assistance programmes, such as the Disability Grant, Care Dependency Grant, and Grant in Aid, support persons with disabilities and their families. As of January 2025, 172,148 foster children received the care dependency grant.</w:t>
      </w:r>
    </w:p>
    <w:p w14:paraId="44E9E13C" w14:textId="59401F84" w:rsidR="00550434" w:rsidRPr="0052619D" w:rsidRDefault="00550434" w:rsidP="00FA528F">
      <w:pPr>
        <w:pStyle w:val="SingleTxtG"/>
        <w:numPr>
          <w:ilvl w:val="0"/>
          <w:numId w:val="28"/>
        </w:numPr>
        <w:ind w:left="1134" w:firstLine="0"/>
      </w:pPr>
      <w:r w:rsidRPr="0052619D">
        <w:t>Home and Community Based Care programmes (HCBC), ensure that vulnerable groups,</w:t>
      </w:r>
      <w:r w:rsidRPr="0052619D">
        <w:rPr>
          <w:spacing w:val="-11"/>
        </w:rPr>
        <w:t xml:space="preserve"> </w:t>
      </w:r>
      <w:r w:rsidRPr="0052619D">
        <w:t>including</w:t>
      </w:r>
      <w:r w:rsidRPr="0052619D">
        <w:rPr>
          <w:spacing w:val="-10"/>
        </w:rPr>
        <w:t xml:space="preserve"> </w:t>
      </w:r>
      <w:r w:rsidRPr="0052619D">
        <w:t>persons with disabilities</w:t>
      </w:r>
      <w:r w:rsidRPr="0052619D">
        <w:rPr>
          <w:spacing w:val="-12"/>
        </w:rPr>
        <w:t xml:space="preserve"> </w:t>
      </w:r>
      <w:r w:rsidRPr="0052619D">
        <w:t>have</w:t>
      </w:r>
      <w:r w:rsidRPr="0052619D">
        <w:rPr>
          <w:spacing w:val="-11"/>
        </w:rPr>
        <w:t xml:space="preserve"> </w:t>
      </w:r>
      <w:r w:rsidRPr="0052619D">
        <w:t>access</w:t>
      </w:r>
      <w:r w:rsidRPr="0052619D">
        <w:rPr>
          <w:spacing w:val="-12"/>
        </w:rPr>
        <w:t xml:space="preserve"> </w:t>
      </w:r>
      <w:r w:rsidRPr="0052619D">
        <w:t>to</w:t>
      </w:r>
      <w:r w:rsidRPr="0052619D">
        <w:rPr>
          <w:spacing w:val="-10"/>
        </w:rPr>
        <w:t xml:space="preserve"> </w:t>
      </w:r>
      <w:r w:rsidRPr="0052619D">
        <w:t>integrated</w:t>
      </w:r>
      <w:r w:rsidRPr="0052619D">
        <w:rPr>
          <w:spacing w:val="-10"/>
        </w:rPr>
        <w:t xml:space="preserve"> </w:t>
      </w:r>
      <w:r w:rsidRPr="0052619D">
        <w:t>services</w:t>
      </w:r>
      <w:r w:rsidRPr="0052619D">
        <w:rPr>
          <w:spacing w:val="-12"/>
        </w:rPr>
        <w:t xml:space="preserve"> </w:t>
      </w:r>
      <w:r w:rsidRPr="0052619D">
        <w:t>addressing</w:t>
      </w:r>
      <w:r w:rsidRPr="0052619D">
        <w:rPr>
          <w:spacing w:val="-10"/>
        </w:rPr>
        <w:t xml:space="preserve"> </w:t>
      </w:r>
      <w:r w:rsidRPr="0052619D">
        <w:t>their</w:t>
      </w:r>
      <w:r w:rsidRPr="0052619D">
        <w:rPr>
          <w:spacing w:val="-12"/>
        </w:rPr>
        <w:t xml:space="preserve"> </w:t>
      </w:r>
      <w:r w:rsidRPr="0052619D">
        <w:t>basic</w:t>
      </w:r>
      <w:r w:rsidRPr="0052619D">
        <w:rPr>
          <w:spacing w:val="-11"/>
        </w:rPr>
        <w:t xml:space="preserve"> </w:t>
      </w:r>
      <w:r w:rsidRPr="0052619D">
        <w:t>needs</w:t>
      </w:r>
      <w:r w:rsidRPr="0052619D">
        <w:rPr>
          <w:spacing w:val="-13"/>
        </w:rPr>
        <w:t xml:space="preserve"> </w:t>
      </w:r>
      <w:r w:rsidRPr="0052619D">
        <w:t>for food, shelter, education, psychosocial support, family or alternative care, health care, and protection</w:t>
      </w:r>
      <w:r w:rsidRPr="0052619D">
        <w:rPr>
          <w:spacing w:val="-2"/>
        </w:rPr>
        <w:t xml:space="preserve"> </w:t>
      </w:r>
      <w:r w:rsidRPr="0052619D">
        <w:t>from</w:t>
      </w:r>
      <w:r w:rsidRPr="0052619D">
        <w:rPr>
          <w:spacing w:val="-2"/>
        </w:rPr>
        <w:t xml:space="preserve"> </w:t>
      </w:r>
      <w:r w:rsidRPr="0052619D">
        <w:t>abuse</w:t>
      </w:r>
      <w:r w:rsidRPr="0052619D">
        <w:rPr>
          <w:spacing w:val="-3"/>
        </w:rPr>
        <w:t xml:space="preserve"> </w:t>
      </w:r>
      <w:r w:rsidRPr="0052619D">
        <w:t>and</w:t>
      </w:r>
      <w:r w:rsidRPr="0052619D">
        <w:rPr>
          <w:spacing w:val="-4"/>
        </w:rPr>
        <w:t xml:space="preserve"> </w:t>
      </w:r>
      <w:r w:rsidRPr="0052619D">
        <w:t>maltreatment.</w:t>
      </w:r>
      <w:r w:rsidRPr="0052619D">
        <w:rPr>
          <w:spacing w:val="-5"/>
        </w:rPr>
        <w:t xml:space="preserve"> </w:t>
      </w:r>
      <w:r w:rsidRPr="0052619D">
        <w:t>These</w:t>
      </w:r>
      <w:r w:rsidRPr="0052619D">
        <w:rPr>
          <w:spacing w:val="-3"/>
        </w:rPr>
        <w:t xml:space="preserve"> </w:t>
      </w:r>
      <w:r w:rsidRPr="0052619D">
        <w:t>programmes</w:t>
      </w:r>
      <w:r w:rsidRPr="0052619D">
        <w:rPr>
          <w:spacing w:val="-4"/>
        </w:rPr>
        <w:t xml:space="preserve"> </w:t>
      </w:r>
      <w:r w:rsidRPr="0052619D">
        <w:t>empower families and communities to adequately care for their vulnerable members, including orphans and vulnerable children.</w:t>
      </w:r>
    </w:p>
    <w:p w14:paraId="56C856DC" w14:textId="1027F2E7" w:rsidR="00550434" w:rsidRPr="0052619D" w:rsidRDefault="0042257B" w:rsidP="0042257B">
      <w:pPr>
        <w:pStyle w:val="H1G"/>
      </w:pPr>
      <w:r>
        <w:tab/>
      </w:r>
      <w:r>
        <w:tab/>
        <w:t>Article 20</w:t>
      </w:r>
      <w:r>
        <w:br/>
      </w:r>
      <w:r w:rsidR="00550434" w:rsidRPr="0052619D">
        <w:t>Personal</w:t>
      </w:r>
      <w:r w:rsidR="00550434" w:rsidRPr="0052619D">
        <w:rPr>
          <w:spacing w:val="-7"/>
        </w:rPr>
        <w:t xml:space="preserve"> </w:t>
      </w:r>
      <w:r w:rsidR="00550434" w:rsidRPr="0052619D">
        <w:t>mobility</w:t>
      </w:r>
    </w:p>
    <w:p w14:paraId="5EB90FAF" w14:textId="79C7AE36" w:rsidR="00550434" w:rsidRPr="0052619D" w:rsidRDefault="0042257B" w:rsidP="0042257B">
      <w:pPr>
        <w:pStyle w:val="H23G"/>
      </w:pPr>
      <w:r>
        <w:tab/>
      </w:r>
      <w:r>
        <w:tab/>
      </w:r>
      <w:r w:rsidR="00550434" w:rsidRPr="0052619D">
        <w:t xml:space="preserve">Reply to 21 (a) </w:t>
      </w:r>
    </w:p>
    <w:p w14:paraId="78FB7A16" w14:textId="112441B6" w:rsidR="00550434" w:rsidRPr="0052619D" w:rsidRDefault="00550434" w:rsidP="00FA528F">
      <w:pPr>
        <w:pStyle w:val="SingleTxtG"/>
        <w:numPr>
          <w:ilvl w:val="0"/>
          <w:numId w:val="28"/>
        </w:numPr>
        <w:ind w:left="1134" w:firstLine="0"/>
      </w:pPr>
      <w:r w:rsidRPr="0052619D">
        <w:t>Government has made progress in improving access to mobility and assistive devices both in policy and service delivery. Measures include:</w:t>
      </w:r>
    </w:p>
    <w:p w14:paraId="0600CA9B" w14:textId="77777777" w:rsidR="00550434" w:rsidRPr="0052619D" w:rsidRDefault="00550434" w:rsidP="00FA528F">
      <w:pPr>
        <w:pStyle w:val="SingleTxtG"/>
        <w:numPr>
          <w:ilvl w:val="0"/>
          <w:numId w:val="26"/>
        </w:numPr>
        <w:ind w:left="1134" w:firstLine="567"/>
      </w:pPr>
      <w:r w:rsidRPr="0052619D">
        <w:t>The introduction of the Framework and Strategy for Disability and Rehabilitation which is being rolled out together with training for provincial officials. </w:t>
      </w:r>
    </w:p>
    <w:p w14:paraId="67695D7E" w14:textId="64F8A556" w:rsidR="00550434" w:rsidRPr="0052619D" w:rsidRDefault="00550434" w:rsidP="00FA528F">
      <w:pPr>
        <w:pStyle w:val="SingleTxtG"/>
        <w:numPr>
          <w:ilvl w:val="0"/>
          <w:numId w:val="26"/>
        </w:numPr>
        <w:ind w:left="1134" w:firstLine="567"/>
        <w:rPr>
          <w:color w:val="000000" w:themeColor="text1"/>
        </w:rPr>
      </w:pPr>
      <w:r w:rsidRPr="0052619D">
        <w:rPr>
          <w:color w:val="000000" w:themeColor="text1"/>
        </w:rPr>
        <w:t xml:space="preserve">Provisioning </w:t>
      </w:r>
      <w:r w:rsidRPr="00C621C7">
        <w:t>through</w:t>
      </w:r>
      <w:r w:rsidRPr="0052619D">
        <w:rPr>
          <w:color w:val="000000" w:themeColor="text1"/>
        </w:rPr>
        <w:t xml:space="preserve"> a central assistive device contract managed at national level. Provisioning is audited to identify backlogs and identify challenges in the external supply chain (imports). Provisioning may be impacted by budget availability where allocations are exceeded.</w:t>
      </w:r>
    </w:p>
    <w:p w14:paraId="5034AC06" w14:textId="31EBD3C5" w:rsidR="00550434" w:rsidRPr="0052619D" w:rsidRDefault="00550434" w:rsidP="00FA528F">
      <w:pPr>
        <w:pStyle w:val="SingleTxtG"/>
        <w:numPr>
          <w:ilvl w:val="0"/>
          <w:numId w:val="26"/>
        </w:numPr>
        <w:ind w:left="1134" w:firstLine="567"/>
        <w:rPr>
          <w:color w:val="000000" w:themeColor="text1"/>
        </w:rPr>
      </w:pPr>
      <w:r w:rsidRPr="0052619D">
        <w:rPr>
          <w:color w:val="000000" w:themeColor="text1"/>
        </w:rPr>
        <w:t xml:space="preserve">The issuance of Guidelines for Schools ICT Hardware and Software in response to the needs of learners with disabilities within a range of </w:t>
      </w:r>
      <w:r w:rsidRPr="00C621C7">
        <w:t>domains</w:t>
      </w:r>
      <w:r w:rsidRPr="0052619D">
        <w:rPr>
          <w:color w:val="000000" w:themeColor="text1"/>
        </w:rPr>
        <w:t xml:space="preserve"> and levels of functioning. To date, 435 special schools are provided with a standard package of assistive technologies and devices through collaboration with telecommunications companies.</w:t>
      </w:r>
    </w:p>
    <w:p w14:paraId="2BC927A2" w14:textId="5F3D05AF" w:rsidR="00550434" w:rsidRPr="0052619D" w:rsidRDefault="00076B47" w:rsidP="00076B47">
      <w:pPr>
        <w:pStyle w:val="H23G"/>
      </w:pPr>
      <w:r>
        <w:lastRenderedPageBreak/>
        <w:tab/>
      </w:r>
      <w:r>
        <w:tab/>
      </w:r>
      <w:r w:rsidR="00550434" w:rsidRPr="0052619D">
        <w:t>Reply to 21 (b)</w:t>
      </w:r>
    </w:p>
    <w:p w14:paraId="752A41F6" w14:textId="63447878" w:rsidR="00550434" w:rsidRPr="0052619D" w:rsidRDefault="00550434" w:rsidP="00FA528F">
      <w:pPr>
        <w:pStyle w:val="SingleTxtG"/>
        <w:numPr>
          <w:ilvl w:val="0"/>
          <w:numId w:val="28"/>
        </w:numPr>
        <w:ind w:left="1134" w:firstLine="0"/>
      </w:pPr>
      <w:r w:rsidRPr="0052619D">
        <w:t>Training on orientation and mobility is conducted by the DBE in collaboration with the South African Guide Dogs Association (SAGA). The DBE provided capacity development for educators throughout the country who are visually impaired through SAGA by: conducting orientation and mobility training for the employees to independently walk in their place of employment</w:t>
      </w:r>
      <w:r w:rsidRPr="0052619D">
        <w:rPr>
          <w:color w:val="FF0000"/>
        </w:rPr>
        <w:t>,</w:t>
      </w:r>
      <w:r w:rsidRPr="0052619D">
        <w:t xml:space="preserve"> and in their home environment.</w:t>
      </w:r>
    </w:p>
    <w:p w14:paraId="12E75CD3" w14:textId="5E8D17F7" w:rsidR="00550434" w:rsidRPr="0052619D" w:rsidRDefault="00550434" w:rsidP="00FA528F">
      <w:pPr>
        <w:pStyle w:val="SingleTxtG"/>
        <w:numPr>
          <w:ilvl w:val="0"/>
          <w:numId w:val="28"/>
        </w:numPr>
        <w:ind w:left="1134" w:firstLine="0"/>
      </w:pPr>
      <w:r w:rsidRPr="0052619D">
        <w:t>Other measures include training employees and other stakeholders on disability and reasonable accommodation measures to address social barriers; and providing ICT training for visually impaired educators, their departmental heads and teachers. While training has been widespread, the DWYPD will continue to consult stakeholders to expand reach and provision of sustained, comprehensive training.</w:t>
      </w:r>
    </w:p>
    <w:p w14:paraId="5B6EACB1" w14:textId="4B9BCBFB" w:rsidR="00550434" w:rsidRPr="0052619D" w:rsidRDefault="00076B47" w:rsidP="00076B47">
      <w:pPr>
        <w:pStyle w:val="H1G"/>
      </w:pPr>
      <w:r>
        <w:tab/>
      </w:r>
      <w:r>
        <w:tab/>
        <w:t>Article 21</w:t>
      </w:r>
      <w:r>
        <w:br/>
      </w:r>
      <w:r w:rsidR="00550434" w:rsidRPr="0052619D">
        <w:t>Freedom</w:t>
      </w:r>
      <w:r w:rsidR="00550434" w:rsidRPr="0052619D">
        <w:rPr>
          <w:spacing w:val="-3"/>
        </w:rPr>
        <w:t xml:space="preserve"> </w:t>
      </w:r>
      <w:r w:rsidR="00550434" w:rsidRPr="0052619D">
        <w:t>of</w:t>
      </w:r>
      <w:r w:rsidR="00550434" w:rsidRPr="0052619D">
        <w:rPr>
          <w:spacing w:val="-6"/>
        </w:rPr>
        <w:t xml:space="preserve"> </w:t>
      </w:r>
      <w:r w:rsidR="00550434" w:rsidRPr="0052619D">
        <w:t>expression</w:t>
      </w:r>
      <w:r w:rsidR="00550434" w:rsidRPr="0052619D">
        <w:rPr>
          <w:spacing w:val="-6"/>
        </w:rPr>
        <w:t xml:space="preserve"> </w:t>
      </w:r>
      <w:r w:rsidR="00550434" w:rsidRPr="0052619D">
        <w:t>and</w:t>
      </w:r>
      <w:r w:rsidR="00550434" w:rsidRPr="0052619D">
        <w:rPr>
          <w:spacing w:val="-5"/>
        </w:rPr>
        <w:t xml:space="preserve"> </w:t>
      </w:r>
      <w:r w:rsidR="00550434" w:rsidRPr="0052619D">
        <w:t>opinion,</w:t>
      </w:r>
      <w:r w:rsidR="00550434" w:rsidRPr="0052619D">
        <w:rPr>
          <w:spacing w:val="-4"/>
        </w:rPr>
        <w:t xml:space="preserve"> </w:t>
      </w:r>
      <w:r w:rsidR="00550434" w:rsidRPr="0052619D">
        <w:t>and</w:t>
      </w:r>
      <w:r w:rsidR="00550434" w:rsidRPr="0052619D">
        <w:rPr>
          <w:spacing w:val="-6"/>
        </w:rPr>
        <w:t xml:space="preserve"> </w:t>
      </w:r>
      <w:r w:rsidR="00550434" w:rsidRPr="0052619D">
        <w:t>access</w:t>
      </w:r>
      <w:r w:rsidR="00550434" w:rsidRPr="0052619D">
        <w:rPr>
          <w:spacing w:val="-5"/>
        </w:rPr>
        <w:t xml:space="preserve"> </w:t>
      </w:r>
      <w:r w:rsidR="00550434" w:rsidRPr="0052619D">
        <w:t>to</w:t>
      </w:r>
      <w:r w:rsidR="00550434" w:rsidRPr="0052619D">
        <w:rPr>
          <w:spacing w:val="-3"/>
        </w:rPr>
        <w:t xml:space="preserve"> </w:t>
      </w:r>
      <w:r w:rsidR="00550434" w:rsidRPr="0052619D">
        <w:t>information</w:t>
      </w:r>
    </w:p>
    <w:p w14:paraId="3FE3D94B" w14:textId="77D27963" w:rsidR="00550434" w:rsidRPr="0052619D" w:rsidRDefault="00076B47" w:rsidP="00076B47">
      <w:pPr>
        <w:pStyle w:val="H23G"/>
      </w:pPr>
      <w:r>
        <w:tab/>
      </w:r>
      <w:r>
        <w:tab/>
      </w:r>
      <w:r w:rsidR="00550434" w:rsidRPr="0052619D">
        <w:t xml:space="preserve">Reply to 22(a) </w:t>
      </w:r>
    </w:p>
    <w:p w14:paraId="4DAB414B" w14:textId="0E79C650" w:rsidR="00550434" w:rsidRPr="0052619D" w:rsidRDefault="00550434" w:rsidP="00FA528F">
      <w:pPr>
        <w:pStyle w:val="SingleTxtG"/>
        <w:numPr>
          <w:ilvl w:val="0"/>
          <w:numId w:val="28"/>
        </w:numPr>
        <w:ind w:left="1134" w:firstLine="0"/>
      </w:pPr>
      <w:r w:rsidRPr="0052619D">
        <w:t>Significant measures have been implemented to promote the use of SASL and ensure effective communication within the deaf community include:</w:t>
      </w:r>
    </w:p>
    <w:p w14:paraId="718D8C10" w14:textId="77777777" w:rsidR="00550434" w:rsidRPr="0052619D" w:rsidRDefault="00550434" w:rsidP="00FA528F">
      <w:pPr>
        <w:pStyle w:val="SingleTxtG"/>
        <w:numPr>
          <w:ilvl w:val="0"/>
          <w:numId w:val="9"/>
        </w:numPr>
        <w:ind w:left="1134" w:firstLine="567"/>
      </w:pPr>
      <w:r w:rsidRPr="0052619D">
        <w:t xml:space="preserve">The recognition of SASL as an official language has given added impetus to provision for sign language beyond the deaf community.  </w:t>
      </w:r>
    </w:p>
    <w:p w14:paraId="5E4343E3" w14:textId="77777777" w:rsidR="00550434" w:rsidRPr="0052619D" w:rsidRDefault="00550434" w:rsidP="00FA528F">
      <w:pPr>
        <w:pStyle w:val="SingleTxtG"/>
        <w:numPr>
          <w:ilvl w:val="0"/>
          <w:numId w:val="9"/>
        </w:numPr>
        <w:ind w:left="1134" w:firstLine="567"/>
      </w:pPr>
      <w:r w:rsidRPr="0052619D">
        <w:t xml:space="preserve">Progress in accelerating readiness to ensure effective communication is evident in the offering of sign language courses in SASL and KiSwahili at Universities in South Africa. </w:t>
      </w:r>
    </w:p>
    <w:p w14:paraId="559041E4" w14:textId="77777777" w:rsidR="00550434" w:rsidRPr="0052619D" w:rsidRDefault="00550434" w:rsidP="00FA528F">
      <w:pPr>
        <w:pStyle w:val="SingleTxtG"/>
        <w:numPr>
          <w:ilvl w:val="0"/>
          <w:numId w:val="9"/>
        </w:numPr>
        <w:ind w:left="1134" w:firstLine="567"/>
      </w:pPr>
      <w:r w:rsidRPr="0052619D">
        <w:t xml:space="preserve">Furthermore, government departments have prioritised the appointment of SASL interpreters to support deaf communities. </w:t>
      </w:r>
    </w:p>
    <w:p w14:paraId="1A3CAD49" w14:textId="77777777" w:rsidR="00550434" w:rsidRPr="0052619D" w:rsidRDefault="00550434" w:rsidP="00FA528F">
      <w:pPr>
        <w:pStyle w:val="SingleTxtG"/>
        <w:numPr>
          <w:ilvl w:val="0"/>
          <w:numId w:val="9"/>
        </w:numPr>
        <w:ind w:left="1134" w:firstLine="567"/>
      </w:pPr>
      <w:r w:rsidRPr="0052619D">
        <w:t xml:space="preserve">Frontline staff in the public service are being trained on the use of sign language to strengthen the ability to provide immediate support. </w:t>
      </w:r>
    </w:p>
    <w:p w14:paraId="6D01D830" w14:textId="791B4D6E" w:rsidR="00550434" w:rsidRPr="0052619D" w:rsidRDefault="00550434" w:rsidP="00FA528F">
      <w:pPr>
        <w:pStyle w:val="SingleTxtG"/>
        <w:numPr>
          <w:ilvl w:val="0"/>
          <w:numId w:val="28"/>
        </w:numPr>
        <w:ind w:left="1134" w:firstLine="0"/>
      </w:pPr>
      <w:r w:rsidRPr="0052619D">
        <w:t xml:space="preserve">In addition, all Presidential public participation meetings include SASL.  </w:t>
      </w:r>
    </w:p>
    <w:p w14:paraId="07227E94" w14:textId="3AA978CC" w:rsidR="00550434" w:rsidRPr="0052619D" w:rsidRDefault="00550434" w:rsidP="00FA528F">
      <w:pPr>
        <w:pStyle w:val="SingleTxtG"/>
        <w:numPr>
          <w:ilvl w:val="0"/>
          <w:numId w:val="28"/>
        </w:numPr>
        <w:ind w:left="1134" w:firstLine="0"/>
      </w:pPr>
      <w:r w:rsidRPr="0052619D">
        <w:t xml:space="preserve">The state broadcaster and independent media provide news and edited versions of inserts with subtitles and sign language interpreter services. </w:t>
      </w:r>
    </w:p>
    <w:p w14:paraId="34CA63A6" w14:textId="53EA411E" w:rsidR="00550434" w:rsidRPr="0052619D" w:rsidRDefault="00550434" w:rsidP="00FA528F">
      <w:pPr>
        <w:pStyle w:val="SingleTxtG"/>
        <w:numPr>
          <w:ilvl w:val="0"/>
          <w:numId w:val="28"/>
        </w:numPr>
        <w:ind w:left="1134" w:firstLine="0"/>
      </w:pPr>
      <w:r w:rsidRPr="0052619D">
        <w:t>The use of SASL during Government media briefing sessions ensures that deaf people access information as it happens. The Vuk’uzenzele Magazines publications are also printed in Braille for visually impaired readers, including the seven disability-related stories in the Vuk’uzenzele publications.</w:t>
      </w:r>
    </w:p>
    <w:p w14:paraId="4A340334" w14:textId="09AB4AE1" w:rsidR="00550434" w:rsidRPr="0052619D" w:rsidRDefault="00076B47" w:rsidP="00076B47">
      <w:pPr>
        <w:pStyle w:val="H23G"/>
      </w:pPr>
      <w:r>
        <w:tab/>
      </w:r>
      <w:r>
        <w:tab/>
      </w:r>
      <w:r w:rsidR="00550434" w:rsidRPr="0052619D">
        <w:t xml:space="preserve">Reply to 22 (b) </w:t>
      </w:r>
    </w:p>
    <w:p w14:paraId="6710D1FC" w14:textId="1776116E" w:rsidR="00550434" w:rsidRPr="0052619D" w:rsidRDefault="00550434" w:rsidP="00FA528F">
      <w:pPr>
        <w:pStyle w:val="SingleTxtG"/>
        <w:numPr>
          <w:ilvl w:val="0"/>
          <w:numId w:val="28"/>
        </w:numPr>
        <w:ind w:left="1134" w:firstLine="0"/>
      </w:pPr>
      <w:r w:rsidRPr="0052619D">
        <w:t>Following the constitutional amendment in July 2023, which recognised SASL as the 12th official language, Government has taken significant steps to promote its use and ensure effective communication within the deaf community (as noted above in s22(a)).</w:t>
      </w:r>
    </w:p>
    <w:p w14:paraId="47D76C69" w14:textId="38DBF709" w:rsidR="00550434" w:rsidRPr="0052619D" w:rsidRDefault="00550434" w:rsidP="00FA528F">
      <w:pPr>
        <w:pStyle w:val="SingleTxtG"/>
        <w:numPr>
          <w:ilvl w:val="0"/>
          <w:numId w:val="28"/>
        </w:numPr>
        <w:ind w:left="1134" w:firstLine="0"/>
      </w:pPr>
      <w:r w:rsidRPr="0052619D">
        <w:t>Government websites and digital services are being aligned with the Web Accessibility Initiative (WAI) standards to ensure compliance with World Wide Web Consortium (W3C) guidelines for online accessibility.</w:t>
      </w:r>
    </w:p>
    <w:p w14:paraId="37E9155C" w14:textId="64E3E564" w:rsidR="00550434" w:rsidRPr="0052619D" w:rsidRDefault="00076B47" w:rsidP="00076B47">
      <w:pPr>
        <w:pStyle w:val="H23G"/>
      </w:pPr>
      <w:r>
        <w:tab/>
      </w:r>
      <w:r>
        <w:tab/>
      </w:r>
      <w:r w:rsidR="00550434" w:rsidRPr="0052619D">
        <w:t xml:space="preserve">Reply to 22(c) </w:t>
      </w:r>
    </w:p>
    <w:p w14:paraId="0CD1D784" w14:textId="18C4D6E8" w:rsidR="00550434" w:rsidRPr="0052619D" w:rsidRDefault="00550434" w:rsidP="00FA528F">
      <w:pPr>
        <w:pStyle w:val="SingleTxtG"/>
        <w:numPr>
          <w:ilvl w:val="0"/>
          <w:numId w:val="28"/>
        </w:numPr>
        <w:ind w:left="1134" w:firstLine="0"/>
      </w:pPr>
      <w:r w:rsidRPr="0052619D">
        <w:t>The rights of persons with disabilities are an integral part of teacher training with 178 757 teachers and 786 officials trained over time.</w:t>
      </w:r>
    </w:p>
    <w:p w14:paraId="2EEABD26" w14:textId="2C858AA1" w:rsidR="00550434" w:rsidRPr="0052619D" w:rsidRDefault="00550434" w:rsidP="00FA528F">
      <w:pPr>
        <w:pStyle w:val="SingleTxtG"/>
        <w:numPr>
          <w:ilvl w:val="0"/>
          <w:numId w:val="28"/>
        </w:numPr>
        <w:ind w:left="1134" w:firstLine="0"/>
      </w:pPr>
      <w:r w:rsidRPr="0052619D">
        <w:t xml:space="preserve">Approximately, 8727 ECD practitioners have been trained on </w:t>
      </w:r>
      <w:r w:rsidRPr="0052619D">
        <w:rPr>
          <w:shd w:val="clear" w:color="auto" w:fill="FFFFFF"/>
        </w:rPr>
        <w:t xml:space="preserve">the SIAS Policy (discussed in </w:t>
      </w:r>
      <w:r w:rsidRPr="001C6AF1">
        <w:t>s26</w:t>
      </w:r>
      <w:r w:rsidRPr="0052619D">
        <w:rPr>
          <w:shd w:val="clear" w:color="auto" w:fill="FFFFFF"/>
        </w:rPr>
        <w:t xml:space="preserve"> (d) below).   </w:t>
      </w:r>
    </w:p>
    <w:p w14:paraId="581C3275" w14:textId="0A25A8FD" w:rsidR="00550434" w:rsidRPr="0052619D" w:rsidRDefault="00550434" w:rsidP="00FA528F">
      <w:pPr>
        <w:pStyle w:val="SingleTxtG"/>
        <w:numPr>
          <w:ilvl w:val="0"/>
          <w:numId w:val="28"/>
        </w:numPr>
        <w:ind w:left="1134" w:firstLine="0"/>
      </w:pPr>
      <w:r w:rsidRPr="0052619D">
        <w:t xml:space="preserve">South African universities also now offer SASL courses, and institutions are developing specialised programmes to train sign language interpreters.  Additionally, the </w:t>
      </w:r>
      <w:r w:rsidRPr="0052619D">
        <w:lastRenderedPageBreak/>
        <w:t>introduction of Kiswahili alongside SASL in some universities reflects a broader commitment to linguistic diversity for educators.</w:t>
      </w:r>
    </w:p>
    <w:p w14:paraId="46C2465D" w14:textId="2F5DFC9B" w:rsidR="00550434" w:rsidRPr="0052619D" w:rsidRDefault="00550434" w:rsidP="00FA528F">
      <w:pPr>
        <w:pStyle w:val="SingleTxtG"/>
        <w:numPr>
          <w:ilvl w:val="0"/>
          <w:numId w:val="28"/>
        </w:numPr>
        <w:ind w:left="1134" w:firstLine="0"/>
        <w:rPr>
          <w:shd w:val="clear" w:color="auto" w:fill="FFFFFF"/>
        </w:rPr>
      </w:pPr>
      <w:r w:rsidRPr="0052619D">
        <w:rPr>
          <w:shd w:val="clear" w:color="auto" w:fill="FFFFFF"/>
        </w:rPr>
        <w:t xml:space="preserve">Institutions of higher education and training include specialised university qualifications such as </w:t>
      </w:r>
      <w:r w:rsidRPr="001C6AF1">
        <w:t>the</w:t>
      </w:r>
      <w:r w:rsidRPr="0052619D">
        <w:rPr>
          <w:shd w:val="clear" w:color="auto" w:fill="FFFFFF"/>
        </w:rPr>
        <w:t xml:space="preserve"> education of learners who are deaf and hard of hearing, visually impaired, and</w:t>
      </w:r>
      <w:r w:rsidRPr="0052619D">
        <w:t xml:space="preserve"> </w:t>
      </w:r>
      <w:r w:rsidRPr="0052619D">
        <w:rPr>
          <w:shd w:val="clear" w:color="auto" w:fill="FFFFFF"/>
        </w:rPr>
        <w:t>courses on neurodevelopmental conditions.</w:t>
      </w:r>
      <w:r w:rsidRPr="0052619D">
        <w:t xml:space="preserve">  In addition, government</w:t>
      </w:r>
      <w:r w:rsidRPr="0052619D">
        <w:rPr>
          <w:shd w:val="clear" w:color="auto" w:fill="FFFFFF"/>
        </w:rPr>
        <w:t xml:space="preserve"> provides a bursary scheme to fund teachers who take courses in these specialised areas and sign language.</w:t>
      </w:r>
    </w:p>
    <w:p w14:paraId="0A0C6DB0" w14:textId="77777777" w:rsidR="001C6AF1" w:rsidRDefault="001C6AF1" w:rsidP="00FA528F">
      <w:pPr>
        <w:pStyle w:val="SingleTxtG"/>
        <w:numPr>
          <w:ilvl w:val="0"/>
          <w:numId w:val="28"/>
        </w:numPr>
        <w:ind w:left="1134" w:firstLine="0"/>
      </w:pPr>
    </w:p>
    <w:p w14:paraId="21ED1DD2" w14:textId="06BD9BB6" w:rsidR="00550434" w:rsidRDefault="00550434" w:rsidP="00FA528F">
      <w:pPr>
        <w:pStyle w:val="SingleTxtG"/>
        <w:numPr>
          <w:ilvl w:val="0"/>
          <w:numId w:val="29"/>
        </w:numPr>
        <w:ind w:left="1134" w:firstLine="567"/>
      </w:pPr>
      <w:r w:rsidRPr="0052619D">
        <w:t>The Teaching for All Program, a collaboration between the British Council and the DBE, equips pre-service and in-service teachers with the skills, attitudes, and knowledge to teach inclusively in diverse classrooms.  The programme is integrated into the Continuous Professional Teacher Development (CPTD) framework to enhance inclusive teaching practices.</w:t>
      </w:r>
    </w:p>
    <w:p w14:paraId="209DB8F7" w14:textId="6F3A115A" w:rsidR="00550434" w:rsidRDefault="00550434" w:rsidP="00FA528F">
      <w:pPr>
        <w:pStyle w:val="SingleTxtG"/>
        <w:numPr>
          <w:ilvl w:val="0"/>
          <w:numId w:val="29"/>
        </w:numPr>
        <w:ind w:left="1134" w:firstLine="567"/>
      </w:pPr>
      <w:r w:rsidRPr="00E71654">
        <w:t xml:space="preserve">In addition, field testing </w:t>
      </w:r>
      <w:r>
        <w:t xml:space="preserve">and training </w:t>
      </w:r>
      <w:r w:rsidRPr="00E71654">
        <w:t>on</w:t>
      </w:r>
      <w:r>
        <w:t xml:space="preserve"> the</w:t>
      </w:r>
      <w:r w:rsidRPr="00E71654">
        <w:t xml:space="preserve"> Road to Health Booklet (RtHB) commenced in 2025. The RtHB includes a screening tool for ECD practitioners and parents to identify delays in preliteracy and numeracy skills.</w:t>
      </w:r>
    </w:p>
    <w:p w14:paraId="31BF58A5" w14:textId="15616580" w:rsidR="00550434" w:rsidRPr="0052619D" w:rsidRDefault="00550434" w:rsidP="00FA528F">
      <w:pPr>
        <w:pStyle w:val="SingleTxtG"/>
        <w:numPr>
          <w:ilvl w:val="0"/>
          <w:numId w:val="28"/>
        </w:numPr>
        <w:ind w:left="1134" w:firstLine="0"/>
      </w:pPr>
      <w:r w:rsidRPr="0052619D">
        <w:t>South Africa is reflecting on the ratification of the Marrakesh Treaty which will significantly expand accessibility to a wide range of materials to further strengthen training programs for teachers and other stakeholders.</w:t>
      </w:r>
    </w:p>
    <w:p w14:paraId="027EDB62" w14:textId="57C7D301" w:rsidR="00550434" w:rsidRPr="0052619D" w:rsidRDefault="007F41B7" w:rsidP="007F41B7">
      <w:pPr>
        <w:pStyle w:val="H23G"/>
      </w:pPr>
      <w:r>
        <w:tab/>
      </w:r>
      <w:r>
        <w:tab/>
      </w:r>
      <w:r>
        <w:tab/>
      </w:r>
      <w:r w:rsidR="00550434" w:rsidRPr="0052619D">
        <w:t xml:space="preserve">Reply to 22(d) </w:t>
      </w:r>
    </w:p>
    <w:p w14:paraId="0476F80B" w14:textId="62221F9F" w:rsidR="00550434" w:rsidRPr="0052619D" w:rsidRDefault="00550434" w:rsidP="00FA528F">
      <w:pPr>
        <w:pStyle w:val="SingleTxtG"/>
        <w:numPr>
          <w:ilvl w:val="0"/>
          <w:numId w:val="28"/>
        </w:numPr>
        <w:ind w:left="1134" w:firstLine="0"/>
      </w:pPr>
      <w:r w:rsidRPr="0052619D">
        <w:t xml:space="preserve">The Independent Communications Authority of South Africa (ICASA) is an independent regulatory body mandated to regulate both the telecommunications and broadcasting sectors in the public interest.  The ICASA encourages sign language interpretation and captioning on all nationally televised programmes. </w:t>
      </w:r>
    </w:p>
    <w:p w14:paraId="6DA790AA" w14:textId="46962D0F" w:rsidR="00550434" w:rsidRPr="0052619D" w:rsidRDefault="00550434" w:rsidP="00FA528F">
      <w:pPr>
        <w:pStyle w:val="SingleTxtG"/>
        <w:numPr>
          <w:ilvl w:val="0"/>
          <w:numId w:val="28"/>
        </w:numPr>
        <w:ind w:left="1134" w:firstLine="0"/>
      </w:pPr>
      <w:r w:rsidRPr="0052619D">
        <w:t>The Audiovisual White Paper of 2023 envisages that persons with disabilities (in particular persons with hearing and visual impairments) should have access to all broadcast material on audio and audiovisual content services.</w:t>
      </w:r>
    </w:p>
    <w:p w14:paraId="680821E5" w14:textId="1AC62231" w:rsidR="00550434" w:rsidRPr="0052619D" w:rsidRDefault="007F41B7" w:rsidP="007F41B7">
      <w:pPr>
        <w:pStyle w:val="H1G"/>
      </w:pPr>
      <w:bookmarkStart w:id="26" w:name="_Toc189210159"/>
      <w:r>
        <w:tab/>
      </w:r>
      <w:r>
        <w:tab/>
        <w:t>Article 22</w:t>
      </w:r>
      <w:r>
        <w:br/>
      </w:r>
      <w:r w:rsidR="00550434" w:rsidRPr="0052619D">
        <w:t>Respect for privacy</w:t>
      </w:r>
      <w:bookmarkEnd w:id="26"/>
    </w:p>
    <w:p w14:paraId="1B092F9A" w14:textId="383AC113" w:rsidR="00550434" w:rsidRPr="0052619D" w:rsidRDefault="007F41B7" w:rsidP="007F41B7">
      <w:pPr>
        <w:pStyle w:val="H23G"/>
      </w:pPr>
      <w:r>
        <w:tab/>
      </w:r>
      <w:r>
        <w:tab/>
      </w:r>
      <w:r w:rsidR="00550434" w:rsidRPr="0052619D">
        <w:t xml:space="preserve">Reply to 23. </w:t>
      </w:r>
    </w:p>
    <w:p w14:paraId="5A52AA1C" w14:textId="45B9367E" w:rsidR="00550434" w:rsidRPr="0052619D" w:rsidRDefault="00550434" w:rsidP="00FA528F">
      <w:pPr>
        <w:pStyle w:val="SingleTxtG"/>
        <w:numPr>
          <w:ilvl w:val="0"/>
          <w:numId w:val="28"/>
        </w:numPr>
        <w:ind w:left="1134" w:firstLine="0"/>
      </w:pPr>
      <w:r w:rsidRPr="0052619D">
        <w:t>Respect for the personal information of persons with disabilities is regulated by the Information Regulator of South Africa (IR) in accordance with the Protection of Personal Information Act (POPIA) of 2013, which has national application. POPIA regulates the generation, transfer, dissemination, use, and overall management of personal information of people, premised on principles of informed consent for collection and use, confidentiality, dignity and integrity of personal data. The protections apply equally to persons with disabilities.</w:t>
      </w:r>
    </w:p>
    <w:p w14:paraId="445E2D7F" w14:textId="56F45614" w:rsidR="00550434" w:rsidRPr="0052619D" w:rsidRDefault="00550434" w:rsidP="00FA528F">
      <w:pPr>
        <w:pStyle w:val="SingleTxtG"/>
        <w:numPr>
          <w:ilvl w:val="0"/>
          <w:numId w:val="28"/>
        </w:numPr>
        <w:ind w:left="1134" w:firstLine="0"/>
      </w:pPr>
      <w:r w:rsidRPr="0052619D">
        <w:t xml:space="preserve">Since its inception the IR has conducted widespread training and awareness sessions for public bodies and continues to provide support through the provision of guidelines and tools to enhance compliance. </w:t>
      </w:r>
    </w:p>
    <w:p w14:paraId="7B9640A0" w14:textId="1AF648E0" w:rsidR="00550434" w:rsidRPr="0052619D" w:rsidRDefault="007F41B7" w:rsidP="007F41B7">
      <w:pPr>
        <w:pStyle w:val="H1G"/>
      </w:pPr>
      <w:bookmarkStart w:id="27" w:name="_Toc189210161"/>
      <w:r>
        <w:tab/>
      </w:r>
      <w:r>
        <w:tab/>
        <w:t>Article 23</w:t>
      </w:r>
      <w:r>
        <w:br/>
      </w:r>
      <w:r w:rsidR="00550434" w:rsidRPr="0052619D">
        <w:t>Respect for home and family</w:t>
      </w:r>
      <w:bookmarkEnd w:id="27"/>
    </w:p>
    <w:p w14:paraId="4E3A2772" w14:textId="7826C782" w:rsidR="00550434" w:rsidRPr="0052619D" w:rsidRDefault="004D6451" w:rsidP="004D6451">
      <w:pPr>
        <w:pStyle w:val="H23G"/>
      </w:pPr>
      <w:r>
        <w:tab/>
      </w:r>
      <w:r>
        <w:tab/>
      </w:r>
      <w:r w:rsidR="00550434" w:rsidRPr="0052619D">
        <w:t>Reply to 24 (a)</w:t>
      </w:r>
    </w:p>
    <w:p w14:paraId="59FB0040" w14:textId="2BEA3A26" w:rsidR="00550434" w:rsidRPr="0052619D" w:rsidRDefault="00550434" w:rsidP="00FA528F">
      <w:pPr>
        <w:pStyle w:val="SingleTxtG"/>
        <w:numPr>
          <w:ilvl w:val="0"/>
          <w:numId w:val="28"/>
        </w:numPr>
        <w:ind w:left="1134" w:firstLine="0"/>
      </w:pPr>
      <w:r w:rsidRPr="0052619D">
        <w:t>Legislation which restricts, or limits rights must meet standards set in the Constitution for such limitations to be justifiable. Section 9 of the Constitution together with PEPUDA prohibits discrimination on the basis of disability, culture and religion amongst others.  To this end, legislation and practices which are unjustifiably discriminatory against persons with disabilities may be challenged through the courts.</w:t>
      </w:r>
    </w:p>
    <w:p w14:paraId="3CCE087E" w14:textId="13FD4075" w:rsidR="00550434" w:rsidRPr="0052619D" w:rsidRDefault="00550434" w:rsidP="00FA528F">
      <w:pPr>
        <w:pStyle w:val="SingleTxtG"/>
        <w:numPr>
          <w:ilvl w:val="0"/>
          <w:numId w:val="28"/>
        </w:numPr>
        <w:ind w:left="1134" w:firstLine="0"/>
      </w:pPr>
      <w:r w:rsidRPr="0052619D">
        <w:lastRenderedPageBreak/>
        <w:t>The Marriage Bill introduces a rights-based approach aligned with the norms and standards advanced in the CRPD. The Bill represents a significant shift from previous approaches that often restricted or denied marriage rights to persons with disabilities based on outdated medical models of disability. Key features include:</w:t>
      </w:r>
    </w:p>
    <w:p w14:paraId="7C84166E" w14:textId="77777777" w:rsidR="00550434" w:rsidRPr="0052619D" w:rsidRDefault="00550434" w:rsidP="00FA528F">
      <w:pPr>
        <w:pStyle w:val="SingleTxtG"/>
        <w:numPr>
          <w:ilvl w:val="0"/>
          <w:numId w:val="10"/>
        </w:numPr>
        <w:tabs>
          <w:tab w:val="clear" w:pos="1701"/>
        </w:tabs>
        <w:ind w:left="1134" w:firstLine="567"/>
      </w:pPr>
      <w:r w:rsidRPr="0052619D">
        <w:t xml:space="preserve">The recognition of legal capacity.  The Bill explicitly recognises that persons with disabilities have the legal capacity to marry and form families on an equal basis with others.  </w:t>
      </w:r>
    </w:p>
    <w:p w14:paraId="725D69D3" w14:textId="77777777" w:rsidR="00550434" w:rsidRPr="0052619D" w:rsidRDefault="00550434" w:rsidP="00FA528F">
      <w:pPr>
        <w:pStyle w:val="SingleTxtG"/>
        <w:numPr>
          <w:ilvl w:val="0"/>
          <w:numId w:val="10"/>
        </w:numPr>
        <w:tabs>
          <w:tab w:val="clear" w:pos="1701"/>
        </w:tabs>
        <w:ind w:left="1134" w:firstLine="567"/>
      </w:pPr>
      <w:r w:rsidRPr="0052619D">
        <w:t xml:space="preserve">The removal of discriminatory provisions in previous legislation which restricted people with certain disabilities, particularly intellectual or psychosocial disabilities, from entering into marriages.  </w:t>
      </w:r>
    </w:p>
    <w:p w14:paraId="04B1CB34" w14:textId="77777777" w:rsidR="00550434" w:rsidRPr="0052619D" w:rsidRDefault="00550434" w:rsidP="00FA528F">
      <w:pPr>
        <w:pStyle w:val="SingleTxtG"/>
        <w:numPr>
          <w:ilvl w:val="0"/>
          <w:numId w:val="10"/>
        </w:numPr>
        <w:tabs>
          <w:tab w:val="clear" w:pos="1701"/>
        </w:tabs>
        <w:ind w:left="1134" w:firstLine="567"/>
      </w:pPr>
      <w:r w:rsidRPr="0052619D">
        <w:t xml:space="preserve">The Bill addresses supported decision-making by introducing a framework for supported decision-making rather than substituted decision-making.  </w:t>
      </w:r>
    </w:p>
    <w:p w14:paraId="33CD2DA2" w14:textId="77777777" w:rsidR="00550434" w:rsidRPr="0052619D" w:rsidRDefault="00550434" w:rsidP="00FA528F">
      <w:pPr>
        <w:pStyle w:val="SingleTxtG"/>
        <w:numPr>
          <w:ilvl w:val="0"/>
          <w:numId w:val="10"/>
        </w:numPr>
        <w:tabs>
          <w:tab w:val="clear" w:pos="1701"/>
        </w:tabs>
        <w:ind w:left="1134" w:firstLine="567"/>
      </w:pPr>
      <w:r w:rsidRPr="0052619D">
        <w:t xml:space="preserve">Parental rights protections are also addressed in provisions protecting the parental rights of persons with disabilities, ensuring they cannot be denied custody or guardianship of their children solely on the basis of disability. </w:t>
      </w:r>
    </w:p>
    <w:p w14:paraId="31A744A4" w14:textId="3FA053D3" w:rsidR="00550434" w:rsidRPr="0052619D" w:rsidRDefault="004D6451" w:rsidP="004D6451">
      <w:pPr>
        <w:pStyle w:val="H23G"/>
      </w:pPr>
      <w:r>
        <w:tab/>
      </w:r>
      <w:r>
        <w:tab/>
      </w:r>
      <w:r w:rsidR="00550434" w:rsidRPr="0052619D">
        <w:t xml:space="preserve">Reply 24(b) </w:t>
      </w:r>
    </w:p>
    <w:p w14:paraId="39638EF4" w14:textId="56F61A06" w:rsidR="00550434" w:rsidRPr="0052619D" w:rsidRDefault="00550434" w:rsidP="00FA528F">
      <w:pPr>
        <w:pStyle w:val="SingleTxtG"/>
        <w:numPr>
          <w:ilvl w:val="0"/>
          <w:numId w:val="28"/>
        </w:numPr>
        <w:ind w:left="1134" w:firstLine="0"/>
      </w:pPr>
      <w:r w:rsidRPr="0052619D">
        <w:t xml:space="preserve">A wide range of support measures are in place including: </w:t>
      </w:r>
    </w:p>
    <w:p w14:paraId="4F8DA5DC" w14:textId="77777777" w:rsidR="00550434" w:rsidRPr="0052619D" w:rsidRDefault="00550434" w:rsidP="00FA528F">
      <w:pPr>
        <w:pStyle w:val="SingleTxtG"/>
        <w:numPr>
          <w:ilvl w:val="0"/>
          <w:numId w:val="11"/>
        </w:numPr>
        <w:tabs>
          <w:tab w:val="clear" w:pos="1701"/>
        </w:tabs>
        <w:ind w:left="1134" w:firstLine="567"/>
      </w:pPr>
      <w:r w:rsidRPr="0052619D">
        <w:t xml:space="preserve">Specific grant types directed at children such as the Care Dependency Grant. </w:t>
      </w:r>
    </w:p>
    <w:p w14:paraId="0820C829" w14:textId="77777777" w:rsidR="00550434" w:rsidRPr="0052619D" w:rsidRDefault="00550434" w:rsidP="00FA528F">
      <w:pPr>
        <w:pStyle w:val="SingleTxtG"/>
        <w:numPr>
          <w:ilvl w:val="0"/>
          <w:numId w:val="11"/>
        </w:numPr>
        <w:tabs>
          <w:tab w:val="clear" w:pos="1701"/>
        </w:tabs>
        <w:ind w:left="1134" w:firstLine="567"/>
      </w:pPr>
      <w:r w:rsidRPr="0052619D">
        <w:t>Support to students with disabilities through the National Student Financial Aid Scheme (NSFAS) which benefited a total of 7 610 students between 2019 and 2023 (R 697 935 599 - disability funding allocated).</w:t>
      </w:r>
    </w:p>
    <w:p w14:paraId="6CAB7B33" w14:textId="77777777" w:rsidR="00550434" w:rsidRPr="0052619D" w:rsidRDefault="00550434" w:rsidP="00FA528F">
      <w:pPr>
        <w:pStyle w:val="SingleTxtG"/>
        <w:numPr>
          <w:ilvl w:val="0"/>
          <w:numId w:val="11"/>
        </w:numPr>
        <w:tabs>
          <w:tab w:val="clear" w:pos="1701"/>
        </w:tabs>
        <w:ind w:left="1134" w:firstLine="567"/>
      </w:pPr>
      <w:r w:rsidRPr="0052619D">
        <w:t xml:space="preserve">In addition, the DBE provides exemptions from the payment of school fees, transport and learning materials to learners in need.  </w:t>
      </w:r>
    </w:p>
    <w:p w14:paraId="09A2371C" w14:textId="77777777" w:rsidR="00550434" w:rsidRPr="0052619D" w:rsidRDefault="00550434" w:rsidP="00FA528F">
      <w:pPr>
        <w:pStyle w:val="SingleTxtG"/>
        <w:numPr>
          <w:ilvl w:val="0"/>
          <w:numId w:val="11"/>
        </w:numPr>
        <w:tabs>
          <w:tab w:val="clear" w:pos="1701"/>
        </w:tabs>
        <w:ind w:left="1134" w:firstLine="567"/>
      </w:pPr>
      <w:r w:rsidRPr="0052619D">
        <w:t xml:space="preserve">Learners and parents also benefit from the National School Nutrition Programme (NSNP).  </w:t>
      </w:r>
    </w:p>
    <w:p w14:paraId="2F28F016" w14:textId="77777777" w:rsidR="00550434" w:rsidRPr="0052619D" w:rsidRDefault="00550434" w:rsidP="00FA528F">
      <w:pPr>
        <w:pStyle w:val="SingleTxtG"/>
        <w:numPr>
          <w:ilvl w:val="0"/>
          <w:numId w:val="11"/>
        </w:numPr>
        <w:tabs>
          <w:tab w:val="clear" w:pos="1701"/>
        </w:tabs>
        <w:ind w:left="1134" w:firstLine="567"/>
      </w:pPr>
      <w:r w:rsidRPr="0052619D">
        <w:t>Further, Government provides support to 321 Day and Stimulation Centres for children with disabilities across the country.</w:t>
      </w:r>
    </w:p>
    <w:p w14:paraId="214AB2B0" w14:textId="234AF5F1" w:rsidR="00550434" w:rsidRPr="0052619D" w:rsidRDefault="00550434" w:rsidP="00FA528F">
      <w:pPr>
        <w:pStyle w:val="SingleTxtG"/>
        <w:numPr>
          <w:ilvl w:val="0"/>
          <w:numId w:val="28"/>
        </w:numPr>
        <w:ind w:left="1134" w:firstLine="0"/>
      </w:pPr>
      <w:r w:rsidRPr="0052619D">
        <w:t>Measures to support parents include parent well-being and empowerment sessions implemented at local level, through multi-governmental partnerships.  The programme raises awareness, builds capacity and empowers parents to manage disability, understand how to access services rendered by different stakeholders like DSD, DoH, DBE, local municipality and NPOs.  The sessions include supporting parents / primary caregivers to establish advocacy structures and includes sensitisation to the needs and rights of their children.  To date all provinces have been reached, with additional sessions and campaigns undertaken on a needs basis.</w:t>
      </w:r>
    </w:p>
    <w:p w14:paraId="6043CE3C" w14:textId="1EC1A263" w:rsidR="00550434" w:rsidRPr="0052619D" w:rsidRDefault="00550434" w:rsidP="00FA528F">
      <w:pPr>
        <w:pStyle w:val="SingleTxtG"/>
        <w:numPr>
          <w:ilvl w:val="0"/>
          <w:numId w:val="28"/>
        </w:numPr>
        <w:ind w:left="1134" w:firstLine="0"/>
      </w:pPr>
      <w:r w:rsidRPr="0052619D">
        <w:t>Community facing programs and services also provide support to parents with disabilities, including in respect of sexual, health and reproductive rights, assistive devices, access to food and counselling.</w:t>
      </w:r>
    </w:p>
    <w:p w14:paraId="7F81F185" w14:textId="4A6F530B" w:rsidR="00CF516D" w:rsidRDefault="00CF516D" w:rsidP="00FA528F">
      <w:pPr>
        <w:pStyle w:val="SingleTxtG"/>
        <w:numPr>
          <w:ilvl w:val="0"/>
          <w:numId w:val="28"/>
        </w:numPr>
        <w:ind w:left="1134" w:firstLine="0"/>
        <w:rPr>
          <w:color w:val="000000" w:themeColor="text1"/>
        </w:rPr>
      </w:pPr>
    </w:p>
    <w:p w14:paraId="06487847" w14:textId="3B54A989" w:rsidR="00550434" w:rsidRPr="00CF516D" w:rsidRDefault="00550434" w:rsidP="00FA528F">
      <w:pPr>
        <w:pStyle w:val="SingleTxtG"/>
        <w:numPr>
          <w:ilvl w:val="0"/>
          <w:numId w:val="27"/>
        </w:numPr>
        <w:ind w:left="1134" w:firstLine="567"/>
      </w:pPr>
      <w:r w:rsidRPr="00CF516D">
        <w:t>Governments protection and prevention policy aligns with the CA (2005) and the National Strategy on Integrated Services for Children with Disabilities which includes programs, services, and caregiver empowerment for child protection. Since 2019, the DSD, in partnership with Autism South Africa has trained parents, caregivers, and officials in a WHO-backed Caregiver Skills Training program for children with developmental delays or disabilities.</w:t>
      </w:r>
    </w:p>
    <w:p w14:paraId="253AFB2F" w14:textId="5B48C69D" w:rsidR="00550434" w:rsidRPr="00CF516D" w:rsidRDefault="00550434" w:rsidP="00FA528F">
      <w:pPr>
        <w:pStyle w:val="SingleTxtG"/>
        <w:numPr>
          <w:ilvl w:val="0"/>
          <w:numId w:val="27"/>
        </w:numPr>
        <w:ind w:left="1134" w:firstLine="567"/>
      </w:pPr>
      <w:r w:rsidRPr="00CF516D">
        <w:t xml:space="preserve">Respite care and parenting programmes are also available through the JICA programme (discussed in s 5 (c) and 6 (e)). Included in the rich learning exchange programme are parents of children with disabilities and DPO representatives.   </w:t>
      </w:r>
    </w:p>
    <w:p w14:paraId="6EF71FAA" w14:textId="58868077" w:rsidR="00550434" w:rsidRPr="0052619D" w:rsidRDefault="004D6451" w:rsidP="004D6451">
      <w:pPr>
        <w:pStyle w:val="H23G"/>
      </w:pPr>
      <w:r>
        <w:lastRenderedPageBreak/>
        <w:tab/>
      </w:r>
      <w:r>
        <w:tab/>
      </w:r>
      <w:r w:rsidR="00550434" w:rsidRPr="0052619D">
        <w:t xml:space="preserve">Reply to 24(c) </w:t>
      </w:r>
    </w:p>
    <w:p w14:paraId="5CBC2CC6" w14:textId="713BEE41" w:rsidR="00550434" w:rsidRPr="0052619D" w:rsidRDefault="00550434" w:rsidP="00FA528F">
      <w:pPr>
        <w:pStyle w:val="SingleTxtG"/>
        <w:numPr>
          <w:ilvl w:val="0"/>
          <w:numId w:val="28"/>
        </w:numPr>
        <w:ind w:left="1134" w:firstLine="0"/>
      </w:pPr>
      <w:r w:rsidRPr="0052619D">
        <w:t xml:space="preserve">In accordance with the best interests of the child principle, separation of children from the parents under any condition may only be undertaken in terms of legitimate, legally </w:t>
      </w:r>
      <w:r w:rsidRPr="00FA528F">
        <w:rPr>
          <w:color w:val="000000" w:themeColor="text1"/>
        </w:rPr>
        <w:t>permissible</w:t>
      </w:r>
      <w:r w:rsidRPr="0052619D">
        <w:t xml:space="preserve"> reasons in South African law. </w:t>
      </w:r>
    </w:p>
    <w:p w14:paraId="5BFF386F" w14:textId="6F263750" w:rsidR="00550434" w:rsidRPr="0052619D" w:rsidRDefault="00550434" w:rsidP="00FA528F">
      <w:pPr>
        <w:pStyle w:val="SingleTxtG"/>
        <w:numPr>
          <w:ilvl w:val="0"/>
          <w:numId w:val="28"/>
        </w:numPr>
        <w:ind w:left="1134" w:firstLine="0"/>
      </w:pPr>
      <w:r w:rsidRPr="0052619D">
        <w:t xml:space="preserve">Respite Care interventions (discussed in 5(c)) are a positive enabler which empower families of children with disabilities and provide respite care – these include the Risiha Community-Based Programme which is operational in 1,200 sites; the provision of institutional care; and drop-in centres.  </w:t>
      </w:r>
    </w:p>
    <w:p w14:paraId="444E080B" w14:textId="553AF6DE" w:rsidR="00550434" w:rsidRPr="0052619D" w:rsidRDefault="004D6451" w:rsidP="004D6451">
      <w:pPr>
        <w:pStyle w:val="H23G"/>
      </w:pPr>
      <w:r>
        <w:tab/>
      </w:r>
      <w:r>
        <w:tab/>
      </w:r>
      <w:r w:rsidR="00550434" w:rsidRPr="0052619D">
        <w:t>Reply to 24(d)</w:t>
      </w:r>
    </w:p>
    <w:p w14:paraId="4ADEF545" w14:textId="186FE4ED" w:rsidR="00550434" w:rsidRDefault="00550434" w:rsidP="00FA528F">
      <w:pPr>
        <w:pStyle w:val="SingleTxtG"/>
        <w:numPr>
          <w:ilvl w:val="0"/>
          <w:numId w:val="28"/>
        </w:numPr>
        <w:ind w:left="1134" w:firstLine="0"/>
      </w:pPr>
      <w:r w:rsidRPr="0052619D">
        <w:t xml:space="preserve">Government does not have </w:t>
      </w:r>
      <w:r>
        <w:t xml:space="preserve">comprehensive, </w:t>
      </w:r>
      <w:r w:rsidRPr="0052619D">
        <w:t xml:space="preserve">integrated, disaggregated data for the </w:t>
      </w:r>
      <w:r w:rsidRPr="00FA528F">
        <w:rPr>
          <w:color w:val="000000" w:themeColor="text1"/>
        </w:rPr>
        <w:t>percentage</w:t>
      </w:r>
      <w:r w:rsidRPr="0052619D">
        <w:t xml:space="preserve"> of children with disabilities in the various alternative care and institutionalised settings at its disposal at the time of this report.</w:t>
      </w:r>
      <w:r>
        <w:t xml:space="preserve"> However, the following statistics are provided for children with disabilities in different settings:</w:t>
      </w:r>
    </w:p>
    <w:p w14:paraId="667425B1" w14:textId="3AF4DFF7" w:rsidR="00550434" w:rsidRPr="004D6451" w:rsidRDefault="00550434" w:rsidP="00FA528F">
      <w:pPr>
        <w:pStyle w:val="SingleTxtG"/>
        <w:numPr>
          <w:ilvl w:val="0"/>
          <w:numId w:val="12"/>
        </w:numPr>
        <w:ind w:left="1134" w:firstLine="567"/>
      </w:pPr>
      <w:r w:rsidRPr="004D6451">
        <w:t>CYCCs: 1448.</w:t>
      </w:r>
    </w:p>
    <w:p w14:paraId="10D6E380" w14:textId="11A7176C" w:rsidR="00550434" w:rsidRPr="004D6451" w:rsidRDefault="00550434" w:rsidP="00FA528F">
      <w:pPr>
        <w:pStyle w:val="SingleTxtG"/>
        <w:numPr>
          <w:ilvl w:val="0"/>
          <w:numId w:val="12"/>
        </w:numPr>
        <w:ind w:left="1134" w:firstLine="567"/>
      </w:pPr>
      <w:r w:rsidRPr="004D6451">
        <w:t>Forster Care: 172 148, and</w:t>
      </w:r>
    </w:p>
    <w:p w14:paraId="1EE26411" w14:textId="523A547D" w:rsidR="00550434" w:rsidRPr="004D6451" w:rsidRDefault="00550434" w:rsidP="00FA528F">
      <w:pPr>
        <w:pStyle w:val="SingleTxtG"/>
        <w:numPr>
          <w:ilvl w:val="0"/>
          <w:numId w:val="12"/>
        </w:numPr>
        <w:ind w:left="1134" w:firstLine="567"/>
        <w:rPr>
          <w:strike/>
        </w:rPr>
      </w:pPr>
      <w:r w:rsidRPr="004D6451">
        <w:t>Partial Care (respite care), court ordered placement, and Drop-in Centres: 12021.</w:t>
      </w:r>
    </w:p>
    <w:p w14:paraId="367832FB" w14:textId="407846E9" w:rsidR="00550434" w:rsidRPr="0052619D" w:rsidRDefault="007F288C" w:rsidP="007F288C">
      <w:pPr>
        <w:pStyle w:val="H1G"/>
        <w:ind w:firstLine="0"/>
      </w:pPr>
      <w:bookmarkStart w:id="28" w:name="_heading=h.1hx2z1h" w:colFirst="0" w:colLast="0"/>
      <w:bookmarkStart w:id="29" w:name="_Toc189210167"/>
      <w:bookmarkStart w:id="30" w:name="_Hlk192143473"/>
      <w:bookmarkEnd w:id="28"/>
      <w:r>
        <w:t>Article 24</w:t>
      </w:r>
      <w:r>
        <w:br/>
      </w:r>
      <w:r w:rsidR="00550434" w:rsidRPr="0052619D">
        <w:t>Education</w:t>
      </w:r>
      <w:bookmarkEnd w:id="29"/>
    </w:p>
    <w:p w14:paraId="3C48A691" w14:textId="2C04330F" w:rsidR="00550434" w:rsidRPr="0052619D" w:rsidRDefault="007F288C" w:rsidP="007F288C">
      <w:pPr>
        <w:pStyle w:val="H23G"/>
      </w:pPr>
      <w:r>
        <w:tab/>
      </w:r>
      <w:r>
        <w:tab/>
      </w:r>
      <w:r w:rsidR="00550434" w:rsidRPr="0052619D">
        <w:t xml:space="preserve">Reply to 25. </w:t>
      </w:r>
    </w:p>
    <w:p w14:paraId="6B91047E" w14:textId="03097687" w:rsidR="00550434" w:rsidRPr="0052619D" w:rsidRDefault="00550434" w:rsidP="00FA528F">
      <w:pPr>
        <w:pStyle w:val="SingleTxtG"/>
        <w:numPr>
          <w:ilvl w:val="0"/>
          <w:numId w:val="28"/>
        </w:numPr>
        <w:ind w:left="1134" w:firstLine="0"/>
      </w:pPr>
      <w:r w:rsidRPr="0052619D">
        <w:t xml:space="preserve">Government has implemented a series of legislative and policy reforms to combat gender-based violence (GBV) and discrimination in schools, particularly affecting girls with disabilities: </w:t>
      </w:r>
    </w:p>
    <w:p w14:paraId="2EA7700E" w14:textId="77777777" w:rsidR="00550434" w:rsidRPr="0052619D" w:rsidRDefault="00550434" w:rsidP="00FA528F">
      <w:pPr>
        <w:pStyle w:val="SingleTxtG"/>
        <w:numPr>
          <w:ilvl w:val="0"/>
          <w:numId w:val="13"/>
        </w:numPr>
        <w:ind w:left="1134" w:firstLine="567"/>
      </w:pPr>
      <w:r w:rsidRPr="0052619D">
        <w:t>The Protocol for Management and Reporting of Sexual Abuse and Harassment in Schools mandates immediate action by schools on reported cases, with educators and principals legally required to report suspected abuse. To enhance safety in school transportation, government has expanded scholar transport services to 209 schools, benefiting 28,418 learners with disabilities, and is reviewing the scholar transport policy to strengthen protections. The NSP explicitly includes girls with disabilities, while the Domestic Violence Amendment Act (2021) reinforces protections in educational settings.</w:t>
      </w:r>
    </w:p>
    <w:p w14:paraId="68828660" w14:textId="77777777" w:rsidR="00550434" w:rsidRPr="0052619D" w:rsidRDefault="00550434" w:rsidP="00FA528F">
      <w:pPr>
        <w:pStyle w:val="SingleTxtG"/>
        <w:numPr>
          <w:ilvl w:val="0"/>
          <w:numId w:val="13"/>
        </w:numPr>
        <w:ind w:left="1134" w:firstLine="567"/>
      </w:pPr>
      <w:r w:rsidRPr="0052619D">
        <w:t>The CAA strengthens oversight of CYCCs through mandated inspections, reporting obligations, and enforcement mechanisms for non-compliance with prescribed norms and standards. To further improve protections, government is revising the Draft Children's Amendment Bill (B19—2023), which prioritises the inclusion of children with disabilities in ECD programs, funding for CYCCs, development of child-friendly curricula, and local government responsibilities for inclusive ECD oversight.</w:t>
      </w:r>
    </w:p>
    <w:p w14:paraId="726A010A" w14:textId="77777777" w:rsidR="00550434" w:rsidRPr="0052619D" w:rsidRDefault="00550434" w:rsidP="00FA528F">
      <w:pPr>
        <w:pStyle w:val="SingleTxtG"/>
        <w:numPr>
          <w:ilvl w:val="0"/>
          <w:numId w:val="13"/>
        </w:numPr>
        <w:ind w:left="1134" w:firstLine="567"/>
      </w:pPr>
      <w:r w:rsidRPr="0052619D">
        <w:t>Government continues to implement the NSSF, which integrates physical security, prevention programs, and stakeholder engagement to create safer school environments. In collaboration with the National Disaster Management Centre (NDMC) and private sector partners, risk assessments have been conducted in all 450 special schools, with officials trained in school safety, inclusive education, and emergency response. Additionally, the abolition of corporal punishment and common law defences for "reasonable chastisement" has reinforced a zero-tolerance approach to violence, ensuring a safer learning environment for all students, particularly those with disabilities.</w:t>
      </w:r>
    </w:p>
    <w:p w14:paraId="67B6D99C" w14:textId="77777777" w:rsidR="00550434" w:rsidRPr="0052619D" w:rsidRDefault="00550434" w:rsidP="00FA528F">
      <w:pPr>
        <w:pStyle w:val="SingleTxtG"/>
        <w:numPr>
          <w:ilvl w:val="0"/>
          <w:numId w:val="13"/>
        </w:numPr>
        <w:ind w:left="1134" w:firstLine="567"/>
      </w:pPr>
      <w:r w:rsidRPr="0052619D">
        <w:t>Awareness programs and the Life Orientation Curriculum address social issues including substance misuse, GBV, discrimination and other risk factors.</w:t>
      </w:r>
    </w:p>
    <w:p w14:paraId="3148259A" w14:textId="0CCFB9D7" w:rsidR="00550434" w:rsidRPr="0052619D" w:rsidRDefault="007F288C" w:rsidP="007F288C">
      <w:pPr>
        <w:pStyle w:val="H23G"/>
        <w:rPr>
          <w:i/>
          <w:iCs/>
        </w:rPr>
      </w:pPr>
      <w:r>
        <w:lastRenderedPageBreak/>
        <w:tab/>
      </w:r>
      <w:r>
        <w:tab/>
      </w:r>
      <w:r w:rsidR="00550434" w:rsidRPr="0052619D">
        <w:t>Reply to 26(a)</w:t>
      </w:r>
    </w:p>
    <w:p w14:paraId="583A4648" w14:textId="55800AD0" w:rsidR="00550434" w:rsidRPr="0052619D" w:rsidRDefault="00550434" w:rsidP="00FA528F">
      <w:pPr>
        <w:pStyle w:val="SingleTxtG"/>
        <w:numPr>
          <w:ilvl w:val="0"/>
          <w:numId w:val="28"/>
        </w:numPr>
        <w:ind w:left="1134" w:firstLine="0"/>
      </w:pPr>
      <w:bookmarkStart w:id="31" w:name="_Toc189210180"/>
      <w:bookmarkEnd w:id="30"/>
      <w:r w:rsidRPr="0052619D">
        <w:t xml:space="preserve">In January 2023, the Minister of Basic Education established a Ministerial Task Team (MTT) to review    Education White Paper 6 and accelerate progress toward an inclusive education system. The MTT, with a 24-month mandate, has formed three workstreams and held four meetings by March 2023, producing a draft report on two decades of progress in inclusive education. </w:t>
      </w:r>
    </w:p>
    <w:p w14:paraId="7D66D2E8" w14:textId="4ECE0613" w:rsidR="00550434" w:rsidRPr="0052619D" w:rsidRDefault="00550434" w:rsidP="00FA528F">
      <w:pPr>
        <w:pStyle w:val="SingleTxtG"/>
        <w:numPr>
          <w:ilvl w:val="0"/>
          <w:numId w:val="28"/>
        </w:numPr>
        <w:ind w:left="1134" w:firstLine="0"/>
      </w:pPr>
      <w:r w:rsidRPr="0052619D">
        <w:t>The DBE has also conducted an audit of 435 special schools to identify successes and areas for improvement.</w:t>
      </w:r>
    </w:p>
    <w:p w14:paraId="6CB5F801" w14:textId="77777777" w:rsidR="00550434" w:rsidRPr="0052619D" w:rsidRDefault="00550434" w:rsidP="00FA528F">
      <w:pPr>
        <w:pStyle w:val="SingleTxtG"/>
        <w:numPr>
          <w:ilvl w:val="0"/>
          <w:numId w:val="28"/>
        </w:numPr>
        <w:ind w:left="1134" w:firstLine="0"/>
      </w:pPr>
      <w:r w:rsidRPr="0052619D">
        <w:t xml:space="preserve">In response to notable financial constraints, it has collaborated with Provincial Education Departments to improve resource allocation for inclusive education. </w:t>
      </w:r>
    </w:p>
    <w:p w14:paraId="197A40FC" w14:textId="7611C185" w:rsidR="00550434" w:rsidRPr="0052619D" w:rsidRDefault="00550434" w:rsidP="00FA528F">
      <w:pPr>
        <w:pStyle w:val="SingleTxtG"/>
        <w:numPr>
          <w:ilvl w:val="0"/>
          <w:numId w:val="28"/>
        </w:numPr>
        <w:ind w:left="1134" w:firstLine="0"/>
      </w:pPr>
      <w:r w:rsidRPr="0052619D">
        <w:t>The BELA, is an important legislative measure anticipated to strengthens governance and enforce school attendance, further supporting inclusive education.</w:t>
      </w:r>
    </w:p>
    <w:p w14:paraId="7B605D53" w14:textId="7290B1DD" w:rsidR="00550434" w:rsidRPr="0052619D" w:rsidRDefault="00550434" w:rsidP="00FA528F">
      <w:pPr>
        <w:pStyle w:val="SingleTxtG"/>
        <w:numPr>
          <w:ilvl w:val="0"/>
          <w:numId w:val="28"/>
        </w:numPr>
        <w:ind w:left="1134" w:firstLine="0"/>
      </w:pPr>
      <w:r w:rsidRPr="0052619D">
        <w:t>Teacher Training and Accessible Materials: 206,155 teachers have been trained in Braille, South African Sign Language (SASL), Autism, and other inclusive programmes. The DBE has provided Braille and Large Print textbooks since 2021, with materials available for download on its website.</w:t>
      </w:r>
    </w:p>
    <w:p w14:paraId="1E813560" w14:textId="3F7A0431" w:rsidR="00550434" w:rsidRPr="0052619D" w:rsidRDefault="00550434" w:rsidP="00FA528F">
      <w:pPr>
        <w:pStyle w:val="SingleTxtG"/>
        <w:numPr>
          <w:ilvl w:val="0"/>
          <w:numId w:val="28"/>
        </w:numPr>
        <w:ind w:left="1134" w:firstLine="0"/>
      </w:pPr>
      <w:r w:rsidRPr="0052619D">
        <w:t>Support for Children with Severe Disabilities: Nine deputy chief education specialists and 245 outreach team members have been appointed to support special care centres and schools.</w:t>
      </w:r>
    </w:p>
    <w:p w14:paraId="5BDD0876" w14:textId="433CFB7E" w:rsidR="00550434" w:rsidRPr="0052619D" w:rsidRDefault="00550434" w:rsidP="00FA528F">
      <w:pPr>
        <w:pStyle w:val="SingleTxtG"/>
        <w:numPr>
          <w:ilvl w:val="0"/>
          <w:numId w:val="28"/>
        </w:numPr>
        <w:ind w:left="1134" w:firstLine="0"/>
      </w:pPr>
      <w:r w:rsidRPr="0052619D">
        <w:t>2,970 caregivers, 1,928 teachers, and 510 officials have been trained on programmes for learners with profound intellectual disabilities.</w:t>
      </w:r>
    </w:p>
    <w:p w14:paraId="463E71C7" w14:textId="3E145D5C" w:rsidR="00550434" w:rsidRPr="0052619D" w:rsidRDefault="00550434" w:rsidP="00FA528F">
      <w:pPr>
        <w:pStyle w:val="SingleTxtG"/>
        <w:numPr>
          <w:ilvl w:val="0"/>
          <w:numId w:val="28"/>
        </w:numPr>
        <w:ind w:left="1134" w:firstLine="0"/>
      </w:pPr>
      <w:r w:rsidRPr="0052619D">
        <w:t>A specialised curriculum for learners with intellectual disabilities has been developed, categorised by severity.</w:t>
      </w:r>
    </w:p>
    <w:p w14:paraId="5E7FBFAB" w14:textId="35847A45" w:rsidR="00550434" w:rsidRPr="0052619D" w:rsidRDefault="00550434" w:rsidP="00FA528F">
      <w:pPr>
        <w:pStyle w:val="SingleTxtG"/>
        <w:numPr>
          <w:ilvl w:val="0"/>
          <w:numId w:val="28"/>
        </w:numPr>
        <w:ind w:left="1134" w:firstLine="0"/>
      </w:pPr>
      <w:r w:rsidRPr="0052619D">
        <w:t xml:space="preserve">Learner Transport and ICT Integration: Learner transport services for </w:t>
      </w:r>
      <w:r>
        <w:t>learners with special education needs</w:t>
      </w:r>
      <w:r w:rsidRPr="0052619D">
        <w:t xml:space="preserve"> increased from 69 in 2018/19 to 209 in 2022/23, benefiting 28,418 learners.</w:t>
      </w:r>
    </w:p>
    <w:p w14:paraId="3476D840" w14:textId="122C96CE" w:rsidR="00550434" w:rsidRPr="0052619D" w:rsidRDefault="00550434" w:rsidP="00FA528F">
      <w:pPr>
        <w:pStyle w:val="SingleTxtG"/>
        <w:numPr>
          <w:ilvl w:val="0"/>
          <w:numId w:val="28"/>
        </w:numPr>
        <w:ind w:left="1134" w:firstLine="0"/>
      </w:pPr>
      <w:r w:rsidRPr="0052619D">
        <w:t>The DBE is integrating ICT and assistive technologies in all 447 special schools, in collaboration with ICASA and the Department of Telecommunications.</w:t>
      </w:r>
    </w:p>
    <w:p w14:paraId="5E4C02F3" w14:textId="149C41AE" w:rsidR="00550434" w:rsidRPr="0052619D" w:rsidRDefault="00550434" w:rsidP="00FA528F">
      <w:pPr>
        <w:pStyle w:val="SingleTxtG"/>
        <w:numPr>
          <w:ilvl w:val="0"/>
          <w:numId w:val="28"/>
        </w:numPr>
        <w:ind w:left="1134" w:firstLine="0"/>
      </w:pPr>
      <w:r w:rsidRPr="0052619D">
        <w:t>The Auditor General of South Africa (AGSA) has noted that many children with disabilities remain unaccounted for in the education system. The DBE acknowledges chronic underfunding as a barrier to expanding inclusive education</w:t>
      </w:r>
      <w:r>
        <w:t xml:space="preserve"> but is intent on limiting special education only to extreme instances</w:t>
      </w:r>
      <w:r w:rsidRPr="0052619D">
        <w:t>.</w:t>
      </w:r>
    </w:p>
    <w:p w14:paraId="70DD7A94" w14:textId="46AC74F5" w:rsidR="00550434" w:rsidRPr="0052619D" w:rsidRDefault="007F288C" w:rsidP="007F288C">
      <w:pPr>
        <w:pStyle w:val="H23G"/>
      </w:pPr>
      <w:r>
        <w:tab/>
      </w:r>
      <w:r>
        <w:tab/>
      </w:r>
      <w:r w:rsidR="00550434" w:rsidRPr="0052619D">
        <w:t>Reply to 26 (b)</w:t>
      </w:r>
    </w:p>
    <w:p w14:paraId="52B2EC0D" w14:textId="04E0DAAD" w:rsidR="00550434" w:rsidRPr="0052619D" w:rsidRDefault="00550434" w:rsidP="00FA528F">
      <w:pPr>
        <w:pStyle w:val="SingleTxtG"/>
        <w:numPr>
          <w:ilvl w:val="0"/>
          <w:numId w:val="28"/>
        </w:numPr>
        <w:ind w:left="1134" w:firstLine="0"/>
      </w:pPr>
      <w:r w:rsidRPr="0052619D">
        <w:t xml:space="preserve">The number of special schools has increased from 295 in 2002 to 489 in 2022, reflecting the growing demand for specialised support. </w:t>
      </w:r>
      <w:r w:rsidRPr="00014D78">
        <w:t xml:space="preserve">161 of 445 special schools have been converted into resource centres and </w:t>
      </w:r>
      <w:r>
        <w:t>priority is given to</w:t>
      </w:r>
      <w:r w:rsidRPr="00014D78">
        <w:t xml:space="preserve"> resource centres over new special schools.</w:t>
      </w:r>
      <w:r>
        <w:t xml:space="preserve"> </w:t>
      </w:r>
      <w:r w:rsidRPr="0052619D">
        <w:t>Full-service schools have also expanded from 30 in 2002 to 832 in 2022, enrolling 121,461 learners. The increase in special schools is partly due to the challenges in fully implementing Education White Paper 6, which aims to mainstream learners with disabilities. The ongoing review of the policy seeks to address these challenges.</w:t>
      </w:r>
    </w:p>
    <w:p w14:paraId="3B9BD855" w14:textId="05CE9ECD" w:rsidR="00550434" w:rsidRPr="0052619D" w:rsidRDefault="00550434" w:rsidP="00FA528F">
      <w:pPr>
        <w:pStyle w:val="SingleTxtG"/>
        <w:numPr>
          <w:ilvl w:val="0"/>
          <w:numId w:val="28"/>
        </w:numPr>
        <w:ind w:left="1134" w:firstLine="0"/>
      </w:pPr>
      <w:r w:rsidRPr="0052619D">
        <w:t xml:space="preserve">Government recognises the critical role that hostels fulfil in special needs schools in ensuring access to education and care for children with disabilities, particularly for families facing poverty, long work commutes, and limited local services. Hostels will be phased out over time however to do so at present would deny vulnerable learners’ essential access to education, therapy, and care. </w:t>
      </w:r>
    </w:p>
    <w:p w14:paraId="41255631" w14:textId="41DFA038" w:rsidR="00550434" w:rsidRPr="0052619D" w:rsidRDefault="00550434" w:rsidP="00FA528F">
      <w:pPr>
        <w:pStyle w:val="SingleTxtG"/>
        <w:numPr>
          <w:ilvl w:val="0"/>
          <w:numId w:val="28"/>
        </w:numPr>
        <w:ind w:left="1134" w:firstLine="0"/>
      </w:pPr>
      <w:r w:rsidRPr="0052619D">
        <w:t xml:space="preserve">However, government is committed to strengthening community-based alternatives and services, such as drop-in centres, integrated support services, and parental empowerment programs, to enhance family and community involvement and reduce institutional separation. While hostels remain necessary, the State Party continues to balance existing needs with access to full-service schools in the medium term. </w:t>
      </w:r>
    </w:p>
    <w:p w14:paraId="2178572A" w14:textId="034E5177" w:rsidR="00550434" w:rsidRPr="0052619D" w:rsidRDefault="007F288C" w:rsidP="007F288C">
      <w:pPr>
        <w:pStyle w:val="H23G"/>
      </w:pPr>
      <w:r>
        <w:lastRenderedPageBreak/>
        <w:tab/>
      </w:r>
      <w:r>
        <w:tab/>
      </w:r>
      <w:r w:rsidR="00550434" w:rsidRPr="0052619D">
        <w:t xml:space="preserve">Reply to 26 (c) </w:t>
      </w:r>
    </w:p>
    <w:p w14:paraId="4BF62D68" w14:textId="413B413A" w:rsidR="00550434" w:rsidRPr="0052619D" w:rsidRDefault="00550434" w:rsidP="00FA528F">
      <w:pPr>
        <w:pStyle w:val="SingleTxtG"/>
        <w:numPr>
          <w:ilvl w:val="0"/>
          <w:numId w:val="28"/>
        </w:numPr>
        <w:ind w:left="1134" w:firstLine="0"/>
      </w:pPr>
      <w:r w:rsidRPr="0052619D">
        <w:t xml:space="preserve">The Strategic Policy Framework on Disability for the Post-School Education and Training (PSET) System (2018) guides inclusion in PSET institutions. </w:t>
      </w:r>
    </w:p>
    <w:p w14:paraId="259494FE" w14:textId="474840F6" w:rsidR="00550434" w:rsidRPr="0052619D" w:rsidRDefault="00550434" w:rsidP="00FA528F">
      <w:pPr>
        <w:pStyle w:val="SingleTxtG"/>
        <w:numPr>
          <w:ilvl w:val="0"/>
          <w:numId w:val="28"/>
        </w:numPr>
        <w:ind w:left="1134" w:firstLine="0"/>
      </w:pPr>
      <w:r w:rsidRPr="0052619D">
        <w:t xml:space="preserve">The 2020 Classification Model for Disabilities and the 2021 National Policy on Students and Community Support Services further promote accessibility. </w:t>
      </w:r>
    </w:p>
    <w:p w14:paraId="28699508" w14:textId="4596608C" w:rsidR="00550434" w:rsidRPr="0052619D" w:rsidRDefault="00550434" w:rsidP="00FA528F">
      <w:pPr>
        <w:pStyle w:val="SingleTxtG"/>
        <w:numPr>
          <w:ilvl w:val="0"/>
          <w:numId w:val="28"/>
        </w:numPr>
        <w:ind w:left="1134" w:firstLine="0"/>
      </w:pPr>
      <w:r w:rsidRPr="0052619D">
        <w:t>The National Skills Fund (NSF) has allocated R657 million for training programmes for persons with disabilities, and NSFAS disbursed R697.9 million to students with disabilities in 2022.</w:t>
      </w:r>
    </w:p>
    <w:p w14:paraId="59D3D985" w14:textId="57FFB076" w:rsidR="00550434" w:rsidRPr="0052619D" w:rsidRDefault="00550434" w:rsidP="00FA528F">
      <w:pPr>
        <w:pStyle w:val="SingleTxtG"/>
        <w:numPr>
          <w:ilvl w:val="0"/>
          <w:numId w:val="28"/>
        </w:numPr>
        <w:ind w:left="1134" w:firstLine="0"/>
      </w:pPr>
      <w:r w:rsidRPr="0052619D">
        <w:t xml:space="preserve">Collaborations with the private sector, such as MTN’s community labs, have enhanced IT skills training for youth with disabilities. </w:t>
      </w:r>
    </w:p>
    <w:p w14:paraId="2B973DCA" w14:textId="7B41AEC6" w:rsidR="00550434" w:rsidRPr="0052619D" w:rsidRDefault="00550434" w:rsidP="00FA528F">
      <w:pPr>
        <w:pStyle w:val="SingleTxtG"/>
        <w:numPr>
          <w:ilvl w:val="0"/>
          <w:numId w:val="28"/>
        </w:numPr>
        <w:ind w:left="1134" w:firstLine="0"/>
      </w:pPr>
      <w:r w:rsidRPr="0052619D">
        <w:t>Several universities now offer courses, and CET colleges have mainstreamed SASL in their language policies. The Committee is referred to paragraph 263 (ii) for further information.</w:t>
      </w:r>
    </w:p>
    <w:p w14:paraId="409DF85E" w14:textId="587A45F1" w:rsidR="00550434" w:rsidRPr="0052619D" w:rsidRDefault="00C22AEF" w:rsidP="00C22AEF">
      <w:pPr>
        <w:pStyle w:val="H23G"/>
      </w:pPr>
      <w:r>
        <w:tab/>
      </w:r>
      <w:r>
        <w:tab/>
      </w:r>
      <w:r w:rsidR="00550434" w:rsidRPr="0052619D">
        <w:t xml:space="preserve">Reply to 26(d) </w:t>
      </w:r>
    </w:p>
    <w:p w14:paraId="58923B33" w14:textId="7C1C3A31" w:rsidR="00550434" w:rsidRPr="0052619D" w:rsidRDefault="00550434" w:rsidP="00FA528F">
      <w:pPr>
        <w:pStyle w:val="SingleTxtG"/>
        <w:numPr>
          <w:ilvl w:val="0"/>
          <w:numId w:val="28"/>
        </w:numPr>
        <w:ind w:left="1134" w:firstLine="0"/>
      </w:pPr>
      <w:r w:rsidRPr="0052619D">
        <w:t xml:space="preserve">A number of policies, protocols, and guidelines to ensure inclusive and equitable education have been adopted aligned to the legislative protections in the Constitution, South African Schools Act (1996), PEPUDA and the Children’s Act, the White Paper 6 (2001) promotes inclusive education by integrating learners with special needs into mainstream and special schools, the Guidelines for Full-Service and Inclusive Schools (2010) provide strategies for accommodating diverse learning needs. However, as discussed above, the Ministerial Task Team has taken steps for the acceleration of mainstreaming to overcome challenges in achieving inclusive education. </w:t>
      </w:r>
    </w:p>
    <w:p w14:paraId="04B39D64" w14:textId="0F1307EE" w:rsidR="00550434" w:rsidRPr="0052619D" w:rsidRDefault="00550434" w:rsidP="00FA528F">
      <w:pPr>
        <w:pStyle w:val="SingleTxtG"/>
        <w:numPr>
          <w:ilvl w:val="0"/>
          <w:numId w:val="28"/>
        </w:numPr>
        <w:ind w:left="1134" w:firstLine="0"/>
      </w:pPr>
      <w:r w:rsidRPr="0052619D">
        <w:t>Additional Measures include:</w:t>
      </w:r>
    </w:p>
    <w:p w14:paraId="79A9A7B8" w14:textId="77777777" w:rsidR="00550434" w:rsidRPr="0052619D" w:rsidRDefault="00550434" w:rsidP="00FA528F">
      <w:pPr>
        <w:pStyle w:val="SingleTxtG"/>
        <w:numPr>
          <w:ilvl w:val="0"/>
          <w:numId w:val="14"/>
        </w:numPr>
        <w:ind w:left="1134" w:firstLine="567"/>
      </w:pPr>
      <w:r w:rsidRPr="0052619D">
        <w:t>The Policy on SIAS ensures learners receive appropriate placement through planning, and individualised support.</w:t>
      </w:r>
    </w:p>
    <w:p w14:paraId="7C9425FE" w14:textId="77777777" w:rsidR="00550434" w:rsidRPr="0052619D" w:rsidRDefault="00550434" w:rsidP="00FA528F">
      <w:pPr>
        <w:pStyle w:val="SingleTxtG"/>
        <w:numPr>
          <w:ilvl w:val="0"/>
          <w:numId w:val="14"/>
        </w:numPr>
        <w:ind w:left="1134" w:firstLine="567"/>
      </w:pPr>
      <w:r w:rsidRPr="0052619D">
        <w:t>The National Curriculum Statement (NCS) allows for curriculum differentiation.</w:t>
      </w:r>
    </w:p>
    <w:p w14:paraId="5A826DB2" w14:textId="77777777" w:rsidR="00550434" w:rsidRPr="0052619D" w:rsidRDefault="00550434" w:rsidP="00FA528F">
      <w:pPr>
        <w:pStyle w:val="SingleTxtG"/>
        <w:numPr>
          <w:ilvl w:val="0"/>
          <w:numId w:val="14"/>
        </w:numPr>
        <w:ind w:left="1134" w:firstLine="567"/>
      </w:pPr>
      <w:r w:rsidRPr="0052619D">
        <w:t xml:space="preserve">The Protocol on the Provision of Assistive Devices ensures access to essential tools. </w:t>
      </w:r>
    </w:p>
    <w:p w14:paraId="58B71935" w14:textId="77777777" w:rsidR="00550434" w:rsidRPr="0052619D" w:rsidRDefault="00550434" w:rsidP="00FA528F">
      <w:pPr>
        <w:pStyle w:val="SingleTxtG"/>
        <w:numPr>
          <w:ilvl w:val="0"/>
          <w:numId w:val="14"/>
        </w:numPr>
        <w:ind w:left="1134" w:firstLine="567"/>
      </w:pPr>
      <w:r w:rsidRPr="0052619D">
        <w:t>Special schools serve as resource centres offering expertise, while government frameworks facilitate collaboration between education, health, and social services to support learners holistically. These measures ensure that children with disabilities receive quality education, accommodations, and support tailored to their needs.</w:t>
      </w:r>
    </w:p>
    <w:p w14:paraId="034EF467" w14:textId="77777777" w:rsidR="00550434" w:rsidRPr="0052619D" w:rsidRDefault="00550434" w:rsidP="00FA528F">
      <w:pPr>
        <w:pStyle w:val="SingleTxtG"/>
        <w:numPr>
          <w:ilvl w:val="0"/>
          <w:numId w:val="14"/>
        </w:numPr>
        <w:ind w:left="1134" w:firstLine="567"/>
      </w:pPr>
      <w:r w:rsidRPr="0052619D">
        <w:t xml:space="preserve">178,757 teachers have been trained on SIAS and 444,586 learners have been screened with 104,998 children identified with learning barriers. </w:t>
      </w:r>
    </w:p>
    <w:p w14:paraId="10A65018" w14:textId="4F6A7958" w:rsidR="00550434" w:rsidRPr="0052619D" w:rsidRDefault="00672567" w:rsidP="00672567">
      <w:pPr>
        <w:pStyle w:val="H23G"/>
      </w:pPr>
      <w:r>
        <w:tab/>
      </w:r>
      <w:r>
        <w:tab/>
      </w:r>
      <w:r w:rsidR="00550434" w:rsidRPr="0052619D">
        <w:t xml:space="preserve">Reply to 26(e) </w:t>
      </w:r>
    </w:p>
    <w:p w14:paraId="6699039C" w14:textId="68D72FC5" w:rsidR="00550434" w:rsidRPr="0052619D" w:rsidRDefault="00550434" w:rsidP="00FA528F">
      <w:pPr>
        <w:pStyle w:val="SingleTxtG"/>
        <w:numPr>
          <w:ilvl w:val="0"/>
          <w:numId w:val="28"/>
        </w:numPr>
        <w:ind w:left="1134" w:firstLine="0"/>
      </w:pPr>
      <w:r w:rsidRPr="0052619D">
        <w:t>Persons with albinism are recognised as persons with disabilities under South African law, and all policies promoting disability inclusion apply equally to them.</w:t>
      </w:r>
    </w:p>
    <w:p w14:paraId="1DEBD5F9" w14:textId="4D415D92" w:rsidR="00550434" w:rsidRPr="0052619D" w:rsidRDefault="00672567" w:rsidP="00672567">
      <w:pPr>
        <w:pStyle w:val="H1G"/>
      </w:pPr>
      <w:r>
        <w:tab/>
      </w:r>
      <w:r>
        <w:tab/>
        <w:t>Article 25</w:t>
      </w:r>
      <w:r>
        <w:br/>
      </w:r>
      <w:r w:rsidR="00550434" w:rsidRPr="0052619D">
        <w:t>Health</w:t>
      </w:r>
      <w:bookmarkEnd w:id="31"/>
    </w:p>
    <w:p w14:paraId="7B7C85F9" w14:textId="36DA522A" w:rsidR="00550434" w:rsidRPr="0052619D" w:rsidRDefault="00672567" w:rsidP="00672567">
      <w:pPr>
        <w:pStyle w:val="H23G"/>
      </w:pPr>
      <w:r>
        <w:tab/>
      </w:r>
      <w:r>
        <w:tab/>
      </w:r>
      <w:r w:rsidR="00550434" w:rsidRPr="0052619D">
        <w:t>Reply to 27(a)</w:t>
      </w:r>
    </w:p>
    <w:p w14:paraId="11A1A963" w14:textId="2BE89653" w:rsidR="00550434" w:rsidRPr="0052619D" w:rsidRDefault="00550434" w:rsidP="00FA528F">
      <w:pPr>
        <w:pStyle w:val="SingleTxtG"/>
        <w:numPr>
          <w:ilvl w:val="0"/>
          <w:numId w:val="28"/>
        </w:numPr>
        <w:ind w:left="1134" w:firstLine="0"/>
      </w:pPr>
      <w:r w:rsidRPr="0052619D">
        <w:t xml:space="preserve">Standards adopted by government for the provision of accessible, affordable and culturally sensitive health care services are aligned to protections articulated in the Bill of Rights of the Constitution. The NHA (61 of 2003) as amended entrenches the rights of persons with disabilities to accessible, affordable, culturally sensitive, non-discriminatory, health services. A number of policies and regulations and protocols have been adopted, a </w:t>
      </w:r>
      <w:r w:rsidRPr="0052619D">
        <w:lastRenderedPageBreak/>
        <w:t>selection of which are already referenced elsewhere in the report. On account of strict report limits these are not reiterated here.</w:t>
      </w:r>
    </w:p>
    <w:p w14:paraId="543B2A4E" w14:textId="67BC01A1" w:rsidR="00550434" w:rsidRPr="0052619D" w:rsidRDefault="00550434" w:rsidP="00FA528F">
      <w:pPr>
        <w:pStyle w:val="SingleTxtG"/>
        <w:numPr>
          <w:ilvl w:val="0"/>
          <w:numId w:val="28"/>
        </w:numPr>
        <w:ind w:left="1134" w:firstLine="0"/>
      </w:pPr>
      <w:r w:rsidRPr="0052619D">
        <w:t xml:space="preserve">The recent National Health Insurance Act is intended to vastly improve accessibility of health care services, particularly for the large majority of poor persons in South Africa and will herald several reforms once operationalised. </w:t>
      </w:r>
    </w:p>
    <w:p w14:paraId="41D25647" w14:textId="5F9E7BB2" w:rsidR="00550434" w:rsidRPr="0052619D" w:rsidRDefault="00BB6910" w:rsidP="00BB6910">
      <w:pPr>
        <w:pStyle w:val="H23G"/>
      </w:pPr>
      <w:r>
        <w:tab/>
      </w:r>
      <w:r>
        <w:tab/>
      </w:r>
      <w:r w:rsidR="00550434" w:rsidRPr="0052619D">
        <w:t xml:space="preserve">Reply to 27(b) </w:t>
      </w:r>
    </w:p>
    <w:p w14:paraId="0E7DA2F2" w14:textId="2C96C94C" w:rsidR="00550434" w:rsidRPr="0052619D" w:rsidRDefault="00550434" w:rsidP="00FA528F">
      <w:pPr>
        <w:pStyle w:val="SingleTxtG"/>
        <w:numPr>
          <w:ilvl w:val="0"/>
          <w:numId w:val="28"/>
        </w:numPr>
        <w:ind w:left="1134" w:firstLine="0"/>
      </w:pPr>
      <w:r w:rsidRPr="0052619D">
        <w:t>In terms of the Constitution, laws of general application and judicial decisions (</w:t>
      </w:r>
      <w:r w:rsidRPr="007C75F7">
        <w:rPr>
          <w:i/>
          <w:iCs/>
        </w:rPr>
        <w:t>the landmark S v Soobramoney case</w:t>
      </w:r>
      <w:r w:rsidRPr="0052619D">
        <w:t xml:space="preserve">), the right to access healthcare is not absolute and may be limited by resource constraints and competing public health priorities. Government takes reasonable steps within available resources to progressively realise universal access to health rights. While policies and practice regarding the treatment of persons with disabilities have been applied fairly and measures implemented to improve accessibility to health facilities, broader public health needs and resource constraints continue to impact on universal access for special needs like specialised treatments.  The district-based model for health care, mobile clinics and system of community care workers provide access to health with referral processes to appropriate hospitals for all persons including persons with disabilities. </w:t>
      </w:r>
    </w:p>
    <w:p w14:paraId="3E6F0AC7" w14:textId="528B0C2C" w:rsidR="00550434" w:rsidRPr="0052619D" w:rsidRDefault="00550434" w:rsidP="00FA528F">
      <w:pPr>
        <w:pStyle w:val="SingleTxtG"/>
        <w:numPr>
          <w:ilvl w:val="0"/>
          <w:numId w:val="28"/>
        </w:numPr>
        <w:ind w:left="1134" w:firstLine="0"/>
      </w:pPr>
      <w:r w:rsidRPr="0052619D">
        <w:t>Government also strictly observes protocols which require that</w:t>
      </w:r>
      <w:r w:rsidRPr="0052619D">
        <w:rPr>
          <w:b/>
          <w:bCs/>
        </w:rPr>
        <w:t xml:space="preserve"> </w:t>
      </w:r>
      <w:r w:rsidRPr="0052619D">
        <w:t xml:space="preserve">all persons, including persons with disabilities, are informed on their diagnosis and treatment options.  No treatment is administered, and no procedure is performed on any person, without their informed consent.  </w:t>
      </w:r>
    </w:p>
    <w:p w14:paraId="453539D1" w14:textId="47585B7C" w:rsidR="00550434" w:rsidRPr="0052619D" w:rsidRDefault="00BB6910" w:rsidP="00BB6910">
      <w:pPr>
        <w:pStyle w:val="H23G"/>
        <w:rPr>
          <w:u w:val="single"/>
        </w:rPr>
      </w:pPr>
      <w:r>
        <w:tab/>
      </w:r>
      <w:r>
        <w:tab/>
      </w:r>
      <w:r w:rsidR="00550434" w:rsidRPr="0052619D">
        <w:t xml:space="preserve">Reply to 27(c) </w:t>
      </w:r>
    </w:p>
    <w:p w14:paraId="25F7DA53" w14:textId="1C288E39" w:rsidR="00550434" w:rsidRPr="0052619D" w:rsidRDefault="00550434" w:rsidP="00FA528F">
      <w:pPr>
        <w:pStyle w:val="SingleTxtG"/>
        <w:numPr>
          <w:ilvl w:val="0"/>
          <w:numId w:val="28"/>
        </w:numPr>
        <w:ind w:left="1134" w:firstLine="0"/>
      </w:pPr>
      <w:r w:rsidRPr="0052619D">
        <w:t xml:space="preserve">The South African National Aids Council (SANAC) and DoH actively works to ensure that training and awareness campaigns addressing the stigmatisation of women with disabilities who have HIV/AIDS are accessible. SANAC and the DoH conducts workshops and training programs for healthcare workers and community stakeholders, equipping them with the skills to provide inclusive, disability-friendly services.  Additionally, SANAC provides HIV and sexual reproductive health information in accessible formats, including audio and large print materials, and is working toward converting more material to Braille. Consultations with persons with disabilities are integral to SANAC’s policy development processes, ensuring their participation in the formulation of the NSP and related initiatives. </w:t>
      </w:r>
    </w:p>
    <w:p w14:paraId="20F9282B" w14:textId="5F3783C0" w:rsidR="00550434" w:rsidRPr="0052619D" w:rsidRDefault="00550434" w:rsidP="00FA528F">
      <w:pPr>
        <w:pStyle w:val="SingleTxtG"/>
        <w:numPr>
          <w:ilvl w:val="0"/>
          <w:numId w:val="28"/>
        </w:numPr>
        <w:ind w:left="1134" w:firstLine="0"/>
      </w:pPr>
      <w:r w:rsidRPr="0052619D">
        <w:t>The Sexual Reproductive Health Rights (SRHR) training package is comprehensive and embeds a rights-based approach regarding matters such as informed consent. SRHR includes content on HIV/AIDS and on disability which addresses: Disability Rights and Vulnerability, Disability Gender Based Violence, Disability Education (Breaking the Silence) and SRHR Community Behavioural Change Peer Support Programs (ARRC, Rolling Positive). The DBE undertakes awareness interventions through provincial departments on HIV/Aids at schools and incorporates material on HIV/Aids in its teaching content.</w:t>
      </w:r>
    </w:p>
    <w:p w14:paraId="7B9950FA" w14:textId="048CEEB5" w:rsidR="00550434" w:rsidRPr="0052619D" w:rsidRDefault="00BB6910" w:rsidP="00BB6910">
      <w:pPr>
        <w:pStyle w:val="H23G"/>
      </w:pPr>
      <w:r>
        <w:tab/>
      </w:r>
      <w:r>
        <w:tab/>
      </w:r>
      <w:r w:rsidR="00550434" w:rsidRPr="0052619D">
        <w:t>Reply to 27(d)</w:t>
      </w:r>
    </w:p>
    <w:p w14:paraId="43C48081" w14:textId="230A34EF" w:rsidR="00550434" w:rsidRPr="0052619D" w:rsidRDefault="00550434" w:rsidP="00FA528F">
      <w:pPr>
        <w:pStyle w:val="SingleTxtG"/>
        <w:numPr>
          <w:ilvl w:val="0"/>
          <w:numId w:val="28"/>
        </w:numPr>
        <w:ind w:left="1134" w:firstLine="0"/>
      </w:pPr>
      <w:r w:rsidRPr="0052619D">
        <w:t xml:space="preserve">Training on the MHCA includes the rights of mental health care users and is provided as part of the neophyte training curriculums of health-care practitioners.  Provinces conduct in-service training of primary health care providers using the Adult Primary Care Guide which contains content on the MHCA as well as the WHO Mental Health Gap training guidelines, on an ongoing basis.  </w:t>
      </w:r>
    </w:p>
    <w:p w14:paraId="045E021A" w14:textId="062FCEC8" w:rsidR="00550434" w:rsidRPr="0052619D" w:rsidRDefault="00550434" w:rsidP="00FA528F">
      <w:pPr>
        <w:pStyle w:val="SingleTxtG"/>
        <w:numPr>
          <w:ilvl w:val="0"/>
          <w:numId w:val="28"/>
        </w:numPr>
        <w:ind w:left="1134" w:firstLine="0"/>
        <w:rPr>
          <w:b/>
          <w:bCs/>
        </w:rPr>
      </w:pPr>
      <w:r w:rsidRPr="0052619D">
        <w:t xml:space="preserve">The DoH collaborates with stakeholders to conduct training on rights based mental health to address identified gaps. Medical Officers and Professional Nurses (particularly those working in the psychiatric units which conduct 72-hours assessment of involuntary mental health care users), receive additional sustained training. </w:t>
      </w:r>
    </w:p>
    <w:p w14:paraId="3930C37F" w14:textId="2538F5D0" w:rsidR="00550434" w:rsidRPr="0052619D" w:rsidRDefault="00550434" w:rsidP="00FA528F">
      <w:pPr>
        <w:pStyle w:val="SingleTxtG"/>
        <w:numPr>
          <w:ilvl w:val="0"/>
          <w:numId w:val="28"/>
        </w:numPr>
        <w:ind w:left="1134" w:firstLine="0"/>
        <w:rPr>
          <w:b/>
          <w:bCs/>
        </w:rPr>
      </w:pPr>
      <w:r w:rsidRPr="0052619D">
        <w:t>Training packages such as the SRHR referenced earlier are further examples of the many interventions undertaken.</w:t>
      </w:r>
    </w:p>
    <w:p w14:paraId="11C9CA66" w14:textId="6671F8A2" w:rsidR="00550434" w:rsidRPr="0052619D" w:rsidRDefault="00BB6910" w:rsidP="00BB6910">
      <w:pPr>
        <w:pStyle w:val="H23G"/>
      </w:pPr>
      <w:r>
        <w:lastRenderedPageBreak/>
        <w:tab/>
      </w:r>
      <w:r>
        <w:tab/>
      </w:r>
      <w:r w:rsidR="00550434" w:rsidRPr="0052619D">
        <w:t xml:space="preserve">Reply to 27(e) </w:t>
      </w:r>
    </w:p>
    <w:p w14:paraId="4214A6C9" w14:textId="6C1F358C" w:rsidR="00550434" w:rsidRPr="0052619D" w:rsidRDefault="00550434" w:rsidP="00FA528F">
      <w:pPr>
        <w:pStyle w:val="SingleTxtG"/>
        <w:numPr>
          <w:ilvl w:val="0"/>
          <w:numId w:val="28"/>
        </w:numPr>
        <w:ind w:left="1134" w:firstLine="0"/>
      </w:pPr>
      <w:r w:rsidRPr="0052619D">
        <w:t xml:space="preserve">Two key measures have been adopted to improve access to health services, medicines and supplies: </w:t>
      </w:r>
    </w:p>
    <w:p w14:paraId="57861EC3" w14:textId="77777777" w:rsidR="00550434" w:rsidRPr="0052619D" w:rsidRDefault="00550434" w:rsidP="00FA528F">
      <w:pPr>
        <w:pStyle w:val="SingleTxtG"/>
        <w:numPr>
          <w:ilvl w:val="0"/>
          <w:numId w:val="15"/>
        </w:numPr>
        <w:ind w:left="1134" w:firstLine="567"/>
      </w:pPr>
      <w:r w:rsidRPr="0052619D">
        <w:t xml:space="preserve">the Central Chronic Medicine Dispensing and Distribution (CCMDD) programme, implemented to enable the collection of medicines by patients from designated points closer to their homes; and </w:t>
      </w:r>
    </w:p>
    <w:p w14:paraId="4F57069D" w14:textId="77777777" w:rsidR="00550434" w:rsidRPr="0052619D" w:rsidRDefault="00550434" w:rsidP="00FA528F">
      <w:pPr>
        <w:pStyle w:val="SingleTxtG"/>
        <w:numPr>
          <w:ilvl w:val="0"/>
          <w:numId w:val="15"/>
        </w:numPr>
        <w:ind w:left="1134" w:firstLine="567"/>
      </w:pPr>
      <w:r w:rsidRPr="0052619D">
        <w:t>the expansion of services offered at local clinics to include the provision of rehabilitation services through outreach services from hospitals, and the provision of mobile health clinics to service selected rural and remote communities.</w:t>
      </w:r>
    </w:p>
    <w:p w14:paraId="65B13327" w14:textId="5E716C88" w:rsidR="00550434" w:rsidRPr="0052619D" w:rsidRDefault="00550434" w:rsidP="00FA528F">
      <w:pPr>
        <w:pStyle w:val="SingleTxtG"/>
        <w:numPr>
          <w:ilvl w:val="0"/>
          <w:numId w:val="28"/>
        </w:numPr>
        <w:ind w:left="1134" w:firstLine="0"/>
      </w:pPr>
      <w:r w:rsidRPr="0052619D">
        <w:t>Special dispensations apply to older persons and persons with disabilities, and they are given priority attention and services at public health pharmacies to minimise time spent in queues.</w:t>
      </w:r>
    </w:p>
    <w:p w14:paraId="71FFD162" w14:textId="429670A7" w:rsidR="00550434" w:rsidRPr="0052619D" w:rsidRDefault="00BB6910" w:rsidP="00BB6910">
      <w:pPr>
        <w:pStyle w:val="H1G"/>
      </w:pPr>
      <w:r>
        <w:tab/>
      </w:r>
      <w:r>
        <w:tab/>
        <w:t>Article 26</w:t>
      </w:r>
      <w:r w:rsidR="00F6682E">
        <w:br/>
      </w:r>
      <w:r w:rsidR="00550434" w:rsidRPr="0052619D">
        <w:t>Habilitation</w:t>
      </w:r>
      <w:r w:rsidR="00550434" w:rsidRPr="0052619D">
        <w:rPr>
          <w:spacing w:val="-8"/>
        </w:rPr>
        <w:t xml:space="preserve"> </w:t>
      </w:r>
      <w:r w:rsidR="00550434" w:rsidRPr="0052619D">
        <w:t>and</w:t>
      </w:r>
      <w:r w:rsidR="00550434" w:rsidRPr="0052619D">
        <w:rPr>
          <w:spacing w:val="-7"/>
        </w:rPr>
        <w:t xml:space="preserve"> </w:t>
      </w:r>
      <w:r w:rsidR="00550434" w:rsidRPr="0052619D">
        <w:t>rehabilitation</w:t>
      </w:r>
    </w:p>
    <w:p w14:paraId="7E1092AF" w14:textId="340E5EA9" w:rsidR="00550434" w:rsidRPr="0052619D" w:rsidRDefault="00F6682E" w:rsidP="00F6682E">
      <w:pPr>
        <w:pStyle w:val="H23G"/>
      </w:pPr>
      <w:r>
        <w:tab/>
      </w:r>
      <w:r>
        <w:tab/>
      </w:r>
      <w:r w:rsidR="00550434" w:rsidRPr="0052619D">
        <w:t>Reply to 28</w:t>
      </w:r>
    </w:p>
    <w:p w14:paraId="7133E973" w14:textId="733954DF" w:rsidR="00550434" w:rsidRPr="0052619D" w:rsidRDefault="00550434" w:rsidP="00FA528F">
      <w:pPr>
        <w:pStyle w:val="SingleTxtG"/>
        <w:numPr>
          <w:ilvl w:val="0"/>
          <w:numId w:val="28"/>
        </w:numPr>
        <w:ind w:left="1134" w:firstLine="0"/>
      </w:pPr>
      <w:r w:rsidRPr="0052619D">
        <w:t>The DoH procures assistive devices through a purchasing contract which is operationalised through orders from provincial levels for devices.  Professional therapists at all levels of care are required to orientate clients on the use of assistive devices.  Personnel, and community workers are trained to advise patients who require support and assist them to secure the devices and tools.</w:t>
      </w:r>
    </w:p>
    <w:p w14:paraId="7B300C1A" w14:textId="62326258" w:rsidR="00550434" w:rsidRPr="0052619D" w:rsidRDefault="00F6682E" w:rsidP="00F6682E">
      <w:pPr>
        <w:pStyle w:val="H1G"/>
        <w:rPr>
          <w:spacing w:val="-5"/>
        </w:rPr>
      </w:pPr>
      <w:r>
        <w:tab/>
      </w:r>
      <w:r>
        <w:tab/>
      </w:r>
      <w:r w:rsidR="00845688">
        <w:t>Article 27</w:t>
      </w:r>
      <w:r w:rsidR="00845688">
        <w:br/>
      </w:r>
      <w:r w:rsidR="00550434" w:rsidRPr="0052619D">
        <w:t>Work</w:t>
      </w:r>
      <w:r w:rsidR="00550434" w:rsidRPr="0052619D">
        <w:rPr>
          <w:spacing w:val="-4"/>
        </w:rPr>
        <w:t xml:space="preserve"> </w:t>
      </w:r>
      <w:r w:rsidR="00550434" w:rsidRPr="0052619D">
        <w:t>and</w:t>
      </w:r>
      <w:r w:rsidR="00550434" w:rsidRPr="0052619D">
        <w:rPr>
          <w:spacing w:val="-5"/>
        </w:rPr>
        <w:t xml:space="preserve"> </w:t>
      </w:r>
      <w:r w:rsidR="00550434" w:rsidRPr="0052619D">
        <w:t>employment</w:t>
      </w:r>
    </w:p>
    <w:p w14:paraId="7D4D2F5D" w14:textId="55DC3B43" w:rsidR="00550434" w:rsidRPr="0052619D" w:rsidRDefault="00B01D90" w:rsidP="00B01D90">
      <w:pPr>
        <w:pStyle w:val="H23G"/>
        <w:rPr>
          <w:i/>
          <w:iCs/>
        </w:rPr>
      </w:pPr>
      <w:r>
        <w:tab/>
      </w:r>
      <w:r>
        <w:tab/>
      </w:r>
      <w:r w:rsidR="00550434" w:rsidRPr="0052619D">
        <w:t xml:space="preserve">Reply to 29. (a) </w:t>
      </w:r>
    </w:p>
    <w:p w14:paraId="5EB498D5" w14:textId="503753A3" w:rsidR="00550434" w:rsidRPr="0052619D" w:rsidRDefault="00550434" w:rsidP="00FA528F">
      <w:pPr>
        <w:pStyle w:val="SingleTxtG"/>
        <w:numPr>
          <w:ilvl w:val="0"/>
          <w:numId w:val="28"/>
        </w:numPr>
        <w:ind w:left="1134" w:firstLine="0"/>
      </w:pPr>
      <w:r w:rsidRPr="0052619D">
        <w:t xml:space="preserve">South Africa continues to strive to reduce high unemployment rates (among the highest globally) and to promote employment of persons with disabilities through multiple combined efforts. </w:t>
      </w:r>
    </w:p>
    <w:p w14:paraId="39D62548" w14:textId="3B2AC125" w:rsidR="00550434" w:rsidRPr="0052619D" w:rsidRDefault="00550434" w:rsidP="00FA528F">
      <w:pPr>
        <w:pStyle w:val="SingleTxtG"/>
        <w:numPr>
          <w:ilvl w:val="0"/>
          <w:numId w:val="28"/>
        </w:numPr>
        <w:ind w:left="1134" w:firstLine="0"/>
      </w:pPr>
      <w:r w:rsidRPr="0052619D">
        <w:t>Legislative and policy measures include the Employment Equity Act (EEA), 1998 which mandates reasonable accommodation and defines it as modifications enabling persons with disabilities to access and participate in employment; the Code of Good Practice on Employment of Persons with Disabilities (2022) guides employers on reasonable accommodation, assistive devices, flexible work arrangements, and workspace modifications and the Labour Relations Act (LRA), 1995: Requires employers to consider reasonable accommodation before dismissing employees for incapacity. Non-compliance can be challenged through the CCMA or Labour Courts.</w:t>
      </w:r>
    </w:p>
    <w:p w14:paraId="1033460C" w14:textId="6F2D9F32" w:rsidR="00550434" w:rsidRPr="0052619D" w:rsidRDefault="00550434" w:rsidP="00FA528F">
      <w:pPr>
        <w:pStyle w:val="SingleTxtG"/>
        <w:numPr>
          <w:ilvl w:val="0"/>
          <w:numId w:val="28"/>
        </w:numPr>
        <w:ind w:left="1134" w:firstLine="0"/>
      </w:pPr>
      <w:r w:rsidRPr="0052619D">
        <w:t>In addition, affirmative action measures and incentives have been adopted to encourage employment of persons with disabilities. These include increases in the minimum employment target for persons with disabilities increasing by a percentage point each year to 7% by 2030; the Broad-Based Black Economic Empowerment (B-BBEE) Act, 2003 which awards preferential points to businesses owned by and employing persons with disabilities; tax incentives and wage subsidies to support reasonable accommodation needs, and platforms such as Employment Services South Africa (ESSA) which connects job seekers with disabilities to employers, complemented by the Disability Confident Employers Initiative.</w:t>
      </w:r>
    </w:p>
    <w:p w14:paraId="6554843A" w14:textId="0A448B8B" w:rsidR="00550434" w:rsidRPr="0052619D" w:rsidRDefault="00550434" w:rsidP="00FA528F">
      <w:pPr>
        <w:pStyle w:val="SingleTxtG"/>
        <w:numPr>
          <w:ilvl w:val="0"/>
          <w:numId w:val="28"/>
        </w:numPr>
        <w:ind w:left="1134" w:firstLine="0"/>
      </w:pPr>
      <w:r w:rsidRPr="0052619D">
        <w:t>Government has invested in skills development and implemented public sector initiatives through which government departments offer learnerships and internships to unemployed persons with disabilities, programs for inmates which resulted in over 1 000 inmates accessing employability training. Financial support through the Small Enterprise Development Agency (SEDA) has also been provided, this programme saw 1 994 people with disabilities benefit from support.</w:t>
      </w:r>
    </w:p>
    <w:p w14:paraId="1A7BA6B3" w14:textId="7AA1AF55" w:rsidR="00550434" w:rsidRPr="0052619D" w:rsidRDefault="00550434" w:rsidP="00FA528F">
      <w:pPr>
        <w:pStyle w:val="SingleTxtG"/>
        <w:numPr>
          <w:ilvl w:val="0"/>
          <w:numId w:val="28"/>
        </w:numPr>
        <w:ind w:left="1134" w:firstLine="0"/>
      </w:pPr>
      <w:r w:rsidRPr="0052619D">
        <w:lastRenderedPageBreak/>
        <w:t>Businesses also partner with Disabled Persons’ Organisations (DPOs) like Southern African Federation of the Disabled (SAFOD) and Disability Workshop Development Enterprise (DWDE) to recruit and support employees with disabilities. See Annexure 5 for additional measures to protect rights of persons with disabilities.</w:t>
      </w:r>
    </w:p>
    <w:p w14:paraId="47B50B7F" w14:textId="2F08C759" w:rsidR="00550434" w:rsidRPr="0052619D" w:rsidRDefault="00B01D90" w:rsidP="00B01D90">
      <w:pPr>
        <w:pStyle w:val="H23G"/>
      </w:pPr>
      <w:r>
        <w:tab/>
      </w:r>
      <w:r>
        <w:tab/>
      </w:r>
      <w:r w:rsidR="00550434" w:rsidRPr="0052619D">
        <w:t xml:space="preserve">Reply to 29(b) </w:t>
      </w:r>
    </w:p>
    <w:p w14:paraId="0786E8EC" w14:textId="008D1524" w:rsidR="00550434" w:rsidRPr="0052619D" w:rsidRDefault="00550434" w:rsidP="00FA528F">
      <w:pPr>
        <w:pStyle w:val="SingleTxtG"/>
        <w:numPr>
          <w:ilvl w:val="0"/>
          <w:numId w:val="28"/>
        </w:numPr>
        <w:ind w:left="1134" w:firstLine="0"/>
      </w:pPr>
      <w:r w:rsidRPr="0052619D">
        <w:t>The Commission for Employment Equity (CEE) monitors and receives disaggregated data, reporting annually on the employment status of women, youth, and persons with disabilities in both public and private sectors.  Despite the proclamation of employment targets and affirmative measures, representation of persons with disabilities in the workforce is stagnant at approximately 1% over the past 25 years.</w:t>
      </w:r>
    </w:p>
    <w:p w14:paraId="38819B93" w14:textId="4E3293E2" w:rsidR="00550434" w:rsidRPr="0052619D" w:rsidRDefault="00550434" w:rsidP="00FA528F">
      <w:pPr>
        <w:pStyle w:val="SingleTxtG"/>
        <w:numPr>
          <w:ilvl w:val="0"/>
          <w:numId w:val="28"/>
        </w:numPr>
        <w:ind w:left="1134" w:firstLine="0"/>
      </w:pPr>
      <w:r w:rsidRPr="0052619D">
        <w:t>The DWYPD also tracks the employment of persons with disabilities in the public service, including post levels and accommodations provided. Recent initiatives included nine workshops with 438 participants to enhance understanding and mainstreaming of disability inclusion across sectors.</w:t>
      </w:r>
    </w:p>
    <w:p w14:paraId="54CFBDE9" w14:textId="553BE022" w:rsidR="00550434" w:rsidRPr="0052619D" w:rsidRDefault="00B01D90" w:rsidP="00B01D90">
      <w:pPr>
        <w:pStyle w:val="H23G"/>
      </w:pPr>
      <w:r>
        <w:tab/>
      </w:r>
      <w:r>
        <w:tab/>
      </w:r>
      <w:r w:rsidR="00550434" w:rsidRPr="0052619D">
        <w:t xml:space="preserve">Reply to 29(c) </w:t>
      </w:r>
    </w:p>
    <w:p w14:paraId="40B58888" w14:textId="1D8E2640" w:rsidR="00550434" w:rsidRPr="0052619D" w:rsidRDefault="00550434" w:rsidP="00FA528F">
      <w:pPr>
        <w:pStyle w:val="SingleTxtG"/>
        <w:numPr>
          <w:ilvl w:val="0"/>
          <w:numId w:val="28"/>
        </w:numPr>
        <w:ind w:left="1134" w:firstLine="0"/>
      </w:pPr>
      <w:r w:rsidRPr="0052619D">
        <w:t xml:space="preserve">Government has adopted a multipronged strategy to address high rates of unemployment in general together with targeted approaches to promote the integration of persons with disabilities within broader economic initiatives.  </w:t>
      </w:r>
    </w:p>
    <w:p w14:paraId="32EB61C4" w14:textId="2168F786" w:rsidR="00550434" w:rsidRPr="0052619D" w:rsidRDefault="00550434" w:rsidP="00FA528F">
      <w:pPr>
        <w:pStyle w:val="SingleTxtG"/>
        <w:numPr>
          <w:ilvl w:val="0"/>
          <w:numId w:val="28"/>
        </w:numPr>
        <w:ind w:left="1134" w:firstLine="0"/>
      </w:pPr>
      <w:r w:rsidRPr="0052619D">
        <w:t>The ERRP referred to earlier (s9(a)) and other job creation efforts, such as infrastructure development, industrialisation, and green economy projects, aim to generate employment opportunities for all, including persons with disabilities, by ensuring inclusive participation. Committee is referred to affirmative action measures discussed above in para 326.</w:t>
      </w:r>
    </w:p>
    <w:p w14:paraId="59CF4923" w14:textId="0B7F5F2D" w:rsidR="00550434" w:rsidRPr="0052619D" w:rsidRDefault="00550434" w:rsidP="00FA528F">
      <w:pPr>
        <w:pStyle w:val="SingleTxtG"/>
        <w:numPr>
          <w:ilvl w:val="0"/>
          <w:numId w:val="28"/>
        </w:numPr>
        <w:ind w:left="1134" w:firstLine="0"/>
      </w:pPr>
      <w:r w:rsidRPr="0052619D">
        <w:t xml:space="preserve">Government promotes skills development through the National Skills Fund (NSF) and through NSFAS funded vocational programs tailored for persons with disabilities. Public employment programs like the Expanded Public Works Programme (EPWP) and youth-focused initiatives such as the Youth Employment Service (YES) include specific measures to accommodate and employ persons with disabilities.  </w:t>
      </w:r>
    </w:p>
    <w:p w14:paraId="282E711E" w14:textId="1CA9504B" w:rsidR="00550434" w:rsidRPr="0052619D" w:rsidRDefault="00550434" w:rsidP="00FA528F">
      <w:pPr>
        <w:pStyle w:val="SingleTxtG"/>
        <w:numPr>
          <w:ilvl w:val="0"/>
          <w:numId w:val="28"/>
        </w:numPr>
        <w:ind w:left="1134" w:firstLine="0"/>
      </w:pPr>
      <w:r w:rsidRPr="0052619D">
        <w:t>Protections for the right to work, rights to association and supporting legislation referred to below form part of the architecture to support non-discrimination, fair workplace practices, and encourage representativity. Inclusive employee forums include employees with disabilities, are in place across government.  Employees from designated groups participate in consultation processes between organised labour, employee representative across all occupational levels of the employer's workforce</w:t>
      </w:r>
    </w:p>
    <w:p w14:paraId="23A15AD0" w14:textId="4614E922" w:rsidR="00550434" w:rsidRPr="0052619D" w:rsidRDefault="00B01D90" w:rsidP="00B01D90">
      <w:pPr>
        <w:pStyle w:val="H23G"/>
      </w:pPr>
      <w:r>
        <w:tab/>
      </w:r>
      <w:r>
        <w:tab/>
      </w:r>
      <w:r w:rsidR="00550434" w:rsidRPr="0052619D">
        <w:t xml:space="preserve">Reply to 29 (d) </w:t>
      </w:r>
    </w:p>
    <w:p w14:paraId="3FD1D4EC" w14:textId="706A281C" w:rsidR="00550434" w:rsidRPr="0052619D" w:rsidRDefault="00550434" w:rsidP="00FA528F">
      <w:pPr>
        <w:pStyle w:val="SingleTxtG"/>
        <w:numPr>
          <w:ilvl w:val="0"/>
          <w:numId w:val="28"/>
        </w:numPr>
        <w:ind w:left="1134" w:firstLine="0"/>
      </w:pPr>
      <w:r w:rsidRPr="0052619D">
        <w:t>Legislative measures to ensure this principle is applied include:</w:t>
      </w:r>
    </w:p>
    <w:p w14:paraId="52DB3011" w14:textId="77777777" w:rsidR="00550434" w:rsidRPr="0052619D" w:rsidRDefault="00550434" w:rsidP="00FA528F">
      <w:pPr>
        <w:pStyle w:val="SingleTxtG"/>
        <w:numPr>
          <w:ilvl w:val="0"/>
          <w:numId w:val="16"/>
        </w:numPr>
        <w:ind w:left="1134" w:firstLine="567"/>
      </w:pPr>
      <w:r w:rsidRPr="0052619D">
        <w:t xml:space="preserve">Section 6 of the EEA which prohibits unfair discrimination recognising that “a difference in terms and conditions of employment between employees of the same employer performing the same or substantially the same work or work of equal value that is directly or indirectly based on any one or more of the grounds listed, is unfair discrimination.  </w:t>
      </w:r>
    </w:p>
    <w:p w14:paraId="3DCFDB1C" w14:textId="77777777" w:rsidR="00550434" w:rsidRPr="0052619D" w:rsidRDefault="00550434" w:rsidP="00FA528F">
      <w:pPr>
        <w:pStyle w:val="SingleTxtG"/>
        <w:numPr>
          <w:ilvl w:val="0"/>
          <w:numId w:val="16"/>
        </w:numPr>
        <w:ind w:left="1134" w:firstLine="567"/>
      </w:pPr>
      <w:r w:rsidRPr="0052619D">
        <w:t xml:space="preserve">Further, the Employment Equity Regulations, 2014 provide criteria to determine work of equal value and guidelines for fair remuneration.  </w:t>
      </w:r>
    </w:p>
    <w:p w14:paraId="6A15A054" w14:textId="77777777" w:rsidR="00550434" w:rsidRPr="0052619D" w:rsidRDefault="00550434" w:rsidP="00FA528F">
      <w:pPr>
        <w:pStyle w:val="SingleTxtG"/>
        <w:numPr>
          <w:ilvl w:val="0"/>
          <w:numId w:val="16"/>
        </w:numPr>
        <w:ind w:left="1134" w:firstLine="567"/>
      </w:pPr>
      <w:r w:rsidRPr="0052619D">
        <w:t>Similarly, the BCEA, sets minimum labour standards which requires compliance with fair pay practices.</w:t>
      </w:r>
    </w:p>
    <w:p w14:paraId="5AB4AA94" w14:textId="77777777" w:rsidR="00550434" w:rsidRPr="0052619D" w:rsidRDefault="00550434" w:rsidP="00FA528F">
      <w:pPr>
        <w:pStyle w:val="SingleTxtG"/>
        <w:numPr>
          <w:ilvl w:val="0"/>
          <w:numId w:val="16"/>
        </w:numPr>
        <w:ind w:left="1134" w:firstLine="567"/>
      </w:pPr>
      <w:r w:rsidRPr="0052619D">
        <w:t>In addition, bargaining councils and redress mechanisms are in place through the CCMA, dedicated labour courts, and internal mechanisms to address unfair and discriminatory practices against persons with disabilities in employment.   </w:t>
      </w:r>
    </w:p>
    <w:p w14:paraId="1B56D90F" w14:textId="0E10E52F" w:rsidR="00550434" w:rsidRPr="0052619D" w:rsidRDefault="00B01D90" w:rsidP="00B01D90">
      <w:pPr>
        <w:pStyle w:val="H23G"/>
      </w:pPr>
      <w:bookmarkStart w:id="32" w:name="_Hlk192143561"/>
      <w:r>
        <w:lastRenderedPageBreak/>
        <w:tab/>
      </w:r>
      <w:r>
        <w:tab/>
      </w:r>
      <w:r w:rsidR="00550434" w:rsidRPr="0052619D">
        <w:t xml:space="preserve">Reply to 29(e) </w:t>
      </w:r>
    </w:p>
    <w:bookmarkEnd w:id="32"/>
    <w:p w14:paraId="24993924" w14:textId="3D5E15E0" w:rsidR="00550434" w:rsidRPr="0052619D" w:rsidRDefault="00550434" w:rsidP="00FA528F">
      <w:pPr>
        <w:pStyle w:val="SingleTxtG"/>
        <w:numPr>
          <w:ilvl w:val="0"/>
          <w:numId w:val="28"/>
        </w:numPr>
        <w:ind w:left="1134" w:firstLine="0"/>
      </w:pPr>
      <w:r w:rsidRPr="0052619D">
        <w:t xml:space="preserve">Steps taken include the implementation of the PRAAD has been embraced government wide (the Committee is referred to sections 3(b), 9 (a) 11(c) where this has been discussed).  Government has allocated a dedicated additional budget of R14 million to the Department of Public Works and Infrastructure to remedy challenges to accessibility in public buildings in recognition of the need to ensure workplaces are accessible. </w:t>
      </w:r>
    </w:p>
    <w:p w14:paraId="5180EED9" w14:textId="37EBD987" w:rsidR="00550434" w:rsidRPr="0052619D" w:rsidRDefault="00550434" w:rsidP="00FA528F">
      <w:pPr>
        <w:pStyle w:val="SingleTxtG"/>
        <w:numPr>
          <w:ilvl w:val="0"/>
          <w:numId w:val="28"/>
        </w:numPr>
        <w:ind w:left="1134" w:firstLine="0"/>
        <w:rPr>
          <w:color w:val="000000" w:themeColor="text1"/>
        </w:rPr>
      </w:pPr>
      <w:r w:rsidRPr="0052619D">
        <w:t>South Africa continues to draw les</w:t>
      </w:r>
      <w:r w:rsidRPr="0052619D">
        <w:rPr>
          <w:color w:val="000000" w:themeColor="text1"/>
        </w:rPr>
        <w:t>sons from consultation domestically and through international collaboration to harness and adapt best practices which improve workplace accommodation and accessibility.  </w:t>
      </w:r>
    </w:p>
    <w:p w14:paraId="764A3EDE" w14:textId="39597381" w:rsidR="00550434" w:rsidRPr="0052619D" w:rsidRDefault="00B01D90" w:rsidP="00B01D90">
      <w:pPr>
        <w:pStyle w:val="H23G"/>
      </w:pPr>
      <w:r>
        <w:tab/>
      </w:r>
      <w:r>
        <w:tab/>
      </w:r>
      <w:r w:rsidR="00550434" w:rsidRPr="0052619D">
        <w:t xml:space="preserve">Reply to 29(f) </w:t>
      </w:r>
    </w:p>
    <w:p w14:paraId="195AD438" w14:textId="5343A084" w:rsidR="00550434" w:rsidRPr="0052619D" w:rsidRDefault="00550434" w:rsidP="00FA528F">
      <w:pPr>
        <w:pStyle w:val="SingleTxtG"/>
        <w:numPr>
          <w:ilvl w:val="0"/>
          <w:numId w:val="28"/>
        </w:numPr>
        <w:ind w:left="1134" w:firstLine="0"/>
      </w:pPr>
      <w:r w:rsidRPr="0052619D">
        <w:t xml:space="preserve">Several legal protections are in place to protect migrant workers and mineworkers with disabilities (in addition to the constitutional protections for ‘all’ persons in South Africa) including:  </w:t>
      </w:r>
    </w:p>
    <w:p w14:paraId="38E8785F" w14:textId="77777777" w:rsidR="00550434" w:rsidRPr="0052619D" w:rsidRDefault="00550434" w:rsidP="00FA528F">
      <w:pPr>
        <w:pStyle w:val="SingleTxtG"/>
        <w:numPr>
          <w:ilvl w:val="0"/>
          <w:numId w:val="17"/>
        </w:numPr>
        <w:ind w:left="1134" w:firstLine="567"/>
      </w:pPr>
      <w:r w:rsidRPr="0052619D">
        <w:t xml:space="preserve">The LRA and BCEA ensure levels of protections for mineworkers and migrant workers with disabilities apply equally to those afforded to local workers with disabilities across sectors. </w:t>
      </w:r>
    </w:p>
    <w:p w14:paraId="495EAB34" w14:textId="77777777" w:rsidR="00550434" w:rsidRPr="0052619D" w:rsidRDefault="00550434" w:rsidP="00FA528F">
      <w:pPr>
        <w:pStyle w:val="SingleTxtG"/>
        <w:numPr>
          <w:ilvl w:val="0"/>
          <w:numId w:val="17"/>
        </w:numPr>
        <w:ind w:left="1134" w:firstLine="567"/>
      </w:pPr>
      <w:r w:rsidRPr="0052619D">
        <w:t>The Occupational Health and Safety Act (OHSA), 1993 is applicable to all lawfully employed persons such as mineworkers and those at risk of workplace injuries.  The duty to provide reasonable accommodation for workers with disabilities and prevent hazards that could cause impairments are entrenched in legislation.</w:t>
      </w:r>
    </w:p>
    <w:p w14:paraId="4FDAC9CC" w14:textId="77777777" w:rsidR="00550434" w:rsidRPr="0052619D" w:rsidRDefault="00550434" w:rsidP="00FA528F">
      <w:pPr>
        <w:pStyle w:val="SingleTxtG"/>
        <w:numPr>
          <w:ilvl w:val="0"/>
          <w:numId w:val="17"/>
        </w:numPr>
        <w:ind w:left="1134" w:firstLine="567"/>
      </w:pPr>
      <w:r w:rsidRPr="0052619D">
        <w:t xml:space="preserve">Compensation for Occupational Injuries and Diseases Act (COIDA), 1993 which regulates the provision of compensation, rehabilitation and medical care for workers who are injured or die at work, including mining-related conditions such as silicosis and hearing loss.  Financial compensation for permanent disabilities and for dependents of workers who die due to workplace injuries is also regulated through COIDA. </w:t>
      </w:r>
    </w:p>
    <w:p w14:paraId="1EE5CAD8" w14:textId="6B2D3BAB" w:rsidR="00550434" w:rsidRPr="0052619D" w:rsidRDefault="00550434" w:rsidP="00FA528F">
      <w:pPr>
        <w:pStyle w:val="SingleTxtG"/>
        <w:numPr>
          <w:ilvl w:val="0"/>
          <w:numId w:val="28"/>
        </w:numPr>
        <w:ind w:left="1134" w:firstLine="0"/>
      </w:pPr>
      <w:r w:rsidRPr="0052619D">
        <w:t>Sector specific legislative protections are entrenched in the Mine Health and Safety Act (MHSA), 1996 which obliges employers to implement safety measures, provides for health surveillance, risk assessments, and medical monitoring of mineworkers through the Mine Health and Safety Inspectorate to enforce regulations.</w:t>
      </w:r>
    </w:p>
    <w:p w14:paraId="4C727C41" w14:textId="777EB687" w:rsidR="00550434" w:rsidRPr="0052619D" w:rsidRDefault="00550434" w:rsidP="00FA528F">
      <w:pPr>
        <w:pStyle w:val="SingleTxtG"/>
        <w:numPr>
          <w:ilvl w:val="0"/>
          <w:numId w:val="28"/>
        </w:numPr>
        <w:ind w:left="1134" w:firstLine="0"/>
      </w:pPr>
      <w:r w:rsidRPr="0052619D">
        <w:t>General additional protections are provided through the Unemployment Insurance Act (UIA), 2001 through which benefits may be claimed for a limited period on account of loss of ability to work, are applicable to selected categories of workers; and the Social Assistance Act, 2004 which provides disability grants for workers unable to work due to permanent impairment.</w:t>
      </w:r>
    </w:p>
    <w:p w14:paraId="5CEFE204" w14:textId="679891D5" w:rsidR="00550434" w:rsidRPr="0052619D" w:rsidRDefault="00C60FC5" w:rsidP="00C60FC5">
      <w:pPr>
        <w:pStyle w:val="H1G"/>
      </w:pPr>
      <w:bookmarkStart w:id="33" w:name="_Toc189210208"/>
      <w:r>
        <w:tab/>
      </w:r>
      <w:r>
        <w:tab/>
        <w:t>Article 28</w:t>
      </w:r>
      <w:r>
        <w:br/>
      </w:r>
      <w:r w:rsidR="00550434" w:rsidRPr="0052619D">
        <w:t>Adequate standard of living and social protection</w:t>
      </w:r>
      <w:bookmarkEnd w:id="33"/>
    </w:p>
    <w:p w14:paraId="79BEA784" w14:textId="6C96D588" w:rsidR="00550434" w:rsidRPr="0052619D" w:rsidRDefault="00011C5A" w:rsidP="00011C5A">
      <w:pPr>
        <w:pStyle w:val="H23G"/>
      </w:pPr>
      <w:r>
        <w:tab/>
      </w:r>
      <w:r>
        <w:tab/>
      </w:r>
      <w:r w:rsidR="00550434" w:rsidRPr="0052619D">
        <w:t>Reply to 30(a)</w:t>
      </w:r>
    </w:p>
    <w:p w14:paraId="40FBA17E" w14:textId="147231D0" w:rsidR="00550434" w:rsidRPr="0052619D" w:rsidRDefault="00550434" w:rsidP="00FA528F">
      <w:pPr>
        <w:pStyle w:val="SingleTxtG"/>
        <w:numPr>
          <w:ilvl w:val="0"/>
          <w:numId w:val="28"/>
        </w:numPr>
        <w:ind w:left="1134" w:firstLine="0"/>
      </w:pPr>
      <w:r w:rsidRPr="0052619D">
        <w:t xml:space="preserve">Given persistent rates of deep poverty, and inequality affecting large numbers of the population and which are most pronounced in vulnerable groups such as persons with disabilities, Government has adopted a number of pro-poor policies and measures. </w:t>
      </w:r>
    </w:p>
    <w:p w14:paraId="16854914" w14:textId="088E3BEC" w:rsidR="00550434" w:rsidRPr="0052619D" w:rsidRDefault="00550434" w:rsidP="00FA528F">
      <w:pPr>
        <w:pStyle w:val="SingleTxtG"/>
        <w:numPr>
          <w:ilvl w:val="0"/>
          <w:numId w:val="28"/>
        </w:numPr>
        <w:ind w:left="1134" w:firstLine="0"/>
      </w:pPr>
      <w:r w:rsidRPr="0052619D">
        <w:t>Government, through the SASSA and the National Development Agency (NDA), provides services designed to develop human capabilities which ensures social inclusion and attainment of full and sustainable economic participation, to work in an integrated manner, and to support integrated and holistic provision of social development services to persons with disabilities.  In compliance with reporting limits, the Committee is referred to information provided in section 5 (c) of this report, for detailed information on the provision of social grants for persons with disabilities and their families.</w:t>
      </w:r>
    </w:p>
    <w:p w14:paraId="54917AA1" w14:textId="1E859064" w:rsidR="00550434" w:rsidRPr="0052619D" w:rsidRDefault="00550434" w:rsidP="00FA528F">
      <w:pPr>
        <w:pStyle w:val="SingleTxtG"/>
        <w:numPr>
          <w:ilvl w:val="0"/>
          <w:numId w:val="28"/>
        </w:numPr>
        <w:ind w:left="1134" w:firstLine="0"/>
      </w:pPr>
      <w:r w:rsidRPr="0052619D">
        <w:t xml:space="preserve">The Department of Education and Labour is mandated by the Employment Services Act, 4 of 2014 provides funding support to organisations focusing on persons with disabilities </w:t>
      </w:r>
      <w:r w:rsidRPr="0052619D">
        <w:lastRenderedPageBreak/>
        <w:t>and subsidises the wages/grants of workers with disabilities who, on a voluntary basis, participate in work activities in the non-profit organisations. </w:t>
      </w:r>
    </w:p>
    <w:p w14:paraId="492E15D5" w14:textId="7874D925" w:rsidR="00550434" w:rsidRPr="0052619D" w:rsidRDefault="00550434" w:rsidP="00D17336">
      <w:pPr>
        <w:pStyle w:val="SingleTxtG"/>
        <w:numPr>
          <w:ilvl w:val="0"/>
          <w:numId w:val="28"/>
        </w:numPr>
        <w:ind w:left="1134" w:firstLine="0"/>
      </w:pPr>
      <w:r w:rsidRPr="0052619D">
        <w:t>Apart from the provision of social grants for designated persons such as persons with disabilities, Government supplements financial support to families in deep poverty through the provision of short-term relief packages in response to emergencies and disasters for social relief. By 2021 government disbursed over R27 billion to 10 million beneficiaries including persons with disabilities through relief interventions like the COVID-19 Social Relief of Distress (SRD) Grant which has since been extended multiple times.</w:t>
      </w:r>
    </w:p>
    <w:p w14:paraId="45A7FF9E" w14:textId="7829DAB5" w:rsidR="00550434" w:rsidRPr="0052619D" w:rsidRDefault="00011C5A" w:rsidP="00011C5A">
      <w:pPr>
        <w:pStyle w:val="H23G"/>
      </w:pPr>
      <w:r>
        <w:tab/>
      </w:r>
      <w:r>
        <w:tab/>
      </w:r>
      <w:r w:rsidR="00550434" w:rsidRPr="0052619D">
        <w:t xml:space="preserve">Reply to 30(b) </w:t>
      </w:r>
    </w:p>
    <w:p w14:paraId="5E7DA196" w14:textId="6D438B9F" w:rsidR="00550434" w:rsidRPr="0052619D" w:rsidRDefault="00550434" w:rsidP="00D17336">
      <w:pPr>
        <w:pStyle w:val="SingleTxtG"/>
        <w:numPr>
          <w:ilvl w:val="0"/>
          <w:numId w:val="28"/>
        </w:numPr>
        <w:ind w:left="1134" w:firstLine="0"/>
      </w:pPr>
      <w:r w:rsidRPr="0052619D">
        <w:t>Various initiatives and policies are implemented to promote economic inclusion for all individuals, regardless of disability, sex, gender, or place of living.  These measures aim to ensure equal participation in economic growth, access to opportunities, and targeted interventions for historically disadvantaged groups.</w:t>
      </w:r>
    </w:p>
    <w:p w14:paraId="47D899AB" w14:textId="3E3E253E" w:rsidR="00550434" w:rsidRPr="0052619D" w:rsidRDefault="00550434" w:rsidP="00D17336">
      <w:pPr>
        <w:pStyle w:val="SingleTxtG"/>
        <w:numPr>
          <w:ilvl w:val="0"/>
          <w:numId w:val="28"/>
        </w:numPr>
        <w:ind w:left="1134" w:firstLine="0"/>
      </w:pPr>
      <w:r w:rsidRPr="0052619D">
        <w:t>Economic Empowerment and Employment Targets (discussed in s4(b)) and economic inclusion targets include B-BBEE allocation; 4% skills development funding for persons with disabilities. Employment equity and participation in capital-intensive projects targets are set at 7% procurement equity for persons with disabilities.</w:t>
      </w:r>
    </w:p>
    <w:p w14:paraId="2640CF63" w14:textId="556961FB" w:rsidR="00550434" w:rsidRPr="0052619D" w:rsidRDefault="00550434" w:rsidP="00D17336">
      <w:pPr>
        <w:pStyle w:val="SingleTxtG"/>
        <w:numPr>
          <w:ilvl w:val="0"/>
          <w:numId w:val="28"/>
        </w:numPr>
        <w:ind w:left="1134" w:firstLine="0"/>
      </w:pPr>
      <w:r w:rsidRPr="0052619D">
        <w:t xml:space="preserve">Government is finalising a formal economic empowerment strategy focusing on women, youth, and persons with disabilities to ensure their active role in the economy beyond just being consumers. </w:t>
      </w:r>
    </w:p>
    <w:p w14:paraId="6082A62F" w14:textId="40F2E3B0" w:rsidR="00550434" w:rsidRPr="0052619D" w:rsidRDefault="00550434" w:rsidP="00D17336">
      <w:pPr>
        <w:pStyle w:val="SingleTxtG"/>
        <w:numPr>
          <w:ilvl w:val="0"/>
          <w:numId w:val="28"/>
        </w:numPr>
        <w:ind w:left="1134" w:firstLine="0"/>
      </w:pPr>
      <w:r w:rsidRPr="0052619D">
        <w:t>Research and Policy Development to Support Inclusion: The Government commissioned research on the Financial and Economic Costs of Disability to Households in South Africa to assess the additional financial burden faced by families with persons with disabilities.  The findings and recommendations from this research were approved by Cabinet in 2022 and are currently being simplified to align with various government mandates for better implementation in government Medium Term Budget Planning.  This initiative informs policies to mitigate the additional costs of disability and ensure inclusive economic planning.</w:t>
      </w:r>
    </w:p>
    <w:p w14:paraId="7A418E3A" w14:textId="478E70A4" w:rsidR="00550434" w:rsidRPr="0052619D" w:rsidRDefault="00550434" w:rsidP="00D17336">
      <w:pPr>
        <w:pStyle w:val="SingleTxtG"/>
        <w:numPr>
          <w:ilvl w:val="0"/>
          <w:numId w:val="28"/>
        </w:numPr>
        <w:ind w:left="1134" w:firstLine="0"/>
      </w:pPr>
      <w:r w:rsidRPr="0052619D">
        <w:t>Skills Development, Training and Employment Initiatives:  Government through the DWYPD concluded a Memorandum of Understanding (MoU) with ETDP-SETA to train 500 young persons with disabilities in technical skills, with training in 2024. To enhance accessibility to skills development and employment opportunities, the government is considering the recognition of vocational training as an alternative qualification where conventional Matric qualifications are prerequisites for appointment.</w:t>
      </w:r>
    </w:p>
    <w:p w14:paraId="012547D1" w14:textId="2685EA6E" w:rsidR="00550434" w:rsidRPr="0052619D" w:rsidRDefault="00550434" w:rsidP="00D17336">
      <w:pPr>
        <w:pStyle w:val="SingleTxtG"/>
        <w:numPr>
          <w:ilvl w:val="0"/>
          <w:numId w:val="28"/>
        </w:numPr>
        <w:ind w:left="1134" w:firstLine="0"/>
      </w:pPr>
      <w:r w:rsidRPr="0052619D">
        <w:t>Government departments in general setting aside grants, funds, and skills development initiatives to support entrepreneurs and job seekers with disabilities, ensuring their full participation in the workforce. Examples of Inclusive Economic Projects and Sector Specific Interventions include:</w:t>
      </w:r>
    </w:p>
    <w:p w14:paraId="0E40CD2F" w14:textId="77777777" w:rsidR="00550434" w:rsidRPr="0052619D" w:rsidRDefault="00550434" w:rsidP="00FA528F">
      <w:pPr>
        <w:pStyle w:val="SingleTxtG"/>
        <w:numPr>
          <w:ilvl w:val="0"/>
          <w:numId w:val="18"/>
        </w:numPr>
        <w:ind w:left="1134" w:firstLine="567"/>
      </w:pPr>
      <w:r w:rsidRPr="0052619D">
        <w:t>Solar Mama Project: Training and empowering women to lead solar energy projects in their communities.</w:t>
      </w:r>
    </w:p>
    <w:p w14:paraId="670C36A6" w14:textId="77777777" w:rsidR="00550434" w:rsidRPr="0052619D" w:rsidRDefault="00550434" w:rsidP="00FA528F">
      <w:pPr>
        <w:pStyle w:val="SingleTxtG"/>
        <w:numPr>
          <w:ilvl w:val="0"/>
          <w:numId w:val="18"/>
        </w:numPr>
        <w:ind w:left="1134" w:firstLine="567"/>
      </w:pPr>
      <w:r w:rsidRPr="0052619D">
        <w:t>4IR Youth Project: Preparing young people, including persons with disabilities, to participate in Fourth Industrial Revolution (4IR) sectors.</w:t>
      </w:r>
    </w:p>
    <w:p w14:paraId="5A997AF2" w14:textId="77777777" w:rsidR="00550434" w:rsidRPr="0052619D" w:rsidRDefault="00550434" w:rsidP="00FA528F">
      <w:pPr>
        <w:pStyle w:val="SingleTxtG"/>
        <w:numPr>
          <w:ilvl w:val="0"/>
          <w:numId w:val="18"/>
        </w:numPr>
        <w:ind w:left="1134" w:firstLine="567"/>
      </w:pPr>
      <w:r w:rsidRPr="0052619D">
        <w:t>Creative Industries Empowerment: Government hosted an empowerment session with the albinism sector and artists with disabilities, connecting them with funding opportunities in the arts and creative industries.</w:t>
      </w:r>
    </w:p>
    <w:p w14:paraId="41AAC534" w14:textId="4FC7D080" w:rsidR="00550434" w:rsidRPr="0052619D" w:rsidRDefault="00550434" w:rsidP="00D17336">
      <w:pPr>
        <w:pStyle w:val="SingleTxtG"/>
        <w:numPr>
          <w:ilvl w:val="0"/>
          <w:numId w:val="28"/>
        </w:numPr>
        <w:ind w:left="1134" w:firstLine="0"/>
      </w:pPr>
      <w:r w:rsidRPr="0052619D">
        <w:t>Monitoring and Accountability: Government monitoring mechanisms provide focus and opportunities for corrective actions to achieve targets such as the 7% procurement spend for businesses owned by persons with disabilities, strengthening disability-responsive planning and budgeting, ensuring that departments actively incorporate economic inclusion measures into their programs.</w:t>
      </w:r>
    </w:p>
    <w:p w14:paraId="1E4CC6B4" w14:textId="71CE6955" w:rsidR="00550434" w:rsidRPr="0052619D" w:rsidRDefault="00550434" w:rsidP="00D17336">
      <w:pPr>
        <w:pStyle w:val="SingleTxtG"/>
        <w:numPr>
          <w:ilvl w:val="0"/>
          <w:numId w:val="28"/>
        </w:numPr>
        <w:ind w:left="1134" w:firstLine="0"/>
      </w:pPr>
      <w:r w:rsidRPr="0052619D">
        <w:t xml:space="preserve">Awareness raising: Government interventions like the Summit on Economic Empowerment for Persons with Disabilities held in 2022 provide important platforms for </w:t>
      </w:r>
      <w:r w:rsidRPr="0052619D">
        <w:lastRenderedPageBreak/>
        <w:t>engagement, sharing of practice, trends and opportunities to introduce innovation measures in support of economic empowerment and inclusion.  Government will continue to provide such platforms with social partners to strengthen its own efforts, that of business and increase awareness.</w:t>
      </w:r>
    </w:p>
    <w:p w14:paraId="12973A27" w14:textId="5ED21930" w:rsidR="00550434" w:rsidRPr="0052619D" w:rsidRDefault="004661C2" w:rsidP="004661C2">
      <w:pPr>
        <w:pStyle w:val="H1G"/>
      </w:pPr>
      <w:r>
        <w:tab/>
      </w:r>
      <w:r>
        <w:tab/>
        <w:t>Article 29</w:t>
      </w:r>
      <w:r>
        <w:br/>
      </w:r>
      <w:r w:rsidR="00550434" w:rsidRPr="0052619D">
        <w:t>Participation</w:t>
      </w:r>
      <w:r w:rsidR="00550434" w:rsidRPr="0052619D">
        <w:rPr>
          <w:spacing w:val="-5"/>
        </w:rPr>
        <w:t xml:space="preserve"> </w:t>
      </w:r>
      <w:r w:rsidR="00550434" w:rsidRPr="0052619D">
        <w:t>in</w:t>
      </w:r>
      <w:r w:rsidR="00550434" w:rsidRPr="0052619D">
        <w:rPr>
          <w:spacing w:val="-5"/>
        </w:rPr>
        <w:t xml:space="preserve"> </w:t>
      </w:r>
      <w:r w:rsidR="00550434" w:rsidRPr="0052619D">
        <w:t>political</w:t>
      </w:r>
      <w:r w:rsidR="00550434" w:rsidRPr="0052619D">
        <w:rPr>
          <w:spacing w:val="-5"/>
        </w:rPr>
        <w:t xml:space="preserve"> </w:t>
      </w:r>
      <w:r w:rsidR="00550434" w:rsidRPr="0052619D">
        <w:t>and</w:t>
      </w:r>
      <w:r w:rsidR="00550434" w:rsidRPr="0052619D">
        <w:rPr>
          <w:spacing w:val="-5"/>
        </w:rPr>
        <w:t xml:space="preserve"> </w:t>
      </w:r>
      <w:r w:rsidR="00550434" w:rsidRPr="0052619D">
        <w:t>public</w:t>
      </w:r>
      <w:r w:rsidR="00550434" w:rsidRPr="0052619D">
        <w:rPr>
          <w:spacing w:val="-4"/>
        </w:rPr>
        <w:t xml:space="preserve"> </w:t>
      </w:r>
      <w:r w:rsidR="00550434" w:rsidRPr="0052619D">
        <w:t>life</w:t>
      </w:r>
    </w:p>
    <w:p w14:paraId="4E9EB626" w14:textId="07675CF9" w:rsidR="00550434" w:rsidRPr="0052619D" w:rsidRDefault="004661C2" w:rsidP="004661C2">
      <w:pPr>
        <w:pStyle w:val="H23G"/>
      </w:pPr>
      <w:r>
        <w:tab/>
      </w:r>
      <w:r>
        <w:tab/>
      </w:r>
      <w:r w:rsidR="00550434" w:rsidRPr="0052619D">
        <w:t xml:space="preserve">Reply to 31. </w:t>
      </w:r>
    </w:p>
    <w:p w14:paraId="613FDEF7" w14:textId="4E7B5B62" w:rsidR="00550434" w:rsidRPr="0052619D" w:rsidRDefault="00550434" w:rsidP="00D17336">
      <w:pPr>
        <w:pStyle w:val="SingleTxtG"/>
        <w:numPr>
          <w:ilvl w:val="0"/>
          <w:numId w:val="28"/>
        </w:numPr>
        <w:ind w:left="1134" w:firstLine="0"/>
      </w:pPr>
      <w:r w:rsidRPr="0052619D">
        <w:t>The rights to participation, freedom of expression and association are guaranteed in the Constitution of the Republic of South Africa or all persons inclusive of persons with disabilities. Judgements by the Constitutional Court have reinforced the right of independent candidates including persons with disabilities to be elected to Parliament without necessarily belonging to a political party. The Electoral Act of 1998 was amended after constitutional challenges</w:t>
      </w:r>
      <w:r w:rsidRPr="0052619D">
        <w:rPr>
          <w:rStyle w:val="FootnoteReference"/>
          <w:color w:val="000000" w:themeColor="text1"/>
        </w:rPr>
        <w:footnoteReference w:id="5"/>
      </w:r>
      <w:r w:rsidRPr="0052619D">
        <w:t xml:space="preserve">  Independent candidates including persons with disabilities, can now be elected to the National Assembly and Provincial Legislatures. </w:t>
      </w:r>
    </w:p>
    <w:p w14:paraId="0C57AD52" w14:textId="4C4725B7" w:rsidR="00550434" w:rsidRPr="0052619D" w:rsidRDefault="00550434" w:rsidP="00D17336">
      <w:pPr>
        <w:pStyle w:val="SingleTxtG"/>
        <w:numPr>
          <w:ilvl w:val="0"/>
          <w:numId w:val="28"/>
        </w:numPr>
        <w:ind w:left="1134" w:firstLine="0"/>
      </w:pPr>
      <w:r w:rsidRPr="0052619D">
        <w:t>Measures to promote participation of persons with disabilities in the national and provincial elections by the Independent Electoral Commission (IEC) included:</w:t>
      </w:r>
    </w:p>
    <w:p w14:paraId="26432C25" w14:textId="77777777" w:rsidR="00550434" w:rsidRPr="0052619D" w:rsidRDefault="00550434" w:rsidP="00FA528F">
      <w:pPr>
        <w:pStyle w:val="SingleTxtG"/>
        <w:numPr>
          <w:ilvl w:val="0"/>
          <w:numId w:val="19"/>
        </w:numPr>
        <w:ind w:left="1134" w:firstLine="567"/>
      </w:pPr>
      <w:r w:rsidRPr="0052619D">
        <w:t xml:space="preserve">Extensive consultations and partnerships with organisations and advocacy groups representing people with disabilities to increase awareness, accessibility and inclusion. </w:t>
      </w:r>
    </w:p>
    <w:p w14:paraId="7A015836" w14:textId="77777777" w:rsidR="00550434" w:rsidRPr="0052619D" w:rsidRDefault="00550434" w:rsidP="00FA528F">
      <w:pPr>
        <w:pStyle w:val="SingleTxtG"/>
        <w:numPr>
          <w:ilvl w:val="0"/>
          <w:numId w:val="19"/>
        </w:numPr>
        <w:ind w:left="1134" w:firstLine="567"/>
        <w:rPr>
          <w:bCs/>
        </w:rPr>
      </w:pPr>
      <w:r w:rsidRPr="0052619D">
        <w:t xml:space="preserve">The IEC converted and distributed of key voter education factsheets for NPE2024, produced </w:t>
      </w:r>
      <w:r w:rsidRPr="0052619D">
        <w:rPr>
          <w:bCs/>
        </w:rPr>
        <w:t>several animation videos based on the election factsheets with voice overs for the blind and word captions in the pre-election phase to heighten awareness and support independent voting.</w:t>
      </w:r>
    </w:p>
    <w:p w14:paraId="20A2087B" w14:textId="77777777" w:rsidR="00550434" w:rsidRPr="0052619D" w:rsidRDefault="00550434" w:rsidP="00FA528F">
      <w:pPr>
        <w:pStyle w:val="SingleTxtG"/>
        <w:numPr>
          <w:ilvl w:val="0"/>
          <w:numId w:val="19"/>
        </w:numPr>
        <w:ind w:left="1134" w:firstLine="567"/>
      </w:pPr>
      <w:r w:rsidRPr="0052619D">
        <w:rPr>
          <w:bCs/>
        </w:rPr>
        <w:t xml:space="preserve">At voting stations, trained IEC personnel were deployed to remote locations to raise awareness and to assist community voters cast special votes. </w:t>
      </w:r>
      <w:r w:rsidRPr="0052619D">
        <w:t xml:space="preserve">In addition, </w:t>
      </w:r>
      <w:r w:rsidRPr="0052619D">
        <w:rPr>
          <w:bCs/>
        </w:rPr>
        <w:t xml:space="preserve">several options for eligible voters to apply for special votes, including SMS, online applications (website which is disability friendly), as well as proxy submissions were provided. </w:t>
      </w:r>
      <w:r w:rsidRPr="0052619D">
        <w:rPr>
          <w:lang w:eastAsia="en-ZA"/>
        </w:rPr>
        <w:t>Voters with disabilities were able to cast their votes with the support of their third party if they so requested without monitoring by political parties.</w:t>
      </w:r>
    </w:p>
    <w:p w14:paraId="032C09B7" w14:textId="77777777" w:rsidR="00550434" w:rsidRPr="0052619D" w:rsidRDefault="00550434" w:rsidP="00FA528F">
      <w:pPr>
        <w:pStyle w:val="SingleTxtG"/>
        <w:numPr>
          <w:ilvl w:val="0"/>
          <w:numId w:val="19"/>
        </w:numPr>
        <w:ind w:left="1134" w:firstLine="567"/>
      </w:pPr>
      <w:r w:rsidRPr="0052619D">
        <w:t xml:space="preserve">The developing of the Universal Ballot Template (UBT) assisted persons with disabilities and special needs, particularly the partially sighted and blind, to support independent and secret vote during the elections.  Training events by representatives of the blind sector to sensitise electoral staff about the UBT and assistance to be provided at the voting stations.  </w:t>
      </w:r>
    </w:p>
    <w:p w14:paraId="4B7D5958" w14:textId="77777777" w:rsidR="00550434" w:rsidRPr="0052619D" w:rsidRDefault="00550434" w:rsidP="00FA528F">
      <w:pPr>
        <w:pStyle w:val="SingleTxtG"/>
        <w:numPr>
          <w:ilvl w:val="0"/>
          <w:numId w:val="19"/>
        </w:numPr>
        <w:ind w:left="1134" w:firstLine="567"/>
      </w:pPr>
      <w:r w:rsidRPr="0052619D">
        <w:t xml:space="preserve">Targeted voter education campaigns for persons with disabilities included voter education, assistance and registration in communities across the country, specifically supporting persons with disabilities. Voter Election education was also undertaken at institutions and schools for people with disabilities. Mass media campaigns were conducted to educate and disseminate crucial election information including special votes were undertaken through social media, national and community radio stations, television, and online to ensure information was accessible and widely disseminated. Voter education animation videos are subtitled for the deaf, and our voter education materials have been converted to audio for the blind. Specific focus was given to the double column ballot paper and the UBT. </w:t>
      </w:r>
    </w:p>
    <w:p w14:paraId="22D950BA" w14:textId="77777777" w:rsidR="00550434" w:rsidRPr="0052619D" w:rsidRDefault="00550434" w:rsidP="00FA528F">
      <w:pPr>
        <w:pStyle w:val="SingleTxtG"/>
        <w:numPr>
          <w:ilvl w:val="0"/>
          <w:numId w:val="19"/>
        </w:numPr>
        <w:ind w:left="1134" w:firstLine="567"/>
        <w:rPr>
          <w:strike/>
        </w:rPr>
      </w:pPr>
      <w:r w:rsidRPr="0052619D">
        <w:t xml:space="preserve">Train the trainer sessions and internal capacity building for IEC conducted in partnership with DPOs were particularly effective. </w:t>
      </w:r>
    </w:p>
    <w:p w14:paraId="7CAC8540" w14:textId="354344BD" w:rsidR="00550434" w:rsidRPr="0052619D" w:rsidRDefault="004661C2" w:rsidP="004661C2">
      <w:pPr>
        <w:pStyle w:val="H1G"/>
        <w:ind w:firstLine="0"/>
      </w:pPr>
      <w:r>
        <w:lastRenderedPageBreak/>
        <w:t>Article 30</w:t>
      </w:r>
      <w:r>
        <w:br/>
      </w:r>
      <w:r w:rsidR="00550434" w:rsidRPr="0052619D">
        <w:t>Participation</w:t>
      </w:r>
      <w:r w:rsidR="00550434" w:rsidRPr="0052619D">
        <w:rPr>
          <w:spacing w:val="-6"/>
        </w:rPr>
        <w:t xml:space="preserve"> </w:t>
      </w:r>
      <w:r w:rsidR="00550434" w:rsidRPr="0052619D">
        <w:t>in</w:t>
      </w:r>
      <w:r w:rsidR="00550434" w:rsidRPr="0052619D">
        <w:rPr>
          <w:spacing w:val="-6"/>
        </w:rPr>
        <w:t xml:space="preserve"> </w:t>
      </w:r>
      <w:r w:rsidR="00550434" w:rsidRPr="0052619D">
        <w:t>cultural</w:t>
      </w:r>
      <w:r w:rsidR="00550434" w:rsidRPr="0052619D">
        <w:rPr>
          <w:spacing w:val="-5"/>
        </w:rPr>
        <w:t xml:space="preserve"> </w:t>
      </w:r>
      <w:r w:rsidR="00550434" w:rsidRPr="0052619D">
        <w:t>life,</w:t>
      </w:r>
      <w:r w:rsidR="00550434" w:rsidRPr="0052619D">
        <w:rPr>
          <w:spacing w:val="-4"/>
        </w:rPr>
        <w:t xml:space="preserve"> </w:t>
      </w:r>
      <w:r w:rsidR="00550434" w:rsidRPr="0052619D">
        <w:t>recreation,</w:t>
      </w:r>
      <w:r w:rsidR="00550434" w:rsidRPr="0052619D">
        <w:rPr>
          <w:spacing w:val="-5"/>
        </w:rPr>
        <w:t xml:space="preserve"> </w:t>
      </w:r>
      <w:r w:rsidR="00550434" w:rsidRPr="0052619D">
        <w:t>leisure</w:t>
      </w:r>
      <w:r w:rsidR="00550434" w:rsidRPr="0052619D">
        <w:rPr>
          <w:spacing w:val="-5"/>
        </w:rPr>
        <w:t xml:space="preserve"> </w:t>
      </w:r>
      <w:r w:rsidR="00550434" w:rsidRPr="0052619D">
        <w:t>and</w:t>
      </w:r>
      <w:r w:rsidR="00550434" w:rsidRPr="0052619D">
        <w:rPr>
          <w:spacing w:val="-5"/>
        </w:rPr>
        <w:t xml:space="preserve"> </w:t>
      </w:r>
      <w:r w:rsidR="00550434" w:rsidRPr="0052619D">
        <w:t>sport</w:t>
      </w:r>
    </w:p>
    <w:p w14:paraId="0180E3F6" w14:textId="32E92C34" w:rsidR="00550434" w:rsidRPr="0052619D" w:rsidRDefault="004661C2" w:rsidP="004661C2">
      <w:pPr>
        <w:pStyle w:val="H23G"/>
      </w:pPr>
      <w:bookmarkStart w:id="34" w:name="_Hlk192143634"/>
      <w:r>
        <w:tab/>
      </w:r>
      <w:r>
        <w:tab/>
      </w:r>
      <w:r w:rsidR="00550434" w:rsidRPr="0052619D">
        <w:t xml:space="preserve">Reply to 32. </w:t>
      </w:r>
      <w:bookmarkEnd w:id="34"/>
    </w:p>
    <w:p w14:paraId="09B6C263" w14:textId="07313D01" w:rsidR="00550434" w:rsidRPr="0052619D" w:rsidRDefault="00550434" w:rsidP="00D17336">
      <w:pPr>
        <w:pStyle w:val="SingleTxtG"/>
        <w:numPr>
          <w:ilvl w:val="0"/>
          <w:numId w:val="28"/>
        </w:numPr>
        <w:ind w:left="1134" w:firstLine="0"/>
      </w:pPr>
      <w:r w:rsidRPr="0052619D">
        <w:t xml:space="preserve">The DSAC is committed to ensuring the full participation of persons with disabilities in sport, recreation, and cultural life. School sport programmes include priority sporting codes such as Goalball (for visually impaired learners), Wheelchair Basketball, and Athletics (SASA-II), among others. </w:t>
      </w:r>
    </w:p>
    <w:p w14:paraId="57EA63AD" w14:textId="71091541" w:rsidR="00550434" w:rsidRPr="0052619D" w:rsidRDefault="00550434" w:rsidP="00D17336">
      <w:pPr>
        <w:pStyle w:val="SingleTxtG"/>
        <w:numPr>
          <w:ilvl w:val="0"/>
          <w:numId w:val="28"/>
        </w:numPr>
        <w:ind w:left="1134" w:firstLine="0"/>
      </w:pPr>
      <w:r w:rsidRPr="0052619D">
        <w:t>At the community level, inclusive leagues provide opportunities in sports such as deaf football, blind cricket, and para-table tennis. Funding is allocated annually to disability-focused sports federations and require event applications to demonstrate disability inclusion. Additionally, municipalities and public entities must comply with accessibility regulations when developing sports infrastructure. The State Party has produced excellent Paralympians despite its small team.</w:t>
      </w:r>
    </w:p>
    <w:p w14:paraId="2AB1243D" w14:textId="0894F6B4" w:rsidR="00550434" w:rsidRPr="0052619D" w:rsidRDefault="00550434" w:rsidP="00D17336">
      <w:pPr>
        <w:pStyle w:val="SingleTxtG"/>
        <w:numPr>
          <w:ilvl w:val="0"/>
          <w:numId w:val="28"/>
        </w:numPr>
        <w:ind w:left="1134" w:firstLine="0"/>
      </w:pPr>
      <w:r w:rsidRPr="0052619D">
        <w:t>In the cultural and creative industries, the ‘We Can Arts Festival’ has expanded to include skills development and masterclasses for artists with disabilities, reaching 200 beneficiaries annually. The festival also partners with Mzansi Magic to promote visibility. Furthermore, an open-call system prioritises submissions from artists with disabilities to enhance participation. Government provided special relief packages to artists, many of whom lost income during COVID-19.</w:t>
      </w:r>
    </w:p>
    <w:p w14:paraId="5AFAA31D" w14:textId="2724B48A" w:rsidR="00550434" w:rsidRPr="0052619D" w:rsidRDefault="00550434" w:rsidP="00D17336">
      <w:pPr>
        <w:pStyle w:val="SingleTxtG"/>
        <w:numPr>
          <w:ilvl w:val="0"/>
          <w:numId w:val="28"/>
        </w:numPr>
        <w:ind w:left="1134" w:firstLine="0"/>
      </w:pPr>
      <w:r w:rsidRPr="0052619D">
        <w:t>Steps have also been taken to provide accessible ablution facilities and accessible public recreation areas such as beaches.</w:t>
      </w:r>
    </w:p>
    <w:p w14:paraId="183A07C2" w14:textId="5BFA1F80" w:rsidR="00550434" w:rsidRPr="0052619D" w:rsidRDefault="00550434" w:rsidP="00D17336">
      <w:pPr>
        <w:pStyle w:val="SingleTxtG"/>
        <w:numPr>
          <w:ilvl w:val="0"/>
          <w:numId w:val="28"/>
        </w:numPr>
        <w:ind w:left="1134" w:firstLine="0"/>
      </w:pPr>
      <w:r w:rsidRPr="0052619D">
        <w:t>To improve access to information, government has invested in human language technology projects, such as a digital SASL interpreter system and an online SASL dictionary. Through the Community Library Services Conditional Grant, support has been provided to libraries for the blind and visually impaired, ensuring accessible facilities, including ramps, designated parking, and assistive technology. These initiatives reflect the ongoing commitment to fostering an inclusive society.</w:t>
      </w:r>
    </w:p>
    <w:p w14:paraId="45F6E88A" w14:textId="42693B71" w:rsidR="00550434" w:rsidRPr="0052619D" w:rsidRDefault="004661C2" w:rsidP="004661C2">
      <w:pPr>
        <w:pStyle w:val="H23G"/>
      </w:pPr>
      <w:r>
        <w:tab/>
      </w:r>
      <w:r>
        <w:tab/>
      </w:r>
      <w:r w:rsidR="00550434" w:rsidRPr="0052619D">
        <w:t xml:space="preserve">Reply to 33. </w:t>
      </w:r>
    </w:p>
    <w:p w14:paraId="423AA1DC" w14:textId="61B7EE63" w:rsidR="00550434" w:rsidRPr="0052619D" w:rsidRDefault="00550434" w:rsidP="00D17336">
      <w:pPr>
        <w:pStyle w:val="SingleTxtG"/>
        <w:numPr>
          <w:ilvl w:val="0"/>
          <w:numId w:val="28"/>
        </w:numPr>
        <w:ind w:left="1134" w:firstLine="0"/>
      </w:pPr>
      <w:r w:rsidRPr="0052619D">
        <w:t>The State Party continues domestic deliberations to assess concerns regarding proprietary rights potentially impacted by the ratification of the Marrakesh Treaty.</w:t>
      </w:r>
    </w:p>
    <w:p w14:paraId="2FA081AD" w14:textId="22488009" w:rsidR="00550434" w:rsidRPr="0052619D" w:rsidRDefault="004661C2" w:rsidP="004661C2">
      <w:pPr>
        <w:pStyle w:val="HChG"/>
      </w:pPr>
      <w:bookmarkStart w:id="35" w:name="C._Specific_obligations_(arts._31–33)"/>
      <w:bookmarkEnd w:id="35"/>
      <w:r>
        <w:tab/>
      </w:r>
      <w:r w:rsidR="00550434" w:rsidRPr="0052619D">
        <w:t>C.</w:t>
      </w:r>
      <w:bookmarkStart w:id="36" w:name="Statistics_and_data_collection_(art._31)"/>
      <w:bookmarkEnd w:id="36"/>
      <w:r>
        <w:tab/>
      </w:r>
      <w:r w:rsidR="00550434" w:rsidRPr="0052619D">
        <w:t>Statistics</w:t>
      </w:r>
      <w:r w:rsidR="00550434" w:rsidRPr="0052619D">
        <w:rPr>
          <w:spacing w:val="-6"/>
        </w:rPr>
        <w:t xml:space="preserve"> </w:t>
      </w:r>
      <w:r w:rsidR="00550434" w:rsidRPr="0052619D">
        <w:t>and</w:t>
      </w:r>
      <w:r w:rsidR="00550434" w:rsidRPr="0052619D">
        <w:rPr>
          <w:spacing w:val="-5"/>
        </w:rPr>
        <w:t xml:space="preserve"> </w:t>
      </w:r>
      <w:r w:rsidR="00550434" w:rsidRPr="0052619D">
        <w:t>data</w:t>
      </w:r>
      <w:r w:rsidR="00550434" w:rsidRPr="0052619D">
        <w:rPr>
          <w:spacing w:val="-3"/>
        </w:rPr>
        <w:t xml:space="preserve"> </w:t>
      </w:r>
      <w:r w:rsidR="00550434" w:rsidRPr="0052619D">
        <w:t>collection</w:t>
      </w:r>
      <w:r w:rsidR="00550434" w:rsidRPr="0052619D">
        <w:rPr>
          <w:spacing w:val="-5"/>
        </w:rPr>
        <w:t xml:space="preserve"> </w:t>
      </w:r>
      <w:r w:rsidR="00550434" w:rsidRPr="0052619D">
        <w:t>(art.</w:t>
      </w:r>
      <w:r w:rsidR="00550434" w:rsidRPr="0052619D">
        <w:rPr>
          <w:spacing w:val="-6"/>
        </w:rPr>
        <w:t xml:space="preserve"> </w:t>
      </w:r>
      <w:r w:rsidR="00550434" w:rsidRPr="0052619D">
        <w:rPr>
          <w:spacing w:val="-5"/>
        </w:rPr>
        <w:t>31)</w:t>
      </w:r>
    </w:p>
    <w:p w14:paraId="3B9BA1F7" w14:textId="1AB55657" w:rsidR="00550434" w:rsidRPr="0052619D" w:rsidRDefault="008B0DE5" w:rsidP="008B0DE5">
      <w:pPr>
        <w:pStyle w:val="H23G"/>
      </w:pPr>
      <w:r>
        <w:tab/>
      </w:r>
      <w:r>
        <w:tab/>
      </w:r>
      <w:r w:rsidR="00550434" w:rsidRPr="0052619D">
        <w:t xml:space="preserve">Reply to 34(a) </w:t>
      </w:r>
    </w:p>
    <w:p w14:paraId="32DD7E94" w14:textId="52CB80C7" w:rsidR="00550434" w:rsidRPr="0052619D" w:rsidRDefault="00550434" w:rsidP="00D17336">
      <w:pPr>
        <w:pStyle w:val="SingleTxtG"/>
        <w:numPr>
          <w:ilvl w:val="0"/>
          <w:numId w:val="28"/>
        </w:numPr>
        <w:ind w:left="1134" w:firstLine="0"/>
      </w:pPr>
      <w:r w:rsidRPr="0052619D">
        <w:t xml:space="preserve">The NDSAG, has primarily focussed on the standardisation of disability definitions across administrative datasets. Research in this regard, in collaboration with Stats SA was delayed on account of COVID-19 and national elections, but the Research Study Report is nearing completion. </w:t>
      </w:r>
    </w:p>
    <w:p w14:paraId="1ECD67E7" w14:textId="502456B4" w:rsidR="00550434" w:rsidRPr="0052619D" w:rsidRDefault="00550434" w:rsidP="00D17336">
      <w:pPr>
        <w:pStyle w:val="SingleTxtG"/>
        <w:numPr>
          <w:ilvl w:val="0"/>
          <w:numId w:val="28"/>
        </w:numPr>
        <w:ind w:left="1134" w:firstLine="0"/>
      </w:pPr>
      <w:r w:rsidRPr="0052619D">
        <w:t xml:space="preserve">The NDSAG has supported several programs, including inputs on the Census 2022 Disability Data Report (CDDR). </w:t>
      </w:r>
    </w:p>
    <w:p w14:paraId="2E97C0E2" w14:textId="7DBBC020" w:rsidR="00550434" w:rsidRPr="0052619D" w:rsidRDefault="00550434" w:rsidP="00D17336">
      <w:pPr>
        <w:pStyle w:val="SingleTxtG"/>
        <w:numPr>
          <w:ilvl w:val="0"/>
          <w:numId w:val="28"/>
        </w:numPr>
        <w:ind w:left="1134" w:firstLine="0"/>
      </w:pPr>
      <w:r w:rsidRPr="0052619D">
        <w:t>In addition, the NDSAG has contributed to and supported several data reports including: the Research Study Report on Standardising Disability Data (close to completion), CDDR 2022  – Disaggregated statistics on disability prevalence, socio-economic conditions, and regional disparities, Stats SA Annual Disability Reports – Tracking disability inclusion indicators across different national surveys, and Household Surveys on Disability and Socio-Economic Status – Assessing poverty, employment, and education among persons with disabilities.</w:t>
      </w:r>
    </w:p>
    <w:p w14:paraId="44E090C3" w14:textId="1A9E6132" w:rsidR="00550434" w:rsidRPr="0052619D" w:rsidRDefault="0018381E" w:rsidP="0018381E">
      <w:pPr>
        <w:pStyle w:val="H23G"/>
      </w:pPr>
      <w:r>
        <w:tab/>
      </w:r>
      <w:r>
        <w:tab/>
      </w:r>
      <w:r w:rsidR="00550434" w:rsidRPr="0052619D">
        <w:t xml:space="preserve">Reply to 34(b) </w:t>
      </w:r>
    </w:p>
    <w:p w14:paraId="06BC7EE3" w14:textId="1270DAA4" w:rsidR="00550434" w:rsidRPr="0052619D" w:rsidRDefault="00550434" w:rsidP="00D17336">
      <w:pPr>
        <w:pStyle w:val="SingleTxtG"/>
        <w:numPr>
          <w:ilvl w:val="0"/>
          <w:numId w:val="28"/>
        </w:numPr>
        <w:ind w:left="1134" w:firstLine="0"/>
      </w:pPr>
      <w:r w:rsidRPr="0052619D">
        <w:t>Cabinet endorsed government-wide disaggregation of data sets by disability, gender and age in 2017. Efforts to standardise the measure of disability for adoption administration-</w:t>
      </w:r>
      <w:r w:rsidRPr="0052619D">
        <w:lastRenderedPageBreak/>
        <w:t xml:space="preserve">wide commenced but was interrupted during the COIVD-19 period. The MTSF (2019-2024) and the MTDP (2024-2029) requires all departments to disaggregate data in terms of persons with disabilities. The Department of Performance Monitoring and Evaluation indicators are accordingly framed to address data disaggregation for monitoring performance and planning. includes. In addition, a disability-specific survey before the next Census to address undercounting and improve data granularity is planned. </w:t>
      </w:r>
    </w:p>
    <w:p w14:paraId="5F4CD8BD" w14:textId="279C999E" w:rsidR="00550434" w:rsidRPr="0052619D" w:rsidRDefault="00550434" w:rsidP="00D17336">
      <w:pPr>
        <w:pStyle w:val="SingleTxtG"/>
        <w:numPr>
          <w:ilvl w:val="0"/>
          <w:numId w:val="28"/>
        </w:numPr>
        <w:ind w:left="1134" w:firstLine="0"/>
      </w:pPr>
      <w:r w:rsidRPr="0052619D">
        <w:t>Guided by international standards, government premised its census data methodology on the Washington Short Set of Questions.  The Census 2022 followed rigorous quality control measures, including a Post Enumeration Survey (PES).  Data is collected electronically, anonymized, and stored securely, with access controlled by authorisation levels.  Legislative frameworks protecting the rights to access information and protection of personal information are adhered to for data security and privacy.</w:t>
      </w:r>
    </w:p>
    <w:p w14:paraId="4ED1B87F" w14:textId="6C45F774" w:rsidR="00550434" w:rsidRPr="0052619D" w:rsidRDefault="00550434" w:rsidP="00D17336">
      <w:pPr>
        <w:pStyle w:val="SingleTxtG"/>
        <w:numPr>
          <w:ilvl w:val="0"/>
          <w:numId w:val="28"/>
        </w:numPr>
        <w:ind w:left="1134" w:firstLine="0"/>
      </w:pPr>
      <w:r w:rsidRPr="0052619D">
        <w:t>Data from the Census is disseminated in phases, with interactive tools on the StatsSA website for tailored information needs and public access.  Reports and information are in addition developed to specific needs on request at various platforms and discussions. Public bodies use the data for planning and budgeting.  Future reforms, including a comprehensive disability survey, will enhance data-driven planning for inclusivity, equality, and dissemination.</w:t>
      </w:r>
    </w:p>
    <w:p w14:paraId="30AE7D7E" w14:textId="567E38B0" w:rsidR="00550434" w:rsidRPr="0052619D" w:rsidRDefault="0018381E" w:rsidP="0018381E">
      <w:pPr>
        <w:pStyle w:val="H23G"/>
      </w:pPr>
      <w:r>
        <w:tab/>
      </w:r>
      <w:r>
        <w:tab/>
      </w:r>
      <w:r w:rsidR="00550434" w:rsidRPr="0052619D">
        <w:t>Reply to 30(c)</w:t>
      </w:r>
    </w:p>
    <w:p w14:paraId="79A52D7B" w14:textId="0F6D42BD" w:rsidR="00550434" w:rsidRPr="0052619D" w:rsidRDefault="00550434" w:rsidP="00D17336">
      <w:pPr>
        <w:pStyle w:val="SingleTxtG"/>
        <w:numPr>
          <w:ilvl w:val="0"/>
          <w:numId w:val="28"/>
        </w:numPr>
        <w:ind w:left="1134" w:firstLine="0"/>
      </w:pPr>
      <w:r w:rsidRPr="0052619D">
        <w:t>The Disability Advisory Committee (DAC), representing the disability sector convened by StatsSA, meets biannually to provide input on data collection and accessibility.  Consultations with disability organisations are integrated into all stages of research and reporting.  Key departments, like the DBE, hold regular meetings with disability stakeholders to address issues in education.</w:t>
      </w:r>
    </w:p>
    <w:p w14:paraId="25BAB987" w14:textId="44BA487C" w:rsidR="00550434" w:rsidRPr="0052619D" w:rsidRDefault="00550434" w:rsidP="00D17336">
      <w:pPr>
        <w:pStyle w:val="SingleTxtG"/>
        <w:numPr>
          <w:ilvl w:val="0"/>
          <w:numId w:val="28"/>
        </w:numPr>
        <w:ind w:left="1134" w:firstLine="0"/>
      </w:pPr>
      <w:r w:rsidRPr="0052619D">
        <w:t>Government applies combined methodologies through multi-modal data collection strategies to ensure inclusive, accurate data collection.  By way of example, trained fieldworkers conducted face to face interviews; online questionnaires and telephonic interviews utilizing computer assisted personal, web and telephonic programs (CAPI, CAWI and CATI) were also available to provide multiple access avenues, ensure inclusivity and accuracy of data collected during the Census in 2022.</w:t>
      </w:r>
    </w:p>
    <w:p w14:paraId="5CB4FECE" w14:textId="2B96BDD8" w:rsidR="00550434" w:rsidRPr="0052619D" w:rsidRDefault="00550434" w:rsidP="00D17336">
      <w:pPr>
        <w:pStyle w:val="SingleTxtG"/>
        <w:numPr>
          <w:ilvl w:val="0"/>
          <w:numId w:val="28"/>
        </w:numPr>
        <w:ind w:left="1134" w:firstLine="0"/>
      </w:pPr>
      <w:r w:rsidRPr="0052619D">
        <w:t>The disability machinery is made aware through participation of key government activities such as the census surveys and disseminates such information to the sector.  Public calls are also issued through government communications strategies and private media for national activities such as census surveys.</w:t>
      </w:r>
    </w:p>
    <w:p w14:paraId="62676B1D" w14:textId="17ED24AB" w:rsidR="00550434" w:rsidRPr="0052619D" w:rsidRDefault="00A053D1" w:rsidP="00A053D1">
      <w:pPr>
        <w:pStyle w:val="H1G"/>
        <w:rPr>
          <w:spacing w:val="-5"/>
        </w:rPr>
      </w:pPr>
      <w:r>
        <w:tab/>
      </w:r>
      <w:r>
        <w:tab/>
        <w:t>Article 32</w:t>
      </w:r>
      <w:r>
        <w:br/>
      </w:r>
      <w:r w:rsidR="00550434" w:rsidRPr="0052619D">
        <w:t>International</w:t>
      </w:r>
      <w:r w:rsidR="00550434" w:rsidRPr="0052619D">
        <w:rPr>
          <w:spacing w:val="-9"/>
        </w:rPr>
        <w:t xml:space="preserve"> </w:t>
      </w:r>
      <w:r w:rsidR="00550434" w:rsidRPr="0052619D">
        <w:t>cooperation</w:t>
      </w:r>
    </w:p>
    <w:p w14:paraId="34852348" w14:textId="00ED05B7" w:rsidR="00550434" w:rsidRPr="0052619D" w:rsidRDefault="00A053D1" w:rsidP="00A053D1">
      <w:pPr>
        <w:pStyle w:val="H23G"/>
      </w:pPr>
      <w:r>
        <w:tab/>
      </w:r>
      <w:r>
        <w:tab/>
      </w:r>
      <w:r w:rsidR="00550434" w:rsidRPr="0052619D">
        <w:t>Reply to 35</w:t>
      </w:r>
    </w:p>
    <w:p w14:paraId="1A7FED1F" w14:textId="012B1101" w:rsidR="00550434" w:rsidRPr="0052619D" w:rsidRDefault="00550434" w:rsidP="00D17336">
      <w:pPr>
        <w:pStyle w:val="SingleTxtG"/>
        <w:numPr>
          <w:ilvl w:val="0"/>
          <w:numId w:val="28"/>
        </w:numPr>
        <w:ind w:left="1134" w:firstLine="0"/>
      </w:pPr>
      <w:r w:rsidRPr="0052619D">
        <w:t>Inclusion is prioritised in international development cooperation programs, ensuring that funding, technical assistance, and policy exchanges explicitly address the needs of vulnerable groups and include disability-focused civil society organisations.</w:t>
      </w:r>
    </w:p>
    <w:p w14:paraId="171E2F44" w14:textId="1FD1F432" w:rsidR="00550434" w:rsidRPr="0052619D" w:rsidRDefault="00550434" w:rsidP="00D17336">
      <w:pPr>
        <w:pStyle w:val="SingleTxtG"/>
        <w:numPr>
          <w:ilvl w:val="0"/>
          <w:numId w:val="28"/>
        </w:numPr>
        <w:ind w:left="1134" w:firstLine="0"/>
      </w:pPr>
      <w:r w:rsidRPr="0052619D">
        <w:t>South Africa’s response particularly in relation to the 2030 Sustainable Development Agenda and the Sustainable Development Goals (SDGs) is imbedded in inclusive, meaningful participation.  The SDG report is the result of collaboration and consultation with civil society, academics, experts, and research institutions.  DPOs actively participate in SDG monitoring and reporting through Stats SA which include stakeholder consultations on refining and localising SDG indicators; direct involvement of DPOs in report writing and validation; and in respect of data disaggregation to track the progress of persons with disabilities.</w:t>
      </w:r>
    </w:p>
    <w:p w14:paraId="5A2F1F89" w14:textId="6E96BB31" w:rsidR="00550434" w:rsidRPr="0052619D" w:rsidRDefault="00550434" w:rsidP="00D17336">
      <w:pPr>
        <w:pStyle w:val="SingleTxtG"/>
        <w:numPr>
          <w:ilvl w:val="0"/>
          <w:numId w:val="28"/>
        </w:numPr>
        <w:ind w:left="1134" w:firstLine="0"/>
      </w:pPr>
      <w:r w:rsidRPr="0052619D">
        <w:t xml:space="preserve">Beyond the SDG report, disability rights in international cooperation agreements are mainstreamed to ensure inclusive participation, accessibility and economic opportunities for </w:t>
      </w:r>
      <w:r w:rsidRPr="0052619D">
        <w:lastRenderedPageBreak/>
        <w:t xml:space="preserve">persons with disabilities as is evidenced in the African Continental Free Trade Area (AfCFTA) Trade Protocol. </w:t>
      </w:r>
    </w:p>
    <w:p w14:paraId="257E3B7B" w14:textId="0A974113" w:rsidR="00550434" w:rsidRPr="0052619D" w:rsidRDefault="00550434" w:rsidP="00D17336">
      <w:pPr>
        <w:pStyle w:val="SingleTxtG"/>
        <w:numPr>
          <w:ilvl w:val="0"/>
          <w:numId w:val="28"/>
        </w:numPr>
        <w:ind w:left="1134" w:firstLine="0"/>
      </w:pPr>
      <w:r w:rsidRPr="0052619D">
        <w:t>Similarly, bilateral and multilateral engagements include disability considerations in policy negotiations, capacity-building initiatives, and trade agreements. The sector played a significant role contributing to South Africa’s ratification of the African Union Protocol on the Rights of Persons with Disabilities in May 2023.</w:t>
      </w:r>
    </w:p>
    <w:p w14:paraId="40A5A3AE" w14:textId="35D23B4B" w:rsidR="00550434" w:rsidRPr="0052619D" w:rsidRDefault="00550434" w:rsidP="00D17336">
      <w:pPr>
        <w:pStyle w:val="SingleTxtG"/>
        <w:numPr>
          <w:ilvl w:val="0"/>
          <w:numId w:val="28"/>
        </w:numPr>
        <w:ind w:left="1134" w:firstLine="0"/>
      </w:pPr>
      <w:r w:rsidRPr="0052619D">
        <w:t xml:space="preserve">The JICA collaboration is an example of participation and representation by persons with disabilities in international programs. </w:t>
      </w:r>
    </w:p>
    <w:p w14:paraId="6751DD91" w14:textId="5E11E884" w:rsidR="00550434" w:rsidRPr="0052619D" w:rsidRDefault="00550434" w:rsidP="00D17336">
      <w:pPr>
        <w:pStyle w:val="SingleTxtG"/>
        <w:numPr>
          <w:ilvl w:val="0"/>
          <w:numId w:val="28"/>
        </w:numPr>
        <w:ind w:left="1134" w:firstLine="0"/>
      </w:pPr>
      <w:r w:rsidRPr="0052619D">
        <w:t>Representation in the upcoming WHO African Regional Multi-Stakeholder's Consultation on the Fourth UN High-Level Meeting on NCDs in 2025 is a further example of inclusion in key regional and international fora. </w:t>
      </w:r>
    </w:p>
    <w:p w14:paraId="0CBB8FBF" w14:textId="28D366DD" w:rsidR="00550434" w:rsidRPr="0052619D" w:rsidRDefault="00BA751D" w:rsidP="00A053D1">
      <w:pPr>
        <w:pStyle w:val="H1G"/>
      </w:pPr>
      <w:r>
        <w:tab/>
      </w:r>
      <w:r>
        <w:tab/>
        <w:t>Article 33</w:t>
      </w:r>
      <w:r>
        <w:br/>
      </w:r>
      <w:r w:rsidR="00550434" w:rsidRPr="0052619D">
        <w:t>National</w:t>
      </w:r>
      <w:r w:rsidR="00550434" w:rsidRPr="0052619D">
        <w:rPr>
          <w:spacing w:val="-8"/>
        </w:rPr>
        <w:t xml:space="preserve"> </w:t>
      </w:r>
      <w:r w:rsidR="00550434" w:rsidRPr="0052619D">
        <w:t>implementation</w:t>
      </w:r>
      <w:r w:rsidR="00550434" w:rsidRPr="0052619D">
        <w:rPr>
          <w:spacing w:val="-8"/>
        </w:rPr>
        <w:t xml:space="preserve"> </w:t>
      </w:r>
      <w:r w:rsidR="00550434" w:rsidRPr="0052619D">
        <w:t>and</w:t>
      </w:r>
      <w:r w:rsidR="00550434" w:rsidRPr="0052619D">
        <w:rPr>
          <w:spacing w:val="-8"/>
        </w:rPr>
        <w:t xml:space="preserve"> </w:t>
      </w:r>
      <w:r w:rsidR="00550434" w:rsidRPr="0052619D">
        <w:t>monitoring</w:t>
      </w:r>
    </w:p>
    <w:p w14:paraId="1286518E" w14:textId="025B6382" w:rsidR="00550434" w:rsidRPr="0052619D" w:rsidRDefault="00BA751D" w:rsidP="00BA751D">
      <w:pPr>
        <w:pStyle w:val="H23G"/>
      </w:pPr>
      <w:r>
        <w:tab/>
      </w:r>
      <w:r>
        <w:tab/>
      </w:r>
      <w:r w:rsidR="00550434" w:rsidRPr="0052619D">
        <w:t>Reply to 35(a)</w:t>
      </w:r>
    </w:p>
    <w:p w14:paraId="26A11757" w14:textId="2D52A77F" w:rsidR="00550434" w:rsidRPr="0052619D" w:rsidRDefault="00550434" w:rsidP="00D17336">
      <w:pPr>
        <w:pStyle w:val="SingleTxtG"/>
        <w:numPr>
          <w:ilvl w:val="0"/>
          <w:numId w:val="28"/>
        </w:numPr>
        <w:ind w:left="1134" w:firstLine="0"/>
      </w:pPr>
      <w:r w:rsidRPr="0052619D">
        <w:t xml:space="preserve">In 2019, sweeping reforms resulted in changes to governments disability architecture and governance, through the establishment of the DWYPD as a dedicated ministry within the Presidency. The reform enhances prioritizing the rights of vulnerable groups and strengthening mainstreaming efforts across government. </w:t>
      </w:r>
    </w:p>
    <w:p w14:paraId="323280B0" w14:textId="2C85FC75" w:rsidR="00550434" w:rsidRPr="0052619D" w:rsidRDefault="00550434" w:rsidP="00D17336">
      <w:pPr>
        <w:pStyle w:val="SingleTxtG"/>
        <w:numPr>
          <w:ilvl w:val="0"/>
          <w:numId w:val="28"/>
        </w:numPr>
        <w:ind w:left="1134" w:firstLine="0"/>
      </w:pPr>
      <w:r w:rsidRPr="0052619D">
        <w:t>Dedicated focal points on disability are appointed within multiple levels of government, reinforcing the commitment to socio-economic transformation, advocacy, and inclusive policy implementation. The focal points are positioned within strategic oversight offices, including Premiers’ Offices at the provincial level, metro and district municipalities at the local level.  In addition to Disability Forums (referred to earlier in the report), employers are also encouraged to appoint persons with disabilities in leadership roles, ensuring their active participation in planning, monitoring, and reporting in line with the principle of "Nothing About Us Without Us."</w:t>
      </w:r>
    </w:p>
    <w:p w14:paraId="7C2982EB" w14:textId="54237CA8" w:rsidR="00550434" w:rsidRPr="0052619D" w:rsidRDefault="00550434" w:rsidP="00D17336">
      <w:pPr>
        <w:pStyle w:val="SingleTxtG"/>
        <w:numPr>
          <w:ilvl w:val="0"/>
          <w:numId w:val="28"/>
        </w:numPr>
        <w:ind w:left="1134" w:firstLine="0"/>
      </w:pPr>
      <w:r w:rsidRPr="0052619D">
        <w:t>To enhance the effectiveness of focal points, capacity-building programs, guidelines, and toolkits are provided alongside direct support from DWYPD for disability-inclusive planning and reporting. Annual engagements on performance plans and periodic reviews help institutionalize inclusive governance through the focal points.  Additionally, focal points expand stakeholder networks, foster awareness, collaboration, and peer support.  Focal persons with disabilities are provided accommodation in the workplace, access to participation through workplace forums and through organized labour formations.</w:t>
      </w:r>
    </w:p>
    <w:p w14:paraId="44E034E0" w14:textId="6A2170D6" w:rsidR="00550434" w:rsidRPr="0052619D" w:rsidRDefault="00BA751D" w:rsidP="00BA751D">
      <w:pPr>
        <w:pStyle w:val="H23G"/>
      </w:pPr>
      <w:r>
        <w:tab/>
      </w:r>
      <w:r>
        <w:tab/>
      </w:r>
      <w:r w:rsidR="00550434" w:rsidRPr="0052619D">
        <w:t>Reply to 35(b)</w:t>
      </w:r>
    </w:p>
    <w:p w14:paraId="4388F670" w14:textId="7E9E2B59" w:rsidR="00550434" w:rsidRPr="0052619D" w:rsidRDefault="00550434" w:rsidP="00D17336">
      <w:pPr>
        <w:pStyle w:val="SingleTxtG"/>
        <w:numPr>
          <w:ilvl w:val="0"/>
          <w:numId w:val="28"/>
        </w:numPr>
        <w:ind w:left="1134" w:firstLine="0"/>
      </w:pPr>
      <w:r w:rsidRPr="0052619D">
        <w:t xml:space="preserve">The SAHRC has convened a DAC following a 2019, European Union (EU) funded benchmarking study of Independent Monitoring Mechanisms (IMMs) in Belgium, Spain and Ireland. </w:t>
      </w:r>
    </w:p>
    <w:p w14:paraId="0B87D0A8" w14:textId="4B4D217C" w:rsidR="00550434" w:rsidRPr="0052619D" w:rsidRDefault="00550434" w:rsidP="00D17336">
      <w:pPr>
        <w:pStyle w:val="SingleTxtG"/>
        <w:numPr>
          <w:ilvl w:val="0"/>
          <w:numId w:val="28"/>
        </w:numPr>
        <w:ind w:left="1134" w:firstLine="0"/>
      </w:pPr>
      <w:r w:rsidRPr="0052619D">
        <w:t>Government continues to support the work of the SAHRC and is cognisant of the overall financial and human resource constraints reported. Government has provided additional funds to the SAHRC for its complaints management system and other ring-penned activities. Resource allocation government-wide is however undertaken having regard to economic compression, deep poverty and high unemployment which continue to adversely impact the fiscus and resource allocation government-wide.</w:t>
      </w:r>
    </w:p>
    <w:p w14:paraId="177D921C" w14:textId="771ED87A" w:rsidR="00550434" w:rsidRPr="0052619D" w:rsidRDefault="00BA751D" w:rsidP="00BA751D">
      <w:pPr>
        <w:pStyle w:val="H23G"/>
      </w:pPr>
      <w:r>
        <w:tab/>
      </w:r>
      <w:r>
        <w:tab/>
      </w:r>
      <w:r w:rsidR="00550434" w:rsidRPr="0052619D">
        <w:t>Reply to 35(c)</w:t>
      </w:r>
    </w:p>
    <w:p w14:paraId="0A295CA1" w14:textId="114A574D" w:rsidR="00550434" w:rsidRPr="0052619D" w:rsidRDefault="00550434" w:rsidP="00D17336">
      <w:pPr>
        <w:pStyle w:val="SingleTxtG"/>
        <w:numPr>
          <w:ilvl w:val="0"/>
          <w:numId w:val="28"/>
        </w:numPr>
        <w:ind w:left="1134" w:firstLine="0"/>
      </w:pPr>
      <w:r w:rsidRPr="0052619D">
        <w:t xml:space="preserve">Persons with disabilities, together with their representative organisations, are </w:t>
      </w:r>
      <w:sdt>
        <w:sdtPr>
          <w:tag w:val="goog_rdk_216"/>
          <w:id w:val="-426110875"/>
        </w:sdtPr>
        <w:sdtEndPr/>
        <w:sdtContent/>
      </w:sdt>
      <w:r w:rsidRPr="0052619D">
        <w:t xml:space="preserve">encouraged to monitor alignment and compliance with the Convention and to participate through the various mechanisms and processes referred to variously in this report.  In addition, monitoring information is included in parallel reports to the Committee. In support of such reports from the sector, government includes persons with disabilities and DPO’s in </w:t>
      </w:r>
      <w:r w:rsidRPr="0052619D">
        <w:lastRenderedPageBreak/>
        <w:t>the validation of government reports to UN agencies and instruments, including at regional level as well.</w:t>
      </w:r>
    </w:p>
    <w:p w14:paraId="1901591C" w14:textId="3A8614BA" w:rsidR="00550434" w:rsidRPr="0052619D" w:rsidRDefault="00550434" w:rsidP="00D17336">
      <w:pPr>
        <w:pStyle w:val="SingleTxtG"/>
        <w:numPr>
          <w:ilvl w:val="0"/>
          <w:numId w:val="28"/>
        </w:numPr>
        <w:ind w:left="1134" w:firstLine="0"/>
      </w:pPr>
      <w:r w:rsidRPr="0052619D">
        <w:t>The establishment of the SAHRC DAC is aligned to the functions of IMM’s as envisaged.  The DAC comprises organisations for persons with disabilities which seeks to enhance participation and independent monitoring.</w:t>
      </w:r>
    </w:p>
    <w:p w14:paraId="79FF447E" w14:textId="721C3039" w:rsidR="00550434" w:rsidRPr="0052619D" w:rsidRDefault="00D15404" w:rsidP="00D15404">
      <w:pPr>
        <w:pStyle w:val="H23G"/>
      </w:pPr>
      <w:r>
        <w:tab/>
      </w:r>
      <w:r>
        <w:tab/>
      </w:r>
      <w:r w:rsidR="00550434" w:rsidRPr="0052619D">
        <w:t>Concluding Remarks</w:t>
      </w:r>
    </w:p>
    <w:p w14:paraId="2874D01C" w14:textId="52B0F1CC" w:rsidR="00550434" w:rsidRPr="0052619D" w:rsidRDefault="00550434" w:rsidP="00D17336">
      <w:pPr>
        <w:pStyle w:val="SingleTxtG"/>
        <w:numPr>
          <w:ilvl w:val="0"/>
          <w:numId w:val="28"/>
        </w:numPr>
        <w:ind w:left="1134" w:firstLine="0"/>
      </w:pPr>
      <w:r w:rsidRPr="0052619D">
        <w:t xml:space="preserve">The CRPD and the Constitution of the State Party serve as the cornerstone of efforts to realize the rights of persons with disabilities, ensuring their full participation and empowerment in society. The State Party’s report highlights progress achieved in implementing the provisions of the CRPD, reflecting our commitment to promoting, protecting, and monitoring the rights of persons with disabilities and their families.  </w:t>
      </w:r>
    </w:p>
    <w:p w14:paraId="249986F4" w14:textId="47F2058D" w:rsidR="00550434" w:rsidRPr="0052619D" w:rsidRDefault="00550434" w:rsidP="00D17336">
      <w:pPr>
        <w:pStyle w:val="SingleTxtG"/>
        <w:numPr>
          <w:ilvl w:val="0"/>
          <w:numId w:val="28"/>
        </w:numPr>
        <w:ind w:left="1134" w:firstLine="0"/>
      </w:pPr>
      <w:r w:rsidRPr="0052619D">
        <w:t xml:space="preserve">While government has made significant strides, the gaps and challenges in particular areas identified through our self-assessment processes are acknowledged. These areas are being prioritized in governments new five-year term, with a focus on addressing systemic barriers and enhancing inclusivity. </w:t>
      </w:r>
    </w:p>
    <w:p w14:paraId="5A845AB3" w14:textId="7E1E8D18" w:rsidR="00550434" w:rsidRPr="0052619D" w:rsidRDefault="00550434" w:rsidP="00D17336">
      <w:pPr>
        <w:pStyle w:val="SingleTxtG"/>
        <w:numPr>
          <w:ilvl w:val="0"/>
          <w:numId w:val="28"/>
        </w:numPr>
        <w:ind w:left="1134" w:firstLine="0"/>
      </w:pPr>
      <w:r w:rsidRPr="0052619D">
        <w:t xml:space="preserve">The collection and management of high-quality, disaggregated data remain critical to our efforts. To this end, the government has committed to prioritizing investments in ICT infrastructure, architecture, and resources, ensuring that this strategic area is strengthened to support evidence-based policymaking, implementation and accountability.  </w:t>
      </w:r>
    </w:p>
    <w:p w14:paraId="4B0915FC" w14:textId="4086D4DC" w:rsidR="00550434" w:rsidRPr="0052619D" w:rsidRDefault="00550434" w:rsidP="00D17336">
      <w:pPr>
        <w:pStyle w:val="SingleTxtG"/>
        <w:numPr>
          <w:ilvl w:val="0"/>
          <w:numId w:val="28"/>
        </w:numPr>
        <w:ind w:left="1134" w:firstLine="0"/>
      </w:pPr>
      <w:r w:rsidRPr="0052619D">
        <w:t xml:space="preserve">In conclusion, the State Party reaffirms its unwavering dedication to advancing the rights and dignity of persons with disabilities, in alignment with the principles of the CRPD. </w:t>
      </w:r>
    </w:p>
    <w:p w14:paraId="47D9DFDF" w14:textId="48DFF337" w:rsidR="00550434" w:rsidRDefault="00550434" w:rsidP="00D17336">
      <w:pPr>
        <w:pStyle w:val="SingleTxtG"/>
        <w:numPr>
          <w:ilvl w:val="0"/>
          <w:numId w:val="28"/>
        </w:numPr>
        <w:ind w:left="1134" w:firstLine="0"/>
      </w:pPr>
      <w:r w:rsidRPr="0052619D">
        <w:t xml:space="preserve">South Africa extends its gratitude to the Committee for its valuable insights and constructive engagement.  </w:t>
      </w:r>
    </w:p>
    <w:p w14:paraId="0CC6A7C3" w14:textId="3C1E8BC7" w:rsidR="00D15404" w:rsidRPr="00D15404" w:rsidRDefault="00D15404" w:rsidP="00D15404">
      <w:pPr>
        <w:pStyle w:val="SingleTxtG"/>
        <w:spacing w:before="240" w:after="0"/>
        <w:jc w:val="center"/>
        <w:rPr>
          <w:u w:val="single"/>
        </w:rPr>
      </w:pPr>
      <w:r>
        <w:rPr>
          <w:u w:val="single"/>
        </w:rPr>
        <w:tab/>
      </w:r>
      <w:r>
        <w:rPr>
          <w:u w:val="single"/>
        </w:rPr>
        <w:tab/>
      </w:r>
      <w:r>
        <w:rPr>
          <w:u w:val="single"/>
        </w:rPr>
        <w:tab/>
      </w:r>
    </w:p>
    <w:sectPr w:rsidR="00D15404" w:rsidRPr="00D1540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9031" w14:textId="77777777" w:rsidR="00C361AE" w:rsidRDefault="00C361AE"/>
  </w:endnote>
  <w:endnote w:type="continuationSeparator" w:id="0">
    <w:p w14:paraId="360281AA" w14:textId="77777777" w:rsidR="00C361AE" w:rsidRDefault="00C361AE">
      <w:pPr>
        <w:pStyle w:val="Footer"/>
      </w:pPr>
    </w:p>
  </w:endnote>
  <w:endnote w:type="continuationNotice" w:id="1">
    <w:p w14:paraId="2579F314" w14:textId="77777777" w:rsidR="00C361AE" w:rsidRDefault="00C36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AF59" w14:textId="77777777" w:rsidR="00D12031" w:rsidRDefault="00612CF7">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3E68E2">
      <w:rPr>
        <w:b/>
        <w:noProof/>
        <w:sz w:val="18"/>
      </w:rPr>
      <w:t>2</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A444" w14:textId="77777777" w:rsidR="00D12031" w:rsidRDefault="004A0FAC">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Pr>
        <w:b/>
        <w:noProof/>
        <w:sz w:val="18"/>
      </w:rPr>
      <w:t>1</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5252" w14:textId="26A74507" w:rsidR="00D12031" w:rsidRDefault="00612CF7">
    <w:pPr>
      <w:pStyle w:val="Footer"/>
      <w:spacing w:before="120"/>
      <w:rPr>
        <w:noProof/>
        <w:sz w:val="20"/>
        <w:lang w:eastAsia="fr-FR"/>
      </w:rPr>
    </w:pPr>
    <w:r>
      <w:rPr>
        <w:noProof/>
        <w:sz w:val="20"/>
        <w:lang w:val="fr-CH" w:eastAsia="fr-CH"/>
      </w:rPr>
      <w:drawing>
        <wp:anchor distT="0" distB="0" distL="114300" distR="114300" simplePos="0" relativeHeight="251658240" behindDoc="0" locked="1" layoutInCell="1" allowOverlap="1" wp14:anchorId="0582C84C" wp14:editId="054ABA4B">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r w:rsidR="00550434">
      <w:rPr>
        <w:sz w:val="20"/>
      </w:rPr>
      <w:t>25-</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27264C" w14:paraId="5FE3A6C7" w14:textId="77777777">
      <w:tc>
        <w:tcPr>
          <w:tcW w:w="1848" w:type="dxa"/>
          <w:vAlign w:val="bottom"/>
        </w:tcPr>
        <w:p w14:paraId="3FA316EA" w14:textId="77777777" w:rsidR="00D12031" w:rsidRDefault="00612CF7">
          <w:pPr>
            <w:pStyle w:val="Footer"/>
            <w:spacing w:before="120" w:after="120"/>
            <w:jc w:val="right"/>
          </w:pPr>
          <w:r>
            <w:rPr>
              <w:noProof/>
              <w:sz w:val="20"/>
              <w:lang w:val="fr-CH" w:eastAsia="fr-CH"/>
            </w:rPr>
            <w:drawing>
              <wp:inline distT="0" distB="0" distL="0" distR="0" wp14:anchorId="1ED988F1" wp14:editId="1A675A26">
                <wp:extent cx="931545" cy="232410"/>
                <wp:effectExtent l="0" t="0" r="1905" b="0"/>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6EB2E40D" w14:textId="77777777" w:rsidR="00D12031" w:rsidRDefault="00D12031">
          <w:pPr>
            <w:pStyle w:val="Footer"/>
            <w:jc w:val="right"/>
          </w:pPr>
        </w:p>
      </w:tc>
    </w:tr>
  </w:tbl>
  <w:p w14:paraId="3B821B67" w14:textId="77777777" w:rsidR="00D12031" w:rsidRDefault="00D12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5CAF" w14:textId="77777777" w:rsidR="00C361AE" w:rsidRDefault="00C361AE">
      <w:pPr>
        <w:pStyle w:val="Footer"/>
        <w:tabs>
          <w:tab w:val="right" w:pos="2155"/>
        </w:tabs>
        <w:spacing w:after="80" w:line="240" w:lineRule="atLeast"/>
        <w:ind w:left="680"/>
        <w:rPr>
          <w:u w:val="single"/>
        </w:rPr>
      </w:pPr>
      <w:r>
        <w:rPr>
          <w:u w:val="single"/>
        </w:rPr>
        <w:tab/>
      </w:r>
    </w:p>
  </w:footnote>
  <w:footnote w:type="continuationSeparator" w:id="0">
    <w:p w14:paraId="029A21AD" w14:textId="77777777" w:rsidR="00C361AE" w:rsidRDefault="00C361AE">
      <w:pPr>
        <w:pStyle w:val="Footer"/>
        <w:tabs>
          <w:tab w:val="right" w:pos="2155"/>
        </w:tabs>
        <w:spacing w:after="80" w:line="240" w:lineRule="atLeast"/>
        <w:ind w:left="680"/>
        <w:rPr>
          <w:u w:val="single"/>
        </w:rPr>
      </w:pPr>
      <w:r>
        <w:rPr>
          <w:u w:val="single"/>
        </w:rPr>
        <w:tab/>
      </w:r>
    </w:p>
  </w:footnote>
  <w:footnote w:type="continuationNotice" w:id="1">
    <w:p w14:paraId="277913E2" w14:textId="77777777" w:rsidR="00C361AE" w:rsidRDefault="00C361AE">
      <w:pPr>
        <w:rPr>
          <w:sz w:val="2"/>
          <w:szCs w:val="2"/>
        </w:rPr>
      </w:pPr>
    </w:p>
  </w:footnote>
  <w:footnote w:id="2">
    <w:p w14:paraId="3546B3FA" w14:textId="77777777" w:rsidR="00550434" w:rsidRPr="00550434" w:rsidRDefault="00550434" w:rsidP="00550434">
      <w:pPr>
        <w:pStyle w:val="FootnoteText"/>
      </w:pPr>
      <w:r w:rsidRPr="00550434">
        <w:tab/>
      </w:r>
      <w:r w:rsidRPr="00550434">
        <w:rPr>
          <w:rStyle w:val="FootnoteReference"/>
          <w:sz w:val="20"/>
          <w:vertAlign w:val="baseline"/>
        </w:rPr>
        <w:t>*</w:t>
      </w:r>
      <w:r w:rsidRPr="00550434">
        <w:tab/>
        <w:t xml:space="preserve">The present document is being issued without formal editing. </w:t>
      </w:r>
    </w:p>
  </w:footnote>
  <w:footnote w:id="3">
    <w:p w14:paraId="74735F86" w14:textId="2DCC6B14" w:rsidR="00550434" w:rsidRPr="00550434" w:rsidRDefault="00550434" w:rsidP="00550434">
      <w:pPr>
        <w:pStyle w:val="FootnoteText"/>
        <w:rPr>
          <w:sz w:val="20"/>
        </w:rPr>
      </w:pPr>
      <w:r w:rsidRPr="00550434">
        <w:tab/>
      </w:r>
      <w:r w:rsidRPr="00550434">
        <w:rPr>
          <w:rStyle w:val="FootnoteReference"/>
          <w:sz w:val="20"/>
          <w:vertAlign w:val="baseline"/>
        </w:rPr>
        <w:t>**</w:t>
      </w:r>
      <w:r w:rsidRPr="00550434">
        <w:rPr>
          <w:sz w:val="20"/>
        </w:rPr>
        <w:tab/>
      </w:r>
      <w:r w:rsidRPr="00550434">
        <w:t>The present document was submitted pursuant to the simplified reporting procedure. It contains the responses of the State party to the Committee’s list of issues prior to reporting (CRPD/C/ZAF/QPR/2-4).</w:t>
      </w:r>
    </w:p>
    <w:p w14:paraId="09249DFE" w14:textId="75211968" w:rsidR="00550434" w:rsidRPr="0040591D" w:rsidRDefault="00550434" w:rsidP="00550434">
      <w:pPr>
        <w:pStyle w:val="FootnoteText"/>
        <w:rPr>
          <w:lang w:val="en-US"/>
        </w:rPr>
      </w:pPr>
      <w:r w:rsidRPr="00550434">
        <w:tab/>
      </w:r>
      <w:r w:rsidRPr="00B72C2E">
        <w:rPr>
          <w:rStyle w:val="FootnoteReference"/>
          <w:sz w:val="20"/>
          <w:vertAlign w:val="baseline"/>
        </w:rPr>
        <w:t>***</w:t>
      </w:r>
      <w:r>
        <w:rPr>
          <w:rStyle w:val="FootnoteReference"/>
          <w:sz w:val="20"/>
        </w:rPr>
        <w:tab/>
      </w:r>
      <w:r w:rsidRPr="00DE5958">
        <w:rPr>
          <w:lang w:val="en-US"/>
        </w:rPr>
        <w:t>The annexes to the present document may be accessed from the web page of the Committee.</w:t>
      </w:r>
    </w:p>
  </w:footnote>
  <w:footnote w:id="4">
    <w:p w14:paraId="5CCDD058" w14:textId="77777777" w:rsidR="00550434" w:rsidRPr="0040591D" w:rsidRDefault="00550434" w:rsidP="00550434">
      <w:pPr>
        <w:pStyle w:val="FootnoteText"/>
        <w:ind w:left="0" w:firstLine="0"/>
        <w:rPr>
          <w:lang w:val="en-US"/>
        </w:rPr>
      </w:pPr>
    </w:p>
  </w:footnote>
  <w:footnote w:id="5">
    <w:p w14:paraId="1A17737F" w14:textId="3CA2ABFE" w:rsidR="00550434" w:rsidRPr="00222061" w:rsidRDefault="004661C2" w:rsidP="00550434">
      <w:pPr>
        <w:pStyle w:val="FootnoteText"/>
      </w:pPr>
      <w:r>
        <w:tab/>
      </w:r>
      <w:r w:rsidR="00550434" w:rsidRPr="00222061">
        <w:rPr>
          <w:rStyle w:val="FootnoteReference"/>
        </w:rPr>
        <w:footnoteRef/>
      </w:r>
      <w:r>
        <w:tab/>
      </w:r>
      <w:r w:rsidR="00550434" w:rsidRPr="00222061">
        <w:rPr>
          <w:noProof/>
          <w:color w:val="000000" w:themeColor="text1"/>
        </w:rPr>
        <w:t>New Nation Movement NPC and Others v President of the Republic of South Africa and Others [2020] ZACC 11, and Independent Candidate Association South Africa NPC v President of the Republic of South Africa and Others [2023] ZACC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C1FC" w14:textId="77777777" w:rsidR="00D12031" w:rsidRDefault="004A0FAC">
    <w:pPr>
      <w:pStyle w:val="Header"/>
    </w:pPr>
    <w:r>
      <w:t>CRPD/C/ZAF/2-4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E7AE" w14:textId="77777777" w:rsidR="00D12031" w:rsidRDefault="004A0FAC">
    <w:pPr>
      <w:pStyle w:val="Header"/>
      <w:jc w:val="right"/>
    </w:pPr>
    <w:r>
      <w:t>CRPD/C/ZAF/2-4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9A05" w14:textId="77777777" w:rsidR="00D12031" w:rsidRDefault="00D12031">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E6B"/>
    <w:multiLevelType w:val="hybridMultilevel"/>
    <w:tmpl w:val="582A9CDE"/>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 w15:restartNumberingAfterBreak="0">
    <w:nsid w:val="05CA37BF"/>
    <w:multiLevelType w:val="hybridMultilevel"/>
    <w:tmpl w:val="92B6F5F0"/>
    <w:lvl w:ilvl="0" w:tplc="A86A7DC2">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 w15:restartNumberingAfterBreak="0">
    <w:nsid w:val="0D954887"/>
    <w:multiLevelType w:val="hybridMultilevel"/>
    <w:tmpl w:val="2B362816"/>
    <w:lvl w:ilvl="0" w:tplc="AD646D30">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570033F2" w:tentative="1">
      <w:start w:val="1"/>
      <w:numFmt w:val="lowerLetter"/>
      <w:lvlText w:val="%2."/>
      <w:lvlJc w:val="left"/>
      <w:pPr>
        <w:tabs>
          <w:tab w:val="num" w:pos="1440"/>
        </w:tabs>
        <w:ind w:left="1440" w:hanging="360"/>
      </w:pPr>
    </w:lvl>
    <w:lvl w:ilvl="2" w:tplc="218E94A0" w:tentative="1">
      <w:start w:val="1"/>
      <w:numFmt w:val="lowerRoman"/>
      <w:lvlText w:val="%3."/>
      <w:lvlJc w:val="right"/>
      <w:pPr>
        <w:tabs>
          <w:tab w:val="num" w:pos="2160"/>
        </w:tabs>
        <w:ind w:left="2160" w:hanging="180"/>
      </w:pPr>
    </w:lvl>
    <w:lvl w:ilvl="3" w:tplc="24DA2C1C" w:tentative="1">
      <w:start w:val="1"/>
      <w:numFmt w:val="decimal"/>
      <w:lvlText w:val="%4."/>
      <w:lvlJc w:val="left"/>
      <w:pPr>
        <w:tabs>
          <w:tab w:val="num" w:pos="2880"/>
        </w:tabs>
        <w:ind w:left="2880" w:hanging="360"/>
      </w:pPr>
    </w:lvl>
    <w:lvl w:ilvl="4" w:tplc="AA142DCA" w:tentative="1">
      <w:start w:val="1"/>
      <w:numFmt w:val="lowerLetter"/>
      <w:lvlText w:val="%5."/>
      <w:lvlJc w:val="left"/>
      <w:pPr>
        <w:tabs>
          <w:tab w:val="num" w:pos="3600"/>
        </w:tabs>
        <w:ind w:left="3600" w:hanging="360"/>
      </w:pPr>
    </w:lvl>
    <w:lvl w:ilvl="5" w:tplc="FA7C0E46" w:tentative="1">
      <w:start w:val="1"/>
      <w:numFmt w:val="lowerRoman"/>
      <w:lvlText w:val="%6."/>
      <w:lvlJc w:val="right"/>
      <w:pPr>
        <w:tabs>
          <w:tab w:val="num" w:pos="4320"/>
        </w:tabs>
        <w:ind w:left="4320" w:hanging="180"/>
      </w:pPr>
    </w:lvl>
    <w:lvl w:ilvl="6" w:tplc="EC307D64" w:tentative="1">
      <w:start w:val="1"/>
      <w:numFmt w:val="decimal"/>
      <w:lvlText w:val="%7."/>
      <w:lvlJc w:val="left"/>
      <w:pPr>
        <w:tabs>
          <w:tab w:val="num" w:pos="5040"/>
        </w:tabs>
        <w:ind w:left="5040" w:hanging="360"/>
      </w:pPr>
    </w:lvl>
    <w:lvl w:ilvl="7" w:tplc="012EA038" w:tentative="1">
      <w:start w:val="1"/>
      <w:numFmt w:val="lowerLetter"/>
      <w:lvlText w:val="%8."/>
      <w:lvlJc w:val="left"/>
      <w:pPr>
        <w:tabs>
          <w:tab w:val="num" w:pos="5760"/>
        </w:tabs>
        <w:ind w:left="5760" w:hanging="360"/>
      </w:pPr>
    </w:lvl>
    <w:lvl w:ilvl="8" w:tplc="214E35FE" w:tentative="1">
      <w:start w:val="1"/>
      <w:numFmt w:val="lowerRoman"/>
      <w:lvlText w:val="%9."/>
      <w:lvlJc w:val="right"/>
      <w:pPr>
        <w:tabs>
          <w:tab w:val="num" w:pos="6480"/>
        </w:tabs>
        <w:ind w:left="6480" w:hanging="180"/>
      </w:pPr>
    </w:lvl>
  </w:abstractNum>
  <w:abstractNum w:abstractNumId="3" w15:restartNumberingAfterBreak="0">
    <w:nsid w:val="1BA96104"/>
    <w:multiLevelType w:val="hybridMultilevel"/>
    <w:tmpl w:val="268E597E"/>
    <w:lvl w:ilvl="0" w:tplc="B9E891AE">
      <w:start w:val="1"/>
      <w:numFmt w:val="decimal"/>
      <w:pStyle w:val="NoSpacing"/>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13F86"/>
    <w:multiLevelType w:val="hybridMultilevel"/>
    <w:tmpl w:val="5BFC39FC"/>
    <w:lvl w:ilvl="0" w:tplc="DAF47B98">
      <w:start w:val="1"/>
      <w:numFmt w:val="lowerRoman"/>
      <w:lvlText w:val="(%1)"/>
      <w:lvlJc w:val="left"/>
      <w:pPr>
        <w:ind w:left="1854" w:hanging="360"/>
      </w:pPr>
      <w:rPr>
        <w:rFonts w:ascii="Times New Roman" w:eastAsia="Times New Roman" w:hAnsi="Times New Roman" w:cs="Times New Roman" w:hint="default"/>
        <w:b w:val="0"/>
        <w:bCs w:val="0"/>
        <w:i w:val="0"/>
        <w:iCs w:val="0"/>
        <w:strike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5" w15:restartNumberingAfterBreak="0">
    <w:nsid w:val="24A046A1"/>
    <w:multiLevelType w:val="hybridMultilevel"/>
    <w:tmpl w:val="B260B350"/>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6" w15:restartNumberingAfterBreak="0">
    <w:nsid w:val="26026041"/>
    <w:multiLevelType w:val="hybridMultilevel"/>
    <w:tmpl w:val="F53EDB8C"/>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7" w15:restartNumberingAfterBreak="0">
    <w:nsid w:val="278B36F4"/>
    <w:multiLevelType w:val="hybridMultilevel"/>
    <w:tmpl w:val="F4A27FDC"/>
    <w:lvl w:ilvl="0" w:tplc="A86A7DC2">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8" w15:restartNumberingAfterBreak="0">
    <w:nsid w:val="29AB45B0"/>
    <w:multiLevelType w:val="hybridMultilevel"/>
    <w:tmpl w:val="6B7CF8CC"/>
    <w:lvl w:ilvl="0" w:tplc="A86A7DC2">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9" w15:restartNumberingAfterBreak="0">
    <w:nsid w:val="32216A98"/>
    <w:multiLevelType w:val="hybridMultilevel"/>
    <w:tmpl w:val="23BC6FB6"/>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351F2062"/>
    <w:multiLevelType w:val="hybridMultilevel"/>
    <w:tmpl w:val="67EE7424"/>
    <w:lvl w:ilvl="0" w:tplc="2BCA3554">
      <w:start w:val="1"/>
      <w:numFmt w:val="decimal"/>
      <w:lvlText w:val="%1."/>
      <w:lvlJc w:val="left"/>
      <w:pPr>
        <w:ind w:left="1854" w:hanging="360"/>
      </w:pPr>
      <w:rPr>
        <w:b w:val="0"/>
        <w:bCs w:val="0"/>
        <w:strike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1" w15:restartNumberingAfterBreak="0">
    <w:nsid w:val="38DF01DF"/>
    <w:multiLevelType w:val="hybridMultilevel"/>
    <w:tmpl w:val="92B6F5F0"/>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 w15:restartNumberingAfterBreak="0">
    <w:nsid w:val="3ACE2B4F"/>
    <w:multiLevelType w:val="hybridMultilevel"/>
    <w:tmpl w:val="51EEA1E2"/>
    <w:lvl w:ilvl="0" w:tplc="0AEC3C26">
      <w:start w:val="1"/>
      <w:numFmt w:val="lowerRoman"/>
      <w:lvlText w:val="(%1)"/>
      <w:lvlJc w:val="left"/>
      <w:pPr>
        <w:ind w:left="1854" w:hanging="360"/>
      </w:pPr>
      <w:rPr>
        <w:rFonts w:ascii="Times New Roman" w:eastAsia="Times New Roman" w:hAnsi="Times New Roman" w:cs="Times New Roman" w:hint="default"/>
        <w:b w:val="0"/>
        <w:bCs w:val="0"/>
        <w:i w:val="0"/>
        <w:iCs w:val="0"/>
        <w:strike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3" w15:restartNumberingAfterBreak="0">
    <w:nsid w:val="3ACF4EB2"/>
    <w:multiLevelType w:val="hybridMultilevel"/>
    <w:tmpl w:val="CB6C816A"/>
    <w:lvl w:ilvl="0" w:tplc="DD62844A">
      <w:start w:val="1"/>
      <w:numFmt w:val="bullet"/>
      <w:pStyle w:val="Bullet2G"/>
      <w:lvlText w:val="•"/>
      <w:lvlJc w:val="left"/>
      <w:pPr>
        <w:tabs>
          <w:tab w:val="num" w:pos="2268"/>
        </w:tabs>
        <w:ind w:left="2268" w:hanging="170"/>
      </w:pPr>
      <w:rPr>
        <w:rFonts w:ascii="Times New Roman" w:hAnsi="Times New Roman" w:cs="Times New Roman" w:hint="default"/>
      </w:rPr>
    </w:lvl>
    <w:lvl w:ilvl="1" w:tplc="9E0E1DFC" w:tentative="1">
      <w:start w:val="1"/>
      <w:numFmt w:val="bullet"/>
      <w:lvlText w:val="o"/>
      <w:lvlJc w:val="left"/>
      <w:pPr>
        <w:tabs>
          <w:tab w:val="num" w:pos="3708"/>
        </w:tabs>
        <w:ind w:left="3708" w:hanging="360"/>
      </w:pPr>
      <w:rPr>
        <w:rFonts w:ascii="Courier New" w:hAnsi="Courier New" w:hint="default"/>
      </w:rPr>
    </w:lvl>
    <w:lvl w:ilvl="2" w:tplc="A6F20E9A" w:tentative="1">
      <w:start w:val="1"/>
      <w:numFmt w:val="bullet"/>
      <w:lvlText w:val=""/>
      <w:lvlJc w:val="left"/>
      <w:pPr>
        <w:tabs>
          <w:tab w:val="num" w:pos="4428"/>
        </w:tabs>
        <w:ind w:left="4428" w:hanging="360"/>
      </w:pPr>
      <w:rPr>
        <w:rFonts w:ascii="Wingdings" w:hAnsi="Wingdings" w:hint="default"/>
      </w:rPr>
    </w:lvl>
    <w:lvl w:ilvl="3" w:tplc="9D7899B2" w:tentative="1">
      <w:start w:val="1"/>
      <w:numFmt w:val="bullet"/>
      <w:lvlText w:val=""/>
      <w:lvlJc w:val="left"/>
      <w:pPr>
        <w:tabs>
          <w:tab w:val="num" w:pos="5148"/>
        </w:tabs>
        <w:ind w:left="5148" w:hanging="360"/>
      </w:pPr>
      <w:rPr>
        <w:rFonts w:ascii="Symbol" w:hAnsi="Symbol" w:hint="default"/>
      </w:rPr>
    </w:lvl>
    <w:lvl w:ilvl="4" w:tplc="D3DC4CEE" w:tentative="1">
      <w:start w:val="1"/>
      <w:numFmt w:val="bullet"/>
      <w:lvlText w:val="o"/>
      <w:lvlJc w:val="left"/>
      <w:pPr>
        <w:tabs>
          <w:tab w:val="num" w:pos="5868"/>
        </w:tabs>
        <w:ind w:left="5868" w:hanging="360"/>
      </w:pPr>
      <w:rPr>
        <w:rFonts w:ascii="Courier New" w:hAnsi="Courier New" w:hint="default"/>
      </w:rPr>
    </w:lvl>
    <w:lvl w:ilvl="5" w:tplc="D37488A8" w:tentative="1">
      <w:start w:val="1"/>
      <w:numFmt w:val="bullet"/>
      <w:lvlText w:val=""/>
      <w:lvlJc w:val="left"/>
      <w:pPr>
        <w:tabs>
          <w:tab w:val="num" w:pos="6588"/>
        </w:tabs>
        <w:ind w:left="6588" w:hanging="360"/>
      </w:pPr>
      <w:rPr>
        <w:rFonts w:ascii="Wingdings" w:hAnsi="Wingdings" w:hint="default"/>
      </w:rPr>
    </w:lvl>
    <w:lvl w:ilvl="6" w:tplc="39B65D20" w:tentative="1">
      <w:start w:val="1"/>
      <w:numFmt w:val="bullet"/>
      <w:lvlText w:val=""/>
      <w:lvlJc w:val="left"/>
      <w:pPr>
        <w:tabs>
          <w:tab w:val="num" w:pos="7308"/>
        </w:tabs>
        <w:ind w:left="7308" w:hanging="360"/>
      </w:pPr>
      <w:rPr>
        <w:rFonts w:ascii="Symbol" w:hAnsi="Symbol" w:hint="default"/>
      </w:rPr>
    </w:lvl>
    <w:lvl w:ilvl="7" w:tplc="FB9E9C26" w:tentative="1">
      <w:start w:val="1"/>
      <w:numFmt w:val="bullet"/>
      <w:lvlText w:val="o"/>
      <w:lvlJc w:val="left"/>
      <w:pPr>
        <w:tabs>
          <w:tab w:val="num" w:pos="8028"/>
        </w:tabs>
        <w:ind w:left="8028" w:hanging="360"/>
      </w:pPr>
      <w:rPr>
        <w:rFonts w:ascii="Courier New" w:hAnsi="Courier New" w:hint="default"/>
      </w:rPr>
    </w:lvl>
    <w:lvl w:ilvl="8" w:tplc="CC7E8C66" w:tentative="1">
      <w:start w:val="1"/>
      <w:numFmt w:val="bullet"/>
      <w:lvlText w:val=""/>
      <w:lvlJc w:val="left"/>
      <w:pPr>
        <w:tabs>
          <w:tab w:val="num" w:pos="8748"/>
        </w:tabs>
        <w:ind w:left="8748" w:hanging="360"/>
      </w:pPr>
      <w:rPr>
        <w:rFonts w:ascii="Wingdings" w:hAnsi="Wingdings" w:hint="default"/>
      </w:rPr>
    </w:lvl>
  </w:abstractNum>
  <w:abstractNum w:abstractNumId="14" w15:restartNumberingAfterBreak="0">
    <w:nsid w:val="3B987D5F"/>
    <w:multiLevelType w:val="hybridMultilevel"/>
    <w:tmpl w:val="A7806DF2"/>
    <w:lvl w:ilvl="0" w:tplc="A86A7DC2">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5" w15:restartNumberingAfterBreak="0">
    <w:nsid w:val="3E4F11CC"/>
    <w:multiLevelType w:val="hybridMultilevel"/>
    <w:tmpl w:val="D4E86D14"/>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6" w15:restartNumberingAfterBreak="0">
    <w:nsid w:val="3ED00048"/>
    <w:multiLevelType w:val="hybridMultilevel"/>
    <w:tmpl w:val="DD8E3EEA"/>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7" w15:restartNumberingAfterBreak="0">
    <w:nsid w:val="3F60019D"/>
    <w:multiLevelType w:val="hybridMultilevel"/>
    <w:tmpl w:val="A7806DF2"/>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 w15:restartNumberingAfterBreak="0">
    <w:nsid w:val="47C47C50"/>
    <w:multiLevelType w:val="hybridMultilevel"/>
    <w:tmpl w:val="C64E50EA"/>
    <w:lvl w:ilvl="0" w:tplc="A86A7DC2">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9" w15:restartNumberingAfterBreak="0">
    <w:nsid w:val="4831563E"/>
    <w:multiLevelType w:val="hybridMultilevel"/>
    <w:tmpl w:val="993E6AA6"/>
    <w:lvl w:ilvl="0" w:tplc="A86A7DC2">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0" w15:restartNumberingAfterBreak="0">
    <w:nsid w:val="56647C34"/>
    <w:multiLevelType w:val="hybridMultilevel"/>
    <w:tmpl w:val="57362A00"/>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1"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C8687E"/>
    <w:multiLevelType w:val="hybridMultilevel"/>
    <w:tmpl w:val="DC46288C"/>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3" w15:restartNumberingAfterBreak="0">
    <w:nsid w:val="66120D08"/>
    <w:multiLevelType w:val="hybridMultilevel"/>
    <w:tmpl w:val="2A52E292"/>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4" w15:restartNumberingAfterBreak="0">
    <w:nsid w:val="68AD07B2"/>
    <w:multiLevelType w:val="hybridMultilevel"/>
    <w:tmpl w:val="7FEE3222"/>
    <w:lvl w:ilvl="0" w:tplc="2DF45B50">
      <w:start w:val="1"/>
      <w:numFmt w:val="bullet"/>
      <w:pStyle w:val="Bullet1G"/>
      <w:lvlText w:val="•"/>
      <w:lvlJc w:val="left"/>
      <w:pPr>
        <w:tabs>
          <w:tab w:val="num" w:pos="1701"/>
        </w:tabs>
        <w:ind w:left="1701" w:hanging="170"/>
      </w:pPr>
      <w:rPr>
        <w:rFonts w:ascii="Times New Roman" w:hAnsi="Times New Roman" w:cs="Times New Roman" w:hint="default"/>
      </w:rPr>
    </w:lvl>
    <w:lvl w:ilvl="1" w:tplc="A10490D0" w:tentative="1">
      <w:start w:val="1"/>
      <w:numFmt w:val="bullet"/>
      <w:lvlText w:val="o"/>
      <w:lvlJc w:val="left"/>
      <w:pPr>
        <w:tabs>
          <w:tab w:val="num" w:pos="3141"/>
        </w:tabs>
        <w:ind w:left="3141" w:hanging="360"/>
      </w:pPr>
      <w:rPr>
        <w:rFonts w:ascii="Courier New" w:hAnsi="Courier New" w:hint="default"/>
      </w:rPr>
    </w:lvl>
    <w:lvl w:ilvl="2" w:tplc="FFC4BB78" w:tentative="1">
      <w:start w:val="1"/>
      <w:numFmt w:val="bullet"/>
      <w:lvlText w:val=""/>
      <w:lvlJc w:val="left"/>
      <w:pPr>
        <w:tabs>
          <w:tab w:val="num" w:pos="3861"/>
        </w:tabs>
        <w:ind w:left="3861" w:hanging="360"/>
      </w:pPr>
      <w:rPr>
        <w:rFonts w:ascii="Wingdings" w:hAnsi="Wingdings" w:hint="default"/>
      </w:rPr>
    </w:lvl>
    <w:lvl w:ilvl="3" w:tplc="64BE4DB6" w:tentative="1">
      <w:start w:val="1"/>
      <w:numFmt w:val="bullet"/>
      <w:lvlText w:val=""/>
      <w:lvlJc w:val="left"/>
      <w:pPr>
        <w:tabs>
          <w:tab w:val="num" w:pos="4581"/>
        </w:tabs>
        <w:ind w:left="4581" w:hanging="360"/>
      </w:pPr>
      <w:rPr>
        <w:rFonts w:ascii="Symbol" w:hAnsi="Symbol" w:hint="default"/>
      </w:rPr>
    </w:lvl>
    <w:lvl w:ilvl="4" w:tplc="C324B7CE" w:tentative="1">
      <w:start w:val="1"/>
      <w:numFmt w:val="bullet"/>
      <w:lvlText w:val="o"/>
      <w:lvlJc w:val="left"/>
      <w:pPr>
        <w:tabs>
          <w:tab w:val="num" w:pos="5301"/>
        </w:tabs>
        <w:ind w:left="5301" w:hanging="360"/>
      </w:pPr>
      <w:rPr>
        <w:rFonts w:ascii="Courier New" w:hAnsi="Courier New" w:hint="default"/>
      </w:rPr>
    </w:lvl>
    <w:lvl w:ilvl="5" w:tplc="ED78AF76" w:tentative="1">
      <w:start w:val="1"/>
      <w:numFmt w:val="bullet"/>
      <w:lvlText w:val=""/>
      <w:lvlJc w:val="left"/>
      <w:pPr>
        <w:tabs>
          <w:tab w:val="num" w:pos="6021"/>
        </w:tabs>
        <w:ind w:left="6021" w:hanging="360"/>
      </w:pPr>
      <w:rPr>
        <w:rFonts w:ascii="Wingdings" w:hAnsi="Wingdings" w:hint="default"/>
      </w:rPr>
    </w:lvl>
    <w:lvl w:ilvl="6" w:tplc="AFFA939A" w:tentative="1">
      <w:start w:val="1"/>
      <w:numFmt w:val="bullet"/>
      <w:lvlText w:val=""/>
      <w:lvlJc w:val="left"/>
      <w:pPr>
        <w:tabs>
          <w:tab w:val="num" w:pos="6741"/>
        </w:tabs>
        <w:ind w:left="6741" w:hanging="360"/>
      </w:pPr>
      <w:rPr>
        <w:rFonts w:ascii="Symbol" w:hAnsi="Symbol" w:hint="default"/>
      </w:rPr>
    </w:lvl>
    <w:lvl w:ilvl="7" w:tplc="297CF4A0" w:tentative="1">
      <w:start w:val="1"/>
      <w:numFmt w:val="bullet"/>
      <w:lvlText w:val="o"/>
      <w:lvlJc w:val="left"/>
      <w:pPr>
        <w:tabs>
          <w:tab w:val="num" w:pos="7461"/>
        </w:tabs>
        <w:ind w:left="7461" w:hanging="360"/>
      </w:pPr>
      <w:rPr>
        <w:rFonts w:ascii="Courier New" w:hAnsi="Courier New" w:hint="default"/>
      </w:rPr>
    </w:lvl>
    <w:lvl w:ilvl="8" w:tplc="3DFC5CF0"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6C1F2C25"/>
    <w:multiLevelType w:val="hybridMultilevel"/>
    <w:tmpl w:val="9A9E0562"/>
    <w:lvl w:ilvl="0" w:tplc="A86A7DC2">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6" w15:restartNumberingAfterBreak="0">
    <w:nsid w:val="74DE421F"/>
    <w:multiLevelType w:val="hybridMultilevel"/>
    <w:tmpl w:val="DD6C291E"/>
    <w:lvl w:ilvl="0" w:tplc="19CAD884">
      <w:start w:val="1"/>
      <w:numFmt w:val="lowerRoman"/>
      <w:lvlText w:val="(%1)"/>
      <w:lvlJc w:val="left"/>
      <w:pPr>
        <w:ind w:left="2421"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3141" w:hanging="360"/>
      </w:pPr>
    </w:lvl>
    <w:lvl w:ilvl="2" w:tplc="2000001B" w:tentative="1">
      <w:start w:val="1"/>
      <w:numFmt w:val="lowerRoman"/>
      <w:lvlText w:val="%3."/>
      <w:lvlJc w:val="right"/>
      <w:pPr>
        <w:ind w:left="3861" w:hanging="180"/>
      </w:pPr>
    </w:lvl>
    <w:lvl w:ilvl="3" w:tplc="2000000F" w:tentative="1">
      <w:start w:val="1"/>
      <w:numFmt w:val="decimal"/>
      <w:lvlText w:val="%4."/>
      <w:lvlJc w:val="left"/>
      <w:pPr>
        <w:ind w:left="4581" w:hanging="360"/>
      </w:pPr>
    </w:lvl>
    <w:lvl w:ilvl="4" w:tplc="20000019" w:tentative="1">
      <w:start w:val="1"/>
      <w:numFmt w:val="lowerLetter"/>
      <w:lvlText w:val="%5."/>
      <w:lvlJc w:val="left"/>
      <w:pPr>
        <w:ind w:left="5301" w:hanging="360"/>
      </w:pPr>
    </w:lvl>
    <w:lvl w:ilvl="5" w:tplc="2000001B" w:tentative="1">
      <w:start w:val="1"/>
      <w:numFmt w:val="lowerRoman"/>
      <w:lvlText w:val="%6."/>
      <w:lvlJc w:val="right"/>
      <w:pPr>
        <w:ind w:left="6021" w:hanging="180"/>
      </w:pPr>
    </w:lvl>
    <w:lvl w:ilvl="6" w:tplc="2000000F" w:tentative="1">
      <w:start w:val="1"/>
      <w:numFmt w:val="decimal"/>
      <w:lvlText w:val="%7."/>
      <w:lvlJc w:val="left"/>
      <w:pPr>
        <w:ind w:left="6741" w:hanging="360"/>
      </w:pPr>
    </w:lvl>
    <w:lvl w:ilvl="7" w:tplc="20000019" w:tentative="1">
      <w:start w:val="1"/>
      <w:numFmt w:val="lowerLetter"/>
      <w:lvlText w:val="%8."/>
      <w:lvlJc w:val="left"/>
      <w:pPr>
        <w:ind w:left="7461" w:hanging="360"/>
      </w:pPr>
    </w:lvl>
    <w:lvl w:ilvl="8" w:tplc="2000001B" w:tentative="1">
      <w:start w:val="1"/>
      <w:numFmt w:val="lowerRoman"/>
      <w:lvlText w:val="%9."/>
      <w:lvlJc w:val="right"/>
      <w:pPr>
        <w:ind w:left="8181" w:hanging="180"/>
      </w:pPr>
    </w:lvl>
  </w:abstractNum>
  <w:abstractNum w:abstractNumId="2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5D485D"/>
    <w:multiLevelType w:val="hybridMultilevel"/>
    <w:tmpl w:val="CDFE3238"/>
    <w:lvl w:ilvl="0" w:tplc="19CAD884">
      <w:start w:val="1"/>
      <w:numFmt w:val="lowerRoman"/>
      <w:lvlText w:val="(%1)"/>
      <w:lvlJc w:val="left"/>
      <w:pPr>
        <w:ind w:left="1854"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65690638">
    <w:abstractNumId w:val="21"/>
  </w:num>
  <w:num w:numId="2" w16cid:durableId="1291979940">
    <w:abstractNumId w:val="27"/>
  </w:num>
  <w:num w:numId="3" w16cid:durableId="1940335858">
    <w:abstractNumId w:val="24"/>
  </w:num>
  <w:num w:numId="4" w16cid:durableId="2014070520">
    <w:abstractNumId w:val="13"/>
  </w:num>
  <w:num w:numId="5" w16cid:durableId="1553730393">
    <w:abstractNumId w:val="2"/>
  </w:num>
  <w:num w:numId="6" w16cid:durableId="1818572642">
    <w:abstractNumId w:val="3"/>
  </w:num>
  <w:num w:numId="7" w16cid:durableId="1185630217">
    <w:abstractNumId w:val="16"/>
  </w:num>
  <w:num w:numId="8" w16cid:durableId="1346202007">
    <w:abstractNumId w:val="6"/>
  </w:num>
  <w:num w:numId="9" w16cid:durableId="336882926">
    <w:abstractNumId w:val="15"/>
  </w:num>
  <w:num w:numId="10" w16cid:durableId="1178424909">
    <w:abstractNumId w:val="0"/>
  </w:num>
  <w:num w:numId="11" w16cid:durableId="1538851979">
    <w:abstractNumId w:val="26"/>
  </w:num>
  <w:num w:numId="12" w16cid:durableId="1028066328">
    <w:abstractNumId w:val="4"/>
  </w:num>
  <w:num w:numId="13" w16cid:durableId="549154884">
    <w:abstractNumId w:val="9"/>
  </w:num>
  <w:num w:numId="14" w16cid:durableId="290981870">
    <w:abstractNumId w:val="23"/>
  </w:num>
  <w:num w:numId="15" w16cid:durableId="1066145562">
    <w:abstractNumId w:val="28"/>
  </w:num>
  <w:num w:numId="16" w16cid:durableId="1725911402">
    <w:abstractNumId w:val="5"/>
  </w:num>
  <w:num w:numId="17" w16cid:durableId="1242056417">
    <w:abstractNumId w:val="22"/>
  </w:num>
  <w:num w:numId="18" w16cid:durableId="579173789">
    <w:abstractNumId w:val="20"/>
  </w:num>
  <w:num w:numId="19" w16cid:durableId="106242808">
    <w:abstractNumId w:val="12"/>
  </w:num>
  <w:num w:numId="20" w16cid:durableId="964889255">
    <w:abstractNumId w:val="25"/>
  </w:num>
  <w:num w:numId="21" w16cid:durableId="910387457">
    <w:abstractNumId w:val="8"/>
  </w:num>
  <w:num w:numId="22" w16cid:durableId="1607424554">
    <w:abstractNumId w:val="18"/>
  </w:num>
  <w:num w:numId="23" w16cid:durableId="1891649822">
    <w:abstractNumId w:val="14"/>
  </w:num>
  <w:num w:numId="24" w16cid:durableId="209414853">
    <w:abstractNumId w:val="17"/>
  </w:num>
  <w:num w:numId="25" w16cid:durableId="506019183">
    <w:abstractNumId w:val="1"/>
  </w:num>
  <w:num w:numId="26" w16cid:durableId="1780292314">
    <w:abstractNumId w:val="11"/>
  </w:num>
  <w:num w:numId="27" w16cid:durableId="1366447848">
    <w:abstractNumId w:val="19"/>
  </w:num>
  <w:num w:numId="28" w16cid:durableId="1006131714">
    <w:abstractNumId w:val="10"/>
  </w:num>
  <w:num w:numId="29" w16cid:durableId="441150271">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31"/>
    <w:rsid w:val="00011C5A"/>
    <w:rsid w:val="00076B47"/>
    <w:rsid w:val="00086060"/>
    <w:rsid w:val="000A6967"/>
    <w:rsid w:val="000E5DFC"/>
    <w:rsid w:val="000F423E"/>
    <w:rsid w:val="00100B86"/>
    <w:rsid w:val="00132A1A"/>
    <w:rsid w:val="0018381E"/>
    <w:rsid w:val="001C6AF1"/>
    <w:rsid w:val="001E0424"/>
    <w:rsid w:val="00203E6C"/>
    <w:rsid w:val="00207BAF"/>
    <w:rsid w:val="0022467A"/>
    <w:rsid w:val="0026680B"/>
    <w:rsid w:val="0027264C"/>
    <w:rsid w:val="002A11A9"/>
    <w:rsid w:val="002C3743"/>
    <w:rsid w:val="002E121C"/>
    <w:rsid w:val="00304CE1"/>
    <w:rsid w:val="0030661F"/>
    <w:rsid w:val="003426FC"/>
    <w:rsid w:val="003E3EBF"/>
    <w:rsid w:val="003E5CA7"/>
    <w:rsid w:val="003E68E2"/>
    <w:rsid w:val="003E7F1F"/>
    <w:rsid w:val="003F6D42"/>
    <w:rsid w:val="0042257B"/>
    <w:rsid w:val="004661C2"/>
    <w:rsid w:val="00470B6A"/>
    <w:rsid w:val="0048511E"/>
    <w:rsid w:val="004A0FAC"/>
    <w:rsid w:val="004D6451"/>
    <w:rsid w:val="00542011"/>
    <w:rsid w:val="00550434"/>
    <w:rsid w:val="005A0AB6"/>
    <w:rsid w:val="00612CF7"/>
    <w:rsid w:val="006624FA"/>
    <w:rsid w:val="00672567"/>
    <w:rsid w:val="00685BB7"/>
    <w:rsid w:val="00706993"/>
    <w:rsid w:val="007124A3"/>
    <w:rsid w:val="007C75F7"/>
    <w:rsid w:val="007F288C"/>
    <w:rsid w:val="007F41B7"/>
    <w:rsid w:val="00805D46"/>
    <w:rsid w:val="0084024F"/>
    <w:rsid w:val="00845688"/>
    <w:rsid w:val="0089441B"/>
    <w:rsid w:val="008B0DE5"/>
    <w:rsid w:val="008F23F1"/>
    <w:rsid w:val="00970F7E"/>
    <w:rsid w:val="009768F4"/>
    <w:rsid w:val="00984E7C"/>
    <w:rsid w:val="009D288D"/>
    <w:rsid w:val="00A053D1"/>
    <w:rsid w:val="00A10E24"/>
    <w:rsid w:val="00AA0316"/>
    <w:rsid w:val="00AD0AE6"/>
    <w:rsid w:val="00AD1664"/>
    <w:rsid w:val="00AE0096"/>
    <w:rsid w:val="00B01D90"/>
    <w:rsid w:val="00B11CB4"/>
    <w:rsid w:val="00B341ED"/>
    <w:rsid w:val="00B46C53"/>
    <w:rsid w:val="00B500C6"/>
    <w:rsid w:val="00B7608F"/>
    <w:rsid w:val="00BA1C74"/>
    <w:rsid w:val="00BA751D"/>
    <w:rsid w:val="00BB6910"/>
    <w:rsid w:val="00C226DE"/>
    <w:rsid w:val="00C22AEF"/>
    <w:rsid w:val="00C31C29"/>
    <w:rsid w:val="00C361AE"/>
    <w:rsid w:val="00C60FC5"/>
    <w:rsid w:val="00C621C7"/>
    <w:rsid w:val="00C6377D"/>
    <w:rsid w:val="00C85E23"/>
    <w:rsid w:val="00C96593"/>
    <w:rsid w:val="00CA7539"/>
    <w:rsid w:val="00CB2C4A"/>
    <w:rsid w:val="00CC63A1"/>
    <w:rsid w:val="00CE67A6"/>
    <w:rsid w:val="00CF0225"/>
    <w:rsid w:val="00CF20DD"/>
    <w:rsid w:val="00CF3EDE"/>
    <w:rsid w:val="00CF516D"/>
    <w:rsid w:val="00D12031"/>
    <w:rsid w:val="00D15404"/>
    <w:rsid w:val="00D17336"/>
    <w:rsid w:val="00D62341"/>
    <w:rsid w:val="00D62D24"/>
    <w:rsid w:val="00DB65FF"/>
    <w:rsid w:val="00DE4DF4"/>
    <w:rsid w:val="00E43711"/>
    <w:rsid w:val="00E75072"/>
    <w:rsid w:val="00E97B90"/>
    <w:rsid w:val="00F2305E"/>
    <w:rsid w:val="00F57BEF"/>
    <w:rsid w:val="00F6682E"/>
    <w:rsid w:val="00F671F6"/>
    <w:rsid w:val="00FA528F"/>
    <w:rsid w:val="00FD713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8782"/>
  <w15:docId w15:val="{1CD2F336-C71E-47E2-B19C-FEAB35E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BB7"/>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uiPriority w:val="9"/>
    <w:qFormat/>
    <w:pPr>
      <w:keepNext/>
      <w:keepLines/>
      <w:spacing w:after="0" w:line="240" w:lineRule="auto"/>
      <w:ind w:right="0"/>
      <w:jc w:val="left"/>
      <w:outlineLvl w:val="0"/>
    </w:pPr>
  </w:style>
  <w:style w:type="paragraph" w:styleId="Heading2">
    <w:name w:val="heading 2"/>
    <w:basedOn w:val="Normal"/>
    <w:next w:val="Normal"/>
    <w:link w:val="Heading2Char"/>
    <w:uiPriority w:val="9"/>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uiPriority w:val="9"/>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uiPriority w:val="9"/>
    <w:semiHidden/>
    <w:qFormat/>
    <w:pPr>
      <w:kinsoku w:val="0"/>
      <w:overflowPunct w:val="0"/>
      <w:autoSpaceDE w:val="0"/>
      <w:autoSpaceDN w:val="0"/>
      <w:adjustRightInd w:val="0"/>
      <w:snapToGrid w:val="0"/>
      <w:outlineLvl w:val="3"/>
    </w:pPr>
    <w:rPr>
      <w:rFonts w:eastAsiaTheme="minorHAnsi"/>
      <w:lang w:val="fr-CH"/>
    </w:rPr>
  </w:style>
  <w:style w:type="paragraph" w:styleId="Heading5">
    <w:name w:val="heading 5"/>
    <w:aliases w:val="Table Heading"/>
    <w:basedOn w:val="Normal"/>
    <w:next w:val="Normal"/>
    <w:link w:val="Heading5Char"/>
    <w:uiPriority w:val="9"/>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uiPriority w:val="9"/>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uiPriority w:val="9"/>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uiPriority w:val="9"/>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uiPriority w:val="9"/>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uiPriority w:val="99"/>
    <w:rPr>
      <w:rFonts w:ascii="Times New Roman" w:hAnsi="Times New Roman" w:cs="Times New Roman"/>
      <w:b/>
      <w:sz w:val="18"/>
      <w:szCs w:val="20"/>
      <w:lang w:val="en-GB"/>
    </w:rPr>
  </w:style>
  <w:style w:type="paragraph" w:styleId="Footer">
    <w:name w:val="footer"/>
    <w:aliases w:val="3_G"/>
    <w:basedOn w:val="Normal"/>
    <w:link w:val="FooterChar"/>
    <w:uiPriority w:val="99"/>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uiPriority w:val="99"/>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5"/>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
    <w:basedOn w:val="DefaultParagraphFont"/>
    <w:uiPriority w:val="99"/>
    <w:qFormat/>
    <w:rPr>
      <w:rFonts w:ascii="Times New Roman" w:hAnsi="Times New Roman"/>
      <w:sz w:val="18"/>
      <w:vertAlign w:val="superscript"/>
      <w:lang w:val="en-GB"/>
    </w:rPr>
  </w:style>
  <w:style w:type="character" w:styleId="EndnoteReference">
    <w:name w:val="endnote reference"/>
    <w:aliases w:val="1_G"/>
    <w:basedOn w:val="FootnoteReference"/>
    <w:qFormat/>
    <w:rPr>
      <w:rFonts w:ascii="Times New Roman" w:hAnsi="Times New Roman"/>
      <w:sz w:val="18"/>
      <w:vertAlign w:val="superscript"/>
      <w:lang w:val="en-GB"/>
    </w:rPr>
  </w:style>
  <w:style w:type="table" w:styleId="TableGrid">
    <w:name w:val="Table Grid"/>
    <w:basedOn w:val="TableNormal"/>
    <w:uiPriority w:val="39"/>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Pr>
      <w:color w:val="0000FF"/>
      <w:u w:val="none"/>
    </w:rPr>
  </w:style>
  <w:style w:type="character" w:styleId="FollowedHyperlink">
    <w:name w:val="FollowedHyperlink"/>
    <w:basedOn w:val="DefaultParagraphFont"/>
    <w:uiPriority w:val="99"/>
    <w:semiHidden/>
    <w:rPr>
      <w:color w:val="0000FF"/>
      <w:u w:val="none"/>
    </w:rPr>
  </w:style>
  <w:style w:type="paragraph" w:styleId="FootnoteText">
    <w:name w:val="footnote text"/>
    <w:aliases w:val="5_G"/>
    <w:basedOn w:val="Normal"/>
    <w:link w:val="FootnoteTextChar"/>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
    <w:basedOn w:val="DefaultParagraphFont"/>
    <w:link w:val="FootnoteText"/>
    <w:uiPriority w:val="99"/>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uiPriority w:val="99"/>
    <w:qFormat/>
    <w:rPr>
      <w:rFonts w:ascii="Times New Roman" w:hAnsi="Times New Roman"/>
      <w:b/>
      <w:sz w:val="18"/>
      <w:lang w:val="en-GB"/>
    </w:rPr>
  </w:style>
  <w:style w:type="character" w:customStyle="1" w:styleId="Heading1Char">
    <w:name w:val="Heading 1 Char"/>
    <w:aliases w:val="Table_G Char"/>
    <w:basedOn w:val="DefaultParagraphFont"/>
    <w:link w:val="Heading1"/>
    <w:uiPriority w:val="9"/>
    <w:rPr>
      <w:rFonts w:ascii="Times New Roman" w:hAnsi="Times New Roman" w:cs="Times New Roman"/>
      <w:sz w:val="20"/>
      <w:szCs w:val="20"/>
    </w:rPr>
  </w:style>
  <w:style w:type="character" w:customStyle="1" w:styleId="Heading2Char">
    <w:name w:val="Heading 2 Char"/>
    <w:basedOn w:val="DefaultParagraphFont"/>
    <w:link w:val="Heading2"/>
    <w:uiPriority w:val="9"/>
    <w:rPr>
      <w:rFonts w:ascii="Times New Roman" w:hAnsi="Times New Roman" w:cs="Times New Roman"/>
      <w:sz w:val="20"/>
      <w:szCs w:val="20"/>
    </w:rPr>
  </w:style>
  <w:style w:type="character" w:customStyle="1" w:styleId="Heading3Char">
    <w:name w:val="Heading 3 Char"/>
    <w:basedOn w:val="DefaultParagraphFont"/>
    <w:link w:val="Heading3"/>
    <w:uiPriority w:val="9"/>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Pr>
      <w:rFonts w:ascii="Times New Roman" w:hAnsi="Times New Roman" w:cs="Times New Roman"/>
      <w:sz w:val="20"/>
      <w:szCs w:val="20"/>
    </w:rPr>
  </w:style>
  <w:style w:type="character" w:customStyle="1" w:styleId="Heading5Char">
    <w:name w:val="Heading 5 Char"/>
    <w:aliases w:val="Table Heading Char"/>
    <w:basedOn w:val="DefaultParagraphFont"/>
    <w:link w:val="Heading5"/>
    <w:uiPriority w:val="9"/>
    <w:rPr>
      <w:rFonts w:ascii="Times New Roman" w:hAnsi="Times New Roman" w:cs="Times New Roman"/>
      <w:sz w:val="20"/>
      <w:szCs w:val="20"/>
    </w:rPr>
  </w:style>
  <w:style w:type="character" w:customStyle="1" w:styleId="Heading6Char">
    <w:name w:val="Heading 6 Char"/>
    <w:basedOn w:val="DefaultParagraphFont"/>
    <w:link w:val="Heading6"/>
    <w:uiPriority w:val="9"/>
    <w:semiHidden/>
    <w:rPr>
      <w:rFonts w:ascii="Times New Roman" w:hAnsi="Times New Roman" w:cs="Times New Roman"/>
      <w:sz w:val="20"/>
      <w:szCs w:val="20"/>
    </w:rPr>
  </w:style>
  <w:style w:type="character" w:customStyle="1" w:styleId="Heading7Char">
    <w:name w:val="Heading 7 Char"/>
    <w:basedOn w:val="DefaultParagraphFont"/>
    <w:link w:val="Heading7"/>
    <w:uiPriority w:val="9"/>
    <w:semiHidden/>
    <w:rPr>
      <w:rFonts w:ascii="Times New Roman" w:hAnsi="Times New Roman" w:cs="Times New Roman"/>
      <w:sz w:val="20"/>
      <w:szCs w:val="20"/>
    </w:rPr>
  </w:style>
  <w:style w:type="character" w:customStyle="1" w:styleId="Heading8Char">
    <w:name w:val="Heading 8 Char"/>
    <w:basedOn w:val="DefaultParagraphFont"/>
    <w:link w:val="Heading8"/>
    <w:uiPriority w:val="9"/>
    <w:semiHidden/>
    <w:rPr>
      <w:rFonts w:ascii="Times New Roman" w:hAnsi="Times New Roman" w:cs="Times New Roman"/>
      <w:sz w:val="20"/>
      <w:szCs w:val="20"/>
    </w:rPr>
  </w:style>
  <w:style w:type="character" w:customStyle="1" w:styleId="Heading9Char">
    <w:name w:val="Heading 9 Char"/>
    <w:basedOn w:val="DefaultParagraphFont"/>
    <w:link w:val="Heading9"/>
    <w:uiPriority w:val="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itle">
    <w:name w:val="Title"/>
    <w:basedOn w:val="Normal"/>
    <w:next w:val="Normal"/>
    <w:link w:val="TitleChar"/>
    <w:uiPriority w:val="10"/>
    <w:qFormat/>
    <w:rsid w:val="00550434"/>
    <w:pPr>
      <w:suppressAutoHyphens w:val="0"/>
      <w:spacing w:after="80" w:line="240" w:lineRule="auto"/>
      <w:contextualSpacing/>
    </w:pPr>
    <w:rPr>
      <w:rFonts w:asciiTheme="majorHAnsi" w:eastAsiaTheme="majorEastAsia" w:hAnsiTheme="majorHAnsi" w:cstheme="majorBidi"/>
      <w:spacing w:val="-10"/>
      <w:kern w:val="28"/>
      <w:sz w:val="56"/>
      <w:szCs w:val="56"/>
      <w:lang w:val="en-ZA" w:eastAsia="en-GB"/>
    </w:rPr>
  </w:style>
  <w:style w:type="character" w:customStyle="1" w:styleId="TitleChar">
    <w:name w:val="Title Char"/>
    <w:basedOn w:val="DefaultParagraphFont"/>
    <w:link w:val="Title"/>
    <w:uiPriority w:val="10"/>
    <w:rsid w:val="00550434"/>
    <w:rPr>
      <w:rFonts w:asciiTheme="majorHAnsi" w:eastAsiaTheme="majorEastAsia" w:hAnsiTheme="majorHAnsi" w:cstheme="majorBidi"/>
      <w:spacing w:val="-10"/>
      <w:kern w:val="28"/>
      <w:sz w:val="56"/>
      <w:szCs w:val="56"/>
      <w:lang w:val="en-ZA" w:eastAsia="en-GB"/>
    </w:rPr>
  </w:style>
  <w:style w:type="paragraph" w:styleId="Subtitle">
    <w:name w:val="Subtitle"/>
    <w:basedOn w:val="Normal"/>
    <w:next w:val="Normal"/>
    <w:link w:val="SubtitleChar"/>
    <w:uiPriority w:val="11"/>
    <w:qFormat/>
    <w:rsid w:val="00550434"/>
    <w:pPr>
      <w:numPr>
        <w:ilvl w:val="1"/>
      </w:numPr>
      <w:suppressAutoHyphens w:val="0"/>
      <w:spacing w:line="240" w:lineRule="auto"/>
    </w:pPr>
    <w:rPr>
      <w:rFonts w:eastAsiaTheme="majorEastAsia" w:cstheme="majorBidi"/>
      <w:color w:val="595959" w:themeColor="text1" w:themeTint="A6"/>
      <w:spacing w:val="15"/>
      <w:sz w:val="28"/>
      <w:szCs w:val="28"/>
      <w:lang w:val="en-ZA" w:eastAsia="en-GB"/>
    </w:rPr>
  </w:style>
  <w:style w:type="character" w:customStyle="1" w:styleId="SubtitleChar">
    <w:name w:val="Subtitle Char"/>
    <w:basedOn w:val="DefaultParagraphFont"/>
    <w:link w:val="Subtitle"/>
    <w:uiPriority w:val="11"/>
    <w:rsid w:val="00550434"/>
    <w:rPr>
      <w:rFonts w:ascii="Times New Roman" w:eastAsiaTheme="majorEastAsia" w:hAnsi="Times New Roman" w:cstheme="majorBidi"/>
      <w:color w:val="595959" w:themeColor="text1" w:themeTint="A6"/>
      <w:spacing w:val="15"/>
      <w:sz w:val="28"/>
      <w:szCs w:val="28"/>
      <w:lang w:val="en-ZA" w:eastAsia="en-GB"/>
    </w:rPr>
  </w:style>
  <w:style w:type="paragraph" w:styleId="Quote">
    <w:name w:val="Quote"/>
    <w:basedOn w:val="Normal"/>
    <w:next w:val="Normal"/>
    <w:link w:val="QuoteChar"/>
    <w:uiPriority w:val="29"/>
    <w:qFormat/>
    <w:rsid w:val="00550434"/>
    <w:pPr>
      <w:suppressAutoHyphens w:val="0"/>
      <w:spacing w:before="160" w:line="240" w:lineRule="auto"/>
      <w:jc w:val="center"/>
    </w:pPr>
    <w:rPr>
      <w:i/>
      <w:iCs/>
      <w:color w:val="404040" w:themeColor="text1" w:themeTint="BF"/>
      <w:sz w:val="24"/>
      <w:szCs w:val="24"/>
      <w:lang w:val="en-ZA" w:eastAsia="en-GB"/>
    </w:rPr>
  </w:style>
  <w:style w:type="character" w:customStyle="1" w:styleId="QuoteChar">
    <w:name w:val="Quote Char"/>
    <w:basedOn w:val="DefaultParagraphFont"/>
    <w:link w:val="Quote"/>
    <w:uiPriority w:val="29"/>
    <w:rsid w:val="00550434"/>
    <w:rPr>
      <w:rFonts w:ascii="Times New Roman" w:eastAsia="Times New Roman" w:hAnsi="Times New Roman" w:cs="Times New Roman"/>
      <w:i/>
      <w:iCs/>
      <w:color w:val="404040" w:themeColor="text1" w:themeTint="BF"/>
      <w:sz w:val="24"/>
      <w:szCs w:val="24"/>
      <w:lang w:val="en-ZA" w:eastAsia="en-GB"/>
    </w:rPr>
  </w:style>
  <w:style w:type="paragraph" w:styleId="ListParagraph">
    <w:name w:val="List Paragraph"/>
    <w:aliases w:val="List Paragraph - 2,List Paragraph 1,Chapter Numbering,Riana Table Bullets 1,EOH bullet,Use Case List Paragraph,Recommendation,List Paragraph1,Bullet List,Table of contents numbered,Indent Paragraph,Bullets,footer text,Numbered,Ha,Referenc"/>
    <w:basedOn w:val="Normal"/>
    <w:link w:val="ListParagraphChar"/>
    <w:uiPriority w:val="1"/>
    <w:qFormat/>
    <w:rsid w:val="00550434"/>
    <w:pPr>
      <w:suppressAutoHyphens w:val="0"/>
      <w:spacing w:line="240" w:lineRule="auto"/>
      <w:ind w:left="720"/>
      <w:contextualSpacing/>
    </w:pPr>
    <w:rPr>
      <w:sz w:val="24"/>
      <w:szCs w:val="24"/>
      <w:lang w:val="en-ZA" w:eastAsia="en-GB"/>
    </w:rPr>
  </w:style>
  <w:style w:type="character" w:styleId="IntenseEmphasis">
    <w:name w:val="Intense Emphasis"/>
    <w:basedOn w:val="DefaultParagraphFont"/>
    <w:uiPriority w:val="21"/>
    <w:qFormat/>
    <w:rsid w:val="00550434"/>
    <w:rPr>
      <w:i/>
      <w:iCs/>
      <w:color w:val="365F91" w:themeColor="accent1" w:themeShade="BF"/>
    </w:rPr>
  </w:style>
  <w:style w:type="paragraph" w:styleId="IntenseQuote">
    <w:name w:val="Intense Quote"/>
    <w:basedOn w:val="Normal"/>
    <w:next w:val="Normal"/>
    <w:link w:val="IntenseQuoteChar"/>
    <w:uiPriority w:val="30"/>
    <w:qFormat/>
    <w:rsid w:val="00550434"/>
    <w:pPr>
      <w:pBdr>
        <w:top w:val="single" w:sz="4" w:space="10" w:color="365F91" w:themeColor="accent1" w:themeShade="BF"/>
        <w:bottom w:val="single" w:sz="4" w:space="10" w:color="365F91" w:themeColor="accent1" w:themeShade="BF"/>
      </w:pBdr>
      <w:suppressAutoHyphens w:val="0"/>
      <w:spacing w:before="360" w:after="360" w:line="240" w:lineRule="auto"/>
      <w:ind w:left="864" w:right="864"/>
      <w:jc w:val="center"/>
    </w:pPr>
    <w:rPr>
      <w:i/>
      <w:iCs/>
      <w:color w:val="365F91" w:themeColor="accent1" w:themeShade="BF"/>
      <w:sz w:val="24"/>
      <w:szCs w:val="24"/>
      <w:lang w:val="en-ZA" w:eastAsia="en-GB"/>
    </w:rPr>
  </w:style>
  <w:style w:type="character" w:customStyle="1" w:styleId="IntenseQuoteChar">
    <w:name w:val="Intense Quote Char"/>
    <w:basedOn w:val="DefaultParagraphFont"/>
    <w:link w:val="IntenseQuote"/>
    <w:uiPriority w:val="30"/>
    <w:rsid w:val="00550434"/>
    <w:rPr>
      <w:rFonts w:ascii="Times New Roman" w:eastAsia="Times New Roman" w:hAnsi="Times New Roman" w:cs="Times New Roman"/>
      <w:i/>
      <w:iCs/>
      <w:color w:val="365F91" w:themeColor="accent1" w:themeShade="BF"/>
      <w:sz w:val="24"/>
      <w:szCs w:val="24"/>
      <w:lang w:val="en-ZA" w:eastAsia="en-GB"/>
    </w:rPr>
  </w:style>
  <w:style w:type="character" w:styleId="IntenseReference">
    <w:name w:val="Intense Reference"/>
    <w:basedOn w:val="DefaultParagraphFont"/>
    <w:uiPriority w:val="32"/>
    <w:qFormat/>
    <w:rsid w:val="00550434"/>
    <w:rPr>
      <w:b/>
      <w:bCs/>
      <w:smallCaps/>
      <w:color w:val="365F91" w:themeColor="accent1" w:themeShade="BF"/>
      <w:spacing w:val="5"/>
    </w:rPr>
  </w:style>
  <w:style w:type="paragraph" w:customStyle="1" w:styleId="MthenteHeading3">
    <w:name w:val="Mthente Heading 3"/>
    <w:basedOn w:val="Normal"/>
    <w:autoRedefine/>
    <w:qFormat/>
    <w:rsid w:val="00550434"/>
    <w:pPr>
      <w:keepNext/>
      <w:keepLines/>
      <w:suppressAutoHyphens w:val="0"/>
      <w:spacing w:before="120" w:after="240"/>
      <w:outlineLvl w:val="1"/>
    </w:pPr>
    <w:rPr>
      <w:rFonts w:ascii="Times" w:hAnsi="Times"/>
      <w:i/>
      <w:noProof/>
      <w:kern w:val="28"/>
      <w:sz w:val="28"/>
      <w:szCs w:val="24"/>
      <w:lang w:val="en-ZA" w:eastAsia="en-GB"/>
    </w:rPr>
  </w:style>
  <w:style w:type="paragraph" w:styleId="NoSpacing">
    <w:name w:val="No Spacing"/>
    <w:aliases w:val="Nr Third Sub-Heading"/>
    <w:next w:val="Normal"/>
    <w:link w:val="NoSpacingChar"/>
    <w:autoRedefine/>
    <w:uiPriority w:val="1"/>
    <w:qFormat/>
    <w:rsid w:val="00550434"/>
    <w:pPr>
      <w:numPr>
        <w:numId w:val="6"/>
      </w:numPr>
      <w:tabs>
        <w:tab w:val="left" w:pos="851"/>
      </w:tabs>
      <w:spacing w:after="0" w:line="240" w:lineRule="auto"/>
      <w:ind w:left="0" w:firstLine="0"/>
      <w:contextualSpacing/>
      <w:jc w:val="both"/>
    </w:pPr>
    <w:rPr>
      <w:rFonts w:eastAsia="Times New Roman"/>
      <w:i/>
      <w:kern w:val="2"/>
      <w:szCs w:val="24"/>
      <w:lang w:val="en-GB"/>
      <w14:ligatures w14:val="standardContextual"/>
    </w:rPr>
  </w:style>
  <w:style w:type="character" w:customStyle="1" w:styleId="NoSpacingChar">
    <w:name w:val="No Spacing Char"/>
    <w:aliases w:val="Nr Third Sub-Heading Char"/>
    <w:link w:val="NoSpacing"/>
    <w:uiPriority w:val="1"/>
    <w:rsid w:val="00550434"/>
    <w:rPr>
      <w:rFonts w:eastAsia="Times New Roman"/>
      <w:i/>
      <w:kern w:val="2"/>
      <w:szCs w:val="24"/>
      <w:lang w:val="en-GB"/>
      <w14:ligatures w14:val="standardContextual"/>
    </w:rPr>
  </w:style>
  <w:style w:type="paragraph" w:customStyle="1" w:styleId="TABLEOFTables">
    <w:name w:val="TABLE OF Tables"/>
    <w:basedOn w:val="TableofFigures"/>
    <w:qFormat/>
    <w:rsid w:val="00550434"/>
    <w:rPr>
      <w:color w:val="000000"/>
    </w:rPr>
  </w:style>
  <w:style w:type="paragraph" w:styleId="TableofFigures">
    <w:name w:val="table of figures"/>
    <w:basedOn w:val="Normal"/>
    <w:next w:val="Normal"/>
    <w:autoRedefine/>
    <w:uiPriority w:val="99"/>
    <w:unhideWhenUsed/>
    <w:qFormat/>
    <w:rsid w:val="00550434"/>
    <w:pPr>
      <w:suppressAutoHyphens w:val="0"/>
      <w:spacing w:line="240" w:lineRule="auto"/>
    </w:pPr>
    <w:rPr>
      <w:rFonts w:ascii="Calibri" w:hAnsi="Calibri"/>
      <w:i/>
      <w:color w:val="7F7F7F" w:themeColor="text1" w:themeTint="80"/>
      <w:sz w:val="24"/>
      <w:szCs w:val="24"/>
      <w:lang w:val="en-ZA" w:eastAsia="en-GB"/>
    </w:rPr>
  </w:style>
  <w:style w:type="paragraph" w:customStyle="1" w:styleId="MthenteHeader2015">
    <w:name w:val="Mthente Header 2015"/>
    <w:basedOn w:val="Normal"/>
    <w:autoRedefine/>
    <w:qFormat/>
    <w:rsid w:val="00550434"/>
    <w:pPr>
      <w:tabs>
        <w:tab w:val="right" w:leader="dot" w:pos="8789"/>
      </w:tabs>
      <w:suppressAutoHyphens w:val="0"/>
      <w:overflowPunct w:val="0"/>
      <w:autoSpaceDE w:val="0"/>
      <w:autoSpaceDN w:val="0"/>
      <w:adjustRightInd w:val="0"/>
      <w:spacing w:after="240"/>
      <w:textAlignment w:val="baseline"/>
    </w:pPr>
    <w:rPr>
      <w:rFonts w:ascii="Arial" w:hAnsi="Arial"/>
      <w:noProof/>
      <w:color w:val="CB5509"/>
      <w:sz w:val="28"/>
      <w:szCs w:val="28"/>
      <w:lang w:val="en-ZA"/>
    </w:rPr>
  </w:style>
  <w:style w:type="paragraph" w:customStyle="1" w:styleId="MthenteHeading1">
    <w:name w:val="Mthente Heading 1"/>
    <w:basedOn w:val="Heading1"/>
    <w:autoRedefine/>
    <w:qFormat/>
    <w:rsid w:val="00550434"/>
    <w:pPr>
      <w:tabs>
        <w:tab w:val="clear" w:pos="1701"/>
        <w:tab w:val="clear" w:pos="2268"/>
        <w:tab w:val="clear" w:pos="2835"/>
        <w:tab w:val="left" w:pos="284"/>
      </w:tabs>
      <w:suppressAutoHyphens w:val="0"/>
      <w:kinsoku/>
      <w:overflowPunct/>
      <w:autoSpaceDE/>
      <w:autoSpaceDN/>
      <w:adjustRightInd/>
      <w:snapToGrid/>
      <w:spacing w:before="240"/>
      <w:ind w:left="0"/>
    </w:pPr>
    <w:rPr>
      <w:rFonts w:asciiTheme="majorHAnsi" w:eastAsiaTheme="majorEastAsia" w:hAnsiTheme="majorHAnsi" w:cstheme="majorBidi"/>
      <w:b/>
      <w:bCs/>
      <w:color w:val="CB5527"/>
      <w:sz w:val="32"/>
      <w:szCs w:val="32"/>
      <w:lang w:eastAsia="en-GB"/>
    </w:rPr>
  </w:style>
  <w:style w:type="paragraph" w:customStyle="1" w:styleId="Mthente201511">
    <w:name w:val="Mthente 2015 1.1"/>
    <w:basedOn w:val="Normal"/>
    <w:autoRedefine/>
    <w:qFormat/>
    <w:rsid w:val="00550434"/>
    <w:pPr>
      <w:keepNext/>
      <w:keepLines/>
      <w:suppressAutoHyphens w:val="0"/>
      <w:spacing w:before="120" w:after="240"/>
      <w:outlineLvl w:val="1"/>
    </w:pPr>
    <w:rPr>
      <w:rFonts w:ascii="Arial" w:hAnsi="Arial" w:cs="Arial"/>
      <w:b/>
      <w:noProof/>
      <w:color w:val="5F0608"/>
      <w:kern w:val="28"/>
      <w:sz w:val="24"/>
      <w:szCs w:val="24"/>
      <w:lang w:val="en-ZA"/>
    </w:rPr>
  </w:style>
  <w:style w:type="paragraph" w:customStyle="1" w:styleId="Heading11">
    <w:name w:val="Heading 11"/>
    <w:basedOn w:val="Normal"/>
    <w:autoRedefine/>
    <w:qFormat/>
    <w:rsid w:val="00550434"/>
    <w:pPr>
      <w:suppressAutoHyphens w:val="0"/>
      <w:spacing w:line="240" w:lineRule="auto"/>
    </w:pPr>
    <w:rPr>
      <w:rFonts w:ascii="Arial" w:eastAsia="Times" w:hAnsi="Arial"/>
      <w:noProof/>
      <w:color w:val="943634" w:themeColor="accent2" w:themeShade="BF"/>
      <w:sz w:val="24"/>
      <w:szCs w:val="24"/>
      <w:lang w:val="en-ZA"/>
    </w:rPr>
  </w:style>
  <w:style w:type="paragraph" w:customStyle="1" w:styleId="Style1">
    <w:name w:val="Style1"/>
    <w:basedOn w:val="Heading11"/>
    <w:autoRedefine/>
    <w:qFormat/>
    <w:rsid w:val="00550434"/>
    <w:rPr>
      <w:rFonts w:asciiTheme="minorHAnsi" w:hAnsiTheme="minorHAnsi"/>
      <w:b/>
      <w:bCs/>
      <w:smallCaps/>
      <w:color w:val="000000"/>
    </w:rPr>
  </w:style>
  <w:style w:type="paragraph" w:customStyle="1" w:styleId="MthenteMainBody">
    <w:name w:val="Mthente Main Body"/>
    <w:basedOn w:val="Normal"/>
    <w:autoRedefine/>
    <w:qFormat/>
    <w:rsid w:val="00550434"/>
    <w:pPr>
      <w:suppressAutoHyphens w:val="0"/>
      <w:autoSpaceDE w:val="0"/>
      <w:autoSpaceDN w:val="0"/>
      <w:adjustRightInd w:val="0"/>
      <w:spacing w:line="360" w:lineRule="auto"/>
    </w:pPr>
    <w:rPr>
      <w:rFonts w:ascii="Arial Narrow" w:eastAsia="MS Mincho" w:hAnsi="Arial Narrow" w:cs="Arial"/>
      <w:sz w:val="24"/>
      <w:szCs w:val="24"/>
      <w:lang w:val="en-ZA"/>
    </w:rPr>
  </w:style>
  <w:style w:type="paragraph" w:customStyle="1" w:styleId="MthenteMainHeading">
    <w:name w:val="Mthente  Main Heading"/>
    <w:basedOn w:val="Normal"/>
    <w:autoRedefine/>
    <w:qFormat/>
    <w:rsid w:val="00550434"/>
    <w:pPr>
      <w:tabs>
        <w:tab w:val="right" w:leader="dot" w:pos="8789"/>
      </w:tabs>
      <w:suppressAutoHyphens w:val="0"/>
      <w:overflowPunct w:val="0"/>
      <w:autoSpaceDE w:val="0"/>
      <w:autoSpaceDN w:val="0"/>
      <w:adjustRightInd w:val="0"/>
      <w:spacing w:after="240"/>
      <w:textAlignment w:val="baseline"/>
    </w:pPr>
    <w:rPr>
      <w:rFonts w:ascii="Arial" w:hAnsi="Arial"/>
      <w:noProof/>
      <w:color w:val="CB5509"/>
      <w:sz w:val="28"/>
      <w:szCs w:val="28"/>
      <w:lang w:val="en-ZA"/>
    </w:rPr>
  </w:style>
  <w:style w:type="paragraph" w:customStyle="1" w:styleId="MthenteTableHeading">
    <w:name w:val="Mthente Table Heading"/>
    <w:basedOn w:val="MthenteMainBody"/>
    <w:autoRedefine/>
    <w:qFormat/>
    <w:rsid w:val="00550434"/>
    <w:rPr>
      <w:i/>
    </w:rPr>
  </w:style>
  <w:style w:type="paragraph" w:customStyle="1" w:styleId="MthenteSubheading2">
    <w:name w:val="Mthente Subheading 2"/>
    <w:basedOn w:val="Normal"/>
    <w:autoRedefine/>
    <w:qFormat/>
    <w:rsid w:val="00550434"/>
    <w:pPr>
      <w:keepNext/>
      <w:keepLines/>
      <w:suppressAutoHyphens w:val="0"/>
      <w:spacing w:before="120" w:after="240"/>
      <w:outlineLvl w:val="1"/>
    </w:pPr>
    <w:rPr>
      <w:rFonts w:ascii="Times" w:hAnsi="Times"/>
      <w:i/>
      <w:noProof/>
      <w:kern w:val="28"/>
      <w:sz w:val="28"/>
      <w:szCs w:val="24"/>
      <w:lang w:val="en-ZA" w:eastAsia="en-GB"/>
    </w:rPr>
  </w:style>
  <w:style w:type="paragraph" w:customStyle="1" w:styleId="MthenteSubheading1">
    <w:name w:val="Mthente  Subheading 1"/>
    <w:basedOn w:val="Heading2"/>
    <w:autoRedefine/>
    <w:qFormat/>
    <w:rsid w:val="00550434"/>
    <w:pPr>
      <w:keepNext/>
      <w:suppressAutoHyphens w:val="0"/>
      <w:kinsoku/>
      <w:overflowPunct/>
      <w:autoSpaceDE/>
      <w:autoSpaceDN/>
      <w:adjustRightInd/>
      <w:snapToGrid/>
      <w:spacing w:before="200" w:after="60" w:line="276" w:lineRule="auto"/>
    </w:pPr>
    <w:rPr>
      <w:rFonts w:ascii="Arial Narrow" w:eastAsia="MS Gothic" w:hAnsi="Arial Narrow"/>
      <w:iCs/>
      <w:color w:val="5F0608"/>
      <w:sz w:val="28"/>
      <w:szCs w:val="28"/>
      <w:lang w:val="en-GB" w:eastAsia="en-GB"/>
    </w:rPr>
  </w:style>
  <w:style w:type="paragraph" w:customStyle="1" w:styleId="GIZHeading3">
    <w:name w:val="GIZ Heading 3"/>
    <w:basedOn w:val="Heading2"/>
    <w:autoRedefine/>
    <w:qFormat/>
    <w:rsid w:val="00550434"/>
    <w:pPr>
      <w:keepNext/>
      <w:suppressAutoHyphens w:val="0"/>
      <w:kinsoku/>
      <w:overflowPunct/>
      <w:autoSpaceDE/>
      <w:autoSpaceDN/>
      <w:adjustRightInd/>
      <w:snapToGrid/>
      <w:spacing w:after="60" w:line="276" w:lineRule="auto"/>
    </w:pPr>
    <w:rPr>
      <w:rFonts w:ascii="Arial Narrow" w:eastAsia="MS Gothic" w:hAnsi="Arial Narrow"/>
      <w:b/>
      <w:bCs/>
      <w:i/>
      <w:iCs/>
      <w:sz w:val="28"/>
      <w:szCs w:val="28"/>
      <w:lang w:val="en-GB" w:eastAsia="en-GB"/>
    </w:rPr>
  </w:style>
  <w:style w:type="paragraph" w:styleId="Caption">
    <w:name w:val="caption"/>
    <w:basedOn w:val="Normal"/>
    <w:next w:val="Normal"/>
    <w:autoRedefine/>
    <w:uiPriority w:val="35"/>
    <w:unhideWhenUsed/>
    <w:qFormat/>
    <w:rsid w:val="00550434"/>
    <w:pPr>
      <w:suppressAutoHyphens w:val="0"/>
      <w:spacing w:line="240" w:lineRule="auto"/>
    </w:pPr>
    <w:rPr>
      <w:b/>
      <w:i/>
      <w:iCs/>
      <w:color w:val="4A442A" w:themeColor="background2" w:themeShade="40"/>
      <w:sz w:val="24"/>
      <w:szCs w:val="22"/>
      <w:lang w:val="en-ZA" w:eastAsia="en-GB"/>
    </w:rPr>
  </w:style>
  <w:style w:type="character" w:styleId="UnresolvedMention">
    <w:name w:val="Unresolved Mention"/>
    <w:basedOn w:val="DefaultParagraphFont"/>
    <w:uiPriority w:val="99"/>
    <w:unhideWhenUsed/>
    <w:rsid w:val="00550434"/>
    <w:rPr>
      <w:color w:val="605E5C"/>
      <w:shd w:val="clear" w:color="auto" w:fill="E1DFDD"/>
    </w:rPr>
  </w:style>
  <w:style w:type="character" w:styleId="CommentReference">
    <w:name w:val="annotation reference"/>
    <w:basedOn w:val="DefaultParagraphFont"/>
    <w:uiPriority w:val="99"/>
    <w:semiHidden/>
    <w:unhideWhenUsed/>
    <w:rsid w:val="00550434"/>
    <w:rPr>
      <w:sz w:val="16"/>
      <w:szCs w:val="16"/>
    </w:rPr>
  </w:style>
  <w:style w:type="paragraph" w:styleId="CommentText">
    <w:name w:val="annotation text"/>
    <w:basedOn w:val="Normal"/>
    <w:link w:val="CommentTextChar"/>
    <w:uiPriority w:val="99"/>
    <w:unhideWhenUsed/>
    <w:rsid w:val="00550434"/>
    <w:pPr>
      <w:suppressAutoHyphens w:val="0"/>
      <w:spacing w:line="240" w:lineRule="auto"/>
    </w:pPr>
    <w:rPr>
      <w:lang w:val="en-ZA" w:eastAsia="en-GB"/>
    </w:rPr>
  </w:style>
  <w:style w:type="character" w:customStyle="1" w:styleId="CommentTextChar">
    <w:name w:val="Comment Text Char"/>
    <w:basedOn w:val="DefaultParagraphFont"/>
    <w:link w:val="CommentText"/>
    <w:uiPriority w:val="99"/>
    <w:rsid w:val="00550434"/>
    <w:rPr>
      <w:rFonts w:ascii="Times New Roman" w:eastAsia="Times New Roman" w:hAnsi="Times New Roman" w:cs="Times New Roman"/>
      <w:sz w:val="20"/>
      <w:szCs w:val="20"/>
      <w:lang w:val="en-ZA" w:eastAsia="en-GB"/>
    </w:rPr>
  </w:style>
  <w:style w:type="paragraph" w:styleId="CommentSubject">
    <w:name w:val="annotation subject"/>
    <w:basedOn w:val="CommentText"/>
    <w:next w:val="CommentText"/>
    <w:link w:val="CommentSubjectChar"/>
    <w:uiPriority w:val="99"/>
    <w:semiHidden/>
    <w:unhideWhenUsed/>
    <w:rsid w:val="00550434"/>
    <w:rPr>
      <w:b/>
      <w:bCs/>
    </w:rPr>
  </w:style>
  <w:style w:type="character" w:customStyle="1" w:styleId="CommentSubjectChar">
    <w:name w:val="Comment Subject Char"/>
    <w:basedOn w:val="CommentTextChar"/>
    <w:link w:val="CommentSubject"/>
    <w:uiPriority w:val="99"/>
    <w:semiHidden/>
    <w:rsid w:val="00550434"/>
    <w:rPr>
      <w:rFonts w:ascii="Times New Roman" w:eastAsia="Times New Roman" w:hAnsi="Times New Roman" w:cs="Times New Roman"/>
      <w:b/>
      <w:bCs/>
      <w:sz w:val="20"/>
      <w:szCs w:val="20"/>
      <w:lang w:val="en-ZA" w:eastAsia="en-GB"/>
    </w:rPr>
  </w:style>
  <w:style w:type="paragraph" w:styleId="Revision">
    <w:name w:val="Revision"/>
    <w:hidden/>
    <w:uiPriority w:val="99"/>
    <w:semiHidden/>
    <w:rsid w:val="00550434"/>
    <w:pPr>
      <w:spacing w:after="0" w:line="240" w:lineRule="auto"/>
    </w:pPr>
    <w:rPr>
      <w:kern w:val="2"/>
      <w:sz w:val="24"/>
      <w:szCs w:val="24"/>
      <w:lang w:val="en-US"/>
      <w14:ligatures w14:val="standardContextual"/>
    </w:rPr>
  </w:style>
  <w:style w:type="paragraph" w:styleId="NormalWeb">
    <w:name w:val="Normal (Web)"/>
    <w:basedOn w:val="Normal"/>
    <w:uiPriority w:val="99"/>
    <w:unhideWhenUsed/>
    <w:rsid w:val="00550434"/>
    <w:pPr>
      <w:suppressAutoHyphens w:val="0"/>
      <w:spacing w:line="240" w:lineRule="auto"/>
    </w:pPr>
    <w:rPr>
      <w:sz w:val="24"/>
      <w:szCs w:val="24"/>
      <w:lang w:val="en-ZA" w:eastAsia="en-GB"/>
    </w:rPr>
  </w:style>
  <w:style w:type="character" w:styleId="Strong">
    <w:name w:val="Strong"/>
    <w:basedOn w:val="DefaultParagraphFont"/>
    <w:uiPriority w:val="22"/>
    <w:qFormat/>
    <w:rsid w:val="00550434"/>
    <w:rPr>
      <w:b/>
      <w:bCs/>
    </w:rPr>
  </w:style>
  <w:style w:type="character" w:styleId="Emphasis">
    <w:name w:val="Emphasis"/>
    <w:basedOn w:val="DefaultParagraphFont"/>
    <w:uiPriority w:val="20"/>
    <w:qFormat/>
    <w:rsid w:val="00550434"/>
    <w:rPr>
      <w:i/>
      <w:iCs/>
    </w:rPr>
  </w:style>
  <w:style w:type="paragraph" w:styleId="TOC1">
    <w:name w:val="toc 1"/>
    <w:basedOn w:val="Normal"/>
    <w:next w:val="Normal"/>
    <w:autoRedefine/>
    <w:uiPriority w:val="39"/>
    <w:unhideWhenUsed/>
    <w:rsid w:val="00550434"/>
    <w:pPr>
      <w:suppressAutoHyphens w:val="0"/>
      <w:spacing w:before="360" w:after="360" w:line="240" w:lineRule="auto"/>
    </w:pPr>
    <w:rPr>
      <w:b/>
      <w:bCs/>
      <w:caps/>
      <w:sz w:val="22"/>
      <w:szCs w:val="22"/>
      <w:u w:val="single"/>
      <w:lang w:val="en-ZA" w:eastAsia="en-GB"/>
    </w:rPr>
  </w:style>
  <w:style w:type="paragraph" w:styleId="TOC2">
    <w:name w:val="toc 2"/>
    <w:basedOn w:val="Normal"/>
    <w:next w:val="Normal"/>
    <w:autoRedefine/>
    <w:uiPriority w:val="39"/>
    <w:unhideWhenUsed/>
    <w:rsid w:val="00550434"/>
    <w:pPr>
      <w:suppressAutoHyphens w:val="0"/>
      <w:spacing w:line="240" w:lineRule="auto"/>
    </w:pPr>
    <w:rPr>
      <w:b/>
      <w:bCs/>
      <w:smallCaps/>
      <w:sz w:val="22"/>
      <w:szCs w:val="22"/>
      <w:lang w:val="en-ZA" w:eastAsia="en-GB"/>
    </w:rPr>
  </w:style>
  <w:style w:type="paragraph" w:styleId="TOC3">
    <w:name w:val="toc 3"/>
    <w:basedOn w:val="Normal"/>
    <w:next w:val="Normal"/>
    <w:autoRedefine/>
    <w:uiPriority w:val="39"/>
    <w:unhideWhenUsed/>
    <w:rsid w:val="00550434"/>
    <w:pPr>
      <w:suppressAutoHyphens w:val="0"/>
      <w:spacing w:line="240" w:lineRule="auto"/>
    </w:pPr>
    <w:rPr>
      <w:smallCaps/>
      <w:sz w:val="22"/>
      <w:szCs w:val="22"/>
      <w:lang w:val="en-ZA" w:eastAsia="en-GB"/>
    </w:rPr>
  </w:style>
  <w:style w:type="paragraph" w:styleId="TOC4">
    <w:name w:val="toc 4"/>
    <w:basedOn w:val="Normal"/>
    <w:next w:val="Normal"/>
    <w:autoRedefine/>
    <w:uiPriority w:val="39"/>
    <w:unhideWhenUsed/>
    <w:rsid w:val="00550434"/>
    <w:pPr>
      <w:suppressAutoHyphens w:val="0"/>
      <w:spacing w:line="240" w:lineRule="auto"/>
    </w:pPr>
    <w:rPr>
      <w:sz w:val="22"/>
      <w:szCs w:val="22"/>
      <w:lang w:val="en-ZA" w:eastAsia="en-GB"/>
    </w:rPr>
  </w:style>
  <w:style w:type="paragraph" w:styleId="TOC5">
    <w:name w:val="toc 5"/>
    <w:basedOn w:val="Normal"/>
    <w:next w:val="Normal"/>
    <w:autoRedefine/>
    <w:uiPriority w:val="39"/>
    <w:unhideWhenUsed/>
    <w:rsid w:val="00550434"/>
    <w:pPr>
      <w:suppressAutoHyphens w:val="0"/>
      <w:spacing w:line="240" w:lineRule="auto"/>
    </w:pPr>
    <w:rPr>
      <w:sz w:val="22"/>
      <w:szCs w:val="22"/>
      <w:lang w:val="en-ZA" w:eastAsia="en-GB"/>
    </w:rPr>
  </w:style>
  <w:style w:type="paragraph" w:styleId="TOC6">
    <w:name w:val="toc 6"/>
    <w:basedOn w:val="Normal"/>
    <w:next w:val="Normal"/>
    <w:autoRedefine/>
    <w:uiPriority w:val="39"/>
    <w:unhideWhenUsed/>
    <w:rsid w:val="00550434"/>
    <w:pPr>
      <w:suppressAutoHyphens w:val="0"/>
      <w:spacing w:line="240" w:lineRule="auto"/>
    </w:pPr>
    <w:rPr>
      <w:sz w:val="22"/>
      <w:szCs w:val="22"/>
      <w:lang w:val="en-ZA" w:eastAsia="en-GB"/>
    </w:rPr>
  </w:style>
  <w:style w:type="paragraph" w:styleId="TOC7">
    <w:name w:val="toc 7"/>
    <w:basedOn w:val="Normal"/>
    <w:next w:val="Normal"/>
    <w:autoRedefine/>
    <w:uiPriority w:val="39"/>
    <w:unhideWhenUsed/>
    <w:rsid w:val="00550434"/>
    <w:pPr>
      <w:suppressAutoHyphens w:val="0"/>
      <w:spacing w:line="240" w:lineRule="auto"/>
    </w:pPr>
    <w:rPr>
      <w:sz w:val="22"/>
      <w:szCs w:val="22"/>
      <w:lang w:val="en-ZA" w:eastAsia="en-GB"/>
    </w:rPr>
  </w:style>
  <w:style w:type="paragraph" w:styleId="TOC8">
    <w:name w:val="toc 8"/>
    <w:basedOn w:val="Normal"/>
    <w:next w:val="Normal"/>
    <w:autoRedefine/>
    <w:uiPriority w:val="39"/>
    <w:unhideWhenUsed/>
    <w:rsid w:val="00550434"/>
    <w:pPr>
      <w:suppressAutoHyphens w:val="0"/>
      <w:spacing w:line="240" w:lineRule="auto"/>
    </w:pPr>
    <w:rPr>
      <w:sz w:val="22"/>
      <w:szCs w:val="22"/>
      <w:lang w:val="en-ZA" w:eastAsia="en-GB"/>
    </w:rPr>
  </w:style>
  <w:style w:type="paragraph" w:styleId="TOC9">
    <w:name w:val="toc 9"/>
    <w:basedOn w:val="Normal"/>
    <w:next w:val="Normal"/>
    <w:autoRedefine/>
    <w:uiPriority w:val="39"/>
    <w:unhideWhenUsed/>
    <w:rsid w:val="00550434"/>
    <w:pPr>
      <w:suppressAutoHyphens w:val="0"/>
      <w:spacing w:line="240" w:lineRule="auto"/>
    </w:pPr>
    <w:rPr>
      <w:sz w:val="22"/>
      <w:szCs w:val="22"/>
      <w:lang w:val="en-ZA" w:eastAsia="en-GB"/>
    </w:rPr>
  </w:style>
  <w:style w:type="paragraph" w:customStyle="1" w:styleId="Default">
    <w:name w:val="Default"/>
    <w:rsid w:val="00550434"/>
    <w:pPr>
      <w:autoSpaceDE w:val="0"/>
      <w:autoSpaceDN w:val="0"/>
      <w:adjustRightInd w:val="0"/>
      <w:spacing w:after="0" w:line="240" w:lineRule="auto"/>
    </w:pPr>
    <w:rPr>
      <w:rFonts w:ascii="Arial" w:hAnsi="Arial" w:cs="Arial"/>
      <w:color w:val="000000"/>
      <w:sz w:val="24"/>
      <w:szCs w:val="24"/>
      <w:lang w:val="en-GB"/>
      <w14:ligatures w14:val="standardContextual"/>
    </w:rPr>
  </w:style>
  <w:style w:type="paragraph" w:styleId="BodyText">
    <w:name w:val="Body Text"/>
    <w:basedOn w:val="Normal"/>
    <w:link w:val="BodyTextChar"/>
    <w:uiPriority w:val="1"/>
    <w:qFormat/>
    <w:rsid w:val="00550434"/>
    <w:pPr>
      <w:widowControl w:val="0"/>
      <w:suppressAutoHyphens w:val="0"/>
      <w:autoSpaceDE w:val="0"/>
      <w:autoSpaceDN w:val="0"/>
      <w:spacing w:before="123" w:line="240" w:lineRule="auto"/>
      <w:ind w:left="1273" w:firstLine="568"/>
      <w:jc w:val="both"/>
    </w:pPr>
    <w:rPr>
      <w:lang w:val="en-ZA" w:eastAsia="en-GB"/>
    </w:rPr>
  </w:style>
  <w:style w:type="character" w:customStyle="1" w:styleId="BodyTextChar">
    <w:name w:val="Body Text Char"/>
    <w:basedOn w:val="DefaultParagraphFont"/>
    <w:link w:val="BodyText"/>
    <w:uiPriority w:val="1"/>
    <w:rsid w:val="00550434"/>
    <w:rPr>
      <w:rFonts w:ascii="Times New Roman" w:eastAsia="Times New Roman" w:hAnsi="Times New Roman" w:cs="Times New Roman"/>
      <w:sz w:val="20"/>
      <w:szCs w:val="20"/>
      <w:lang w:val="en-ZA" w:eastAsia="en-GB"/>
    </w:rPr>
  </w:style>
  <w:style w:type="character" w:customStyle="1" w:styleId="ListParagraphChar">
    <w:name w:val="List Paragraph Char"/>
    <w:aliases w:val="List Paragraph - 2 Char,List Paragraph 1 Char,Chapter Numbering Char,Riana Table Bullets 1 Char,EOH bullet Char,Use Case List Paragraph Char,Recommendation Char,List Paragraph1 Char,Bullet List Char,Table of contents numbered Char"/>
    <w:basedOn w:val="DefaultParagraphFont"/>
    <w:link w:val="ListParagraph"/>
    <w:uiPriority w:val="1"/>
    <w:qFormat/>
    <w:locked/>
    <w:rsid w:val="00550434"/>
    <w:rPr>
      <w:rFonts w:ascii="Times New Roman" w:eastAsia="Times New Roman" w:hAnsi="Times New Roman" w:cs="Times New Roman"/>
      <w:sz w:val="24"/>
      <w:szCs w:val="24"/>
      <w:lang w:val="en-ZA" w:eastAsia="en-GB"/>
    </w:rPr>
  </w:style>
  <w:style w:type="character" w:customStyle="1" w:styleId="apple-converted-space">
    <w:name w:val="apple-converted-space"/>
    <w:basedOn w:val="DefaultParagraphFont"/>
    <w:rsid w:val="00550434"/>
  </w:style>
  <w:style w:type="paragraph" w:customStyle="1" w:styleId="m-2701349095962724808msolistparagraph">
    <w:name w:val="m_-2701349095962724808msolistparagraph"/>
    <w:basedOn w:val="Normal"/>
    <w:rsid w:val="00550434"/>
    <w:pPr>
      <w:suppressAutoHyphens w:val="0"/>
      <w:spacing w:before="100" w:beforeAutospacing="1" w:after="100" w:afterAutospacing="1" w:line="240" w:lineRule="auto"/>
    </w:pPr>
    <w:rPr>
      <w:sz w:val="24"/>
      <w:szCs w:val="24"/>
      <w:lang w:val="en-ZA" w:eastAsia="en-GB"/>
    </w:rPr>
  </w:style>
  <w:style w:type="character" w:customStyle="1" w:styleId="vuuxrf">
    <w:name w:val="vuuxrf"/>
    <w:basedOn w:val="DefaultParagraphFont"/>
    <w:rsid w:val="00550434"/>
  </w:style>
  <w:style w:type="character" w:styleId="HTMLCite">
    <w:name w:val="HTML Cite"/>
    <w:basedOn w:val="DefaultParagraphFont"/>
    <w:uiPriority w:val="99"/>
    <w:semiHidden/>
    <w:unhideWhenUsed/>
    <w:rsid w:val="00550434"/>
    <w:rPr>
      <w:i/>
      <w:iCs/>
    </w:rPr>
  </w:style>
  <w:style w:type="character" w:customStyle="1" w:styleId="ylgvce">
    <w:name w:val="ylgvce"/>
    <w:basedOn w:val="DefaultParagraphFont"/>
    <w:rsid w:val="00550434"/>
  </w:style>
  <w:style w:type="paragraph" w:customStyle="1" w:styleId="li2">
    <w:name w:val="li2"/>
    <w:basedOn w:val="Normal"/>
    <w:rsid w:val="00550434"/>
    <w:pPr>
      <w:suppressAutoHyphens w:val="0"/>
      <w:spacing w:before="100" w:beforeAutospacing="1" w:after="100" w:afterAutospacing="1" w:line="240" w:lineRule="auto"/>
    </w:pPr>
    <w:rPr>
      <w:sz w:val="24"/>
      <w:szCs w:val="24"/>
      <w:lang w:val="en-ZA" w:eastAsia="en-GB"/>
    </w:rPr>
  </w:style>
  <w:style w:type="character" w:customStyle="1" w:styleId="s5">
    <w:name w:val="s5"/>
    <w:basedOn w:val="DefaultParagraphFont"/>
    <w:rsid w:val="0055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127fe84789a620bdd45bcfe32ddebe55">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b3a877cc48d09ceba068dfb3167324d5"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43d6523-f909-4250-bbe1-6bcdc0c7194c">
      <Terms xmlns="http://schemas.microsoft.com/office/infopath/2007/PartnerControls"/>
    </lcf76f155ced4ddcb4097134ff3c332f>
    <Document_x0020_Date xmlns="985ec44e-1bab-4c0b-9df0-6ba128686fc9">2025-03-14T12:28:58+00:00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Props1.xml><?xml version="1.0" encoding="utf-8"?>
<ds:datastoreItem xmlns:ds="http://schemas.openxmlformats.org/officeDocument/2006/customXml" ds:itemID="{F0DC8A6B-E23A-4C17-9C9C-A2D941406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01962-FED8-41AC-9A7A-7BD759ADAE73}">
  <ds:schemaRefs>
    <ds:schemaRef ds:uri="http://schemas.microsoft.com/sharepoint/v3/contenttype/forms"/>
  </ds:schemaRefs>
</ds:datastoreItem>
</file>

<file path=customXml/itemProps3.xml><?xml version="1.0" encoding="utf-8"?>
<ds:datastoreItem xmlns:ds="http://schemas.openxmlformats.org/officeDocument/2006/customXml" ds:itemID="{AD5E2D3A-7FC1-402C-8D65-A7F09BAF496A}">
  <ds:schemaRefs>
    <ds:schemaRef ds:uri="http://schemas.microsoft.com/office/2006/metadata/properties"/>
    <ds:schemaRef ds:uri="http://schemas.microsoft.com/office/infopath/2007/PartnerControls"/>
    <ds:schemaRef ds:uri="985ec44e-1bab-4c0b-9df0-6ba128686fc9"/>
    <ds:schemaRef ds:uri="c43d6523-f909-4250-bbe1-6bcdc0c7194c"/>
    <ds:schemaRef ds:uri="11a6fe0c-d8de-4390-afb3-d9c7c54181f0"/>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49</Pages>
  <Words>22525</Words>
  <Characters>128394</Characters>
  <Application>Microsoft Office Word</Application>
  <DocSecurity>0</DocSecurity>
  <Lines>1069</Lines>
  <Paragraphs>301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DCM</Company>
  <LinksUpToDate>false</LinksUpToDate>
  <CharactersWithSpaces>150618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CRPD/C/ZAF/2-4</dc:title>
  <dc:creator>Gloria</dc:creator>
  <cp:lastModifiedBy>Robert OUKO</cp:lastModifiedBy>
  <cp:revision>4</cp:revision>
  <cp:lastPrinted>2017-10-25T12:09:00Z</cp:lastPrinted>
  <dcterms:created xsi:type="dcterms:W3CDTF">2025-04-07T13:15:00Z</dcterms:created>
  <dcterms:modified xsi:type="dcterms:W3CDTF">2025-04-07T13:17:00Z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CRPD</vt:lpwstr>
  </property>
  <property fmtid="{D5CDD505-2E9C-101B-9397-08002B2CF9AE}" pid="7" name="ContentTypeId">
    <vt:lpwstr>0x0101001A3F5FACD05E93499D4EAF05403D4F75</vt:lpwstr>
  </property>
  <property fmtid="{D5CDD505-2E9C-101B-9397-08002B2CF9AE}" pid="8" name="count">
    <vt:lpwstr>South Africa</vt:lpwstr>
  </property>
  <property fmtid="{D5CDD505-2E9C-101B-9397-08002B2CF9AE}" pid="9" name="countw">
    <vt:lpwstr>South Africa</vt:lpwstr>
  </property>
  <property fmtid="{D5CDD505-2E9C-101B-9397-08002B2CF9AE}" pid="10" name="countwd">
    <vt:lpwstr>South Africa</vt:lpwstr>
  </property>
  <property fmtid="{D5CDD505-2E9C-101B-9397-08002B2CF9AE}" pid="11" name="date">
    <vt:lpwstr>14 March 2025</vt:lpwstr>
  </property>
  <property fmtid="{D5CDD505-2E9C-101B-9397-08002B2CF9AE}" pid="12" name="Date-Generated">
    <vt:filetime>2025-03-14T12:21:33Z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Country Report - Optional Procedure</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175400</vt:r8>
  </property>
  <property fmtid="{D5CDD505-2E9C-101B-9397-08002B2CF9AE}" pid="21" name="Org">
    <vt:lpwstr>OHCHR</vt:lpwstr>
  </property>
  <property fmtid="{D5CDD505-2E9C-101B-9397-08002B2CF9AE}" pid="22" name="prep">
    <vt:lpwstr> combined second to fourth reports of South Africa</vt:lpwstr>
  </property>
  <property fmtid="{D5CDD505-2E9C-101B-9397-08002B2CF9AE}" pid="23" name="preps">
    <vt:lpwstr> combined second to fourth reports of South Africa</vt:lpwstr>
  </property>
  <property fmtid="{D5CDD505-2E9C-101B-9397-08002B2CF9AE}" pid="24" name="prepw">
    <vt:lpwstr> combined second to fourth reports</vt:lpwstr>
  </property>
  <property fmtid="{D5CDD505-2E9C-101B-9397-08002B2CF9AE}" pid="25" name="prepwc">
    <vt:lpwstr>Combined second to fourth reports </vt:lpwstr>
  </property>
  <property fmtid="{D5CDD505-2E9C-101B-9397-08002B2CF9AE}" pid="26" name="prepws">
    <vt:lpwstr>Combined second to fourth reports </vt:lpwstr>
  </property>
  <property fmtid="{D5CDD505-2E9C-101B-9397-08002B2CF9AE}" pid="27" name="sdate">
    <vt:lpwstr>[Start-End Dates]</vt:lpwstr>
  </property>
  <property fmtid="{D5CDD505-2E9C-101B-9397-08002B2CF9AE}" pid="28" name="sloca">
    <vt:lpwstr>[Location]</vt:lpwstr>
  </property>
  <property fmtid="{D5CDD505-2E9C-101B-9397-08002B2CF9AE}" pid="29" name="snum">
    <vt:lpwstr>[NUMBER]</vt:lpwstr>
  </property>
  <property fmtid="{D5CDD505-2E9C-101B-9397-08002B2CF9AE}" pid="30" name="stitle">
    <vt:lpwstr>[Title]</vt:lpwstr>
  </property>
  <property fmtid="{D5CDD505-2E9C-101B-9397-08002B2CF9AE}" pid="31" name="sym1">
    <vt:lpwstr>C/ZAF/2-4</vt:lpwstr>
  </property>
  <property fmtid="{D5CDD505-2E9C-101B-9397-08002B2CF9AE}" pid="32" name="symh">
    <vt:lpwstr>CRPD/C/ZAF/2-4</vt:lpwstr>
  </property>
  <property fmtid="{D5CDD505-2E9C-101B-9397-08002B2CF9AE}" pid="33" name="Title">
    <vt:lpwstr>CRPD/C/ZAF/2-4</vt:lpwstr>
  </property>
  <property fmtid="{D5CDD505-2E9C-101B-9397-08002B2CF9AE}" pid="34" name="tlang">
    <vt:lpwstr/>
  </property>
  <property fmtid="{D5CDD505-2E9C-101B-9397-08002B2CF9AE}" pid="35" name="virs">
    <vt:lpwstr>Arabic, English, French and Spanish only</vt:lpwstr>
  </property>
  <property fmtid="{D5CDD505-2E9C-101B-9397-08002B2CF9AE}" pid="36" name="MediaServiceImageTags">
    <vt:lpwstr/>
  </property>
</Properties>
</file>