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B72D2" w14:textId="77777777" w:rsidR="00031F03" w:rsidRDefault="00000000">
      <w:pPr>
        <w:spacing w:line="360" w:lineRule="auto"/>
        <w:rPr>
          <w:rFonts w:ascii="Times New Roman" w:hAnsi="Times New Roman" w:cs="Times New Roman"/>
          <w:sz w:val="32"/>
          <w:szCs w:val="32"/>
        </w:rPr>
      </w:pPr>
      <w:r>
        <w:rPr>
          <w:noProof/>
        </w:rPr>
        <mc:AlternateContent>
          <mc:Choice Requires="wpg">
            <w:drawing>
              <wp:anchor distT="0" distB="0" distL="0" distR="0" simplePos="0" relativeHeight="2" behindDoc="1" locked="0" layoutInCell="1" allowOverlap="1">
                <wp:simplePos x="0" y="0"/>
                <wp:positionH relativeFrom="margin">
                  <wp:align>center</wp:align>
                </wp:positionH>
                <wp:positionV relativeFrom="margin">
                  <wp:posOffset>-358140</wp:posOffset>
                </wp:positionV>
                <wp:extent cx="7008208" cy="9144000"/>
                <wp:effectExtent l="0" t="0" r="0" b="0"/>
                <wp:wrapNone/>
                <wp:docPr id="10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8208" cy="9144000"/>
                          <a:chOff x="0" y="0"/>
                          <a:chExt cx="7008208" cy="9144000"/>
                        </a:xfrm>
                      </wpg:grpSpPr>
                      <wpg:grpSp>
                        <wpg:cNvPr id="127180947" name="Group 127180947"/>
                        <wpg:cNvGrpSpPr/>
                        <wpg:grpSpPr>
                          <a:xfrm>
                            <a:off x="0" y="0"/>
                            <a:ext cx="6858000" cy="9144000"/>
                            <a:chOff x="0" y="0"/>
                            <a:chExt cx="6858000" cy="9144000"/>
                          </a:xfrm>
                        </wpg:grpSpPr>
                        <wps:wsp>
                          <wps:cNvPr id="711466124" name="Rectangle 711466124"/>
                          <wps:cNvSpPr/>
                          <wps:spPr>
                            <a:xfrm>
                              <a:off x="0" y="0"/>
                              <a:ext cx="6858000" cy="9144000"/>
                            </a:xfrm>
                            <a:prstGeom prst="rect">
                              <a:avLst/>
                            </a:prstGeom>
                            <a:gradFill flip="none" rotWithShape="0">
                              <a:gsLst>
                                <a:gs pos="0">
                                  <a:srgbClr val="113E75"/>
                                </a:gs>
                                <a:gs pos="90000">
                                  <a:srgbClr val="1775FC"/>
                                </a:gs>
                              </a:gsLst>
                              <a:lin ang="6120000" scaled="1"/>
                            </a:gradFill>
                            <a:ln>
                              <a:noFill/>
                            </a:ln>
                          </wps:spPr>
                          <wps:txbx>
                            <w:txbxContent>
                              <w:p w14:paraId="212742EC" w14:textId="77777777" w:rsidR="00031F03" w:rsidRDefault="00031F03">
                                <w:pPr>
                                  <w:pStyle w:val="NoSpacing"/>
                                  <w:spacing w:before="120"/>
                                  <w:rPr>
                                    <w:rFonts w:eastAsia="Times New Roman"/>
                                    <w:b/>
                                    <w:bCs/>
                                    <w:color w:val="002060"/>
                                    <w:sz w:val="24"/>
                                    <w:szCs w:val="24"/>
                                  </w:rPr>
                                </w:pPr>
                              </w:p>
                              <w:p w14:paraId="7A3F08CF" w14:textId="77777777" w:rsidR="00031F03" w:rsidRDefault="00031F03">
                                <w:pPr>
                                  <w:pStyle w:val="NoSpacing"/>
                                  <w:rPr>
                                    <w:color w:val="FFFFFF"/>
                                    <w:sz w:val="48"/>
                                    <w:szCs w:val="48"/>
                                  </w:rPr>
                                </w:pPr>
                              </w:p>
                            </w:txbxContent>
                          </wps:txbx>
                          <wps:bodyPr vert="horz" wrap="square" lIns="685800" tIns="685800" rIns="914400" bIns="4572000" anchor="t">
                            <a:prstTxWarp prst="textNoShape">
                              <a:avLst/>
                            </a:prstTxWarp>
                            <a:noAutofit/>
                          </wps:bodyPr>
                        </wps:wsp>
                        <wpg:grpSp>
                          <wpg:cNvPr id="2143024492" name="Group 2143024492"/>
                          <wpg:cNvGrpSpPr/>
                          <wpg:grpSpPr>
                            <a:xfrm>
                              <a:off x="2524125" y="0"/>
                              <a:ext cx="4329113" cy="4491038"/>
                              <a:chOff x="0" y="0"/>
                              <a:chExt cx="4329113" cy="4491038"/>
                            </a:xfrm>
                            <a:solidFill>
                              <a:srgbClr val="FFFFFF"/>
                            </a:solidFill>
                          </wpg:grpSpPr>
                          <wps:wsp>
                            <wps:cNvPr id="1488041550" name="Freeform: Shape 1488041550"/>
                            <wps:cNvSpPr/>
                            <wps:spPr>
                              <a:xfrm>
                                <a:off x="1501775" y="0"/>
                                <a:ext cx="2827338" cy="2835275"/>
                              </a:xfrm>
                              <a:custGeom>
                                <a:avLst/>
                                <a:gdLst/>
                                <a:ahLst/>
                                <a:cxnLst/>
                                <a:rect l="l" t="t" r="r" b="b"/>
                                <a:pathLst>
                                  <a:path w="1781" h="1786">
                                    <a:moveTo>
                                      <a:pt x="4" y="1786"/>
                                    </a:moveTo>
                                    <a:lnTo>
                                      <a:pt x="0" y="1782"/>
                                    </a:lnTo>
                                    <a:lnTo>
                                      <a:pt x="1776" y="0"/>
                                    </a:lnTo>
                                    <a:lnTo>
                                      <a:pt x="1781" y="5"/>
                                    </a:lnTo>
                                    <a:lnTo>
                                      <a:pt x="4" y="1786"/>
                                    </a:lnTo>
                                    <a:close/>
                                  </a:path>
                                </a:pathLst>
                              </a:custGeom>
                              <a:grpFill/>
                              <a:ln>
                                <a:noFill/>
                              </a:ln>
                            </wps:spPr>
                            <wps:bodyPr>
                              <a:prstTxWarp prst="textNoShape">
                                <a:avLst/>
                              </a:prstTxWarp>
                            </wps:bodyPr>
                          </wps:wsp>
                          <wps:wsp>
                            <wps:cNvPr id="418682631" name="Freeform: Shape 418682631"/>
                            <wps:cNvSpPr/>
                            <wps:spPr>
                              <a:xfrm>
                                <a:off x="782637" y="227013"/>
                                <a:ext cx="3546475" cy="3546475"/>
                              </a:xfrm>
                              <a:custGeom>
                                <a:avLst/>
                                <a:gdLst/>
                                <a:ahLst/>
                                <a:cxnLst/>
                                <a:rect l="l" t="t" r="r" b="b"/>
                                <a:pathLst>
                                  <a:path w="2234" h="2234">
                                    <a:moveTo>
                                      <a:pt x="5" y="2234"/>
                                    </a:moveTo>
                                    <a:lnTo>
                                      <a:pt x="0" y="2229"/>
                                    </a:lnTo>
                                    <a:lnTo>
                                      <a:pt x="2229" y="0"/>
                                    </a:lnTo>
                                    <a:lnTo>
                                      <a:pt x="2234" y="5"/>
                                    </a:lnTo>
                                    <a:lnTo>
                                      <a:pt x="5" y="2234"/>
                                    </a:lnTo>
                                    <a:close/>
                                  </a:path>
                                </a:pathLst>
                              </a:custGeom>
                              <a:grpFill/>
                              <a:ln>
                                <a:noFill/>
                              </a:ln>
                            </wps:spPr>
                            <wps:bodyPr>
                              <a:prstTxWarp prst="textNoShape">
                                <a:avLst/>
                              </a:prstTxWarp>
                            </wps:bodyPr>
                          </wps:wsp>
                          <wps:wsp>
                            <wps:cNvPr id="1495686625" name="Freeform: Shape 1495686625"/>
                            <wps:cNvSpPr/>
                            <wps:spPr>
                              <a:xfrm>
                                <a:off x="841375" y="109538"/>
                                <a:ext cx="3487738" cy="3487738"/>
                              </a:xfrm>
                              <a:custGeom>
                                <a:avLst/>
                                <a:gdLst/>
                                <a:ahLst/>
                                <a:cxnLst/>
                                <a:rect l="l" t="t" r="r" b="b"/>
                                <a:pathLst>
                                  <a:path w="2197" h="2197">
                                    <a:moveTo>
                                      <a:pt x="9" y="2197"/>
                                    </a:moveTo>
                                    <a:lnTo>
                                      <a:pt x="0" y="2193"/>
                                    </a:lnTo>
                                    <a:lnTo>
                                      <a:pt x="2188" y="0"/>
                                    </a:lnTo>
                                    <a:lnTo>
                                      <a:pt x="2197" y="10"/>
                                    </a:lnTo>
                                    <a:lnTo>
                                      <a:pt x="9" y="2197"/>
                                    </a:lnTo>
                                    <a:close/>
                                  </a:path>
                                </a:pathLst>
                              </a:custGeom>
                              <a:grpFill/>
                              <a:ln>
                                <a:noFill/>
                              </a:ln>
                            </wps:spPr>
                            <wps:bodyPr>
                              <a:prstTxWarp prst="textNoShape">
                                <a:avLst/>
                              </a:prstTxWarp>
                            </wps:bodyPr>
                          </wps:wsp>
                          <wps:wsp>
                            <wps:cNvPr id="1072658961" name="Freeform: Shape 1072658961"/>
                            <wps:cNvSpPr/>
                            <wps:spPr>
                              <a:xfrm>
                                <a:off x="1216025" y="498475"/>
                                <a:ext cx="3113088" cy="3121025"/>
                              </a:xfrm>
                              <a:custGeom>
                                <a:avLst/>
                                <a:gdLst/>
                                <a:ahLst/>
                                <a:cxnLst/>
                                <a:rect l="l" t="t" r="r" b="b"/>
                                <a:pathLst>
                                  <a:path w="1961" h="1966">
                                    <a:moveTo>
                                      <a:pt x="9" y="1966"/>
                                    </a:moveTo>
                                    <a:lnTo>
                                      <a:pt x="0" y="1957"/>
                                    </a:lnTo>
                                    <a:lnTo>
                                      <a:pt x="1952" y="0"/>
                                    </a:lnTo>
                                    <a:lnTo>
                                      <a:pt x="1961" y="9"/>
                                    </a:lnTo>
                                    <a:lnTo>
                                      <a:pt x="9" y="1966"/>
                                    </a:lnTo>
                                    <a:close/>
                                  </a:path>
                                </a:pathLst>
                              </a:custGeom>
                              <a:grpFill/>
                              <a:ln>
                                <a:noFill/>
                              </a:ln>
                            </wps:spPr>
                            <wps:bodyPr>
                              <a:prstTxWarp prst="textNoShape">
                                <a:avLst/>
                              </a:prstTxWarp>
                            </wps:bodyPr>
                          </wps:wsp>
                          <wps:wsp>
                            <wps:cNvPr id="194586723" name="Freeform: Shape 194586723"/>
                            <wps:cNvSpPr/>
                            <wps:spPr>
                              <a:xfrm>
                                <a:off x="0" y="153988"/>
                                <a:ext cx="4329113" cy="4337050"/>
                              </a:xfrm>
                              <a:custGeom>
                                <a:avLst/>
                                <a:gdLst/>
                                <a:ahLst/>
                                <a:cxnLst/>
                                <a:rect l="l" t="t" r="r" b="b"/>
                                <a:pathLst>
                                  <a:path w="2727" h="2732">
                                    <a:moveTo>
                                      <a:pt x="0" y="2732"/>
                                    </a:moveTo>
                                    <a:lnTo>
                                      <a:pt x="0" y="2728"/>
                                    </a:lnTo>
                                    <a:lnTo>
                                      <a:pt x="2722" y="0"/>
                                    </a:lnTo>
                                    <a:lnTo>
                                      <a:pt x="2727" y="5"/>
                                    </a:lnTo>
                                    <a:lnTo>
                                      <a:pt x="0" y="2732"/>
                                    </a:lnTo>
                                    <a:close/>
                                  </a:path>
                                </a:pathLst>
                              </a:custGeom>
                              <a:grpFill/>
                              <a:ln>
                                <a:noFill/>
                              </a:ln>
                            </wps:spPr>
                            <wps:bodyPr>
                              <a:prstTxWarp prst="textNoShape">
                                <a:avLst/>
                              </a:prstTxWarp>
                            </wps:bodyPr>
                          </wps:wsp>
                        </wpg:grpSp>
                      </wpg:grpSp>
                      <wps:wsp>
                        <wps:cNvPr id="635862522" name="Rectangle 635862522"/>
                        <wps:cNvSpPr/>
                        <wps:spPr>
                          <a:xfrm>
                            <a:off x="164813" y="1665931"/>
                            <a:ext cx="6843395" cy="3789752"/>
                          </a:xfrm>
                          <a:prstGeom prst="rect">
                            <a:avLst/>
                          </a:prstGeom>
                          <a:ln>
                            <a:noFill/>
                          </a:ln>
                        </wps:spPr>
                        <wps:txbx>
                          <w:txbxContent>
                            <w:p w14:paraId="56285CE8" w14:textId="77777777" w:rsidR="00031F03" w:rsidRDefault="00000000">
                              <w:pPr>
                                <w:pStyle w:val="NoSpacing"/>
                                <w:jc w:val="center"/>
                                <w:rPr>
                                  <w:rFonts w:ascii="Cambria" w:hAnsi="Cambria" w:cs="Times New Roman"/>
                                  <w:b/>
                                  <w:bCs/>
                                  <w:caps/>
                                  <w:color w:val="FFFFFF"/>
                                  <w:sz w:val="64"/>
                                  <w:szCs w:val="64"/>
                                </w:rPr>
                              </w:pPr>
                              <w:r>
                                <w:rPr>
                                  <w:rFonts w:ascii="Tw Cen MT" w:hAnsi="Tw Cen MT" w:cs="Times New Roman"/>
                                  <w:b/>
                                  <w:bCs/>
                                  <w:caps/>
                                  <w:color w:val="FFFFFF"/>
                                  <w:sz w:val="56"/>
                                  <w:szCs w:val="56"/>
                                </w:rPr>
                                <w:t>CRPD Shadow Report - 2024</w:t>
                              </w:r>
                            </w:p>
                            <w:p w14:paraId="658117E8" w14:textId="77777777" w:rsidR="00031F03" w:rsidRDefault="00031F03">
                              <w:pPr>
                                <w:pStyle w:val="NoSpacing"/>
                                <w:spacing w:before="120"/>
                                <w:rPr>
                                  <w:color w:val="4F81BD"/>
                                  <w:sz w:val="36"/>
                                  <w:szCs w:val="36"/>
                                </w:rPr>
                              </w:pPr>
                            </w:p>
                          </w:txbxContent>
                        </wps:txbx>
                        <wps:bodyPr vert="horz" wrap="square" lIns="685800" tIns="0" rIns="914400" bIns="0" anchor="b">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xmlns:wpsCustomData="http://www.wps.cn/officeDocument/2013/wpsCustomData">
            <w:pict>
              <v:group id="1026" filled="f" stroked="f" style="position:absolute;margin-left:0.0pt;margin-top:-28.2pt;width:551.83pt;height:720.0pt;z-index:-2147483645;mso-position-horizontal:center;mso-position-horizontal-relative:margin;mso-position-vertical-relative:margin;mso-width-percent:0;mso-height-percent:909;mso-width-relative:page;mso-height-relative:page;mso-wrap-distance-left:0.0pt;mso-wrap-distance-right:0.0pt;visibility:visible;" coordsize="7008208,9144000">
                <v:group id="1027" filled="f" stroked="f" style="position:absolute;left:0;top:0;width:6858000;height:9144000;z-index:2;mso-position-horizontal-relative:page;mso-position-vertical-relative:page;mso-width-relative:page;mso-height-relative:page;visibility:visible;" coordsize="6858000,9144000">
                  <v:rect id="1028" stroked="f" style="position:absolute;left:0;top:0;width:6858000;height:9144000;z-index:2;mso-position-horizontal-relative:page;mso-position-vertical-relative:page;mso-width-relative:page;mso-height-relative:page;visibility:visible;">
                    <v:stroke on="f" color="#395e8a" weight="2.0pt"/>
                    <v:fill color2="#113e75" method="any" focus="100%" angle="348" type="gradient"/>
                    <v:textbox inset="54.0pt,54.0pt,72.0pt,360.0pt">
                      <w:txbxContent>
                        <w:p>
                          <w:pPr>
                            <w:pStyle w:val="style157"/>
                            <w:spacing w:before="120"/>
                            <w:rPr>
                              <w:rFonts w:ascii="Calibri" w:cs="Arial" w:eastAsia="Times New Roman" w:hAnsi="Calibri"/>
                              <w:b/>
                              <w:bCs/>
                              <w:color w:val="002060"/>
                              <w:sz w:val="24"/>
                              <w:szCs w:val="24"/>
                            </w:rPr>
                          </w:pPr>
                        </w:p>
                        <w:p>
                          <w:pPr>
                            <w:pStyle w:val="style157"/>
                            <w:rPr>
                              <w:color w:val="ffffff"/>
                              <w:sz w:val="48"/>
                              <w:szCs w:val="48"/>
                            </w:rPr>
                          </w:pPr>
                        </w:p>
                      </w:txbxContent>
                    </v:textbox>
                  </v:rect>
                  <v:group id="1029" fillcolor="white" stroked="f" style="position:absolute;left:2524125;top:0;width:4329113;height:4491038;z-index:3;mso-position-horizontal-relative:page;mso-position-vertical-relative:page;mso-width-relative:page;mso-height-relative:page;visibility:visible;" coordsize="4329113,4491038">
                    <v:shape id="1030" coordsize="1781,1786" path="m4,1786l0,1782l1776,0l1781,5l4,1786xe" fillcolor="white" stroked="f" style="position:absolute;left:1501775;top:0;width:2827338;height:2835275;z-index:2;mso-position-horizontal-relative:page;mso-position-vertical-relative:page;mso-width-relative:page;mso-height-relative:page;visibility:visible;">
                      <v:stroke on="f"/>
                      <v:fill/>
                      <v:path textboxrect="0,0,1781,1786" o:connectlocs="4,1786;0,1782;1776,0;1781,5;4,1786"/>
                    </v:shape>
                    <v:shape id="1031" coordsize="2234,2234" path="m5,2234l0,2229l2229,0l2234,5l5,2234xe" fillcolor="white" stroked="f" style="position:absolute;left:782637;top:227013;width:3546475;height:3546475;z-index:3;mso-position-horizontal-relative:page;mso-position-vertical-relative:page;mso-width-relative:page;mso-height-relative:page;visibility:visible;">
                      <v:stroke on="f"/>
                      <v:fill/>
                      <v:path textboxrect="0,0,2234,2234" o:connectlocs="5,2234;0,2229;2229,0;2234,5;5,2234"/>
                    </v:shape>
                    <v:shape id="1032" coordsize="2197,2197" path="m9,2197l0,2193l2188,0l2197,10l9,2197xe" fillcolor="white" stroked="f" style="position:absolute;left:841375;top:109538;width:3487738;height:3487738;z-index:4;mso-position-horizontal-relative:page;mso-position-vertical-relative:page;mso-width-relative:page;mso-height-relative:page;visibility:visible;">
                      <v:stroke on="f"/>
                      <v:fill/>
                      <v:path textboxrect="0,0,2197,2197" o:connectlocs="9,2197;0,2193;2188,0;2197,10;9,2197"/>
                    </v:shape>
                    <v:shape id="1033" coordsize="1961,1966" path="m9,1966l0,1957l1952,0l1961,9l9,1966xe" fillcolor="white" stroked="f" style="position:absolute;left:1216025;top:498475;width:3113088;height:3121025;z-index:5;mso-position-horizontal-relative:page;mso-position-vertical-relative:page;mso-width-relative:page;mso-height-relative:page;visibility:visible;">
                      <v:stroke on="f"/>
                      <v:fill/>
                      <v:path textboxrect="0,0,1961,1966" o:connectlocs="9,1966;0,1957;1952,0;1961,9;9,1966"/>
                    </v:shape>
                    <v:shape id="1034" coordsize="2727,2732" path="m0,2732l0,2728l2722,0l2727,5l0,2732xe" fillcolor="white" stroked="f" style="position:absolute;left:0;top:153988;width:4329113;height:4337050;z-index:6;mso-position-horizontal-relative:page;mso-position-vertical-relative:page;mso-width-relative:page;mso-height-relative:page;visibility:visible;">
                      <v:stroke on="f"/>
                      <v:fill/>
                      <v:path textboxrect="0,0,2727,2732" o:connectlocs="0,2732;0,2728;2722,0;2727,5;0,2732"/>
                    </v:shape>
                    <v:fill/>
                  </v:group>
                  <v:fill/>
                </v:group>
                <v:rect id="1035" filled="f" stroked="f" style="position:absolute;left:164813;top:1665931;width:6843395;height:3789752;z-index:3;mso-position-horizontal-relative:page;mso-position-vertical-relative:page;mso-width-relative:page;mso-height-relative:page;visibility:visible;v-text-anchor:bottom;">
                  <v:stroke on="f" weight="0.5pt"/>
                  <v:fill/>
                  <v:textbox inset="54.0pt,0.0pt,72.0pt,0.0pt">
                    <w:txbxContent>
                      <w:p>
                        <w:pPr>
                          <w:pStyle w:val="style157"/>
                          <w:jc w:val="center"/>
                          <w:rPr>
                            <w:rFonts w:ascii="Cambria" w:cs="Times New Roman" w:eastAsia="宋体" w:hAnsi="Cambria"/>
                            <w:b/>
                            <w:bCs/>
                            <w:caps/>
                            <w:color w:val="ffffff"/>
                            <w:sz w:val="64"/>
                            <w:szCs w:val="64"/>
                          </w:rPr>
                        </w:pPr>
                        <w:r>
                          <w:rPr>
                            <w:rFonts w:ascii="Tw Cen MT" w:cs="Times New Roman" w:eastAsia="宋体" w:hAnsi="Tw Cen MT"/>
                            <w:b/>
                            <w:bCs/>
                            <w:caps/>
                            <w:color w:val="ffffff"/>
                            <w:sz w:val="56"/>
                            <w:szCs w:val="56"/>
                          </w:rPr>
                          <w:t>CRPD Shadow Report - 2024</w:t>
                        </w:r>
                      </w:p>
                      <w:p>
                        <w:pPr>
                          <w:pStyle w:val="style157"/>
                          <w:spacing w:before="120"/>
                          <w:rPr>
                            <w:color w:val="4f81bd"/>
                            <w:sz w:val="36"/>
                            <w:szCs w:val="36"/>
                          </w:rPr>
                        </w:pPr>
                      </w:p>
                    </w:txbxContent>
                  </v:textbox>
                </v:rect>
                <v:fill/>
              </v:group>
            </w:pict>
          </mc:Fallback>
        </mc:AlternateContent>
      </w:r>
    </w:p>
    <w:p w14:paraId="247F0124" w14:textId="77777777" w:rsidR="00031F03" w:rsidRDefault="00000000">
      <w:pPr>
        <w:spacing w:line="360" w:lineRule="auto"/>
        <w:rPr>
          <w:rFonts w:ascii="Times New Roman" w:hAnsi="Times New Roman" w:cs="Times New Roman"/>
          <w:sz w:val="32"/>
          <w:szCs w:val="32"/>
          <w:u w:val="single"/>
        </w:rPr>
      </w:pPr>
      <w:r>
        <w:rPr>
          <w:noProof/>
        </w:rPr>
        <w:drawing>
          <wp:anchor distT="0" distB="0" distL="0" distR="0" simplePos="0" relativeHeight="4" behindDoc="1" locked="0" layoutInCell="1" allowOverlap="1">
            <wp:simplePos x="0" y="0"/>
            <wp:positionH relativeFrom="column">
              <wp:posOffset>2461260</wp:posOffset>
            </wp:positionH>
            <wp:positionV relativeFrom="paragraph">
              <wp:posOffset>7814961</wp:posOffset>
            </wp:positionV>
            <wp:extent cx="1219198" cy="362464"/>
            <wp:effectExtent l="0" t="0" r="635" b="6350"/>
            <wp:wrapNone/>
            <wp:docPr id="1036" name="Picture 2" descr="C:\Users\Naa\Downloads\new 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a:stretch/>
                  </pic:blipFill>
                  <pic:spPr>
                    <a:xfrm>
                      <a:off x="0" y="0"/>
                      <a:ext cx="1219198" cy="362464"/>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32"/>
          <w:szCs w:val="32"/>
          <w:u w:val="single"/>
        </w:rPr>
        <mc:AlternateContent>
          <mc:Choice Requires="wps">
            <w:drawing>
              <wp:anchor distT="0" distB="0" distL="0" distR="0" simplePos="0" relativeHeight="3" behindDoc="0" locked="0" layoutInCell="1" allowOverlap="1">
                <wp:simplePos x="0" y="0"/>
                <wp:positionH relativeFrom="margin">
                  <wp:posOffset>266700</wp:posOffset>
                </wp:positionH>
                <wp:positionV relativeFrom="paragraph">
                  <wp:posOffset>6704330</wp:posOffset>
                </wp:positionV>
                <wp:extent cx="5213350" cy="1206500"/>
                <wp:effectExtent l="0" t="0" r="0" b="0"/>
                <wp:wrapNone/>
                <wp:docPr id="10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3350" cy="1206500"/>
                        </a:xfrm>
                        <a:prstGeom prst="rect">
                          <a:avLst/>
                        </a:prstGeom>
                        <a:ln>
                          <a:noFill/>
                        </a:ln>
                      </wps:spPr>
                      <wps:txbx>
                        <w:txbxContent>
                          <w:p w14:paraId="68BAD6E6" w14:textId="77777777" w:rsidR="00031F03" w:rsidRDefault="00000000">
                            <w:pPr>
                              <w:pStyle w:val="NoSpacing"/>
                              <w:spacing w:before="120"/>
                              <w:rPr>
                                <w:rFonts w:ascii="Tw Cen MT" w:hAnsi="Tw Cen MT"/>
                                <w:b/>
                                <w:bCs/>
                                <w:color w:val="FABF8F"/>
                                <w:sz w:val="24"/>
                                <w:szCs w:val="24"/>
                              </w:rPr>
                            </w:pPr>
                            <w:r>
                              <w:rPr>
                                <w:rFonts w:ascii="Tw Cen MT" w:hAnsi="Tw Cen MT"/>
                                <w:b/>
                                <w:bCs/>
                                <w:color w:val="FABF8F"/>
                                <w:sz w:val="24"/>
                                <w:szCs w:val="24"/>
                              </w:rPr>
                              <w:t xml:space="preserve">        Submitted by: </w:t>
                            </w:r>
                          </w:p>
                          <w:p w14:paraId="62D32E7D" w14:textId="77777777" w:rsidR="00031F03" w:rsidRDefault="00000000">
                            <w:pPr>
                              <w:pStyle w:val="NoSpacing"/>
                              <w:rPr>
                                <w:rFonts w:ascii="Tw Cen MT" w:hAnsi="Tw Cen MT"/>
                                <w:b/>
                                <w:bCs/>
                                <w:color w:val="FFFFFF"/>
                                <w:sz w:val="40"/>
                                <w:szCs w:val="40"/>
                              </w:rPr>
                            </w:pPr>
                            <w:r>
                              <w:rPr>
                                <w:rFonts w:ascii="Tw Cen MT" w:hAnsi="Tw Cen MT"/>
                                <w:b/>
                                <w:bCs/>
                                <w:color w:val="FFFFFF"/>
                                <w:sz w:val="24"/>
                                <w:szCs w:val="24"/>
                              </w:rPr>
                              <w:t xml:space="preserve">                         </w:t>
                            </w:r>
                            <w:r>
                              <w:rPr>
                                <w:rFonts w:ascii="Tw Cen MT" w:hAnsi="Tw Cen MT"/>
                                <w:b/>
                                <w:bCs/>
                                <w:color w:val="FFFFFF"/>
                                <w:sz w:val="40"/>
                                <w:szCs w:val="40"/>
                              </w:rPr>
                              <w:t xml:space="preserve">Ghana Federation of Disability </w:t>
                            </w:r>
                          </w:p>
                          <w:p w14:paraId="5AAB51B1" w14:textId="77777777" w:rsidR="00031F03" w:rsidRDefault="00000000">
                            <w:pPr>
                              <w:pStyle w:val="NoSpacing"/>
                              <w:rPr>
                                <w:rFonts w:ascii="Tw Cen MT" w:hAnsi="Tw Cen MT"/>
                                <w:b/>
                                <w:bCs/>
                                <w:color w:val="FFFFFF"/>
                                <w:sz w:val="40"/>
                                <w:szCs w:val="40"/>
                              </w:rPr>
                            </w:pPr>
                            <w:r>
                              <w:rPr>
                                <w:rFonts w:ascii="Tw Cen MT" w:hAnsi="Tw Cen MT"/>
                                <w:b/>
                                <w:bCs/>
                                <w:color w:val="FFFFFF"/>
                                <w:sz w:val="40"/>
                                <w:szCs w:val="40"/>
                              </w:rPr>
                              <w:t xml:space="preserve">               Organisations (GFD)</w:t>
                            </w:r>
                          </w:p>
                          <w:p w14:paraId="7969DCCC" w14:textId="77777777" w:rsidR="00031F03" w:rsidRDefault="00031F03"/>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7" filled="f" stroked="f" style="position:absolute;margin-left:21.0pt;margin-top:527.9pt;width:410.5pt;height:95.0pt;z-index:3;mso-position-horizontal-relative:margin;mso-position-vertical-relative:text;mso-width-percent:0;mso-height-percent:0;mso-width-relative:margin;mso-height-relative:margin;mso-wrap-distance-left:0.0pt;mso-wrap-distance-right:0.0pt;visibility:visible;">
                <v:stroke on="f" weight="0.5pt"/>
                <v:fill/>
                <v:textbox inset="7.2pt,3.6pt,7.2pt,3.6pt">
                  <w:txbxContent>
                    <w:p>
                      <w:pPr>
                        <w:pStyle w:val="style157"/>
                        <w:spacing w:before="120"/>
                        <w:rPr>
                          <w:rFonts w:ascii="Tw Cen MT" w:hAnsi="Tw Cen MT"/>
                          <w:b/>
                          <w:bCs/>
                          <w:color w:val="fabf8f"/>
                          <w:sz w:val="24"/>
                          <w:szCs w:val="24"/>
                        </w:rPr>
                      </w:pPr>
                      <w:r>
                        <w:rPr>
                          <w:rFonts w:ascii="Tw Cen MT" w:hAnsi="Tw Cen MT"/>
                          <w:b/>
                          <w:bCs/>
                          <w:color w:val="fabf8f"/>
                          <w:sz w:val="24"/>
                          <w:szCs w:val="24"/>
                        </w:rPr>
                        <w:t xml:space="preserve">        Submitted by: </w:t>
                      </w:r>
                    </w:p>
                    <w:p>
                      <w:pPr>
                        <w:pStyle w:val="style157"/>
                        <w:rPr>
                          <w:rFonts w:ascii="Tw Cen MT" w:hAnsi="Tw Cen MT"/>
                          <w:b/>
                          <w:bCs/>
                          <w:color w:val="ffffff"/>
                          <w:sz w:val="40"/>
                          <w:szCs w:val="40"/>
                        </w:rPr>
                      </w:pPr>
                      <w:r>
                        <w:rPr>
                          <w:rFonts w:ascii="Tw Cen MT" w:hAnsi="Tw Cen MT"/>
                          <w:b/>
                          <w:bCs/>
                          <w:color w:val="ffffff"/>
                          <w:sz w:val="24"/>
                          <w:szCs w:val="24"/>
                        </w:rPr>
                        <w:t xml:space="preserve">                         </w:t>
                      </w:r>
                      <w:r>
                        <w:rPr>
                          <w:rFonts w:ascii="Tw Cen MT" w:hAnsi="Tw Cen MT"/>
                          <w:b/>
                          <w:bCs/>
                          <w:color w:val="ffffff"/>
                          <w:sz w:val="40"/>
                          <w:szCs w:val="40"/>
                        </w:rPr>
                        <w:t xml:space="preserve">Ghana Federation </w:t>
                      </w:r>
                      <w:r>
                        <w:rPr>
                          <w:rFonts w:ascii="Tw Cen MT" w:hAnsi="Tw Cen MT"/>
                          <w:b/>
                          <w:bCs/>
                          <w:color w:val="ffffff"/>
                          <w:sz w:val="40"/>
                          <w:szCs w:val="40"/>
                        </w:rPr>
                        <w:t>o</w:t>
                      </w:r>
                      <w:r>
                        <w:rPr>
                          <w:rFonts w:ascii="Tw Cen MT" w:hAnsi="Tw Cen MT"/>
                          <w:b/>
                          <w:bCs/>
                          <w:color w:val="ffffff"/>
                          <w:sz w:val="40"/>
                          <w:szCs w:val="40"/>
                        </w:rPr>
                        <w:t xml:space="preserve">f Disability </w:t>
                      </w:r>
                    </w:p>
                    <w:p>
                      <w:pPr>
                        <w:pStyle w:val="style157"/>
                        <w:rPr>
                          <w:rFonts w:ascii="Tw Cen MT" w:hAnsi="Tw Cen MT"/>
                          <w:b/>
                          <w:bCs/>
                          <w:color w:val="ffffff"/>
                          <w:sz w:val="40"/>
                          <w:szCs w:val="40"/>
                        </w:rPr>
                      </w:pPr>
                      <w:r>
                        <w:rPr>
                          <w:rFonts w:ascii="Tw Cen MT" w:hAnsi="Tw Cen MT"/>
                          <w:b/>
                          <w:bCs/>
                          <w:color w:val="ffffff"/>
                          <w:sz w:val="40"/>
                          <w:szCs w:val="40"/>
                        </w:rPr>
                        <w:t xml:space="preserve">               </w:t>
                      </w:r>
                      <w:r>
                        <w:rPr>
                          <w:rFonts w:ascii="Tw Cen MT" w:hAnsi="Tw Cen MT"/>
                          <w:b/>
                          <w:bCs/>
                          <w:color w:val="ffffff"/>
                          <w:sz w:val="40"/>
                          <w:szCs w:val="40"/>
                        </w:rPr>
                        <w:t>Organisations (G</w:t>
                      </w:r>
                      <w:r>
                        <w:rPr>
                          <w:rFonts w:ascii="Tw Cen MT" w:hAnsi="Tw Cen MT"/>
                          <w:b/>
                          <w:bCs/>
                          <w:color w:val="ffffff"/>
                          <w:sz w:val="40"/>
                          <w:szCs w:val="40"/>
                        </w:rPr>
                        <w:t>FD</w:t>
                      </w:r>
                      <w:r>
                        <w:rPr>
                          <w:rFonts w:ascii="Tw Cen MT" w:hAnsi="Tw Cen MT"/>
                          <w:b/>
                          <w:bCs/>
                          <w:color w:val="ffffff"/>
                          <w:sz w:val="40"/>
                          <w:szCs w:val="40"/>
                        </w:rPr>
                        <w:t>)</w:t>
                      </w:r>
                    </w:p>
                    <w:p>
                      <w:pPr>
                        <w:pStyle w:val="style0"/>
                        <w:rPr/>
                      </w:pPr>
                    </w:p>
                  </w:txbxContent>
                </v:textbox>
              </v:rect>
            </w:pict>
          </mc:Fallback>
        </mc:AlternateContent>
      </w:r>
      <w:r>
        <w:rPr>
          <w:rFonts w:ascii="Times New Roman" w:hAnsi="Times New Roman" w:cs="Times New Roman"/>
          <w:sz w:val="32"/>
          <w:szCs w:val="32"/>
          <w:u w:val="single"/>
        </w:rPr>
        <w:br w:type="page"/>
      </w:r>
    </w:p>
    <w:p w14:paraId="6D4874B8" w14:textId="77777777" w:rsidR="00031F03" w:rsidRDefault="00000000">
      <w:pPr>
        <w:pStyle w:val="Heading1"/>
        <w:rPr>
          <w:rFonts w:ascii="Tw Cen MT" w:hAnsi="Tw Cen MT"/>
          <w:b/>
          <w:bCs/>
          <w:color w:val="auto"/>
          <w:sz w:val="24"/>
          <w:szCs w:val="24"/>
        </w:rPr>
      </w:pPr>
      <w:bookmarkStart w:id="0" w:name="_Toc171581972"/>
      <w:r>
        <w:rPr>
          <w:rFonts w:ascii="Tw Cen MT" w:hAnsi="Tw Cen MT"/>
          <w:b/>
          <w:bCs/>
          <w:color w:val="auto"/>
          <w:sz w:val="24"/>
          <w:szCs w:val="24"/>
        </w:rPr>
        <w:lastRenderedPageBreak/>
        <w:t>EXECUTIVE SUMMARY</w:t>
      </w:r>
      <w:bookmarkEnd w:id="0"/>
      <w:r>
        <w:rPr>
          <w:rFonts w:ascii="Tw Cen MT" w:hAnsi="Tw Cen MT"/>
          <w:b/>
          <w:bCs/>
          <w:color w:val="auto"/>
          <w:sz w:val="24"/>
          <w:szCs w:val="24"/>
        </w:rPr>
        <w:t xml:space="preserve"> </w:t>
      </w:r>
    </w:p>
    <w:p w14:paraId="0FB2A55E" w14:textId="77777777" w:rsidR="00031F03" w:rsidRDefault="00031F03">
      <w:pPr>
        <w:rPr>
          <w:color w:val="FF0000"/>
        </w:rPr>
      </w:pPr>
    </w:p>
    <w:p w14:paraId="537EB7A0"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This submission by the Ghana Federation of Disability Organisations (GFD) outlines key issues regarding Ghana's compliance with and implementation of the United Nations Convention on the Rights of Persons with Disabilities (CRPD), considering the review of the initial report of Ghana by the Committee of Experts on the Rights of Persons with Disabilities (the Committee).</w:t>
      </w:r>
    </w:p>
    <w:p w14:paraId="3F5762F8" w14:textId="77777777" w:rsidR="00031F03" w:rsidRDefault="00031F03">
      <w:pPr>
        <w:pStyle w:val="NoSpacing"/>
        <w:spacing w:line="360" w:lineRule="auto"/>
        <w:jc w:val="both"/>
        <w:rPr>
          <w:rFonts w:ascii="Tw Cen MT" w:hAnsi="Tw Cen MT"/>
          <w:sz w:val="8"/>
          <w:szCs w:val="8"/>
        </w:rPr>
      </w:pPr>
    </w:p>
    <w:p w14:paraId="167CA8E0"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The Committee identified several Lists of Issues (LOI) in relation to the initial report ahead of the review of the report during the 31st CRPD committee session. The GFD prepared this updated shadow report, reflecting new developments and the Committee’s LOI from July 2022, and the state's response in June 2024. The GFD's approach to developing the shadow report included: reviewing laws, policy documents, reports, data, and information related to Ghana's CRPD implementation. The disability community was also engaged through focus group discussions across all 16 regions and key informant interviews with experts and stakeholders. A validation session with key stakeholders was held to ensure the report accurately reflects the current situation and experiences of persons with disabilities in Ghana.</w:t>
      </w:r>
    </w:p>
    <w:p w14:paraId="4767589D" w14:textId="77777777" w:rsidR="00031F03" w:rsidRDefault="00031F03">
      <w:pPr>
        <w:pStyle w:val="NoSpacing"/>
        <w:spacing w:line="360" w:lineRule="auto"/>
        <w:jc w:val="both"/>
        <w:rPr>
          <w:rFonts w:ascii="Tw Cen MT" w:hAnsi="Tw Cen MT"/>
          <w:sz w:val="8"/>
          <w:szCs w:val="8"/>
        </w:rPr>
      </w:pPr>
    </w:p>
    <w:p w14:paraId="62BF6490"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The report highlights both progress and significant gaps in CRPD implementation in Ghana. Despite some advancements, significant gaps remain in implementing and enforcing disability inclusion measures. The Persons with Disability Act of 2006 (Act 715), although pioneering, was not fully CRPD-compliant, and its implementation has been poor. Key provisions, such as making all public buildings accessible within ten years of passage of the Act 715, have not been met. The new Persons with Disability Bill 2024 aligns more closely with the CRPD but is still under cabinet and parliamentary consideration. While this Bill addresses some previous gaps, it still requires further refinement and has been progressing slowly, delaying essential reforms and exacerbating the challenges faced by persons with disabilities. This shadow report provides a stark portrayal of the persistent challenges confronting persons with disabilities in Ghana despite Ghana's ratification of international treaties and enactment of relevant legislation. Inaccessible infrastructure, inadequate educational resources, and barriers to accessing information, transportation, social protection, education and healthcare continue to marginalize persons with disabilities.</w:t>
      </w:r>
    </w:p>
    <w:p w14:paraId="6381C6DF" w14:textId="77777777" w:rsidR="00031F03" w:rsidRDefault="00031F03">
      <w:pPr>
        <w:pStyle w:val="NoSpacing"/>
        <w:spacing w:line="360" w:lineRule="auto"/>
        <w:jc w:val="both"/>
        <w:rPr>
          <w:rFonts w:ascii="Tw Cen MT" w:hAnsi="Tw Cen MT"/>
          <w:sz w:val="8"/>
          <w:szCs w:val="8"/>
        </w:rPr>
      </w:pPr>
    </w:p>
    <w:p w14:paraId="04B73BB2"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 xml:space="preserve">The report calls for comprehensive reforms to align with CRPD principles, including revising laws, launching awareness campaigns, enhancing accessibility standards, and establishing robust enforcement and monitoring mechanisms. The GFD also calls upon the Government of Ghana to prioritize disability rights as a cornerstone of national development. By adopting inclusive policies, allocating resources, and partnering with civil society and disability organizations, </w:t>
      </w:r>
      <w:r>
        <w:rPr>
          <w:rFonts w:ascii="Tw Cen MT" w:hAnsi="Tw Cen MT"/>
          <w:sz w:val="24"/>
          <w:szCs w:val="24"/>
        </w:rPr>
        <w:lastRenderedPageBreak/>
        <w:t>Ghana can create a more equitable society where persons with disabilities fully enjoy their rights and actively participate in all aspects of life.</w:t>
      </w:r>
    </w:p>
    <w:p w14:paraId="0479D79C" w14:textId="77777777" w:rsidR="00031F03" w:rsidRDefault="00031F03">
      <w:pPr>
        <w:pStyle w:val="NoSpacing"/>
        <w:spacing w:line="360" w:lineRule="auto"/>
        <w:jc w:val="both"/>
        <w:rPr>
          <w:rFonts w:ascii="Tw Cen MT" w:hAnsi="Tw Cen MT"/>
          <w:sz w:val="24"/>
          <w:szCs w:val="24"/>
        </w:rPr>
      </w:pPr>
    </w:p>
    <w:p w14:paraId="51513B23" w14:textId="77777777" w:rsidR="00031F03" w:rsidRDefault="00031F03">
      <w:pPr>
        <w:pStyle w:val="NoSpacing"/>
        <w:spacing w:line="360" w:lineRule="auto"/>
        <w:jc w:val="both"/>
        <w:rPr>
          <w:rFonts w:ascii="Tw Cen MT" w:hAnsi="Tw Cen MT"/>
          <w:sz w:val="24"/>
          <w:szCs w:val="24"/>
        </w:rPr>
      </w:pPr>
    </w:p>
    <w:p w14:paraId="345681C9" w14:textId="77777777" w:rsidR="00031F03" w:rsidRDefault="00031F03">
      <w:pPr>
        <w:pStyle w:val="NoSpacing"/>
        <w:spacing w:line="360" w:lineRule="auto"/>
        <w:jc w:val="both"/>
        <w:rPr>
          <w:rFonts w:ascii="Tw Cen MT" w:hAnsi="Tw Cen MT"/>
          <w:sz w:val="24"/>
          <w:szCs w:val="24"/>
        </w:rPr>
      </w:pPr>
    </w:p>
    <w:p w14:paraId="75BDCE37" w14:textId="77777777" w:rsidR="00031F03" w:rsidRDefault="00031F03"/>
    <w:p w14:paraId="0D9CF7CA" w14:textId="77777777" w:rsidR="00031F03" w:rsidRDefault="00031F03"/>
    <w:p w14:paraId="59DAB1C2" w14:textId="77777777" w:rsidR="00031F03" w:rsidRDefault="00031F03"/>
    <w:p w14:paraId="35E25437" w14:textId="77777777" w:rsidR="00031F03" w:rsidRDefault="00031F03"/>
    <w:p w14:paraId="46C59BAB" w14:textId="77777777" w:rsidR="00031F03" w:rsidRDefault="00031F03"/>
    <w:p w14:paraId="25F1D939" w14:textId="77777777" w:rsidR="00031F03" w:rsidRDefault="00031F03"/>
    <w:p w14:paraId="4A271AFA" w14:textId="77777777" w:rsidR="00031F03" w:rsidRDefault="00031F03"/>
    <w:tbl>
      <w:tblPr>
        <w:tblpPr w:leftFromText="180" w:rightFromText="180" w:vertAnchor="page" w:horzAnchor="margin" w:tblpY="1311"/>
        <w:tblW w:w="0" w:type="auto"/>
        <w:tblLook w:val="04A0" w:firstRow="1" w:lastRow="0" w:firstColumn="1" w:lastColumn="0" w:noHBand="0" w:noVBand="1"/>
      </w:tblPr>
      <w:tblGrid>
        <w:gridCol w:w="2492"/>
        <w:gridCol w:w="6534"/>
      </w:tblGrid>
      <w:tr w:rsidR="00031F03" w14:paraId="181C69CA" w14:textId="77777777">
        <w:tc>
          <w:tcPr>
            <w:tcW w:w="2492" w:type="dxa"/>
          </w:tcPr>
          <w:p w14:paraId="5942B64C" w14:textId="77777777" w:rsidR="00031F03" w:rsidRDefault="00000000">
            <w:pPr>
              <w:spacing w:line="360" w:lineRule="auto"/>
              <w:rPr>
                <w:rFonts w:ascii="Tw Cen MT" w:hAnsi="Tw Cen MT" w:cs="Times New Roman"/>
                <w:b/>
                <w:bCs/>
                <w:sz w:val="24"/>
                <w:szCs w:val="24"/>
              </w:rPr>
            </w:pPr>
            <w:r>
              <w:rPr>
                <w:rFonts w:ascii="Tw Cen MT" w:hAnsi="Tw Cen MT" w:cs="Times New Roman"/>
                <w:b/>
                <w:bCs/>
                <w:sz w:val="24"/>
                <w:szCs w:val="24"/>
              </w:rPr>
              <w:lastRenderedPageBreak/>
              <w:t>ABBREVIATIONS</w:t>
            </w:r>
          </w:p>
          <w:p w14:paraId="6F585467"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CBSS</w:t>
            </w:r>
          </w:p>
        </w:tc>
        <w:tc>
          <w:tcPr>
            <w:tcW w:w="6534" w:type="dxa"/>
          </w:tcPr>
          <w:p w14:paraId="2AAAE89C" w14:textId="77777777" w:rsidR="00031F03" w:rsidRDefault="00031F03">
            <w:pPr>
              <w:spacing w:line="360" w:lineRule="auto"/>
              <w:rPr>
                <w:rFonts w:ascii="Tw Cen MT" w:hAnsi="Tw Cen MT" w:cs="Times New Roman"/>
                <w:sz w:val="24"/>
                <w:szCs w:val="24"/>
              </w:rPr>
            </w:pPr>
          </w:p>
          <w:p w14:paraId="79AA5F71"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Community-Based Support Services </w:t>
            </w:r>
          </w:p>
        </w:tc>
      </w:tr>
      <w:tr w:rsidR="00031F03" w14:paraId="276EABBD" w14:textId="77777777">
        <w:tc>
          <w:tcPr>
            <w:tcW w:w="2492" w:type="dxa"/>
          </w:tcPr>
          <w:p w14:paraId="1513280D"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CHRAJ</w:t>
            </w:r>
          </w:p>
        </w:tc>
        <w:tc>
          <w:tcPr>
            <w:tcW w:w="6534" w:type="dxa"/>
          </w:tcPr>
          <w:p w14:paraId="1AF44102" w14:textId="77777777" w:rsidR="00031F03" w:rsidRDefault="00000000">
            <w:pPr>
              <w:spacing w:line="360" w:lineRule="auto"/>
              <w:rPr>
                <w:rFonts w:ascii="Tw Cen MT" w:hAnsi="Tw Cen MT" w:cs="Times New Roman"/>
                <w:sz w:val="24"/>
                <w:szCs w:val="24"/>
              </w:rPr>
            </w:pPr>
            <w:r>
              <w:rPr>
                <w:rFonts w:ascii="Tw Cen MT" w:eastAsia="Calibri" w:hAnsi="Tw Cen MT" w:cs="Times New Roman"/>
                <w:kern w:val="0"/>
                <w:sz w:val="24"/>
                <w:szCs w:val="24"/>
                <w:lang w:val="en-GB" w:eastAsia="en-US"/>
                <w14:ligatures w14:val="none"/>
              </w:rPr>
              <w:t>Commission on Human Rights and Administrative Justice</w:t>
            </w:r>
          </w:p>
        </w:tc>
      </w:tr>
      <w:tr w:rsidR="00031F03" w14:paraId="07D7B4F5" w14:textId="77777777">
        <w:tc>
          <w:tcPr>
            <w:tcW w:w="2492" w:type="dxa"/>
          </w:tcPr>
          <w:p w14:paraId="5BBF4C79"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CRPD</w:t>
            </w:r>
          </w:p>
        </w:tc>
        <w:tc>
          <w:tcPr>
            <w:tcW w:w="6534" w:type="dxa"/>
          </w:tcPr>
          <w:p w14:paraId="54E59D7D"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Convention on the Rights of Persons with Disabilities </w:t>
            </w:r>
          </w:p>
        </w:tc>
      </w:tr>
      <w:tr w:rsidR="00031F03" w14:paraId="4718404A" w14:textId="77777777">
        <w:tc>
          <w:tcPr>
            <w:tcW w:w="2492" w:type="dxa"/>
          </w:tcPr>
          <w:p w14:paraId="7945C7BC"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CSOs</w:t>
            </w:r>
          </w:p>
        </w:tc>
        <w:tc>
          <w:tcPr>
            <w:tcW w:w="6534" w:type="dxa"/>
          </w:tcPr>
          <w:p w14:paraId="050C6200"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Civil Society Organisations </w:t>
            </w:r>
          </w:p>
        </w:tc>
      </w:tr>
      <w:tr w:rsidR="00031F03" w14:paraId="0544EB4D" w14:textId="77777777">
        <w:tc>
          <w:tcPr>
            <w:tcW w:w="2492" w:type="dxa"/>
          </w:tcPr>
          <w:p w14:paraId="086729C2"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DACF</w:t>
            </w:r>
          </w:p>
        </w:tc>
        <w:tc>
          <w:tcPr>
            <w:tcW w:w="6534" w:type="dxa"/>
          </w:tcPr>
          <w:p w14:paraId="78B9A6E7"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District Assembly Common Fund </w:t>
            </w:r>
          </w:p>
        </w:tc>
      </w:tr>
      <w:tr w:rsidR="00031F03" w14:paraId="36439DFA" w14:textId="77777777">
        <w:tc>
          <w:tcPr>
            <w:tcW w:w="2492" w:type="dxa"/>
          </w:tcPr>
          <w:p w14:paraId="4003945B"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DOVSSU</w:t>
            </w:r>
          </w:p>
        </w:tc>
        <w:tc>
          <w:tcPr>
            <w:tcW w:w="6534" w:type="dxa"/>
          </w:tcPr>
          <w:p w14:paraId="645F476A"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Domestic Violence and Victim Support Unit </w:t>
            </w:r>
          </w:p>
        </w:tc>
      </w:tr>
      <w:tr w:rsidR="00031F03" w14:paraId="459E0593" w14:textId="77777777">
        <w:tc>
          <w:tcPr>
            <w:tcW w:w="2492" w:type="dxa"/>
          </w:tcPr>
          <w:p w14:paraId="5B104BF2"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ECG</w:t>
            </w:r>
          </w:p>
        </w:tc>
        <w:tc>
          <w:tcPr>
            <w:tcW w:w="6534" w:type="dxa"/>
          </w:tcPr>
          <w:p w14:paraId="1B3E71BC"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Education Capitation Grant </w:t>
            </w:r>
          </w:p>
        </w:tc>
      </w:tr>
      <w:tr w:rsidR="00031F03" w14:paraId="461B3E95" w14:textId="77777777">
        <w:tc>
          <w:tcPr>
            <w:tcW w:w="2492" w:type="dxa"/>
          </w:tcPr>
          <w:p w14:paraId="5A48AECB"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GASB</w:t>
            </w:r>
          </w:p>
        </w:tc>
        <w:tc>
          <w:tcPr>
            <w:tcW w:w="6534" w:type="dxa"/>
          </w:tcPr>
          <w:p w14:paraId="31668C25"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Ghana Accessibility Standards for the Built Environment </w:t>
            </w:r>
          </w:p>
        </w:tc>
      </w:tr>
      <w:tr w:rsidR="00031F03" w14:paraId="37527AB5" w14:textId="77777777">
        <w:tc>
          <w:tcPr>
            <w:tcW w:w="2492" w:type="dxa"/>
          </w:tcPr>
          <w:p w14:paraId="1E3CBD7C"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GDS</w:t>
            </w:r>
          </w:p>
        </w:tc>
        <w:tc>
          <w:tcPr>
            <w:tcW w:w="6534" w:type="dxa"/>
          </w:tcPr>
          <w:p w14:paraId="1B3E1258"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Global Disability Summit </w:t>
            </w:r>
          </w:p>
        </w:tc>
      </w:tr>
      <w:tr w:rsidR="00031F03" w14:paraId="2503E2DE" w14:textId="77777777">
        <w:tc>
          <w:tcPr>
            <w:tcW w:w="2492" w:type="dxa"/>
          </w:tcPr>
          <w:p w14:paraId="723A4931"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GFD</w:t>
            </w:r>
          </w:p>
        </w:tc>
        <w:tc>
          <w:tcPr>
            <w:tcW w:w="6534" w:type="dxa"/>
          </w:tcPr>
          <w:p w14:paraId="4116DC07"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Ghana Federation of Disability Organisations </w:t>
            </w:r>
          </w:p>
        </w:tc>
      </w:tr>
      <w:tr w:rsidR="00031F03" w14:paraId="5FF7D41F" w14:textId="77777777">
        <w:tc>
          <w:tcPr>
            <w:tcW w:w="2492" w:type="dxa"/>
          </w:tcPr>
          <w:p w14:paraId="21232ED3"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GNAD </w:t>
            </w:r>
          </w:p>
        </w:tc>
        <w:tc>
          <w:tcPr>
            <w:tcW w:w="6534" w:type="dxa"/>
          </w:tcPr>
          <w:p w14:paraId="5DC815C3"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Ghana National Association for The Deaf </w:t>
            </w:r>
          </w:p>
        </w:tc>
      </w:tr>
      <w:tr w:rsidR="00031F03" w14:paraId="0EE155CD" w14:textId="77777777">
        <w:tc>
          <w:tcPr>
            <w:tcW w:w="2492" w:type="dxa"/>
          </w:tcPr>
          <w:p w14:paraId="419193E3"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GSFP</w:t>
            </w:r>
          </w:p>
        </w:tc>
        <w:tc>
          <w:tcPr>
            <w:tcW w:w="6534" w:type="dxa"/>
          </w:tcPr>
          <w:p w14:paraId="08E33127"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Ghana School Feeding Programme </w:t>
            </w:r>
          </w:p>
        </w:tc>
      </w:tr>
      <w:tr w:rsidR="00031F03" w14:paraId="7C7FF730" w14:textId="77777777">
        <w:tc>
          <w:tcPr>
            <w:tcW w:w="2492" w:type="dxa"/>
          </w:tcPr>
          <w:p w14:paraId="75A54886"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GSS</w:t>
            </w:r>
          </w:p>
        </w:tc>
        <w:tc>
          <w:tcPr>
            <w:tcW w:w="6534" w:type="dxa"/>
          </w:tcPr>
          <w:p w14:paraId="60DC3F94"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Ghana Statistical Services </w:t>
            </w:r>
          </w:p>
        </w:tc>
      </w:tr>
      <w:tr w:rsidR="00031F03" w14:paraId="7FD14A6E" w14:textId="77777777">
        <w:tc>
          <w:tcPr>
            <w:tcW w:w="2492" w:type="dxa"/>
          </w:tcPr>
          <w:p w14:paraId="543AF841"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HRW</w:t>
            </w:r>
          </w:p>
        </w:tc>
        <w:tc>
          <w:tcPr>
            <w:tcW w:w="6534" w:type="dxa"/>
          </w:tcPr>
          <w:p w14:paraId="7552AD5A"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Human Rights Watch </w:t>
            </w:r>
          </w:p>
        </w:tc>
      </w:tr>
      <w:tr w:rsidR="00031F03" w14:paraId="58E55DB8" w14:textId="77777777">
        <w:tc>
          <w:tcPr>
            <w:tcW w:w="2492" w:type="dxa"/>
          </w:tcPr>
          <w:p w14:paraId="1B215E2A"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LEAP </w:t>
            </w:r>
          </w:p>
        </w:tc>
        <w:tc>
          <w:tcPr>
            <w:tcW w:w="6534" w:type="dxa"/>
          </w:tcPr>
          <w:p w14:paraId="6A264301"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Livelihood Empowerment Against Poverty</w:t>
            </w:r>
          </w:p>
        </w:tc>
      </w:tr>
      <w:tr w:rsidR="00031F03" w14:paraId="2D93D142" w14:textId="77777777">
        <w:tc>
          <w:tcPr>
            <w:tcW w:w="2492" w:type="dxa"/>
          </w:tcPr>
          <w:p w14:paraId="72494C4F"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LIPW</w:t>
            </w:r>
          </w:p>
        </w:tc>
        <w:tc>
          <w:tcPr>
            <w:tcW w:w="6534" w:type="dxa"/>
          </w:tcPr>
          <w:p w14:paraId="01016532"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Labour Intensive Public Works  </w:t>
            </w:r>
          </w:p>
        </w:tc>
      </w:tr>
      <w:tr w:rsidR="00031F03" w14:paraId="44DD55E9" w14:textId="77777777">
        <w:tc>
          <w:tcPr>
            <w:tcW w:w="2492" w:type="dxa"/>
          </w:tcPr>
          <w:p w14:paraId="1ACF9D42"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LOI</w:t>
            </w:r>
          </w:p>
        </w:tc>
        <w:tc>
          <w:tcPr>
            <w:tcW w:w="6534" w:type="dxa"/>
          </w:tcPr>
          <w:p w14:paraId="29D0A882"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List of Issues </w:t>
            </w:r>
          </w:p>
        </w:tc>
      </w:tr>
      <w:tr w:rsidR="00031F03" w14:paraId="2541D9A8" w14:textId="77777777">
        <w:tc>
          <w:tcPr>
            <w:tcW w:w="2492" w:type="dxa"/>
          </w:tcPr>
          <w:p w14:paraId="7A35A332"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MoGCSP</w:t>
            </w:r>
          </w:p>
        </w:tc>
        <w:tc>
          <w:tcPr>
            <w:tcW w:w="6534" w:type="dxa"/>
          </w:tcPr>
          <w:p w14:paraId="76C2ABB3"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Ministry of Gender, Children and Social Protection</w:t>
            </w:r>
          </w:p>
        </w:tc>
      </w:tr>
      <w:tr w:rsidR="00031F03" w14:paraId="34D5B623" w14:textId="77777777">
        <w:tc>
          <w:tcPr>
            <w:tcW w:w="2492" w:type="dxa"/>
          </w:tcPr>
          <w:p w14:paraId="6A47BD99"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MMDAs</w:t>
            </w:r>
          </w:p>
        </w:tc>
        <w:tc>
          <w:tcPr>
            <w:tcW w:w="6534" w:type="dxa"/>
          </w:tcPr>
          <w:p w14:paraId="5D417FEE"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Metropolitan, Municipal and District Assemblies </w:t>
            </w:r>
          </w:p>
        </w:tc>
      </w:tr>
      <w:tr w:rsidR="00031F03" w14:paraId="568AB040" w14:textId="77777777">
        <w:tc>
          <w:tcPr>
            <w:tcW w:w="2492" w:type="dxa"/>
          </w:tcPr>
          <w:p w14:paraId="05B92D0B"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NADMO</w:t>
            </w:r>
          </w:p>
        </w:tc>
        <w:tc>
          <w:tcPr>
            <w:tcW w:w="6534" w:type="dxa"/>
          </w:tcPr>
          <w:p w14:paraId="2C01A7AF"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National Disaster Management Organisation </w:t>
            </w:r>
          </w:p>
        </w:tc>
      </w:tr>
      <w:tr w:rsidR="00031F03" w14:paraId="65AC8D58" w14:textId="77777777">
        <w:tc>
          <w:tcPr>
            <w:tcW w:w="2492" w:type="dxa"/>
          </w:tcPr>
          <w:p w14:paraId="219872A0"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NCCE</w:t>
            </w:r>
          </w:p>
        </w:tc>
        <w:tc>
          <w:tcPr>
            <w:tcW w:w="6534" w:type="dxa"/>
          </w:tcPr>
          <w:p w14:paraId="707222C3"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National Commission for Civic Education  </w:t>
            </w:r>
          </w:p>
        </w:tc>
      </w:tr>
      <w:tr w:rsidR="00031F03" w14:paraId="4F1C4D4B" w14:textId="77777777">
        <w:tc>
          <w:tcPr>
            <w:tcW w:w="2492" w:type="dxa"/>
          </w:tcPr>
          <w:p w14:paraId="27B76893"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NCPD</w:t>
            </w:r>
          </w:p>
        </w:tc>
        <w:tc>
          <w:tcPr>
            <w:tcW w:w="6534" w:type="dxa"/>
          </w:tcPr>
          <w:p w14:paraId="42338FB1"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National Council on Persons with Disabilities </w:t>
            </w:r>
          </w:p>
        </w:tc>
      </w:tr>
      <w:tr w:rsidR="00031F03" w14:paraId="381A8B7D" w14:textId="77777777">
        <w:tc>
          <w:tcPr>
            <w:tcW w:w="2492" w:type="dxa"/>
          </w:tcPr>
          <w:p w14:paraId="0BCE27D7"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NHIS</w:t>
            </w:r>
          </w:p>
        </w:tc>
        <w:tc>
          <w:tcPr>
            <w:tcW w:w="6534" w:type="dxa"/>
          </w:tcPr>
          <w:p w14:paraId="7EDB24AA"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National Health Insurance Scheme </w:t>
            </w:r>
          </w:p>
        </w:tc>
      </w:tr>
      <w:tr w:rsidR="00031F03" w14:paraId="2712AEA6" w14:textId="77777777">
        <w:tc>
          <w:tcPr>
            <w:tcW w:w="2492" w:type="dxa"/>
          </w:tcPr>
          <w:p w14:paraId="6D660C74"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OPDs </w:t>
            </w:r>
          </w:p>
        </w:tc>
        <w:tc>
          <w:tcPr>
            <w:tcW w:w="6534" w:type="dxa"/>
          </w:tcPr>
          <w:p w14:paraId="7EF8BA5E"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 xml:space="preserve">Organisation of Persons with Disabilities </w:t>
            </w:r>
          </w:p>
        </w:tc>
      </w:tr>
      <w:tr w:rsidR="00031F03" w14:paraId="2A8F9048" w14:textId="77777777">
        <w:tc>
          <w:tcPr>
            <w:tcW w:w="2492" w:type="dxa"/>
          </w:tcPr>
          <w:p w14:paraId="12C2CB95"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UN</w:t>
            </w:r>
          </w:p>
        </w:tc>
        <w:tc>
          <w:tcPr>
            <w:tcW w:w="6534" w:type="dxa"/>
          </w:tcPr>
          <w:p w14:paraId="5608CC39" w14:textId="77777777" w:rsidR="00031F03" w:rsidRDefault="00000000">
            <w:pPr>
              <w:spacing w:line="360" w:lineRule="auto"/>
              <w:rPr>
                <w:rFonts w:ascii="Tw Cen MT" w:hAnsi="Tw Cen MT" w:cs="Times New Roman"/>
                <w:sz w:val="24"/>
                <w:szCs w:val="24"/>
              </w:rPr>
            </w:pPr>
            <w:r>
              <w:rPr>
                <w:rFonts w:ascii="Tw Cen MT" w:hAnsi="Tw Cen MT" w:cs="Times New Roman"/>
                <w:sz w:val="24"/>
                <w:szCs w:val="24"/>
              </w:rPr>
              <w:t>United Nations</w:t>
            </w:r>
          </w:p>
        </w:tc>
      </w:tr>
    </w:tbl>
    <w:p w14:paraId="609EF15F" w14:textId="77777777" w:rsidR="00031F03" w:rsidRDefault="00031F03"/>
    <w:p w14:paraId="4C9EB3D6" w14:textId="77777777" w:rsidR="00031F03" w:rsidRDefault="00031F03"/>
    <w:p w14:paraId="7F65E8E9" w14:textId="77777777" w:rsidR="00031F03" w:rsidRDefault="00031F03"/>
    <w:p w14:paraId="03A5407D" w14:textId="77777777" w:rsidR="00031F03" w:rsidRDefault="00031F03"/>
    <w:p w14:paraId="75A7A90A" w14:textId="77777777" w:rsidR="00031F03" w:rsidRDefault="00031F03"/>
    <w:p w14:paraId="3C0CD63A" w14:textId="77777777" w:rsidR="00031F03" w:rsidRDefault="00031F03"/>
    <w:p w14:paraId="538330A2" w14:textId="77777777" w:rsidR="00031F03" w:rsidRDefault="00031F03"/>
    <w:p w14:paraId="6AED8E37" w14:textId="77777777" w:rsidR="00031F03" w:rsidRDefault="00031F03">
      <w:pPr>
        <w:pStyle w:val="TOCHeading"/>
        <w:rPr>
          <w:rFonts w:ascii="Calibri" w:hAnsi="Calibri" w:cs="SimSun"/>
          <w:color w:val="auto"/>
          <w:kern w:val="2"/>
          <w:sz w:val="22"/>
          <w:szCs w:val="22"/>
          <w:lang w:eastAsia="en-GB"/>
          <w14:ligatures w14:val="standardContextual"/>
        </w:rPr>
      </w:pPr>
    </w:p>
    <w:p w14:paraId="3675CC3E" w14:textId="77777777" w:rsidR="00031F03" w:rsidRDefault="00031F03"/>
    <w:p w14:paraId="60292E87" w14:textId="77777777" w:rsidR="00031F03" w:rsidRDefault="00031F03"/>
    <w:p w14:paraId="26EAE03D" w14:textId="77777777" w:rsidR="00031F03" w:rsidRDefault="00031F03"/>
    <w:p w14:paraId="1BA94CEB" w14:textId="77777777" w:rsidR="00031F03" w:rsidRDefault="00031F03"/>
    <w:p w14:paraId="48F89528" w14:textId="77777777" w:rsidR="00031F03" w:rsidRDefault="00000000">
      <w:pPr>
        <w:pStyle w:val="TOCHeading"/>
        <w:rPr>
          <w:rFonts w:ascii="Tw Cen MT" w:hAnsi="Tw Cen MT"/>
          <w:b/>
          <w:bCs/>
          <w:color w:val="002060"/>
        </w:rPr>
      </w:pPr>
      <w:r>
        <w:rPr>
          <w:rFonts w:ascii="Tw Cen MT" w:hAnsi="Tw Cen MT"/>
          <w:b/>
          <w:bCs/>
          <w:color w:val="002060"/>
        </w:rPr>
        <w:lastRenderedPageBreak/>
        <w:t>Table of Contents</w:t>
      </w:r>
    </w:p>
    <w:p w14:paraId="037F0BCF" w14:textId="77777777" w:rsidR="00031F03" w:rsidRDefault="00031F03">
      <w:pPr>
        <w:rPr>
          <w:lang w:eastAsia="en-US"/>
        </w:rPr>
      </w:pPr>
    </w:p>
    <w:p w14:paraId="3BF4A35F" w14:textId="77777777" w:rsidR="00031F03" w:rsidRDefault="00000000">
      <w:pPr>
        <w:pStyle w:val="TOC1"/>
        <w:rPr>
          <w:rFonts w:ascii="Calibri" w:hAnsi="Calibri" w:cs="Arial"/>
          <w:b w:val="0"/>
          <w:bCs w:val="0"/>
          <w:sz w:val="24"/>
          <w:szCs w:val="24"/>
        </w:rPr>
      </w:pPr>
      <w:r>
        <w:rPr>
          <w:noProof w:val="0"/>
        </w:rPr>
        <w:fldChar w:fldCharType="begin"/>
      </w:r>
      <w:r>
        <w:instrText xml:space="preserve"> TOC \o "1-3" \h \z \u </w:instrText>
      </w:r>
      <w:r>
        <w:rPr>
          <w:noProof w:val="0"/>
        </w:rPr>
        <w:fldChar w:fldCharType="separate"/>
      </w:r>
      <w:hyperlink w:anchor="_Toc171581972" w:history="1">
        <w:r>
          <w:rPr>
            <w:rStyle w:val="Hyperlink"/>
            <w:b w:val="0"/>
            <w:bCs w:val="0"/>
          </w:rPr>
          <w:t>EXECUTIVE SUMMARY</w:t>
        </w:r>
        <w:r>
          <w:rPr>
            <w:b w:val="0"/>
            <w:bCs w:val="0"/>
            <w:webHidden/>
          </w:rPr>
          <w:tab/>
        </w:r>
        <w:r>
          <w:rPr>
            <w:b w:val="0"/>
            <w:bCs w:val="0"/>
            <w:webHidden/>
          </w:rPr>
          <w:fldChar w:fldCharType="begin"/>
        </w:r>
        <w:r>
          <w:rPr>
            <w:b w:val="0"/>
            <w:bCs w:val="0"/>
            <w:webHidden/>
          </w:rPr>
          <w:instrText xml:space="preserve"> PAGEREF _Toc171581972 \h </w:instrText>
        </w:r>
        <w:r>
          <w:rPr>
            <w:b w:val="0"/>
            <w:bCs w:val="0"/>
            <w:webHidden/>
          </w:rPr>
        </w:r>
        <w:r>
          <w:rPr>
            <w:b w:val="0"/>
            <w:bCs w:val="0"/>
            <w:webHidden/>
          </w:rPr>
          <w:fldChar w:fldCharType="separate"/>
        </w:r>
        <w:r>
          <w:rPr>
            <w:b w:val="0"/>
            <w:bCs w:val="0"/>
            <w:webHidden/>
          </w:rPr>
          <w:t>1</w:t>
        </w:r>
        <w:r>
          <w:rPr>
            <w:b w:val="0"/>
            <w:bCs w:val="0"/>
            <w:webHidden/>
          </w:rPr>
          <w:fldChar w:fldCharType="end"/>
        </w:r>
      </w:hyperlink>
    </w:p>
    <w:p w14:paraId="332C3C91" w14:textId="77777777" w:rsidR="00031F03" w:rsidRDefault="00000000">
      <w:pPr>
        <w:pStyle w:val="TOC1"/>
        <w:rPr>
          <w:rFonts w:ascii="Calibri" w:hAnsi="Calibri" w:cs="Arial"/>
          <w:b w:val="0"/>
          <w:bCs w:val="0"/>
          <w:sz w:val="24"/>
          <w:szCs w:val="24"/>
        </w:rPr>
      </w:pPr>
      <w:hyperlink w:anchor="_Toc171581973" w:history="1">
        <w:r>
          <w:rPr>
            <w:rStyle w:val="Hyperlink"/>
            <w:b w:val="0"/>
            <w:bCs w:val="0"/>
          </w:rPr>
          <w:t>ABBREVIATIONS</w:t>
        </w:r>
        <w:r>
          <w:rPr>
            <w:b w:val="0"/>
            <w:bCs w:val="0"/>
            <w:webHidden/>
          </w:rPr>
          <w:tab/>
        </w:r>
        <w:r>
          <w:rPr>
            <w:b w:val="0"/>
            <w:bCs w:val="0"/>
            <w:webHidden/>
          </w:rPr>
          <w:fldChar w:fldCharType="begin"/>
        </w:r>
        <w:r>
          <w:rPr>
            <w:b w:val="0"/>
            <w:bCs w:val="0"/>
            <w:webHidden/>
          </w:rPr>
          <w:instrText xml:space="preserve"> PAGEREF _Toc171581973 \h </w:instrText>
        </w:r>
        <w:r>
          <w:rPr>
            <w:b w:val="0"/>
            <w:bCs w:val="0"/>
            <w:webHidden/>
          </w:rPr>
        </w:r>
        <w:r>
          <w:rPr>
            <w:b w:val="0"/>
            <w:bCs w:val="0"/>
            <w:webHidden/>
          </w:rPr>
          <w:fldChar w:fldCharType="separate"/>
        </w:r>
        <w:r>
          <w:rPr>
            <w:b w:val="0"/>
            <w:bCs w:val="0"/>
            <w:webHidden/>
          </w:rPr>
          <w:t>2</w:t>
        </w:r>
        <w:r>
          <w:rPr>
            <w:b w:val="0"/>
            <w:bCs w:val="0"/>
            <w:webHidden/>
          </w:rPr>
          <w:fldChar w:fldCharType="end"/>
        </w:r>
      </w:hyperlink>
    </w:p>
    <w:p w14:paraId="431C6456" w14:textId="77777777" w:rsidR="00031F03" w:rsidRDefault="00000000">
      <w:pPr>
        <w:pStyle w:val="TOC1"/>
        <w:rPr>
          <w:rFonts w:ascii="Calibri" w:hAnsi="Calibri" w:cs="Arial"/>
          <w:b w:val="0"/>
          <w:bCs w:val="0"/>
          <w:sz w:val="24"/>
          <w:szCs w:val="24"/>
        </w:rPr>
      </w:pPr>
      <w:hyperlink w:anchor="_Toc171581974" w:history="1">
        <w:r>
          <w:rPr>
            <w:rStyle w:val="Hyperlink"/>
            <w:b w:val="0"/>
            <w:bCs w:val="0"/>
          </w:rPr>
          <w:t>INTRODUCTION</w:t>
        </w:r>
        <w:r>
          <w:rPr>
            <w:b w:val="0"/>
            <w:bCs w:val="0"/>
            <w:webHidden/>
          </w:rPr>
          <w:tab/>
        </w:r>
        <w:r>
          <w:rPr>
            <w:b w:val="0"/>
            <w:bCs w:val="0"/>
            <w:webHidden/>
          </w:rPr>
          <w:fldChar w:fldCharType="begin"/>
        </w:r>
        <w:r>
          <w:rPr>
            <w:b w:val="0"/>
            <w:bCs w:val="0"/>
            <w:webHidden/>
          </w:rPr>
          <w:instrText xml:space="preserve"> PAGEREF _Toc171581974 \h </w:instrText>
        </w:r>
        <w:r>
          <w:rPr>
            <w:b w:val="0"/>
            <w:bCs w:val="0"/>
            <w:webHidden/>
          </w:rPr>
        </w:r>
        <w:r>
          <w:rPr>
            <w:b w:val="0"/>
            <w:bCs w:val="0"/>
            <w:webHidden/>
          </w:rPr>
          <w:fldChar w:fldCharType="separate"/>
        </w:r>
        <w:r>
          <w:rPr>
            <w:b w:val="0"/>
            <w:bCs w:val="0"/>
            <w:webHidden/>
          </w:rPr>
          <w:t>5</w:t>
        </w:r>
        <w:r>
          <w:rPr>
            <w:b w:val="0"/>
            <w:bCs w:val="0"/>
            <w:webHidden/>
          </w:rPr>
          <w:fldChar w:fldCharType="end"/>
        </w:r>
      </w:hyperlink>
    </w:p>
    <w:p w14:paraId="33421308" w14:textId="77777777" w:rsidR="00031F03" w:rsidRDefault="00000000">
      <w:pPr>
        <w:pStyle w:val="TOC1"/>
        <w:rPr>
          <w:rFonts w:ascii="Calibri" w:hAnsi="Calibri" w:cs="Arial"/>
          <w:b w:val="0"/>
          <w:bCs w:val="0"/>
          <w:sz w:val="24"/>
          <w:szCs w:val="24"/>
        </w:rPr>
      </w:pPr>
      <w:hyperlink w:anchor="_Toc171581975" w:history="1">
        <w:r>
          <w:rPr>
            <w:rStyle w:val="Hyperlink"/>
            <w:b w:val="0"/>
            <w:bCs w:val="0"/>
          </w:rPr>
          <w:t>APPROACH</w:t>
        </w:r>
        <w:r>
          <w:rPr>
            <w:b w:val="0"/>
            <w:bCs w:val="0"/>
            <w:webHidden/>
          </w:rPr>
          <w:tab/>
        </w:r>
        <w:r>
          <w:rPr>
            <w:b w:val="0"/>
            <w:bCs w:val="0"/>
            <w:webHidden/>
          </w:rPr>
          <w:fldChar w:fldCharType="begin"/>
        </w:r>
        <w:r>
          <w:rPr>
            <w:b w:val="0"/>
            <w:bCs w:val="0"/>
            <w:webHidden/>
          </w:rPr>
          <w:instrText xml:space="preserve"> PAGEREF _Toc171581975 \h </w:instrText>
        </w:r>
        <w:r>
          <w:rPr>
            <w:b w:val="0"/>
            <w:bCs w:val="0"/>
            <w:webHidden/>
          </w:rPr>
        </w:r>
        <w:r>
          <w:rPr>
            <w:b w:val="0"/>
            <w:bCs w:val="0"/>
            <w:webHidden/>
          </w:rPr>
          <w:fldChar w:fldCharType="separate"/>
        </w:r>
        <w:r>
          <w:rPr>
            <w:b w:val="0"/>
            <w:bCs w:val="0"/>
            <w:webHidden/>
          </w:rPr>
          <w:t>6</w:t>
        </w:r>
        <w:r>
          <w:rPr>
            <w:b w:val="0"/>
            <w:bCs w:val="0"/>
            <w:webHidden/>
          </w:rPr>
          <w:fldChar w:fldCharType="end"/>
        </w:r>
      </w:hyperlink>
    </w:p>
    <w:p w14:paraId="08E0E0F1" w14:textId="77777777" w:rsidR="00031F03" w:rsidRDefault="00000000">
      <w:pPr>
        <w:pStyle w:val="TOC1"/>
        <w:rPr>
          <w:rFonts w:ascii="Calibri" w:hAnsi="Calibri" w:cs="Arial"/>
          <w:b w:val="0"/>
          <w:bCs w:val="0"/>
          <w:sz w:val="24"/>
          <w:szCs w:val="24"/>
        </w:rPr>
      </w:pPr>
      <w:hyperlink w:anchor="_Toc171581976" w:history="1">
        <w:r>
          <w:rPr>
            <w:rStyle w:val="Hyperlink"/>
            <w:b w:val="0"/>
            <w:bCs w:val="0"/>
          </w:rPr>
          <w:t>Article 1–4: Purpose, Definitions, General Principles and General Obligations</w:t>
        </w:r>
        <w:r>
          <w:rPr>
            <w:b w:val="0"/>
            <w:bCs w:val="0"/>
            <w:webHidden/>
          </w:rPr>
          <w:tab/>
        </w:r>
        <w:r>
          <w:rPr>
            <w:b w:val="0"/>
            <w:bCs w:val="0"/>
            <w:webHidden/>
          </w:rPr>
          <w:fldChar w:fldCharType="begin"/>
        </w:r>
        <w:r>
          <w:rPr>
            <w:b w:val="0"/>
            <w:bCs w:val="0"/>
            <w:webHidden/>
          </w:rPr>
          <w:instrText xml:space="preserve"> PAGEREF _Toc171581976 \h </w:instrText>
        </w:r>
        <w:r>
          <w:rPr>
            <w:b w:val="0"/>
            <w:bCs w:val="0"/>
            <w:webHidden/>
          </w:rPr>
        </w:r>
        <w:r>
          <w:rPr>
            <w:b w:val="0"/>
            <w:bCs w:val="0"/>
            <w:webHidden/>
          </w:rPr>
          <w:fldChar w:fldCharType="separate"/>
        </w:r>
        <w:r>
          <w:rPr>
            <w:b w:val="0"/>
            <w:bCs w:val="0"/>
            <w:webHidden/>
          </w:rPr>
          <w:t>7</w:t>
        </w:r>
        <w:r>
          <w:rPr>
            <w:b w:val="0"/>
            <w:bCs w:val="0"/>
            <w:webHidden/>
          </w:rPr>
          <w:fldChar w:fldCharType="end"/>
        </w:r>
      </w:hyperlink>
    </w:p>
    <w:p w14:paraId="36223885" w14:textId="77777777" w:rsidR="00031F03" w:rsidRDefault="00000000">
      <w:pPr>
        <w:pStyle w:val="TOC1"/>
        <w:rPr>
          <w:rFonts w:ascii="Calibri" w:hAnsi="Calibri" w:cs="Arial"/>
          <w:b w:val="0"/>
          <w:bCs w:val="0"/>
          <w:sz w:val="24"/>
          <w:szCs w:val="24"/>
        </w:rPr>
      </w:pPr>
      <w:hyperlink w:anchor="_Toc171581977" w:history="1">
        <w:r>
          <w:rPr>
            <w:rStyle w:val="Hyperlink"/>
            <w:b w:val="0"/>
            <w:bCs w:val="0"/>
          </w:rPr>
          <w:t>Article 5: Equality and Non-Discrimination</w:t>
        </w:r>
        <w:r>
          <w:rPr>
            <w:b w:val="0"/>
            <w:bCs w:val="0"/>
            <w:webHidden/>
          </w:rPr>
          <w:tab/>
        </w:r>
        <w:r>
          <w:rPr>
            <w:b w:val="0"/>
            <w:bCs w:val="0"/>
            <w:webHidden/>
          </w:rPr>
          <w:fldChar w:fldCharType="begin"/>
        </w:r>
        <w:r>
          <w:rPr>
            <w:b w:val="0"/>
            <w:bCs w:val="0"/>
            <w:webHidden/>
          </w:rPr>
          <w:instrText xml:space="preserve"> PAGEREF _Toc171581977 \h </w:instrText>
        </w:r>
        <w:r>
          <w:rPr>
            <w:b w:val="0"/>
            <w:bCs w:val="0"/>
            <w:webHidden/>
          </w:rPr>
        </w:r>
        <w:r>
          <w:rPr>
            <w:b w:val="0"/>
            <w:bCs w:val="0"/>
            <w:webHidden/>
          </w:rPr>
          <w:fldChar w:fldCharType="separate"/>
        </w:r>
        <w:r>
          <w:rPr>
            <w:b w:val="0"/>
            <w:bCs w:val="0"/>
            <w:webHidden/>
          </w:rPr>
          <w:t>8</w:t>
        </w:r>
        <w:r>
          <w:rPr>
            <w:b w:val="0"/>
            <w:bCs w:val="0"/>
            <w:webHidden/>
          </w:rPr>
          <w:fldChar w:fldCharType="end"/>
        </w:r>
      </w:hyperlink>
    </w:p>
    <w:p w14:paraId="59DF1E48" w14:textId="77777777" w:rsidR="00031F03" w:rsidRDefault="00000000">
      <w:pPr>
        <w:pStyle w:val="TOC1"/>
        <w:rPr>
          <w:rFonts w:ascii="Calibri" w:hAnsi="Calibri" w:cs="Arial"/>
          <w:b w:val="0"/>
          <w:bCs w:val="0"/>
          <w:sz w:val="24"/>
          <w:szCs w:val="24"/>
        </w:rPr>
      </w:pPr>
      <w:hyperlink w:anchor="_Toc171581978" w:history="1">
        <w:r>
          <w:rPr>
            <w:rStyle w:val="Hyperlink"/>
            <w:b w:val="0"/>
            <w:bCs w:val="0"/>
          </w:rPr>
          <w:t>Article 6: Women with Disabilities</w:t>
        </w:r>
        <w:r>
          <w:rPr>
            <w:b w:val="0"/>
            <w:bCs w:val="0"/>
            <w:webHidden/>
          </w:rPr>
          <w:tab/>
        </w:r>
        <w:r>
          <w:rPr>
            <w:b w:val="0"/>
            <w:bCs w:val="0"/>
            <w:webHidden/>
          </w:rPr>
          <w:fldChar w:fldCharType="begin"/>
        </w:r>
        <w:r>
          <w:rPr>
            <w:b w:val="0"/>
            <w:bCs w:val="0"/>
            <w:webHidden/>
          </w:rPr>
          <w:instrText xml:space="preserve"> PAGEREF _Toc171581978 \h </w:instrText>
        </w:r>
        <w:r>
          <w:rPr>
            <w:b w:val="0"/>
            <w:bCs w:val="0"/>
            <w:webHidden/>
          </w:rPr>
        </w:r>
        <w:r>
          <w:rPr>
            <w:b w:val="0"/>
            <w:bCs w:val="0"/>
            <w:webHidden/>
          </w:rPr>
          <w:fldChar w:fldCharType="separate"/>
        </w:r>
        <w:r>
          <w:rPr>
            <w:b w:val="0"/>
            <w:bCs w:val="0"/>
            <w:webHidden/>
          </w:rPr>
          <w:t>9</w:t>
        </w:r>
        <w:r>
          <w:rPr>
            <w:b w:val="0"/>
            <w:bCs w:val="0"/>
            <w:webHidden/>
          </w:rPr>
          <w:fldChar w:fldCharType="end"/>
        </w:r>
      </w:hyperlink>
    </w:p>
    <w:p w14:paraId="5F99936F" w14:textId="77777777" w:rsidR="00031F03" w:rsidRDefault="00000000">
      <w:pPr>
        <w:pStyle w:val="TOC1"/>
        <w:rPr>
          <w:rFonts w:ascii="Calibri" w:hAnsi="Calibri" w:cs="Arial"/>
          <w:b w:val="0"/>
          <w:bCs w:val="0"/>
          <w:sz w:val="24"/>
          <w:szCs w:val="24"/>
        </w:rPr>
      </w:pPr>
      <w:hyperlink w:anchor="_Toc171581979" w:history="1">
        <w:r>
          <w:rPr>
            <w:rStyle w:val="Hyperlink"/>
            <w:b w:val="0"/>
            <w:bCs w:val="0"/>
          </w:rPr>
          <w:t>Article 7: Children with Disabilities</w:t>
        </w:r>
        <w:r>
          <w:rPr>
            <w:b w:val="0"/>
            <w:bCs w:val="0"/>
            <w:webHidden/>
          </w:rPr>
          <w:tab/>
        </w:r>
        <w:r>
          <w:rPr>
            <w:b w:val="0"/>
            <w:bCs w:val="0"/>
            <w:webHidden/>
          </w:rPr>
          <w:fldChar w:fldCharType="begin"/>
        </w:r>
        <w:r>
          <w:rPr>
            <w:b w:val="0"/>
            <w:bCs w:val="0"/>
            <w:webHidden/>
          </w:rPr>
          <w:instrText xml:space="preserve"> PAGEREF _Toc171581979 \h </w:instrText>
        </w:r>
        <w:r>
          <w:rPr>
            <w:b w:val="0"/>
            <w:bCs w:val="0"/>
            <w:webHidden/>
          </w:rPr>
        </w:r>
        <w:r>
          <w:rPr>
            <w:b w:val="0"/>
            <w:bCs w:val="0"/>
            <w:webHidden/>
          </w:rPr>
          <w:fldChar w:fldCharType="separate"/>
        </w:r>
        <w:r>
          <w:rPr>
            <w:b w:val="0"/>
            <w:bCs w:val="0"/>
            <w:webHidden/>
          </w:rPr>
          <w:t>11</w:t>
        </w:r>
        <w:r>
          <w:rPr>
            <w:b w:val="0"/>
            <w:bCs w:val="0"/>
            <w:webHidden/>
          </w:rPr>
          <w:fldChar w:fldCharType="end"/>
        </w:r>
      </w:hyperlink>
    </w:p>
    <w:p w14:paraId="21B9FD04" w14:textId="77777777" w:rsidR="00031F03" w:rsidRDefault="00000000">
      <w:pPr>
        <w:pStyle w:val="TOC1"/>
        <w:rPr>
          <w:rFonts w:ascii="Calibri" w:hAnsi="Calibri" w:cs="Arial"/>
          <w:b w:val="0"/>
          <w:bCs w:val="0"/>
          <w:sz w:val="24"/>
          <w:szCs w:val="24"/>
        </w:rPr>
      </w:pPr>
      <w:hyperlink w:anchor="_Toc171581980" w:history="1">
        <w:r>
          <w:rPr>
            <w:rStyle w:val="Hyperlink"/>
            <w:b w:val="0"/>
            <w:bCs w:val="0"/>
          </w:rPr>
          <w:t>Article 8: Awareness Raising</w:t>
        </w:r>
        <w:r>
          <w:rPr>
            <w:b w:val="0"/>
            <w:bCs w:val="0"/>
            <w:webHidden/>
          </w:rPr>
          <w:tab/>
        </w:r>
        <w:r>
          <w:rPr>
            <w:b w:val="0"/>
            <w:bCs w:val="0"/>
            <w:webHidden/>
          </w:rPr>
          <w:fldChar w:fldCharType="begin"/>
        </w:r>
        <w:r>
          <w:rPr>
            <w:b w:val="0"/>
            <w:bCs w:val="0"/>
            <w:webHidden/>
          </w:rPr>
          <w:instrText xml:space="preserve"> PAGEREF _Toc171581980 \h </w:instrText>
        </w:r>
        <w:r>
          <w:rPr>
            <w:b w:val="0"/>
            <w:bCs w:val="0"/>
            <w:webHidden/>
          </w:rPr>
        </w:r>
        <w:r>
          <w:rPr>
            <w:b w:val="0"/>
            <w:bCs w:val="0"/>
            <w:webHidden/>
          </w:rPr>
          <w:fldChar w:fldCharType="separate"/>
        </w:r>
        <w:r>
          <w:rPr>
            <w:b w:val="0"/>
            <w:bCs w:val="0"/>
            <w:webHidden/>
          </w:rPr>
          <w:t>12</w:t>
        </w:r>
        <w:r>
          <w:rPr>
            <w:b w:val="0"/>
            <w:bCs w:val="0"/>
            <w:webHidden/>
          </w:rPr>
          <w:fldChar w:fldCharType="end"/>
        </w:r>
      </w:hyperlink>
    </w:p>
    <w:p w14:paraId="772C474F" w14:textId="77777777" w:rsidR="00031F03" w:rsidRDefault="00000000">
      <w:pPr>
        <w:pStyle w:val="TOC1"/>
        <w:rPr>
          <w:rFonts w:ascii="Calibri" w:hAnsi="Calibri" w:cs="Arial"/>
          <w:b w:val="0"/>
          <w:bCs w:val="0"/>
          <w:sz w:val="24"/>
          <w:szCs w:val="24"/>
        </w:rPr>
      </w:pPr>
      <w:hyperlink w:anchor="_Toc171581981" w:history="1">
        <w:r>
          <w:rPr>
            <w:rStyle w:val="Hyperlink"/>
            <w:b w:val="0"/>
            <w:bCs w:val="0"/>
          </w:rPr>
          <w:t>Article 9 Accessibility</w:t>
        </w:r>
        <w:r>
          <w:rPr>
            <w:b w:val="0"/>
            <w:bCs w:val="0"/>
            <w:webHidden/>
          </w:rPr>
          <w:tab/>
        </w:r>
        <w:r>
          <w:rPr>
            <w:b w:val="0"/>
            <w:bCs w:val="0"/>
            <w:webHidden/>
          </w:rPr>
          <w:fldChar w:fldCharType="begin"/>
        </w:r>
        <w:r>
          <w:rPr>
            <w:b w:val="0"/>
            <w:bCs w:val="0"/>
            <w:webHidden/>
          </w:rPr>
          <w:instrText xml:space="preserve"> PAGEREF _Toc171581981 \h </w:instrText>
        </w:r>
        <w:r>
          <w:rPr>
            <w:b w:val="0"/>
            <w:bCs w:val="0"/>
            <w:webHidden/>
          </w:rPr>
        </w:r>
        <w:r>
          <w:rPr>
            <w:b w:val="0"/>
            <w:bCs w:val="0"/>
            <w:webHidden/>
          </w:rPr>
          <w:fldChar w:fldCharType="separate"/>
        </w:r>
        <w:r>
          <w:rPr>
            <w:b w:val="0"/>
            <w:bCs w:val="0"/>
            <w:webHidden/>
          </w:rPr>
          <w:t>13</w:t>
        </w:r>
        <w:r>
          <w:rPr>
            <w:b w:val="0"/>
            <w:bCs w:val="0"/>
            <w:webHidden/>
          </w:rPr>
          <w:fldChar w:fldCharType="end"/>
        </w:r>
      </w:hyperlink>
    </w:p>
    <w:p w14:paraId="78B89F20" w14:textId="77777777" w:rsidR="00031F03" w:rsidRDefault="00000000">
      <w:pPr>
        <w:pStyle w:val="TOC1"/>
        <w:rPr>
          <w:rFonts w:ascii="Calibri" w:hAnsi="Calibri" w:cs="Arial"/>
          <w:b w:val="0"/>
          <w:bCs w:val="0"/>
          <w:sz w:val="24"/>
          <w:szCs w:val="24"/>
        </w:rPr>
      </w:pPr>
      <w:hyperlink w:anchor="_Toc171581982" w:history="1">
        <w:r>
          <w:rPr>
            <w:rStyle w:val="Hyperlink"/>
            <w:b w:val="0"/>
            <w:bCs w:val="0"/>
          </w:rPr>
          <w:t>Article 11: Situations of Risk and Humanitarian Emergencies</w:t>
        </w:r>
        <w:r>
          <w:rPr>
            <w:b w:val="0"/>
            <w:bCs w:val="0"/>
            <w:webHidden/>
          </w:rPr>
          <w:tab/>
        </w:r>
        <w:r>
          <w:rPr>
            <w:b w:val="0"/>
            <w:bCs w:val="0"/>
            <w:webHidden/>
          </w:rPr>
          <w:fldChar w:fldCharType="begin"/>
        </w:r>
        <w:r>
          <w:rPr>
            <w:b w:val="0"/>
            <w:bCs w:val="0"/>
            <w:webHidden/>
          </w:rPr>
          <w:instrText xml:space="preserve"> PAGEREF _Toc171581982 \h </w:instrText>
        </w:r>
        <w:r>
          <w:rPr>
            <w:b w:val="0"/>
            <w:bCs w:val="0"/>
            <w:webHidden/>
          </w:rPr>
        </w:r>
        <w:r>
          <w:rPr>
            <w:b w:val="0"/>
            <w:bCs w:val="0"/>
            <w:webHidden/>
          </w:rPr>
          <w:fldChar w:fldCharType="separate"/>
        </w:r>
        <w:r>
          <w:rPr>
            <w:b w:val="0"/>
            <w:bCs w:val="0"/>
            <w:webHidden/>
          </w:rPr>
          <w:t>15</w:t>
        </w:r>
        <w:r>
          <w:rPr>
            <w:b w:val="0"/>
            <w:bCs w:val="0"/>
            <w:webHidden/>
          </w:rPr>
          <w:fldChar w:fldCharType="end"/>
        </w:r>
      </w:hyperlink>
    </w:p>
    <w:p w14:paraId="5DBD9186" w14:textId="77777777" w:rsidR="00031F03" w:rsidRDefault="00000000">
      <w:pPr>
        <w:pStyle w:val="TOC1"/>
        <w:rPr>
          <w:rFonts w:ascii="Calibri" w:hAnsi="Calibri" w:cs="Arial"/>
          <w:b w:val="0"/>
          <w:bCs w:val="0"/>
          <w:sz w:val="24"/>
          <w:szCs w:val="24"/>
        </w:rPr>
      </w:pPr>
      <w:hyperlink w:anchor="_Toc171581983" w:history="1">
        <w:r>
          <w:rPr>
            <w:rStyle w:val="Hyperlink"/>
            <w:b w:val="0"/>
            <w:bCs w:val="0"/>
          </w:rPr>
          <w:t>Article 12: Equal Recognition Before the Law</w:t>
        </w:r>
        <w:r>
          <w:rPr>
            <w:b w:val="0"/>
            <w:bCs w:val="0"/>
            <w:webHidden/>
          </w:rPr>
          <w:tab/>
        </w:r>
        <w:r>
          <w:rPr>
            <w:b w:val="0"/>
            <w:bCs w:val="0"/>
            <w:webHidden/>
          </w:rPr>
          <w:fldChar w:fldCharType="begin"/>
        </w:r>
        <w:r>
          <w:rPr>
            <w:b w:val="0"/>
            <w:bCs w:val="0"/>
            <w:webHidden/>
          </w:rPr>
          <w:instrText xml:space="preserve"> PAGEREF _Toc171581983 \h </w:instrText>
        </w:r>
        <w:r>
          <w:rPr>
            <w:b w:val="0"/>
            <w:bCs w:val="0"/>
            <w:webHidden/>
          </w:rPr>
        </w:r>
        <w:r>
          <w:rPr>
            <w:b w:val="0"/>
            <w:bCs w:val="0"/>
            <w:webHidden/>
          </w:rPr>
          <w:fldChar w:fldCharType="separate"/>
        </w:r>
        <w:r>
          <w:rPr>
            <w:b w:val="0"/>
            <w:bCs w:val="0"/>
            <w:webHidden/>
          </w:rPr>
          <w:t>16</w:t>
        </w:r>
        <w:r>
          <w:rPr>
            <w:b w:val="0"/>
            <w:bCs w:val="0"/>
            <w:webHidden/>
          </w:rPr>
          <w:fldChar w:fldCharType="end"/>
        </w:r>
      </w:hyperlink>
    </w:p>
    <w:p w14:paraId="4C84A81B" w14:textId="77777777" w:rsidR="00031F03" w:rsidRDefault="00000000">
      <w:pPr>
        <w:pStyle w:val="TOC1"/>
        <w:rPr>
          <w:rFonts w:ascii="Calibri" w:hAnsi="Calibri" w:cs="Arial"/>
          <w:b w:val="0"/>
          <w:bCs w:val="0"/>
          <w:sz w:val="24"/>
          <w:szCs w:val="24"/>
        </w:rPr>
      </w:pPr>
      <w:hyperlink w:anchor="_Toc171581984" w:history="1">
        <w:r>
          <w:rPr>
            <w:rStyle w:val="Hyperlink"/>
            <w:b w:val="0"/>
            <w:bCs w:val="0"/>
          </w:rPr>
          <w:t>Article 13: Access to Justice</w:t>
        </w:r>
        <w:r>
          <w:rPr>
            <w:b w:val="0"/>
            <w:bCs w:val="0"/>
            <w:webHidden/>
          </w:rPr>
          <w:tab/>
        </w:r>
        <w:r>
          <w:rPr>
            <w:b w:val="0"/>
            <w:bCs w:val="0"/>
            <w:webHidden/>
          </w:rPr>
          <w:fldChar w:fldCharType="begin"/>
        </w:r>
        <w:r>
          <w:rPr>
            <w:b w:val="0"/>
            <w:bCs w:val="0"/>
            <w:webHidden/>
          </w:rPr>
          <w:instrText xml:space="preserve"> PAGEREF _Toc171581984 \h </w:instrText>
        </w:r>
        <w:r>
          <w:rPr>
            <w:b w:val="0"/>
            <w:bCs w:val="0"/>
            <w:webHidden/>
          </w:rPr>
        </w:r>
        <w:r>
          <w:rPr>
            <w:b w:val="0"/>
            <w:bCs w:val="0"/>
            <w:webHidden/>
          </w:rPr>
          <w:fldChar w:fldCharType="separate"/>
        </w:r>
        <w:r>
          <w:rPr>
            <w:b w:val="0"/>
            <w:bCs w:val="0"/>
            <w:webHidden/>
          </w:rPr>
          <w:t>18</w:t>
        </w:r>
        <w:r>
          <w:rPr>
            <w:b w:val="0"/>
            <w:bCs w:val="0"/>
            <w:webHidden/>
          </w:rPr>
          <w:fldChar w:fldCharType="end"/>
        </w:r>
      </w:hyperlink>
    </w:p>
    <w:p w14:paraId="1831F944" w14:textId="77777777" w:rsidR="00031F03" w:rsidRDefault="00000000">
      <w:pPr>
        <w:pStyle w:val="TOC1"/>
        <w:rPr>
          <w:rFonts w:ascii="Calibri" w:hAnsi="Calibri" w:cs="Arial"/>
          <w:b w:val="0"/>
          <w:bCs w:val="0"/>
          <w:sz w:val="24"/>
          <w:szCs w:val="24"/>
        </w:rPr>
      </w:pPr>
      <w:hyperlink w:anchor="_Toc171581985" w:history="1">
        <w:r>
          <w:rPr>
            <w:rStyle w:val="Hyperlink"/>
            <w:b w:val="0"/>
            <w:bCs w:val="0"/>
            <w:lang w:val="en-GB"/>
          </w:rPr>
          <w:t>Article 14: Liberty and Security of the Person</w:t>
        </w:r>
        <w:r>
          <w:rPr>
            <w:b w:val="0"/>
            <w:bCs w:val="0"/>
            <w:webHidden/>
          </w:rPr>
          <w:tab/>
        </w:r>
        <w:r>
          <w:rPr>
            <w:b w:val="0"/>
            <w:bCs w:val="0"/>
            <w:webHidden/>
          </w:rPr>
          <w:fldChar w:fldCharType="begin"/>
        </w:r>
        <w:r>
          <w:rPr>
            <w:b w:val="0"/>
            <w:bCs w:val="0"/>
            <w:webHidden/>
          </w:rPr>
          <w:instrText xml:space="preserve"> PAGEREF _Toc171581985 \h </w:instrText>
        </w:r>
        <w:r>
          <w:rPr>
            <w:b w:val="0"/>
            <w:bCs w:val="0"/>
            <w:webHidden/>
          </w:rPr>
        </w:r>
        <w:r>
          <w:rPr>
            <w:b w:val="0"/>
            <w:bCs w:val="0"/>
            <w:webHidden/>
          </w:rPr>
          <w:fldChar w:fldCharType="separate"/>
        </w:r>
        <w:r>
          <w:rPr>
            <w:b w:val="0"/>
            <w:bCs w:val="0"/>
            <w:webHidden/>
          </w:rPr>
          <w:t>19</w:t>
        </w:r>
        <w:r>
          <w:rPr>
            <w:b w:val="0"/>
            <w:bCs w:val="0"/>
            <w:webHidden/>
          </w:rPr>
          <w:fldChar w:fldCharType="end"/>
        </w:r>
      </w:hyperlink>
    </w:p>
    <w:p w14:paraId="503456EE" w14:textId="77777777" w:rsidR="00031F03" w:rsidRDefault="00000000">
      <w:pPr>
        <w:pStyle w:val="TOC1"/>
        <w:rPr>
          <w:rFonts w:ascii="Calibri" w:hAnsi="Calibri" w:cs="Arial"/>
          <w:b w:val="0"/>
          <w:bCs w:val="0"/>
          <w:sz w:val="24"/>
          <w:szCs w:val="24"/>
        </w:rPr>
      </w:pPr>
      <w:hyperlink w:anchor="_Toc171581986" w:history="1">
        <w:r>
          <w:rPr>
            <w:rStyle w:val="Hyperlink"/>
            <w:b w:val="0"/>
            <w:bCs w:val="0"/>
            <w:lang w:val="en-GB"/>
          </w:rPr>
          <w:t>Article 15: Freedom from Torture or Cruel, Inhuman or Degrading Treatment or Punishment</w:t>
        </w:r>
        <w:r>
          <w:rPr>
            <w:b w:val="0"/>
            <w:bCs w:val="0"/>
            <w:webHidden/>
          </w:rPr>
          <w:tab/>
        </w:r>
        <w:r>
          <w:rPr>
            <w:b w:val="0"/>
            <w:bCs w:val="0"/>
            <w:webHidden/>
          </w:rPr>
          <w:fldChar w:fldCharType="begin"/>
        </w:r>
        <w:r>
          <w:rPr>
            <w:b w:val="0"/>
            <w:bCs w:val="0"/>
            <w:webHidden/>
          </w:rPr>
          <w:instrText xml:space="preserve"> PAGEREF _Toc171581986 \h </w:instrText>
        </w:r>
        <w:r>
          <w:rPr>
            <w:b w:val="0"/>
            <w:bCs w:val="0"/>
            <w:webHidden/>
          </w:rPr>
        </w:r>
        <w:r>
          <w:rPr>
            <w:b w:val="0"/>
            <w:bCs w:val="0"/>
            <w:webHidden/>
          </w:rPr>
          <w:fldChar w:fldCharType="separate"/>
        </w:r>
        <w:r>
          <w:rPr>
            <w:b w:val="0"/>
            <w:bCs w:val="0"/>
            <w:webHidden/>
          </w:rPr>
          <w:t>20</w:t>
        </w:r>
        <w:r>
          <w:rPr>
            <w:b w:val="0"/>
            <w:bCs w:val="0"/>
            <w:webHidden/>
          </w:rPr>
          <w:fldChar w:fldCharType="end"/>
        </w:r>
      </w:hyperlink>
    </w:p>
    <w:p w14:paraId="02F7CF44" w14:textId="77777777" w:rsidR="00031F03" w:rsidRDefault="00000000">
      <w:pPr>
        <w:pStyle w:val="TOC1"/>
        <w:rPr>
          <w:rFonts w:ascii="Calibri" w:hAnsi="Calibri" w:cs="Arial"/>
          <w:b w:val="0"/>
          <w:bCs w:val="0"/>
          <w:sz w:val="24"/>
          <w:szCs w:val="24"/>
        </w:rPr>
      </w:pPr>
      <w:hyperlink w:anchor="_Toc171581987" w:history="1">
        <w:r>
          <w:rPr>
            <w:rStyle w:val="Hyperlink"/>
            <w:b w:val="0"/>
            <w:bCs w:val="0"/>
            <w:lang w:val="en-GB"/>
          </w:rPr>
          <w:t>Article 16: Freedom from Exploitation, Violence and Abuse</w:t>
        </w:r>
        <w:r>
          <w:rPr>
            <w:b w:val="0"/>
            <w:bCs w:val="0"/>
            <w:webHidden/>
          </w:rPr>
          <w:tab/>
        </w:r>
        <w:r>
          <w:rPr>
            <w:b w:val="0"/>
            <w:bCs w:val="0"/>
            <w:webHidden/>
          </w:rPr>
          <w:fldChar w:fldCharType="begin"/>
        </w:r>
        <w:r>
          <w:rPr>
            <w:b w:val="0"/>
            <w:bCs w:val="0"/>
            <w:webHidden/>
          </w:rPr>
          <w:instrText xml:space="preserve"> PAGEREF _Toc171581987 \h </w:instrText>
        </w:r>
        <w:r>
          <w:rPr>
            <w:b w:val="0"/>
            <w:bCs w:val="0"/>
            <w:webHidden/>
          </w:rPr>
        </w:r>
        <w:r>
          <w:rPr>
            <w:b w:val="0"/>
            <w:bCs w:val="0"/>
            <w:webHidden/>
          </w:rPr>
          <w:fldChar w:fldCharType="separate"/>
        </w:r>
        <w:r>
          <w:rPr>
            <w:b w:val="0"/>
            <w:bCs w:val="0"/>
            <w:webHidden/>
          </w:rPr>
          <w:t>20</w:t>
        </w:r>
        <w:r>
          <w:rPr>
            <w:b w:val="0"/>
            <w:bCs w:val="0"/>
            <w:webHidden/>
          </w:rPr>
          <w:fldChar w:fldCharType="end"/>
        </w:r>
      </w:hyperlink>
    </w:p>
    <w:p w14:paraId="77D71F45" w14:textId="77777777" w:rsidR="00031F03" w:rsidRDefault="00000000">
      <w:pPr>
        <w:pStyle w:val="TOC1"/>
        <w:rPr>
          <w:rFonts w:ascii="Calibri" w:hAnsi="Calibri" w:cs="Arial"/>
          <w:b w:val="0"/>
          <w:bCs w:val="0"/>
          <w:sz w:val="24"/>
          <w:szCs w:val="24"/>
        </w:rPr>
      </w:pPr>
      <w:hyperlink w:anchor="_Toc171581988" w:history="1">
        <w:r>
          <w:rPr>
            <w:rStyle w:val="Hyperlink"/>
            <w:b w:val="0"/>
            <w:bCs w:val="0"/>
            <w:lang w:val="en-GB"/>
          </w:rPr>
          <w:t xml:space="preserve">Article 17: </w:t>
        </w:r>
        <w:r>
          <w:rPr>
            <w:rStyle w:val="Hyperlink"/>
            <w:b w:val="0"/>
            <w:bCs w:val="0"/>
          </w:rPr>
          <w:t>Protecting the Integrity of the Person</w:t>
        </w:r>
        <w:r>
          <w:rPr>
            <w:b w:val="0"/>
            <w:bCs w:val="0"/>
            <w:webHidden/>
          </w:rPr>
          <w:tab/>
        </w:r>
        <w:r>
          <w:rPr>
            <w:b w:val="0"/>
            <w:bCs w:val="0"/>
            <w:webHidden/>
          </w:rPr>
          <w:fldChar w:fldCharType="begin"/>
        </w:r>
        <w:r>
          <w:rPr>
            <w:b w:val="0"/>
            <w:bCs w:val="0"/>
            <w:webHidden/>
          </w:rPr>
          <w:instrText xml:space="preserve"> PAGEREF _Toc171581988 \h </w:instrText>
        </w:r>
        <w:r>
          <w:rPr>
            <w:b w:val="0"/>
            <w:bCs w:val="0"/>
            <w:webHidden/>
          </w:rPr>
        </w:r>
        <w:r>
          <w:rPr>
            <w:b w:val="0"/>
            <w:bCs w:val="0"/>
            <w:webHidden/>
          </w:rPr>
          <w:fldChar w:fldCharType="separate"/>
        </w:r>
        <w:r>
          <w:rPr>
            <w:b w:val="0"/>
            <w:bCs w:val="0"/>
            <w:webHidden/>
          </w:rPr>
          <w:t>21</w:t>
        </w:r>
        <w:r>
          <w:rPr>
            <w:b w:val="0"/>
            <w:bCs w:val="0"/>
            <w:webHidden/>
          </w:rPr>
          <w:fldChar w:fldCharType="end"/>
        </w:r>
      </w:hyperlink>
    </w:p>
    <w:p w14:paraId="12D7836C" w14:textId="77777777" w:rsidR="00031F03" w:rsidRDefault="00000000">
      <w:pPr>
        <w:pStyle w:val="TOC1"/>
        <w:rPr>
          <w:rFonts w:ascii="Calibri" w:hAnsi="Calibri" w:cs="Arial"/>
          <w:b w:val="0"/>
          <w:bCs w:val="0"/>
          <w:sz w:val="24"/>
          <w:szCs w:val="24"/>
        </w:rPr>
      </w:pPr>
      <w:hyperlink w:anchor="_Toc171581989" w:history="1">
        <w:r>
          <w:rPr>
            <w:rStyle w:val="Hyperlink"/>
            <w:b w:val="0"/>
            <w:bCs w:val="0"/>
          </w:rPr>
          <w:t>Article 19: Living Independently and Being Included in the Community</w:t>
        </w:r>
        <w:r>
          <w:rPr>
            <w:b w:val="0"/>
            <w:bCs w:val="0"/>
            <w:webHidden/>
          </w:rPr>
          <w:tab/>
        </w:r>
        <w:r>
          <w:rPr>
            <w:b w:val="0"/>
            <w:bCs w:val="0"/>
            <w:webHidden/>
          </w:rPr>
          <w:fldChar w:fldCharType="begin"/>
        </w:r>
        <w:r>
          <w:rPr>
            <w:b w:val="0"/>
            <w:bCs w:val="0"/>
            <w:webHidden/>
          </w:rPr>
          <w:instrText xml:space="preserve"> PAGEREF _Toc171581989 \h </w:instrText>
        </w:r>
        <w:r>
          <w:rPr>
            <w:b w:val="0"/>
            <w:bCs w:val="0"/>
            <w:webHidden/>
          </w:rPr>
        </w:r>
        <w:r>
          <w:rPr>
            <w:b w:val="0"/>
            <w:bCs w:val="0"/>
            <w:webHidden/>
          </w:rPr>
          <w:fldChar w:fldCharType="separate"/>
        </w:r>
        <w:r>
          <w:rPr>
            <w:b w:val="0"/>
            <w:bCs w:val="0"/>
            <w:webHidden/>
          </w:rPr>
          <w:t>22</w:t>
        </w:r>
        <w:r>
          <w:rPr>
            <w:b w:val="0"/>
            <w:bCs w:val="0"/>
            <w:webHidden/>
          </w:rPr>
          <w:fldChar w:fldCharType="end"/>
        </w:r>
      </w:hyperlink>
    </w:p>
    <w:p w14:paraId="70D97942" w14:textId="77777777" w:rsidR="00031F03" w:rsidRDefault="00000000">
      <w:pPr>
        <w:pStyle w:val="TOC1"/>
        <w:rPr>
          <w:rFonts w:ascii="Calibri" w:hAnsi="Calibri" w:cs="Arial"/>
          <w:b w:val="0"/>
          <w:bCs w:val="0"/>
          <w:sz w:val="24"/>
          <w:szCs w:val="24"/>
        </w:rPr>
      </w:pPr>
      <w:hyperlink w:anchor="_Toc171581990" w:history="1">
        <w:r>
          <w:rPr>
            <w:rStyle w:val="Hyperlink"/>
            <w:b w:val="0"/>
            <w:bCs w:val="0"/>
            <w:lang w:val="en-GB"/>
          </w:rPr>
          <w:t>Article 20: Personal Mobility</w:t>
        </w:r>
        <w:r>
          <w:rPr>
            <w:b w:val="0"/>
            <w:bCs w:val="0"/>
            <w:webHidden/>
          </w:rPr>
          <w:tab/>
        </w:r>
        <w:r>
          <w:rPr>
            <w:b w:val="0"/>
            <w:bCs w:val="0"/>
            <w:webHidden/>
          </w:rPr>
          <w:fldChar w:fldCharType="begin"/>
        </w:r>
        <w:r>
          <w:rPr>
            <w:b w:val="0"/>
            <w:bCs w:val="0"/>
            <w:webHidden/>
          </w:rPr>
          <w:instrText xml:space="preserve"> PAGEREF _Toc171581990 \h </w:instrText>
        </w:r>
        <w:r>
          <w:rPr>
            <w:b w:val="0"/>
            <w:bCs w:val="0"/>
            <w:webHidden/>
          </w:rPr>
        </w:r>
        <w:r>
          <w:rPr>
            <w:b w:val="0"/>
            <w:bCs w:val="0"/>
            <w:webHidden/>
          </w:rPr>
          <w:fldChar w:fldCharType="separate"/>
        </w:r>
        <w:r>
          <w:rPr>
            <w:b w:val="0"/>
            <w:bCs w:val="0"/>
            <w:webHidden/>
          </w:rPr>
          <w:t>23</w:t>
        </w:r>
        <w:r>
          <w:rPr>
            <w:b w:val="0"/>
            <w:bCs w:val="0"/>
            <w:webHidden/>
          </w:rPr>
          <w:fldChar w:fldCharType="end"/>
        </w:r>
      </w:hyperlink>
    </w:p>
    <w:p w14:paraId="620DCD90" w14:textId="77777777" w:rsidR="00031F03" w:rsidRDefault="00000000">
      <w:pPr>
        <w:pStyle w:val="TOC1"/>
        <w:rPr>
          <w:rFonts w:ascii="Calibri" w:hAnsi="Calibri" w:cs="Arial"/>
          <w:b w:val="0"/>
          <w:bCs w:val="0"/>
          <w:sz w:val="24"/>
          <w:szCs w:val="24"/>
        </w:rPr>
      </w:pPr>
      <w:hyperlink w:anchor="_Toc171581991" w:history="1">
        <w:r>
          <w:rPr>
            <w:rStyle w:val="Hyperlink"/>
            <w:b w:val="0"/>
            <w:bCs w:val="0"/>
            <w:lang w:val="en-GB"/>
          </w:rPr>
          <w:t>Article 21: Freedom of Expression and Opinion, and Access to Information</w:t>
        </w:r>
        <w:r>
          <w:rPr>
            <w:b w:val="0"/>
            <w:bCs w:val="0"/>
            <w:webHidden/>
          </w:rPr>
          <w:tab/>
        </w:r>
        <w:r>
          <w:rPr>
            <w:b w:val="0"/>
            <w:bCs w:val="0"/>
            <w:webHidden/>
          </w:rPr>
          <w:fldChar w:fldCharType="begin"/>
        </w:r>
        <w:r>
          <w:rPr>
            <w:b w:val="0"/>
            <w:bCs w:val="0"/>
            <w:webHidden/>
          </w:rPr>
          <w:instrText xml:space="preserve"> PAGEREF _Toc171581991 \h </w:instrText>
        </w:r>
        <w:r>
          <w:rPr>
            <w:b w:val="0"/>
            <w:bCs w:val="0"/>
            <w:webHidden/>
          </w:rPr>
        </w:r>
        <w:r>
          <w:rPr>
            <w:b w:val="0"/>
            <w:bCs w:val="0"/>
            <w:webHidden/>
          </w:rPr>
          <w:fldChar w:fldCharType="separate"/>
        </w:r>
        <w:r>
          <w:rPr>
            <w:b w:val="0"/>
            <w:bCs w:val="0"/>
            <w:webHidden/>
          </w:rPr>
          <w:t>26</w:t>
        </w:r>
        <w:r>
          <w:rPr>
            <w:b w:val="0"/>
            <w:bCs w:val="0"/>
            <w:webHidden/>
          </w:rPr>
          <w:fldChar w:fldCharType="end"/>
        </w:r>
      </w:hyperlink>
    </w:p>
    <w:p w14:paraId="4693FF6E" w14:textId="77777777" w:rsidR="00031F03" w:rsidRDefault="00000000">
      <w:pPr>
        <w:pStyle w:val="TOC1"/>
        <w:rPr>
          <w:rFonts w:ascii="Calibri" w:hAnsi="Calibri" w:cs="Arial"/>
          <w:b w:val="0"/>
          <w:bCs w:val="0"/>
          <w:sz w:val="24"/>
          <w:szCs w:val="24"/>
        </w:rPr>
      </w:pPr>
      <w:hyperlink w:anchor="_Toc171581992" w:history="1">
        <w:r>
          <w:rPr>
            <w:rStyle w:val="Hyperlink"/>
            <w:b w:val="0"/>
            <w:bCs w:val="0"/>
            <w:lang w:val="en-GB"/>
          </w:rPr>
          <w:t>Article 23: Respect for Home and the Family</w:t>
        </w:r>
        <w:r>
          <w:rPr>
            <w:b w:val="0"/>
            <w:bCs w:val="0"/>
            <w:webHidden/>
          </w:rPr>
          <w:tab/>
        </w:r>
        <w:r>
          <w:rPr>
            <w:b w:val="0"/>
            <w:bCs w:val="0"/>
            <w:webHidden/>
          </w:rPr>
          <w:fldChar w:fldCharType="begin"/>
        </w:r>
        <w:r>
          <w:rPr>
            <w:b w:val="0"/>
            <w:bCs w:val="0"/>
            <w:webHidden/>
          </w:rPr>
          <w:instrText xml:space="preserve"> PAGEREF _Toc171581992 \h </w:instrText>
        </w:r>
        <w:r>
          <w:rPr>
            <w:b w:val="0"/>
            <w:bCs w:val="0"/>
            <w:webHidden/>
          </w:rPr>
        </w:r>
        <w:r>
          <w:rPr>
            <w:b w:val="0"/>
            <w:bCs w:val="0"/>
            <w:webHidden/>
          </w:rPr>
          <w:fldChar w:fldCharType="separate"/>
        </w:r>
        <w:r>
          <w:rPr>
            <w:b w:val="0"/>
            <w:bCs w:val="0"/>
            <w:webHidden/>
          </w:rPr>
          <w:t>28</w:t>
        </w:r>
        <w:r>
          <w:rPr>
            <w:b w:val="0"/>
            <w:bCs w:val="0"/>
            <w:webHidden/>
          </w:rPr>
          <w:fldChar w:fldCharType="end"/>
        </w:r>
      </w:hyperlink>
    </w:p>
    <w:p w14:paraId="36BAEAF0" w14:textId="77777777" w:rsidR="00031F03" w:rsidRDefault="00000000">
      <w:pPr>
        <w:pStyle w:val="TOC1"/>
        <w:rPr>
          <w:rFonts w:ascii="Calibri" w:hAnsi="Calibri" w:cs="Arial"/>
          <w:b w:val="0"/>
          <w:bCs w:val="0"/>
          <w:sz w:val="24"/>
          <w:szCs w:val="24"/>
        </w:rPr>
      </w:pPr>
      <w:hyperlink w:anchor="_Toc171581993" w:history="1">
        <w:r>
          <w:rPr>
            <w:rStyle w:val="Hyperlink"/>
            <w:b w:val="0"/>
            <w:bCs w:val="0"/>
          </w:rPr>
          <w:t>Article 24: Inclusive Education</w:t>
        </w:r>
        <w:r>
          <w:rPr>
            <w:b w:val="0"/>
            <w:bCs w:val="0"/>
            <w:webHidden/>
          </w:rPr>
          <w:tab/>
        </w:r>
        <w:r>
          <w:rPr>
            <w:b w:val="0"/>
            <w:bCs w:val="0"/>
            <w:webHidden/>
          </w:rPr>
          <w:fldChar w:fldCharType="begin"/>
        </w:r>
        <w:r>
          <w:rPr>
            <w:b w:val="0"/>
            <w:bCs w:val="0"/>
            <w:webHidden/>
          </w:rPr>
          <w:instrText xml:space="preserve"> PAGEREF _Toc171581993 \h </w:instrText>
        </w:r>
        <w:r>
          <w:rPr>
            <w:b w:val="0"/>
            <w:bCs w:val="0"/>
            <w:webHidden/>
          </w:rPr>
        </w:r>
        <w:r>
          <w:rPr>
            <w:b w:val="0"/>
            <w:bCs w:val="0"/>
            <w:webHidden/>
          </w:rPr>
          <w:fldChar w:fldCharType="separate"/>
        </w:r>
        <w:r>
          <w:rPr>
            <w:b w:val="0"/>
            <w:bCs w:val="0"/>
            <w:webHidden/>
          </w:rPr>
          <w:t>29</w:t>
        </w:r>
        <w:r>
          <w:rPr>
            <w:b w:val="0"/>
            <w:bCs w:val="0"/>
            <w:webHidden/>
          </w:rPr>
          <w:fldChar w:fldCharType="end"/>
        </w:r>
      </w:hyperlink>
    </w:p>
    <w:p w14:paraId="3BD3DA12" w14:textId="77777777" w:rsidR="00031F03" w:rsidRDefault="00000000">
      <w:pPr>
        <w:pStyle w:val="TOC1"/>
        <w:rPr>
          <w:rFonts w:ascii="Calibri" w:hAnsi="Calibri" w:cs="Arial"/>
          <w:b w:val="0"/>
          <w:bCs w:val="0"/>
          <w:sz w:val="24"/>
          <w:szCs w:val="24"/>
        </w:rPr>
      </w:pPr>
      <w:hyperlink w:anchor="_Toc171581994" w:history="1">
        <w:r>
          <w:rPr>
            <w:rStyle w:val="Hyperlink"/>
            <w:b w:val="0"/>
            <w:bCs w:val="0"/>
          </w:rPr>
          <w:t>Article 25: Health</w:t>
        </w:r>
        <w:r>
          <w:rPr>
            <w:b w:val="0"/>
            <w:bCs w:val="0"/>
            <w:webHidden/>
          </w:rPr>
          <w:tab/>
        </w:r>
        <w:r>
          <w:rPr>
            <w:b w:val="0"/>
            <w:bCs w:val="0"/>
            <w:webHidden/>
          </w:rPr>
          <w:fldChar w:fldCharType="begin"/>
        </w:r>
        <w:r>
          <w:rPr>
            <w:b w:val="0"/>
            <w:bCs w:val="0"/>
            <w:webHidden/>
          </w:rPr>
          <w:instrText xml:space="preserve"> PAGEREF _Toc171581994 \h </w:instrText>
        </w:r>
        <w:r>
          <w:rPr>
            <w:b w:val="0"/>
            <w:bCs w:val="0"/>
            <w:webHidden/>
          </w:rPr>
        </w:r>
        <w:r>
          <w:rPr>
            <w:b w:val="0"/>
            <w:bCs w:val="0"/>
            <w:webHidden/>
          </w:rPr>
          <w:fldChar w:fldCharType="separate"/>
        </w:r>
        <w:r>
          <w:rPr>
            <w:b w:val="0"/>
            <w:bCs w:val="0"/>
            <w:webHidden/>
          </w:rPr>
          <w:t>30</w:t>
        </w:r>
        <w:r>
          <w:rPr>
            <w:b w:val="0"/>
            <w:bCs w:val="0"/>
            <w:webHidden/>
          </w:rPr>
          <w:fldChar w:fldCharType="end"/>
        </w:r>
      </w:hyperlink>
    </w:p>
    <w:p w14:paraId="4961B90F" w14:textId="77777777" w:rsidR="00031F03" w:rsidRDefault="00000000">
      <w:pPr>
        <w:pStyle w:val="TOC1"/>
        <w:rPr>
          <w:rFonts w:ascii="Calibri" w:hAnsi="Calibri" w:cs="Arial"/>
          <w:b w:val="0"/>
          <w:bCs w:val="0"/>
          <w:sz w:val="24"/>
          <w:szCs w:val="24"/>
        </w:rPr>
      </w:pPr>
      <w:hyperlink w:anchor="_Toc171581995" w:history="1">
        <w:r>
          <w:rPr>
            <w:rStyle w:val="Hyperlink"/>
            <w:b w:val="0"/>
            <w:bCs w:val="0"/>
          </w:rPr>
          <w:t>Article 27: Work and Employment</w:t>
        </w:r>
        <w:r>
          <w:rPr>
            <w:b w:val="0"/>
            <w:bCs w:val="0"/>
            <w:webHidden/>
          </w:rPr>
          <w:tab/>
        </w:r>
        <w:r>
          <w:rPr>
            <w:b w:val="0"/>
            <w:bCs w:val="0"/>
            <w:webHidden/>
          </w:rPr>
          <w:fldChar w:fldCharType="begin"/>
        </w:r>
        <w:r>
          <w:rPr>
            <w:b w:val="0"/>
            <w:bCs w:val="0"/>
            <w:webHidden/>
          </w:rPr>
          <w:instrText xml:space="preserve"> PAGEREF _Toc171581995 \h </w:instrText>
        </w:r>
        <w:r>
          <w:rPr>
            <w:b w:val="0"/>
            <w:bCs w:val="0"/>
            <w:webHidden/>
          </w:rPr>
        </w:r>
        <w:r>
          <w:rPr>
            <w:b w:val="0"/>
            <w:bCs w:val="0"/>
            <w:webHidden/>
          </w:rPr>
          <w:fldChar w:fldCharType="separate"/>
        </w:r>
        <w:r>
          <w:rPr>
            <w:b w:val="0"/>
            <w:bCs w:val="0"/>
            <w:webHidden/>
          </w:rPr>
          <w:t>31</w:t>
        </w:r>
        <w:r>
          <w:rPr>
            <w:b w:val="0"/>
            <w:bCs w:val="0"/>
            <w:webHidden/>
          </w:rPr>
          <w:fldChar w:fldCharType="end"/>
        </w:r>
      </w:hyperlink>
    </w:p>
    <w:p w14:paraId="45054A18" w14:textId="77777777" w:rsidR="00031F03" w:rsidRDefault="00000000">
      <w:pPr>
        <w:pStyle w:val="TOC1"/>
        <w:rPr>
          <w:rFonts w:ascii="Calibri" w:hAnsi="Calibri" w:cs="Arial"/>
          <w:b w:val="0"/>
          <w:bCs w:val="0"/>
          <w:sz w:val="24"/>
          <w:szCs w:val="24"/>
        </w:rPr>
      </w:pPr>
      <w:hyperlink w:anchor="_Toc171581996" w:history="1">
        <w:r>
          <w:rPr>
            <w:rStyle w:val="Hyperlink"/>
            <w:b w:val="0"/>
            <w:bCs w:val="0"/>
          </w:rPr>
          <w:t>Article 28: Adequate Standard of Living and Social Protection</w:t>
        </w:r>
        <w:r>
          <w:rPr>
            <w:b w:val="0"/>
            <w:bCs w:val="0"/>
            <w:webHidden/>
          </w:rPr>
          <w:tab/>
        </w:r>
        <w:r>
          <w:rPr>
            <w:b w:val="0"/>
            <w:bCs w:val="0"/>
            <w:webHidden/>
          </w:rPr>
          <w:fldChar w:fldCharType="begin"/>
        </w:r>
        <w:r>
          <w:rPr>
            <w:b w:val="0"/>
            <w:bCs w:val="0"/>
            <w:webHidden/>
          </w:rPr>
          <w:instrText xml:space="preserve"> PAGEREF _Toc171581996 \h </w:instrText>
        </w:r>
        <w:r>
          <w:rPr>
            <w:b w:val="0"/>
            <w:bCs w:val="0"/>
            <w:webHidden/>
          </w:rPr>
        </w:r>
        <w:r>
          <w:rPr>
            <w:b w:val="0"/>
            <w:bCs w:val="0"/>
            <w:webHidden/>
          </w:rPr>
          <w:fldChar w:fldCharType="separate"/>
        </w:r>
        <w:r>
          <w:rPr>
            <w:b w:val="0"/>
            <w:bCs w:val="0"/>
            <w:webHidden/>
          </w:rPr>
          <w:t>32</w:t>
        </w:r>
        <w:r>
          <w:rPr>
            <w:b w:val="0"/>
            <w:bCs w:val="0"/>
            <w:webHidden/>
          </w:rPr>
          <w:fldChar w:fldCharType="end"/>
        </w:r>
      </w:hyperlink>
    </w:p>
    <w:p w14:paraId="76F845CB" w14:textId="77777777" w:rsidR="00031F03" w:rsidRDefault="00000000">
      <w:pPr>
        <w:pStyle w:val="TOC1"/>
        <w:rPr>
          <w:rFonts w:ascii="Calibri" w:hAnsi="Calibri" w:cs="Arial"/>
          <w:b w:val="0"/>
          <w:bCs w:val="0"/>
          <w:sz w:val="24"/>
          <w:szCs w:val="24"/>
        </w:rPr>
      </w:pPr>
      <w:hyperlink w:anchor="_Toc171581997" w:history="1">
        <w:r>
          <w:rPr>
            <w:rStyle w:val="Hyperlink"/>
            <w:b w:val="0"/>
            <w:bCs w:val="0"/>
          </w:rPr>
          <w:t>Article 29: Participation in Political and Public Life</w:t>
        </w:r>
        <w:r>
          <w:rPr>
            <w:b w:val="0"/>
            <w:bCs w:val="0"/>
            <w:webHidden/>
          </w:rPr>
          <w:tab/>
        </w:r>
        <w:r>
          <w:rPr>
            <w:b w:val="0"/>
            <w:bCs w:val="0"/>
            <w:webHidden/>
          </w:rPr>
          <w:fldChar w:fldCharType="begin"/>
        </w:r>
        <w:r>
          <w:rPr>
            <w:b w:val="0"/>
            <w:bCs w:val="0"/>
            <w:webHidden/>
          </w:rPr>
          <w:instrText xml:space="preserve"> PAGEREF _Toc171581997 \h </w:instrText>
        </w:r>
        <w:r>
          <w:rPr>
            <w:b w:val="0"/>
            <w:bCs w:val="0"/>
            <w:webHidden/>
          </w:rPr>
        </w:r>
        <w:r>
          <w:rPr>
            <w:b w:val="0"/>
            <w:bCs w:val="0"/>
            <w:webHidden/>
          </w:rPr>
          <w:fldChar w:fldCharType="separate"/>
        </w:r>
        <w:r>
          <w:rPr>
            <w:b w:val="0"/>
            <w:bCs w:val="0"/>
            <w:webHidden/>
          </w:rPr>
          <w:t>35</w:t>
        </w:r>
        <w:r>
          <w:rPr>
            <w:b w:val="0"/>
            <w:bCs w:val="0"/>
            <w:webHidden/>
          </w:rPr>
          <w:fldChar w:fldCharType="end"/>
        </w:r>
      </w:hyperlink>
    </w:p>
    <w:p w14:paraId="2D9A7D1A" w14:textId="77777777" w:rsidR="00031F03" w:rsidRDefault="00000000">
      <w:pPr>
        <w:pStyle w:val="TOC1"/>
        <w:rPr>
          <w:rFonts w:ascii="Calibri" w:hAnsi="Calibri" w:cs="Arial"/>
          <w:b w:val="0"/>
          <w:bCs w:val="0"/>
          <w:sz w:val="24"/>
          <w:szCs w:val="24"/>
        </w:rPr>
      </w:pPr>
      <w:hyperlink w:anchor="_Toc171581998" w:history="1">
        <w:r>
          <w:rPr>
            <w:rStyle w:val="Hyperlink"/>
            <w:b w:val="0"/>
            <w:bCs w:val="0"/>
          </w:rPr>
          <w:t>Article 30: Participation in Cultural Life, Recreation, Leisure and Sport</w:t>
        </w:r>
        <w:r>
          <w:rPr>
            <w:b w:val="0"/>
            <w:bCs w:val="0"/>
            <w:webHidden/>
          </w:rPr>
          <w:tab/>
        </w:r>
        <w:r>
          <w:rPr>
            <w:b w:val="0"/>
            <w:bCs w:val="0"/>
            <w:webHidden/>
          </w:rPr>
          <w:fldChar w:fldCharType="begin"/>
        </w:r>
        <w:r>
          <w:rPr>
            <w:b w:val="0"/>
            <w:bCs w:val="0"/>
            <w:webHidden/>
          </w:rPr>
          <w:instrText xml:space="preserve"> PAGEREF _Toc171581998 \h </w:instrText>
        </w:r>
        <w:r>
          <w:rPr>
            <w:b w:val="0"/>
            <w:bCs w:val="0"/>
            <w:webHidden/>
          </w:rPr>
        </w:r>
        <w:r>
          <w:rPr>
            <w:b w:val="0"/>
            <w:bCs w:val="0"/>
            <w:webHidden/>
          </w:rPr>
          <w:fldChar w:fldCharType="separate"/>
        </w:r>
        <w:r>
          <w:rPr>
            <w:b w:val="0"/>
            <w:bCs w:val="0"/>
            <w:webHidden/>
          </w:rPr>
          <w:t>37</w:t>
        </w:r>
        <w:r>
          <w:rPr>
            <w:b w:val="0"/>
            <w:bCs w:val="0"/>
            <w:webHidden/>
          </w:rPr>
          <w:fldChar w:fldCharType="end"/>
        </w:r>
      </w:hyperlink>
    </w:p>
    <w:p w14:paraId="1ABE07C5" w14:textId="77777777" w:rsidR="00031F03" w:rsidRDefault="00000000">
      <w:pPr>
        <w:pStyle w:val="TOC1"/>
        <w:rPr>
          <w:rFonts w:ascii="Calibri" w:hAnsi="Calibri" w:cs="Arial"/>
          <w:b w:val="0"/>
          <w:bCs w:val="0"/>
          <w:sz w:val="24"/>
          <w:szCs w:val="24"/>
        </w:rPr>
      </w:pPr>
      <w:hyperlink w:anchor="_Toc171581999" w:history="1">
        <w:r>
          <w:rPr>
            <w:rStyle w:val="Hyperlink"/>
            <w:b w:val="0"/>
            <w:bCs w:val="0"/>
            <w:lang w:eastAsia="zh-CN"/>
          </w:rPr>
          <w:t>Article 31: Data and Statistics</w:t>
        </w:r>
        <w:r>
          <w:rPr>
            <w:b w:val="0"/>
            <w:bCs w:val="0"/>
            <w:webHidden/>
          </w:rPr>
          <w:tab/>
        </w:r>
        <w:r>
          <w:rPr>
            <w:b w:val="0"/>
            <w:bCs w:val="0"/>
            <w:webHidden/>
          </w:rPr>
          <w:fldChar w:fldCharType="begin"/>
        </w:r>
        <w:r>
          <w:rPr>
            <w:b w:val="0"/>
            <w:bCs w:val="0"/>
            <w:webHidden/>
          </w:rPr>
          <w:instrText xml:space="preserve"> PAGEREF _Toc171581999 \h </w:instrText>
        </w:r>
        <w:r>
          <w:rPr>
            <w:b w:val="0"/>
            <w:bCs w:val="0"/>
            <w:webHidden/>
          </w:rPr>
        </w:r>
        <w:r>
          <w:rPr>
            <w:b w:val="0"/>
            <w:bCs w:val="0"/>
            <w:webHidden/>
          </w:rPr>
          <w:fldChar w:fldCharType="separate"/>
        </w:r>
        <w:r>
          <w:rPr>
            <w:b w:val="0"/>
            <w:bCs w:val="0"/>
            <w:webHidden/>
          </w:rPr>
          <w:t>38</w:t>
        </w:r>
        <w:r>
          <w:rPr>
            <w:b w:val="0"/>
            <w:bCs w:val="0"/>
            <w:webHidden/>
          </w:rPr>
          <w:fldChar w:fldCharType="end"/>
        </w:r>
      </w:hyperlink>
    </w:p>
    <w:p w14:paraId="073CC253" w14:textId="77777777" w:rsidR="00031F03" w:rsidRDefault="00000000">
      <w:pPr>
        <w:pStyle w:val="TOC1"/>
        <w:rPr>
          <w:rFonts w:ascii="Calibri" w:hAnsi="Calibri" w:cs="Arial"/>
          <w:b w:val="0"/>
          <w:bCs w:val="0"/>
          <w:sz w:val="24"/>
          <w:szCs w:val="24"/>
        </w:rPr>
      </w:pPr>
      <w:hyperlink w:anchor="_Toc171582000" w:history="1">
        <w:r>
          <w:rPr>
            <w:rStyle w:val="Hyperlink"/>
            <w:b w:val="0"/>
            <w:bCs w:val="0"/>
          </w:rPr>
          <w:t>Article 32: International Cooperation</w:t>
        </w:r>
        <w:r>
          <w:rPr>
            <w:b w:val="0"/>
            <w:bCs w:val="0"/>
            <w:webHidden/>
          </w:rPr>
          <w:tab/>
        </w:r>
        <w:r>
          <w:rPr>
            <w:b w:val="0"/>
            <w:bCs w:val="0"/>
            <w:webHidden/>
          </w:rPr>
          <w:fldChar w:fldCharType="begin"/>
        </w:r>
        <w:r>
          <w:rPr>
            <w:b w:val="0"/>
            <w:bCs w:val="0"/>
            <w:webHidden/>
          </w:rPr>
          <w:instrText xml:space="preserve"> PAGEREF _Toc171582000 \h </w:instrText>
        </w:r>
        <w:r>
          <w:rPr>
            <w:b w:val="0"/>
            <w:bCs w:val="0"/>
            <w:webHidden/>
          </w:rPr>
        </w:r>
        <w:r>
          <w:rPr>
            <w:b w:val="0"/>
            <w:bCs w:val="0"/>
            <w:webHidden/>
          </w:rPr>
          <w:fldChar w:fldCharType="separate"/>
        </w:r>
        <w:r>
          <w:rPr>
            <w:b w:val="0"/>
            <w:bCs w:val="0"/>
            <w:webHidden/>
          </w:rPr>
          <w:t>39</w:t>
        </w:r>
        <w:r>
          <w:rPr>
            <w:b w:val="0"/>
            <w:bCs w:val="0"/>
            <w:webHidden/>
          </w:rPr>
          <w:fldChar w:fldCharType="end"/>
        </w:r>
      </w:hyperlink>
    </w:p>
    <w:p w14:paraId="40F78EA5" w14:textId="77777777" w:rsidR="00031F03" w:rsidRDefault="00000000">
      <w:pPr>
        <w:pStyle w:val="TOC1"/>
        <w:rPr>
          <w:rFonts w:ascii="Calibri" w:hAnsi="Calibri" w:cs="Arial"/>
          <w:b w:val="0"/>
          <w:bCs w:val="0"/>
          <w:sz w:val="24"/>
          <w:szCs w:val="24"/>
        </w:rPr>
      </w:pPr>
      <w:hyperlink w:anchor="_Toc171582001" w:history="1">
        <w:r>
          <w:rPr>
            <w:rStyle w:val="Hyperlink"/>
            <w:b w:val="0"/>
            <w:bCs w:val="0"/>
          </w:rPr>
          <w:t>Article 33: National Implementation and Monitoring</w:t>
        </w:r>
        <w:r>
          <w:rPr>
            <w:b w:val="0"/>
            <w:bCs w:val="0"/>
            <w:webHidden/>
          </w:rPr>
          <w:tab/>
        </w:r>
        <w:r>
          <w:rPr>
            <w:b w:val="0"/>
            <w:bCs w:val="0"/>
            <w:webHidden/>
          </w:rPr>
          <w:fldChar w:fldCharType="begin"/>
        </w:r>
        <w:r>
          <w:rPr>
            <w:b w:val="0"/>
            <w:bCs w:val="0"/>
            <w:webHidden/>
          </w:rPr>
          <w:instrText xml:space="preserve"> PAGEREF _Toc171582001 \h </w:instrText>
        </w:r>
        <w:r>
          <w:rPr>
            <w:b w:val="0"/>
            <w:bCs w:val="0"/>
            <w:webHidden/>
          </w:rPr>
        </w:r>
        <w:r>
          <w:rPr>
            <w:b w:val="0"/>
            <w:bCs w:val="0"/>
            <w:webHidden/>
          </w:rPr>
          <w:fldChar w:fldCharType="separate"/>
        </w:r>
        <w:r>
          <w:rPr>
            <w:b w:val="0"/>
            <w:bCs w:val="0"/>
            <w:webHidden/>
          </w:rPr>
          <w:t>39</w:t>
        </w:r>
        <w:r>
          <w:rPr>
            <w:b w:val="0"/>
            <w:bCs w:val="0"/>
            <w:webHidden/>
          </w:rPr>
          <w:fldChar w:fldCharType="end"/>
        </w:r>
      </w:hyperlink>
    </w:p>
    <w:p w14:paraId="74281506" w14:textId="77777777" w:rsidR="00031F03" w:rsidRDefault="00000000">
      <w:r>
        <w:rPr>
          <w:noProof/>
        </w:rPr>
        <w:fldChar w:fldCharType="end"/>
      </w:r>
    </w:p>
    <w:p w14:paraId="40BB7327" w14:textId="77777777" w:rsidR="00031F03" w:rsidRDefault="00031F03"/>
    <w:p w14:paraId="723D6F43" w14:textId="77777777" w:rsidR="00031F03" w:rsidRDefault="00031F03"/>
    <w:p w14:paraId="39E26436" w14:textId="77777777" w:rsidR="00031F03" w:rsidRDefault="00031F03"/>
    <w:p w14:paraId="3D2B43A9" w14:textId="77777777" w:rsidR="00031F03" w:rsidRDefault="00031F03"/>
    <w:p w14:paraId="3FCF6E48" w14:textId="77777777" w:rsidR="00031F03" w:rsidRDefault="00000000">
      <w:pPr>
        <w:pStyle w:val="Heading1"/>
        <w:rPr>
          <w:rFonts w:ascii="Tw Cen MT" w:hAnsi="Tw Cen MT"/>
          <w:b/>
          <w:bCs/>
          <w:color w:val="auto"/>
          <w:sz w:val="24"/>
          <w:szCs w:val="24"/>
          <w:u w:val="single"/>
        </w:rPr>
      </w:pPr>
      <w:bookmarkStart w:id="1" w:name="_Toc171581974"/>
      <w:r>
        <w:rPr>
          <w:rFonts w:ascii="Tw Cen MT" w:hAnsi="Tw Cen MT"/>
          <w:b/>
          <w:bCs/>
          <w:color w:val="auto"/>
          <w:sz w:val="24"/>
          <w:szCs w:val="24"/>
        </w:rPr>
        <w:lastRenderedPageBreak/>
        <w:t>INTRODUCTION</w:t>
      </w:r>
      <w:bookmarkEnd w:id="1"/>
    </w:p>
    <w:p w14:paraId="13C6895D" w14:textId="77777777" w:rsidR="00031F03" w:rsidRDefault="00031F03">
      <w:pPr>
        <w:pStyle w:val="NoSpacing"/>
        <w:rPr>
          <w:rFonts w:ascii="Tw Cen MT" w:hAnsi="Tw Cen MT"/>
          <w:sz w:val="20"/>
          <w:szCs w:val="20"/>
        </w:rPr>
      </w:pPr>
    </w:p>
    <w:p w14:paraId="42907A05"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 xml:space="preserve">This updated shadow report, building on the 2022 alternative report submitted by the Ghana Federation of Disability Organisations, offers a comprehensive analysis of CRPD implementation in Ghana. </w:t>
      </w:r>
    </w:p>
    <w:p w14:paraId="3BA5E55D" w14:textId="77777777" w:rsidR="00031F03" w:rsidRDefault="00031F03">
      <w:pPr>
        <w:pStyle w:val="NoSpacing"/>
        <w:spacing w:line="360" w:lineRule="auto"/>
        <w:jc w:val="both"/>
        <w:rPr>
          <w:rFonts w:ascii="Tw Cen MT" w:hAnsi="Tw Cen MT"/>
          <w:sz w:val="24"/>
          <w:szCs w:val="24"/>
        </w:rPr>
      </w:pPr>
    </w:p>
    <w:p w14:paraId="665CE890"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Despite some advancements, significant gaps remain in implementing and enforcing disability inclusion measures. The Persons with Disability Act of 2006 (Act 715) was adopted before Ghana ratified the CRPD in 2012. While it was pioneering, it does not fully comply with the CRPD, and its implementation has been poor. Among others, key provisions, such as making all public buildings accessible within ten years, have not been met, leading to ongoing hardships and systemic barriers in education, healthcare, and social protection for persons with disabilities.</w:t>
      </w:r>
    </w:p>
    <w:p w14:paraId="1552DCF8" w14:textId="77777777" w:rsidR="00031F03" w:rsidRDefault="00031F03">
      <w:pPr>
        <w:pStyle w:val="NoSpacing"/>
        <w:spacing w:line="360" w:lineRule="auto"/>
        <w:jc w:val="both"/>
        <w:rPr>
          <w:rFonts w:ascii="Tw Cen MT" w:hAnsi="Tw Cen MT"/>
          <w:sz w:val="24"/>
          <w:szCs w:val="24"/>
        </w:rPr>
      </w:pPr>
    </w:p>
    <w:p w14:paraId="26F3C4DA"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The Persons with Disability Bill 2024,</w:t>
      </w:r>
      <w:r>
        <w:rPr>
          <w:rStyle w:val="FootnoteReference"/>
          <w:rFonts w:ascii="Tw Cen MT" w:hAnsi="Tw Cen MT"/>
          <w:sz w:val="24"/>
          <w:szCs w:val="24"/>
        </w:rPr>
        <w:footnoteReference w:id="1"/>
      </w:r>
      <w:r>
        <w:rPr>
          <w:rFonts w:ascii="Tw Cen MT" w:hAnsi="Tw Cen MT"/>
          <w:sz w:val="24"/>
          <w:szCs w:val="24"/>
        </w:rPr>
        <w:t xml:space="preserve"> developed by the Government of Ghana, aligns more closely with the CRPD but is still under cabinet and parliamentary consideration. While this Bill addresses some previous gaps, it requires further refinement as there are a few discriminatory provisions and has been progressing slowly also, delaying essential reforms and exacerbating the challenges faced by persons with disabilities.</w:t>
      </w:r>
    </w:p>
    <w:p w14:paraId="0D265C64" w14:textId="77777777" w:rsidR="00031F03" w:rsidRDefault="00031F03">
      <w:pPr>
        <w:pStyle w:val="NoSpacing"/>
        <w:spacing w:line="360" w:lineRule="auto"/>
        <w:jc w:val="both"/>
        <w:rPr>
          <w:rFonts w:ascii="Tw Cen MT" w:hAnsi="Tw Cen MT"/>
          <w:sz w:val="24"/>
          <w:szCs w:val="24"/>
        </w:rPr>
      </w:pPr>
    </w:p>
    <w:p w14:paraId="13B33150"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While the drafting of the new Disability Bill is a step in the right direction, it is crucial to underscore that the existence of compliant legislation does not, in itself, resolve the deeply rooted issues and challenges faced by persons with disabilities in Ghana. Real progress will be measured by the tangible improvements in the daily lives of persons with disabilities. This includes the actual implementation of all relevant laws and policies, supported by effective monitoring and enforcement mechanisms.</w:t>
      </w:r>
    </w:p>
    <w:p w14:paraId="5C777A64" w14:textId="77777777" w:rsidR="00031F03" w:rsidRDefault="00031F03">
      <w:pPr>
        <w:pStyle w:val="NoSpacing"/>
        <w:rPr>
          <w:rFonts w:ascii="Tw Cen MT" w:hAnsi="Tw Cen MT"/>
          <w:sz w:val="20"/>
          <w:szCs w:val="20"/>
        </w:rPr>
      </w:pPr>
    </w:p>
    <w:p w14:paraId="6E9F2E3C" w14:textId="77777777" w:rsidR="00031F03" w:rsidRDefault="00031F03">
      <w:pPr>
        <w:spacing w:line="360" w:lineRule="auto"/>
        <w:jc w:val="both"/>
        <w:rPr>
          <w:rFonts w:ascii="Tw Cen MT" w:hAnsi="Tw Cen MT" w:cs="Times New Roman"/>
          <w:sz w:val="24"/>
          <w:szCs w:val="24"/>
        </w:rPr>
      </w:pPr>
    </w:p>
    <w:p w14:paraId="6BBDA0D1" w14:textId="77777777" w:rsidR="00031F03" w:rsidRDefault="00031F03">
      <w:pPr>
        <w:spacing w:line="360" w:lineRule="auto"/>
        <w:jc w:val="both"/>
        <w:rPr>
          <w:rFonts w:ascii="Tw Cen MT" w:hAnsi="Tw Cen MT" w:cs="Times New Roman"/>
          <w:sz w:val="24"/>
          <w:szCs w:val="24"/>
        </w:rPr>
      </w:pPr>
    </w:p>
    <w:p w14:paraId="64CF56DA" w14:textId="77777777" w:rsidR="00031F03" w:rsidRDefault="00031F03">
      <w:pPr>
        <w:spacing w:line="360" w:lineRule="auto"/>
        <w:jc w:val="both"/>
        <w:rPr>
          <w:rFonts w:ascii="Tw Cen MT" w:hAnsi="Tw Cen MT" w:cs="Times New Roman"/>
          <w:sz w:val="24"/>
          <w:szCs w:val="24"/>
        </w:rPr>
      </w:pPr>
    </w:p>
    <w:p w14:paraId="0143DCD0" w14:textId="77777777" w:rsidR="00031F03" w:rsidRDefault="00031F03">
      <w:pPr>
        <w:spacing w:line="360" w:lineRule="auto"/>
        <w:jc w:val="both"/>
        <w:rPr>
          <w:rFonts w:ascii="Tw Cen MT" w:hAnsi="Tw Cen MT" w:cs="Times New Roman"/>
          <w:sz w:val="24"/>
          <w:szCs w:val="24"/>
        </w:rPr>
      </w:pPr>
    </w:p>
    <w:p w14:paraId="237AD575" w14:textId="77777777" w:rsidR="00031F03" w:rsidRDefault="00031F03">
      <w:pPr>
        <w:spacing w:line="360" w:lineRule="auto"/>
        <w:jc w:val="both"/>
        <w:rPr>
          <w:rFonts w:ascii="Tw Cen MT" w:hAnsi="Tw Cen MT" w:cs="Times New Roman"/>
          <w:sz w:val="24"/>
          <w:szCs w:val="24"/>
        </w:rPr>
      </w:pPr>
    </w:p>
    <w:p w14:paraId="3A5B9E55" w14:textId="77777777" w:rsidR="00031F03" w:rsidRDefault="00031F03">
      <w:pPr>
        <w:spacing w:line="360" w:lineRule="auto"/>
        <w:jc w:val="both"/>
        <w:rPr>
          <w:rFonts w:ascii="Tw Cen MT" w:hAnsi="Tw Cen MT" w:cs="Times New Roman"/>
          <w:sz w:val="24"/>
          <w:szCs w:val="24"/>
        </w:rPr>
      </w:pPr>
    </w:p>
    <w:p w14:paraId="67D5E407" w14:textId="77777777" w:rsidR="00031F03" w:rsidRDefault="00031F03">
      <w:pPr>
        <w:spacing w:line="360" w:lineRule="auto"/>
        <w:jc w:val="both"/>
        <w:rPr>
          <w:rFonts w:ascii="Tw Cen MT" w:hAnsi="Tw Cen MT" w:cs="Times New Roman"/>
          <w:sz w:val="24"/>
          <w:szCs w:val="24"/>
        </w:rPr>
      </w:pPr>
    </w:p>
    <w:p w14:paraId="1399CB18" w14:textId="77777777" w:rsidR="00031F03" w:rsidRDefault="00031F03">
      <w:pPr>
        <w:spacing w:line="360" w:lineRule="auto"/>
        <w:jc w:val="both"/>
        <w:rPr>
          <w:rFonts w:ascii="Tw Cen MT" w:hAnsi="Tw Cen MT" w:cs="Times New Roman"/>
          <w:sz w:val="24"/>
          <w:szCs w:val="24"/>
        </w:rPr>
      </w:pPr>
    </w:p>
    <w:p w14:paraId="0E111670" w14:textId="77777777" w:rsidR="00031F03" w:rsidRDefault="00000000">
      <w:pPr>
        <w:pStyle w:val="Heading1"/>
        <w:rPr>
          <w:rFonts w:ascii="Tw Cen MT" w:hAnsi="Tw Cen MT"/>
          <w:b/>
          <w:bCs/>
          <w:color w:val="auto"/>
          <w:sz w:val="24"/>
          <w:szCs w:val="24"/>
        </w:rPr>
      </w:pPr>
      <w:bookmarkStart w:id="2" w:name="_Toc171581975"/>
      <w:r>
        <w:rPr>
          <w:rFonts w:ascii="Tw Cen MT" w:hAnsi="Tw Cen MT"/>
          <w:b/>
          <w:bCs/>
          <w:color w:val="auto"/>
          <w:sz w:val="24"/>
          <w:szCs w:val="24"/>
        </w:rPr>
        <w:lastRenderedPageBreak/>
        <w:t>APPROACH</w:t>
      </w:r>
      <w:bookmarkEnd w:id="2"/>
      <w:r>
        <w:rPr>
          <w:rFonts w:ascii="Tw Cen MT" w:hAnsi="Tw Cen MT"/>
          <w:b/>
          <w:bCs/>
          <w:color w:val="auto"/>
          <w:sz w:val="24"/>
          <w:szCs w:val="24"/>
        </w:rPr>
        <w:t xml:space="preserve"> </w:t>
      </w:r>
    </w:p>
    <w:p w14:paraId="40967B70" w14:textId="77777777" w:rsidR="00031F03" w:rsidRDefault="00031F03">
      <w:pPr>
        <w:pStyle w:val="NoSpacing"/>
      </w:pPr>
    </w:p>
    <w:p w14:paraId="680A4CBB"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The Ghana Federation of Disability Organisations established a 6-member committee to lead the development of the shadow report. This committee was responsible for ensuring the report accurately reflected the lived experiences of persons with disabilities in Ghana.</w:t>
      </w:r>
    </w:p>
    <w:p w14:paraId="6E2E81FD" w14:textId="77777777" w:rsidR="00031F03" w:rsidRDefault="00031F03">
      <w:pPr>
        <w:pStyle w:val="NoSpacing"/>
        <w:spacing w:line="360" w:lineRule="auto"/>
        <w:jc w:val="both"/>
        <w:rPr>
          <w:rFonts w:ascii="Tw Cen MT" w:hAnsi="Tw Cen MT"/>
          <w:sz w:val="24"/>
          <w:szCs w:val="24"/>
        </w:rPr>
      </w:pPr>
    </w:p>
    <w:p w14:paraId="093DC1DF"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The process began with an in-depth desk study, reviewing laws, policy documents, reports, data, and information related to Ghana's implementation of the CRPD. This review provided a comprehensive understanding of the measures taken by the Ghanaian State.</w:t>
      </w:r>
    </w:p>
    <w:p w14:paraId="21433E56" w14:textId="77777777" w:rsidR="00031F03" w:rsidRDefault="00031F03">
      <w:pPr>
        <w:pStyle w:val="NoSpacing"/>
        <w:spacing w:line="360" w:lineRule="auto"/>
        <w:jc w:val="both"/>
        <w:rPr>
          <w:rFonts w:ascii="Tw Cen MT" w:hAnsi="Tw Cen MT"/>
          <w:sz w:val="24"/>
          <w:szCs w:val="24"/>
        </w:rPr>
      </w:pPr>
    </w:p>
    <w:p w14:paraId="2BBB372B"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The GFD then engaged directly with the disability community through broad consultations, including focus group discussions across all 16 regions and key informant interviews with experts and stakeholders. The consultations utilized both face-to-face and virtual platforms to ensure inclusivity.</w:t>
      </w:r>
    </w:p>
    <w:p w14:paraId="484042DD" w14:textId="77777777" w:rsidR="00031F03" w:rsidRDefault="00031F03">
      <w:pPr>
        <w:pStyle w:val="NoSpacing"/>
        <w:spacing w:line="360" w:lineRule="auto"/>
        <w:jc w:val="both"/>
        <w:rPr>
          <w:rFonts w:ascii="Tw Cen MT" w:hAnsi="Tw Cen MT"/>
          <w:sz w:val="24"/>
          <w:szCs w:val="24"/>
        </w:rPr>
      </w:pPr>
    </w:p>
    <w:p w14:paraId="6451F4BF"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After compiling the gathered data, the committee developed the shadow report, analyzing the implementation of the CRPD on an article-by-article basis, identifying progress, gaps, and making actionable recommendations. To ensure the report's accuracy, the GFD held a validation session with relevant stakeholders, providing an opportunity to scrutinize and confirm that the report accurately reflected the current situation and experiences of persons with disabilities in Ghana.</w:t>
      </w:r>
    </w:p>
    <w:p w14:paraId="372722C5" w14:textId="77777777" w:rsidR="00031F03" w:rsidRDefault="00031F03">
      <w:pPr>
        <w:spacing w:line="360" w:lineRule="auto"/>
        <w:jc w:val="both"/>
        <w:rPr>
          <w:rFonts w:ascii="Tw Cen MT" w:hAnsi="Tw Cen MT" w:cs="Times New Roman"/>
          <w:sz w:val="24"/>
          <w:szCs w:val="24"/>
        </w:rPr>
      </w:pPr>
    </w:p>
    <w:p w14:paraId="736DC22B" w14:textId="77777777" w:rsidR="00031F03" w:rsidRDefault="00031F03">
      <w:pPr>
        <w:spacing w:line="360" w:lineRule="auto"/>
        <w:jc w:val="both"/>
        <w:rPr>
          <w:rFonts w:ascii="Tw Cen MT" w:hAnsi="Tw Cen MT" w:cs="Times New Roman"/>
          <w:sz w:val="24"/>
          <w:szCs w:val="24"/>
          <w:u w:val="single"/>
        </w:rPr>
      </w:pPr>
    </w:p>
    <w:p w14:paraId="54BEED52" w14:textId="77777777" w:rsidR="00031F03" w:rsidRDefault="00031F03">
      <w:pPr>
        <w:pStyle w:val="NoSpacing"/>
      </w:pPr>
    </w:p>
    <w:p w14:paraId="3BA34CD0" w14:textId="77777777" w:rsidR="00031F03" w:rsidRDefault="00031F03">
      <w:pPr>
        <w:pStyle w:val="NoSpacing"/>
        <w:rPr>
          <w:b/>
          <w:bCs/>
        </w:rPr>
      </w:pPr>
    </w:p>
    <w:p w14:paraId="02C6A23B" w14:textId="77777777" w:rsidR="00031F03" w:rsidRDefault="00031F03">
      <w:pPr>
        <w:pStyle w:val="NoSpacing"/>
        <w:rPr>
          <w:b/>
          <w:bCs/>
        </w:rPr>
      </w:pPr>
    </w:p>
    <w:p w14:paraId="194A5CAB" w14:textId="77777777" w:rsidR="00031F03" w:rsidRDefault="00031F03">
      <w:pPr>
        <w:pStyle w:val="NoSpacing"/>
        <w:rPr>
          <w:b/>
          <w:bCs/>
        </w:rPr>
      </w:pPr>
    </w:p>
    <w:p w14:paraId="54D1DE8B" w14:textId="77777777" w:rsidR="00031F03" w:rsidRDefault="00031F03">
      <w:pPr>
        <w:pStyle w:val="NoSpacing"/>
        <w:rPr>
          <w:b/>
          <w:bCs/>
        </w:rPr>
      </w:pPr>
    </w:p>
    <w:p w14:paraId="125363D9" w14:textId="77777777" w:rsidR="00031F03" w:rsidRDefault="00031F03">
      <w:pPr>
        <w:pStyle w:val="NoSpacing"/>
        <w:rPr>
          <w:b/>
          <w:bCs/>
        </w:rPr>
      </w:pPr>
    </w:p>
    <w:p w14:paraId="242A3E25" w14:textId="77777777" w:rsidR="00031F03" w:rsidRDefault="00031F03">
      <w:pPr>
        <w:pStyle w:val="NoSpacing"/>
        <w:rPr>
          <w:b/>
          <w:bCs/>
        </w:rPr>
      </w:pPr>
    </w:p>
    <w:p w14:paraId="039EE1C5" w14:textId="77777777" w:rsidR="00031F03" w:rsidRDefault="00031F03">
      <w:pPr>
        <w:pStyle w:val="NoSpacing"/>
        <w:rPr>
          <w:b/>
          <w:bCs/>
        </w:rPr>
      </w:pPr>
    </w:p>
    <w:p w14:paraId="0147EB42" w14:textId="77777777" w:rsidR="00031F03" w:rsidRDefault="00031F03">
      <w:pPr>
        <w:pStyle w:val="NoSpacing"/>
        <w:rPr>
          <w:b/>
          <w:bCs/>
        </w:rPr>
      </w:pPr>
    </w:p>
    <w:p w14:paraId="3F18E84B" w14:textId="77777777" w:rsidR="00031F03" w:rsidRDefault="00031F03">
      <w:pPr>
        <w:pStyle w:val="Heading1"/>
        <w:rPr>
          <w:rFonts w:ascii="Tw Cen MT" w:hAnsi="Tw Cen MT"/>
          <w:b/>
          <w:bCs/>
          <w:color w:val="auto"/>
          <w:sz w:val="24"/>
          <w:szCs w:val="24"/>
        </w:rPr>
      </w:pPr>
    </w:p>
    <w:p w14:paraId="39944A42" w14:textId="77777777" w:rsidR="00031F03" w:rsidRDefault="00031F03"/>
    <w:p w14:paraId="08F19016" w14:textId="77777777" w:rsidR="00031F03" w:rsidRDefault="00031F03"/>
    <w:p w14:paraId="363141C2" w14:textId="77777777" w:rsidR="00031F03" w:rsidRDefault="00031F03"/>
    <w:p w14:paraId="1AB477EF" w14:textId="77777777" w:rsidR="00031F03" w:rsidRDefault="00031F03"/>
    <w:p w14:paraId="1869D81B" w14:textId="77777777" w:rsidR="00031F03" w:rsidRDefault="00031F03"/>
    <w:p w14:paraId="2F9433D7" w14:textId="77777777" w:rsidR="00031F03" w:rsidRDefault="00031F03"/>
    <w:p w14:paraId="63958323" w14:textId="77777777" w:rsidR="00031F03" w:rsidRDefault="00000000">
      <w:pPr>
        <w:pStyle w:val="Heading1"/>
        <w:rPr>
          <w:rFonts w:ascii="Tw Cen MT" w:hAnsi="Tw Cen MT"/>
          <w:b/>
          <w:bCs/>
          <w:color w:val="auto"/>
          <w:sz w:val="24"/>
          <w:szCs w:val="24"/>
        </w:rPr>
      </w:pPr>
      <w:bookmarkStart w:id="3" w:name="_Toc171581976"/>
      <w:r>
        <w:rPr>
          <w:rFonts w:ascii="Tw Cen MT" w:hAnsi="Tw Cen MT"/>
          <w:b/>
          <w:bCs/>
          <w:color w:val="auto"/>
          <w:sz w:val="24"/>
          <w:szCs w:val="24"/>
        </w:rPr>
        <w:lastRenderedPageBreak/>
        <w:t>Article 1–4: Purpose, Definitions, General Principles and General Obligations</w:t>
      </w:r>
      <w:bookmarkEnd w:id="3"/>
    </w:p>
    <w:p w14:paraId="79D4D337" w14:textId="77777777" w:rsidR="00031F03" w:rsidRDefault="00031F03">
      <w:pPr>
        <w:spacing w:line="360" w:lineRule="auto"/>
        <w:jc w:val="both"/>
        <w:rPr>
          <w:rFonts w:ascii="Tw Cen MT" w:hAnsi="Tw Cen MT"/>
          <w:b/>
          <w:bCs/>
          <w:sz w:val="24"/>
          <w:szCs w:val="24"/>
        </w:rPr>
      </w:pPr>
    </w:p>
    <w:p w14:paraId="74B7EEB2" w14:textId="77777777" w:rsidR="00031F03" w:rsidRDefault="00000000">
      <w:pPr>
        <w:pStyle w:val="ListParagraph"/>
        <w:numPr>
          <w:ilvl w:val="1"/>
          <w:numId w:val="1"/>
        </w:numPr>
        <w:spacing w:line="360" w:lineRule="auto"/>
        <w:jc w:val="both"/>
        <w:rPr>
          <w:rFonts w:ascii="Tw Cen MT" w:hAnsi="Tw Cen MT"/>
          <w:sz w:val="24"/>
          <w:szCs w:val="24"/>
        </w:rPr>
      </w:pPr>
      <w:r>
        <w:rPr>
          <w:rFonts w:ascii="Tw Cen MT" w:hAnsi="Tw Cen MT"/>
          <w:sz w:val="24"/>
          <w:szCs w:val="24"/>
        </w:rPr>
        <w:t xml:space="preserve">Ghana's Persons with Disability Act (Act 715), enacted in 2006, predates Ghana’s ratification of the Convention on the Rights of Persons with Disabilities (CRPD) in 2012, resulting in notable deficiencies. The Act adopts a medical model of disability, conflicting with CRPD's social model. It fails to address the unique needs of women, girls, youth, older persons, and children with disabilities. Since ratifying the CRPD, Organizations of Persons with Disabilities (OPDs) have advocated for amendments to align Act 715 with the Convention. Ghana's reply to the CRPD highlights the review of the Persons with Disability Act 715 and the development of the Persons with Disability Bill 2024. However, progress has been slow since the amendment process began in 2019 and remains incomplete. It is also crucial to note that the Bill still has gaps, including a lack of a safeguarding clause. </w:t>
      </w:r>
    </w:p>
    <w:p w14:paraId="4F4D1D79" w14:textId="77777777" w:rsidR="00031F03" w:rsidRDefault="00000000">
      <w:pPr>
        <w:pStyle w:val="ListParagraph"/>
        <w:numPr>
          <w:ilvl w:val="1"/>
          <w:numId w:val="1"/>
        </w:numPr>
        <w:spacing w:line="360" w:lineRule="auto"/>
        <w:jc w:val="both"/>
        <w:rPr>
          <w:rFonts w:ascii="Tw Cen MT" w:hAnsi="Tw Cen MT" w:cs="Times New Roman"/>
          <w:sz w:val="24"/>
          <w:szCs w:val="24"/>
        </w:rPr>
      </w:pPr>
      <w:r>
        <w:rPr>
          <w:rFonts w:ascii="Tw Cen MT" w:hAnsi="Tw Cen MT"/>
          <w:sz w:val="24"/>
          <w:szCs w:val="24"/>
        </w:rPr>
        <w:t>Current laws contain provisions legitimizing exclusion based on disability. For example, Sections 14(2) and 19 of the Persons with Disability Act 715 offer alternative livelihoods through guidance, counselling, and 'appropriate' training for persons with disabilities who cannot integrate into mainstream social life. Sections 15, 22, 38, and 39 of the same Act which outline methods for integrating persons with disabilities into full social participation, employ phrases such as ‘as far as practicable.’ These vague terms allow the State to evade its responsibilities concerning the inclusion of persons with disabilities.</w:t>
      </w:r>
    </w:p>
    <w:p w14:paraId="5C7079B5" w14:textId="77777777" w:rsidR="00031F03" w:rsidRDefault="00000000">
      <w:pPr>
        <w:pStyle w:val="ListParagraph"/>
        <w:numPr>
          <w:ilvl w:val="1"/>
          <w:numId w:val="1"/>
        </w:numPr>
        <w:spacing w:line="360" w:lineRule="auto"/>
        <w:jc w:val="both"/>
        <w:rPr>
          <w:rFonts w:ascii="Tw Cen MT" w:hAnsi="Tw Cen MT" w:cs="Times New Roman"/>
          <w:sz w:val="24"/>
          <w:szCs w:val="24"/>
        </w:rPr>
      </w:pPr>
      <w:r>
        <w:rPr>
          <w:rFonts w:ascii="Tw Cen MT" w:hAnsi="Tw Cen MT"/>
          <w:sz w:val="24"/>
          <w:szCs w:val="24"/>
        </w:rPr>
        <w:t>The 2012 Mental Health Act 846 contains provisions not aligned with the CRPD and requiring urgent revision. For example, Section 58 permits seclusion and restraint, which is contrary to CRPD principles. Additionally, Sections 68-71 allow for guardianship and substitute decision-making, opposing the CRPD's support for supported decision-making. Furthermore, Sections 42-53 authorize involuntary admission and treatment, violating the CRPD's emphasis on free and informed consent for medical treatment.</w:t>
      </w:r>
    </w:p>
    <w:p w14:paraId="61F9EAEB" w14:textId="77777777" w:rsidR="00031F03" w:rsidRDefault="00000000">
      <w:pPr>
        <w:pStyle w:val="ListParagraph"/>
        <w:numPr>
          <w:ilvl w:val="1"/>
          <w:numId w:val="1"/>
        </w:numPr>
        <w:spacing w:line="360" w:lineRule="auto"/>
        <w:jc w:val="both"/>
        <w:rPr>
          <w:rFonts w:ascii="Tw Cen MT" w:hAnsi="Tw Cen MT" w:cs="Times New Roman"/>
          <w:sz w:val="24"/>
          <w:szCs w:val="24"/>
        </w:rPr>
      </w:pPr>
      <w:r>
        <w:rPr>
          <w:rFonts w:ascii="Tw Cen MT" w:hAnsi="Tw Cen MT"/>
          <w:sz w:val="24"/>
          <w:szCs w:val="24"/>
        </w:rPr>
        <w:t xml:space="preserve">Ghana's constitution, which serves as the supreme law of the land and some critical legislation still employ derogatory terms to refer to persons with disabilities. </w:t>
      </w:r>
      <w:r>
        <w:rPr>
          <w:rStyle w:val="Strong"/>
          <w:rFonts w:ascii="Tw Cen MT" w:hAnsi="Tw Cen MT"/>
          <w:b w:val="0"/>
          <w:bCs w:val="0"/>
          <w:sz w:val="24"/>
          <w:szCs w:val="24"/>
        </w:rPr>
        <w:t xml:space="preserve">For instance, article 42 of the 1992 Constitution of Ghana uses the term ‘unsound mind”, the Criminal Offences Act, 1960 (Act 29) has </w:t>
      </w:r>
      <w:r>
        <w:rPr>
          <w:rFonts w:ascii="Tw Cen MT" w:hAnsi="Tw Cen MT"/>
          <w:sz w:val="24"/>
          <w:szCs w:val="24"/>
        </w:rPr>
        <w:t>terms like 'insanity’,</w:t>
      </w:r>
      <w:r>
        <w:rPr>
          <w:rStyle w:val="FootnoteReference"/>
          <w:rFonts w:ascii="Tw Cen MT" w:hAnsi="Tw Cen MT"/>
          <w:sz w:val="24"/>
          <w:szCs w:val="24"/>
        </w:rPr>
        <w:footnoteReference w:id="2"/>
      </w:r>
      <w:r>
        <w:rPr>
          <w:rFonts w:ascii="Tw Cen MT" w:hAnsi="Tw Cen MT"/>
          <w:sz w:val="24"/>
          <w:szCs w:val="24"/>
        </w:rPr>
        <w:t xml:space="preserve"> 'idiocy', ‘imbecility’, ‘mental derangement’,</w:t>
      </w:r>
      <w:r>
        <w:rPr>
          <w:rStyle w:val="FootnoteReference"/>
          <w:rFonts w:ascii="Tw Cen MT" w:hAnsi="Tw Cen MT"/>
          <w:sz w:val="24"/>
          <w:szCs w:val="24"/>
        </w:rPr>
        <w:footnoteReference w:id="3"/>
      </w:r>
      <w:r>
        <w:rPr>
          <w:rFonts w:ascii="Tw Cen MT" w:hAnsi="Tw Cen MT"/>
          <w:sz w:val="24"/>
          <w:szCs w:val="24"/>
        </w:rPr>
        <w:t xml:space="preserve"> ‘female idiot’</w:t>
      </w:r>
      <w:r>
        <w:rPr>
          <w:rStyle w:val="FootnoteReference"/>
          <w:rFonts w:ascii="Tw Cen MT" w:hAnsi="Tw Cen MT"/>
          <w:sz w:val="24"/>
          <w:szCs w:val="24"/>
        </w:rPr>
        <w:footnoteReference w:id="4"/>
      </w:r>
      <w:r>
        <w:rPr>
          <w:rFonts w:ascii="Tw Cen MT" w:hAnsi="Tw Cen MT"/>
          <w:sz w:val="24"/>
          <w:szCs w:val="24"/>
        </w:rPr>
        <w:t xml:space="preserve"> when discussing criminal responsibility and the treatment of persons with psychosocial or intellectual disabilities in the justice system. </w:t>
      </w:r>
      <w:r>
        <w:rPr>
          <w:rStyle w:val="Strong"/>
          <w:rFonts w:ascii="Tw Cen MT" w:hAnsi="Tw Cen MT"/>
          <w:b w:val="0"/>
          <w:bCs w:val="0"/>
          <w:sz w:val="24"/>
          <w:szCs w:val="24"/>
        </w:rPr>
        <w:t xml:space="preserve">The Evidence Act, 1975 (NRCD 323) </w:t>
      </w:r>
      <w:r>
        <w:rPr>
          <w:rFonts w:ascii="Tw Cen MT" w:hAnsi="Tw Cen MT"/>
          <w:sz w:val="24"/>
          <w:szCs w:val="24"/>
        </w:rPr>
        <w:t xml:space="preserve">contains terms like 'lunatic' and 'unsound mind' when addressing </w:t>
      </w:r>
      <w:r>
        <w:rPr>
          <w:rFonts w:ascii="Tw Cen MT" w:hAnsi="Tw Cen MT"/>
          <w:sz w:val="24"/>
          <w:szCs w:val="24"/>
        </w:rPr>
        <w:lastRenderedPageBreak/>
        <w:t>the competency of witnesses in legal proceedings. Till now, no steps have been taken to review or amend these terms.</w:t>
      </w:r>
    </w:p>
    <w:p w14:paraId="469607B6" w14:textId="77777777" w:rsidR="00031F03" w:rsidRDefault="00000000">
      <w:pPr>
        <w:pStyle w:val="ListParagraph"/>
        <w:numPr>
          <w:ilvl w:val="1"/>
          <w:numId w:val="1"/>
        </w:numPr>
        <w:spacing w:line="360" w:lineRule="auto"/>
        <w:jc w:val="both"/>
        <w:rPr>
          <w:rFonts w:ascii="Tw Cen MT" w:hAnsi="Tw Cen MT" w:cs="Times New Roman"/>
          <w:sz w:val="24"/>
          <w:szCs w:val="24"/>
        </w:rPr>
      </w:pPr>
      <w:r>
        <w:rPr>
          <w:rFonts w:ascii="Tw Cen MT" w:hAnsi="Tw Cen MT" w:cs="Times New Roman"/>
          <w:sz w:val="24"/>
          <w:szCs w:val="24"/>
        </w:rPr>
        <w:t xml:space="preserve">Despite commitments at the 2018 and 2022 Global Disability Summit, Ghana has not signed and ratified the Protocol to the African Charter on Human and Peoples’ Rights on the Rights of Persons with Disabilities in Africa, adopted by the African Union in 2018. </w:t>
      </w:r>
      <w:bookmarkStart w:id="4" w:name="_Hlk167724258"/>
    </w:p>
    <w:p w14:paraId="04B2A950" w14:textId="77777777" w:rsidR="00031F03" w:rsidRDefault="00031F03">
      <w:pPr>
        <w:pStyle w:val="NoSpacing"/>
        <w:rPr>
          <w:rFonts w:ascii="Tw Cen MT" w:hAnsi="Tw Cen MT"/>
        </w:rPr>
      </w:pPr>
    </w:p>
    <w:p w14:paraId="55160D85"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Recommendations </w:t>
      </w:r>
    </w:p>
    <w:p w14:paraId="4A118EA4" w14:textId="77777777" w:rsidR="00031F03" w:rsidRDefault="00031F03"/>
    <w:bookmarkEnd w:id="4"/>
    <w:p w14:paraId="1E9A15ED" w14:textId="77777777" w:rsidR="00031F03" w:rsidRDefault="00000000">
      <w:pPr>
        <w:pStyle w:val="NoSpacing"/>
        <w:numPr>
          <w:ilvl w:val="0"/>
          <w:numId w:val="29"/>
        </w:numPr>
        <w:spacing w:line="360" w:lineRule="auto"/>
        <w:jc w:val="both"/>
        <w:rPr>
          <w:rFonts w:ascii="Tw Cen MT" w:hAnsi="Tw Cen MT"/>
          <w:sz w:val="24"/>
          <w:szCs w:val="24"/>
        </w:rPr>
      </w:pPr>
      <w:r>
        <w:rPr>
          <w:rFonts w:ascii="Tw Cen MT" w:hAnsi="Tw Cen MT"/>
          <w:sz w:val="24"/>
          <w:szCs w:val="24"/>
        </w:rPr>
        <w:t>In consultation with persons with disabilities and their representatives, the State should expedite the review and amendment of Act 715, ensuring that the new Persons with Disability Bill 2024 fully complies with the CRPD and is enacted expeditiously.</w:t>
      </w:r>
    </w:p>
    <w:p w14:paraId="1847F19A" w14:textId="77777777" w:rsidR="00031F03" w:rsidRDefault="00000000">
      <w:pPr>
        <w:pStyle w:val="NoSpacing"/>
        <w:numPr>
          <w:ilvl w:val="0"/>
          <w:numId w:val="29"/>
        </w:numPr>
        <w:spacing w:line="360" w:lineRule="auto"/>
        <w:jc w:val="both"/>
        <w:rPr>
          <w:rFonts w:ascii="Tw Cen MT" w:hAnsi="Tw Cen MT"/>
          <w:sz w:val="24"/>
          <w:szCs w:val="24"/>
        </w:rPr>
      </w:pPr>
      <w:r>
        <w:rPr>
          <w:rFonts w:ascii="Tw Cen MT" w:hAnsi="Tw Cen MT"/>
          <w:sz w:val="24"/>
          <w:szCs w:val="24"/>
        </w:rPr>
        <w:t>The State should revise provisions in the Mental Health Act 846 that contradict the CRPD and provide training for mental health professionals on CRPD principles and rights-based approaches to mental health care.</w:t>
      </w:r>
    </w:p>
    <w:p w14:paraId="1B0C65E2" w14:textId="77777777" w:rsidR="00031F03" w:rsidRDefault="00000000">
      <w:pPr>
        <w:pStyle w:val="ListParagraph"/>
        <w:numPr>
          <w:ilvl w:val="0"/>
          <w:numId w:val="29"/>
        </w:numPr>
        <w:spacing w:before="100" w:beforeAutospacing="1" w:after="100" w:afterAutospacing="1" w:line="360" w:lineRule="auto"/>
        <w:jc w:val="both"/>
        <w:rPr>
          <w:rFonts w:ascii="Tw Cen MT" w:eastAsia="Times New Roman" w:hAnsi="Tw Cen MT" w:cs="Times New Roman"/>
          <w:kern w:val="0"/>
          <w:sz w:val="24"/>
          <w:szCs w:val="24"/>
          <w14:ligatures w14:val="none"/>
        </w:rPr>
      </w:pPr>
      <w:r>
        <w:rPr>
          <w:rFonts w:ascii="Tw Cen MT" w:eastAsia="Times New Roman" w:hAnsi="Tw Cen MT" w:cs="Times New Roman"/>
          <w:kern w:val="0"/>
          <w:sz w:val="24"/>
          <w:szCs w:val="24"/>
          <w14:ligatures w14:val="none"/>
        </w:rPr>
        <w:t>The state should review and amend the 1992 Constitution of Ghana, Criminal Offences Act 1960 (Act 29), and Evidence Act 1975 (NRCD 323) to remove derogatory terms and replace these terms with respectful and accurate language in line with CRPD standards. Introduce provisions that explicitly prohibit discrimination based on disability in all aspects of life, including criminal responsibility and legal proceedings.</w:t>
      </w:r>
    </w:p>
    <w:p w14:paraId="45AD46C6" w14:textId="77777777" w:rsidR="00031F03" w:rsidRDefault="00000000">
      <w:pPr>
        <w:pStyle w:val="NoSpacing"/>
        <w:numPr>
          <w:ilvl w:val="0"/>
          <w:numId w:val="29"/>
        </w:numPr>
        <w:spacing w:line="360" w:lineRule="auto"/>
        <w:jc w:val="both"/>
        <w:rPr>
          <w:rFonts w:ascii="Tw Cen MT" w:hAnsi="Tw Cen MT"/>
          <w:sz w:val="24"/>
          <w:szCs w:val="24"/>
        </w:rPr>
      </w:pPr>
      <w:r>
        <w:rPr>
          <w:rFonts w:ascii="Tw Cen MT" w:hAnsi="Tw Cen MT"/>
          <w:sz w:val="24"/>
          <w:szCs w:val="24"/>
        </w:rPr>
        <w:t xml:space="preserve">The State should immediately sign and ratify the </w:t>
      </w:r>
      <w:r>
        <w:rPr>
          <w:rFonts w:ascii="Tw Cen MT" w:hAnsi="Tw Cen MT" w:cs="Times New Roman"/>
          <w:sz w:val="24"/>
          <w:szCs w:val="24"/>
        </w:rPr>
        <w:t xml:space="preserve">Protocol to the African Charter on Human and Peoples’ Rights on the Rights of Persons with Disabilities in Africa. As well, the State should develop an implementation strategy for the Protocol to ensure alignment with national laws and practices.  </w:t>
      </w:r>
    </w:p>
    <w:p w14:paraId="2380F233" w14:textId="77777777" w:rsidR="00031F03" w:rsidRDefault="00031F03">
      <w:pPr>
        <w:spacing w:line="360" w:lineRule="auto"/>
        <w:jc w:val="both"/>
        <w:rPr>
          <w:rFonts w:ascii="Tw Cen MT" w:eastAsia="Calibri" w:hAnsi="Tw Cen MT" w:cs="Times New Roman"/>
          <w:kern w:val="0"/>
          <w:sz w:val="24"/>
          <w:szCs w:val="24"/>
          <w:lang w:eastAsia="en-US"/>
          <w14:ligatures w14:val="none"/>
        </w:rPr>
      </w:pPr>
    </w:p>
    <w:p w14:paraId="24D840F5" w14:textId="77777777" w:rsidR="00031F03" w:rsidRDefault="00000000">
      <w:pPr>
        <w:pStyle w:val="Heading1"/>
        <w:rPr>
          <w:rFonts w:ascii="Tw Cen MT" w:hAnsi="Tw Cen MT"/>
          <w:b/>
          <w:bCs/>
          <w:color w:val="auto"/>
          <w:sz w:val="24"/>
          <w:szCs w:val="24"/>
        </w:rPr>
      </w:pPr>
      <w:bookmarkStart w:id="5" w:name="_Toc171581977"/>
      <w:r>
        <w:rPr>
          <w:rFonts w:ascii="Tw Cen MT" w:hAnsi="Tw Cen MT"/>
          <w:b/>
          <w:bCs/>
          <w:color w:val="auto"/>
          <w:sz w:val="24"/>
          <w:szCs w:val="24"/>
        </w:rPr>
        <w:t>Article 5: Equality and Non-Discrimination</w:t>
      </w:r>
      <w:bookmarkEnd w:id="5"/>
      <w:r>
        <w:rPr>
          <w:rFonts w:ascii="Tw Cen MT" w:hAnsi="Tw Cen MT"/>
          <w:b/>
          <w:bCs/>
          <w:color w:val="auto"/>
          <w:sz w:val="24"/>
          <w:szCs w:val="24"/>
        </w:rPr>
        <w:t xml:space="preserve"> </w:t>
      </w:r>
    </w:p>
    <w:p w14:paraId="1740B3D9" w14:textId="77777777" w:rsidR="00031F03" w:rsidRDefault="00031F03"/>
    <w:p w14:paraId="28405231"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5.1. The Constitution of Ghana in Chapter Five upholds fundamental rights and freedoms for every person. It asserts the right to equality before the law for all persons and prohibits discrimination based on gender, race, color, ethnic origin, religion, creed, or social/economic status.</w:t>
      </w:r>
      <w:r>
        <w:rPr>
          <w:rStyle w:val="FootnoteReference"/>
          <w:rFonts w:ascii="Tw Cen MT" w:hAnsi="Tw Cen MT"/>
          <w:sz w:val="24"/>
          <w:szCs w:val="24"/>
        </w:rPr>
        <w:footnoteReference w:id="5"/>
      </w:r>
      <w:r>
        <w:rPr>
          <w:rFonts w:ascii="Tw Cen MT" w:hAnsi="Tw Cen MT"/>
          <w:sz w:val="24"/>
          <w:szCs w:val="24"/>
        </w:rPr>
        <w:t xml:space="preserve"> Notably, the Constitution does not explicitly include "disability" as a protected ground of discrimination. </w:t>
      </w:r>
    </w:p>
    <w:p w14:paraId="3344D159"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 xml:space="preserve">5.2. Article 29 of the 1992 Constitution titled the "Rights of Disabled Persons," ostensibly aims to protect the rights of persons with disabilities against discrimination, exploitation, and abusive </w:t>
      </w:r>
      <w:r>
        <w:rPr>
          <w:rFonts w:ascii="Tw Cen MT" w:hAnsi="Tw Cen MT"/>
          <w:sz w:val="24"/>
          <w:szCs w:val="24"/>
        </w:rPr>
        <w:lastRenderedPageBreak/>
        <w:t>treatment. Nonetheless, this article contains elements that are ironically discriminatory</w:t>
      </w:r>
      <w:r>
        <w:rPr>
          <w:rStyle w:val="FootnoteReference"/>
          <w:rFonts w:ascii="Tw Cen MT" w:hAnsi="Tw Cen MT"/>
          <w:sz w:val="24"/>
          <w:szCs w:val="24"/>
        </w:rPr>
        <w:footnoteReference w:id="6"/>
      </w:r>
      <w:r>
        <w:rPr>
          <w:rFonts w:ascii="Tw Cen MT" w:hAnsi="Tw Cen MT"/>
          <w:sz w:val="24"/>
          <w:szCs w:val="24"/>
        </w:rPr>
        <w:t xml:space="preserve"> </w:t>
      </w:r>
      <w:r>
        <w:rPr>
          <w:rStyle w:val="FootnoteReference"/>
          <w:rFonts w:ascii="Tw Cen MT" w:hAnsi="Tw Cen MT"/>
          <w:sz w:val="24"/>
          <w:szCs w:val="24"/>
        </w:rPr>
        <w:footnoteReference w:id="7"/>
      </w:r>
      <w:r>
        <w:rPr>
          <w:rFonts w:ascii="Tw Cen MT" w:hAnsi="Tw Cen MT"/>
          <w:sz w:val="24"/>
          <w:szCs w:val="24"/>
        </w:rPr>
        <w:t xml:space="preserve"> and not aligned with CRPD principles.</w:t>
      </w:r>
    </w:p>
    <w:p w14:paraId="2AB071A4"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 xml:space="preserve">5.3. Section 4(2) of the Persons with Disability Act prohibits discrimination, exploitation, and abusive treatment of persons with disabilities. It also mandates that employers cannot discriminate against job applicants or employees based on disability, except when the disability directly affects job performance. Despite these legislative protections, discrimination against persons with disabilities remains widespread and is rarely addressed or punished in practice. </w:t>
      </w:r>
    </w:p>
    <w:p w14:paraId="4E046DC1" w14:textId="77777777" w:rsidR="00031F03" w:rsidRDefault="00031F03">
      <w:pPr>
        <w:pStyle w:val="NoSpacing"/>
        <w:spacing w:line="360" w:lineRule="auto"/>
        <w:jc w:val="both"/>
        <w:rPr>
          <w:rFonts w:ascii="Tw Cen MT" w:hAnsi="Tw Cen MT"/>
          <w:sz w:val="24"/>
          <w:szCs w:val="24"/>
        </w:rPr>
      </w:pPr>
    </w:p>
    <w:p w14:paraId="1AF36267"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Recommendations </w:t>
      </w:r>
    </w:p>
    <w:p w14:paraId="0612C25E" w14:textId="77777777" w:rsidR="00031F03" w:rsidRDefault="00031F03">
      <w:pPr>
        <w:pStyle w:val="NoSpacing"/>
        <w:rPr>
          <w:rFonts w:ascii="Tw Cen MT" w:hAnsi="Tw Cen MT"/>
          <w:sz w:val="20"/>
          <w:szCs w:val="20"/>
        </w:rPr>
      </w:pPr>
    </w:p>
    <w:p w14:paraId="18B7456D" w14:textId="77777777" w:rsidR="00031F03" w:rsidRDefault="00000000">
      <w:pPr>
        <w:pStyle w:val="NoSpacing"/>
        <w:numPr>
          <w:ilvl w:val="0"/>
          <w:numId w:val="31"/>
        </w:numPr>
        <w:spacing w:line="360" w:lineRule="auto"/>
        <w:jc w:val="both"/>
        <w:rPr>
          <w:rFonts w:ascii="Tw Cen MT" w:hAnsi="Tw Cen MT"/>
          <w:sz w:val="24"/>
          <w:szCs w:val="24"/>
        </w:rPr>
      </w:pPr>
      <w:r>
        <w:rPr>
          <w:rFonts w:ascii="Tw Cen MT" w:hAnsi="Tw Cen MT"/>
          <w:sz w:val="24"/>
          <w:szCs w:val="24"/>
        </w:rPr>
        <w:t xml:space="preserve">The State should amend Article 17(2) of the 1992 constitution to explicitly include "disability" as a protected category against discrimination. </w:t>
      </w:r>
    </w:p>
    <w:p w14:paraId="49EF1FB1" w14:textId="77777777" w:rsidR="00031F03" w:rsidRDefault="00000000">
      <w:pPr>
        <w:pStyle w:val="NoSpacing"/>
        <w:numPr>
          <w:ilvl w:val="0"/>
          <w:numId w:val="31"/>
        </w:numPr>
        <w:spacing w:line="360" w:lineRule="auto"/>
        <w:jc w:val="both"/>
        <w:rPr>
          <w:rFonts w:ascii="Tw Cen MT" w:hAnsi="Tw Cen MT"/>
          <w:sz w:val="24"/>
          <w:szCs w:val="24"/>
        </w:rPr>
      </w:pPr>
      <w:r>
        <w:rPr>
          <w:rFonts w:ascii="Tw Cen MT" w:hAnsi="Tw Cen MT"/>
          <w:sz w:val="24"/>
          <w:szCs w:val="24"/>
        </w:rPr>
        <w:t xml:space="preserve">The State should revise Article 29 of Ghana’s Constitution to remove any discriminatory elements and ensure it aligns fully with the CRPD principles. </w:t>
      </w:r>
    </w:p>
    <w:p w14:paraId="759FB2DF" w14:textId="77777777" w:rsidR="00031F03" w:rsidRDefault="00000000">
      <w:pPr>
        <w:pStyle w:val="NoSpacing"/>
        <w:numPr>
          <w:ilvl w:val="0"/>
          <w:numId w:val="31"/>
        </w:numPr>
        <w:spacing w:line="360" w:lineRule="auto"/>
        <w:jc w:val="both"/>
        <w:rPr>
          <w:rFonts w:ascii="Tw Cen MT" w:hAnsi="Tw Cen MT"/>
          <w:sz w:val="24"/>
          <w:szCs w:val="24"/>
        </w:rPr>
      </w:pPr>
      <w:r>
        <w:rPr>
          <w:rFonts w:ascii="Tw Cen MT" w:hAnsi="Tw Cen MT"/>
          <w:sz w:val="24"/>
          <w:szCs w:val="24"/>
        </w:rPr>
        <w:t>The State should establish clear and strong enforcement mechanisms to ensure compliance with the anti-discrimination provisions of the Disability Act. This should include setting up monitoring bodies, regular audits, and reporting systems. The State should also implement strict penalties for individuals and organizations that violate the anti-discrimination laws to deter discriminatory practices.</w:t>
      </w:r>
    </w:p>
    <w:p w14:paraId="0A9E1298" w14:textId="77777777" w:rsidR="00031F03" w:rsidRDefault="00031F03">
      <w:pPr>
        <w:pStyle w:val="Heading1"/>
        <w:rPr>
          <w:rFonts w:ascii="Tw Cen MT" w:hAnsi="Tw Cen MT"/>
          <w:b/>
          <w:bCs/>
          <w:color w:val="auto"/>
          <w:sz w:val="24"/>
          <w:szCs w:val="24"/>
        </w:rPr>
      </w:pPr>
    </w:p>
    <w:p w14:paraId="6D3C152D" w14:textId="77777777" w:rsidR="00031F03" w:rsidRDefault="00000000">
      <w:pPr>
        <w:pStyle w:val="Heading1"/>
        <w:rPr>
          <w:rFonts w:ascii="Tw Cen MT" w:hAnsi="Tw Cen MT"/>
          <w:b/>
          <w:bCs/>
          <w:color w:val="auto"/>
          <w:sz w:val="24"/>
          <w:szCs w:val="24"/>
        </w:rPr>
      </w:pPr>
      <w:bookmarkStart w:id="6" w:name="_Toc171581978"/>
      <w:r>
        <w:rPr>
          <w:rFonts w:ascii="Tw Cen MT" w:hAnsi="Tw Cen MT"/>
          <w:b/>
          <w:bCs/>
          <w:color w:val="auto"/>
          <w:sz w:val="24"/>
          <w:szCs w:val="24"/>
        </w:rPr>
        <w:t>Article 6: Women with Disabilities</w:t>
      </w:r>
      <w:bookmarkEnd w:id="6"/>
      <w:r>
        <w:rPr>
          <w:rFonts w:ascii="Tw Cen MT" w:hAnsi="Tw Cen MT"/>
          <w:b/>
          <w:bCs/>
          <w:color w:val="auto"/>
          <w:sz w:val="24"/>
          <w:szCs w:val="24"/>
        </w:rPr>
        <w:t xml:space="preserve"> </w:t>
      </w:r>
    </w:p>
    <w:p w14:paraId="350555E3" w14:textId="77777777" w:rsidR="00031F03" w:rsidRDefault="00031F03">
      <w:pPr>
        <w:pStyle w:val="NoSpacing"/>
        <w:rPr>
          <w:rFonts w:ascii="Tw Cen MT" w:hAnsi="Tw Cen MT"/>
          <w:sz w:val="20"/>
          <w:szCs w:val="20"/>
        </w:rPr>
      </w:pPr>
    </w:p>
    <w:p w14:paraId="28BCA6BB"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6.1. Ghana has made some progress in addressing the challenges faced by women and girls with disabilities, but significant gaps remain. These challenges span legal, social, and economic spheres and are exacerbated by systemic barriers and societal attitudes.</w:t>
      </w:r>
    </w:p>
    <w:p w14:paraId="68550F6D"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6.2. In the yet-to-be-adopted Persons with Disability Bill 2024, Section 50(4) of the Bill links flexible working hours to the category of disability, potentially creating a hierarchy of disabilities and resulting in unequal treatment. This is discriminatory as this approach might result in individuals receiving more favourable working conditions based on their disability category rather than recognizing their unique circumstances and individual needs beyond their disability category.</w:t>
      </w:r>
    </w:p>
    <w:p w14:paraId="223DAAFB"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lastRenderedPageBreak/>
        <w:t>6.3. Despite committing to mainstream gender and disability in national development at the Global Disability Summit (GDS) in 2022, the Government of Ghana has not implemented specific strategies to address the inequality faced by women with disabilities.</w:t>
      </w:r>
    </w:p>
    <w:p w14:paraId="32D5259E"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6.4. The Domestic Violence Act, 2007 (Act 732) lacks specific provisions to protect women with disabilities. Incidents of rape and abuse against women with disabilities</w:t>
      </w:r>
      <w:r>
        <w:rPr>
          <w:rStyle w:val="FootnoteReference"/>
          <w:rFonts w:ascii="Tw Cen MT" w:hAnsi="Tw Cen MT"/>
          <w:sz w:val="24"/>
          <w:szCs w:val="24"/>
        </w:rPr>
        <w:footnoteReference w:id="8"/>
      </w:r>
      <w:r>
        <w:rPr>
          <w:rFonts w:ascii="Tw Cen MT" w:hAnsi="Tw Cen MT"/>
          <w:sz w:val="24"/>
          <w:szCs w:val="24"/>
        </w:rPr>
        <w:t xml:space="preserve"> often go unaddressed by the State, with the police sometimes showing disinterest in such cases.</w:t>
      </w:r>
    </w:p>
    <w:p w14:paraId="42949EE7" w14:textId="77777777" w:rsidR="00031F03" w:rsidRDefault="00000000">
      <w:pPr>
        <w:pStyle w:val="NoSpacing"/>
        <w:spacing w:line="360" w:lineRule="auto"/>
        <w:jc w:val="both"/>
        <w:rPr>
          <w:rFonts w:ascii="Tw Cen MT" w:hAnsi="Tw Cen MT"/>
          <w:sz w:val="24"/>
          <w:szCs w:val="24"/>
        </w:rPr>
      </w:pPr>
      <w:r>
        <w:rPr>
          <w:rStyle w:val="Strong"/>
          <w:rFonts w:ascii="Tw Cen MT" w:hAnsi="Tw Cen MT"/>
          <w:b w:val="0"/>
          <w:bCs w:val="0"/>
          <w:sz w:val="24"/>
          <w:szCs w:val="24"/>
        </w:rPr>
        <w:t>6.5.</w:t>
      </w:r>
      <w:r>
        <w:rPr>
          <w:rFonts w:ascii="Tw Cen MT" w:hAnsi="Tw Cen MT"/>
          <w:sz w:val="24"/>
          <w:szCs w:val="24"/>
        </w:rPr>
        <w:t xml:space="preserve"> There are no specific measures to promote the participation of women with disabilities in policy development and decision-making. The pending Affirmative Action Bill (Gender Equality Bill, 2024), which has recently been laid before Parliament,</w:t>
      </w:r>
      <w:r>
        <w:rPr>
          <w:rStyle w:val="FootnoteReference"/>
          <w:rFonts w:ascii="Tw Cen MT" w:hAnsi="Tw Cen MT"/>
          <w:sz w:val="24"/>
          <w:szCs w:val="24"/>
        </w:rPr>
        <w:t xml:space="preserve"> </w:t>
      </w:r>
      <w:r>
        <w:rPr>
          <w:rStyle w:val="FootnoteReference"/>
          <w:rFonts w:ascii="Tw Cen MT" w:hAnsi="Tw Cen MT"/>
          <w:sz w:val="24"/>
          <w:szCs w:val="24"/>
        </w:rPr>
        <w:footnoteReference w:id="9"/>
      </w:r>
      <w:r>
        <w:rPr>
          <w:rFonts w:ascii="Tw Cen MT" w:hAnsi="Tw Cen MT"/>
          <w:sz w:val="24"/>
          <w:szCs w:val="24"/>
        </w:rPr>
        <w:t xml:space="preserve"> does not include provisions for women with disabilities.</w:t>
      </w:r>
    </w:p>
    <w:p w14:paraId="695F6206" w14:textId="77777777" w:rsidR="00031F03" w:rsidRDefault="00000000">
      <w:pPr>
        <w:pStyle w:val="NoSpacing"/>
        <w:spacing w:line="360" w:lineRule="auto"/>
        <w:jc w:val="both"/>
        <w:rPr>
          <w:rFonts w:ascii="Tw Cen MT" w:hAnsi="Tw Cen MT"/>
          <w:sz w:val="24"/>
          <w:szCs w:val="24"/>
        </w:rPr>
      </w:pPr>
      <w:r>
        <w:rPr>
          <w:rStyle w:val="Strong"/>
          <w:rFonts w:ascii="Tw Cen MT" w:hAnsi="Tw Cen MT"/>
          <w:b w:val="0"/>
          <w:bCs w:val="0"/>
          <w:sz w:val="24"/>
          <w:szCs w:val="24"/>
        </w:rPr>
        <w:t>6.6.</w:t>
      </w:r>
      <w:r>
        <w:rPr>
          <w:rFonts w:ascii="Tw Cen MT" w:hAnsi="Tw Cen MT"/>
          <w:sz w:val="24"/>
          <w:szCs w:val="24"/>
        </w:rPr>
        <w:t xml:space="preserve"> Women with disabilities often face barriers in accessing justice due to the inaccessibility of courtrooms, lack of sign language interpreters, and limited awareness of their legal rights.</w:t>
      </w:r>
    </w:p>
    <w:p w14:paraId="0B4076CB"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6.7. Access to healthcare, particularly sexual and reproductive health services for women and girls with disabilities, is limited by physical barriers, lack of accessible information, and discriminatory attitudes.</w:t>
      </w:r>
    </w:p>
    <w:p w14:paraId="431A11D4" w14:textId="77777777" w:rsidR="00031F03" w:rsidRDefault="00031F03">
      <w:pPr>
        <w:pStyle w:val="NoSpacing"/>
        <w:spacing w:line="360" w:lineRule="auto"/>
        <w:jc w:val="both"/>
        <w:rPr>
          <w:rFonts w:ascii="Tw Cen MT" w:hAnsi="Tw Cen MT"/>
          <w:sz w:val="24"/>
          <w:szCs w:val="24"/>
        </w:rPr>
      </w:pPr>
    </w:p>
    <w:p w14:paraId="5A2AC1D0"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Recommendations </w:t>
      </w:r>
    </w:p>
    <w:p w14:paraId="355A3390" w14:textId="77777777" w:rsidR="00031F03" w:rsidRDefault="00031F03"/>
    <w:p w14:paraId="6078DD79" w14:textId="77777777" w:rsidR="00031F03" w:rsidRDefault="00000000">
      <w:pPr>
        <w:pStyle w:val="NoSpacing"/>
        <w:numPr>
          <w:ilvl w:val="0"/>
          <w:numId w:val="27"/>
        </w:numPr>
        <w:spacing w:line="360" w:lineRule="auto"/>
        <w:jc w:val="both"/>
        <w:rPr>
          <w:rFonts w:ascii="Tw Cen MT" w:hAnsi="Tw Cen MT"/>
          <w:sz w:val="24"/>
          <w:szCs w:val="24"/>
        </w:rPr>
      </w:pPr>
      <w:r>
        <w:rPr>
          <w:rFonts w:ascii="Tw Cen MT" w:hAnsi="Tw Cen MT"/>
          <w:sz w:val="24"/>
          <w:szCs w:val="24"/>
        </w:rPr>
        <w:t>The State should revise Section 50(4) of the current Persons with Disability Bill 2024 to ensure that flexible working hours are granted based on the specific situational needs of all women with disabilities and mothers of children with disabilities, rather than on the category of disability.</w:t>
      </w:r>
    </w:p>
    <w:p w14:paraId="17D553B6" w14:textId="77777777" w:rsidR="00031F03" w:rsidRDefault="00000000">
      <w:pPr>
        <w:pStyle w:val="NoSpacing"/>
        <w:numPr>
          <w:ilvl w:val="0"/>
          <w:numId w:val="27"/>
        </w:numPr>
        <w:spacing w:line="360" w:lineRule="auto"/>
        <w:jc w:val="both"/>
        <w:rPr>
          <w:rFonts w:ascii="Tw Cen MT" w:hAnsi="Tw Cen MT"/>
          <w:sz w:val="24"/>
          <w:szCs w:val="24"/>
        </w:rPr>
      </w:pPr>
      <w:r>
        <w:rPr>
          <w:rFonts w:ascii="Tw Cen MT" w:hAnsi="Tw Cen MT"/>
          <w:sz w:val="24"/>
          <w:szCs w:val="24"/>
        </w:rPr>
        <w:t>The State should develop and implement specific strategies and measures to mainstream gender and disability in national development, as committed at the Global Disability Summit (GDS) in 2022.</w:t>
      </w:r>
    </w:p>
    <w:p w14:paraId="6DF91E0B" w14:textId="77777777" w:rsidR="00031F03" w:rsidRDefault="00000000">
      <w:pPr>
        <w:pStyle w:val="NoSpacing"/>
        <w:numPr>
          <w:ilvl w:val="0"/>
          <w:numId w:val="27"/>
        </w:numPr>
        <w:spacing w:line="360" w:lineRule="auto"/>
        <w:jc w:val="both"/>
        <w:rPr>
          <w:rFonts w:ascii="Tw Cen MT" w:hAnsi="Tw Cen MT"/>
          <w:sz w:val="24"/>
          <w:szCs w:val="24"/>
        </w:rPr>
      </w:pPr>
      <w:r>
        <w:rPr>
          <w:rFonts w:ascii="Tw Cen MT" w:hAnsi="Tw Cen MT"/>
          <w:sz w:val="24"/>
          <w:szCs w:val="24"/>
        </w:rPr>
        <w:t>The State should amend the Domestic Violence Act, 2007 (732) to include specific provisions for the protection of women and girls with disabilities and ensure that law enforcement agencies are adequately trained to handle cases involving women with disabilities.</w:t>
      </w:r>
    </w:p>
    <w:p w14:paraId="09027D4B" w14:textId="77777777" w:rsidR="00031F03" w:rsidRDefault="00000000">
      <w:pPr>
        <w:pStyle w:val="NoSpacing"/>
        <w:numPr>
          <w:ilvl w:val="0"/>
          <w:numId w:val="27"/>
        </w:numPr>
        <w:spacing w:line="360" w:lineRule="auto"/>
        <w:jc w:val="both"/>
        <w:rPr>
          <w:rFonts w:ascii="Tw Cen MT" w:hAnsi="Tw Cen MT"/>
          <w:sz w:val="24"/>
          <w:szCs w:val="24"/>
        </w:rPr>
      </w:pPr>
      <w:r>
        <w:rPr>
          <w:rFonts w:ascii="Tw Cen MT" w:eastAsia="Calibri" w:hAnsi="Tw Cen MT"/>
          <w:sz w:val="24"/>
          <w:szCs w:val="24"/>
          <w:lang w:val="en-GB"/>
        </w:rPr>
        <w:t xml:space="preserve">The State should put in place measures to ensure </w:t>
      </w:r>
      <w:r>
        <w:rPr>
          <w:rFonts w:ascii="Tw Cen MT" w:hAnsi="Tw Cen MT"/>
          <w:sz w:val="24"/>
          <w:szCs w:val="24"/>
        </w:rPr>
        <w:t>thorough investigations of violence against women and girls with disabilities, hold perpetrators accountable, and rehabilitate victims.</w:t>
      </w:r>
    </w:p>
    <w:p w14:paraId="3F8D4BEF" w14:textId="77777777" w:rsidR="00031F03" w:rsidRDefault="00000000">
      <w:pPr>
        <w:pStyle w:val="NoSpacing"/>
        <w:numPr>
          <w:ilvl w:val="0"/>
          <w:numId w:val="27"/>
        </w:numPr>
        <w:spacing w:line="360" w:lineRule="auto"/>
        <w:jc w:val="both"/>
        <w:rPr>
          <w:rFonts w:ascii="Tw Cen MT" w:hAnsi="Tw Cen MT"/>
          <w:sz w:val="24"/>
          <w:szCs w:val="24"/>
        </w:rPr>
      </w:pPr>
      <w:r>
        <w:rPr>
          <w:rStyle w:val="Strong"/>
          <w:rFonts w:ascii="Tw Cen MT" w:hAnsi="Tw Cen MT"/>
          <w:b w:val="0"/>
          <w:bCs w:val="0"/>
          <w:sz w:val="24"/>
          <w:szCs w:val="24"/>
        </w:rPr>
        <w:lastRenderedPageBreak/>
        <w:t>The State should e</w:t>
      </w:r>
      <w:r>
        <w:rPr>
          <w:rFonts w:ascii="Tw Cen MT" w:hAnsi="Tw Cen MT"/>
          <w:sz w:val="24"/>
          <w:szCs w:val="24"/>
        </w:rPr>
        <w:t>stablish formal mechanisms and representation for women with disabilities in policy development and decision-making processes, and amend the Affirmative Action Bill (Gender Equality Bill, 2024) to include provisions for women with disabilities.</w:t>
      </w:r>
    </w:p>
    <w:p w14:paraId="2AA6F7AD" w14:textId="77777777" w:rsidR="00031F03" w:rsidRDefault="00000000">
      <w:pPr>
        <w:pStyle w:val="NoSpacing"/>
        <w:numPr>
          <w:ilvl w:val="0"/>
          <w:numId w:val="27"/>
        </w:numPr>
        <w:spacing w:line="360" w:lineRule="auto"/>
        <w:jc w:val="both"/>
        <w:rPr>
          <w:rFonts w:ascii="Tw Cen MT" w:hAnsi="Tw Cen MT"/>
          <w:sz w:val="24"/>
          <w:szCs w:val="24"/>
        </w:rPr>
      </w:pPr>
      <w:r>
        <w:rPr>
          <w:rFonts w:ascii="Tw Cen MT" w:hAnsi="Tw Cen MT"/>
          <w:sz w:val="24"/>
          <w:szCs w:val="24"/>
        </w:rPr>
        <w:t>The State should improve accessibility to the justice system for women with disabilities by making courtrooms physically accessible, providing sign language interpreters, and increasing legal rights awareness.</w:t>
      </w:r>
    </w:p>
    <w:p w14:paraId="6278783E" w14:textId="77777777" w:rsidR="00031F03" w:rsidRDefault="00000000">
      <w:pPr>
        <w:pStyle w:val="NoSpacing"/>
        <w:numPr>
          <w:ilvl w:val="0"/>
          <w:numId w:val="27"/>
        </w:numPr>
        <w:spacing w:line="360" w:lineRule="auto"/>
        <w:jc w:val="both"/>
        <w:rPr>
          <w:rFonts w:ascii="Tw Cen MT" w:eastAsia="Times New Roman" w:hAnsi="Tw Cen MT"/>
          <w:sz w:val="24"/>
          <w:szCs w:val="24"/>
        </w:rPr>
      </w:pPr>
      <w:r>
        <w:rPr>
          <w:rFonts w:ascii="Tw Cen MT" w:eastAsia="Times New Roman" w:hAnsi="Tw Cen MT"/>
          <w:sz w:val="24"/>
          <w:szCs w:val="24"/>
        </w:rPr>
        <w:t xml:space="preserve">The State should conduct awareness campaigns and education initiatives to change negative attitudes and inform women and girls with disabilities about their rights. Resource health centres to offer more accessible and affordable </w:t>
      </w:r>
      <w:r>
        <w:rPr>
          <w:rFonts w:ascii="Tw Cen MT" w:hAnsi="Tw Cen MT"/>
          <w:sz w:val="24"/>
          <w:szCs w:val="24"/>
        </w:rPr>
        <w:t>healthcare services, including sexual and reproductive health,</w:t>
      </w:r>
      <w:r>
        <w:rPr>
          <w:rFonts w:ascii="Tw Cen MT" w:eastAsia="Times New Roman" w:hAnsi="Tw Cen MT"/>
          <w:sz w:val="24"/>
          <w:szCs w:val="24"/>
        </w:rPr>
        <w:t xml:space="preserve"> and train healthcare providers on the needs of women and girls with disabilities. </w:t>
      </w:r>
    </w:p>
    <w:p w14:paraId="42A9DEE8" w14:textId="77777777" w:rsidR="00031F03" w:rsidRDefault="00031F03">
      <w:pPr>
        <w:pStyle w:val="NoSpacing"/>
        <w:spacing w:line="360" w:lineRule="auto"/>
        <w:jc w:val="both"/>
        <w:rPr>
          <w:rFonts w:ascii="Tw Cen MT" w:eastAsia="Times New Roman" w:hAnsi="Tw Cen MT"/>
          <w:sz w:val="24"/>
          <w:szCs w:val="24"/>
        </w:rPr>
      </w:pPr>
    </w:p>
    <w:p w14:paraId="09D931D7" w14:textId="77777777" w:rsidR="00031F03" w:rsidRDefault="00000000">
      <w:pPr>
        <w:pStyle w:val="Heading1"/>
        <w:rPr>
          <w:rFonts w:ascii="Tw Cen MT" w:hAnsi="Tw Cen MT"/>
          <w:b/>
          <w:bCs/>
          <w:color w:val="auto"/>
          <w:sz w:val="24"/>
          <w:szCs w:val="24"/>
        </w:rPr>
      </w:pPr>
      <w:bookmarkStart w:id="7" w:name="_Toc171581979"/>
      <w:r>
        <w:rPr>
          <w:rFonts w:ascii="Tw Cen MT" w:hAnsi="Tw Cen MT"/>
          <w:b/>
          <w:bCs/>
          <w:color w:val="auto"/>
          <w:sz w:val="24"/>
          <w:szCs w:val="24"/>
        </w:rPr>
        <w:t>Article 7: Children with Disabilities</w:t>
      </w:r>
      <w:bookmarkEnd w:id="7"/>
      <w:r>
        <w:rPr>
          <w:rFonts w:ascii="Tw Cen MT" w:hAnsi="Tw Cen MT"/>
          <w:b/>
          <w:bCs/>
          <w:color w:val="auto"/>
          <w:sz w:val="24"/>
          <w:szCs w:val="24"/>
        </w:rPr>
        <w:t xml:space="preserve"> </w:t>
      </w:r>
    </w:p>
    <w:p w14:paraId="6C59CA7D" w14:textId="77777777" w:rsidR="00031F03" w:rsidRDefault="00031F03">
      <w:pPr>
        <w:pStyle w:val="NoSpacing"/>
      </w:pPr>
    </w:p>
    <w:p w14:paraId="4BB9FEE4" w14:textId="77777777" w:rsidR="00031F03" w:rsidRDefault="00000000">
      <w:pPr>
        <w:pStyle w:val="NoSpacing"/>
        <w:numPr>
          <w:ilvl w:val="1"/>
          <w:numId w:val="30"/>
        </w:numPr>
        <w:spacing w:line="360" w:lineRule="auto"/>
        <w:jc w:val="both"/>
        <w:rPr>
          <w:rFonts w:ascii="Tw Cen MT" w:hAnsi="Tw Cen MT"/>
          <w:sz w:val="24"/>
          <w:szCs w:val="24"/>
        </w:rPr>
      </w:pPr>
      <w:r>
        <w:rPr>
          <w:rFonts w:ascii="Tw Cen MT" w:hAnsi="Tw Cen MT"/>
          <w:sz w:val="24"/>
          <w:szCs w:val="24"/>
        </w:rPr>
        <w:t xml:space="preserve">Children with disabilities face significant stigma, discrimination, bullying, mockery and </w:t>
      </w:r>
    </w:p>
    <w:p w14:paraId="397456CE"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rPr>
        <w:t>exclusion. The existing children and family welfare policy does not sufficiently address their needs.</w:t>
      </w:r>
    </w:p>
    <w:p w14:paraId="3F32FED8" w14:textId="77777777" w:rsidR="00031F03" w:rsidRDefault="00000000">
      <w:pPr>
        <w:pStyle w:val="NoSpacing"/>
        <w:numPr>
          <w:ilvl w:val="1"/>
          <w:numId w:val="30"/>
        </w:numPr>
        <w:spacing w:line="360" w:lineRule="auto"/>
        <w:ind w:left="0" w:firstLine="0"/>
        <w:jc w:val="both"/>
        <w:rPr>
          <w:rFonts w:ascii="Tw Cen MT" w:hAnsi="Tw Cen MT"/>
          <w:sz w:val="24"/>
          <w:szCs w:val="24"/>
        </w:rPr>
      </w:pPr>
      <w:r>
        <w:rPr>
          <w:rFonts w:ascii="Tw Cen MT" w:hAnsi="Tw Cen MT"/>
          <w:sz w:val="24"/>
          <w:szCs w:val="24"/>
        </w:rPr>
        <w:t xml:space="preserve">There are no specific measures to address issues faced by children with disabilities. The Children Act (Act 560) briefly mentions disability in section 3 but lacks provisions for children with disabilities. </w:t>
      </w:r>
    </w:p>
    <w:p w14:paraId="22676E6D" w14:textId="77777777" w:rsidR="00031F03" w:rsidRDefault="00000000">
      <w:pPr>
        <w:pStyle w:val="NoSpacing"/>
        <w:numPr>
          <w:ilvl w:val="1"/>
          <w:numId w:val="30"/>
        </w:numPr>
        <w:spacing w:line="360" w:lineRule="auto"/>
        <w:ind w:left="0" w:firstLine="0"/>
        <w:jc w:val="both"/>
        <w:rPr>
          <w:rFonts w:ascii="Tw Cen MT" w:hAnsi="Tw Cen MT"/>
          <w:sz w:val="24"/>
          <w:szCs w:val="24"/>
        </w:rPr>
      </w:pPr>
      <w:r>
        <w:rPr>
          <w:rFonts w:ascii="Tw Cen MT" w:hAnsi="Tw Cen MT"/>
          <w:sz w:val="24"/>
          <w:szCs w:val="24"/>
        </w:rPr>
        <w:t>Children with disabilities do not enjoy equal rights compared to other children. Some families hide their children with disabilities due to shame, leading to further exclusion.</w:t>
      </w:r>
    </w:p>
    <w:p w14:paraId="750409C9" w14:textId="77777777" w:rsidR="00031F03" w:rsidRDefault="00000000">
      <w:pPr>
        <w:pStyle w:val="NoSpacing"/>
        <w:numPr>
          <w:ilvl w:val="1"/>
          <w:numId w:val="30"/>
        </w:numPr>
        <w:spacing w:line="360" w:lineRule="auto"/>
        <w:ind w:left="0" w:firstLine="0"/>
        <w:jc w:val="both"/>
        <w:rPr>
          <w:rFonts w:ascii="Tw Cen MT" w:hAnsi="Tw Cen MT"/>
          <w:sz w:val="24"/>
          <w:szCs w:val="24"/>
        </w:rPr>
      </w:pPr>
      <w:r>
        <w:rPr>
          <w:rFonts w:ascii="Tw Cen MT" w:hAnsi="Tw Cen MT"/>
          <w:sz w:val="24"/>
          <w:szCs w:val="24"/>
        </w:rPr>
        <w:t>Many children with disabilities are denied the chance to attend school or participate in recreational activities, with no measures in place to address these issues.</w:t>
      </w:r>
    </w:p>
    <w:p w14:paraId="36F85B15" w14:textId="77777777" w:rsidR="00031F03" w:rsidRDefault="00000000">
      <w:pPr>
        <w:pStyle w:val="NoSpacing"/>
        <w:numPr>
          <w:ilvl w:val="1"/>
          <w:numId w:val="30"/>
        </w:numPr>
        <w:spacing w:line="360" w:lineRule="auto"/>
        <w:ind w:left="0" w:firstLine="0"/>
        <w:jc w:val="both"/>
        <w:rPr>
          <w:rFonts w:ascii="Tw Cen MT" w:hAnsi="Tw Cen MT"/>
          <w:sz w:val="24"/>
          <w:szCs w:val="24"/>
        </w:rPr>
      </w:pPr>
      <w:r>
        <w:rPr>
          <w:rFonts w:ascii="Tw Cen MT" w:hAnsi="Tw Cen MT"/>
          <w:sz w:val="24"/>
          <w:szCs w:val="24"/>
        </w:rPr>
        <w:t>In some communities, children with disabilities are still regarded as “spirit children”</w:t>
      </w:r>
      <w:r>
        <w:rPr>
          <w:rStyle w:val="FootnoteReference"/>
          <w:rFonts w:ascii="Tw Cen MT" w:hAnsi="Tw Cen MT"/>
          <w:sz w:val="24"/>
          <w:szCs w:val="24"/>
        </w:rPr>
        <w:footnoteReference w:id="10"/>
      </w:r>
      <w:r>
        <w:rPr>
          <w:rFonts w:ascii="Tw Cen MT" w:hAnsi="Tw Cen MT"/>
          <w:sz w:val="24"/>
          <w:szCs w:val="24"/>
        </w:rPr>
        <w:t xml:space="preserve"> or bad omen. This belief prevents them from socializing, leading to low confidence and self-esteem.</w:t>
      </w:r>
    </w:p>
    <w:p w14:paraId="36D4BBD7" w14:textId="77777777" w:rsidR="00031F03" w:rsidRDefault="00000000">
      <w:pPr>
        <w:pStyle w:val="NoSpacing"/>
        <w:numPr>
          <w:ilvl w:val="1"/>
          <w:numId w:val="30"/>
        </w:numPr>
        <w:spacing w:line="360" w:lineRule="auto"/>
        <w:ind w:left="0" w:firstLine="0"/>
        <w:jc w:val="both"/>
        <w:rPr>
          <w:rFonts w:ascii="Tw Cen MT" w:hAnsi="Tw Cen MT"/>
          <w:sz w:val="24"/>
          <w:szCs w:val="24"/>
        </w:rPr>
      </w:pPr>
      <w:r>
        <w:rPr>
          <w:rFonts w:ascii="Tw Cen MT" w:hAnsi="Tw Cen MT"/>
          <w:sz w:val="24"/>
          <w:szCs w:val="24"/>
        </w:rPr>
        <w:t>The current Persons with Disability Bill 2024, section 51(1)(b) specifies that every child with disability has the right to paternity including the right to be cared for and maintained by the father. However, it does not mention the role of mothers, potentially perpetuating gender stereotypes and failing to fully align with the CRPD principles of non-discrimination and equality between men and women.</w:t>
      </w:r>
    </w:p>
    <w:p w14:paraId="1A36E9DF" w14:textId="77777777" w:rsidR="00031F03" w:rsidRDefault="00031F03">
      <w:pPr>
        <w:pStyle w:val="NoSpacing"/>
      </w:pPr>
    </w:p>
    <w:p w14:paraId="47B6BD6B"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Recommendations </w:t>
      </w:r>
    </w:p>
    <w:p w14:paraId="488D8E8F" w14:textId="77777777" w:rsidR="00031F03" w:rsidRDefault="00031F03"/>
    <w:p w14:paraId="79A2D1DF" w14:textId="77777777" w:rsidR="00031F03" w:rsidRDefault="00000000">
      <w:pPr>
        <w:pStyle w:val="NoSpacing"/>
        <w:numPr>
          <w:ilvl w:val="0"/>
          <w:numId w:val="7"/>
        </w:numPr>
        <w:spacing w:line="360" w:lineRule="auto"/>
        <w:jc w:val="both"/>
        <w:rPr>
          <w:rFonts w:ascii="Tw Cen MT" w:hAnsi="Tw Cen MT"/>
          <w:sz w:val="24"/>
          <w:szCs w:val="24"/>
        </w:rPr>
      </w:pPr>
      <w:r>
        <w:rPr>
          <w:rFonts w:ascii="Tw Cen MT" w:hAnsi="Tw Cen MT"/>
          <w:sz w:val="24"/>
          <w:szCs w:val="24"/>
        </w:rPr>
        <w:lastRenderedPageBreak/>
        <w:t>The State should update the Children and Family Welfare Policy to include measures for the protection, inclusion, and support of children with disabilities.</w:t>
      </w:r>
    </w:p>
    <w:p w14:paraId="765A549D" w14:textId="77777777" w:rsidR="00031F03" w:rsidRDefault="00000000">
      <w:pPr>
        <w:pStyle w:val="NoSpacing"/>
        <w:numPr>
          <w:ilvl w:val="0"/>
          <w:numId w:val="7"/>
        </w:numPr>
        <w:spacing w:line="360" w:lineRule="auto"/>
        <w:jc w:val="both"/>
        <w:rPr>
          <w:rFonts w:ascii="Tw Cen MT" w:hAnsi="Tw Cen MT"/>
          <w:sz w:val="24"/>
          <w:szCs w:val="24"/>
        </w:rPr>
      </w:pPr>
      <w:r>
        <w:rPr>
          <w:rFonts w:ascii="Tw Cen MT" w:hAnsi="Tw Cen MT"/>
          <w:sz w:val="24"/>
          <w:szCs w:val="24"/>
        </w:rPr>
        <w:t>The State should Amend the Children Act (Act 560) to include specific provisions for the rights and needs of children with disabilities.</w:t>
      </w:r>
    </w:p>
    <w:p w14:paraId="026D0DF0" w14:textId="77777777" w:rsidR="00031F03" w:rsidRDefault="00000000">
      <w:pPr>
        <w:pStyle w:val="NoSpacing"/>
        <w:numPr>
          <w:ilvl w:val="0"/>
          <w:numId w:val="7"/>
        </w:numPr>
        <w:spacing w:line="360" w:lineRule="auto"/>
        <w:jc w:val="both"/>
        <w:rPr>
          <w:rFonts w:ascii="Tw Cen MT" w:hAnsi="Tw Cen MT"/>
          <w:sz w:val="24"/>
          <w:szCs w:val="24"/>
        </w:rPr>
      </w:pPr>
      <w:r>
        <w:rPr>
          <w:rFonts w:ascii="Tw Cen MT" w:hAnsi="Tw Cen MT"/>
          <w:sz w:val="24"/>
          <w:szCs w:val="24"/>
        </w:rPr>
        <w:t>The State should provide families of children with disabilities with counselling, financial assistance, and respite care to help them integrate their children into society.</w:t>
      </w:r>
    </w:p>
    <w:p w14:paraId="2CBC7041" w14:textId="77777777" w:rsidR="00031F03" w:rsidRDefault="00000000">
      <w:pPr>
        <w:pStyle w:val="NoSpacing"/>
        <w:numPr>
          <w:ilvl w:val="0"/>
          <w:numId w:val="7"/>
        </w:numPr>
        <w:spacing w:line="360" w:lineRule="auto"/>
        <w:jc w:val="both"/>
        <w:rPr>
          <w:rFonts w:ascii="Tw Cen MT" w:hAnsi="Tw Cen MT"/>
          <w:sz w:val="24"/>
          <w:szCs w:val="24"/>
        </w:rPr>
      </w:pPr>
      <w:r>
        <w:rPr>
          <w:rFonts w:ascii="Tw Cen MT" w:hAnsi="Tw Cen MT"/>
          <w:sz w:val="24"/>
          <w:szCs w:val="24"/>
        </w:rPr>
        <w:t>The State should ensure children with disabilities have access to quality inclusive education with necessary accommodations and support services. And create and promote accessible recreational facilities and programmes for children with disabilities.</w:t>
      </w:r>
    </w:p>
    <w:p w14:paraId="542B2CB4" w14:textId="77777777" w:rsidR="00031F03" w:rsidRDefault="00000000">
      <w:pPr>
        <w:pStyle w:val="ListParagraph"/>
        <w:numPr>
          <w:ilvl w:val="0"/>
          <w:numId w:val="7"/>
        </w:numPr>
        <w:spacing w:line="360" w:lineRule="auto"/>
        <w:jc w:val="both"/>
        <w:rPr>
          <w:rFonts w:ascii="Tw Cen MT" w:hAnsi="Tw Cen MT" w:cs="Times New Roman"/>
          <w:sz w:val="24"/>
          <w:szCs w:val="24"/>
        </w:rPr>
      </w:pPr>
      <w:r>
        <w:rPr>
          <w:rFonts w:ascii="Tw Cen MT" w:hAnsi="Tw Cen MT"/>
          <w:sz w:val="24"/>
          <w:szCs w:val="24"/>
        </w:rPr>
        <w:t>The State should launch a comprehensive, nationwide campaign aimed at educating the public about disabilities, emphasizing that children with disabilities are not “spirit children” or bad omens and highlighting stories of successful persons with disabilities to challenge negative stereotypes.</w:t>
      </w:r>
    </w:p>
    <w:p w14:paraId="175EE3FD" w14:textId="77777777" w:rsidR="00031F03" w:rsidRDefault="00000000">
      <w:pPr>
        <w:pStyle w:val="ListParagraph"/>
        <w:numPr>
          <w:ilvl w:val="0"/>
          <w:numId w:val="7"/>
        </w:numPr>
        <w:spacing w:line="360" w:lineRule="auto"/>
        <w:jc w:val="both"/>
        <w:rPr>
          <w:rStyle w:val="NoSpacingChar"/>
          <w:rFonts w:ascii="Tw Cen MT" w:hAnsi="Tw Cen MT" w:cs="Times New Roman"/>
          <w:kern w:val="2"/>
          <w:sz w:val="24"/>
          <w:szCs w:val="24"/>
          <w:lang w:eastAsia="en-GB"/>
          <w14:ligatures w14:val="standardContextual"/>
        </w:rPr>
      </w:pPr>
      <w:r>
        <w:rPr>
          <w:rFonts w:ascii="Tw Cen MT" w:hAnsi="Tw Cen MT"/>
          <w:sz w:val="24"/>
          <w:szCs w:val="24"/>
        </w:rPr>
        <w:t>Revise the current Persons with Disabilities Bill to ensure that the bill aligns with the CRPD's principles, promoting equality, non-discrimination, and the best interests of children with disabilities.</w:t>
      </w:r>
    </w:p>
    <w:p w14:paraId="2E5D1849" w14:textId="77777777" w:rsidR="00031F03" w:rsidRDefault="00031F03">
      <w:pPr>
        <w:spacing w:line="360" w:lineRule="auto"/>
        <w:jc w:val="both"/>
        <w:rPr>
          <w:rFonts w:ascii="Tw Cen MT" w:hAnsi="Tw Cen MT" w:cs="Times New Roman"/>
          <w:sz w:val="24"/>
          <w:szCs w:val="24"/>
        </w:rPr>
      </w:pPr>
    </w:p>
    <w:p w14:paraId="447964E9" w14:textId="77777777" w:rsidR="00031F03" w:rsidRDefault="00000000">
      <w:pPr>
        <w:pStyle w:val="Heading1"/>
        <w:rPr>
          <w:rFonts w:ascii="Tw Cen MT" w:hAnsi="Tw Cen MT"/>
          <w:b/>
          <w:bCs/>
          <w:color w:val="auto"/>
          <w:sz w:val="24"/>
          <w:szCs w:val="24"/>
        </w:rPr>
      </w:pPr>
      <w:bookmarkStart w:id="8" w:name="_Toc171581980"/>
      <w:r>
        <w:rPr>
          <w:rFonts w:ascii="Tw Cen MT" w:hAnsi="Tw Cen MT"/>
          <w:b/>
          <w:bCs/>
          <w:color w:val="auto"/>
          <w:sz w:val="24"/>
          <w:szCs w:val="24"/>
        </w:rPr>
        <w:t>Article 8: Awareness Raising</w:t>
      </w:r>
      <w:bookmarkEnd w:id="8"/>
      <w:r>
        <w:rPr>
          <w:rFonts w:ascii="Tw Cen MT" w:hAnsi="Tw Cen MT"/>
          <w:b/>
          <w:bCs/>
          <w:color w:val="auto"/>
          <w:sz w:val="24"/>
          <w:szCs w:val="24"/>
        </w:rPr>
        <w:t xml:space="preserve"> </w:t>
      </w:r>
    </w:p>
    <w:p w14:paraId="002127EC" w14:textId="77777777" w:rsidR="00031F03" w:rsidRDefault="00031F03"/>
    <w:p w14:paraId="13054415"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8.1 Ghana co-hosting the 2022 Global Disability Summit with Norway reiterated commitments to disability inclusion. This included raising awareness to combat stigma, discrimination and promote inclusion. </w:t>
      </w:r>
    </w:p>
    <w:p w14:paraId="4C1187B6"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8.2. Despite commitments, the government has not initiated specific awareness programmes on disability or improved the positive portrayal of persons with disabilities through media channels. The National Commission for Civic Education (NCCE) has not rolled out any targeted awareness campaigns.  </w:t>
      </w:r>
    </w:p>
    <w:p w14:paraId="57902E29" w14:textId="77777777" w:rsidR="00031F03" w:rsidRDefault="00000000">
      <w:pPr>
        <w:pStyle w:val="NoSpacing"/>
        <w:spacing w:line="360" w:lineRule="auto"/>
        <w:jc w:val="both"/>
        <w:rPr>
          <w:rFonts w:ascii="Tw Cen MT" w:hAnsi="Tw Cen MT"/>
          <w:sz w:val="24"/>
          <w:szCs w:val="24"/>
        </w:rPr>
      </w:pPr>
      <w:r>
        <w:rPr>
          <w:rFonts w:ascii="Tw Cen MT" w:hAnsi="Tw Cen MT" w:cs="Times New Roman"/>
          <w:sz w:val="24"/>
          <w:szCs w:val="24"/>
        </w:rPr>
        <w:t xml:space="preserve">8.3. </w:t>
      </w:r>
      <w:r>
        <w:rPr>
          <w:rFonts w:ascii="Tw Cen MT" w:hAnsi="Tw Cen MT"/>
          <w:sz w:val="24"/>
          <w:szCs w:val="24"/>
        </w:rPr>
        <w:t>The private sector and state-owned media occasionally provide free or discounted airtime to disability rights advocates and organizations. However, disability issues generally do not receive adequate attention as part of the public agenda in mainstream media.</w:t>
      </w:r>
    </w:p>
    <w:p w14:paraId="5147AD2A" w14:textId="77777777" w:rsidR="00031F03" w:rsidRDefault="00000000">
      <w:pPr>
        <w:pStyle w:val="NoSpacing"/>
        <w:spacing w:line="360" w:lineRule="auto"/>
        <w:jc w:val="both"/>
        <w:rPr>
          <w:rFonts w:ascii="Tw Cen MT" w:hAnsi="Tw Cen MT"/>
          <w:sz w:val="24"/>
          <w:szCs w:val="24"/>
        </w:rPr>
      </w:pPr>
      <w:r>
        <w:rPr>
          <w:rFonts w:ascii="Tw Cen MT" w:hAnsi="Tw Cen MT" w:cs="Times New Roman"/>
          <w:sz w:val="24"/>
          <w:szCs w:val="24"/>
        </w:rPr>
        <w:t xml:space="preserve">8.4. </w:t>
      </w:r>
      <w:r>
        <w:rPr>
          <w:rFonts w:ascii="Tw Cen MT" w:hAnsi="Tw Cen MT"/>
          <w:sz w:val="24"/>
          <w:szCs w:val="24"/>
        </w:rPr>
        <w:t>Some television stations offer sign language services during news broadcasts and major national events. However, no national policy or action plan is mandating or supporting these efforts.</w:t>
      </w:r>
    </w:p>
    <w:p w14:paraId="45CB0F08" w14:textId="77777777" w:rsidR="00031F03" w:rsidRDefault="00000000">
      <w:pPr>
        <w:pStyle w:val="NoSpacing"/>
        <w:spacing w:line="360" w:lineRule="auto"/>
        <w:jc w:val="both"/>
        <w:rPr>
          <w:rFonts w:ascii="Tw Cen MT" w:hAnsi="Tw Cen MT"/>
          <w:sz w:val="24"/>
          <w:szCs w:val="24"/>
        </w:rPr>
      </w:pPr>
      <w:r>
        <w:rPr>
          <w:rFonts w:ascii="Tw Cen MT" w:hAnsi="Tw Cen MT" w:cs="Times New Roman"/>
          <w:sz w:val="24"/>
          <w:szCs w:val="24"/>
        </w:rPr>
        <w:t xml:space="preserve">8.5. </w:t>
      </w:r>
      <w:r>
        <w:rPr>
          <w:rFonts w:ascii="Tw Cen MT" w:hAnsi="Tw Cen MT"/>
          <w:sz w:val="24"/>
          <w:szCs w:val="24"/>
        </w:rPr>
        <w:t>There remains a limited understanding of disability rights and human rights approaches among institutions and individuals in Ghana. Many still adhere to charity and medical models of disability, perpetuating discrimination and stigma against persons with disabilities.</w:t>
      </w:r>
    </w:p>
    <w:p w14:paraId="1A0C7987" w14:textId="77777777" w:rsidR="00031F03" w:rsidRDefault="00031F03">
      <w:pPr>
        <w:spacing w:line="360" w:lineRule="auto"/>
        <w:jc w:val="both"/>
        <w:rPr>
          <w:rFonts w:ascii="Tw Cen MT" w:hAnsi="Tw Cen MT" w:cs="Times New Roman"/>
          <w:sz w:val="24"/>
          <w:szCs w:val="24"/>
        </w:rPr>
      </w:pPr>
    </w:p>
    <w:p w14:paraId="6B9EFECA" w14:textId="77777777" w:rsidR="00031F03" w:rsidRDefault="00031F03">
      <w:pPr>
        <w:pStyle w:val="NoSpacing"/>
        <w:rPr>
          <w:rFonts w:ascii="Tw Cen MT" w:hAnsi="Tw Cen MT"/>
          <w:b/>
          <w:bCs/>
          <w:sz w:val="24"/>
          <w:szCs w:val="24"/>
        </w:rPr>
      </w:pPr>
    </w:p>
    <w:p w14:paraId="4DA187EA" w14:textId="77777777" w:rsidR="00031F03" w:rsidRDefault="00031F03">
      <w:pPr>
        <w:pStyle w:val="NoSpacing"/>
        <w:rPr>
          <w:rFonts w:ascii="Tw Cen MT" w:hAnsi="Tw Cen MT"/>
          <w:b/>
          <w:bCs/>
          <w:sz w:val="24"/>
          <w:szCs w:val="24"/>
        </w:rPr>
      </w:pPr>
    </w:p>
    <w:p w14:paraId="48E7F1A7" w14:textId="77777777" w:rsidR="00031F03" w:rsidRDefault="00000000">
      <w:pPr>
        <w:pStyle w:val="NoSpacing"/>
        <w:rPr>
          <w:rFonts w:ascii="Tw Cen MT" w:hAnsi="Tw Cen MT"/>
          <w:b/>
          <w:bCs/>
          <w:sz w:val="24"/>
          <w:szCs w:val="24"/>
        </w:rPr>
      </w:pPr>
      <w:r>
        <w:rPr>
          <w:rFonts w:ascii="Tw Cen MT" w:hAnsi="Tw Cen MT"/>
          <w:b/>
          <w:bCs/>
          <w:sz w:val="24"/>
          <w:szCs w:val="24"/>
        </w:rPr>
        <w:t>Proposed Recommendations</w:t>
      </w:r>
    </w:p>
    <w:p w14:paraId="052E5EC0" w14:textId="77777777" w:rsidR="00031F03" w:rsidRDefault="00031F03"/>
    <w:p w14:paraId="5EF59F60" w14:textId="77777777" w:rsidR="00031F03" w:rsidRDefault="00000000">
      <w:pPr>
        <w:pStyle w:val="ListParagraph"/>
        <w:numPr>
          <w:ilvl w:val="0"/>
          <w:numId w:val="8"/>
        </w:numPr>
        <w:spacing w:line="360" w:lineRule="auto"/>
        <w:ind w:left="709" w:hanging="283"/>
        <w:jc w:val="both"/>
        <w:rPr>
          <w:rFonts w:ascii="Tw Cen MT" w:hAnsi="Tw Cen MT" w:cs="Times New Roman"/>
          <w:sz w:val="24"/>
          <w:szCs w:val="24"/>
        </w:rPr>
      </w:pPr>
      <w:r>
        <w:rPr>
          <w:rFonts w:ascii="Tw Cen MT" w:hAnsi="Tw Cen MT"/>
          <w:sz w:val="24"/>
          <w:szCs w:val="24"/>
        </w:rPr>
        <w:t>The State should develop and implement nationwide awareness programmes to combat stigma and discrimination against persons with disabilities, building on the commitments made during the 2022 Global Disability Summit.</w:t>
      </w:r>
    </w:p>
    <w:p w14:paraId="0FF0057D" w14:textId="77777777" w:rsidR="00031F03" w:rsidRDefault="00000000">
      <w:pPr>
        <w:pStyle w:val="ListParagraph"/>
        <w:numPr>
          <w:ilvl w:val="0"/>
          <w:numId w:val="8"/>
        </w:numPr>
        <w:spacing w:line="360" w:lineRule="auto"/>
        <w:ind w:left="709" w:hanging="283"/>
        <w:jc w:val="both"/>
        <w:rPr>
          <w:rFonts w:ascii="Tw Cen MT" w:hAnsi="Tw Cen MT" w:cs="Times New Roman"/>
          <w:sz w:val="24"/>
          <w:szCs w:val="24"/>
        </w:rPr>
      </w:pPr>
      <w:r>
        <w:rPr>
          <w:rFonts w:ascii="Tw Cen MT" w:hAnsi="Tw Cen MT"/>
          <w:sz w:val="24"/>
          <w:szCs w:val="24"/>
        </w:rPr>
        <w:t>The State should work with the National Commission for Civic Education (NCCE) to launch targeted awareness campaigns that promote the positive portrayal of persons with disabilities across various media channels.</w:t>
      </w:r>
    </w:p>
    <w:p w14:paraId="060F3733" w14:textId="77777777" w:rsidR="00031F03" w:rsidRDefault="00000000">
      <w:pPr>
        <w:pStyle w:val="ListParagraph"/>
        <w:numPr>
          <w:ilvl w:val="0"/>
          <w:numId w:val="8"/>
        </w:numPr>
        <w:spacing w:line="360" w:lineRule="auto"/>
        <w:ind w:left="709" w:hanging="283"/>
        <w:jc w:val="both"/>
        <w:rPr>
          <w:rFonts w:ascii="Tw Cen MT" w:hAnsi="Tw Cen MT" w:cs="Times New Roman"/>
          <w:sz w:val="24"/>
          <w:szCs w:val="24"/>
        </w:rPr>
      </w:pPr>
      <w:r>
        <w:rPr>
          <w:rFonts w:ascii="Tw Cen MT" w:hAnsi="Tw Cen MT"/>
          <w:sz w:val="24"/>
          <w:szCs w:val="24"/>
        </w:rPr>
        <w:t>Encourage and incentivize the private sector and state-owned media to regularly feature disability issues as part of the public agenda, ensuring consistent coverage and support for disability rights advocates and organizations.</w:t>
      </w:r>
    </w:p>
    <w:p w14:paraId="10C54824" w14:textId="77777777" w:rsidR="00031F03" w:rsidRDefault="00000000">
      <w:pPr>
        <w:pStyle w:val="ListParagraph"/>
        <w:numPr>
          <w:ilvl w:val="0"/>
          <w:numId w:val="8"/>
        </w:numPr>
        <w:spacing w:line="360" w:lineRule="auto"/>
        <w:ind w:left="709" w:hanging="283"/>
        <w:jc w:val="both"/>
        <w:rPr>
          <w:rFonts w:ascii="Tw Cen MT" w:hAnsi="Tw Cen MT" w:cs="Times New Roman"/>
          <w:sz w:val="24"/>
          <w:szCs w:val="24"/>
        </w:rPr>
      </w:pPr>
      <w:r>
        <w:rPr>
          <w:rFonts w:ascii="Tw Cen MT" w:hAnsi="Tw Cen MT"/>
          <w:sz w:val="24"/>
          <w:szCs w:val="24"/>
        </w:rPr>
        <w:t>Establish a national policy mandating sign language service during news broadcasts and major national events and provide support to television stations to implement these services.</w:t>
      </w:r>
    </w:p>
    <w:p w14:paraId="7B6D51C9" w14:textId="77777777" w:rsidR="00031F03" w:rsidRDefault="00000000">
      <w:pPr>
        <w:pStyle w:val="ListParagraph"/>
        <w:numPr>
          <w:ilvl w:val="0"/>
          <w:numId w:val="8"/>
        </w:numPr>
        <w:spacing w:line="360" w:lineRule="auto"/>
        <w:ind w:left="709" w:hanging="283"/>
        <w:jc w:val="both"/>
        <w:rPr>
          <w:rFonts w:ascii="Tw Cen MT" w:hAnsi="Tw Cen MT" w:cs="Times New Roman"/>
          <w:sz w:val="24"/>
          <w:szCs w:val="24"/>
        </w:rPr>
      </w:pPr>
      <w:r>
        <w:rPr>
          <w:rFonts w:ascii="Tw Cen MT" w:hAnsi="Tw Cen MT"/>
          <w:sz w:val="24"/>
          <w:szCs w:val="24"/>
        </w:rPr>
        <w:t>Conduct comprehensive training programmes on disability rights and human rights approaches for institutions and individuals, moving away from charity and medical models to promote inclusion and respect for persons with disabilities.</w:t>
      </w:r>
    </w:p>
    <w:p w14:paraId="2BE77B84" w14:textId="77777777" w:rsidR="00031F03" w:rsidRDefault="00031F03"/>
    <w:p w14:paraId="6A7A3537" w14:textId="77777777" w:rsidR="00031F03" w:rsidRDefault="00000000">
      <w:pPr>
        <w:pStyle w:val="Heading1"/>
        <w:rPr>
          <w:rFonts w:ascii="Tw Cen MT" w:hAnsi="Tw Cen MT"/>
          <w:b/>
          <w:bCs/>
          <w:color w:val="auto"/>
          <w:sz w:val="24"/>
          <w:szCs w:val="24"/>
        </w:rPr>
      </w:pPr>
      <w:bookmarkStart w:id="9" w:name="_Toc171581981"/>
      <w:r>
        <w:rPr>
          <w:rFonts w:ascii="Tw Cen MT" w:hAnsi="Tw Cen MT"/>
          <w:b/>
          <w:bCs/>
          <w:color w:val="auto"/>
          <w:sz w:val="24"/>
          <w:szCs w:val="24"/>
        </w:rPr>
        <w:t>Article 9 Accessibility</w:t>
      </w:r>
      <w:bookmarkEnd w:id="9"/>
      <w:r>
        <w:rPr>
          <w:rFonts w:ascii="Tw Cen MT" w:hAnsi="Tw Cen MT"/>
          <w:b/>
          <w:bCs/>
          <w:color w:val="auto"/>
          <w:sz w:val="24"/>
          <w:szCs w:val="24"/>
        </w:rPr>
        <w:t xml:space="preserve"> </w:t>
      </w:r>
    </w:p>
    <w:p w14:paraId="6D587D02" w14:textId="77777777" w:rsidR="00031F03" w:rsidRDefault="00031F03">
      <w:pPr>
        <w:pStyle w:val="NoSpacing"/>
        <w:rPr>
          <w:rFonts w:ascii="Tw Cen MT" w:hAnsi="Tw Cen MT"/>
        </w:rPr>
      </w:pPr>
    </w:p>
    <w:p w14:paraId="76C0A37E" w14:textId="77777777" w:rsidR="00031F03" w:rsidRDefault="00000000">
      <w:pPr>
        <w:pStyle w:val="NoSpacing"/>
        <w:spacing w:line="360" w:lineRule="auto"/>
        <w:jc w:val="both"/>
        <w:rPr>
          <w:rFonts w:ascii="Tw Cen MT" w:hAnsi="Tw Cen MT"/>
          <w:sz w:val="24"/>
          <w:szCs w:val="24"/>
        </w:rPr>
      </w:pPr>
      <w:r>
        <w:rPr>
          <w:rStyle w:val="Strong"/>
          <w:rFonts w:ascii="Tw Cen MT" w:hAnsi="Tw Cen MT"/>
          <w:b w:val="0"/>
          <w:bCs w:val="0"/>
          <w:sz w:val="24"/>
          <w:szCs w:val="24"/>
        </w:rPr>
        <w:t>9.1.</w:t>
      </w:r>
      <w:r>
        <w:rPr>
          <w:rFonts w:ascii="Tw Cen MT" w:hAnsi="Tw Cen MT"/>
          <w:sz w:val="24"/>
          <w:szCs w:val="24"/>
        </w:rPr>
        <w:t xml:space="preserve"> In 2016, Ghana launched the Ghana Accessibility Standards for the Built Environment (GASB) to ensure physical accessibility for persons with disabilities. Despite these measures, the standards have not been effectively enforced, and public buildings remain largely inaccessible. This lack of compliance is partly due to limited awareness and understanding of disability inclusion among state and private entities. Moreover, the GASB are not freely available; building contractors and engineers must purchase them at a high cost, which discourages adherence. The new Persons with Disabilities Bill 2024 does not address these issues, failing to provide free access to the standards or promote awareness to encourage compliance.</w:t>
      </w:r>
    </w:p>
    <w:p w14:paraId="574D1D05" w14:textId="77777777" w:rsidR="00031F03" w:rsidRDefault="00000000">
      <w:pPr>
        <w:pStyle w:val="NoSpacing"/>
        <w:spacing w:line="360" w:lineRule="auto"/>
        <w:jc w:val="both"/>
        <w:rPr>
          <w:rFonts w:ascii="Tw Cen MT" w:hAnsi="Tw Cen MT"/>
          <w:sz w:val="24"/>
          <w:szCs w:val="24"/>
        </w:rPr>
      </w:pPr>
      <w:r>
        <w:rPr>
          <w:rStyle w:val="Strong"/>
          <w:rFonts w:ascii="Tw Cen MT" w:hAnsi="Tw Cen MT"/>
          <w:b w:val="0"/>
          <w:bCs w:val="0"/>
          <w:sz w:val="24"/>
          <w:szCs w:val="24"/>
        </w:rPr>
        <w:t>9.2.</w:t>
      </w:r>
      <w:r>
        <w:rPr>
          <w:rFonts w:ascii="Tw Cen MT" w:hAnsi="Tw Cen MT"/>
          <w:sz w:val="24"/>
          <w:szCs w:val="24"/>
        </w:rPr>
        <w:t xml:space="preserve"> Access to information and communication technologies and public services is difficult for persons with disabilities in both urban and rural areas of Ghana. There have been no significant efforts to remove these barriers, preventing equal access to essential services.</w:t>
      </w:r>
    </w:p>
    <w:p w14:paraId="445F3995" w14:textId="77777777" w:rsidR="00031F03" w:rsidRDefault="00000000">
      <w:pPr>
        <w:pStyle w:val="NoSpacing"/>
        <w:spacing w:line="360" w:lineRule="auto"/>
        <w:jc w:val="both"/>
        <w:rPr>
          <w:rFonts w:ascii="Tw Cen MT" w:hAnsi="Tw Cen MT"/>
          <w:sz w:val="24"/>
          <w:szCs w:val="24"/>
        </w:rPr>
      </w:pPr>
      <w:r>
        <w:rPr>
          <w:rStyle w:val="Strong"/>
          <w:rFonts w:ascii="Tw Cen MT" w:hAnsi="Tw Cen MT"/>
          <w:b w:val="0"/>
          <w:bCs w:val="0"/>
          <w:sz w:val="24"/>
          <w:szCs w:val="24"/>
        </w:rPr>
        <w:t>9.3.</w:t>
      </w:r>
      <w:r>
        <w:rPr>
          <w:rFonts w:ascii="Tw Cen MT" w:hAnsi="Tw Cen MT"/>
          <w:sz w:val="24"/>
          <w:szCs w:val="24"/>
        </w:rPr>
        <w:t xml:space="preserve"> In education, school buildings across Ghana are generally inaccessible to persons with disabilities, lacking the necessary features for accessibility. Teaching materials are not produced in alternative formats to accommodate all disabilities. Despite Ghana's ratification of the </w:t>
      </w:r>
      <w:r>
        <w:rPr>
          <w:rFonts w:ascii="Tw Cen MT" w:hAnsi="Tw Cen MT"/>
          <w:sz w:val="24"/>
          <w:szCs w:val="24"/>
        </w:rPr>
        <w:lastRenderedPageBreak/>
        <w:t>Marrakesh Treaty, which facilitates access to published works for persons with print disabilities, its application is not being realized.</w:t>
      </w:r>
    </w:p>
    <w:p w14:paraId="1430F122" w14:textId="77777777" w:rsidR="00031F03" w:rsidRDefault="00000000">
      <w:pPr>
        <w:pStyle w:val="NoSpacing"/>
        <w:spacing w:line="360" w:lineRule="auto"/>
        <w:jc w:val="both"/>
        <w:rPr>
          <w:rFonts w:ascii="Tw Cen MT" w:hAnsi="Tw Cen MT"/>
          <w:sz w:val="24"/>
          <w:szCs w:val="24"/>
        </w:rPr>
      </w:pPr>
      <w:r>
        <w:rPr>
          <w:rStyle w:val="Strong"/>
          <w:rFonts w:ascii="Tw Cen MT" w:hAnsi="Tw Cen MT"/>
          <w:b w:val="0"/>
          <w:bCs w:val="0"/>
          <w:sz w:val="24"/>
          <w:szCs w:val="24"/>
        </w:rPr>
        <w:t>9.4.</w:t>
      </w:r>
      <w:r>
        <w:rPr>
          <w:rFonts w:ascii="Tw Cen MT" w:hAnsi="Tw Cen MT"/>
          <w:sz w:val="24"/>
          <w:szCs w:val="24"/>
        </w:rPr>
        <w:t xml:space="preserve"> Accessibility to roads and transportation poses significant challenges to the participation of persons with disabilities in Ghanaian society. Roads are often unsafe and inaccessible to blind, partially sighted, and deaf-blind individuals due to the absence of tactile pathways and other necessary features. Public and private transport systems also remain largely inaccessible, with instances where drivers refuse to transport persons with disabilities.</w:t>
      </w:r>
    </w:p>
    <w:p w14:paraId="349F5D53" w14:textId="77777777" w:rsidR="00031F03" w:rsidRDefault="00000000">
      <w:pPr>
        <w:pStyle w:val="NoSpacing"/>
        <w:spacing w:line="360" w:lineRule="auto"/>
        <w:jc w:val="both"/>
        <w:rPr>
          <w:rFonts w:ascii="Tw Cen MT" w:hAnsi="Tw Cen MT"/>
          <w:sz w:val="24"/>
          <w:szCs w:val="24"/>
        </w:rPr>
      </w:pPr>
      <w:r>
        <w:rPr>
          <w:rStyle w:val="Strong"/>
          <w:rFonts w:ascii="Tw Cen MT" w:hAnsi="Tw Cen MT"/>
          <w:b w:val="0"/>
          <w:bCs w:val="0"/>
          <w:sz w:val="24"/>
          <w:szCs w:val="24"/>
        </w:rPr>
        <w:t>9.5.</w:t>
      </w:r>
      <w:r>
        <w:rPr>
          <w:rFonts w:ascii="Tw Cen MT" w:hAnsi="Tw Cen MT"/>
          <w:sz w:val="24"/>
          <w:szCs w:val="24"/>
        </w:rPr>
        <w:t xml:space="preserve"> Section 6 of Ghana's Disability Act 715 requires public buildings to be accessible, with a ten-year compliance period outlined in Section 60. Despite this, both public and private developers have largely ignored these requirements, even after the moratorium expired eight years ago. The government failed to define sanctions, enforce compliance, or effectively monitor adherence to accessibility standards in Act 715. Although the new Persons with Disability Act 2024 establishes some sanctions [sections 39(3)(4)(5)], there is skepticism about enforcement, given the lack of prosecutions under the current Act 715.</w:t>
      </w:r>
    </w:p>
    <w:p w14:paraId="60CC06ED" w14:textId="77777777" w:rsidR="00031F03" w:rsidRDefault="00000000">
      <w:pPr>
        <w:pStyle w:val="NoSpacing"/>
        <w:spacing w:line="360" w:lineRule="auto"/>
        <w:jc w:val="both"/>
        <w:rPr>
          <w:rFonts w:ascii="Tw Cen MT" w:hAnsi="Tw Cen MT"/>
          <w:sz w:val="24"/>
          <w:szCs w:val="24"/>
        </w:rPr>
      </w:pPr>
      <w:r>
        <w:rPr>
          <w:rStyle w:val="Strong"/>
          <w:rFonts w:ascii="Tw Cen MT" w:hAnsi="Tw Cen MT"/>
          <w:b w:val="0"/>
          <w:bCs w:val="0"/>
          <w:sz w:val="24"/>
          <w:szCs w:val="24"/>
        </w:rPr>
        <w:t>9.6.</w:t>
      </w:r>
      <w:r>
        <w:rPr>
          <w:rFonts w:ascii="Tw Cen MT" w:hAnsi="Tw Cen MT"/>
          <w:sz w:val="24"/>
          <w:szCs w:val="24"/>
        </w:rPr>
        <w:t xml:space="preserve"> The government's Agenda 111 initiative aims to construct and renovate one hundred and eleven (111) hospitals, purportedly ensuring accessibility for persons with disabilities. However, organizations of persons with disabilities (OPDs) have faced challenges accessing the plan and remain uncertain about the accessibility of these facilities.</w:t>
      </w:r>
    </w:p>
    <w:p w14:paraId="0E32A0C5" w14:textId="77777777" w:rsidR="00031F03" w:rsidRDefault="00031F03">
      <w:pPr>
        <w:spacing w:line="360" w:lineRule="auto"/>
        <w:jc w:val="both"/>
        <w:rPr>
          <w:rFonts w:ascii="Tw Cen MT" w:hAnsi="Tw Cen MT" w:cs="Times New Roman"/>
          <w:sz w:val="24"/>
          <w:szCs w:val="24"/>
        </w:rPr>
      </w:pPr>
    </w:p>
    <w:p w14:paraId="474E63E8" w14:textId="77777777" w:rsidR="00031F03" w:rsidRDefault="00000000">
      <w:pPr>
        <w:pStyle w:val="NoSpacing"/>
        <w:rPr>
          <w:rFonts w:ascii="Tw Cen MT" w:hAnsi="Tw Cen MT"/>
          <w:b/>
          <w:bCs/>
          <w:sz w:val="24"/>
          <w:szCs w:val="24"/>
          <w:lang w:val="en-GB"/>
        </w:rPr>
      </w:pPr>
      <w:bookmarkStart w:id="10" w:name="_Toc90117928"/>
      <w:bookmarkStart w:id="11" w:name="_Toc95038740"/>
      <w:r>
        <w:rPr>
          <w:rFonts w:ascii="Tw Cen MT" w:hAnsi="Tw Cen MT"/>
          <w:b/>
          <w:bCs/>
          <w:sz w:val="24"/>
          <w:szCs w:val="24"/>
          <w:lang w:val="en-GB"/>
        </w:rPr>
        <w:t xml:space="preserve">Proposed Recommendations </w:t>
      </w:r>
      <w:bookmarkEnd w:id="10"/>
      <w:bookmarkEnd w:id="11"/>
    </w:p>
    <w:p w14:paraId="255B99EB" w14:textId="77777777" w:rsidR="00031F03" w:rsidRDefault="00031F03">
      <w:pPr>
        <w:rPr>
          <w:rFonts w:ascii="Tw Cen MT" w:hAnsi="Tw Cen MT"/>
          <w:lang w:val="en-GB"/>
        </w:rPr>
      </w:pPr>
    </w:p>
    <w:p w14:paraId="462C8FA8" w14:textId="77777777" w:rsidR="00031F03" w:rsidRDefault="00000000">
      <w:pPr>
        <w:pStyle w:val="NoSpacing"/>
        <w:numPr>
          <w:ilvl w:val="0"/>
          <w:numId w:val="9"/>
        </w:numPr>
        <w:spacing w:line="360" w:lineRule="auto"/>
        <w:jc w:val="both"/>
        <w:rPr>
          <w:rFonts w:ascii="Tw Cen MT" w:hAnsi="Tw Cen MT"/>
          <w:sz w:val="24"/>
          <w:szCs w:val="24"/>
        </w:rPr>
      </w:pPr>
      <w:r>
        <w:rPr>
          <w:rFonts w:ascii="Tw Cen MT" w:hAnsi="Tw Cen MT"/>
          <w:sz w:val="24"/>
          <w:szCs w:val="24"/>
        </w:rPr>
        <w:t xml:space="preserve">The State should make the GASB freely available online and in physical formats to all stakeholders, including contractors and building engineers and implement comprehensive awareness campaigns and training programmes to educate state and private entities on the importance of disability inclusion and the requirements of the GASB. </w:t>
      </w:r>
    </w:p>
    <w:p w14:paraId="368FFE38" w14:textId="77777777" w:rsidR="00031F03" w:rsidRDefault="00000000">
      <w:pPr>
        <w:pStyle w:val="NoSpacing"/>
        <w:numPr>
          <w:ilvl w:val="0"/>
          <w:numId w:val="9"/>
        </w:numPr>
        <w:spacing w:line="360" w:lineRule="auto"/>
        <w:jc w:val="both"/>
        <w:rPr>
          <w:rFonts w:ascii="Tw Cen MT" w:hAnsi="Tw Cen MT"/>
          <w:sz w:val="24"/>
          <w:szCs w:val="24"/>
        </w:rPr>
      </w:pPr>
      <w:r>
        <w:rPr>
          <w:rFonts w:ascii="Tw Cen MT" w:hAnsi="Tw Cen MT"/>
          <w:sz w:val="24"/>
          <w:szCs w:val="24"/>
        </w:rPr>
        <w:t>Develop and implement a national strategy to enhance access to information and communication technologies for persons with disabilities. This should include making public service information available in accessible formats such as braille, sign language, easy-to-read, and audio descriptions.</w:t>
      </w:r>
    </w:p>
    <w:p w14:paraId="4D186A2F" w14:textId="77777777" w:rsidR="00031F03" w:rsidRDefault="00000000">
      <w:pPr>
        <w:pStyle w:val="NoSpacing"/>
        <w:numPr>
          <w:ilvl w:val="0"/>
          <w:numId w:val="9"/>
        </w:numPr>
        <w:spacing w:line="360" w:lineRule="auto"/>
        <w:jc w:val="both"/>
        <w:rPr>
          <w:rFonts w:ascii="Tw Cen MT" w:hAnsi="Tw Cen MT"/>
          <w:sz w:val="24"/>
          <w:szCs w:val="24"/>
        </w:rPr>
      </w:pPr>
      <w:r>
        <w:rPr>
          <w:rFonts w:ascii="Tw Cen MT" w:hAnsi="Tw Cen MT"/>
          <w:sz w:val="24"/>
          <w:szCs w:val="24"/>
        </w:rPr>
        <w:t>The State should prioritize making school buildings accessible and inclusive and ensure that teaching materials are produced in alternative formats to accommodate all disabilities. Fully implement the Marrakesh Treaty to facilitate access to published works for persons with print disabilities.</w:t>
      </w:r>
    </w:p>
    <w:p w14:paraId="3CAE5D9F" w14:textId="77777777" w:rsidR="00031F03" w:rsidRDefault="00000000">
      <w:pPr>
        <w:pStyle w:val="NoSpacing"/>
        <w:numPr>
          <w:ilvl w:val="0"/>
          <w:numId w:val="9"/>
        </w:numPr>
        <w:spacing w:line="360" w:lineRule="auto"/>
        <w:jc w:val="both"/>
        <w:rPr>
          <w:rFonts w:ascii="Tw Cen MT" w:hAnsi="Tw Cen MT"/>
          <w:sz w:val="24"/>
          <w:szCs w:val="24"/>
        </w:rPr>
      </w:pPr>
      <w:r>
        <w:rPr>
          <w:rFonts w:ascii="Tw Cen MT" w:hAnsi="Tw Cen MT"/>
          <w:sz w:val="24"/>
          <w:szCs w:val="24"/>
        </w:rPr>
        <w:t xml:space="preserve">The State should develop and enforce regulations to ensure that public and private transport systems are accessible to persons with disabilities. This should include installing tactile </w:t>
      </w:r>
      <w:r>
        <w:rPr>
          <w:rFonts w:ascii="Tw Cen MT" w:hAnsi="Tw Cen MT"/>
          <w:sz w:val="24"/>
          <w:szCs w:val="24"/>
        </w:rPr>
        <w:lastRenderedPageBreak/>
        <w:t>pathways, ramps, and appropriate signage. Transport providers should be trained in accommodating passengers with disabilities.</w:t>
      </w:r>
    </w:p>
    <w:p w14:paraId="084A80B8" w14:textId="77777777" w:rsidR="00031F03" w:rsidRDefault="00000000">
      <w:pPr>
        <w:pStyle w:val="NoSpacing"/>
        <w:numPr>
          <w:ilvl w:val="0"/>
          <w:numId w:val="9"/>
        </w:numPr>
        <w:spacing w:line="360" w:lineRule="auto"/>
        <w:jc w:val="both"/>
        <w:rPr>
          <w:rFonts w:ascii="Tw Cen MT" w:hAnsi="Tw Cen MT"/>
          <w:sz w:val="24"/>
          <w:szCs w:val="24"/>
        </w:rPr>
      </w:pPr>
      <w:r>
        <w:rPr>
          <w:rFonts w:ascii="Tw Cen MT" w:hAnsi="Tw Cen MT"/>
          <w:sz w:val="24"/>
          <w:szCs w:val="24"/>
        </w:rPr>
        <w:t>Strengthen the enforcement of Section 6 of Act 715 by defining clear sanctions and ensuring consistent monitoring and compliance checks. Establish a dedicated task force to oversee adherence to accessibility standards in public buildings.</w:t>
      </w:r>
    </w:p>
    <w:p w14:paraId="2D38D229" w14:textId="77777777" w:rsidR="00031F03" w:rsidRDefault="00000000">
      <w:pPr>
        <w:pStyle w:val="NoSpacing"/>
        <w:numPr>
          <w:ilvl w:val="0"/>
          <w:numId w:val="9"/>
        </w:numPr>
        <w:spacing w:line="360" w:lineRule="auto"/>
        <w:jc w:val="both"/>
        <w:rPr>
          <w:rFonts w:ascii="Tw Cen MT" w:hAnsi="Tw Cen MT"/>
          <w:sz w:val="24"/>
          <w:szCs w:val="24"/>
        </w:rPr>
      </w:pPr>
      <w:r>
        <w:rPr>
          <w:rFonts w:ascii="Tw Cen MT" w:hAnsi="Tw Cen MT"/>
          <w:sz w:val="24"/>
          <w:szCs w:val="24"/>
        </w:rPr>
        <w:t>The State should involve OPDs in the planning and implementation of the Agenda 111 initiative to ensure that the new hospitals and renovated facilities are fully accessible. Provide transparency and regular updates on the accessibility features being incorporated.</w:t>
      </w:r>
    </w:p>
    <w:p w14:paraId="77E33506" w14:textId="77777777" w:rsidR="00031F03" w:rsidRDefault="00031F03">
      <w:pPr>
        <w:spacing w:line="360" w:lineRule="auto"/>
        <w:jc w:val="both"/>
        <w:rPr>
          <w:rFonts w:ascii="Tw Cen MT" w:hAnsi="Tw Cen MT" w:cs="Times New Roman"/>
          <w:b/>
          <w:bCs/>
          <w:sz w:val="24"/>
          <w:szCs w:val="24"/>
        </w:rPr>
      </w:pPr>
    </w:p>
    <w:p w14:paraId="627627FB" w14:textId="77777777" w:rsidR="00031F03" w:rsidRDefault="00000000">
      <w:pPr>
        <w:pStyle w:val="Heading1"/>
        <w:rPr>
          <w:rFonts w:ascii="Tw Cen MT" w:hAnsi="Tw Cen MT"/>
          <w:b/>
          <w:bCs/>
          <w:color w:val="auto"/>
          <w:sz w:val="24"/>
          <w:szCs w:val="24"/>
        </w:rPr>
      </w:pPr>
      <w:bookmarkStart w:id="12" w:name="_Toc171581982"/>
      <w:r>
        <w:rPr>
          <w:rFonts w:ascii="Tw Cen MT" w:hAnsi="Tw Cen MT"/>
          <w:b/>
          <w:bCs/>
          <w:color w:val="auto"/>
          <w:sz w:val="24"/>
          <w:szCs w:val="24"/>
        </w:rPr>
        <w:t>Article 11: Situations of Risk and Humanitarian Emergencies</w:t>
      </w:r>
      <w:bookmarkEnd w:id="12"/>
      <w:r>
        <w:rPr>
          <w:rFonts w:ascii="Tw Cen MT" w:hAnsi="Tw Cen MT"/>
          <w:b/>
          <w:bCs/>
          <w:color w:val="auto"/>
          <w:sz w:val="24"/>
          <w:szCs w:val="24"/>
        </w:rPr>
        <w:t xml:space="preserve"> </w:t>
      </w:r>
    </w:p>
    <w:p w14:paraId="69E8AB50" w14:textId="77777777" w:rsidR="00031F03" w:rsidRDefault="00031F03">
      <w:pPr>
        <w:pStyle w:val="NoSpacing"/>
        <w:rPr>
          <w:rFonts w:ascii="Tw Cen MT" w:hAnsi="Tw Cen MT"/>
          <w:sz w:val="20"/>
          <w:szCs w:val="20"/>
        </w:rPr>
      </w:pPr>
    </w:p>
    <w:p w14:paraId="1E0101D1" w14:textId="77777777" w:rsidR="00031F03" w:rsidRDefault="00000000">
      <w:pPr>
        <w:pStyle w:val="ListParagraph"/>
        <w:numPr>
          <w:ilvl w:val="1"/>
          <w:numId w:val="10"/>
        </w:numPr>
        <w:spacing w:line="360" w:lineRule="auto"/>
        <w:jc w:val="both"/>
        <w:rPr>
          <w:rFonts w:ascii="Tw Cen MT" w:hAnsi="Tw Cen MT" w:cs="Times New Roman"/>
          <w:sz w:val="24"/>
          <w:szCs w:val="24"/>
        </w:rPr>
      </w:pPr>
      <w:r>
        <w:rPr>
          <w:rFonts w:ascii="Tw Cen MT" w:eastAsia="Times New Roman" w:hAnsi="Tw Cen MT"/>
          <w:sz w:val="24"/>
          <w:szCs w:val="24"/>
        </w:rPr>
        <w:t>Ghana enacted the National Disaster Management Organisation (NADMO) Act (Act 927) to manage disaster-affected areas and rehabilitate affected persons. However, it does not address the specific needs of persons with disabilities.</w:t>
      </w:r>
    </w:p>
    <w:p w14:paraId="27AF7C07" w14:textId="77777777" w:rsidR="00031F03" w:rsidRDefault="00000000">
      <w:pPr>
        <w:pStyle w:val="ListParagraph"/>
        <w:numPr>
          <w:ilvl w:val="1"/>
          <w:numId w:val="10"/>
        </w:numPr>
        <w:spacing w:line="360" w:lineRule="auto"/>
        <w:jc w:val="both"/>
        <w:rPr>
          <w:rFonts w:ascii="Tw Cen MT" w:hAnsi="Tw Cen MT" w:cs="Times New Roman"/>
          <w:sz w:val="24"/>
          <w:szCs w:val="24"/>
        </w:rPr>
      </w:pPr>
      <w:r>
        <w:rPr>
          <w:rFonts w:ascii="Tw Cen MT" w:eastAsia="Times New Roman" w:hAnsi="Tw Cen MT"/>
          <w:sz w:val="24"/>
          <w:szCs w:val="24"/>
        </w:rPr>
        <w:t>The National Council on Persons with Disabilities (NCPD) developed and launched guidelines for disability-inclusive disaster risk management in 2023, but these guidelines are yet to be implemented.</w:t>
      </w:r>
    </w:p>
    <w:p w14:paraId="1235EEDD" w14:textId="77777777" w:rsidR="00031F03" w:rsidRDefault="00000000">
      <w:pPr>
        <w:pStyle w:val="ListParagraph"/>
        <w:numPr>
          <w:ilvl w:val="1"/>
          <w:numId w:val="10"/>
        </w:numPr>
        <w:spacing w:line="360" w:lineRule="auto"/>
        <w:jc w:val="both"/>
        <w:rPr>
          <w:rFonts w:ascii="Tw Cen MT" w:hAnsi="Tw Cen MT" w:cs="Times New Roman"/>
          <w:sz w:val="24"/>
          <w:szCs w:val="24"/>
        </w:rPr>
      </w:pPr>
      <w:r>
        <w:rPr>
          <w:rFonts w:ascii="Tw Cen MT" w:eastAsia="Times New Roman" w:hAnsi="Tw Cen MT"/>
          <w:sz w:val="24"/>
          <w:szCs w:val="24"/>
        </w:rPr>
        <w:t>There are no specific measures for persons with disabilities during emergencies. The September 2023 spillage of the Akosombo and Kpong dams displaced 26,000 people, including 1,004 persons with disabilities.</w:t>
      </w:r>
      <w:r>
        <w:rPr>
          <w:rStyle w:val="FootnoteReference"/>
          <w:rFonts w:ascii="Tw Cen MT" w:hAnsi="Tw Cen MT" w:cs="Times New Roman"/>
          <w:sz w:val="24"/>
          <w:szCs w:val="24"/>
        </w:rPr>
        <w:t xml:space="preserve"> </w:t>
      </w:r>
      <w:r>
        <w:rPr>
          <w:rStyle w:val="FootnoteReference"/>
          <w:rFonts w:ascii="Tw Cen MT" w:hAnsi="Tw Cen MT" w:cs="Times New Roman"/>
          <w:sz w:val="24"/>
          <w:szCs w:val="24"/>
        </w:rPr>
        <w:footnoteReference w:id="11"/>
      </w:r>
      <w:r>
        <w:rPr>
          <w:rFonts w:ascii="Tw Cen MT" w:eastAsia="Times New Roman" w:hAnsi="Tw Cen MT"/>
          <w:sz w:val="24"/>
          <w:szCs w:val="24"/>
        </w:rPr>
        <w:t xml:space="preserve"> Before the spillage, emergency alerts were not provided in accessible formats, hindering communication for those with visual, auditory, or cognitive disabilities.</w:t>
      </w:r>
    </w:p>
    <w:p w14:paraId="7852C4F4" w14:textId="77777777" w:rsidR="00031F03" w:rsidRDefault="00000000">
      <w:pPr>
        <w:pStyle w:val="ListParagraph"/>
        <w:numPr>
          <w:ilvl w:val="1"/>
          <w:numId w:val="10"/>
        </w:numPr>
        <w:spacing w:line="360" w:lineRule="auto"/>
        <w:jc w:val="both"/>
        <w:rPr>
          <w:rFonts w:ascii="Tw Cen MT" w:hAnsi="Tw Cen MT" w:cs="Times New Roman"/>
          <w:sz w:val="24"/>
          <w:szCs w:val="24"/>
        </w:rPr>
      </w:pPr>
      <w:r>
        <w:rPr>
          <w:rFonts w:ascii="Tw Cen MT" w:eastAsia="Times New Roman" w:hAnsi="Tw Cen MT"/>
          <w:sz w:val="24"/>
          <w:szCs w:val="24"/>
        </w:rPr>
        <w:t>Persons with disabilities and their representative organizations are not involved in emergency preparedness and response planning, resulting in their specific needs being overlooked.</w:t>
      </w:r>
    </w:p>
    <w:p w14:paraId="1A5ACDFD" w14:textId="77777777" w:rsidR="00031F03" w:rsidRDefault="00031F03">
      <w:pPr>
        <w:pStyle w:val="NoSpacing"/>
        <w:rPr>
          <w:rFonts w:ascii="Tw Cen MT" w:hAnsi="Tw Cen MT"/>
          <w:b/>
          <w:bCs/>
          <w:sz w:val="24"/>
          <w:szCs w:val="24"/>
        </w:rPr>
      </w:pPr>
    </w:p>
    <w:p w14:paraId="289D1471" w14:textId="77777777" w:rsidR="00031F03" w:rsidRDefault="00000000">
      <w:pPr>
        <w:pStyle w:val="NoSpacing"/>
        <w:rPr>
          <w:rFonts w:ascii="Tw Cen MT" w:hAnsi="Tw Cen MT"/>
          <w:b/>
          <w:bCs/>
          <w:sz w:val="24"/>
          <w:szCs w:val="24"/>
        </w:rPr>
      </w:pPr>
      <w:r>
        <w:rPr>
          <w:rFonts w:ascii="Tw Cen MT" w:hAnsi="Tw Cen MT"/>
          <w:b/>
          <w:bCs/>
          <w:sz w:val="24"/>
          <w:szCs w:val="24"/>
        </w:rPr>
        <w:t>Proposed recommendations</w:t>
      </w:r>
    </w:p>
    <w:p w14:paraId="2D25E900" w14:textId="77777777" w:rsidR="00031F03" w:rsidRDefault="00031F03">
      <w:pPr>
        <w:pStyle w:val="NoSpacing"/>
        <w:rPr>
          <w:rFonts w:ascii="Tw Cen MT" w:hAnsi="Tw Cen MT"/>
        </w:rPr>
      </w:pPr>
    </w:p>
    <w:p w14:paraId="22687673" w14:textId="77777777" w:rsidR="00031F03" w:rsidRDefault="00000000">
      <w:pPr>
        <w:pStyle w:val="ListParagraph"/>
        <w:numPr>
          <w:ilvl w:val="0"/>
          <w:numId w:val="6"/>
        </w:numPr>
        <w:spacing w:line="360" w:lineRule="auto"/>
        <w:jc w:val="both"/>
        <w:rPr>
          <w:rFonts w:ascii="Tw Cen MT" w:hAnsi="Tw Cen MT" w:cs="Times New Roman"/>
          <w:sz w:val="24"/>
          <w:szCs w:val="24"/>
        </w:rPr>
      </w:pPr>
      <w:r>
        <w:rPr>
          <w:rFonts w:ascii="Tw Cen MT" w:hAnsi="Tw Cen MT"/>
          <w:sz w:val="24"/>
          <w:szCs w:val="24"/>
        </w:rPr>
        <w:t>The State should amend the NADMO Act 927 to include provisions for the specific needs of persons with disabilities in disaster management and rehabilitation and conduct training for NADMO staff and affiliated organizations on disability inclusion during disasters.</w:t>
      </w:r>
    </w:p>
    <w:p w14:paraId="1C94DE44" w14:textId="77777777" w:rsidR="00031F03" w:rsidRDefault="00000000">
      <w:pPr>
        <w:pStyle w:val="ListParagraph"/>
        <w:numPr>
          <w:ilvl w:val="0"/>
          <w:numId w:val="6"/>
        </w:numPr>
        <w:spacing w:line="360" w:lineRule="auto"/>
        <w:jc w:val="both"/>
        <w:rPr>
          <w:rFonts w:ascii="Tw Cen MT" w:hAnsi="Tw Cen MT" w:cs="Times New Roman"/>
          <w:sz w:val="24"/>
          <w:szCs w:val="24"/>
        </w:rPr>
      </w:pPr>
      <w:r>
        <w:rPr>
          <w:rFonts w:ascii="Tw Cen MT" w:hAnsi="Tw Cen MT"/>
          <w:sz w:val="24"/>
          <w:szCs w:val="24"/>
        </w:rPr>
        <w:t xml:space="preserve">The State should prioritize the immediate implementation of the NCPD's guidelines for disability-inclusive disaster risk management and establish a monitoring and </w:t>
      </w:r>
      <w:r>
        <w:rPr>
          <w:rFonts w:ascii="Tw Cen MT" w:hAnsi="Tw Cen MT"/>
          <w:sz w:val="24"/>
          <w:szCs w:val="24"/>
        </w:rPr>
        <w:lastRenderedPageBreak/>
        <w:t>evaluation framework to track and measure the effectiveness of these guidelines in real-time.</w:t>
      </w:r>
    </w:p>
    <w:p w14:paraId="161F8AEE" w14:textId="77777777" w:rsidR="00031F03" w:rsidRDefault="00000000">
      <w:pPr>
        <w:pStyle w:val="NoSpacing"/>
        <w:numPr>
          <w:ilvl w:val="0"/>
          <w:numId w:val="6"/>
        </w:numPr>
        <w:spacing w:line="360" w:lineRule="auto"/>
        <w:jc w:val="both"/>
        <w:rPr>
          <w:rFonts w:ascii="Tw Cen MT" w:hAnsi="Tw Cen MT"/>
          <w:sz w:val="24"/>
          <w:szCs w:val="24"/>
        </w:rPr>
      </w:pPr>
      <w:r>
        <w:rPr>
          <w:rFonts w:ascii="Tw Cen MT" w:hAnsi="Tw Cen MT"/>
          <w:sz w:val="24"/>
          <w:szCs w:val="24"/>
        </w:rPr>
        <w:t>The State should ensure emergency alerts and instructions are available in accessible formats, including Braille, large print, sign language, audio recordings, and easy-to-read text. Additionally, the State should use technology to develop apps and platforms that provide real-time accessible emergency information and support for persons with disabilities.</w:t>
      </w:r>
    </w:p>
    <w:p w14:paraId="53219717" w14:textId="77777777" w:rsidR="00031F03" w:rsidRDefault="00000000">
      <w:pPr>
        <w:pStyle w:val="ListParagraph"/>
        <w:numPr>
          <w:ilvl w:val="0"/>
          <w:numId w:val="6"/>
        </w:numPr>
        <w:spacing w:line="360" w:lineRule="auto"/>
        <w:jc w:val="both"/>
        <w:rPr>
          <w:rFonts w:ascii="Tw Cen MT" w:hAnsi="Tw Cen MT" w:cs="Times New Roman"/>
          <w:sz w:val="24"/>
          <w:szCs w:val="24"/>
        </w:rPr>
      </w:pPr>
      <w:r>
        <w:rPr>
          <w:rFonts w:ascii="Tw Cen MT" w:hAnsi="Tw Cen MT"/>
          <w:sz w:val="24"/>
          <w:szCs w:val="24"/>
        </w:rPr>
        <w:t>The State should involve persons with disabilities and their representative organizations in all stages of emergency preparedness and response planning, as well as within NADMO and other relevant bodies. And provide training and resources to enhance the participation of representatives of persons with disabilities in emergency planning and response activities.</w:t>
      </w:r>
    </w:p>
    <w:p w14:paraId="4AAE23E6" w14:textId="77777777" w:rsidR="00031F03" w:rsidRDefault="00031F03">
      <w:pPr>
        <w:spacing w:line="360" w:lineRule="auto"/>
        <w:jc w:val="both"/>
        <w:rPr>
          <w:rFonts w:ascii="Tw Cen MT" w:hAnsi="Tw Cen MT" w:cs="Times New Roman"/>
          <w:b/>
          <w:bCs/>
          <w:sz w:val="24"/>
          <w:szCs w:val="24"/>
        </w:rPr>
      </w:pPr>
    </w:p>
    <w:p w14:paraId="15A40087" w14:textId="77777777" w:rsidR="00031F03" w:rsidRDefault="00000000">
      <w:pPr>
        <w:pStyle w:val="Heading1"/>
        <w:rPr>
          <w:rFonts w:ascii="Tw Cen MT" w:hAnsi="Tw Cen MT"/>
          <w:b/>
          <w:bCs/>
          <w:color w:val="auto"/>
          <w:sz w:val="24"/>
          <w:szCs w:val="24"/>
        </w:rPr>
      </w:pPr>
      <w:bookmarkStart w:id="13" w:name="_Toc171581983"/>
      <w:r>
        <w:rPr>
          <w:rFonts w:ascii="Tw Cen MT" w:hAnsi="Tw Cen MT"/>
          <w:b/>
          <w:bCs/>
          <w:color w:val="auto"/>
          <w:sz w:val="24"/>
          <w:szCs w:val="24"/>
        </w:rPr>
        <w:t>Article 12: Equal Recognition Before the Law</w:t>
      </w:r>
      <w:bookmarkEnd w:id="13"/>
    </w:p>
    <w:p w14:paraId="4FB509F1" w14:textId="77777777" w:rsidR="00031F03" w:rsidRDefault="00031F03"/>
    <w:p w14:paraId="6F4B46A7"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12.1. Despite Ghana's ratification of the CRPD, persons with disabilities still face challenges</w:t>
      </w:r>
      <w:r>
        <w:rPr>
          <w:rFonts w:ascii="Tw Cen MT" w:hAnsi="Tw Cen MT" w:cs="Times New Roman"/>
          <w:sz w:val="24"/>
          <w:szCs w:val="24"/>
          <w:vertAlign w:val="superscript"/>
        </w:rPr>
        <w:footnoteReference w:id="12"/>
      </w:r>
      <w:r>
        <w:rPr>
          <w:rFonts w:ascii="Tw Cen MT" w:hAnsi="Tw Cen MT" w:cs="Times New Roman"/>
          <w:sz w:val="24"/>
          <w:szCs w:val="24"/>
        </w:rPr>
        <w:t xml:space="preserve"> in exercising their legal capacity and decision-making autonomy. Discriminatory practices such as guardianship laws and a lack of supported decision-making mechanisms undermine their right to equal recognition before the law. </w:t>
      </w:r>
    </w:p>
    <w:p w14:paraId="49C7767C"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12.2. </w:t>
      </w:r>
      <w:r>
        <w:rPr>
          <w:rFonts w:ascii="Tw Cen MT" w:hAnsi="Tw Cen MT"/>
          <w:sz w:val="24"/>
          <w:szCs w:val="24"/>
        </w:rPr>
        <w:t>In Ghana, legal capacity and decision-making for persons with disabilities are governed by the Mental Health Act of 2012 (Act 846) and the Persons with Disability Act of 2006 (Act 715). However, these laws do not fully align with Article 12 of the CRPD. The proposed Persons with Disability Bill 2024 states in Section 43 (5) that the Commission will regularly review those providing support services to help persons with disabilities exercise legal capacity. The challenge is operationalizing this, as the Commission may not have the details of all service providers, their locations, or their activities.</w:t>
      </w:r>
    </w:p>
    <w:p w14:paraId="04195535"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12.3. Existing Ghanaian law often contains provisions that directly or indirectly restrict the legal capacity of persons with disabilities, particularly persons with psychosocial or intellectual disabilities, based solely on their disability status. It predominantly relies on substitute decision-making mechanisms, such as guardianship and mental health treatment orders, which allow for the appointment of guardians or medical practitioners to make decisions on behalf of persons with psychosocial disabilities deemed incapable. </w:t>
      </w:r>
    </w:p>
    <w:p w14:paraId="5AE683C8"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lastRenderedPageBreak/>
        <w:t xml:space="preserve">12.4. </w:t>
      </w:r>
      <w:r>
        <w:rPr>
          <w:rFonts w:ascii="Tw Cen MT" w:hAnsi="Tw Cen MT"/>
          <w:sz w:val="24"/>
          <w:szCs w:val="24"/>
        </w:rPr>
        <w:t>The Mental Health Act of Ghana, sections 68(1)(2)(3)(4), allows for the appointment of guardians for persons with psychosocial disabilities, granting them significant control over healthcare, finances, and personal affairs. Although intended to ensure the welfare of those deemed incapable of decision-making, this raises concerns about the potential abuse of power by guardians and the denial of individuals' rights to participate in decisions affecting their lives. This approach contradicts the CRPD's emphasis on supported decision-making, which aims to enable individuals to make their own decisions with appropriate support.</w:t>
      </w:r>
    </w:p>
    <w:p w14:paraId="585A6BF7"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12.5. In Ghana, several laws use derogatory terms such as 'mental retardation,'</w:t>
      </w:r>
      <w:r>
        <w:rPr>
          <w:rFonts w:ascii="Tw Cen MT" w:hAnsi="Tw Cen MT" w:cs="Times New Roman"/>
          <w:sz w:val="24"/>
          <w:szCs w:val="24"/>
          <w:vertAlign w:val="superscript"/>
        </w:rPr>
        <w:footnoteReference w:id="13"/>
      </w:r>
      <w:r>
        <w:rPr>
          <w:rFonts w:ascii="Tw Cen MT" w:hAnsi="Tw Cen MT" w:cs="Times New Roman"/>
          <w:sz w:val="24"/>
          <w:szCs w:val="24"/>
        </w:rPr>
        <w:t xml:space="preserve"> further stigmatizing persons with intellectual disabilities. These laws also promote capacity assessment tests, </w:t>
      </w:r>
      <w:r>
        <w:rPr>
          <w:rFonts w:ascii="Tw Cen MT" w:hAnsi="Tw Cen MT" w:cs="Times New Roman"/>
          <w:sz w:val="24"/>
          <w:szCs w:val="24"/>
          <w:vertAlign w:val="superscript"/>
        </w:rPr>
        <w:footnoteReference w:id="14"/>
      </w:r>
      <w:r>
        <w:rPr>
          <w:rFonts w:ascii="Tw Cen MT" w:hAnsi="Tw Cen MT" w:cs="Times New Roman"/>
          <w:sz w:val="24"/>
          <w:szCs w:val="24"/>
        </w:rPr>
        <w:t xml:space="preserve"> endorse seclusion and restraint practices, </w:t>
      </w:r>
      <w:r>
        <w:rPr>
          <w:rFonts w:ascii="Tw Cen MT" w:hAnsi="Tw Cen MT" w:cs="Times New Roman"/>
          <w:sz w:val="24"/>
          <w:szCs w:val="24"/>
          <w:vertAlign w:val="superscript"/>
        </w:rPr>
        <w:footnoteReference w:id="15"/>
      </w:r>
      <w:r>
        <w:rPr>
          <w:rFonts w:ascii="Tw Cen MT" w:hAnsi="Tw Cen MT" w:cs="Times New Roman"/>
          <w:sz w:val="24"/>
          <w:szCs w:val="24"/>
        </w:rPr>
        <w:t xml:space="preserve"> and allow for involuntary hospital admission. </w:t>
      </w:r>
      <w:r>
        <w:rPr>
          <w:rFonts w:ascii="Tw Cen MT" w:hAnsi="Tw Cen MT" w:cs="Times New Roman"/>
          <w:sz w:val="24"/>
          <w:szCs w:val="24"/>
          <w:vertAlign w:val="superscript"/>
        </w:rPr>
        <w:footnoteReference w:id="16"/>
      </w:r>
      <w:r>
        <w:rPr>
          <w:rFonts w:ascii="Tw Cen MT" w:hAnsi="Tw Cen MT" w:cs="Times New Roman"/>
          <w:sz w:val="24"/>
          <w:szCs w:val="24"/>
        </w:rPr>
        <w:t xml:space="preserve"> The Mental Health Act of 2012 is particularly concerning, as it permits the police to apprehend involuntary patients trying to leave health facilities before discharge and gives admitting doctors’ sole authority over their release.</w:t>
      </w:r>
      <w:r>
        <w:rPr>
          <w:rFonts w:ascii="Tw Cen MT" w:hAnsi="Tw Cen MT" w:cs="Times New Roman"/>
          <w:sz w:val="24"/>
          <w:szCs w:val="24"/>
          <w:vertAlign w:val="superscript"/>
        </w:rPr>
        <w:footnoteReference w:id="17"/>
      </w:r>
      <w:r>
        <w:rPr>
          <w:rFonts w:ascii="Tw Cen MT" w:hAnsi="Tw Cen MT" w:cs="Times New Roman"/>
          <w:sz w:val="24"/>
          <w:szCs w:val="24"/>
        </w:rPr>
        <w:t xml:space="preserve"> These measures disregard the will and preferences of persons with psychosocial disabilities, </w:t>
      </w:r>
      <w:r>
        <w:rPr>
          <w:rFonts w:ascii="Tw Cen MT" w:hAnsi="Tw Cen MT"/>
          <w:sz w:val="24"/>
          <w:szCs w:val="24"/>
        </w:rPr>
        <w:t>contributing to stigmatization and fostering prejudice and discrimination within communities.</w:t>
      </w:r>
    </w:p>
    <w:p w14:paraId="23064ABF"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12.6. Despite legal provisions, there remains a significant gap between law and practice in Ghana regarding the rights of persons with disabilities to legal capacity and decision-making. Many persons with disabilities continue to face discrimination, stigma, and barriers to exercising their autonomy and participating fully in decision-making processes.</w:t>
      </w:r>
    </w:p>
    <w:p w14:paraId="436E5049" w14:textId="77777777" w:rsidR="00031F03" w:rsidRDefault="00031F03">
      <w:pPr>
        <w:pStyle w:val="NoSpacing"/>
        <w:rPr>
          <w:rFonts w:ascii="Tw Cen MT" w:hAnsi="Tw Cen MT"/>
          <w:b/>
          <w:bCs/>
          <w:sz w:val="24"/>
          <w:szCs w:val="24"/>
        </w:rPr>
      </w:pPr>
    </w:p>
    <w:p w14:paraId="7A0AE49F"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Recommendations </w:t>
      </w:r>
    </w:p>
    <w:p w14:paraId="0EF19B61" w14:textId="77777777" w:rsidR="00031F03" w:rsidRDefault="00031F03"/>
    <w:p w14:paraId="65E29634" w14:textId="77777777" w:rsidR="00031F03" w:rsidRDefault="00000000">
      <w:pPr>
        <w:pStyle w:val="NoSpacing"/>
        <w:numPr>
          <w:ilvl w:val="0"/>
          <w:numId w:val="11"/>
        </w:numPr>
        <w:spacing w:line="360" w:lineRule="auto"/>
        <w:jc w:val="both"/>
        <w:rPr>
          <w:rFonts w:ascii="Tw Cen MT" w:hAnsi="Tw Cen MT" w:cs="Times New Roman"/>
          <w:b/>
          <w:bCs/>
          <w:sz w:val="24"/>
          <w:szCs w:val="24"/>
        </w:rPr>
      </w:pPr>
      <w:r>
        <w:rPr>
          <w:rFonts w:ascii="Tw Cen MT" w:hAnsi="Tw Cen MT"/>
          <w:sz w:val="24"/>
          <w:szCs w:val="24"/>
        </w:rPr>
        <w:t>The State should urgently amend guardianship laws to eliminate discriminatory practices and incorporate CRPD-aligned supported decision-making mechanisms. Nationwide awareness campaigns and training for legal professionals, healthcare providers, and community members on the rights of persons with disabilities should be done.</w:t>
      </w:r>
    </w:p>
    <w:p w14:paraId="40A92B0C" w14:textId="77777777" w:rsidR="00031F03" w:rsidRDefault="00000000">
      <w:pPr>
        <w:pStyle w:val="NoSpacing"/>
        <w:numPr>
          <w:ilvl w:val="0"/>
          <w:numId w:val="11"/>
        </w:numPr>
        <w:spacing w:line="360" w:lineRule="auto"/>
        <w:jc w:val="both"/>
        <w:rPr>
          <w:rFonts w:ascii="Tw Cen MT" w:hAnsi="Tw Cen MT" w:cs="Times New Roman"/>
          <w:b/>
          <w:bCs/>
          <w:sz w:val="24"/>
          <w:szCs w:val="24"/>
        </w:rPr>
      </w:pPr>
      <w:r>
        <w:rPr>
          <w:rFonts w:ascii="Tw Cen MT" w:hAnsi="Tw Cen MT"/>
          <w:sz w:val="24"/>
          <w:szCs w:val="24"/>
        </w:rPr>
        <w:t>A detailed implementation framework for the proposed Persons with Disability Bill 2024, including a comprehensive database of service providers and their activities, should be developed.</w:t>
      </w:r>
    </w:p>
    <w:p w14:paraId="34E54340" w14:textId="77777777" w:rsidR="00031F03" w:rsidRDefault="00000000">
      <w:pPr>
        <w:pStyle w:val="NoSpacing"/>
        <w:numPr>
          <w:ilvl w:val="0"/>
          <w:numId w:val="11"/>
        </w:numPr>
        <w:spacing w:line="360" w:lineRule="auto"/>
        <w:jc w:val="both"/>
        <w:rPr>
          <w:rFonts w:ascii="Tw Cen MT" w:hAnsi="Tw Cen MT" w:cs="Times New Roman"/>
          <w:b/>
          <w:bCs/>
          <w:sz w:val="24"/>
          <w:szCs w:val="24"/>
        </w:rPr>
      </w:pPr>
      <w:r>
        <w:rPr>
          <w:rFonts w:ascii="Tw Cen MT" w:hAnsi="Tw Cen MT"/>
          <w:sz w:val="24"/>
          <w:szCs w:val="24"/>
        </w:rPr>
        <w:t>Persons with disabilities, particularly those with psychosocial or intellectual disabilities, and their representative organizations should be involved in policy and law development affecting their legal capacity and decision-making rights.</w:t>
      </w:r>
    </w:p>
    <w:p w14:paraId="5A51CA8F" w14:textId="77777777" w:rsidR="00031F03" w:rsidRDefault="00000000">
      <w:pPr>
        <w:pStyle w:val="NoSpacing"/>
        <w:numPr>
          <w:ilvl w:val="0"/>
          <w:numId w:val="11"/>
        </w:numPr>
        <w:spacing w:line="360" w:lineRule="auto"/>
        <w:jc w:val="both"/>
        <w:rPr>
          <w:rFonts w:ascii="Tw Cen MT" w:hAnsi="Tw Cen MT" w:cs="Times New Roman"/>
          <w:b/>
          <w:bCs/>
          <w:sz w:val="24"/>
          <w:szCs w:val="24"/>
        </w:rPr>
      </w:pPr>
      <w:r>
        <w:rPr>
          <w:rFonts w:ascii="Tw Cen MT" w:hAnsi="Tw Cen MT"/>
          <w:sz w:val="24"/>
          <w:szCs w:val="24"/>
        </w:rPr>
        <w:lastRenderedPageBreak/>
        <w:t>The State should implement strict safeguards and regular oversight to prevent abuse of power by guardians and ensure accountability. Laws should be amended by the State to remove derogatory terms like 'mental retardation' and replace them with respectful, person-first language. Seclusion and restraint practices should be prohibited, with involuntary admissions used only as a last resort, respecting the will and preferences of the person with disabilities.</w:t>
      </w:r>
    </w:p>
    <w:p w14:paraId="0ED4C7C3" w14:textId="77777777" w:rsidR="00031F03" w:rsidRDefault="00000000">
      <w:pPr>
        <w:pStyle w:val="NoSpacing"/>
        <w:numPr>
          <w:ilvl w:val="0"/>
          <w:numId w:val="11"/>
        </w:numPr>
        <w:spacing w:line="360" w:lineRule="auto"/>
        <w:jc w:val="both"/>
        <w:rPr>
          <w:rFonts w:ascii="Tw Cen MT" w:hAnsi="Tw Cen MT" w:cs="Times New Roman"/>
          <w:b/>
          <w:bCs/>
          <w:sz w:val="24"/>
          <w:szCs w:val="24"/>
        </w:rPr>
      </w:pPr>
      <w:r>
        <w:rPr>
          <w:rFonts w:ascii="Tw Cen MT" w:hAnsi="Tw Cen MT"/>
          <w:sz w:val="24"/>
          <w:szCs w:val="24"/>
        </w:rPr>
        <w:t>The State should establish a robust mechanism for enforcing laws protecting the legal capacity and decision-making rights of persons with disabilities, along with a monitoring and reporting system to address instances of discrimination, stigma, and barriers.</w:t>
      </w:r>
    </w:p>
    <w:p w14:paraId="14004854" w14:textId="77777777" w:rsidR="00031F03" w:rsidRDefault="00031F03">
      <w:pPr>
        <w:spacing w:line="360" w:lineRule="auto"/>
        <w:jc w:val="both"/>
        <w:rPr>
          <w:rFonts w:ascii="Tw Cen MT" w:hAnsi="Tw Cen MT" w:cs="Times New Roman"/>
          <w:b/>
          <w:bCs/>
          <w:sz w:val="24"/>
          <w:szCs w:val="24"/>
        </w:rPr>
      </w:pPr>
    </w:p>
    <w:p w14:paraId="69E372BD" w14:textId="77777777" w:rsidR="00031F03" w:rsidRDefault="00000000">
      <w:pPr>
        <w:pStyle w:val="Heading1"/>
        <w:rPr>
          <w:rFonts w:ascii="Tw Cen MT" w:hAnsi="Tw Cen MT"/>
          <w:b/>
          <w:bCs/>
          <w:color w:val="auto"/>
          <w:sz w:val="24"/>
          <w:szCs w:val="24"/>
        </w:rPr>
      </w:pPr>
      <w:bookmarkStart w:id="14" w:name="_Toc171581984"/>
      <w:r>
        <w:rPr>
          <w:rFonts w:ascii="Tw Cen MT" w:hAnsi="Tw Cen MT"/>
          <w:b/>
          <w:bCs/>
          <w:color w:val="auto"/>
          <w:sz w:val="24"/>
          <w:szCs w:val="24"/>
        </w:rPr>
        <w:t>Article 13: Access to Justice</w:t>
      </w:r>
      <w:bookmarkEnd w:id="14"/>
    </w:p>
    <w:p w14:paraId="55B5ADA7" w14:textId="77777777" w:rsidR="00031F03" w:rsidRDefault="00031F03"/>
    <w:p w14:paraId="35D3B636"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13.1. </w:t>
      </w:r>
      <w:r>
        <w:rPr>
          <w:rFonts w:ascii="Tw Cen MT" w:hAnsi="Tw Cen MT"/>
          <w:sz w:val="24"/>
          <w:szCs w:val="24"/>
        </w:rPr>
        <w:t>Access to justice is a significant challenge for persons with disabilities in Ghana. Despite efforts to promote inclusivity, systemic barriers such as physical, communication, and attitudinal obstacles persist within the justice system. These barriers hinder the ability of persons with disabilities to navigate legal proceedings, seek redress for rights violations, and access essential services. Courthouses, police stations, and legal proceedings often lack accessibility features, making it difficult for those with mobility, sensory, and intellectual disabilities.</w:t>
      </w:r>
    </w:p>
    <w:p w14:paraId="16020797"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13.2. </w:t>
      </w:r>
      <w:r>
        <w:rPr>
          <w:rFonts w:ascii="Tw Cen MT" w:hAnsi="Tw Cen MT"/>
          <w:sz w:val="24"/>
          <w:szCs w:val="24"/>
        </w:rPr>
        <w:t>One pressing issue is the lack of appropriate adjustments within the justice delivery system. Procedural barriers and the absence of gender-and-age-appropriate procedural accommodations leave persons with disabilities at a disadvantage. Without necessary accommodations such as accessible communication formats, sign language interpreters, or assistive technologies, persons with disabilities struggle to participate meaningfully in legal processes, undermining their right to fair and equal treatment under the law. Addressing these challenges is a legal obligation and a moral imperative rooted in equality, fairness, and human rights.</w:t>
      </w:r>
    </w:p>
    <w:p w14:paraId="66E9FAC1" w14:textId="77777777" w:rsidR="00031F03" w:rsidRDefault="00031F03">
      <w:pPr>
        <w:spacing w:line="360" w:lineRule="auto"/>
        <w:jc w:val="both"/>
        <w:rPr>
          <w:rFonts w:ascii="Tw Cen MT" w:hAnsi="Tw Cen MT" w:cs="Times New Roman"/>
          <w:sz w:val="24"/>
          <w:szCs w:val="24"/>
        </w:rPr>
      </w:pPr>
    </w:p>
    <w:p w14:paraId="3945A238"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Recommendations </w:t>
      </w:r>
    </w:p>
    <w:p w14:paraId="3F6D0B98" w14:textId="77777777" w:rsidR="00031F03" w:rsidRDefault="00031F03"/>
    <w:p w14:paraId="5562AA79" w14:textId="77777777" w:rsidR="00031F03" w:rsidRDefault="00000000">
      <w:pPr>
        <w:pStyle w:val="ListParagraph"/>
        <w:numPr>
          <w:ilvl w:val="0"/>
          <w:numId w:val="12"/>
        </w:numPr>
        <w:spacing w:line="360" w:lineRule="auto"/>
        <w:jc w:val="both"/>
        <w:rPr>
          <w:rFonts w:ascii="Tw Cen MT" w:hAnsi="Tw Cen MT"/>
          <w:sz w:val="24"/>
          <w:szCs w:val="24"/>
        </w:rPr>
      </w:pPr>
      <w:r>
        <w:rPr>
          <w:rFonts w:ascii="Tw Cen MT" w:hAnsi="Tw Cen MT"/>
          <w:sz w:val="24"/>
          <w:szCs w:val="24"/>
        </w:rPr>
        <w:t>The State should conduct comprehensive accessibility audits of all courthouses, police stations, and legal proceedings to identify and remove physical, communication, and attitudinal barriers, ensuring that persons with disabilities can fully participate in the justice system.</w:t>
      </w:r>
    </w:p>
    <w:p w14:paraId="4532BF25" w14:textId="77777777" w:rsidR="00031F03" w:rsidRDefault="00000000">
      <w:pPr>
        <w:pStyle w:val="ListParagraph"/>
        <w:numPr>
          <w:ilvl w:val="0"/>
          <w:numId w:val="12"/>
        </w:numPr>
        <w:spacing w:line="360" w:lineRule="auto"/>
        <w:jc w:val="both"/>
        <w:rPr>
          <w:rFonts w:ascii="Tw Cen MT" w:hAnsi="Tw Cen MT" w:cs="Times New Roman"/>
          <w:sz w:val="24"/>
          <w:szCs w:val="24"/>
        </w:rPr>
      </w:pPr>
      <w:r>
        <w:rPr>
          <w:rFonts w:ascii="Tw Cen MT" w:hAnsi="Tw Cen MT"/>
          <w:sz w:val="24"/>
          <w:szCs w:val="24"/>
        </w:rPr>
        <w:t xml:space="preserve">The State should also develop guidelines and protocols for gender- and age-appropriate procedural accommodations within legal proceedings. This should include provisions for caregivers, child-friendly spaces, and privacy considerations. Legal aid services tailored to </w:t>
      </w:r>
      <w:r>
        <w:rPr>
          <w:rFonts w:ascii="Tw Cen MT" w:hAnsi="Tw Cen MT"/>
          <w:sz w:val="24"/>
          <w:szCs w:val="24"/>
        </w:rPr>
        <w:lastRenderedPageBreak/>
        <w:t xml:space="preserve">persons with disabilities should be expanded to ensure access to qualified legal representation and advocacy support. </w:t>
      </w:r>
    </w:p>
    <w:p w14:paraId="46DBCA74" w14:textId="77777777" w:rsidR="00031F03" w:rsidRDefault="00031F03">
      <w:pPr>
        <w:spacing w:line="360" w:lineRule="auto"/>
        <w:jc w:val="both"/>
        <w:rPr>
          <w:rFonts w:ascii="Tw Cen MT" w:hAnsi="Tw Cen MT" w:cs="Times New Roman"/>
          <w:sz w:val="24"/>
          <w:szCs w:val="24"/>
        </w:rPr>
      </w:pPr>
    </w:p>
    <w:p w14:paraId="78F2A013" w14:textId="77777777" w:rsidR="00031F03" w:rsidRDefault="00031F03">
      <w:pPr>
        <w:spacing w:line="360" w:lineRule="auto"/>
        <w:jc w:val="both"/>
        <w:rPr>
          <w:rFonts w:ascii="Tw Cen MT" w:hAnsi="Tw Cen MT" w:cs="Times New Roman"/>
          <w:sz w:val="24"/>
          <w:szCs w:val="24"/>
        </w:rPr>
      </w:pPr>
    </w:p>
    <w:p w14:paraId="0EF3F43D" w14:textId="77777777" w:rsidR="00031F03" w:rsidRDefault="00000000">
      <w:pPr>
        <w:pStyle w:val="Heading1"/>
        <w:rPr>
          <w:rFonts w:ascii="Tw Cen MT" w:hAnsi="Tw Cen MT"/>
          <w:b/>
          <w:bCs/>
          <w:color w:val="auto"/>
          <w:sz w:val="24"/>
          <w:szCs w:val="24"/>
          <w:lang w:val="en-GB"/>
        </w:rPr>
      </w:pPr>
      <w:bookmarkStart w:id="15" w:name="_Toc90117940"/>
      <w:bookmarkStart w:id="16" w:name="_Toc95038749"/>
      <w:bookmarkStart w:id="17" w:name="_Toc171581985"/>
      <w:r>
        <w:rPr>
          <w:rFonts w:ascii="Tw Cen MT" w:hAnsi="Tw Cen MT"/>
          <w:b/>
          <w:bCs/>
          <w:color w:val="auto"/>
          <w:sz w:val="24"/>
          <w:szCs w:val="24"/>
          <w:lang w:val="en-GB"/>
        </w:rPr>
        <w:t>Article 14: Liberty and Security of the Person</w:t>
      </w:r>
      <w:bookmarkEnd w:id="15"/>
      <w:bookmarkEnd w:id="16"/>
      <w:bookmarkEnd w:id="17"/>
      <w:r>
        <w:rPr>
          <w:rFonts w:ascii="Tw Cen MT" w:hAnsi="Tw Cen MT"/>
          <w:b/>
          <w:bCs/>
          <w:color w:val="auto"/>
          <w:sz w:val="24"/>
          <w:szCs w:val="24"/>
          <w:lang w:val="en-GB"/>
        </w:rPr>
        <w:t xml:space="preserve">  </w:t>
      </w:r>
    </w:p>
    <w:p w14:paraId="3FED7B09" w14:textId="77777777" w:rsidR="00031F03" w:rsidRDefault="00031F03">
      <w:pPr>
        <w:rPr>
          <w:lang w:val="en-GB"/>
        </w:rPr>
      </w:pPr>
    </w:p>
    <w:p w14:paraId="1495EEED" w14:textId="77777777" w:rsidR="00031F03" w:rsidRDefault="00000000">
      <w:pPr>
        <w:pStyle w:val="NoSpacing"/>
        <w:spacing w:line="360" w:lineRule="auto"/>
        <w:jc w:val="both"/>
        <w:rPr>
          <w:rFonts w:ascii="Tw Cen MT" w:hAnsi="Tw Cen MT"/>
          <w:sz w:val="24"/>
          <w:szCs w:val="24"/>
          <w:lang w:val="en-GB"/>
        </w:rPr>
      </w:pPr>
      <w:r>
        <w:rPr>
          <w:rFonts w:ascii="Tw Cen MT" w:hAnsi="Tw Cen MT"/>
          <w:sz w:val="24"/>
          <w:szCs w:val="24"/>
          <w:lang w:val="en-GB"/>
        </w:rPr>
        <w:t>14.1. The Constitution of Ghana guarantees the right to personal liberty.</w:t>
      </w:r>
      <w:r>
        <w:rPr>
          <w:rStyle w:val="FootnoteReference"/>
          <w:rFonts w:ascii="Tw Cen MT" w:hAnsi="Tw Cen MT" w:cs="Times New Roman"/>
          <w:sz w:val="24"/>
          <w:szCs w:val="24"/>
          <w:lang w:val="en-GB"/>
        </w:rPr>
        <w:footnoteReference w:id="18"/>
      </w:r>
      <w:r>
        <w:rPr>
          <w:rFonts w:ascii="Tw Cen MT" w:hAnsi="Tw Cen MT"/>
          <w:sz w:val="24"/>
          <w:szCs w:val="24"/>
          <w:lang w:val="en-GB"/>
        </w:rPr>
        <w:t xml:space="preserve"> While it guarantees against unlawful deprivation of liberty, it provides exceptions about persons with disabilities who are deemed to be “of unsound mind.”</w:t>
      </w:r>
      <w:r>
        <w:rPr>
          <w:rFonts w:ascii="Tw Cen MT" w:hAnsi="Tw Cen MT"/>
          <w:sz w:val="24"/>
          <w:szCs w:val="24"/>
        </w:rPr>
        <w:t xml:space="preserve"> </w:t>
      </w:r>
      <w:r>
        <w:rPr>
          <w:rFonts w:ascii="Tw Cen MT" w:hAnsi="Tw Cen MT"/>
          <w:sz w:val="24"/>
          <w:szCs w:val="24"/>
          <w:lang w:val="en-GB"/>
        </w:rPr>
        <w:t xml:space="preserve">This constitutional provision fundamentally contradicts the CRPD, as it explicitly authorizes the deprivation of liberty on the basis of disability. The Persons with Disability Act 715 contains no provisions relating to the liberty of persons with disabilities. </w:t>
      </w:r>
    </w:p>
    <w:p w14:paraId="0F5E7C2A" w14:textId="77777777" w:rsidR="00031F03" w:rsidRDefault="00000000">
      <w:pPr>
        <w:pStyle w:val="NoSpacing"/>
        <w:spacing w:line="360" w:lineRule="auto"/>
        <w:jc w:val="both"/>
        <w:rPr>
          <w:rFonts w:ascii="Tw Cen MT" w:hAnsi="Tw Cen MT"/>
          <w:sz w:val="24"/>
          <w:szCs w:val="24"/>
        </w:rPr>
      </w:pPr>
      <w:r>
        <w:rPr>
          <w:rFonts w:ascii="Tw Cen MT" w:hAnsi="Tw Cen MT"/>
          <w:sz w:val="24"/>
          <w:szCs w:val="24"/>
          <w:lang w:val="en-GB"/>
        </w:rPr>
        <w:t xml:space="preserve">14.2. </w:t>
      </w:r>
      <w:r>
        <w:rPr>
          <w:rFonts w:ascii="Tw Cen MT" w:hAnsi="Tw Cen MT"/>
          <w:sz w:val="24"/>
          <w:szCs w:val="24"/>
        </w:rPr>
        <w:t>Sections 47 of the proposed Persons with Disability Bill 2024 imposes a duty on police officers and authorised personnel to provide reasonable accommodation to persons with disabilities who are “arrested, restricted or detained”. The Bill does not, however, explicitly recognise the right to liberty of persons with disabilities or protect against the arbitrary deprivation of such liberty.</w:t>
      </w:r>
    </w:p>
    <w:p w14:paraId="36CE18D2" w14:textId="77777777" w:rsidR="00031F03" w:rsidRDefault="00000000">
      <w:pPr>
        <w:spacing w:line="360" w:lineRule="auto"/>
        <w:jc w:val="both"/>
        <w:rPr>
          <w:rFonts w:ascii="Tw Cen MT" w:hAnsi="Tw Cen MT" w:cs="Times New Roman"/>
          <w:sz w:val="24"/>
          <w:szCs w:val="24"/>
          <w:lang w:val="en-GB"/>
        </w:rPr>
      </w:pPr>
      <w:r>
        <w:rPr>
          <w:rFonts w:ascii="Tw Cen MT" w:hAnsi="Tw Cen MT" w:cs="Times New Roman"/>
          <w:sz w:val="24"/>
          <w:szCs w:val="24"/>
          <w:lang w:val="en-GB"/>
        </w:rPr>
        <w:t xml:space="preserve">14.3. </w:t>
      </w:r>
      <w:bookmarkStart w:id="18" w:name="_Toc90117941"/>
      <w:bookmarkStart w:id="19" w:name="_Toc95038750"/>
      <w:r>
        <w:rPr>
          <w:rFonts w:ascii="Tw Cen MT" w:hAnsi="Tw Cen MT"/>
          <w:sz w:val="24"/>
          <w:szCs w:val="24"/>
        </w:rPr>
        <w:t>In some communities, persons with albinism and psychosocial disabilities are still denied personal liberty and have their movements restricted. For example, they are prohibited from visiting places like the chief’s palace, which is concerning.</w:t>
      </w:r>
    </w:p>
    <w:p w14:paraId="1B9B07A8" w14:textId="77777777" w:rsidR="00031F03" w:rsidRDefault="00031F03">
      <w:pPr>
        <w:pStyle w:val="NoSpacing"/>
        <w:rPr>
          <w:rFonts w:ascii="Tw Cen MT" w:hAnsi="Tw Cen MT"/>
          <w:b/>
          <w:bCs/>
          <w:sz w:val="24"/>
          <w:szCs w:val="24"/>
        </w:rPr>
      </w:pPr>
    </w:p>
    <w:p w14:paraId="258189EE"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w:t>
      </w:r>
      <w:bookmarkEnd w:id="18"/>
      <w:bookmarkEnd w:id="19"/>
      <w:r>
        <w:rPr>
          <w:rFonts w:ascii="Tw Cen MT" w:hAnsi="Tw Cen MT"/>
          <w:b/>
          <w:bCs/>
          <w:sz w:val="24"/>
          <w:szCs w:val="24"/>
        </w:rPr>
        <w:t>Recommendations</w:t>
      </w:r>
    </w:p>
    <w:p w14:paraId="75953764" w14:textId="77777777" w:rsidR="00031F03" w:rsidRDefault="00031F03">
      <w:pPr>
        <w:pStyle w:val="NoSpacing"/>
        <w:rPr>
          <w:rFonts w:ascii="Tw Cen MT" w:hAnsi="Tw Cen MT"/>
          <w:lang w:val="en-GB"/>
        </w:rPr>
      </w:pPr>
    </w:p>
    <w:p w14:paraId="787ADF8D" w14:textId="77777777" w:rsidR="00031F03" w:rsidRDefault="00000000">
      <w:pPr>
        <w:pStyle w:val="ListParagraph"/>
        <w:numPr>
          <w:ilvl w:val="0"/>
          <w:numId w:val="13"/>
        </w:numPr>
        <w:spacing w:line="360" w:lineRule="auto"/>
        <w:ind w:firstLine="0"/>
        <w:jc w:val="both"/>
        <w:rPr>
          <w:rFonts w:ascii="Tw Cen MT" w:hAnsi="Tw Cen MT" w:cs="Times New Roman"/>
          <w:sz w:val="24"/>
          <w:szCs w:val="24"/>
          <w:lang w:val="en-GB"/>
        </w:rPr>
      </w:pPr>
      <w:r>
        <w:rPr>
          <w:rFonts w:ascii="Tw Cen MT" w:hAnsi="Tw Cen MT" w:cs="Times New Roman"/>
          <w:sz w:val="24"/>
          <w:szCs w:val="24"/>
          <w:lang w:val="en-GB"/>
        </w:rPr>
        <w:t>The State should a</w:t>
      </w:r>
      <w:r>
        <w:rPr>
          <w:rFonts w:ascii="Tw Cen MT" w:eastAsia="Times New Roman" w:hAnsi="Tw Cen MT"/>
          <w:sz w:val="24"/>
          <w:szCs w:val="24"/>
        </w:rPr>
        <w:t>mend the Constitution to eliminate provisions that allow the deprivation of liberty based on disability, ensuring full alignment with the CRPD.</w:t>
      </w:r>
    </w:p>
    <w:p w14:paraId="1CDF178A" w14:textId="77777777" w:rsidR="00031F03" w:rsidRDefault="00000000">
      <w:pPr>
        <w:pStyle w:val="ListParagraph"/>
        <w:numPr>
          <w:ilvl w:val="0"/>
          <w:numId w:val="13"/>
        </w:numPr>
        <w:spacing w:line="360" w:lineRule="auto"/>
        <w:ind w:firstLine="0"/>
        <w:jc w:val="both"/>
        <w:rPr>
          <w:rFonts w:ascii="Tw Cen MT" w:hAnsi="Tw Cen MT" w:cs="Times New Roman"/>
          <w:sz w:val="24"/>
          <w:szCs w:val="24"/>
          <w:lang w:val="en-GB"/>
        </w:rPr>
      </w:pPr>
      <w:r>
        <w:rPr>
          <w:rFonts w:ascii="Tw Cen MT" w:eastAsia="Times New Roman" w:hAnsi="Tw Cen MT"/>
          <w:sz w:val="24"/>
          <w:szCs w:val="24"/>
        </w:rPr>
        <w:t>Revise the proposed Persons with Disability Bill 2024 to explicitly recognise and protect the right to liberty of persons with disabilities, preventing arbitrary deprivation of liberty.</w:t>
      </w:r>
    </w:p>
    <w:p w14:paraId="3596D197" w14:textId="77777777" w:rsidR="00031F03" w:rsidRDefault="00000000">
      <w:pPr>
        <w:pStyle w:val="ListParagraph"/>
        <w:numPr>
          <w:ilvl w:val="0"/>
          <w:numId w:val="13"/>
        </w:numPr>
        <w:spacing w:line="360" w:lineRule="auto"/>
        <w:ind w:firstLine="0"/>
        <w:jc w:val="both"/>
        <w:rPr>
          <w:rFonts w:ascii="Tw Cen MT" w:hAnsi="Tw Cen MT" w:cs="Times New Roman"/>
          <w:sz w:val="24"/>
          <w:szCs w:val="24"/>
          <w:lang w:val="en-GB"/>
        </w:rPr>
      </w:pPr>
      <w:r>
        <w:rPr>
          <w:rFonts w:ascii="Tw Cen MT" w:eastAsia="Times New Roman" w:hAnsi="Tw Cen MT"/>
          <w:sz w:val="24"/>
          <w:szCs w:val="24"/>
        </w:rPr>
        <w:t>Implement and enforce community education and anti-discrimination laws to protect the personal liberty of persons with albinism and psychosocial disabilities, ensuring they can move freely without restrictions.</w:t>
      </w:r>
      <w:bookmarkStart w:id="20" w:name="_Toc90117942"/>
      <w:bookmarkStart w:id="21" w:name="_Toc95038751"/>
    </w:p>
    <w:p w14:paraId="75F35A21" w14:textId="77777777" w:rsidR="00031F03" w:rsidRDefault="00031F03">
      <w:pPr>
        <w:pStyle w:val="ListParagraph"/>
        <w:spacing w:line="360" w:lineRule="auto"/>
        <w:ind w:left="360"/>
        <w:jc w:val="both"/>
        <w:rPr>
          <w:rFonts w:ascii="Tw Cen MT" w:hAnsi="Tw Cen MT" w:cs="Times New Roman"/>
          <w:sz w:val="24"/>
          <w:szCs w:val="24"/>
          <w:lang w:val="en-GB"/>
        </w:rPr>
      </w:pPr>
    </w:p>
    <w:p w14:paraId="13D5A0BF" w14:textId="77777777" w:rsidR="00031F03" w:rsidRDefault="00000000">
      <w:pPr>
        <w:pStyle w:val="Heading1"/>
        <w:rPr>
          <w:rFonts w:ascii="Tw Cen MT" w:hAnsi="Tw Cen MT"/>
          <w:b/>
          <w:bCs/>
          <w:color w:val="auto"/>
          <w:sz w:val="23"/>
          <w:szCs w:val="23"/>
          <w:lang w:val="en-GB"/>
        </w:rPr>
      </w:pPr>
      <w:bookmarkStart w:id="22" w:name="_Toc171581986"/>
      <w:r>
        <w:rPr>
          <w:rFonts w:ascii="Tw Cen MT" w:hAnsi="Tw Cen MT"/>
          <w:b/>
          <w:bCs/>
          <w:color w:val="auto"/>
          <w:sz w:val="23"/>
          <w:szCs w:val="23"/>
          <w:lang w:val="en-GB"/>
        </w:rPr>
        <w:t>Article 15: Freedom from Torture or Cruel, Inhuman or Degrading Treatment or Punishment</w:t>
      </w:r>
      <w:bookmarkEnd w:id="20"/>
      <w:bookmarkEnd w:id="21"/>
      <w:bookmarkEnd w:id="22"/>
    </w:p>
    <w:p w14:paraId="05848380" w14:textId="77777777" w:rsidR="00031F03" w:rsidRDefault="00031F03">
      <w:pPr>
        <w:rPr>
          <w:lang w:val="en-GB"/>
        </w:rPr>
      </w:pPr>
    </w:p>
    <w:p w14:paraId="47B57D3F" w14:textId="77777777" w:rsidR="00031F03" w:rsidRDefault="00000000">
      <w:pPr>
        <w:spacing w:line="360" w:lineRule="auto"/>
        <w:jc w:val="both"/>
        <w:rPr>
          <w:rFonts w:ascii="Tw Cen MT" w:hAnsi="Tw Cen MT"/>
          <w:sz w:val="24"/>
          <w:szCs w:val="24"/>
        </w:rPr>
      </w:pPr>
      <w:r>
        <w:rPr>
          <w:rFonts w:ascii="Tw Cen MT" w:hAnsi="Tw Cen MT"/>
          <w:sz w:val="24"/>
          <w:szCs w:val="24"/>
        </w:rPr>
        <w:t>15.1. We acknowledge the provisions in the draft Persons with Disability Bill 2024 aimed at preventing torture, inhuman, or degrading treatment. However, we are concerned about the limitations in Article 33(2). Specifically, Article 33(2)(a) only mentions persons with psychosocial or learning disabilities, raising concerns about inclusivity for other groups like those with albinism or autism. Additionally, Article 33(2)(b) appears to limit protection against torture, cruel, and degrading treatment to children with learning disabilities, potentially excluding adults with learning disabilities from such protection.</w:t>
      </w:r>
    </w:p>
    <w:p w14:paraId="1892B920" w14:textId="77777777" w:rsidR="00031F03" w:rsidRDefault="00000000">
      <w:pPr>
        <w:spacing w:line="360" w:lineRule="auto"/>
        <w:jc w:val="both"/>
        <w:rPr>
          <w:rFonts w:ascii="Tw Cen MT" w:hAnsi="Tw Cen MT" w:cs="Times New Roman"/>
          <w:sz w:val="24"/>
          <w:szCs w:val="24"/>
          <w:lang w:val="en-GB"/>
        </w:rPr>
      </w:pPr>
      <w:r>
        <w:rPr>
          <w:rFonts w:ascii="Tw Cen MT" w:hAnsi="Tw Cen MT" w:cs="Times New Roman"/>
          <w:sz w:val="24"/>
          <w:szCs w:val="24"/>
          <w:lang w:val="en-GB"/>
        </w:rPr>
        <w:t>15.2. There are still reports of human rights violations against people with disabilities, especially persons with psychosocial disabilities, who still face coercion and forced treatment in mental health institutions.</w:t>
      </w:r>
      <w:r>
        <w:rPr>
          <w:rStyle w:val="FootnoteReference"/>
          <w:rFonts w:ascii="Tw Cen MT" w:hAnsi="Tw Cen MT" w:cs="Times New Roman"/>
          <w:sz w:val="24"/>
          <w:szCs w:val="24"/>
          <w:lang w:val="en-GB"/>
        </w:rPr>
        <w:footnoteReference w:id="19"/>
      </w:r>
      <w:r>
        <w:rPr>
          <w:rFonts w:ascii="Tw Cen MT" w:hAnsi="Tw Cen MT" w:cs="Times New Roman"/>
          <w:sz w:val="24"/>
          <w:szCs w:val="24"/>
          <w:lang w:val="en-GB"/>
        </w:rPr>
        <w:t xml:space="preserve"> </w:t>
      </w:r>
    </w:p>
    <w:p w14:paraId="2D47C40B" w14:textId="77777777" w:rsidR="00031F03" w:rsidRDefault="00000000">
      <w:pPr>
        <w:spacing w:line="360" w:lineRule="auto"/>
        <w:jc w:val="both"/>
      </w:pPr>
      <w:r>
        <w:rPr>
          <w:rFonts w:ascii="Tw Cen MT" w:hAnsi="Tw Cen MT" w:cs="Times New Roman"/>
          <w:sz w:val="24"/>
          <w:szCs w:val="24"/>
          <w:lang w:val="en-GB"/>
        </w:rPr>
        <w:t>15.3. While there exist legal provisions to ensure persons with disabilities are not subjected to torture or cruel, inhuman or degrading treatment or punishment, there is a challenge with the implementation of these laws.</w:t>
      </w:r>
      <w:r>
        <w:rPr>
          <w:rStyle w:val="FootnoteReference"/>
          <w:rFonts w:ascii="Tw Cen MT" w:hAnsi="Tw Cen MT" w:cs="Times New Roman"/>
          <w:sz w:val="24"/>
          <w:szCs w:val="24"/>
          <w:lang w:val="en-GB"/>
        </w:rPr>
        <w:footnoteReference w:id="20"/>
      </w:r>
      <w:r>
        <w:rPr>
          <w:rFonts w:ascii="Tw Cen MT" w:hAnsi="Tw Cen MT" w:cs="Times New Roman"/>
          <w:sz w:val="24"/>
          <w:szCs w:val="24"/>
          <w:lang w:val="en-GB"/>
        </w:rPr>
        <w:t xml:space="preserve"> </w:t>
      </w:r>
      <w:bookmarkStart w:id="23" w:name="_Toc90117943"/>
      <w:bookmarkStart w:id="24" w:name="_Toc95038752"/>
      <w:r>
        <w:rPr>
          <w:rStyle w:val="FootnoteReference"/>
          <w:rFonts w:ascii="Tw Cen MT" w:hAnsi="Tw Cen MT" w:cs="Times New Roman"/>
          <w:sz w:val="24"/>
          <w:szCs w:val="24"/>
          <w:lang w:val="en-GB"/>
        </w:rPr>
        <w:footnoteReference w:id="21"/>
      </w:r>
      <w:r>
        <w:rPr>
          <w:rFonts w:ascii="Tw Cen MT" w:hAnsi="Tw Cen MT" w:cs="Times New Roman"/>
          <w:sz w:val="24"/>
          <w:szCs w:val="24"/>
          <w:lang w:val="en-GB"/>
        </w:rPr>
        <w:t xml:space="preserve"> </w:t>
      </w:r>
    </w:p>
    <w:p w14:paraId="1857C177" w14:textId="77777777" w:rsidR="00031F03" w:rsidRDefault="00031F03">
      <w:pPr>
        <w:pStyle w:val="NoSpacing"/>
        <w:rPr>
          <w:rFonts w:ascii="Tw Cen MT" w:hAnsi="Tw Cen MT"/>
          <w:b/>
          <w:bCs/>
          <w:sz w:val="24"/>
          <w:szCs w:val="24"/>
          <w:lang w:val="en-GB"/>
        </w:rPr>
      </w:pPr>
    </w:p>
    <w:p w14:paraId="79A5C087" w14:textId="77777777" w:rsidR="00031F03" w:rsidRDefault="00000000">
      <w:pPr>
        <w:pStyle w:val="NoSpacing"/>
        <w:rPr>
          <w:rFonts w:ascii="Tw Cen MT" w:hAnsi="Tw Cen MT"/>
          <w:b/>
          <w:bCs/>
          <w:sz w:val="24"/>
          <w:szCs w:val="24"/>
          <w:lang w:val="en-GB"/>
        </w:rPr>
      </w:pPr>
      <w:r>
        <w:rPr>
          <w:rFonts w:ascii="Tw Cen MT" w:hAnsi="Tw Cen MT"/>
          <w:b/>
          <w:bCs/>
          <w:sz w:val="24"/>
          <w:szCs w:val="24"/>
          <w:lang w:val="en-GB"/>
        </w:rPr>
        <w:t xml:space="preserve">Proposed </w:t>
      </w:r>
      <w:bookmarkEnd w:id="23"/>
      <w:bookmarkEnd w:id="24"/>
      <w:r>
        <w:rPr>
          <w:rFonts w:ascii="Tw Cen MT" w:hAnsi="Tw Cen MT"/>
          <w:b/>
          <w:bCs/>
          <w:sz w:val="24"/>
          <w:szCs w:val="24"/>
          <w:lang w:val="en-GB"/>
        </w:rPr>
        <w:t>Recommendations</w:t>
      </w:r>
    </w:p>
    <w:p w14:paraId="66D7F420" w14:textId="77777777" w:rsidR="00031F03" w:rsidRDefault="00031F03">
      <w:pPr>
        <w:pStyle w:val="NoSpacing"/>
        <w:rPr>
          <w:rFonts w:ascii="Tw Cen MT" w:hAnsi="Tw Cen MT"/>
          <w:lang w:val="en-GB"/>
        </w:rPr>
      </w:pPr>
    </w:p>
    <w:p w14:paraId="05BD5DD9" w14:textId="77777777" w:rsidR="00031F03" w:rsidRDefault="00000000">
      <w:pPr>
        <w:pStyle w:val="ListParagraph"/>
        <w:numPr>
          <w:ilvl w:val="0"/>
          <w:numId w:val="14"/>
        </w:numPr>
        <w:spacing w:line="360" w:lineRule="auto"/>
        <w:jc w:val="both"/>
        <w:rPr>
          <w:rFonts w:ascii="Tw Cen MT" w:hAnsi="Tw Cen MT" w:cs="Times New Roman"/>
          <w:sz w:val="24"/>
          <w:szCs w:val="24"/>
          <w:lang w:val="en-GB"/>
        </w:rPr>
      </w:pPr>
      <w:r>
        <w:rPr>
          <w:rFonts w:ascii="Tw Cen MT" w:hAnsi="Tw Cen MT"/>
          <w:sz w:val="24"/>
          <w:szCs w:val="24"/>
        </w:rPr>
        <w:t>Revise Article 33(2) of the draft Persons with Disability Bill 2024 to explicitly include protections against torture, inhuman, or degrading treatment for all disability groups, including those with albinism and autism, and ensure that these protections apply to both children and adults with learning disabilities.</w:t>
      </w:r>
    </w:p>
    <w:p w14:paraId="4CC608BA" w14:textId="77777777" w:rsidR="00031F03" w:rsidRDefault="00000000">
      <w:pPr>
        <w:pStyle w:val="NormalWeb"/>
        <w:numPr>
          <w:ilvl w:val="0"/>
          <w:numId w:val="14"/>
        </w:numPr>
        <w:spacing w:line="360" w:lineRule="auto"/>
        <w:jc w:val="both"/>
        <w:rPr>
          <w:rFonts w:ascii="Tw Cen MT" w:hAnsi="Tw Cen MT"/>
        </w:rPr>
      </w:pPr>
      <w:r>
        <w:rPr>
          <w:rFonts w:ascii="Tw Cen MT" w:hAnsi="Tw Cen MT"/>
        </w:rPr>
        <w:t>Strengthen oversight and enforcement mechanisms to prevent coercion and forced treatment in mental health institutions, ensuring the rights of persons with psychosocial disabilities are respected and protected.</w:t>
      </w:r>
    </w:p>
    <w:p w14:paraId="64499891" w14:textId="77777777" w:rsidR="00031F03" w:rsidRDefault="00000000">
      <w:pPr>
        <w:pStyle w:val="NormalWeb"/>
        <w:numPr>
          <w:ilvl w:val="0"/>
          <w:numId w:val="14"/>
        </w:numPr>
        <w:spacing w:line="360" w:lineRule="auto"/>
        <w:jc w:val="both"/>
        <w:rPr>
          <w:rFonts w:ascii="Tw Cen MT" w:hAnsi="Tw Cen MT"/>
        </w:rPr>
      </w:pPr>
      <w:r>
        <w:rPr>
          <w:rFonts w:ascii="Tw Cen MT" w:hAnsi="Tw Cen MT"/>
        </w:rPr>
        <w:t>Enhance the implementation of existing legal provisions by establishing regular monitoring, reporting, and accountability mechanisms to ensure persons with disabilities are not subjected to torture or cruel, inhuman, or degrading treatment or punishment.</w:t>
      </w:r>
      <w:bookmarkStart w:id="25" w:name="_Toc90117944"/>
      <w:bookmarkStart w:id="26" w:name="_Toc95038753"/>
    </w:p>
    <w:p w14:paraId="766EDA13" w14:textId="77777777" w:rsidR="00031F03" w:rsidRDefault="00000000">
      <w:pPr>
        <w:pStyle w:val="Heading1"/>
        <w:rPr>
          <w:rFonts w:ascii="Tw Cen MT" w:hAnsi="Tw Cen MT"/>
          <w:b/>
          <w:bCs/>
          <w:color w:val="auto"/>
          <w:sz w:val="24"/>
          <w:szCs w:val="24"/>
          <w:lang w:val="en-GB"/>
        </w:rPr>
      </w:pPr>
      <w:bookmarkStart w:id="27" w:name="_Toc171581987"/>
      <w:r>
        <w:rPr>
          <w:rFonts w:ascii="Tw Cen MT" w:hAnsi="Tw Cen MT"/>
          <w:b/>
          <w:bCs/>
          <w:color w:val="auto"/>
          <w:sz w:val="24"/>
          <w:szCs w:val="24"/>
          <w:lang w:val="en-GB"/>
        </w:rPr>
        <w:t>Article 16: Freedom from Exploitation, Violence and Abuse</w:t>
      </w:r>
      <w:bookmarkEnd w:id="25"/>
      <w:bookmarkEnd w:id="26"/>
      <w:bookmarkEnd w:id="27"/>
    </w:p>
    <w:p w14:paraId="15B0FE38" w14:textId="77777777" w:rsidR="00031F03" w:rsidRDefault="00031F03">
      <w:pPr>
        <w:rPr>
          <w:lang w:val="en-GB"/>
        </w:rPr>
      </w:pPr>
    </w:p>
    <w:p w14:paraId="421572CD" w14:textId="77777777" w:rsidR="00031F03" w:rsidRDefault="00000000">
      <w:pPr>
        <w:pStyle w:val="ListParagraph"/>
        <w:numPr>
          <w:ilvl w:val="1"/>
          <w:numId w:val="2"/>
        </w:numPr>
        <w:spacing w:line="360" w:lineRule="auto"/>
        <w:jc w:val="both"/>
        <w:rPr>
          <w:rFonts w:ascii="Tw Cen MT" w:hAnsi="Tw Cen MT" w:cs="Times New Roman"/>
          <w:sz w:val="24"/>
          <w:szCs w:val="24"/>
          <w:lang w:val="en-GB"/>
        </w:rPr>
      </w:pPr>
      <w:r>
        <w:rPr>
          <w:rFonts w:ascii="Tw Cen MT" w:hAnsi="Tw Cen MT"/>
          <w:sz w:val="24"/>
          <w:szCs w:val="24"/>
        </w:rPr>
        <w:t xml:space="preserve">Persons with disabilities continue to face significant exploitation, violence, and abuse due to cultural, religious, and social norms. The Domestic Violence Act 2007 (Act 732) </w:t>
      </w:r>
      <w:r>
        <w:rPr>
          <w:rFonts w:ascii="Tw Cen MT" w:hAnsi="Tw Cen MT"/>
          <w:sz w:val="24"/>
          <w:szCs w:val="24"/>
        </w:rPr>
        <w:lastRenderedPageBreak/>
        <w:t>does not adequately address the unique challenges that persons with disabilities, particularly women, face. There are no specific provisions for training police officers, prosecutors, and judges on recognizing and responding to the forms of violence experienced by women and girls with disabilities.</w:t>
      </w:r>
    </w:p>
    <w:p w14:paraId="4BE1EEC0" w14:textId="77777777" w:rsidR="00031F03" w:rsidRDefault="00000000">
      <w:pPr>
        <w:pStyle w:val="ListParagraph"/>
        <w:numPr>
          <w:ilvl w:val="1"/>
          <w:numId w:val="2"/>
        </w:numPr>
        <w:spacing w:line="360" w:lineRule="auto"/>
        <w:jc w:val="both"/>
        <w:rPr>
          <w:rFonts w:ascii="Tw Cen MT" w:hAnsi="Tw Cen MT" w:cs="Times New Roman"/>
          <w:sz w:val="24"/>
          <w:szCs w:val="24"/>
          <w:lang w:val="en-GB"/>
        </w:rPr>
      </w:pPr>
      <w:bookmarkStart w:id="28" w:name="_Toc90117946"/>
      <w:bookmarkStart w:id="29" w:name="_Toc95038754"/>
      <w:r>
        <w:rPr>
          <w:rFonts w:ascii="Tw Cen MT" w:hAnsi="Tw Cen MT"/>
          <w:sz w:val="24"/>
          <w:szCs w:val="24"/>
        </w:rPr>
        <w:t>Victims with disabilities lack access to effective recovery and rehabilitation services. The justice system poses significant barriers, such as requiring persons with disabilities to pay for medical forms confirming abuse and facing mistrust from justice system actors. This mistrust, stemming from prejudices, often leads to doubts about the credibility of abuse claims made by persons with disabilities, including sexual abuse.</w:t>
      </w:r>
    </w:p>
    <w:p w14:paraId="35911225" w14:textId="77777777" w:rsidR="00031F03" w:rsidRDefault="00031F03">
      <w:pPr>
        <w:pStyle w:val="NoSpacing"/>
      </w:pPr>
    </w:p>
    <w:p w14:paraId="1971D97B" w14:textId="77777777" w:rsidR="00031F03" w:rsidRDefault="00031F03">
      <w:pPr>
        <w:pStyle w:val="NoSpacing"/>
      </w:pPr>
    </w:p>
    <w:p w14:paraId="3FB0F476"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w:t>
      </w:r>
      <w:bookmarkEnd w:id="28"/>
      <w:bookmarkEnd w:id="29"/>
      <w:r>
        <w:rPr>
          <w:rFonts w:ascii="Tw Cen MT" w:hAnsi="Tw Cen MT"/>
          <w:b/>
          <w:bCs/>
          <w:sz w:val="24"/>
          <w:szCs w:val="24"/>
        </w:rPr>
        <w:t>Recommendations</w:t>
      </w:r>
    </w:p>
    <w:p w14:paraId="029F363A" w14:textId="77777777" w:rsidR="00031F03" w:rsidRDefault="00031F03">
      <w:pPr>
        <w:rPr>
          <w:lang w:val="en-GB"/>
        </w:rPr>
      </w:pPr>
    </w:p>
    <w:p w14:paraId="30EFFD01" w14:textId="77777777" w:rsidR="00031F03" w:rsidRDefault="00000000">
      <w:pPr>
        <w:pStyle w:val="ListParagraph"/>
        <w:numPr>
          <w:ilvl w:val="1"/>
          <w:numId w:val="15"/>
        </w:numPr>
        <w:spacing w:line="360" w:lineRule="auto"/>
        <w:jc w:val="both"/>
        <w:rPr>
          <w:rFonts w:ascii="Tw Cen MT" w:hAnsi="Tw Cen MT"/>
          <w:sz w:val="24"/>
          <w:szCs w:val="24"/>
        </w:rPr>
      </w:pPr>
      <w:r>
        <w:rPr>
          <w:rFonts w:ascii="Tw Cen MT" w:hAnsi="Tw Cen MT"/>
          <w:sz w:val="24"/>
          <w:szCs w:val="24"/>
        </w:rPr>
        <w:t>Amend the Domestic Violence Act 2007 (Act 732) to include specific provisions for training police officers, prosecutors, and judges on recognizing and responding to the forms of violence experienced by women and girls with disabilities.</w:t>
      </w:r>
    </w:p>
    <w:p w14:paraId="01C9D01C" w14:textId="77777777" w:rsidR="00031F03" w:rsidRDefault="00000000">
      <w:pPr>
        <w:pStyle w:val="ListParagraph"/>
        <w:numPr>
          <w:ilvl w:val="1"/>
          <w:numId w:val="15"/>
        </w:numPr>
        <w:spacing w:line="360" w:lineRule="auto"/>
        <w:jc w:val="both"/>
        <w:rPr>
          <w:rFonts w:ascii="Tw Cen MT" w:hAnsi="Tw Cen MT"/>
          <w:sz w:val="24"/>
          <w:szCs w:val="24"/>
        </w:rPr>
      </w:pPr>
      <w:r>
        <w:rPr>
          <w:rFonts w:ascii="Tw Cen MT" w:hAnsi="Tw Cen MT"/>
          <w:sz w:val="24"/>
          <w:szCs w:val="24"/>
        </w:rPr>
        <w:t>Ensure victims with disabilities have access to free recovery and rehabilitation services, and remove barriers within the justice system, such as the requirement to pay for medical forms confirming abuse. Implement mandatory sensitivity training for justice system actors to address prejudices and improve the credibility assessment of abuse claims made by persons with disabilities.</w:t>
      </w:r>
    </w:p>
    <w:p w14:paraId="364163E4" w14:textId="77777777" w:rsidR="00031F03" w:rsidRDefault="00031F03">
      <w:pPr>
        <w:spacing w:line="360" w:lineRule="auto"/>
        <w:jc w:val="both"/>
        <w:rPr>
          <w:rFonts w:ascii="Tw Cen MT" w:hAnsi="Tw Cen MT" w:cs="Times New Roman"/>
          <w:sz w:val="24"/>
          <w:szCs w:val="24"/>
          <w:lang w:val="en-GB"/>
        </w:rPr>
      </w:pPr>
    </w:p>
    <w:p w14:paraId="05A1F1A2" w14:textId="77777777" w:rsidR="00031F03" w:rsidRDefault="00000000">
      <w:pPr>
        <w:pStyle w:val="Heading1"/>
        <w:rPr>
          <w:rFonts w:ascii="Tw Cen MT" w:hAnsi="Tw Cen MT"/>
          <w:b/>
          <w:bCs/>
          <w:color w:val="auto"/>
          <w:sz w:val="24"/>
          <w:szCs w:val="24"/>
        </w:rPr>
      </w:pPr>
      <w:bookmarkStart w:id="30" w:name="_Toc171581988"/>
      <w:r>
        <w:rPr>
          <w:rFonts w:ascii="Tw Cen MT" w:hAnsi="Tw Cen MT"/>
          <w:b/>
          <w:bCs/>
          <w:color w:val="auto"/>
          <w:sz w:val="24"/>
          <w:szCs w:val="24"/>
          <w:lang w:val="en-GB"/>
        </w:rPr>
        <w:t xml:space="preserve">Article 17: </w:t>
      </w:r>
      <w:r>
        <w:rPr>
          <w:rFonts w:ascii="Tw Cen MT" w:hAnsi="Tw Cen MT"/>
          <w:b/>
          <w:bCs/>
          <w:color w:val="auto"/>
          <w:sz w:val="24"/>
          <w:szCs w:val="24"/>
        </w:rPr>
        <w:t>Protecting the Integrity of the Person</w:t>
      </w:r>
      <w:bookmarkEnd w:id="30"/>
    </w:p>
    <w:p w14:paraId="30BF8920" w14:textId="77777777" w:rsidR="00031F03" w:rsidRDefault="00031F03"/>
    <w:p w14:paraId="3EFC7016"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17.1. Ghana’s Persons with Disability Act 715 frowns on using derogatory language to refer to persons with disabilities. However, there is no adequate protection of the integrity of persons with disabilities. </w:t>
      </w:r>
    </w:p>
    <w:p w14:paraId="7564BF33"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17.2. Persons with disabilities are not treated with dignity in most cases. For instance, persons with psychosocial disabilities are still being given forced treatment. Some women with disabilities are forced to do family planning against their will. </w:t>
      </w:r>
    </w:p>
    <w:p w14:paraId="3508051C" w14:textId="77777777" w:rsidR="00031F03" w:rsidRDefault="00031F03">
      <w:pPr>
        <w:pStyle w:val="NoSpacing"/>
        <w:rPr>
          <w:rFonts w:ascii="Tw Cen MT" w:hAnsi="Tw Cen MT"/>
          <w:b/>
          <w:bCs/>
          <w:sz w:val="24"/>
          <w:szCs w:val="24"/>
          <w:lang w:val="en-GB"/>
        </w:rPr>
      </w:pPr>
    </w:p>
    <w:p w14:paraId="0FB8C723" w14:textId="77777777" w:rsidR="00031F03" w:rsidRDefault="00031F03">
      <w:pPr>
        <w:pStyle w:val="NoSpacing"/>
        <w:rPr>
          <w:rFonts w:ascii="Tw Cen MT" w:hAnsi="Tw Cen MT"/>
          <w:b/>
          <w:bCs/>
          <w:sz w:val="24"/>
          <w:szCs w:val="24"/>
          <w:lang w:val="en-GB"/>
        </w:rPr>
      </w:pPr>
    </w:p>
    <w:p w14:paraId="3EBC3386" w14:textId="77777777" w:rsidR="00031F03" w:rsidRDefault="00000000">
      <w:pPr>
        <w:pStyle w:val="NoSpacing"/>
        <w:rPr>
          <w:rFonts w:ascii="Tw Cen MT" w:hAnsi="Tw Cen MT"/>
          <w:b/>
          <w:bCs/>
          <w:sz w:val="24"/>
          <w:szCs w:val="24"/>
          <w:lang w:val="en-GB"/>
        </w:rPr>
      </w:pPr>
      <w:r>
        <w:rPr>
          <w:rFonts w:ascii="Tw Cen MT" w:hAnsi="Tw Cen MT"/>
          <w:b/>
          <w:bCs/>
          <w:sz w:val="24"/>
          <w:szCs w:val="24"/>
          <w:lang w:val="en-GB"/>
        </w:rPr>
        <w:t>Proposed Recommendations</w:t>
      </w:r>
    </w:p>
    <w:p w14:paraId="55118328" w14:textId="77777777" w:rsidR="00031F03" w:rsidRDefault="00031F03">
      <w:pPr>
        <w:pStyle w:val="NoSpacing"/>
        <w:rPr>
          <w:rFonts w:ascii="Tw Cen MT" w:hAnsi="Tw Cen MT"/>
          <w:lang w:val="en-GB"/>
        </w:rPr>
      </w:pPr>
    </w:p>
    <w:p w14:paraId="1BE16974" w14:textId="77777777" w:rsidR="00031F03" w:rsidRDefault="00000000">
      <w:pPr>
        <w:pStyle w:val="NoSpacing"/>
        <w:numPr>
          <w:ilvl w:val="0"/>
          <w:numId w:val="28"/>
        </w:numPr>
        <w:spacing w:line="360" w:lineRule="auto"/>
        <w:jc w:val="both"/>
        <w:rPr>
          <w:rFonts w:ascii="Tw Cen MT" w:hAnsi="Tw Cen MT"/>
          <w:sz w:val="24"/>
          <w:szCs w:val="24"/>
        </w:rPr>
      </w:pPr>
      <w:r>
        <w:rPr>
          <w:rFonts w:ascii="Tw Cen MT" w:hAnsi="Tw Cen MT"/>
          <w:sz w:val="24"/>
          <w:szCs w:val="24"/>
        </w:rPr>
        <w:t>Amend the Persons with Disability Act 715 to include specific provisions that protect the integrity of persons with disabilities, in particular persons with intellectual and/or psychosocial disabilities, ensuring their dignity and respect in all aspects of life.</w:t>
      </w:r>
    </w:p>
    <w:p w14:paraId="31974B67" w14:textId="77777777" w:rsidR="00031F03" w:rsidRDefault="00000000">
      <w:pPr>
        <w:pStyle w:val="NoSpacing"/>
        <w:numPr>
          <w:ilvl w:val="0"/>
          <w:numId w:val="28"/>
        </w:numPr>
        <w:spacing w:line="360" w:lineRule="auto"/>
        <w:jc w:val="both"/>
        <w:rPr>
          <w:rFonts w:ascii="Tw Cen MT" w:hAnsi="Tw Cen MT"/>
          <w:sz w:val="24"/>
          <w:szCs w:val="24"/>
        </w:rPr>
      </w:pPr>
      <w:r>
        <w:rPr>
          <w:rFonts w:ascii="Tw Cen MT" w:hAnsi="Tw Cen MT"/>
          <w:sz w:val="24"/>
          <w:szCs w:val="24"/>
        </w:rPr>
        <w:lastRenderedPageBreak/>
        <w:t>The State should put in place measures to specifically prohibit forced sterilization and forced family planning of women and girls with disabilities, in particular women and girls with psychosocial and intellectual disabilities, autism and/or cerebral palsy.</w:t>
      </w:r>
    </w:p>
    <w:p w14:paraId="1434741B" w14:textId="77777777" w:rsidR="00031F03" w:rsidRDefault="00031F03">
      <w:pPr>
        <w:pStyle w:val="Heading1"/>
        <w:rPr>
          <w:rFonts w:ascii="Tw Cen MT" w:hAnsi="Tw Cen MT"/>
          <w:b/>
          <w:bCs/>
          <w:color w:val="auto"/>
          <w:sz w:val="24"/>
          <w:szCs w:val="24"/>
        </w:rPr>
      </w:pPr>
    </w:p>
    <w:p w14:paraId="3B56E070" w14:textId="77777777" w:rsidR="00031F03" w:rsidRDefault="00000000">
      <w:pPr>
        <w:pStyle w:val="Heading1"/>
        <w:rPr>
          <w:rFonts w:ascii="Tw Cen MT" w:hAnsi="Tw Cen MT"/>
          <w:b/>
          <w:bCs/>
          <w:color w:val="auto"/>
          <w:sz w:val="24"/>
          <w:szCs w:val="24"/>
        </w:rPr>
      </w:pPr>
      <w:bookmarkStart w:id="31" w:name="_Toc171581989"/>
      <w:r>
        <w:rPr>
          <w:rFonts w:ascii="Tw Cen MT" w:hAnsi="Tw Cen MT"/>
          <w:b/>
          <w:bCs/>
          <w:color w:val="auto"/>
          <w:sz w:val="24"/>
          <w:szCs w:val="24"/>
        </w:rPr>
        <w:t>Article 19: Living Independently and Being Included in the Community</w:t>
      </w:r>
      <w:bookmarkEnd w:id="31"/>
    </w:p>
    <w:p w14:paraId="0EECFE1C" w14:textId="77777777" w:rsidR="00031F03" w:rsidRDefault="00031F03"/>
    <w:p w14:paraId="34DD2E59"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19.1. Ghana's social welfare system inadequately supports the rights of persons with disabilities to live independently and be included in the community. In October 2020, Human Rights Watch (HRW) published a report,</w:t>
      </w:r>
      <w:r>
        <w:rPr>
          <w:rFonts w:ascii="Tw Cen MT" w:hAnsi="Tw Cen MT" w:cs="Times New Roman"/>
          <w:sz w:val="24"/>
          <w:szCs w:val="24"/>
          <w:vertAlign w:val="superscript"/>
        </w:rPr>
        <w:footnoteReference w:id="22"/>
      </w:r>
      <w:r>
        <w:rPr>
          <w:rFonts w:ascii="Tw Cen MT" w:hAnsi="Tw Cen MT" w:cs="Times New Roman"/>
          <w:sz w:val="24"/>
          <w:szCs w:val="24"/>
        </w:rPr>
        <w:t xml:space="preserve"> documenting the instances of neglect and abuse within residential care facilities for persons with psychosocial disabilities worldwide, including in Ghana, highlighting the failure of the State to provide community-based support services (CBSS). </w:t>
      </w:r>
    </w:p>
    <w:p w14:paraId="71764445"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19.2. Ghana currently lacks a comprehensive national framework for the closure of institutions and residential care facilities for persons with disabilities. This results in many individuals remaining in segregated environments, limiting their ability to integrate into society and live independently. Without a national plan, persons with disabilities remain excluded from mainstream society due to the lack of community-based support services that can facilitate their transition from institutionalized care to community living.</w:t>
      </w:r>
      <w:r>
        <w:rPr>
          <w:rFonts w:ascii="Tw Cen MT" w:hAnsi="Tw Cen MT" w:cs="Times New Roman"/>
          <w:sz w:val="24"/>
          <w:szCs w:val="24"/>
          <w:vertAlign w:val="superscript"/>
        </w:rPr>
        <w:footnoteReference w:id="23"/>
      </w:r>
      <w:r>
        <w:rPr>
          <w:rFonts w:ascii="Tw Cen MT" w:hAnsi="Tw Cen MT" w:cs="Times New Roman"/>
          <w:sz w:val="24"/>
          <w:szCs w:val="24"/>
        </w:rPr>
        <w:t xml:space="preserve"> </w:t>
      </w:r>
      <w:r>
        <w:rPr>
          <w:rFonts w:ascii="Tw Cen MT" w:hAnsi="Tw Cen MT" w:cs="Times New Roman"/>
          <w:sz w:val="24"/>
          <w:szCs w:val="24"/>
          <w:vertAlign w:val="superscript"/>
        </w:rPr>
        <w:footnoteReference w:id="24"/>
      </w:r>
    </w:p>
    <w:p w14:paraId="3960AE51"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19.3. The lack of accessible housing, support services, and social inclusion opportunities has hindered efforts to promote community-based living for persons with disabilities in Ghana. Many persons with disabilities still reside in institutional settings due to the absence of community-based alternatives.</w:t>
      </w:r>
      <w:r>
        <w:rPr>
          <w:rFonts w:ascii="Tw Cen MT" w:hAnsi="Tw Cen MT" w:cs="Times New Roman"/>
          <w:sz w:val="24"/>
          <w:szCs w:val="24"/>
          <w:vertAlign w:val="superscript"/>
        </w:rPr>
        <w:footnoteReference w:id="25"/>
      </w:r>
      <w:r>
        <w:rPr>
          <w:rFonts w:ascii="Tw Cen MT" w:hAnsi="Tw Cen MT" w:cs="Times New Roman"/>
          <w:sz w:val="24"/>
          <w:szCs w:val="24"/>
        </w:rPr>
        <w:t xml:space="preserve"> Inclusive education and employment opportunities are limited, leading to their social exclusion and dependence on institutional care. </w:t>
      </w:r>
    </w:p>
    <w:p w14:paraId="67C14D41"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19.4. The Ghana Statistical Service reports a high prevalence of institutionalization among persons with disabilities, highlighting the need for community-based support services and inclusion initiatives.</w:t>
      </w:r>
      <w:r>
        <w:rPr>
          <w:rFonts w:ascii="Tw Cen MT" w:hAnsi="Tw Cen MT" w:cs="Times New Roman"/>
          <w:sz w:val="24"/>
          <w:szCs w:val="24"/>
          <w:vertAlign w:val="superscript"/>
        </w:rPr>
        <w:footnoteReference w:id="26"/>
      </w:r>
      <w:r>
        <w:rPr>
          <w:rFonts w:ascii="Tw Cen MT" w:hAnsi="Tw Cen MT" w:cs="Times New Roman"/>
          <w:sz w:val="24"/>
          <w:szCs w:val="24"/>
        </w:rPr>
        <w:t xml:space="preserve"> </w:t>
      </w:r>
    </w:p>
    <w:p w14:paraId="6D91F5D8"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19.5. Again, there are insufficient community-based services available to support persons with disabilities. This includes healthcare, education, employment services, and social support networks. The referral systems within communities are often underdeveloped, leading to inadequate coordination and follow-up for individuals who need comprehensive support services</w:t>
      </w:r>
      <w:r>
        <w:rPr>
          <w:rFonts w:ascii="Arial" w:hAnsi="Arial" w:cs="Arial"/>
          <w:sz w:val="24"/>
          <w:szCs w:val="24"/>
        </w:rPr>
        <w:t>​</w:t>
      </w:r>
      <w:r>
        <w:rPr>
          <w:rFonts w:ascii="Tw Cen MT" w:hAnsi="Tw Cen MT" w:cs="Times New Roman"/>
          <w:sz w:val="24"/>
          <w:szCs w:val="24"/>
        </w:rPr>
        <w:t xml:space="preserve">. </w:t>
      </w:r>
    </w:p>
    <w:p w14:paraId="1391484C"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lastRenderedPageBreak/>
        <w:t>19.6. Accessible communication methods such as braille, sign language, and easy-to-read formats are not widely used in Ghana or available, making it difficult for persons with disabilities to access essential services and information in the community</w:t>
      </w:r>
      <w:r>
        <w:rPr>
          <w:rFonts w:ascii="Arial" w:hAnsi="Arial" w:cs="Arial"/>
          <w:sz w:val="24"/>
          <w:szCs w:val="24"/>
        </w:rPr>
        <w:t>​</w:t>
      </w:r>
      <w:r>
        <w:rPr>
          <w:rFonts w:ascii="Tw Cen MT" w:hAnsi="Tw Cen MT" w:cs="Times New Roman"/>
          <w:sz w:val="24"/>
          <w:szCs w:val="24"/>
        </w:rPr>
        <w:t xml:space="preserve">. </w:t>
      </w:r>
    </w:p>
    <w:p w14:paraId="478F4395"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19.7. Persons with disabilities frequently face significant economic barriers, including unemployment and underemployment, which undermine their ability to live independently. Social stigmatization and discrimination further hinder their participation in community life, affecting their overall quality of life and independence. </w:t>
      </w:r>
      <w:r>
        <w:rPr>
          <w:rFonts w:ascii="Arial" w:hAnsi="Arial" w:cs="Arial"/>
          <w:sz w:val="24"/>
          <w:szCs w:val="24"/>
        </w:rPr>
        <w:t>​</w:t>
      </w:r>
    </w:p>
    <w:p w14:paraId="5E2078E7" w14:textId="77777777" w:rsidR="00031F03" w:rsidRDefault="00031F03">
      <w:pPr>
        <w:pStyle w:val="NoSpacing"/>
        <w:rPr>
          <w:rFonts w:ascii="Tw Cen MT" w:hAnsi="Tw Cen MT"/>
          <w:b/>
          <w:bCs/>
          <w:sz w:val="24"/>
          <w:szCs w:val="24"/>
        </w:rPr>
      </w:pPr>
    </w:p>
    <w:p w14:paraId="1ECB2497"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Recommendations </w:t>
      </w:r>
    </w:p>
    <w:p w14:paraId="72477331" w14:textId="77777777" w:rsidR="00031F03" w:rsidRDefault="00031F03"/>
    <w:p w14:paraId="3A1B23CD" w14:textId="77777777" w:rsidR="00031F03" w:rsidRDefault="00000000">
      <w:pPr>
        <w:pStyle w:val="ListParagraph"/>
        <w:numPr>
          <w:ilvl w:val="1"/>
          <w:numId w:val="16"/>
        </w:numPr>
        <w:spacing w:line="360" w:lineRule="auto"/>
        <w:jc w:val="both"/>
        <w:rPr>
          <w:rFonts w:ascii="Tw Cen MT" w:hAnsi="Tw Cen MT" w:cs="Times New Roman"/>
          <w:sz w:val="24"/>
          <w:szCs w:val="24"/>
        </w:rPr>
      </w:pPr>
      <w:r>
        <w:rPr>
          <w:rFonts w:ascii="Tw Cen MT" w:hAnsi="Tw Cen MT"/>
          <w:sz w:val="24"/>
          <w:szCs w:val="24"/>
        </w:rPr>
        <w:t>The State should develop and implement comprehensive community-based support services (CBSS) to ensure persons with disabilities can live independently and be included in the community, as documented by Human Rights Watch in October 2020.</w:t>
      </w:r>
    </w:p>
    <w:p w14:paraId="3E3932D5" w14:textId="77777777" w:rsidR="00031F03" w:rsidRDefault="00000000">
      <w:pPr>
        <w:pStyle w:val="ListParagraph"/>
        <w:numPr>
          <w:ilvl w:val="1"/>
          <w:numId w:val="16"/>
        </w:numPr>
        <w:spacing w:line="360" w:lineRule="auto"/>
        <w:jc w:val="both"/>
        <w:rPr>
          <w:rFonts w:ascii="Tw Cen MT" w:hAnsi="Tw Cen MT" w:cs="Times New Roman"/>
          <w:sz w:val="24"/>
          <w:szCs w:val="24"/>
        </w:rPr>
      </w:pPr>
      <w:r>
        <w:rPr>
          <w:rFonts w:ascii="Tw Cen MT" w:hAnsi="Tw Cen MT"/>
          <w:sz w:val="24"/>
          <w:szCs w:val="24"/>
        </w:rPr>
        <w:t>The State should establish a national framework for the closure of institutions and residential care facilities, providing clear pathways and support for persons with disabilities to transition into community-based living arrangements.</w:t>
      </w:r>
    </w:p>
    <w:p w14:paraId="335FFA88" w14:textId="77777777" w:rsidR="00031F03" w:rsidRDefault="00000000">
      <w:pPr>
        <w:pStyle w:val="ListParagraph"/>
        <w:numPr>
          <w:ilvl w:val="1"/>
          <w:numId w:val="16"/>
        </w:numPr>
        <w:spacing w:line="360" w:lineRule="auto"/>
        <w:jc w:val="both"/>
        <w:rPr>
          <w:rFonts w:ascii="Tw Cen MT" w:hAnsi="Tw Cen MT" w:cs="Times New Roman"/>
          <w:sz w:val="24"/>
          <w:szCs w:val="24"/>
        </w:rPr>
      </w:pPr>
      <w:r>
        <w:rPr>
          <w:rFonts w:ascii="Tw Cen MT" w:hAnsi="Tw Cen MT"/>
          <w:sz w:val="24"/>
          <w:szCs w:val="24"/>
        </w:rPr>
        <w:t>The State should invest in accessible housing and robust support services to facilitate community-based living, ensuring persons with disabilities have access to inclusive education, employment opportunities, and social inclusion initiatives.</w:t>
      </w:r>
    </w:p>
    <w:p w14:paraId="041B157E" w14:textId="77777777" w:rsidR="00031F03" w:rsidRDefault="00000000">
      <w:pPr>
        <w:pStyle w:val="ListParagraph"/>
        <w:numPr>
          <w:ilvl w:val="1"/>
          <w:numId w:val="16"/>
        </w:numPr>
        <w:spacing w:line="360" w:lineRule="auto"/>
        <w:jc w:val="both"/>
        <w:rPr>
          <w:rFonts w:ascii="Tw Cen MT" w:hAnsi="Tw Cen MT" w:cs="Times New Roman"/>
          <w:sz w:val="24"/>
          <w:szCs w:val="24"/>
        </w:rPr>
      </w:pPr>
      <w:r>
        <w:rPr>
          <w:rFonts w:ascii="Tw Cen MT" w:hAnsi="Tw Cen MT"/>
          <w:sz w:val="24"/>
          <w:szCs w:val="24"/>
        </w:rPr>
        <w:t>The State should develop and expand community-based support services and inclusion initiatives, based on the high prevalence of institutionalization reported by the Ghana Statistical Service, to integrate persons with disabilities into mainstream society.</w:t>
      </w:r>
    </w:p>
    <w:p w14:paraId="1E142D56" w14:textId="77777777" w:rsidR="00031F03" w:rsidRDefault="00000000">
      <w:pPr>
        <w:pStyle w:val="ListParagraph"/>
        <w:numPr>
          <w:ilvl w:val="1"/>
          <w:numId w:val="16"/>
        </w:numPr>
        <w:spacing w:line="360" w:lineRule="auto"/>
        <w:jc w:val="both"/>
        <w:rPr>
          <w:rFonts w:ascii="Tw Cen MT" w:hAnsi="Tw Cen MT" w:cs="Times New Roman"/>
          <w:sz w:val="24"/>
          <w:szCs w:val="24"/>
        </w:rPr>
      </w:pPr>
      <w:r>
        <w:rPr>
          <w:rFonts w:ascii="Tw Cen MT" w:hAnsi="Tw Cen MT"/>
          <w:sz w:val="24"/>
          <w:szCs w:val="24"/>
        </w:rPr>
        <w:t>Enhance referral systems and coordination among healthcare, education, employment, and social support networks to provide comprehensive community-based services for persons with disabilities.</w:t>
      </w:r>
    </w:p>
    <w:p w14:paraId="071BF651" w14:textId="77777777" w:rsidR="00031F03" w:rsidRDefault="00000000">
      <w:pPr>
        <w:pStyle w:val="ListParagraph"/>
        <w:numPr>
          <w:ilvl w:val="1"/>
          <w:numId w:val="16"/>
        </w:numPr>
        <w:spacing w:line="360" w:lineRule="auto"/>
        <w:jc w:val="both"/>
        <w:rPr>
          <w:rFonts w:ascii="Tw Cen MT" w:hAnsi="Tw Cen MT" w:cs="Times New Roman"/>
          <w:sz w:val="24"/>
          <w:szCs w:val="24"/>
        </w:rPr>
      </w:pPr>
      <w:r>
        <w:rPr>
          <w:rFonts w:ascii="Tw Cen MT" w:hAnsi="Tw Cen MT"/>
          <w:sz w:val="24"/>
          <w:szCs w:val="24"/>
        </w:rPr>
        <w:t>Ensure the widespread availability and use of accessible communication methods, such as Braille, sign language, and easy-to-read formats, to enable persons with disabilities to access essential services and information.</w:t>
      </w:r>
    </w:p>
    <w:p w14:paraId="56C52C22" w14:textId="77777777" w:rsidR="00031F03" w:rsidRDefault="00000000">
      <w:pPr>
        <w:pStyle w:val="ListParagraph"/>
        <w:numPr>
          <w:ilvl w:val="1"/>
          <w:numId w:val="16"/>
        </w:numPr>
        <w:spacing w:line="360" w:lineRule="auto"/>
        <w:jc w:val="both"/>
        <w:rPr>
          <w:rFonts w:ascii="Tw Cen MT" w:hAnsi="Tw Cen MT" w:cs="Times New Roman"/>
          <w:sz w:val="24"/>
          <w:szCs w:val="24"/>
        </w:rPr>
      </w:pPr>
      <w:r>
        <w:rPr>
          <w:rFonts w:ascii="Tw Cen MT" w:hAnsi="Tw Cen MT"/>
          <w:sz w:val="24"/>
          <w:szCs w:val="24"/>
        </w:rPr>
        <w:t>The State should implement policies to combat unemployment and underemployment among persons with disabilities, addressing social stigmatization and discrimination to enhance their economic independence and participation in community life.</w:t>
      </w:r>
    </w:p>
    <w:p w14:paraId="653B02B8" w14:textId="77777777" w:rsidR="00031F03" w:rsidRDefault="00031F03">
      <w:pPr>
        <w:spacing w:line="360" w:lineRule="auto"/>
        <w:jc w:val="both"/>
        <w:rPr>
          <w:rFonts w:ascii="Tw Cen MT" w:hAnsi="Tw Cen MT" w:cs="Times New Roman"/>
          <w:b/>
          <w:bCs/>
          <w:sz w:val="24"/>
          <w:szCs w:val="24"/>
          <w:lang w:val="en-GB"/>
        </w:rPr>
      </w:pPr>
      <w:bookmarkStart w:id="32" w:name="_Toc90117951"/>
      <w:bookmarkStart w:id="33" w:name="_Toc95038759"/>
    </w:p>
    <w:p w14:paraId="23E43C0A" w14:textId="77777777" w:rsidR="00031F03" w:rsidRDefault="00000000">
      <w:pPr>
        <w:pStyle w:val="Heading1"/>
        <w:rPr>
          <w:rFonts w:ascii="Tw Cen MT" w:hAnsi="Tw Cen MT"/>
          <w:b/>
          <w:bCs/>
          <w:color w:val="auto"/>
          <w:sz w:val="24"/>
          <w:szCs w:val="24"/>
          <w:lang w:val="en-GB"/>
        </w:rPr>
      </w:pPr>
      <w:bookmarkStart w:id="34" w:name="_Toc171581990"/>
      <w:r>
        <w:rPr>
          <w:rFonts w:ascii="Tw Cen MT" w:hAnsi="Tw Cen MT"/>
          <w:b/>
          <w:bCs/>
          <w:color w:val="auto"/>
          <w:sz w:val="24"/>
          <w:szCs w:val="24"/>
          <w:lang w:val="en-GB"/>
        </w:rPr>
        <w:t>Article 20: Personal Mobility</w:t>
      </w:r>
      <w:bookmarkEnd w:id="32"/>
      <w:bookmarkEnd w:id="33"/>
      <w:bookmarkEnd w:id="34"/>
    </w:p>
    <w:p w14:paraId="05E01464" w14:textId="77777777" w:rsidR="00031F03" w:rsidRDefault="00031F03">
      <w:pPr>
        <w:rPr>
          <w:lang w:val="en-GB"/>
        </w:rPr>
      </w:pPr>
    </w:p>
    <w:p w14:paraId="007B021F" w14:textId="77777777" w:rsidR="00031F03" w:rsidRDefault="00000000">
      <w:pPr>
        <w:pStyle w:val="ListParagraph"/>
        <w:numPr>
          <w:ilvl w:val="1"/>
          <w:numId w:val="3"/>
        </w:numPr>
        <w:spacing w:line="360" w:lineRule="auto"/>
        <w:jc w:val="both"/>
        <w:rPr>
          <w:rFonts w:ascii="Tw Cen MT" w:hAnsi="Tw Cen MT" w:cs="Times New Roman"/>
          <w:sz w:val="24"/>
          <w:szCs w:val="24"/>
          <w:lang w:val="en-GB"/>
        </w:rPr>
      </w:pPr>
      <w:r>
        <w:rPr>
          <w:rFonts w:ascii="Tw Cen MT" w:hAnsi="Tw Cen MT" w:cs="Times New Roman"/>
          <w:sz w:val="24"/>
          <w:szCs w:val="24"/>
          <w:lang w:val="en-GB"/>
        </w:rPr>
        <w:lastRenderedPageBreak/>
        <w:t xml:space="preserve">Section 36 of </w:t>
      </w:r>
      <w:r>
        <w:rPr>
          <w:rFonts w:ascii="Tw Cen MT" w:hAnsi="Tw Cen MT" w:cs="Times New Roman"/>
          <w:sz w:val="24"/>
          <w:szCs w:val="24"/>
        </w:rPr>
        <w:t xml:space="preserve">Ghana’s Persons with Disability </w:t>
      </w:r>
      <w:r>
        <w:rPr>
          <w:rFonts w:ascii="Tw Cen MT" w:hAnsi="Tw Cen MT" w:cs="Times New Roman"/>
          <w:sz w:val="24"/>
          <w:szCs w:val="24"/>
          <w:lang w:val="en-GB"/>
        </w:rPr>
        <w:t xml:space="preserve">Act provides that “a person who manufactures technical aids or appliances in the country for the use of persons with disability shall be given tax exemption” determined by the Minister responsible for disability issues in consultation with the Minister for Finance through the enactment of regulations. However, no regulations have been produced and this has not been put into effect. </w:t>
      </w:r>
    </w:p>
    <w:p w14:paraId="0A0CFECF" w14:textId="77777777" w:rsidR="00031F03" w:rsidRDefault="00000000">
      <w:pPr>
        <w:pStyle w:val="BodyText"/>
        <w:widowControl/>
        <w:numPr>
          <w:ilvl w:val="1"/>
          <w:numId w:val="3"/>
        </w:numPr>
        <w:autoSpaceDE/>
        <w:autoSpaceDN/>
        <w:spacing w:line="360" w:lineRule="auto"/>
        <w:contextualSpacing/>
        <w:jc w:val="both"/>
        <w:rPr>
          <w:rFonts w:ascii="Tw Cen MT" w:hAnsi="Tw Cen MT" w:cs="Times New Roman"/>
          <w:sz w:val="24"/>
          <w:szCs w:val="24"/>
          <w:lang w:val="en-GB"/>
        </w:rPr>
      </w:pPr>
      <w:r>
        <w:rPr>
          <w:rFonts w:ascii="Tw Cen MT" w:hAnsi="Tw Cen MT" w:cs="Times New Roman"/>
          <w:sz w:val="24"/>
          <w:szCs w:val="24"/>
          <w:lang w:val="en-GB"/>
        </w:rPr>
        <w:t>While Act 715 provides for the possibility of tax incentives for manufacturers, it does not require any provision for access to assistive devices and technology, which falls short of the requirements of the CRPD and fails to acknowledge the critical nature of such devices and technology for persons with disabilities.  The Persons with Disability Bill, 2024, contains a similar provision to section 36 of the Act, though also prescribing a specific role for the National Commission on Disability Inclusion in annually “prepare and submit a “list of technical aids and appliances to the Minister responsible for Finance for tax exemption” and publishing annually “a list of local manufacturers of technical aids or appliances for the use of persons with disabilities”.</w:t>
      </w:r>
      <w:r>
        <w:rPr>
          <w:rStyle w:val="FootnoteReference"/>
          <w:rFonts w:ascii="Tw Cen MT" w:hAnsi="Tw Cen MT" w:cs="Times New Roman"/>
          <w:sz w:val="24"/>
          <w:szCs w:val="24"/>
          <w:lang w:val="en-GB"/>
        </w:rPr>
        <w:footnoteReference w:id="27"/>
      </w:r>
    </w:p>
    <w:p w14:paraId="77C6D0DA" w14:textId="77777777" w:rsidR="00031F03" w:rsidRDefault="00000000">
      <w:pPr>
        <w:pStyle w:val="ListParagraph"/>
        <w:numPr>
          <w:ilvl w:val="1"/>
          <w:numId w:val="3"/>
        </w:numPr>
        <w:spacing w:line="360" w:lineRule="auto"/>
        <w:jc w:val="both"/>
        <w:rPr>
          <w:rFonts w:ascii="Tw Cen MT" w:hAnsi="Tw Cen MT" w:cs="Times New Roman"/>
          <w:sz w:val="24"/>
          <w:szCs w:val="24"/>
          <w:lang w:val="en-GB"/>
        </w:rPr>
      </w:pPr>
      <w:r>
        <w:rPr>
          <w:rFonts w:ascii="Tw Cen MT" w:hAnsi="Tw Cen MT" w:cs="Times New Roman"/>
          <w:sz w:val="24"/>
          <w:szCs w:val="24"/>
          <w:lang w:val="en-GB"/>
        </w:rPr>
        <w:t>In addition, assistive technologies are not covered by the National Health Insurance Scheme (NHIS), which also explicitly excludes from coverage “appliances and prosthesis including optical aids, hearing aids, orthopaedic aids and dentures”</w:t>
      </w:r>
      <w:r>
        <w:rPr>
          <w:rStyle w:val="FootnoteReference"/>
          <w:rFonts w:ascii="Tw Cen MT" w:hAnsi="Tw Cen MT" w:cs="Times New Roman"/>
          <w:sz w:val="24"/>
          <w:szCs w:val="24"/>
          <w:lang w:val="en-GB"/>
        </w:rPr>
        <w:footnoteReference w:id="28"/>
      </w:r>
      <w:r>
        <w:rPr>
          <w:rFonts w:ascii="Tw Cen MT" w:hAnsi="Tw Cen MT" w:cs="Times New Roman"/>
          <w:sz w:val="24"/>
          <w:szCs w:val="24"/>
          <w:lang w:val="en-GB"/>
        </w:rPr>
        <w:t xml:space="preserve"> and in practice does not cover any assistive devices. This makes it almost impossible for ordinary persons with disabilities, particularly the poor, to have access to such devices. </w:t>
      </w:r>
    </w:p>
    <w:p w14:paraId="41C35C1A" w14:textId="77777777" w:rsidR="00031F03" w:rsidRDefault="00000000">
      <w:pPr>
        <w:pStyle w:val="ListParagraph"/>
        <w:numPr>
          <w:ilvl w:val="1"/>
          <w:numId w:val="3"/>
        </w:numPr>
        <w:spacing w:line="360" w:lineRule="auto"/>
        <w:jc w:val="both"/>
        <w:rPr>
          <w:rFonts w:ascii="Tw Cen MT" w:hAnsi="Tw Cen MT" w:cs="Times New Roman"/>
          <w:sz w:val="24"/>
          <w:szCs w:val="24"/>
          <w:lang w:val="en-GB"/>
        </w:rPr>
      </w:pPr>
      <w:r>
        <w:rPr>
          <w:rFonts w:ascii="Tw Cen MT" w:hAnsi="Tw Cen MT" w:cs="Times New Roman"/>
          <w:sz w:val="24"/>
          <w:szCs w:val="24"/>
          <w:lang w:val="en-GB"/>
        </w:rPr>
        <w:t>There are also inadequate numbers of orientation and mobility instructors and specialist staff, to train persons with disabilities and staff of public spaces in mobility skills. Where such instructors are available, for instance in some schools for children with disabilities, some evidence exists that they may be teachers or other staff untrained in how to provide such instruction.</w:t>
      </w:r>
      <w:r>
        <w:rPr>
          <w:rStyle w:val="FootnoteReference"/>
          <w:rFonts w:ascii="Tw Cen MT" w:hAnsi="Tw Cen MT" w:cs="Times New Roman"/>
          <w:sz w:val="24"/>
          <w:szCs w:val="24"/>
          <w:lang w:val="en-GB"/>
        </w:rPr>
        <w:footnoteReference w:id="29"/>
      </w:r>
    </w:p>
    <w:p w14:paraId="6B891BB3" w14:textId="77777777" w:rsidR="00031F03" w:rsidRDefault="00000000">
      <w:pPr>
        <w:pStyle w:val="ListParagraph"/>
        <w:numPr>
          <w:ilvl w:val="1"/>
          <w:numId w:val="3"/>
        </w:numPr>
        <w:spacing w:line="360" w:lineRule="auto"/>
        <w:jc w:val="both"/>
        <w:rPr>
          <w:rFonts w:ascii="Tw Cen MT" w:hAnsi="Tw Cen MT" w:cs="Times New Roman"/>
          <w:sz w:val="24"/>
          <w:szCs w:val="24"/>
          <w:lang w:val="en-GB"/>
        </w:rPr>
      </w:pPr>
      <w:r>
        <w:rPr>
          <w:rFonts w:ascii="Tw Cen MT" w:hAnsi="Tw Cen MT" w:cs="Times New Roman"/>
          <w:sz w:val="24"/>
          <w:szCs w:val="24"/>
          <w:lang w:val="en-GB"/>
        </w:rPr>
        <w:t xml:space="preserve">Access to transportation continues to remain a major challenge for persons with disabilities in Ghana. </w:t>
      </w:r>
      <w:r>
        <w:rPr>
          <w:rFonts w:ascii="Tw Cen MT" w:hAnsi="Tw Cen MT" w:cs="Times New Roman"/>
          <w:sz w:val="24"/>
          <w:szCs w:val="24"/>
        </w:rPr>
        <w:t xml:space="preserve">The Persons with Disability </w:t>
      </w:r>
      <w:r>
        <w:rPr>
          <w:rFonts w:ascii="Tw Cen MT" w:hAnsi="Tw Cen MT" w:cs="Times New Roman"/>
          <w:sz w:val="24"/>
          <w:szCs w:val="24"/>
          <w:lang w:val="en-GB"/>
        </w:rPr>
        <w:t>Act contains a range of provisions relating to transport, including a requirement to reserve seats on commercial busses for persons with disabilities;</w:t>
      </w:r>
      <w:r>
        <w:rPr>
          <w:rStyle w:val="FootnoteReference"/>
          <w:rFonts w:ascii="Tw Cen MT" w:hAnsi="Tw Cen MT" w:cs="Times New Roman"/>
          <w:sz w:val="24"/>
          <w:szCs w:val="24"/>
          <w:lang w:val="en-GB"/>
        </w:rPr>
        <w:footnoteReference w:id="30"/>
      </w:r>
      <w:r>
        <w:rPr>
          <w:rFonts w:ascii="Tw Cen MT" w:hAnsi="Tw Cen MT" w:cs="Times New Roman"/>
          <w:sz w:val="24"/>
          <w:szCs w:val="24"/>
          <w:lang w:val="en-GB"/>
        </w:rPr>
        <w:t xml:space="preserve"> an obligation for the Government to ensure that the “design, construction and operation of the transportation network” take into account </w:t>
      </w:r>
      <w:r>
        <w:rPr>
          <w:rFonts w:ascii="Tw Cen MT" w:hAnsi="Tw Cen MT" w:cs="Times New Roman"/>
          <w:sz w:val="24"/>
          <w:szCs w:val="24"/>
          <w:lang w:val="en-GB"/>
        </w:rPr>
        <w:lastRenderedPageBreak/>
        <w:t>the needs of persons with disabilities;</w:t>
      </w:r>
      <w:r>
        <w:rPr>
          <w:rStyle w:val="FootnoteReference"/>
          <w:rFonts w:ascii="Tw Cen MT" w:hAnsi="Tw Cen MT" w:cs="Times New Roman"/>
          <w:sz w:val="24"/>
          <w:szCs w:val="24"/>
          <w:lang w:val="en-GB"/>
        </w:rPr>
        <w:footnoteReference w:id="31"/>
      </w:r>
      <w:r>
        <w:rPr>
          <w:rFonts w:ascii="Tw Cen MT" w:hAnsi="Tw Cen MT" w:cs="Times New Roman"/>
          <w:sz w:val="24"/>
          <w:szCs w:val="24"/>
          <w:lang w:val="en-GB"/>
        </w:rPr>
        <w:t xml:space="preserve"> a special allowance for persons with disabilities to import vehicles “adapted or modified for use by persons with disability”;</w:t>
      </w:r>
      <w:r>
        <w:rPr>
          <w:rStyle w:val="FootnoteReference"/>
          <w:rFonts w:ascii="Tw Cen MT" w:hAnsi="Tw Cen MT" w:cs="Times New Roman"/>
          <w:sz w:val="24"/>
          <w:szCs w:val="24"/>
          <w:lang w:val="en-GB"/>
        </w:rPr>
        <w:footnoteReference w:id="32"/>
      </w:r>
      <w:r>
        <w:rPr>
          <w:rFonts w:ascii="Tw Cen MT" w:hAnsi="Tw Cen MT" w:cs="Times New Roman"/>
          <w:sz w:val="24"/>
          <w:szCs w:val="24"/>
          <w:lang w:val="en-GB"/>
        </w:rPr>
        <w:t xml:space="preserve"> rules pertaining to motorist conduct in respect of pedestrians with disabilities;</w:t>
      </w:r>
      <w:r>
        <w:rPr>
          <w:rStyle w:val="FootnoteReference"/>
          <w:rFonts w:ascii="Tw Cen MT" w:hAnsi="Tw Cen MT" w:cs="Times New Roman"/>
          <w:sz w:val="24"/>
          <w:szCs w:val="24"/>
          <w:lang w:val="en-GB"/>
        </w:rPr>
        <w:footnoteReference w:id="33"/>
      </w:r>
      <w:r>
        <w:rPr>
          <w:rFonts w:ascii="Tw Cen MT" w:hAnsi="Tw Cen MT" w:cs="Times New Roman"/>
          <w:sz w:val="24"/>
          <w:szCs w:val="24"/>
          <w:lang w:val="en-GB"/>
        </w:rPr>
        <w:t xml:space="preserve"> rules pertaining to parking places for persons with disabilities.</w:t>
      </w:r>
      <w:r>
        <w:rPr>
          <w:rStyle w:val="FootnoteReference"/>
          <w:rFonts w:ascii="Tw Cen MT" w:hAnsi="Tw Cen MT" w:cs="Times New Roman"/>
          <w:sz w:val="24"/>
          <w:szCs w:val="24"/>
          <w:lang w:val="en-GB"/>
        </w:rPr>
        <w:footnoteReference w:id="34"/>
      </w:r>
    </w:p>
    <w:p w14:paraId="73CDE26E" w14:textId="77777777" w:rsidR="00031F03" w:rsidRDefault="00000000">
      <w:pPr>
        <w:pStyle w:val="ListParagraph"/>
        <w:numPr>
          <w:ilvl w:val="1"/>
          <w:numId w:val="3"/>
        </w:numPr>
        <w:spacing w:line="360" w:lineRule="auto"/>
        <w:jc w:val="both"/>
        <w:rPr>
          <w:rFonts w:ascii="Tw Cen MT" w:hAnsi="Tw Cen MT" w:cs="Times New Roman"/>
          <w:sz w:val="24"/>
          <w:szCs w:val="24"/>
          <w:lang w:val="en-GB"/>
        </w:rPr>
      </w:pPr>
      <w:r>
        <w:rPr>
          <w:rFonts w:ascii="Tw Cen MT" w:hAnsi="Tw Cen MT" w:cs="Times New Roman"/>
          <w:sz w:val="24"/>
          <w:szCs w:val="24"/>
          <w:lang w:val="en-GB"/>
        </w:rPr>
        <w:t>Despite contravention of these provisions being made an offense,</w:t>
      </w:r>
      <w:r>
        <w:rPr>
          <w:rStyle w:val="FootnoteReference"/>
          <w:rFonts w:ascii="Tw Cen MT" w:hAnsi="Tw Cen MT" w:cs="Times New Roman"/>
          <w:sz w:val="24"/>
          <w:szCs w:val="24"/>
          <w:lang w:val="en-GB"/>
        </w:rPr>
        <w:footnoteReference w:id="35"/>
      </w:r>
      <w:r>
        <w:rPr>
          <w:rFonts w:ascii="Tw Cen MT" w:hAnsi="Tw Cen MT" w:cs="Times New Roman"/>
          <w:sz w:val="24"/>
          <w:szCs w:val="24"/>
          <w:lang w:val="en-GB"/>
        </w:rPr>
        <w:t xml:space="preserve"> </w:t>
      </w:r>
      <w:r>
        <w:rPr>
          <w:rFonts w:ascii="Tw Cen MT" w:hAnsi="Tw Cen MT"/>
          <w:sz w:val="24"/>
          <w:szCs w:val="24"/>
        </w:rPr>
        <w:t>accessibility provisions are largely unimplemented. Roads remain inaccessible, with uncovered gutters, a lack of tactile walkways, and obstructions that hinder use by persons with physical disabilities and visual impairments. Additionally, newly built footbridges continue to pose challenges, particularly for wheelchair users.</w:t>
      </w:r>
    </w:p>
    <w:p w14:paraId="5F587EF0" w14:textId="77777777" w:rsidR="00031F03" w:rsidRDefault="00000000">
      <w:pPr>
        <w:pStyle w:val="ListParagraph"/>
        <w:numPr>
          <w:ilvl w:val="1"/>
          <w:numId w:val="3"/>
        </w:numPr>
        <w:spacing w:line="360" w:lineRule="auto"/>
        <w:jc w:val="both"/>
        <w:rPr>
          <w:rFonts w:ascii="Tw Cen MT" w:hAnsi="Tw Cen MT" w:cs="Times New Roman"/>
          <w:sz w:val="24"/>
          <w:szCs w:val="24"/>
          <w:lang w:val="en-GB"/>
        </w:rPr>
      </w:pPr>
      <w:r>
        <w:rPr>
          <w:rFonts w:ascii="Tw Cen MT" w:hAnsi="Tw Cen MT" w:cs="Times New Roman"/>
          <w:sz w:val="24"/>
          <w:szCs w:val="24"/>
          <w:lang w:val="en-GB"/>
        </w:rPr>
        <w:t xml:space="preserve">Ghana has still not ratified the Convention on International Civil Aviation (Chicago Convention, 1944) which has provisions relating to travel by air for persons with disabilities. According to the domestic air carrier, the small nature of their aircraft and insurance policy do not allow them to carry wheelchairs.  </w:t>
      </w:r>
      <w:bookmarkStart w:id="35" w:name="_Toc90117952"/>
      <w:bookmarkStart w:id="36" w:name="_Toc95038760"/>
    </w:p>
    <w:p w14:paraId="610AA33D" w14:textId="77777777" w:rsidR="00031F03" w:rsidRDefault="00031F03">
      <w:pPr>
        <w:pStyle w:val="NoSpacing"/>
        <w:rPr>
          <w:rFonts w:ascii="Tw Cen MT" w:hAnsi="Tw Cen MT"/>
          <w:b/>
          <w:bCs/>
          <w:sz w:val="24"/>
          <w:szCs w:val="24"/>
          <w:lang w:val="en-GB"/>
        </w:rPr>
      </w:pPr>
    </w:p>
    <w:p w14:paraId="70254422" w14:textId="77777777" w:rsidR="00031F03" w:rsidRDefault="00031F03">
      <w:pPr>
        <w:pStyle w:val="NoSpacing"/>
        <w:rPr>
          <w:rFonts w:ascii="Tw Cen MT" w:hAnsi="Tw Cen MT"/>
          <w:b/>
          <w:bCs/>
          <w:sz w:val="24"/>
          <w:szCs w:val="24"/>
          <w:lang w:val="en-GB"/>
        </w:rPr>
      </w:pPr>
    </w:p>
    <w:p w14:paraId="60B3B88C" w14:textId="77777777" w:rsidR="00031F03" w:rsidRDefault="00000000">
      <w:pPr>
        <w:pStyle w:val="NoSpacing"/>
        <w:rPr>
          <w:rFonts w:ascii="Tw Cen MT" w:hAnsi="Tw Cen MT"/>
          <w:b/>
          <w:bCs/>
          <w:sz w:val="24"/>
          <w:szCs w:val="24"/>
          <w:lang w:val="en-GB"/>
        </w:rPr>
      </w:pPr>
      <w:r>
        <w:rPr>
          <w:rFonts w:ascii="Tw Cen MT" w:hAnsi="Tw Cen MT"/>
          <w:b/>
          <w:bCs/>
          <w:sz w:val="24"/>
          <w:szCs w:val="24"/>
          <w:lang w:val="en-GB"/>
        </w:rPr>
        <w:t xml:space="preserve">Proposed Recommendations </w:t>
      </w:r>
      <w:bookmarkEnd w:id="35"/>
      <w:bookmarkEnd w:id="36"/>
    </w:p>
    <w:p w14:paraId="69BBB7C9" w14:textId="77777777" w:rsidR="00031F03" w:rsidRDefault="00031F03">
      <w:pPr>
        <w:rPr>
          <w:lang w:val="en-GB"/>
        </w:rPr>
      </w:pPr>
    </w:p>
    <w:p w14:paraId="61868D8F" w14:textId="77777777" w:rsidR="00031F03" w:rsidRDefault="00000000">
      <w:pPr>
        <w:pStyle w:val="ListParagraph"/>
        <w:numPr>
          <w:ilvl w:val="1"/>
          <w:numId w:val="17"/>
        </w:numPr>
        <w:spacing w:line="360" w:lineRule="auto"/>
        <w:jc w:val="both"/>
        <w:rPr>
          <w:rFonts w:ascii="Tw Cen MT" w:hAnsi="Tw Cen MT" w:cs="Times New Roman"/>
          <w:sz w:val="24"/>
          <w:szCs w:val="24"/>
          <w:lang w:val="en-GB"/>
        </w:rPr>
      </w:pPr>
      <w:r>
        <w:rPr>
          <w:rFonts w:ascii="Tw Cen MT" w:hAnsi="Tw Cen MT"/>
          <w:sz w:val="24"/>
          <w:szCs w:val="24"/>
        </w:rPr>
        <w:t>Expedite the development and implementation of regulations for Section 36 of the Persons with Disability Act to ensure tax exemptions for manufacturers of technical aids and appliances are effectively put into practice.</w:t>
      </w:r>
    </w:p>
    <w:p w14:paraId="01F1843D" w14:textId="77777777" w:rsidR="00031F03" w:rsidRDefault="00000000">
      <w:pPr>
        <w:pStyle w:val="ListParagraph"/>
        <w:numPr>
          <w:ilvl w:val="1"/>
          <w:numId w:val="17"/>
        </w:numPr>
        <w:spacing w:line="360" w:lineRule="auto"/>
        <w:jc w:val="both"/>
        <w:rPr>
          <w:rFonts w:ascii="Tw Cen MT" w:hAnsi="Tw Cen MT" w:cs="Times New Roman"/>
          <w:sz w:val="24"/>
          <w:szCs w:val="24"/>
          <w:lang w:val="en-GB"/>
        </w:rPr>
      </w:pPr>
      <w:r>
        <w:rPr>
          <w:rFonts w:ascii="Tw Cen MT" w:hAnsi="Tw Cen MT"/>
          <w:sz w:val="24"/>
          <w:szCs w:val="24"/>
        </w:rPr>
        <w:t>Review and amend the Persons with Disability Bill, 2024, to explicitly require the provision of access to essential assistive devices and technology, in alignment with the CRPD, and ensure these are affordable and accessible to all persons with disabilities.</w:t>
      </w:r>
    </w:p>
    <w:p w14:paraId="296AD11B" w14:textId="77777777" w:rsidR="00031F03" w:rsidRDefault="00000000">
      <w:pPr>
        <w:pStyle w:val="ListParagraph"/>
        <w:numPr>
          <w:ilvl w:val="1"/>
          <w:numId w:val="17"/>
        </w:numPr>
        <w:spacing w:line="360" w:lineRule="auto"/>
        <w:jc w:val="both"/>
        <w:rPr>
          <w:rFonts w:ascii="Tw Cen MT" w:hAnsi="Tw Cen MT" w:cs="Times New Roman"/>
          <w:sz w:val="24"/>
          <w:szCs w:val="24"/>
          <w:lang w:val="en-GB"/>
        </w:rPr>
      </w:pPr>
      <w:r>
        <w:rPr>
          <w:rFonts w:ascii="Tw Cen MT" w:hAnsi="Tw Cen MT"/>
          <w:sz w:val="24"/>
          <w:szCs w:val="24"/>
        </w:rPr>
        <w:t>Revise the National Health Insurance Scheme (NHIS) to include coverage for assistive devices such as optical aids, hearing aids, orthopedic aids, and other necessary appliances, ensuring affordability for all persons with disabilities.</w:t>
      </w:r>
    </w:p>
    <w:p w14:paraId="01E4D474" w14:textId="77777777" w:rsidR="00031F03" w:rsidRDefault="00000000">
      <w:pPr>
        <w:pStyle w:val="ListParagraph"/>
        <w:numPr>
          <w:ilvl w:val="1"/>
          <w:numId w:val="17"/>
        </w:numPr>
        <w:spacing w:line="360" w:lineRule="auto"/>
        <w:jc w:val="both"/>
        <w:rPr>
          <w:rFonts w:ascii="Tw Cen MT" w:hAnsi="Tw Cen MT" w:cs="Times New Roman"/>
          <w:sz w:val="24"/>
          <w:szCs w:val="24"/>
          <w:lang w:val="en-GB"/>
        </w:rPr>
      </w:pPr>
      <w:r>
        <w:rPr>
          <w:rFonts w:ascii="Tw Cen MT" w:hAnsi="Tw Cen MT"/>
          <w:sz w:val="24"/>
          <w:szCs w:val="24"/>
        </w:rPr>
        <w:t>Invest in the recruitment and training of qualified orientation and mobility instructors and specialist staff to provide proper training to persons with disabilities and staff in public spaces, ensuring effective mobility skills instruction.</w:t>
      </w:r>
    </w:p>
    <w:p w14:paraId="42B70FE0" w14:textId="77777777" w:rsidR="00031F03" w:rsidRDefault="00000000">
      <w:pPr>
        <w:pStyle w:val="ListParagraph"/>
        <w:numPr>
          <w:ilvl w:val="1"/>
          <w:numId w:val="17"/>
        </w:numPr>
        <w:spacing w:line="360" w:lineRule="auto"/>
        <w:jc w:val="both"/>
        <w:rPr>
          <w:rFonts w:ascii="Tw Cen MT" w:hAnsi="Tw Cen MT" w:cs="Times New Roman"/>
          <w:sz w:val="24"/>
          <w:szCs w:val="24"/>
          <w:lang w:val="en-GB"/>
        </w:rPr>
      </w:pPr>
      <w:r>
        <w:rPr>
          <w:rFonts w:ascii="Tw Cen MT" w:hAnsi="Tw Cen MT"/>
          <w:sz w:val="24"/>
          <w:szCs w:val="24"/>
        </w:rPr>
        <w:t xml:space="preserve">Enforce the provisions of the Persons with Disability Act related to transportation, ensuring that commercial buses reserve seats for persons with disabilities, transportation networks are accessible, and adapted vehicles can be imported. </w:t>
      </w:r>
      <w:r>
        <w:rPr>
          <w:rFonts w:ascii="Tw Cen MT" w:hAnsi="Tw Cen MT"/>
          <w:sz w:val="24"/>
          <w:szCs w:val="24"/>
        </w:rPr>
        <w:lastRenderedPageBreak/>
        <w:t>Additionally, accessible road designs, covered gutters, tactile walkways, and unobstructed pathways should be prioritized in infrastructure projects.</w:t>
      </w:r>
    </w:p>
    <w:p w14:paraId="03E8E4E4" w14:textId="77777777" w:rsidR="00031F03" w:rsidRDefault="00000000">
      <w:pPr>
        <w:pStyle w:val="ListParagraph"/>
        <w:numPr>
          <w:ilvl w:val="1"/>
          <w:numId w:val="17"/>
        </w:numPr>
        <w:spacing w:line="360" w:lineRule="auto"/>
        <w:jc w:val="both"/>
        <w:rPr>
          <w:rFonts w:ascii="Tw Cen MT" w:hAnsi="Tw Cen MT" w:cs="Times New Roman"/>
          <w:sz w:val="24"/>
          <w:szCs w:val="24"/>
          <w:lang w:val="en-GB"/>
        </w:rPr>
      </w:pPr>
      <w:r>
        <w:rPr>
          <w:rFonts w:ascii="Tw Cen MT" w:hAnsi="Tw Cen MT"/>
          <w:sz w:val="24"/>
          <w:szCs w:val="24"/>
        </w:rPr>
        <w:t>Ensure strict implementation of accessibility standards on roads, covering gutters, providing tactile walkways, removing obstructions, and designing accessible footbridges to facilitate the safe and convenient movement of persons with disabilities.</w:t>
      </w:r>
    </w:p>
    <w:p w14:paraId="18A1A126" w14:textId="77777777" w:rsidR="00031F03" w:rsidRDefault="00000000">
      <w:pPr>
        <w:pStyle w:val="ListParagraph"/>
        <w:numPr>
          <w:ilvl w:val="1"/>
          <w:numId w:val="17"/>
        </w:numPr>
        <w:spacing w:line="360" w:lineRule="auto"/>
        <w:jc w:val="both"/>
        <w:rPr>
          <w:rFonts w:ascii="Tw Cen MT" w:hAnsi="Tw Cen MT" w:cs="Times New Roman"/>
          <w:sz w:val="24"/>
          <w:szCs w:val="24"/>
          <w:lang w:val="en-GB"/>
        </w:rPr>
      </w:pPr>
      <w:r>
        <w:rPr>
          <w:rFonts w:ascii="Tw Cen MT" w:hAnsi="Tw Cen MT"/>
          <w:sz w:val="24"/>
          <w:szCs w:val="24"/>
        </w:rPr>
        <w:t>Ratify the Convention on International Civil Aviation (Chicago Convention, 1944) and work with domestic air carriers to address insurance and aircraft design issues, ensuring that air travel is accessible to persons with disabilities, including those using wheelchairs.</w:t>
      </w:r>
    </w:p>
    <w:p w14:paraId="0BAFE9A0" w14:textId="77777777" w:rsidR="00031F03" w:rsidRDefault="00000000">
      <w:pPr>
        <w:spacing w:line="360" w:lineRule="auto"/>
        <w:jc w:val="both"/>
        <w:rPr>
          <w:rFonts w:ascii="Tw Cen MT" w:hAnsi="Tw Cen MT" w:cs="Times New Roman"/>
          <w:sz w:val="24"/>
          <w:szCs w:val="24"/>
          <w:lang w:val="en-GB"/>
        </w:rPr>
      </w:pPr>
      <w:r>
        <w:rPr>
          <w:rFonts w:ascii="Tw Cen MT" w:hAnsi="Tw Cen MT" w:cs="Times New Roman"/>
          <w:sz w:val="24"/>
          <w:szCs w:val="24"/>
          <w:lang w:val="en-GB"/>
        </w:rPr>
        <w:t xml:space="preserve"> </w:t>
      </w:r>
    </w:p>
    <w:p w14:paraId="76A26927" w14:textId="77777777" w:rsidR="00031F03" w:rsidRDefault="00000000">
      <w:pPr>
        <w:pStyle w:val="Heading1"/>
        <w:rPr>
          <w:rFonts w:ascii="Tw Cen MT" w:hAnsi="Tw Cen MT"/>
          <w:b/>
          <w:bCs/>
          <w:color w:val="auto"/>
          <w:sz w:val="24"/>
          <w:szCs w:val="24"/>
          <w:lang w:val="en-GB"/>
        </w:rPr>
      </w:pPr>
      <w:bookmarkStart w:id="37" w:name="_Toc90117953"/>
      <w:bookmarkStart w:id="38" w:name="_Toc95038761"/>
      <w:bookmarkStart w:id="39" w:name="_Toc171581991"/>
      <w:r>
        <w:rPr>
          <w:rFonts w:ascii="Tw Cen MT" w:hAnsi="Tw Cen MT"/>
          <w:b/>
          <w:bCs/>
          <w:color w:val="auto"/>
          <w:sz w:val="24"/>
          <w:szCs w:val="24"/>
          <w:lang w:val="en-GB"/>
        </w:rPr>
        <w:t>Article 21: Freedom of Expression and Opinion, and Access to Information</w:t>
      </w:r>
      <w:bookmarkEnd w:id="37"/>
      <w:bookmarkEnd w:id="38"/>
      <w:bookmarkEnd w:id="39"/>
    </w:p>
    <w:p w14:paraId="4FA8E8B0" w14:textId="77777777" w:rsidR="00031F03" w:rsidRDefault="00031F03">
      <w:pPr>
        <w:rPr>
          <w:lang w:val="en-GB"/>
        </w:rPr>
      </w:pPr>
    </w:p>
    <w:p w14:paraId="1DF39AF4" w14:textId="77777777" w:rsidR="00031F03" w:rsidRDefault="00000000">
      <w:pPr>
        <w:pStyle w:val="NoSpacing"/>
        <w:numPr>
          <w:ilvl w:val="1"/>
          <w:numId w:val="4"/>
        </w:numPr>
        <w:spacing w:line="360" w:lineRule="auto"/>
        <w:jc w:val="both"/>
        <w:rPr>
          <w:rFonts w:ascii="Tw Cen MT" w:hAnsi="Tw Cen MT"/>
          <w:sz w:val="24"/>
          <w:szCs w:val="24"/>
        </w:rPr>
      </w:pPr>
      <w:r>
        <w:rPr>
          <w:rFonts w:ascii="Tw Cen MT" w:hAnsi="Tw Cen MT" w:cs="Times New Roman"/>
          <w:sz w:val="24"/>
          <w:szCs w:val="24"/>
          <w:lang w:val="en-GB"/>
        </w:rPr>
        <w:t xml:space="preserve">Article 21 of Ghana’s Constitution guarantees the right to freedom of speech and expression, freedom of thought, conscience and information for all persons. </w:t>
      </w:r>
      <w:r>
        <w:rPr>
          <w:rFonts w:ascii="Tw Cen MT" w:hAnsi="Tw Cen MT"/>
          <w:sz w:val="24"/>
          <w:szCs w:val="24"/>
        </w:rPr>
        <w:t xml:space="preserve">However, </w:t>
      </w:r>
      <w:r>
        <w:rPr>
          <w:rFonts w:ascii="Tw Cen MT" w:hAnsi="Tw Cen MT" w:cs="Times New Roman"/>
          <w:sz w:val="24"/>
          <w:szCs w:val="24"/>
          <w:lang w:val="en-GB"/>
        </w:rPr>
        <w:t xml:space="preserve">the mass media, including providers of information through the Internet, do not facilitate access to information to persons with disabilities, especially blind and deaf persons. </w:t>
      </w:r>
    </w:p>
    <w:p w14:paraId="258C5583" w14:textId="77777777" w:rsidR="00031F03" w:rsidRDefault="00000000">
      <w:pPr>
        <w:pStyle w:val="NoSpacing"/>
        <w:numPr>
          <w:ilvl w:val="1"/>
          <w:numId w:val="4"/>
        </w:numPr>
        <w:spacing w:line="360" w:lineRule="auto"/>
        <w:jc w:val="both"/>
        <w:rPr>
          <w:rFonts w:ascii="Tw Cen MT" w:hAnsi="Tw Cen MT"/>
          <w:sz w:val="24"/>
          <w:szCs w:val="24"/>
        </w:rPr>
      </w:pPr>
      <w:r>
        <w:rPr>
          <w:rFonts w:ascii="Tw Cen MT" w:hAnsi="Tw Cen MT"/>
          <w:sz w:val="24"/>
          <w:szCs w:val="24"/>
        </w:rPr>
        <w:t>Additionally, the public dissemination of information does not adequately target many persons with disabilities. For instance, printed information does not take the specific needs of persons with albinism, blind persons and persons with intellectual disabilities into consideration since there is often no alternative format like large print, braille and easy-read versions.</w:t>
      </w:r>
    </w:p>
    <w:p w14:paraId="13B95863" w14:textId="77777777" w:rsidR="00031F03" w:rsidRDefault="00000000">
      <w:pPr>
        <w:pStyle w:val="NoSpacing"/>
        <w:numPr>
          <w:ilvl w:val="1"/>
          <w:numId w:val="4"/>
        </w:numPr>
        <w:spacing w:line="360" w:lineRule="auto"/>
        <w:jc w:val="both"/>
        <w:rPr>
          <w:rFonts w:ascii="Tw Cen MT" w:hAnsi="Tw Cen MT"/>
          <w:sz w:val="24"/>
          <w:szCs w:val="24"/>
        </w:rPr>
      </w:pPr>
      <w:r>
        <w:rPr>
          <w:rFonts w:ascii="Tw Cen MT" w:hAnsi="Tw Cen MT" w:cs="Times New Roman"/>
          <w:sz w:val="24"/>
          <w:szCs w:val="24"/>
          <w:lang w:val="en-GB"/>
        </w:rPr>
        <w:t>Even though Ghana enacted the Right to Information Act in 2019,</w:t>
      </w:r>
      <w:r>
        <w:rPr>
          <w:rStyle w:val="FootnoteReference"/>
          <w:rFonts w:ascii="Tw Cen MT" w:hAnsi="Tw Cen MT" w:cs="Times New Roman"/>
          <w:sz w:val="24"/>
          <w:szCs w:val="24"/>
          <w:lang w:val="en-GB"/>
        </w:rPr>
        <w:t xml:space="preserve"> </w:t>
      </w:r>
      <w:r>
        <w:rPr>
          <w:rStyle w:val="FootnoteReference"/>
          <w:rFonts w:ascii="Tw Cen MT" w:hAnsi="Tw Cen MT" w:cs="Times New Roman"/>
          <w:sz w:val="24"/>
          <w:szCs w:val="24"/>
          <w:lang w:val="en-GB"/>
        </w:rPr>
        <w:footnoteReference w:id="36"/>
      </w:r>
      <w:r>
        <w:rPr>
          <w:rFonts w:ascii="Tw Cen MT" w:hAnsi="Tw Cen MT" w:cs="Times New Roman"/>
          <w:sz w:val="24"/>
          <w:szCs w:val="24"/>
          <w:lang w:val="en-GB"/>
        </w:rPr>
        <w:t xml:space="preserve"> most official correspondences from the State are usually not transmitted in sign language, braille, easy read or other methods, and forms of communication of choice of persons with disabilities. For instance, public communication (telecasting) is still done without sign language interpretation and captioning at public events. The Information Act contains no provisions in respect of the provision of information in formats accessible to persons with disabilities. </w:t>
      </w:r>
    </w:p>
    <w:p w14:paraId="04D2FF26" w14:textId="77777777" w:rsidR="00031F03" w:rsidRDefault="00000000">
      <w:pPr>
        <w:pStyle w:val="ListParagraph"/>
        <w:numPr>
          <w:ilvl w:val="1"/>
          <w:numId w:val="4"/>
        </w:numPr>
        <w:spacing w:line="360" w:lineRule="auto"/>
        <w:jc w:val="both"/>
        <w:rPr>
          <w:rFonts w:ascii="Tw Cen MT" w:hAnsi="Tw Cen MT" w:cs="Times New Roman"/>
          <w:sz w:val="24"/>
          <w:szCs w:val="24"/>
          <w:lang w:val="en-GB"/>
        </w:rPr>
      </w:pPr>
      <w:r>
        <w:rPr>
          <w:rFonts w:ascii="Tw Cen MT" w:hAnsi="Tw Cen MT" w:cs="Times New Roman"/>
          <w:sz w:val="24"/>
          <w:szCs w:val="24"/>
          <w:lang w:val="en-GB"/>
        </w:rPr>
        <w:t>In 2017, Ghana ratified the Marrakesh treaty which allows for the reproduction of documents in alternative, accessible formats to ensure their accessibility to persons with print disabilities.</w:t>
      </w:r>
      <w:r>
        <w:rPr>
          <w:rStyle w:val="FootnoteReference"/>
          <w:rFonts w:ascii="Tw Cen MT" w:hAnsi="Tw Cen MT" w:cs="Times New Roman"/>
          <w:sz w:val="24"/>
          <w:szCs w:val="24"/>
          <w:lang w:val="en-GB"/>
        </w:rPr>
        <w:footnoteReference w:id="37"/>
      </w:r>
      <w:r>
        <w:rPr>
          <w:rFonts w:ascii="Tw Cen MT" w:hAnsi="Tw Cen MT" w:cs="Times New Roman"/>
          <w:sz w:val="24"/>
          <w:szCs w:val="24"/>
          <w:lang w:val="en-GB"/>
        </w:rPr>
        <w:t xml:space="preserve"> However, no measures have been put in place to ensure its </w:t>
      </w:r>
      <w:r>
        <w:rPr>
          <w:rFonts w:ascii="Tw Cen MT" w:hAnsi="Tw Cen MT" w:cs="Times New Roman"/>
          <w:sz w:val="24"/>
          <w:szCs w:val="24"/>
          <w:lang w:val="en-GB"/>
        </w:rPr>
        <w:lastRenderedPageBreak/>
        <w:t>implementation or domestication. Printed materials widely available to the public therefore remain inaccessible to persons with visual disabilities and other print disabilities.</w:t>
      </w:r>
    </w:p>
    <w:p w14:paraId="7DAB9893" w14:textId="77777777" w:rsidR="00031F03" w:rsidRDefault="00000000">
      <w:pPr>
        <w:pStyle w:val="ListParagraph"/>
        <w:numPr>
          <w:ilvl w:val="1"/>
          <w:numId w:val="4"/>
        </w:numPr>
        <w:spacing w:line="360" w:lineRule="auto"/>
        <w:jc w:val="both"/>
        <w:rPr>
          <w:rFonts w:ascii="Tw Cen MT" w:hAnsi="Tw Cen MT" w:cs="Times New Roman"/>
          <w:sz w:val="24"/>
          <w:szCs w:val="24"/>
          <w:lang w:val="en-GB"/>
        </w:rPr>
      </w:pPr>
      <w:bookmarkStart w:id="40" w:name="_Toc90117955"/>
      <w:bookmarkStart w:id="41" w:name="_Toc95038762"/>
      <w:r>
        <w:rPr>
          <w:rFonts w:ascii="Tw Cen MT" w:hAnsi="Tw Cen MT" w:cs="Times New Roman"/>
          <w:sz w:val="24"/>
          <w:szCs w:val="24"/>
          <w:lang w:val="en-GB"/>
        </w:rPr>
        <w:t>Despite the advocacy efforts by the Ghana Association of the Deaf (GNAD) to ensure that sign language is considered an official language in Ghana, no attention has been paid to this request. Sign language is not recognized under any Ghanaian domestic legislation. The Persons with Disability Bill, 2024 requires the Ministry of Education to “ensure the recognition and introduction of Ghanaian Sign Language as one of the Ghanaian languages in the curricula of all training institutions”.</w:t>
      </w:r>
      <w:r>
        <w:rPr>
          <w:rStyle w:val="FootnoteReference"/>
          <w:rFonts w:ascii="Tw Cen MT" w:hAnsi="Tw Cen MT" w:cs="Times New Roman"/>
          <w:sz w:val="24"/>
          <w:szCs w:val="24"/>
          <w:lang w:val="en-GB"/>
        </w:rPr>
        <w:footnoteReference w:id="38"/>
      </w:r>
      <w:r>
        <w:rPr>
          <w:rFonts w:ascii="Tw Cen MT" w:hAnsi="Tw Cen MT" w:cs="Times New Roman"/>
          <w:sz w:val="24"/>
          <w:szCs w:val="24"/>
          <w:lang w:val="en-GB"/>
        </w:rPr>
        <w:t xml:space="preserve"> It also empowers the Minister responsible for the implementation of the Act to enact regulations “for the recognition and introduction of Ghanaian Sign Language as one of the Ghanaian languages in the curricula of all training institutions”.</w:t>
      </w:r>
      <w:r>
        <w:rPr>
          <w:rStyle w:val="FootnoteReference"/>
          <w:rFonts w:ascii="Tw Cen MT" w:hAnsi="Tw Cen MT" w:cs="Times New Roman"/>
          <w:sz w:val="24"/>
          <w:szCs w:val="24"/>
          <w:lang w:val="en-GB"/>
        </w:rPr>
        <w:footnoteReference w:id="39"/>
      </w:r>
    </w:p>
    <w:p w14:paraId="2B5C3A95" w14:textId="77777777" w:rsidR="00031F03" w:rsidRDefault="00000000">
      <w:pPr>
        <w:pStyle w:val="ListParagraph"/>
        <w:numPr>
          <w:ilvl w:val="1"/>
          <w:numId w:val="4"/>
        </w:numPr>
        <w:spacing w:line="360" w:lineRule="auto"/>
        <w:jc w:val="both"/>
        <w:rPr>
          <w:rFonts w:ascii="Tw Cen MT" w:hAnsi="Tw Cen MT" w:cs="Times New Roman"/>
          <w:sz w:val="24"/>
          <w:szCs w:val="24"/>
          <w:lang w:val="en-GB"/>
        </w:rPr>
      </w:pPr>
      <w:r>
        <w:rPr>
          <w:rFonts w:ascii="Tw Cen MT" w:hAnsi="Tw Cen MT" w:cs="Times New Roman"/>
          <w:sz w:val="24"/>
          <w:szCs w:val="24"/>
          <w:lang w:val="en-GB"/>
        </w:rPr>
        <w:t>Furthermore, there is a shortage of trained professionals proficient in braille, sign language, and easy-read formats which limits effective communication and service provisions.</w:t>
      </w:r>
    </w:p>
    <w:p w14:paraId="0C403CAD" w14:textId="77777777" w:rsidR="00031F03" w:rsidRDefault="00031F03">
      <w:pPr>
        <w:pStyle w:val="NoSpacing"/>
        <w:rPr>
          <w:rFonts w:ascii="Tw Cen MT" w:hAnsi="Tw Cen MT"/>
          <w:b/>
          <w:bCs/>
          <w:sz w:val="24"/>
          <w:szCs w:val="24"/>
          <w:lang w:val="en-GB"/>
        </w:rPr>
      </w:pPr>
    </w:p>
    <w:p w14:paraId="17646475" w14:textId="77777777" w:rsidR="00031F03" w:rsidRDefault="00000000">
      <w:pPr>
        <w:pStyle w:val="NoSpacing"/>
        <w:tabs>
          <w:tab w:val="left" w:pos="5616"/>
        </w:tabs>
        <w:rPr>
          <w:rFonts w:ascii="Tw Cen MT" w:hAnsi="Tw Cen MT"/>
          <w:b/>
          <w:bCs/>
          <w:sz w:val="24"/>
          <w:szCs w:val="24"/>
          <w:lang w:val="en-GB"/>
        </w:rPr>
      </w:pPr>
      <w:r>
        <w:rPr>
          <w:rFonts w:ascii="Tw Cen MT" w:hAnsi="Tw Cen MT"/>
          <w:b/>
          <w:bCs/>
          <w:sz w:val="24"/>
          <w:szCs w:val="24"/>
          <w:lang w:val="en-GB"/>
        </w:rPr>
        <w:t>Proposed Recommendations</w:t>
      </w:r>
      <w:bookmarkEnd w:id="40"/>
      <w:bookmarkEnd w:id="41"/>
      <w:r>
        <w:rPr>
          <w:rFonts w:ascii="Tw Cen MT" w:hAnsi="Tw Cen MT"/>
          <w:b/>
          <w:bCs/>
          <w:sz w:val="24"/>
          <w:szCs w:val="24"/>
          <w:lang w:val="en-GB"/>
        </w:rPr>
        <w:tab/>
      </w:r>
    </w:p>
    <w:p w14:paraId="016EAB68" w14:textId="77777777" w:rsidR="00031F03" w:rsidRDefault="00031F03">
      <w:pPr>
        <w:rPr>
          <w:lang w:val="en-GB"/>
        </w:rPr>
      </w:pPr>
    </w:p>
    <w:p w14:paraId="0DB27287" w14:textId="77777777" w:rsidR="00031F03" w:rsidRDefault="00000000">
      <w:pPr>
        <w:pStyle w:val="ListParagraph"/>
        <w:numPr>
          <w:ilvl w:val="1"/>
          <w:numId w:val="18"/>
        </w:numPr>
        <w:spacing w:line="360" w:lineRule="auto"/>
        <w:ind w:firstLine="0"/>
        <w:jc w:val="both"/>
        <w:rPr>
          <w:rFonts w:ascii="Tw Cen MT" w:hAnsi="Tw Cen MT"/>
          <w:sz w:val="24"/>
          <w:szCs w:val="24"/>
        </w:rPr>
      </w:pPr>
      <w:r>
        <w:rPr>
          <w:rFonts w:ascii="Tw Cen MT" w:hAnsi="Tw Cen MT"/>
          <w:sz w:val="24"/>
          <w:szCs w:val="24"/>
        </w:rPr>
        <w:t xml:space="preserve">Enforce provisions under Article 21 of Ghana's Constitution to ensure mass media and </w:t>
      </w:r>
    </w:p>
    <w:p w14:paraId="11E04BEF" w14:textId="77777777" w:rsidR="00031F03" w:rsidRDefault="00000000">
      <w:pPr>
        <w:pStyle w:val="ListParagraph"/>
        <w:spacing w:line="360" w:lineRule="auto"/>
        <w:jc w:val="both"/>
        <w:rPr>
          <w:rFonts w:ascii="Tw Cen MT" w:hAnsi="Tw Cen MT"/>
          <w:sz w:val="24"/>
          <w:szCs w:val="24"/>
        </w:rPr>
      </w:pPr>
      <w:r>
        <w:rPr>
          <w:rFonts w:ascii="Tw Cen MT" w:hAnsi="Tw Cen MT"/>
          <w:sz w:val="24"/>
          <w:szCs w:val="24"/>
        </w:rPr>
        <w:t>internet providers facilitate access to information for persons with disabilities, including the blind and deaf, through accessible formats like braille and sign language.</w:t>
      </w:r>
    </w:p>
    <w:p w14:paraId="64CDD937" w14:textId="77777777" w:rsidR="00031F03" w:rsidRDefault="00000000">
      <w:pPr>
        <w:pStyle w:val="ListParagraph"/>
        <w:numPr>
          <w:ilvl w:val="1"/>
          <w:numId w:val="18"/>
        </w:numPr>
        <w:spacing w:line="360" w:lineRule="auto"/>
        <w:ind w:firstLine="0"/>
        <w:jc w:val="both"/>
        <w:rPr>
          <w:rFonts w:ascii="Tw Cen MT" w:hAnsi="Tw Cen MT"/>
          <w:sz w:val="24"/>
          <w:szCs w:val="24"/>
        </w:rPr>
      </w:pPr>
      <w:r>
        <w:rPr>
          <w:rFonts w:ascii="Tw Cen MT" w:hAnsi="Tw Cen MT"/>
          <w:sz w:val="24"/>
          <w:szCs w:val="24"/>
        </w:rPr>
        <w:t xml:space="preserve">Mandate the inclusion of alternative formats such as large print, braille, and easy-read </w:t>
      </w:r>
    </w:p>
    <w:p w14:paraId="4812FCD1" w14:textId="77777777" w:rsidR="00031F03" w:rsidRDefault="00000000">
      <w:pPr>
        <w:pStyle w:val="ListParagraph"/>
        <w:spacing w:line="360" w:lineRule="auto"/>
        <w:jc w:val="both"/>
        <w:rPr>
          <w:rFonts w:ascii="Tw Cen MT" w:hAnsi="Tw Cen MT"/>
          <w:sz w:val="24"/>
          <w:szCs w:val="24"/>
        </w:rPr>
      </w:pPr>
      <w:r>
        <w:rPr>
          <w:rFonts w:ascii="Tw Cen MT" w:hAnsi="Tw Cen MT"/>
          <w:sz w:val="24"/>
          <w:szCs w:val="24"/>
        </w:rPr>
        <w:t>versions in all printed information to accommodate the needs of persons with disabilities, including those with albinism, blindness, and intellectual disabilities.</w:t>
      </w:r>
    </w:p>
    <w:p w14:paraId="1B79BA64" w14:textId="77777777" w:rsidR="00031F03" w:rsidRDefault="00000000">
      <w:pPr>
        <w:pStyle w:val="ListParagraph"/>
        <w:numPr>
          <w:ilvl w:val="1"/>
          <w:numId w:val="18"/>
        </w:numPr>
        <w:spacing w:line="360" w:lineRule="auto"/>
        <w:ind w:firstLine="0"/>
        <w:jc w:val="both"/>
        <w:rPr>
          <w:rFonts w:ascii="Tw Cen MT" w:hAnsi="Tw Cen MT"/>
          <w:sz w:val="24"/>
          <w:szCs w:val="24"/>
        </w:rPr>
      </w:pPr>
      <w:r>
        <w:rPr>
          <w:rFonts w:ascii="Tw Cen MT" w:hAnsi="Tw Cen MT"/>
          <w:sz w:val="24"/>
          <w:szCs w:val="24"/>
        </w:rPr>
        <w:t xml:space="preserve">Amend the Right to Information Act to include provisions requiring all official </w:t>
      </w:r>
    </w:p>
    <w:p w14:paraId="27F0475A" w14:textId="77777777" w:rsidR="00031F03" w:rsidRDefault="00000000">
      <w:pPr>
        <w:pStyle w:val="ListParagraph"/>
        <w:spacing w:line="360" w:lineRule="auto"/>
        <w:jc w:val="both"/>
        <w:rPr>
          <w:rFonts w:ascii="Tw Cen MT" w:hAnsi="Tw Cen MT"/>
          <w:sz w:val="24"/>
          <w:szCs w:val="24"/>
        </w:rPr>
      </w:pPr>
      <w:r>
        <w:rPr>
          <w:rFonts w:ascii="Tw Cen MT" w:hAnsi="Tw Cen MT"/>
          <w:sz w:val="24"/>
          <w:szCs w:val="24"/>
        </w:rPr>
        <w:t>correspondences and public communications to be accessible in sign language, braille, easy-read, and other preferred formats of persons with disabilities.</w:t>
      </w:r>
    </w:p>
    <w:p w14:paraId="47EE03F0" w14:textId="77777777" w:rsidR="00031F03" w:rsidRDefault="00000000">
      <w:pPr>
        <w:pStyle w:val="ListParagraph"/>
        <w:numPr>
          <w:ilvl w:val="1"/>
          <w:numId w:val="18"/>
        </w:numPr>
        <w:spacing w:line="360" w:lineRule="auto"/>
        <w:ind w:firstLine="0"/>
        <w:jc w:val="both"/>
        <w:rPr>
          <w:rFonts w:ascii="Tw Cen MT" w:hAnsi="Tw Cen MT"/>
          <w:sz w:val="24"/>
          <w:szCs w:val="24"/>
        </w:rPr>
      </w:pPr>
      <w:r>
        <w:rPr>
          <w:rFonts w:ascii="Tw Cen MT" w:hAnsi="Tw Cen MT"/>
          <w:sz w:val="24"/>
          <w:szCs w:val="24"/>
        </w:rPr>
        <w:t xml:space="preserve">Implement measures to domesticate and enforce the Marrakesh Treaty, ensuring that </w:t>
      </w:r>
    </w:p>
    <w:p w14:paraId="1119E987" w14:textId="77777777" w:rsidR="00031F03" w:rsidRDefault="00000000">
      <w:pPr>
        <w:pStyle w:val="ListParagraph"/>
        <w:spacing w:line="360" w:lineRule="auto"/>
        <w:jc w:val="both"/>
        <w:rPr>
          <w:rFonts w:ascii="Tw Cen MT" w:hAnsi="Tw Cen MT"/>
          <w:sz w:val="24"/>
          <w:szCs w:val="24"/>
        </w:rPr>
      </w:pPr>
      <w:r>
        <w:rPr>
          <w:rFonts w:ascii="Tw Cen MT" w:hAnsi="Tw Cen MT"/>
          <w:sz w:val="24"/>
          <w:szCs w:val="24"/>
        </w:rPr>
        <w:t>printed materials are reproduced in accessible formats to make them readily available to persons with visual and print disabilities across Ghana.</w:t>
      </w:r>
    </w:p>
    <w:p w14:paraId="2A20A3A1" w14:textId="77777777" w:rsidR="00031F03" w:rsidRDefault="00000000">
      <w:pPr>
        <w:pStyle w:val="ListParagraph"/>
        <w:numPr>
          <w:ilvl w:val="1"/>
          <w:numId w:val="18"/>
        </w:numPr>
        <w:spacing w:line="360" w:lineRule="auto"/>
        <w:ind w:firstLine="0"/>
        <w:jc w:val="both"/>
        <w:rPr>
          <w:rFonts w:ascii="Tw Cen MT" w:hAnsi="Tw Cen MT"/>
          <w:sz w:val="24"/>
          <w:szCs w:val="24"/>
        </w:rPr>
      </w:pPr>
      <w:r>
        <w:rPr>
          <w:rFonts w:ascii="Tw Cen MT" w:hAnsi="Tw Cen MT"/>
          <w:sz w:val="24"/>
          <w:szCs w:val="24"/>
        </w:rPr>
        <w:t xml:space="preserve">Recognize and institutionalize Ghanaian Sign Language as an official language through </w:t>
      </w:r>
    </w:p>
    <w:p w14:paraId="41322B2F" w14:textId="77777777" w:rsidR="00031F03" w:rsidRDefault="00000000">
      <w:pPr>
        <w:pStyle w:val="ListParagraph"/>
        <w:spacing w:line="360" w:lineRule="auto"/>
        <w:jc w:val="both"/>
        <w:rPr>
          <w:rFonts w:ascii="Tw Cen MT" w:hAnsi="Tw Cen MT"/>
          <w:sz w:val="24"/>
          <w:szCs w:val="24"/>
        </w:rPr>
      </w:pPr>
      <w:r>
        <w:rPr>
          <w:rFonts w:ascii="Tw Cen MT" w:hAnsi="Tw Cen MT"/>
          <w:sz w:val="24"/>
          <w:szCs w:val="24"/>
        </w:rPr>
        <w:t>legislative measures, including its inclusion in educational curricula and training programmes for all relevant institutions.</w:t>
      </w:r>
    </w:p>
    <w:p w14:paraId="3CAF7FCB" w14:textId="77777777" w:rsidR="00031F03" w:rsidRDefault="00000000">
      <w:pPr>
        <w:pStyle w:val="ListParagraph"/>
        <w:numPr>
          <w:ilvl w:val="1"/>
          <w:numId w:val="18"/>
        </w:numPr>
        <w:spacing w:line="360" w:lineRule="auto"/>
        <w:ind w:firstLine="0"/>
        <w:jc w:val="both"/>
        <w:rPr>
          <w:rFonts w:ascii="Tw Cen MT" w:hAnsi="Tw Cen MT"/>
          <w:sz w:val="24"/>
          <w:szCs w:val="24"/>
        </w:rPr>
      </w:pPr>
      <w:r>
        <w:rPr>
          <w:rFonts w:ascii="Tw Cen MT" w:hAnsi="Tw Cen MT"/>
          <w:sz w:val="24"/>
          <w:szCs w:val="24"/>
        </w:rPr>
        <w:t xml:space="preserve">Develop and implement training programmes to increase the number of professionals </w:t>
      </w:r>
    </w:p>
    <w:p w14:paraId="33C660CB" w14:textId="77777777" w:rsidR="00031F03" w:rsidRDefault="00000000">
      <w:pPr>
        <w:pStyle w:val="ListParagraph"/>
        <w:spacing w:line="360" w:lineRule="auto"/>
        <w:jc w:val="both"/>
        <w:rPr>
          <w:rFonts w:ascii="Tw Cen MT" w:hAnsi="Tw Cen MT"/>
          <w:sz w:val="24"/>
          <w:szCs w:val="24"/>
        </w:rPr>
      </w:pPr>
      <w:r>
        <w:rPr>
          <w:rFonts w:ascii="Tw Cen MT" w:hAnsi="Tw Cen MT"/>
          <w:sz w:val="24"/>
          <w:szCs w:val="24"/>
        </w:rPr>
        <w:lastRenderedPageBreak/>
        <w:t>proficient in braille, sign language, and easy-read formats to enhance communication and service delivery to persons with disabilities in Ghana.</w:t>
      </w:r>
    </w:p>
    <w:p w14:paraId="5C7C219D" w14:textId="77777777" w:rsidR="00031F03" w:rsidRDefault="00031F03">
      <w:pPr>
        <w:spacing w:line="360" w:lineRule="auto"/>
        <w:jc w:val="both"/>
        <w:rPr>
          <w:rFonts w:ascii="Tw Cen MT" w:hAnsi="Tw Cen MT" w:cs="Times New Roman"/>
          <w:sz w:val="24"/>
          <w:szCs w:val="24"/>
          <w:lang w:val="en-GB"/>
        </w:rPr>
      </w:pPr>
    </w:p>
    <w:p w14:paraId="21226405" w14:textId="77777777" w:rsidR="00031F03" w:rsidRDefault="00000000">
      <w:pPr>
        <w:pStyle w:val="Heading1"/>
        <w:rPr>
          <w:rFonts w:ascii="Tw Cen MT" w:hAnsi="Tw Cen MT"/>
          <w:b/>
          <w:bCs/>
          <w:color w:val="auto"/>
          <w:sz w:val="24"/>
          <w:szCs w:val="24"/>
          <w:lang w:val="en-GB"/>
        </w:rPr>
      </w:pPr>
      <w:bookmarkStart w:id="42" w:name="_Toc171581992"/>
      <w:r>
        <w:rPr>
          <w:rFonts w:ascii="Tw Cen MT" w:hAnsi="Tw Cen MT"/>
          <w:b/>
          <w:bCs/>
          <w:color w:val="auto"/>
          <w:sz w:val="24"/>
          <w:szCs w:val="24"/>
          <w:lang w:val="en-GB"/>
        </w:rPr>
        <w:t>Article 23: Respect for Home and the Family</w:t>
      </w:r>
      <w:bookmarkEnd w:id="42"/>
    </w:p>
    <w:p w14:paraId="3F63E171" w14:textId="77777777" w:rsidR="00031F03" w:rsidRDefault="00031F03">
      <w:pPr>
        <w:rPr>
          <w:lang w:val="en-GB"/>
        </w:rPr>
      </w:pPr>
    </w:p>
    <w:p w14:paraId="75CC8CC8" w14:textId="77777777" w:rsidR="00031F03" w:rsidRDefault="00000000">
      <w:pPr>
        <w:spacing w:line="360" w:lineRule="auto"/>
        <w:jc w:val="both"/>
        <w:rPr>
          <w:rFonts w:ascii="Tw Cen MT" w:hAnsi="Tw Cen MT" w:cs="Times New Roman"/>
          <w:sz w:val="24"/>
          <w:szCs w:val="24"/>
          <w:lang w:val="en-GB"/>
        </w:rPr>
      </w:pPr>
      <w:r>
        <w:rPr>
          <w:rFonts w:ascii="Tw Cen MT" w:hAnsi="Tw Cen MT" w:cs="Times New Roman"/>
          <w:sz w:val="24"/>
          <w:szCs w:val="24"/>
          <w:lang w:val="en-GB"/>
        </w:rPr>
        <w:t>23.1. Due to some cultural and religious beliefs, many families in Ghana continue to discourage their family members from marrying persons with disabilities.</w:t>
      </w:r>
      <w:r>
        <w:rPr>
          <w:rStyle w:val="FootnoteReference"/>
          <w:rFonts w:ascii="Tw Cen MT" w:hAnsi="Tw Cen MT" w:cs="Times New Roman"/>
          <w:sz w:val="24"/>
          <w:szCs w:val="24"/>
          <w:lang w:val="en-GB"/>
        </w:rPr>
        <w:footnoteReference w:id="40"/>
      </w:r>
    </w:p>
    <w:p w14:paraId="4CAD0EFB" w14:textId="77777777" w:rsidR="00031F03" w:rsidRDefault="00000000">
      <w:pPr>
        <w:spacing w:line="360" w:lineRule="auto"/>
        <w:jc w:val="both"/>
        <w:rPr>
          <w:rFonts w:ascii="Tw Cen MT" w:hAnsi="Tw Cen MT" w:cs="Times New Roman"/>
          <w:sz w:val="24"/>
          <w:szCs w:val="24"/>
          <w:lang w:val="en-GB"/>
        </w:rPr>
      </w:pPr>
      <w:r>
        <w:rPr>
          <w:rFonts w:ascii="Tw Cen MT" w:hAnsi="Tw Cen MT" w:cs="Times New Roman"/>
          <w:sz w:val="24"/>
          <w:szCs w:val="24"/>
          <w:lang w:val="en-GB"/>
        </w:rPr>
        <w:t>23.2. In addition, most parents of children with disabilities, particularly children with autism, down syndrome, and cerebral palsy, do not have the necessary support to raise their children. For instance, a recent study found that some specific barriers for parents of children with cerebral palsy include discrimination and isolation from society; lack of family and societal support; economic challenges; and immediate physical care burdens.</w:t>
      </w:r>
      <w:r>
        <w:rPr>
          <w:rStyle w:val="FootnoteReference"/>
          <w:rFonts w:ascii="Tw Cen MT" w:hAnsi="Tw Cen MT" w:cs="Times New Roman"/>
          <w:sz w:val="24"/>
          <w:szCs w:val="24"/>
          <w:lang w:val="en-GB"/>
        </w:rPr>
        <w:footnoteReference w:id="41"/>
      </w:r>
    </w:p>
    <w:p w14:paraId="63069391" w14:textId="77777777" w:rsidR="00031F03" w:rsidRDefault="00000000">
      <w:pPr>
        <w:spacing w:line="360" w:lineRule="auto"/>
        <w:jc w:val="both"/>
        <w:rPr>
          <w:rFonts w:ascii="Tw Cen MT" w:hAnsi="Tw Cen MT" w:cs="Times New Roman"/>
          <w:sz w:val="24"/>
          <w:szCs w:val="24"/>
          <w:lang w:val="en-GB"/>
        </w:rPr>
      </w:pPr>
      <w:r>
        <w:rPr>
          <w:rFonts w:ascii="Tw Cen MT" w:hAnsi="Tw Cen MT" w:cs="Times New Roman"/>
          <w:sz w:val="24"/>
          <w:szCs w:val="24"/>
          <w:lang w:val="en-GB"/>
        </w:rPr>
        <w:t xml:space="preserve">23.3. Furthermore, there are no measures to protect mothers, fathers and families of children with disabilities, who also experience stigma, abuse and discrimination on the basis of their relatives.  </w:t>
      </w:r>
    </w:p>
    <w:p w14:paraId="0E5804E2" w14:textId="77777777" w:rsidR="00031F03" w:rsidRDefault="00031F03">
      <w:pPr>
        <w:pStyle w:val="NoSpacing"/>
        <w:rPr>
          <w:rFonts w:ascii="Tw Cen MT" w:hAnsi="Tw Cen MT"/>
          <w:b/>
          <w:bCs/>
          <w:sz w:val="24"/>
          <w:szCs w:val="24"/>
          <w:lang w:val="en-GB"/>
        </w:rPr>
      </w:pPr>
    </w:p>
    <w:p w14:paraId="61C01875" w14:textId="77777777" w:rsidR="00031F03" w:rsidRDefault="00000000">
      <w:pPr>
        <w:pStyle w:val="NoSpacing"/>
        <w:rPr>
          <w:rFonts w:ascii="Tw Cen MT" w:hAnsi="Tw Cen MT"/>
          <w:b/>
          <w:bCs/>
          <w:sz w:val="24"/>
          <w:szCs w:val="24"/>
          <w:lang w:val="en-GB"/>
        </w:rPr>
      </w:pPr>
      <w:r>
        <w:rPr>
          <w:rFonts w:ascii="Tw Cen MT" w:hAnsi="Tw Cen MT"/>
          <w:b/>
          <w:bCs/>
          <w:sz w:val="24"/>
          <w:szCs w:val="24"/>
          <w:lang w:val="en-GB"/>
        </w:rPr>
        <w:t>Proposed Recommendations</w:t>
      </w:r>
    </w:p>
    <w:p w14:paraId="21772FD9" w14:textId="77777777" w:rsidR="00031F03" w:rsidRDefault="00031F03">
      <w:pPr>
        <w:rPr>
          <w:lang w:val="en-GB"/>
        </w:rPr>
      </w:pPr>
    </w:p>
    <w:p w14:paraId="74736E85" w14:textId="77777777" w:rsidR="00031F03" w:rsidRDefault="00000000">
      <w:pPr>
        <w:pStyle w:val="NoSpacing"/>
        <w:numPr>
          <w:ilvl w:val="0"/>
          <w:numId w:val="19"/>
        </w:numPr>
        <w:spacing w:line="360" w:lineRule="auto"/>
        <w:jc w:val="both"/>
        <w:rPr>
          <w:rFonts w:ascii="Tw Cen MT" w:hAnsi="Tw Cen MT"/>
          <w:sz w:val="24"/>
          <w:szCs w:val="24"/>
        </w:rPr>
      </w:pPr>
      <w:r>
        <w:rPr>
          <w:rFonts w:ascii="Tw Cen MT" w:hAnsi="Tw Cen MT"/>
          <w:sz w:val="24"/>
          <w:szCs w:val="24"/>
        </w:rPr>
        <w:t>Implement targeted awareness campaigns to challenge cultural and religious misconceptions about marriage involving persons with disabilities, promoting inclusivity and respect for individual choices.</w:t>
      </w:r>
    </w:p>
    <w:p w14:paraId="0B63EA97" w14:textId="77777777" w:rsidR="00031F03" w:rsidRDefault="00000000">
      <w:pPr>
        <w:pStyle w:val="ListParagraph"/>
        <w:numPr>
          <w:ilvl w:val="0"/>
          <w:numId w:val="19"/>
        </w:numPr>
        <w:spacing w:line="360" w:lineRule="auto"/>
        <w:jc w:val="both"/>
        <w:rPr>
          <w:rFonts w:ascii="Tw Cen MT" w:hAnsi="Tw Cen MT" w:cs="Times New Roman"/>
          <w:sz w:val="24"/>
          <w:szCs w:val="24"/>
          <w:lang w:val="en-GB"/>
        </w:rPr>
      </w:pPr>
      <w:r>
        <w:rPr>
          <w:rFonts w:ascii="Tw Cen MT" w:hAnsi="Tw Cen MT"/>
          <w:sz w:val="24"/>
          <w:szCs w:val="24"/>
        </w:rPr>
        <w:t>In consultation with persons with disabilities and their representative organizations, establish comprehensive support programmes for parents of children with disabilities, including autism, down syndrome, and cerebral palsy, addressing barriers such as discrimination, isolation, lack of societal support, economic challenges, and caregiving burdens.</w:t>
      </w:r>
    </w:p>
    <w:p w14:paraId="132B6984" w14:textId="77777777" w:rsidR="00031F03" w:rsidRDefault="00000000">
      <w:pPr>
        <w:pStyle w:val="ListParagraph"/>
        <w:numPr>
          <w:ilvl w:val="0"/>
          <w:numId w:val="19"/>
        </w:numPr>
        <w:spacing w:line="360" w:lineRule="auto"/>
        <w:jc w:val="both"/>
        <w:rPr>
          <w:rFonts w:ascii="Tw Cen MT" w:hAnsi="Tw Cen MT" w:cs="Times New Roman"/>
          <w:sz w:val="24"/>
          <w:szCs w:val="24"/>
          <w:lang w:val="en-GB"/>
        </w:rPr>
      </w:pPr>
      <w:r>
        <w:rPr>
          <w:rFonts w:ascii="Tw Cen MT" w:hAnsi="Tw Cen MT" w:cs="Times New Roman"/>
          <w:sz w:val="24"/>
          <w:szCs w:val="24"/>
          <w:lang w:val="en-GB"/>
        </w:rPr>
        <w:t xml:space="preserve">Adopt and implement measures to provide comprehensive information and support </w:t>
      </w:r>
      <w:r>
        <w:rPr>
          <w:rFonts w:ascii="Tw Cen MT" w:hAnsi="Tw Cen MT"/>
          <w:sz w:val="24"/>
          <w:szCs w:val="24"/>
        </w:rPr>
        <w:t>Enact measures to protect and support families of children with disabilities, ensuring they are safeguarded against stigma, abuse, and discrimination based on their family members' disabilities. This could include legal protections, support services, and awareness initiatives.</w:t>
      </w:r>
    </w:p>
    <w:p w14:paraId="037BAB73" w14:textId="77777777" w:rsidR="00031F03" w:rsidRDefault="00031F03">
      <w:pPr>
        <w:spacing w:line="360" w:lineRule="auto"/>
        <w:jc w:val="both"/>
        <w:rPr>
          <w:rFonts w:ascii="Tw Cen MT" w:hAnsi="Tw Cen MT" w:cs="Times New Roman"/>
          <w:sz w:val="24"/>
          <w:szCs w:val="24"/>
        </w:rPr>
      </w:pPr>
    </w:p>
    <w:p w14:paraId="3A6CFA9F" w14:textId="77777777" w:rsidR="00031F03" w:rsidRDefault="00031F03">
      <w:pPr>
        <w:spacing w:line="360" w:lineRule="auto"/>
        <w:jc w:val="both"/>
        <w:rPr>
          <w:rFonts w:ascii="Tw Cen MT" w:hAnsi="Tw Cen MT" w:cs="Times New Roman"/>
          <w:sz w:val="24"/>
          <w:szCs w:val="24"/>
          <w:lang w:val="en-GB"/>
        </w:rPr>
      </w:pPr>
    </w:p>
    <w:p w14:paraId="01D7872C" w14:textId="77777777" w:rsidR="00031F03" w:rsidRDefault="00000000">
      <w:pPr>
        <w:pStyle w:val="Heading1"/>
        <w:rPr>
          <w:rFonts w:ascii="Tw Cen MT" w:hAnsi="Tw Cen MT"/>
          <w:b/>
          <w:bCs/>
          <w:color w:val="auto"/>
          <w:sz w:val="24"/>
          <w:szCs w:val="24"/>
        </w:rPr>
      </w:pPr>
      <w:bookmarkStart w:id="43" w:name="_Toc171581993"/>
      <w:r>
        <w:rPr>
          <w:rFonts w:ascii="Tw Cen MT" w:hAnsi="Tw Cen MT"/>
          <w:b/>
          <w:bCs/>
          <w:color w:val="auto"/>
          <w:sz w:val="24"/>
          <w:szCs w:val="24"/>
        </w:rPr>
        <w:lastRenderedPageBreak/>
        <w:t>Article 24: Inclusive Education</w:t>
      </w:r>
      <w:bookmarkEnd w:id="43"/>
    </w:p>
    <w:p w14:paraId="44695B8E" w14:textId="77777777" w:rsidR="00031F03" w:rsidRDefault="00031F03"/>
    <w:p w14:paraId="18EA35C0"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24.1. Ghana has made notable strides in Inclusive Education, but significant challenges remain for learners with disabilities. A revised Inclusive Education Policy (2024), along with a comprehensive implementation plan, communication and resource mobilization strategy, monitoring and evaluation framework, and standards and guidelines, has been developed but not yet launched. Despite this, the operationalization of Ghana’s existing inclusive education policy faces significant obstacles.</w:t>
      </w:r>
      <w:r>
        <w:rPr>
          <w:rStyle w:val="FootnoteReference"/>
          <w:rFonts w:ascii="Tw Cen MT" w:hAnsi="Tw Cen MT" w:cs="Times New Roman"/>
          <w:sz w:val="24"/>
          <w:szCs w:val="24"/>
        </w:rPr>
        <w:t xml:space="preserve"> </w:t>
      </w:r>
      <w:r>
        <w:rPr>
          <w:rStyle w:val="FootnoteReference"/>
          <w:rFonts w:ascii="Tw Cen MT" w:hAnsi="Tw Cen MT" w:cs="Times New Roman"/>
          <w:sz w:val="24"/>
          <w:szCs w:val="24"/>
        </w:rPr>
        <w:footnoteReference w:id="42"/>
      </w:r>
      <w:r>
        <w:rPr>
          <w:rFonts w:ascii="Tw Cen MT" w:hAnsi="Tw Cen MT" w:cs="Times New Roman"/>
          <w:sz w:val="24"/>
          <w:szCs w:val="24"/>
        </w:rPr>
        <w:t xml:space="preserve">  </w:t>
      </w:r>
    </w:p>
    <w:p w14:paraId="26C1E1FE"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24.2. The primary barrier is inadequate funding, resulting in a shortage of trained personnel, appropriate materials, support services and accessible infrastructure. </w:t>
      </w:r>
      <w:r>
        <w:rPr>
          <w:rStyle w:val="FootnoteReference"/>
          <w:rFonts w:ascii="Tw Cen MT" w:hAnsi="Tw Cen MT" w:cs="Times New Roman"/>
          <w:sz w:val="24"/>
          <w:szCs w:val="24"/>
        </w:rPr>
        <w:footnoteReference w:id="43"/>
      </w:r>
      <w:r>
        <w:rPr>
          <w:rFonts w:ascii="Tw Cen MT" w:hAnsi="Tw Cen MT" w:cs="Times New Roman"/>
          <w:sz w:val="24"/>
          <w:szCs w:val="24"/>
        </w:rPr>
        <w:t xml:space="preserve"> Schools frequently lack essential equipment such as hearing aids, wheelchairs, and learning devices tailored for learners with disabilities.</w:t>
      </w:r>
    </w:p>
    <w:p w14:paraId="78447C00"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24.3. However, Ghana has taken various steps to enhance inclusive education for persons with disabilities, such as providing educational materials in Braille and ensuring the availability of sign language interpreters, but these accommodations have limited reach. There are not enough teachers proficient in sign language and braille, which negatively affects the quality of education for learners who depend on these communication methods.</w:t>
      </w:r>
      <w:r>
        <w:rPr>
          <w:rStyle w:val="FootnoteReference"/>
          <w:rFonts w:ascii="Tw Cen MT" w:hAnsi="Tw Cen MT" w:cs="Times New Roman"/>
          <w:sz w:val="24"/>
          <w:szCs w:val="24"/>
        </w:rPr>
        <w:t xml:space="preserve"> </w:t>
      </w:r>
      <w:r>
        <w:rPr>
          <w:rStyle w:val="FootnoteReference"/>
          <w:rFonts w:ascii="Tw Cen MT" w:hAnsi="Tw Cen MT" w:cs="Times New Roman"/>
          <w:sz w:val="24"/>
          <w:szCs w:val="24"/>
        </w:rPr>
        <w:footnoteReference w:id="44"/>
      </w:r>
    </w:p>
    <w:p w14:paraId="5F60EA27"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24.4. Additionally, Ghana has made efforts to train pre-service and in some cases few in-service teachers on how to educate children with disabilities.</w:t>
      </w:r>
      <w:r>
        <w:rPr>
          <w:rStyle w:val="FootnoteReference"/>
          <w:rFonts w:ascii="Tw Cen MT" w:hAnsi="Tw Cen MT" w:cs="Times New Roman"/>
          <w:sz w:val="24"/>
          <w:szCs w:val="24"/>
        </w:rPr>
        <w:footnoteReference w:id="45"/>
      </w:r>
      <w:r>
        <w:rPr>
          <w:rFonts w:ascii="Tw Cen MT" w:hAnsi="Tw Cen MT" w:cs="Times New Roman"/>
          <w:sz w:val="24"/>
          <w:szCs w:val="24"/>
        </w:rPr>
        <w:t xml:space="preserve"> Despite these initiatives, the implementation has been inconsistent, leaving many teachers unprepared to manage diverse classrooms effectively.</w:t>
      </w:r>
    </w:p>
    <w:p w14:paraId="3DEC7916"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24.5. Transitioning from segregated special education to inclusive education is a complex process in Ghana. While Ghana is gradually adopting this model, the progress is slow. </w:t>
      </w:r>
    </w:p>
    <w:p w14:paraId="33EE2493"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24.6. A specific area of concern is the learning of science and mathematics by learners with visual impairments at the secondary level. These subjects are crucial for many career paths, yet the lack of specialized resources and trained teachers poses a significant hurdle. </w:t>
      </w:r>
    </w:p>
    <w:p w14:paraId="51FDDE3D"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24.7. During the 2022 Global Disability Summit, the State committed to a yearly incremental budget of 1.5% on top of the Inclusive Education budget. Despite this commitment, no steps have been taken by the State to implement this.  </w:t>
      </w:r>
    </w:p>
    <w:p w14:paraId="1343A4E7" w14:textId="77777777" w:rsidR="00031F03" w:rsidRDefault="00031F03">
      <w:pPr>
        <w:pStyle w:val="NoSpacing"/>
        <w:rPr>
          <w:rFonts w:ascii="Tw Cen MT" w:hAnsi="Tw Cen MT"/>
          <w:b/>
          <w:bCs/>
          <w:sz w:val="24"/>
          <w:szCs w:val="24"/>
        </w:rPr>
      </w:pPr>
    </w:p>
    <w:p w14:paraId="2519E41F" w14:textId="77777777" w:rsidR="00031F03" w:rsidRDefault="00031F03">
      <w:pPr>
        <w:pStyle w:val="NoSpacing"/>
        <w:rPr>
          <w:rFonts w:ascii="Tw Cen MT" w:hAnsi="Tw Cen MT"/>
          <w:b/>
          <w:bCs/>
          <w:sz w:val="24"/>
          <w:szCs w:val="24"/>
        </w:rPr>
      </w:pPr>
    </w:p>
    <w:p w14:paraId="6D51478F" w14:textId="77777777" w:rsidR="00031F03" w:rsidRDefault="00031F03">
      <w:pPr>
        <w:pStyle w:val="NoSpacing"/>
        <w:rPr>
          <w:rFonts w:ascii="Tw Cen MT" w:hAnsi="Tw Cen MT"/>
          <w:b/>
          <w:bCs/>
          <w:sz w:val="24"/>
          <w:szCs w:val="24"/>
        </w:rPr>
      </w:pPr>
    </w:p>
    <w:p w14:paraId="62333208" w14:textId="77777777" w:rsidR="00031F03" w:rsidRDefault="00000000">
      <w:pPr>
        <w:pStyle w:val="NoSpacing"/>
        <w:rPr>
          <w:rFonts w:ascii="Tw Cen MT" w:hAnsi="Tw Cen MT"/>
          <w:b/>
          <w:bCs/>
          <w:sz w:val="24"/>
          <w:szCs w:val="24"/>
        </w:rPr>
      </w:pPr>
      <w:r>
        <w:rPr>
          <w:rFonts w:ascii="Tw Cen MT" w:hAnsi="Tw Cen MT"/>
          <w:b/>
          <w:bCs/>
          <w:sz w:val="24"/>
          <w:szCs w:val="24"/>
        </w:rPr>
        <w:lastRenderedPageBreak/>
        <w:t>Proposed Recommendations</w:t>
      </w:r>
    </w:p>
    <w:p w14:paraId="61134B20" w14:textId="77777777" w:rsidR="00031F03" w:rsidRDefault="00031F03"/>
    <w:p w14:paraId="3C35EBE2" w14:textId="77777777" w:rsidR="00031F03" w:rsidRDefault="00000000">
      <w:pPr>
        <w:pStyle w:val="ListParagraph"/>
        <w:numPr>
          <w:ilvl w:val="0"/>
          <w:numId w:val="20"/>
        </w:numPr>
        <w:spacing w:line="360" w:lineRule="auto"/>
        <w:jc w:val="both"/>
        <w:rPr>
          <w:rFonts w:ascii="Tw Cen MT" w:hAnsi="Tw Cen MT" w:cs="Times New Roman"/>
          <w:sz w:val="24"/>
          <w:szCs w:val="24"/>
        </w:rPr>
      </w:pPr>
      <w:r>
        <w:rPr>
          <w:rFonts w:ascii="Tw Cen MT" w:hAnsi="Tw Cen MT" w:cs="Times New Roman"/>
          <w:sz w:val="24"/>
          <w:szCs w:val="24"/>
        </w:rPr>
        <w:t>Finalize and publish, in consultation with organizations of persons with disabilities, the updated Inclusive Education Policy which is fully consistent with the CRPD.</w:t>
      </w:r>
    </w:p>
    <w:p w14:paraId="7BA70E19" w14:textId="77777777" w:rsidR="00031F03" w:rsidRDefault="00000000">
      <w:pPr>
        <w:pStyle w:val="ListParagraph"/>
        <w:numPr>
          <w:ilvl w:val="0"/>
          <w:numId w:val="20"/>
        </w:numPr>
        <w:spacing w:line="360" w:lineRule="auto"/>
        <w:jc w:val="both"/>
        <w:rPr>
          <w:rFonts w:ascii="Tw Cen MT" w:hAnsi="Tw Cen MT" w:cs="Times New Roman"/>
          <w:sz w:val="24"/>
          <w:szCs w:val="24"/>
        </w:rPr>
      </w:pPr>
      <w:r>
        <w:rPr>
          <w:rFonts w:ascii="Tw Cen MT" w:hAnsi="Tw Cen MT" w:cs="Times New Roman"/>
          <w:sz w:val="24"/>
          <w:szCs w:val="24"/>
        </w:rPr>
        <w:t xml:space="preserve">The State should commit an adequate budgetary allocation for the effective implementation of the Inclusive Education Policy.  </w:t>
      </w:r>
    </w:p>
    <w:p w14:paraId="52D4BC7B" w14:textId="77777777" w:rsidR="00031F03" w:rsidRDefault="00000000">
      <w:pPr>
        <w:pStyle w:val="ListParagraph"/>
        <w:numPr>
          <w:ilvl w:val="0"/>
          <w:numId w:val="20"/>
        </w:numPr>
        <w:spacing w:line="360" w:lineRule="auto"/>
        <w:jc w:val="both"/>
        <w:rPr>
          <w:rFonts w:ascii="Tw Cen MT" w:hAnsi="Tw Cen MT" w:cs="Times New Roman"/>
          <w:sz w:val="24"/>
          <w:szCs w:val="24"/>
        </w:rPr>
      </w:pPr>
      <w:r>
        <w:rPr>
          <w:rFonts w:ascii="Tw Cen MT" w:hAnsi="Tw Cen MT" w:cs="Times New Roman"/>
          <w:sz w:val="24"/>
          <w:szCs w:val="24"/>
        </w:rPr>
        <w:t>The State should conduct regular pre-service and in-service training programmes with the needed incentives to increase the number of qualified teachers, administrators and auxiliary staff to support inclusive education implementation</w:t>
      </w:r>
    </w:p>
    <w:p w14:paraId="464FAE00" w14:textId="77777777" w:rsidR="00031F03" w:rsidRDefault="00000000">
      <w:pPr>
        <w:pStyle w:val="ListParagraph"/>
        <w:numPr>
          <w:ilvl w:val="0"/>
          <w:numId w:val="20"/>
        </w:numPr>
        <w:spacing w:line="360" w:lineRule="auto"/>
        <w:jc w:val="both"/>
        <w:rPr>
          <w:rFonts w:ascii="Tw Cen MT" w:hAnsi="Tw Cen MT" w:cs="Times New Roman"/>
          <w:sz w:val="24"/>
          <w:szCs w:val="24"/>
        </w:rPr>
      </w:pPr>
      <w:r>
        <w:rPr>
          <w:rFonts w:ascii="Tw Cen MT" w:hAnsi="Tw Cen MT" w:cs="Times New Roman"/>
          <w:sz w:val="24"/>
          <w:szCs w:val="24"/>
        </w:rPr>
        <w:t>Effective transition plans between special and inclusive education must incorporate strong support systems, including educational aids and psycho-social support for both learners and their families</w:t>
      </w:r>
    </w:p>
    <w:p w14:paraId="79D2FE61" w14:textId="77777777" w:rsidR="00031F03" w:rsidRDefault="00000000">
      <w:pPr>
        <w:pStyle w:val="ListParagraph"/>
        <w:numPr>
          <w:ilvl w:val="0"/>
          <w:numId w:val="20"/>
        </w:numPr>
        <w:spacing w:line="360" w:lineRule="auto"/>
        <w:jc w:val="both"/>
        <w:rPr>
          <w:rFonts w:ascii="Tw Cen MT" w:hAnsi="Tw Cen MT" w:cs="Times New Roman"/>
          <w:sz w:val="24"/>
          <w:szCs w:val="24"/>
        </w:rPr>
      </w:pPr>
      <w:r>
        <w:rPr>
          <w:rFonts w:ascii="Tw Cen MT" w:hAnsi="Tw Cen MT" w:cs="Times New Roman"/>
          <w:sz w:val="24"/>
          <w:szCs w:val="24"/>
        </w:rPr>
        <w:t>To address the shortages of resources and assistive technology for inclusive education implementation, more partnerships between the State and the private sector should be explored, ensuring all learners have access to the necessary tools to succeed in mainstream education</w:t>
      </w:r>
    </w:p>
    <w:p w14:paraId="2E75BAE9" w14:textId="77777777" w:rsidR="00031F03" w:rsidRDefault="00000000">
      <w:pPr>
        <w:pStyle w:val="ListParagraph"/>
        <w:numPr>
          <w:ilvl w:val="0"/>
          <w:numId w:val="20"/>
        </w:numPr>
        <w:spacing w:line="360" w:lineRule="auto"/>
        <w:jc w:val="both"/>
        <w:rPr>
          <w:rFonts w:ascii="Tw Cen MT" w:hAnsi="Tw Cen MT" w:cs="Times New Roman"/>
          <w:sz w:val="24"/>
          <w:szCs w:val="24"/>
        </w:rPr>
      </w:pPr>
      <w:r>
        <w:rPr>
          <w:rFonts w:ascii="Tw Cen MT" w:hAnsi="Tw Cen MT" w:cs="Times New Roman"/>
          <w:sz w:val="24"/>
          <w:szCs w:val="24"/>
        </w:rPr>
        <w:t xml:space="preserve">Create a tactile and audio-visual learning tool, along with training teachers in these methods, to address the challenges related to the learning of science and mathematics by learners with visual impairments. </w:t>
      </w:r>
    </w:p>
    <w:p w14:paraId="7590573B" w14:textId="77777777" w:rsidR="00031F03" w:rsidRDefault="00031F03">
      <w:pPr>
        <w:spacing w:line="360" w:lineRule="auto"/>
        <w:jc w:val="both"/>
        <w:rPr>
          <w:rFonts w:ascii="Tw Cen MT" w:hAnsi="Tw Cen MT" w:cs="Times New Roman"/>
          <w:b/>
          <w:bCs/>
          <w:sz w:val="24"/>
          <w:szCs w:val="24"/>
        </w:rPr>
      </w:pPr>
    </w:p>
    <w:p w14:paraId="3D6F636D" w14:textId="77777777" w:rsidR="00031F03" w:rsidRDefault="00000000">
      <w:pPr>
        <w:pStyle w:val="Heading1"/>
        <w:rPr>
          <w:rFonts w:ascii="Tw Cen MT" w:hAnsi="Tw Cen MT"/>
          <w:b/>
          <w:bCs/>
          <w:color w:val="auto"/>
          <w:sz w:val="24"/>
          <w:szCs w:val="24"/>
        </w:rPr>
      </w:pPr>
      <w:bookmarkStart w:id="44" w:name="_Toc171581994"/>
      <w:r>
        <w:rPr>
          <w:rFonts w:ascii="Tw Cen MT" w:hAnsi="Tw Cen MT"/>
          <w:b/>
          <w:bCs/>
          <w:color w:val="auto"/>
          <w:sz w:val="24"/>
          <w:szCs w:val="24"/>
        </w:rPr>
        <w:t>Article 25: Health</w:t>
      </w:r>
      <w:bookmarkEnd w:id="44"/>
      <w:r>
        <w:rPr>
          <w:rFonts w:ascii="Tw Cen MT" w:hAnsi="Tw Cen MT"/>
          <w:b/>
          <w:bCs/>
          <w:color w:val="auto"/>
          <w:sz w:val="24"/>
          <w:szCs w:val="24"/>
        </w:rPr>
        <w:t xml:space="preserve"> </w:t>
      </w:r>
    </w:p>
    <w:p w14:paraId="75462323" w14:textId="77777777" w:rsidR="00031F03" w:rsidRDefault="00031F03">
      <w:pPr>
        <w:spacing w:line="360" w:lineRule="auto"/>
        <w:jc w:val="both"/>
        <w:rPr>
          <w:rFonts w:ascii="Tw Cen MT" w:hAnsi="Tw Cen MT" w:cs="Times New Roman"/>
          <w:b/>
          <w:bCs/>
          <w:sz w:val="24"/>
          <w:szCs w:val="24"/>
        </w:rPr>
      </w:pPr>
    </w:p>
    <w:p w14:paraId="1EBEEE0D" w14:textId="77777777" w:rsidR="00031F03" w:rsidRDefault="00000000">
      <w:pPr>
        <w:pStyle w:val="ListParagraph"/>
        <w:numPr>
          <w:ilvl w:val="1"/>
          <w:numId w:val="5"/>
        </w:numPr>
        <w:spacing w:after="120" w:line="360" w:lineRule="auto"/>
        <w:jc w:val="both"/>
        <w:rPr>
          <w:rFonts w:ascii="Tw Cen MT" w:eastAsia="Calibri" w:hAnsi="Tw Cen MT" w:cs="Times New Roman"/>
          <w:kern w:val="0"/>
          <w:sz w:val="24"/>
          <w:szCs w:val="24"/>
          <w:lang w:val="en-GB" w:eastAsia="en-US"/>
          <w14:ligatures w14:val="none"/>
        </w:rPr>
      </w:pPr>
      <w:r>
        <w:rPr>
          <w:rFonts w:ascii="Tw Cen MT" w:eastAsia="Calibri" w:hAnsi="Tw Cen MT" w:cs="Times New Roman"/>
          <w:kern w:val="0"/>
          <w:sz w:val="24"/>
          <w:szCs w:val="24"/>
          <w:lang w:val="en-GB" w:eastAsia="en-US"/>
          <w14:ligatures w14:val="none"/>
        </w:rPr>
        <w:t xml:space="preserve">Most of the health facilities and institutions remain inaccessible. Information on health services is also not in accessible formats such as the provision of sign language and other modes of communication. Additionally, hospital beds, prescriptions and labelling of medication are also not accessible to some persons with disabilities. </w:t>
      </w:r>
    </w:p>
    <w:p w14:paraId="1DBF37C6" w14:textId="77777777" w:rsidR="00031F03" w:rsidRDefault="00000000">
      <w:pPr>
        <w:pStyle w:val="ListParagraph"/>
        <w:numPr>
          <w:ilvl w:val="1"/>
          <w:numId w:val="5"/>
        </w:numPr>
        <w:spacing w:after="120" w:line="360" w:lineRule="auto"/>
        <w:jc w:val="both"/>
        <w:rPr>
          <w:rFonts w:ascii="Tw Cen MT" w:eastAsia="Calibri" w:hAnsi="Tw Cen MT" w:cs="Times New Roman"/>
          <w:kern w:val="0"/>
          <w:sz w:val="24"/>
          <w:szCs w:val="24"/>
          <w:lang w:val="en-GB" w:eastAsia="en-US"/>
          <w14:ligatures w14:val="none"/>
        </w:rPr>
      </w:pPr>
      <w:r>
        <w:rPr>
          <w:rFonts w:ascii="Tw Cen MT" w:eastAsia="Calibri" w:hAnsi="Tw Cen MT" w:cs="Times New Roman"/>
          <w:kern w:val="0"/>
          <w:sz w:val="24"/>
          <w:szCs w:val="24"/>
          <w:lang w:val="en-GB" w:eastAsia="en-US"/>
          <w14:ligatures w14:val="none"/>
        </w:rPr>
        <w:t>Patient’s rights especially consent from deaf persons and persons with visual disabilities are commonly violated by health practitioners mainly due to some level of ignorance, negative perceptions and attitudes and lack of appropriate skills to communicate with patients with disabilities. Moreover, most medicines essential for persons with disabilities are still not covered by the NHIS.</w:t>
      </w:r>
    </w:p>
    <w:p w14:paraId="4BCB729B" w14:textId="77777777" w:rsidR="00031F03" w:rsidRDefault="00000000">
      <w:pPr>
        <w:pStyle w:val="ListParagraph"/>
        <w:numPr>
          <w:ilvl w:val="1"/>
          <w:numId w:val="5"/>
        </w:numPr>
        <w:spacing w:after="120" w:line="360" w:lineRule="auto"/>
        <w:jc w:val="both"/>
        <w:rPr>
          <w:rFonts w:ascii="Tw Cen MT" w:eastAsia="Calibri" w:hAnsi="Tw Cen MT" w:cs="Times New Roman"/>
          <w:kern w:val="0"/>
          <w:sz w:val="24"/>
          <w:szCs w:val="24"/>
          <w:lang w:val="en-GB" w:eastAsia="en-US"/>
          <w14:ligatures w14:val="none"/>
        </w:rPr>
      </w:pPr>
      <w:r>
        <w:rPr>
          <w:rFonts w:ascii="Tw Cen MT" w:eastAsia="Calibri" w:hAnsi="Tw Cen MT" w:cs="Times New Roman"/>
          <w:kern w:val="0"/>
          <w:sz w:val="24"/>
          <w:szCs w:val="24"/>
          <w:lang w:val="en-GB" w:eastAsia="en-US"/>
          <w14:ligatures w14:val="none"/>
        </w:rPr>
        <w:t xml:space="preserve">Stigma and discriminatory attitudes around disability, gender and sexuality also impact negatively on how women with disabilities exercise their rights to sexual and reproductive health services and family planning. The inaccessibility of infrastructure and information at health facilities, and the lack of trained health personnel on the human </w:t>
      </w:r>
      <w:r>
        <w:rPr>
          <w:rFonts w:ascii="Tw Cen MT" w:eastAsia="Calibri" w:hAnsi="Tw Cen MT" w:cs="Times New Roman"/>
          <w:kern w:val="0"/>
          <w:sz w:val="24"/>
          <w:szCs w:val="24"/>
          <w:lang w:val="en-GB" w:eastAsia="en-US"/>
          <w14:ligatures w14:val="none"/>
        </w:rPr>
        <w:lastRenderedPageBreak/>
        <w:t>rights approach to disability, further exclude women with disabilities from accessing sexual and reproductive health services.</w:t>
      </w:r>
    </w:p>
    <w:p w14:paraId="56F88FAE" w14:textId="77777777" w:rsidR="00031F03" w:rsidRDefault="00031F03">
      <w:pPr>
        <w:spacing w:after="120" w:line="360" w:lineRule="auto"/>
        <w:jc w:val="both"/>
        <w:rPr>
          <w:rFonts w:ascii="Tw Cen MT" w:eastAsia="Calibri" w:hAnsi="Tw Cen MT" w:cs="Times New Roman"/>
          <w:kern w:val="0"/>
          <w:sz w:val="24"/>
          <w:szCs w:val="24"/>
          <w:lang w:val="en-GB" w:eastAsia="en-US"/>
          <w14:ligatures w14:val="none"/>
        </w:rPr>
      </w:pPr>
    </w:p>
    <w:p w14:paraId="18ACEB38" w14:textId="77777777" w:rsidR="00031F03" w:rsidRDefault="00000000">
      <w:pPr>
        <w:pStyle w:val="NoSpacing"/>
        <w:rPr>
          <w:rFonts w:ascii="Tw Cen MT" w:hAnsi="Tw Cen MT"/>
          <w:b/>
          <w:bCs/>
          <w:sz w:val="24"/>
          <w:szCs w:val="24"/>
        </w:rPr>
      </w:pPr>
      <w:bookmarkStart w:id="45" w:name="_Toc90117964"/>
      <w:bookmarkStart w:id="46" w:name="_Toc95038770"/>
      <w:r>
        <w:rPr>
          <w:rFonts w:ascii="Tw Cen MT" w:hAnsi="Tw Cen MT"/>
          <w:b/>
          <w:bCs/>
          <w:sz w:val="24"/>
          <w:szCs w:val="24"/>
        </w:rPr>
        <w:t>Proposed Recommendations</w:t>
      </w:r>
    </w:p>
    <w:p w14:paraId="3CC87120" w14:textId="77777777" w:rsidR="00031F03" w:rsidRDefault="00031F03"/>
    <w:bookmarkEnd w:id="45"/>
    <w:bookmarkEnd w:id="46"/>
    <w:p w14:paraId="70A8B1C9" w14:textId="77777777" w:rsidR="00031F03" w:rsidRDefault="00000000">
      <w:pPr>
        <w:pStyle w:val="ListParagraph"/>
        <w:numPr>
          <w:ilvl w:val="0"/>
          <w:numId w:val="21"/>
        </w:numPr>
        <w:spacing w:after="120" w:line="360" w:lineRule="auto"/>
        <w:jc w:val="both"/>
        <w:rPr>
          <w:rFonts w:ascii="Tw Cen MT" w:eastAsia="Calibri" w:hAnsi="Tw Cen MT" w:cs="Times New Roman"/>
          <w:kern w:val="0"/>
          <w:sz w:val="24"/>
          <w:szCs w:val="24"/>
          <w:lang w:val="en-GB" w:eastAsia="en-US"/>
          <w14:ligatures w14:val="none"/>
        </w:rPr>
      </w:pPr>
      <w:r>
        <w:rPr>
          <w:rFonts w:ascii="Tw Cen MT" w:eastAsia="Calibri" w:hAnsi="Tw Cen MT" w:cs="Times New Roman"/>
          <w:kern w:val="0"/>
          <w:sz w:val="24"/>
          <w:szCs w:val="24"/>
          <w:lang w:val="en-GB" w:eastAsia="en-US"/>
          <w14:ligatures w14:val="none"/>
        </w:rPr>
        <w:t>The State should i</w:t>
      </w:r>
      <w:r>
        <w:rPr>
          <w:rFonts w:ascii="Tw Cen MT" w:hAnsi="Tw Cen MT"/>
          <w:sz w:val="24"/>
          <w:szCs w:val="24"/>
        </w:rPr>
        <w:t xml:space="preserve">mprove accessibility in health facilities by ensuring infrastructure modifications for persons with disabilities. Provide health information in accessible formats such as sign language and other modes of communication. Ensure hospital beds, prescriptions, and medication labels are accessible to all persons with disabilities. </w:t>
      </w:r>
    </w:p>
    <w:p w14:paraId="12B97212" w14:textId="77777777" w:rsidR="00031F03" w:rsidRDefault="00000000">
      <w:pPr>
        <w:pStyle w:val="ListParagraph"/>
        <w:numPr>
          <w:ilvl w:val="0"/>
          <w:numId w:val="21"/>
        </w:numPr>
        <w:spacing w:after="120" w:line="360" w:lineRule="auto"/>
        <w:jc w:val="both"/>
        <w:rPr>
          <w:rFonts w:ascii="Tw Cen MT" w:eastAsia="Calibri" w:hAnsi="Tw Cen MT" w:cs="Times New Roman"/>
          <w:kern w:val="0"/>
          <w:sz w:val="24"/>
          <w:szCs w:val="24"/>
          <w:lang w:val="en-GB" w:eastAsia="en-US"/>
          <w14:ligatures w14:val="none"/>
        </w:rPr>
      </w:pPr>
      <w:r>
        <w:rPr>
          <w:rFonts w:ascii="Tw Cen MT" w:hAnsi="Tw Cen MT"/>
          <w:sz w:val="24"/>
          <w:szCs w:val="24"/>
        </w:rPr>
        <w:t xml:space="preserve">Train health practitioners on communicating effectively with patients who are deaf or have visual disabilities to ensure informed consent and respect for patient rights. Expand coverage of essential medicines for persons with disabilities under the NHIS. </w:t>
      </w:r>
    </w:p>
    <w:p w14:paraId="6F59CE5D" w14:textId="77777777" w:rsidR="00031F03" w:rsidRDefault="00000000">
      <w:pPr>
        <w:pStyle w:val="ListParagraph"/>
        <w:numPr>
          <w:ilvl w:val="0"/>
          <w:numId w:val="21"/>
        </w:numPr>
        <w:spacing w:after="120" w:line="360" w:lineRule="auto"/>
        <w:jc w:val="both"/>
        <w:rPr>
          <w:rFonts w:ascii="Tw Cen MT" w:eastAsia="Calibri" w:hAnsi="Tw Cen MT" w:cs="Times New Roman"/>
          <w:kern w:val="0"/>
          <w:sz w:val="24"/>
          <w:szCs w:val="24"/>
          <w:lang w:val="en-GB" w:eastAsia="en-US"/>
          <w14:ligatures w14:val="none"/>
        </w:rPr>
      </w:pPr>
      <w:r>
        <w:rPr>
          <w:rFonts w:ascii="Tw Cen MT" w:hAnsi="Tw Cen MT"/>
          <w:sz w:val="24"/>
          <w:szCs w:val="24"/>
        </w:rPr>
        <w:t>Address stigma and discriminatory attitudes impacting women with disabilities by training health personnel on disability rights and inclusivity. Improve accessibility of health facilities and information on sexual and reproductive health services to ensure equitable access for women with disabilities.</w:t>
      </w:r>
    </w:p>
    <w:p w14:paraId="634EBDF8" w14:textId="77777777" w:rsidR="00031F03" w:rsidRDefault="00031F03">
      <w:pPr>
        <w:pStyle w:val="ListParagraph"/>
        <w:spacing w:after="120" w:line="360" w:lineRule="auto"/>
        <w:jc w:val="both"/>
        <w:rPr>
          <w:rFonts w:ascii="Tw Cen MT" w:eastAsia="Calibri" w:hAnsi="Tw Cen MT" w:cs="Times New Roman"/>
          <w:kern w:val="0"/>
          <w:sz w:val="24"/>
          <w:szCs w:val="24"/>
          <w:lang w:val="en-GB" w:eastAsia="en-US"/>
          <w14:ligatures w14:val="none"/>
        </w:rPr>
      </w:pPr>
    </w:p>
    <w:p w14:paraId="5EDABA6B" w14:textId="77777777" w:rsidR="00031F03" w:rsidRDefault="00000000">
      <w:pPr>
        <w:pStyle w:val="Heading1"/>
        <w:rPr>
          <w:rFonts w:ascii="Tw Cen MT" w:hAnsi="Tw Cen MT"/>
          <w:b/>
          <w:bCs/>
          <w:color w:val="auto"/>
          <w:sz w:val="24"/>
          <w:szCs w:val="24"/>
        </w:rPr>
      </w:pPr>
      <w:bookmarkStart w:id="47" w:name="_Toc171581995"/>
      <w:r>
        <w:rPr>
          <w:rFonts w:ascii="Tw Cen MT" w:hAnsi="Tw Cen MT"/>
          <w:b/>
          <w:bCs/>
          <w:color w:val="auto"/>
          <w:sz w:val="24"/>
          <w:szCs w:val="24"/>
        </w:rPr>
        <w:t>Article 27: Work and Employment</w:t>
      </w:r>
      <w:bookmarkEnd w:id="47"/>
      <w:r>
        <w:rPr>
          <w:rFonts w:ascii="Tw Cen MT" w:hAnsi="Tw Cen MT"/>
          <w:b/>
          <w:bCs/>
          <w:color w:val="auto"/>
          <w:sz w:val="24"/>
          <w:szCs w:val="24"/>
        </w:rPr>
        <w:t xml:space="preserve">  </w:t>
      </w:r>
    </w:p>
    <w:p w14:paraId="082E8739" w14:textId="77777777" w:rsidR="00031F03" w:rsidRDefault="00031F03"/>
    <w:p w14:paraId="7C063BD8" w14:textId="77777777" w:rsidR="00031F03" w:rsidRDefault="00000000">
      <w:pPr>
        <w:pStyle w:val="NoSpacing"/>
        <w:spacing w:line="360" w:lineRule="auto"/>
        <w:jc w:val="both"/>
        <w:rPr>
          <w:rFonts w:ascii="Tw Cen MT" w:eastAsia="Calibri" w:hAnsi="Tw Cen MT"/>
          <w:sz w:val="24"/>
          <w:szCs w:val="24"/>
          <w:lang w:val="en-GB"/>
        </w:rPr>
      </w:pPr>
      <w:r>
        <w:rPr>
          <w:rFonts w:ascii="Tw Cen MT" w:eastAsia="Calibri" w:hAnsi="Tw Cen MT"/>
          <w:sz w:val="24"/>
          <w:szCs w:val="24"/>
          <w:lang w:val="en-GB"/>
        </w:rPr>
        <w:t>27.1. There are some legislations, policies, and initiatives in place to support the employment of persons with disabilities, such as Article 29 (7) of the Constitution, which requires the provision of special incentives to Persons with disabilities engaged in business and employers that employ persons with disabilities in significant numbers, and sections 9 to 13 of Act 715 in addition to Sections 45-53 of the Labour Act (Act 651), that focus on the employment of persons with disabilities. However, the rates of job placement among persons with disabilities remain significantly low.</w:t>
      </w:r>
    </w:p>
    <w:p w14:paraId="1632B8C5" w14:textId="77777777" w:rsidR="00031F03" w:rsidRDefault="00000000">
      <w:pPr>
        <w:pStyle w:val="NoSpacing"/>
        <w:spacing w:line="360" w:lineRule="auto"/>
        <w:jc w:val="both"/>
        <w:rPr>
          <w:rFonts w:ascii="Tw Cen MT" w:eastAsia="Calibri" w:hAnsi="Tw Cen MT"/>
          <w:sz w:val="24"/>
          <w:szCs w:val="24"/>
          <w:lang w:val="en-GB"/>
        </w:rPr>
      </w:pPr>
      <w:r>
        <w:rPr>
          <w:rFonts w:ascii="Tw Cen MT" w:eastAsia="Calibri" w:hAnsi="Tw Cen MT"/>
          <w:sz w:val="24"/>
          <w:szCs w:val="24"/>
          <w:lang w:val="en-GB"/>
        </w:rPr>
        <w:t>27.2. Little has been done to address structural and systemic barriers in the workplace that limit the employability of persons with disabilities. Act 715 also does not recognise the denial of reasonable accommodation as a form of discrimination at the workplace and this has a negative impact on access to meaningful employment by persons with disabilities as employers are not legally required to provide individualised support.</w:t>
      </w:r>
    </w:p>
    <w:p w14:paraId="32E7153D" w14:textId="77777777" w:rsidR="00031F03" w:rsidRDefault="00000000">
      <w:pPr>
        <w:pStyle w:val="NoSpacing"/>
        <w:spacing w:line="360" w:lineRule="auto"/>
        <w:jc w:val="both"/>
        <w:rPr>
          <w:rFonts w:ascii="Tw Cen MT" w:eastAsia="Calibri" w:hAnsi="Tw Cen MT"/>
          <w:sz w:val="24"/>
          <w:szCs w:val="24"/>
          <w:lang w:val="en-GB"/>
        </w:rPr>
      </w:pPr>
      <w:r>
        <w:rPr>
          <w:rFonts w:ascii="Tw Cen MT" w:eastAsia="Calibri" w:hAnsi="Tw Cen MT"/>
          <w:sz w:val="24"/>
          <w:szCs w:val="24"/>
          <w:lang w:val="en-GB"/>
        </w:rPr>
        <w:t xml:space="preserve">27.3. The lack of access to education and training, lack of financial resources, high level of ignorance amongst employers, inaccessible financial opportunities and lack of enabling work environment including perceptions about disability and persons with disabilities are some of the reasons for the exclusion of persons with disabilities from the open labour market. </w:t>
      </w:r>
    </w:p>
    <w:p w14:paraId="66269D6C" w14:textId="77777777" w:rsidR="00031F03" w:rsidRDefault="00000000">
      <w:pPr>
        <w:pStyle w:val="NoSpacing"/>
        <w:spacing w:line="360" w:lineRule="auto"/>
        <w:jc w:val="both"/>
        <w:rPr>
          <w:rFonts w:ascii="Tw Cen MT" w:eastAsia="Calibri" w:hAnsi="Tw Cen MT"/>
          <w:sz w:val="24"/>
          <w:szCs w:val="24"/>
          <w:lang w:val="en-GB"/>
        </w:rPr>
      </w:pPr>
      <w:r>
        <w:rPr>
          <w:rFonts w:ascii="Tw Cen MT" w:eastAsia="Calibri" w:hAnsi="Tw Cen MT"/>
          <w:sz w:val="24"/>
          <w:szCs w:val="24"/>
          <w:lang w:val="en-GB"/>
        </w:rPr>
        <w:lastRenderedPageBreak/>
        <w:t xml:space="preserve">27.4. Some provisions have however been made in Act 715 in an attempt to promote the employment of persons with disabilities, specifically sections 10(1) and 10(2) which provide for an annual tax rebate of the taxable income in respect to a person with disabilities employed by any institution and also the provision of “special incentives” to persons with disabilities engaged in business and also to companies that employ persons with disabilities, however, there is no clarification provided on what these special incentives entail, nor have they been put in place. </w:t>
      </w:r>
    </w:p>
    <w:p w14:paraId="72723763" w14:textId="77777777" w:rsidR="00031F03" w:rsidRDefault="00000000">
      <w:pPr>
        <w:pStyle w:val="NoSpacing"/>
        <w:spacing w:line="360" w:lineRule="auto"/>
        <w:jc w:val="both"/>
        <w:rPr>
          <w:rFonts w:ascii="Tw Cen MT" w:eastAsia="Calibri" w:hAnsi="Tw Cen MT"/>
          <w:sz w:val="24"/>
          <w:szCs w:val="24"/>
          <w:lang w:val="en-GB"/>
        </w:rPr>
      </w:pPr>
      <w:r>
        <w:rPr>
          <w:rFonts w:ascii="Tw Cen MT" w:eastAsia="Calibri" w:hAnsi="Tw Cen MT"/>
          <w:sz w:val="24"/>
          <w:szCs w:val="24"/>
          <w:lang w:val="en-GB"/>
        </w:rPr>
        <w:t xml:space="preserve">27.5. OPDs have proposed an employment equity policy for the State to adopt. Even though the State has expressed interest in the policy, the process of adoption has been very slow. </w:t>
      </w:r>
    </w:p>
    <w:p w14:paraId="22C3B42C" w14:textId="77777777" w:rsidR="00031F03" w:rsidRDefault="00031F03">
      <w:pPr>
        <w:pStyle w:val="NoSpacing"/>
        <w:rPr>
          <w:rFonts w:ascii="Tw Cen MT" w:hAnsi="Tw Cen MT"/>
          <w:b/>
          <w:bCs/>
        </w:rPr>
      </w:pPr>
      <w:bookmarkStart w:id="48" w:name="_Toc90117968"/>
      <w:bookmarkStart w:id="49" w:name="_Toc95038774"/>
    </w:p>
    <w:p w14:paraId="48E3C258" w14:textId="77777777" w:rsidR="00031F03" w:rsidRDefault="00000000">
      <w:pPr>
        <w:pStyle w:val="NoSpacing"/>
        <w:rPr>
          <w:rFonts w:ascii="Tw Cen MT" w:hAnsi="Tw Cen MT"/>
          <w:b/>
          <w:bCs/>
        </w:rPr>
      </w:pPr>
      <w:r>
        <w:rPr>
          <w:rFonts w:ascii="Tw Cen MT" w:hAnsi="Tw Cen MT"/>
          <w:b/>
          <w:bCs/>
        </w:rPr>
        <w:t>Proposed Recommendations</w:t>
      </w:r>
    </w:p>
    <w:p w14:paraId="64A372F2" w14:textId="77777777" w:rsidR="00031F03" w:rsidRDefault="00031F03"/>
    <w:bookmarkEnd w:id="48"/>
    <w:bookmarkEnd w:id="49"/>
    <w:p w14:paraId="6D7DAAF8" w14:textId="77777777" w:rsidR="00031F03" w:rsidRDefault="00000000">
      <w:pPr>
        <w:pStyle w:val="ListParagraph"/>
        <w:numPr>
          <w:ilvl w:val="0"/>
          <w:numId w:val="22"/>
        </w:numPr>
        <w:spacing w:after="120" w:line="360" w:lineRule="auto"/>
        <w:jc w:val="both"/>
        <w:rPr>
          <w:rFonts w:ascii="Tw Cen MT" w:hAnsi="Tw Cen MT"/>
          <w:sz w:val="24"/>
          <w:szCs w:val="24"/>
        </w:rPr>
      </w:pPr>
      <w:r>
        <w:rPr>
          <w:rFonts w:ascii="Tw Cen MT" w:hAnsi="Tw Cen MT"/>
          <w:sz w:val="24"/>
          <w:szCs w:val="24"/>
        </w:rPr>
        <w:t>Enhance implementation and monitoring of existing legislation, policies, and initiatives supporting the employment of persons with disabilities to increase job placement rates. Focus on effective incentives and support mechanisms outlined in Article 29(7) of the Constitution and Act 715 to encourage businesses to hire and retain persons with disabilities.</w:t>
      </w:r>
    </w:p>
    <w:p w14:paraId="0914CC01" w14:textId="77777777" w:rsidR="00031F03" w:rsidRDefault="00000000">
      <w:pPr>
        <w:pStyle w:val="NoSpacing"/>
        <w:numPr>
          <w:ilvl w:val="0"/>
          <w:numId w:val="22"/>
        </w:numPr>
        <w:spacing w:line="360" w:lineRule="auto"/>
        <w:jc w:val="both"/>
        <w:rPr>
          <w:rFonts w:ascii="Tw Cen MT" w:hAnsi="Tw Cen MT"/>
          <w:sz w:val="24"/>
          <w:szCs w:val="24"/>
        </w:rPr>
      </w:pPr>
      <w:r>
        <w:rPr>
          <w:rFonts w:ascii="Tw Cen MT" w:hAnsi="Tw Cen MT"/>
          <w:sz w:val="24"/>
          <w:szCs w:val="24"/>
        </w:rPr>
        <w:t>Amend Act 715 to explicitly recognize the denial of reasonable accommodation as workplace discrimination. Mandate employers to provide tailored support to persons with disabilities to ensure they access meaningful employment opportunities.</w:t>
      </w:r>
    </w:p>
    <w:p w14:paraId="7DE30904" w14:textId="77777777" w:rsidR="00031F03" w:rsidRDefault="00000000">
      <w:pPr>
        <w:pStyle w:val="NoSpacing"/>
        <w:numPr>
          <w:ilvl w:val="0"/>
          <w:numId w:val="22"/>
        </w:numPr>
        <w:spacing w:line="360" w:lineRule="auto"/>
        <w:jc w:val="both"/>
        <w:rPr>
          <w:rFonts w:ascii="Tw Cen MT" w:hAnsi="Tw Cen MT"/>
          <w:sz w:val="24"/>
          <w:szCs w:val="24"/>
        </w:rPr>
      </w:pPr>
      <w:r>
        <w:rPr>
          <w:rFonts w:ascii="Tw Cen MT" w:hAnsi="Tw Cen MT"/>
          <w:sz w:val="24"/>
          <w:szCs w:val="24"/>
        </w:rPr>
        <w:t>Create and implement targeted education and training programmes for persons with disabilities. Address financial barriers, raise employer awareness, provide accessible financial opportunities, and foster inclusive work environments to combat negative stereotypes.</w:t>
      </w:r>
    </w:p>
    <w:p w14:paraId="09DDE9AC" w14:textId="77777777" w:rsidR="00031F03" w:rsidRDefault="00000000">
      <w:pPr>
        <w:pStyle w:val="NoSpacing"/>
        <w:numPr>
          <w:ilvl w:val="0"/>
          <w:numId w:val="22"/>
        </w:numPr>
        <w:spacing w:line="360" w:lineRule="auto"/>
        <w:jc w:val="both"/>
        <w:rPr>
          <w:rFonts w:ascii="Tw Cen MT" w:hAnsi="Tw Cen MT"/>
          <w:sz w:val="24"/>
          <w:szCs w:val="24"/>
        </w:rPr>
      </w:pPr>
      <w:r>
        <w:rPr>
          <w:rFonts w:ascii="Tw Cen MT" w:hAnsi="Tw Cen MT"/>
          <w:sz w:val="24"/>
          <w:szCs w:val="24"/>
        </w:rPr>
        <w:t>Clarify and implement the "special incentives" outlined in Act 715, Section 10(1), designed for businesses engaging persons with disabilities. Establish clear mechanisms to ensure these incentives effectively promote disability-inclusive employment practices.</w:t>
      </w:r>
    </w:p>
    <w:p w14:paraId="215A31D8" w14:textId="77777777" w:rsidR="00031F03" w:rsidRDefault="00000000">
      <w:pPr>
        <w:pStyle w:val="NoSpacing"/>
        <w:numPr>
          <w:ilvl w:val="0"/>
          <w:numId w:val="22"/>
        </w:numPr>
        <w:spacing w:line="360" w:lineRule="auto"/>
        <w:jc w:val="both"/>
        <w:rPr>
          <w:rFonts w:ascii="Tw Cen MT" w:hAnsi="Tw Cen MT"/>
          <w:sz w:val="24"/>
          <w:szCs w:val="24"/>
        </w:rPr>
      </w:pPr>
      <w:r>
        <w:rPr>
          <w:rFonts w:ascii="Tw Cen MT" w:hAnsi="Tw Cen MT"/>
          <w:sz w:val="24"/>
          <w:szCs w:val="24"/>
        </w:rPr>
        <w:t>Accelerate the adoption of proposed employment equity policies advocated by Organisations of Persons with Disabilities (OPDs). Ensure OPDs actively participate in policy formulation and implementation to promote equitable employment opportunities for persons with disabilities.</w:t>
      </w:r>
    </w:p>
    <w:p w14:paraId="1C36F474" w14:textId="77777777" w:rsidR="00031F03" w:rsidRDefault="00031F03">
      <w:pPr>
        <w:pStyle w:val="ListParagraph"/>
        <w:spacing w:after="120" w:line="360" w:lineRule="auto"/>
        <w:jc w:val="both"/>
        <w:rPr>
          <w:rFonts w:ascii="Tw Cen MT" w:eastAsia="Calibri" w:hAnsi="Tw Cen MT" w:cs="Times New Roman"/>
          <w:kern w:val="0"/>
          <w:sz w:val="24"/>
          <w:szCs w:val="24"/>
          <w:lang w:eastAsia="en-US"/>
          <w14:ligatures w14:val="none"/>
        </w:rPr>
      </w:pPr>
    </w:p>
    <w:p w14:paraId="034CB679" w14:textId="77777777" w:rsidR="00031F03" w:rsidRDefault="00000000">
      <w:pPr>
        <w:pStyle w:val="Heading1"/>
        <w:rPr>
          <w:rFonts w:ascii="Tw Cen MT" w:hAnsi="Tw Cen MT"/>
          <w:b/>
          <w:bCs/>
          <w:color w:val="auto"/>
          <w:sz w:val="24"/>
          <w:szCs w:val="24"/>
        </w:rPr>
      </w:pPr>
      <w:bookmarkStart w:id="50" w:name="_Toc171581996"/>
      <w:r>
        <w:rPr>
          <w:rFonts w:ascii="Tw Cen MT" w:hAnsi="Tw Cen MT"/>
          <w:b/>
          <w:bCs/>
          <w:color w:val="auto"/>
          <w:sz w:val="24"/>
          <w:szCs w:val="24"/>
        </w:rPr>
        <w:t>Article 28: Adequate Standard of Living and Social Protection</w:t>
      </w:r>
      <w:bookmarkEnd w:id="50"/>
    </w:p>
    <w:p w14:paraId="3100F981" w14:textId="77777777" w:rsidR="00031F03" w:rsidRDefault="00031F03">
      <w:pPr>
        <w:spacing w:line="360" w:lineRule="auto"/>
        <w:jc w:val="both"/>
        <w:rPr>
          <w:rFonts w:ascii="Tw Cen MT" w:hAnsi="Tw Cen MT" w:cs="Times New Roman"/>
          <w:b/>
          <w:bCs/>
          <w:sz w:val="24"/>
          <w:szCs w:val="24"/>
        </w:rPr>
      </w:pPr>
    </w:p>
    <w:p w14:paraId="0D709087"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28.1. Persons with disabilities in Ghana often face economic hardship and social exclusion due to inadequate social protection measures and barriers to employment. Discrimination in the job </w:t>
      </w:r>
      <w:r>
        <w:rPr>
          <w:rFonts w:ascii="Tw Cen MT" w:hAnsi="Tw Cen MT" w:cs="Times New Roman"/>
          <w:sz w:val="24"/>
          <w:szCs w:val="24"/>
        </w:rPr>
        <w:lastRenderedPageBreak/>
        <w:t xml:space="preserve">market, lack of accessible workplaces, and insufficient social security programmes contribute to their economic vulnerability. According to data from the Ghana Statistical Service, the poverty rate among persons with disabilities is disproportionately high, exacerbated by barriers to employment, education, and healthcare. </w:t>
      </w:r>
    </w:p>
    <w:p w14:paraId="32653A2D"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28.2. While Ghana has instituted several social protection programmes aimed at alleviating the poverty of vulnerable populations and enhancing social inclusion, persons with disabilities face multiple barriers that prevent them from fully benefiting from these initiatives. These challenges include insufficient funding, administrative inefficiencies, lack of appropriate infrastructure and resources, and societal stigma. Within the context of the key social protection programmes, the primary challenges are as follows:</w:t>
      </w:r>
    </w:p>
    <w:p w14:paraId="70758D7D"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28.3. The Livelihood Empowerment Against Poverty (LEAP) Programme provides cash transfers to extremely poor households, including those with members who have “severe” disabilities. However, its implementation is hampered by several issues. There are administrative bureaucracies, irregular disbursement and perceived political interferences that affect the consistency and impact of the cash transfers. </w:t>
      </w:r>
      <w:r>
        <w:rPr>
          <w:rFonts w:ascii="Tw Cen MT" w:hAnsi="Tw Cen MT" w:cs="Times New Roman"/>
          <w:sz w:val="24"/>
          <w:szCs w:val="24"/>
          <w:vertAlign w:val="superscript"/>
        </w:rPr>
        <w:footnoteReference w:id="46"/>
      </w:r>
      <w:r>
        <w:rPr>
          <w:rFonts w:ascii="Tw Cen MT" w:hAnsi="Tw Cen MT" w:cs="Times New Roman"/>
          <w:sz w:val="24"/>
          <w:szCs w:val="24"/>
          <w:vertAlign w:val="superscript"/>
        </w:rPr>
        <w:footnoteReference w:id="47"/>
      </w:r>
      <w:r>
        <w:rPr>
          <w:rFonts w:ascii="Tw Cen MT" w:hAnsi="Tw Cen MT" w:cs="Times New Roman"/>
          <w:sz w:val="24"/>
          <w:szCs w:val="24"/>
        </w:rPr>
        <w:t xml:space="preserve"> Additionally, the cash amount provided through LEAP, while helpful, is typically insufficient to cover the extra costs associated with disability, such as medical care, assistive devices, and transportation. There is also a lack of an effective exit strategy to help beneficiaries become self-reliant.</w:t>
      </w:r>
      <w:r>
        <w:rPr>
          <w:rFonts w:ascii="Tw Cen MT" w:hAnsi="Tw Cen MT" w:cs="Times New Roman"/>
          <w:sz w:val="24"/>
          <w:szCs w:val="24"/>
          <w:vertAlign w:val="superscript"/>
        </w:rPr>
        <w:footnoteReference w:id="48"/>
      </w:r>
      <w:r>
        <w:rPr>
          <w:rFonts w:ascii="Tw Cen MT" w:hAnsi="Tw Cen MT" w:cs="Times New Roman"/>
          <w:sz w:val="24"/>
          <w:szCs w:val="24"/>
        </w:rPr>
        <w:t xml:space="preserve"> </w:t>
      </w:r>
    </w:p>
    <w:p w14:paraId="2981C39A"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28.4. LEAP beneficiaries including persons with ‘’severe’’ disabilities are automatically enrolled Moreover, LEAP beneficiaries only include persons with “severe’’ disabilities as being automatically enrolled on the National Health Insurance Scheme (NHIS). This should, theoretically, result in the provision of free health insurance to such persons.  Nonetheless, in practice, only a small number of persons will qualify as having such “severe disabilities”, and other issues in accessing healthcare. Barriers include difficulties in renewing NHIS cards; poor service delivery; and stigma against persons with disabilities within healthcare facilities. These factors collectively undermine the effectiveness of the NHIS in meeting the health needs of the population of persons with disabilities. </w:t>
      </w:r>
      <w:r>
        <w:rPr>
          <w:rFonts w:ascii="Tw Cen MT" w:hAnsi="Tw Cen MT" w:cs="Times New Roman"/>
          <w:sz w:val="24"/>
          <w:szCs w:val="24"/>
          <w:vertAlign w:val="superscript"/>
        </w:rPr>
        <w:footnoteReference w:id="49"/>
      </w:r>
      <w:r>
        <w:rPr>
          <w:rFonts w:ascii="Tw Cen MT" w:hAnsi="Tw Cen MT" w:cs="Times New Roman"/>
          <w:sz w:val="24"/>
          <w:szCs w:val="24"/>
        </w:rPr>
        <w:t xml:space="preserve"> </w:t>
      </w:r>
      <w:r>
        <w:rPr>
          <w:rFonts w:ascii="Tw Cen MT" w:hAnsi="Tw Cen MT" w:cs="Times New Roman"/>
          <w:sz w:val="24"/>
          <w:szCs w:val="24"/>
          <w:vertAlign w:val="superscript"/>
        </w:rPr>
        <w:footnoteReference w:id="50"/>
      </w:r>
      <w:r>
        <w:rPr>
          <w:rFonts w:ascii="Tw Cen MT" w:hAnsi="Tw Cen MT" w:cs="Times New Roman"/>
          <w:sz w:val="24"/>
          <w:szCs w:val="24"/>
        </w:rPr>
        <w:t xml:space="preserve"> </w:t>
      </w:r>
    </w:p>
    <w:p w14:paraId="2DA7212F"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28.5. The 3% allocation from the District Assembly Common Fund (DACF) specifically for persons with disabilities is a significant step towards financial inclusion. However, the number of </w:t>
      </w:r>
      <w:r>
        <w:rPr>
          <w:rFonts w:ascii="Tw Cen MT" w:hAnsi="Tw Cen MT" w:cs="Times New Roman"/>
          <w:sz w:val="24"/>
          <w:szCs w:val="24"/>
        </w:rPr>
        <w:lastRenderedPageBreak/>
        <w:t>beneficiaries remains low relative to the population of persons with disabilities. According to a research report, many eligible individuals are either unaware of these funds or face challenges in accessing them due to complex application processes and limited outreach efforts</w:t>
      </w:r>
      <w:r>
        <w:rPr>
          <w:rFonts w:ascii="Arial" w:hAnsi="Arial" w:cs="Arial"/>
          <w:sz w:val="24"/>
          <w:szCs w:val="24"/>
        </w:rPr>
        <w:t>​</w:t>
      </w:r>
      <w:r>
        <w:rPr>
          <w:rFonts w:ascii="Tw Cen MT" w:hAnsi="Tw Cen MT" w:cs="Times New Roman"/>
          <w:sz w:val="24"/>
          <w:szCs w:val="24"/>
        </w:rPr>
        <w:t>.</w:t>
      </w:r>
      <w:r>
        <w:rPr>
          <w:rFonts w:ascii="Tw Cen MT" w:hAnsi="Tw Cen MT" w:cs="Times New Roman"/>
          <w:sz w:val="24"/>
          <w:szCs w:val="24"/>
          <w:vertAlign w:val="superscript"/>
        </w:rPr>
        <w:footnoteReference w:id="51"/>
      </w:r>
      <w:r>
        <w:rPr>
          <w:rFonts w:ascii="Tw Cen MT" w:hAnsi="Tw Cen MT" w:cs="Times New Roman"/>
          <w:sz w:val="24"/>
          <w:szCs w:val="24"/>
        </w:rPr>
        <w:t xml:space="preserve"> </w:t>
      </w:r>
    </w:p>
    <w:p w14:paraId="3CFAA0A9"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28.6. The Labor-Intensive Public Work (LIPW) aims to provide employment through public works, but its reach and effectiveness for persons with disabilities are limited. There is often a lack of suitable job roles that accommodate different types of disabilities, which restricts participation. Moreover, physical barriers and societal attitudes further hinder the inclusion of persons with disabilities in these labor initiatives.</w:t>
      </w:r>
    </w:p>
    <w:p w14:paraId="75F2358E"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28.7. The Ghana School Feeding Programme (GSFP) and Education Capitation Grant (ECG) are initiatives designed to improve school attendance and retention by providing free meals and eliminating school fees, respectively. However, schools frequently lack the infrastructure and resources necessary to accommodate learners with disabilities, such as accessible classrooms and specialized teaching materials. Consequently, learners with disabilities often remain excluded from these benefits, limiting their educational opportunities.</w:t>
      </w:r>
    </w:p>
    <w:p w14:paraId="67FD7155"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28.8. The National Social Protection Framework often excludes those who do not have visible disabilities such as autism and psychosocial disabilities. This exclusion underscores a broader issue of societal stigma and inadequate understanding of the diverse needs of persons with disabilities</w:t>
      </w:r>
      <w:r>
        <w:rPr>
          <w:rFonts w:ascii="Arial" w:hAnsi="Arial" w:cs="Arial"/>
          <w:sz w:val="24"/>
          <w:szCs w:val="24"/>
        </w:rPr>
        <w:t>​</w:t>
      </w:r>
      <w:r>
        <w:rPr>
          <w:rFonts w:ascii="Tw Cen MT" w:hAnsi="Tw Cen MT" w:cs="Times New Roman"/>
          <w:sz w:val="24"/>
          <w:szCs w:val="24"/>
        </w:rPr>
        <w:t>.</w:t>
      </w:r>
    </w:p>
    <w:p w14:paraId="00F1C7B0"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28.9. The National Social Protection Policy and the draft Social Protection Bill represent a forward-looking initiative by the Ghanaian State to address systemic issues in social protection. However, the status of the draft bill remains uncertain. </w:t>
      </w:r>
    </w:p>
    <w:p w14:paraId="56865D70"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28.10. The Draft Persons with Disability Bill 2024 entitles persons with disabilities to “social protection benefits in line with the needs of the person with disability”.</w:t>
      </w:r>
      <w:r>
        <w:rPr>
          <w:rStyle w:val="FootnoteReference"/>
          <w:rFonts w:ascii="Tw Cen MT" w:hAnsi="Tw Cen MT" w:cs="Times New Roman"/>
          <w:sz w:val="24"/>
          <w:szCs w:val="24"/>
        </w:rPr>
        <w:footnoteReference w:id="52"/>
      </w:r>
      <w:r>
        <w:rPr>
          <w:rFonts w:ascii="Tw Cen MT" w:hAnsi="Tw Cen MT" w:cs="Times New Roman"/>
          <w:sz w:val="24"/>
          <w:szCs w:val="24"/>
        </w:rPr>
        <w:t xml:space="preserve"> It also requires the payment of a “monthly disability allowance” to unemployed persons with disabilities, and also allows a person with a person with a disability to retire with access to such an allowance.</w:t>
      </w:r>
      <w:r>
        <w:rPr>
          <w:rStyle w:val="FootnoteReference"/>
          <w:rFonts w:ascii="Tw Cen MT" w:hAnsi="Tw Cen MT" w:cs="Times New Roman"/>
          <w:sz w:val="24"/>
          <w:szCs w:val="24"/>
        </w:rPr>
        <w:footnoteReference w:id="53"/>
      </w:r>
      <w:r>
        <w:rPr>
          <w:rFonts w:ascii="Tw Cen MT" w:hAnsi="Tw Cen MT" w:cs="Times New Roman"/>
          <w:sz w:val="24"/>
          <w:szCs w:val="24"/>
        </w:rPr>
        <w:t xml:space="preserve"> The Bill does not, however, indicate how the level of such an allowance will be determined.</w:t>
      </w:r>
    </w:p>
    <w:p w14:paraId="20C59D53" w14:textId="77777777" w:rsidR="00031F03" w:rsidRDefault="00031F03">
      <w:pPr>
        <w:spacing w:line="360" w:lineRule="auto"/>
        <w:jc w:val="both"/>
        <w:rPr>
          <w:rFonts w:ascii="Tw Cen MT" w:hAnsi="Tw Cen MT" w:cs="Times New Roman"/>
          <w:sz w:val="24"/>
          <w:szCs w:val="24"/>
        </w:rPr>
      </w:pPr>
    </w:p>
    <w:p w14:paraId="58314295"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Recommendations </w:t>
      </w:r>
    </w:p>
    <w:p w14:paraId="74D42844" w14:textId="77777777" w:rsidR="00031F03" w:rsidRDefault="00031F03"/>
    <w:p w14:paraId="0A19A640" w14:textId="77777777" w:rsidR="00031F03" w:rsidRDefault="00000000">
      <w:pPr>
        <w:pStyle w:val="ListParagraph"/>
        <w:numPr>
          <w:ilvl w:val="0"/>
          <w:numId w:val="23"/>
        </w:numPr>
        <w:spacing w:line="360" w:lineRule="auto"/>
        <w:jc w:val="both"/>
        <w:rPr>
          <w:rFonts w:ascii="Tw Cen MT" w:hAnsi="Tw Cen MT" w:cs="Times New Roman"/>
          <w:sz w:val="24"/>
          <w:szCs w:val="24"/>
        </w:rPr>
      </w:pPr>
      <w:r>
        <w:rPr>
          <w:rFonts w:ascii="Tw Cen MT" w:hAnsi="Tw Cen MT" w:cs="Times New Roman"/>
          <w:sz w:val="24"/>
          <w:szCs w:val="24"/>
        </w:rPr>
        <w:t>The State should e</w:t>
      </w:r>
      <w:r>
        <w:rPr>
          <w:rFonts w:ascii="Tw Cen MT" w:hAnsi="Tw Cen MT"/>
          <w:sz w:val="24"/>
          <w:szCs w:val="24"/>
        </w:rPr>
        <w:t>nhance accessibility to education, healthcare, and workplaces for persons with disabilities through targeted policies, awareness campaigns, and enforcement of anti-discrimination laws to mitigate economic hardship and social exclusion.</w:t>
      </w:r>
    </w:p>
    <w:p w14:paraId="150BAE4F" w14:textId="77777777" w:rsidR="00031F03" w:rsidRDefault="00000000">
      <w:pPr>
        <w:pStyle w:val="ListParagraph"/>
        <w:numPr>
          <w:ilvl w:val="0"/>
          <w:numId w:val="23"/>
        </w:numPr>
        <w:spacing w:line="360" w:lineRule="auto"/>
        <w:jc w:val="both"/>
        <w:rPr>
          <w:rFonts w:ascii="Tw Cen MT" w:hAnsi="Tw Cen MT" w:cs="Times New Roman"/>
          <w:sz w:val="24"/>
          <w:szCs w:val="24"/>
        </w:rPr>
      </w:pPr>
      <w:r>
        <w:rPr>
          <w:rFonts w:ascii="Tw Cen MT" w:hAnsi="Tw Cen MT"/>
          <w:sz w:val="24"/>
          <w:szCs w:val="24"/>
        </w:rPr>
        <w:lastRenderedPageBreak/>
        <w:t>Allocate adequate funding, streamline administrative processes, enhance infrastructure, and conduct awareness campaigns to ensure that persons with disabilities fully benefit from existing social protection programmes in Ghana.</w:t>
      </w:r>
    </w:p>
    <w:p w14:paraId="7C2AC3FE" w14:textId="77777777" w:rsidR="00031F03" w:rsidRDefault="00000000">
      <w:pPr>
        <w:pStyle w:val="ListParagraph"/>
        <w:numPr>
          <w:ilvl w:val="0"/>
          <w:numId w:val="23"/>
        </w:numPr>
        <w:spacing w:line="360" w:lineRule="auto"/>
        <w:jc w:val="both"/>
        <w:rPr>
          <w:rFonts w:ascii="Tw Cen MT" w:hAnsi="Tw Cen MT" w:cs="Times New Roman"/>
          <w:sz w:val="24"/>
          <w:szCs w:val="24"/>
        </w:rPr>
      </w:pPr>
      <w:r>
        <w:rPr>
          <w:rFonts w:ascii="Tw Cen MT" w:hAnsi="Tw Cen MT"/>
          <w:sz w:val="24"/>
          <w:szCs w:val="24"/>
        </w:rPr>
        <w:t>Reform the Livelihood Empowerment Against Poverty (LEAP) Programme by addressing administrative inefficiencies, ensuring regular and reliable cash disbursements, increasing the amount of cash transfers to cover disability-related costs, and implementing an effective exit strategy for beneficiaries.</w:t>
      </w:r>
    </w:p>
    <w:p w14:paraId="0FADE96D" w14:textId="77777777" w:rsidR="00031F03" w:rsidRDefault="00000000">
      <w:pPr>
        <w:pStyle w:val="ListParagraph"/>
        <w:numPr>
          <w:ilvl w:val="0"/>
          <w:numId w:val="23"/>
        </w:numPr>
        <w:spacing w:line="360" w:lineRule="auto"/>
        <w:jc w:val="both"/>
        <w:rPr>
          <w:rFonts w:ascii="Tw Cen MT" w:hAnsi="Tw Cen MT" w:cs="Times New Roman"/>
          <w:sz w:val="24"/>
          <w:szCs w:val="24"/>
        </w:rPr>
      </w:pPr>
      <w:r>
        <w:rPr>
          <w:rFonts w:ascii="Tw Cen MT" w:hAnsi="Tw Cen MT"/>
          <w:sz w:val="24"/>
          <w:szCs w:val="24"/>
        </w:rPr>
        <w:t>Address barriers to accessing healthcare under the National Health Insurance Scheme (NHIS) for persons with disabilities by improving card renewal processes, enhancing service delivery, and combating stigma within healthcare facilities.</w:t>
      </w:r>
    </w:p>
    <w:p w14:paraId="1DE0C1B5" w14:textId="77777777" w:rsidR="00031F03" w:rsidRDefault="00000000">
      <w:pPr>
        <w:pStyle w:val="ListParagraph"/>
        <w:numPr>
          <w:ilvl w:val="0"/>
          <w:numId w:val="23"/>
        </w:numPr>
        <w:spacing w:line="360" w:lineRule="auto"/>
        <w:jc w:val="both"/>
        <w:rPr>
          <w:rFonts w:ascii="Tw Cen MT" w:hAnsi="Tw Cen MT" w:cs="Times New Roman"/>
          <w:sz w:val="24"/>
          <w:szCs w:val="24"/>
        </w:rPr>
      </w:pPr>
      <w:r>
        <w:rPr>
          <w:rFonts w:ascii="Tw Cen MT" w:hAnsi="Tw Cen MT"/>
          <w:sz w:val="24"/>
          <w:szCs w:val="24"/>
        </w:rPr>
        <w:t>Simplify application processes, enhance outreach efforts, and provide comprehensive guidance to increase awareness and access to the 3% allocation from the District Assembly Common Fund (DACF) for persons with disabilities.</w:t>
      </w:r>
    </w:p>
    <w:p w14:paraId="5273FEB1" w14:textId="77777777" w:rsidR="00031F03" w:rsidRDefault="00000000">
      <w:pPr>
        <w:pStyle w:val="ListParagraph"/>
        <w:numPr>
          <w:ilvl w:val="0"/>
          <w:numId w:val="23"/>
        </w:numPr>
        <w:spacing w:line="360" w:lineRule="auto"/>
        <w:jc w:val="both"/>
        <w:rPr>
          <w:rFonts w:ascii="Tw Cen MT" w:hAnsi="Tw Cen MT" w:cs="Times New Roman"/>
          <w:sz w:val="24"/>
          <w:szCs w:val="24"/>
        </w:rPr>
      </w:pPr>
      <w:r>
        <w:rPr>
          <w:rFonts w:ascii="Tw Cen MT" w:hAnsi="Tw Cen MT"/>
          <w:sz w:val="24"/>
          <w:szCs w:val="24"/>
        </w:rPr>
        <w:t>Expand job roles within the Labour-Intensive Public Work (LIPW) programme to accommodate diverse disabilities, improve physical accessibility, and combat societal attitudes that hinder employment opportunities for persons with disabilities.</w:t>
      </w:r>
    </w:p>
    <w:p w14:paraId="46FEA025" w14:textId="77777777" w:rsidR="00031F03" w:rsidRDefault="00000000">
      <w:pPr>
        <w:pStyle w:val="ListParagraph"/>
        <w:numPr>
          <w:ilvl w:val="0"/>
          <w:numId w:val="23"/>
        </w:numPr>
        <w:spacing w:line="360" w:lineRule="auto"/>
        <w:jc w:val="both"/>
        <w:rPr>
          <w:rFonts w:ascii="Tw Cen MT" w:hAnsi="Tw Cen MT" w:cs="Times New Roman"/>
          <w:sz w:val="24"/>
          <w:szCs w:val="24"/>
        </w:rPr>
      </w:pPr>
      <w:r>
        <w:rPr>
          <w:rFonts w:ascii="Tw Cen MT" w:hAnsi="Tw Cen MT"/>
          <w:sz w:val="24"/>
          <w:szCs w:val="24"/>
        </w:rPr>
        <w:t>Ensure inclusive infrastructure and resources in schools participating in the Ghana School Feeding Programme (GSFP) and Education Capitation Grant (ECG) to facilitate the attendance and retention of learners with disabilities.</w:t>
      </w:r>
    </w:p>
    <w:p w14:paraId="31528F19" w14:textId="77777777" w:rsidR="00031F03" w:rsidRDefault="00000000">
      <w:pPr>
        <w:pStyle w:val="ListParagraph"/>
        <w:numPr>
          <w:ilvl w:val="0"/>
          <w:numId w:val="23"/>
        </w:numPr>
        <w:spacing w:line="360" w:lineRule="auto"/>
        <w:jc w:val="both"/>
        <w:rPr>
          <w:rFonts w:ascii="Tw Cen MT" w:hAnsi="Tw Cen MT" w:cs="Times New Roman"/>
          <w:sz w:val="24"/>
          <w:szCs w:val="24"/>
        </w:rPr>
      </w:pPr>
      <w:r>
        <w:rPr>
          <w:rFonts w:ascii="Tw Cen MT" w:hAnsi="Tw Cen MT"/>
          <w:sz w:val="24"/>
          <w:szCs w:val="24"/>
        </w:rPr>
        <w:t>Revise the National Social Protection Framework to inclusively recognize and support persons with disabilities, including those with autism and psychosocial disabilities, addressing stigma and enhancing understanding of their unique needs.</w:t>
      </w:r>
    </w:p>
    <w:p w14:paraId="47487BE3" w14:textId="77777777" w:rsidR="00031F03" w:rsidRDefault="00000000">
      <w:pPr>
        <w:pStyle w:val="ListParagraph"/>
        <w:numPr>
          <w:ilvl w:val="0"/>
          <w:numId w:val="23"/>
        </w:numPr>
        <w:spacing w:line="360" w:lineRule="auto"/>
        <w:jc w:val="both"/>
        <w:rPr>
          <w:rFonts w:ascii="Tw Cen MT" w:hAnsi="Tw Cen MT" w:cs="Times New Roman"/>
          <w:sz w:val="24"/>
          <w:szCs w:val="24"/>
        </w:rPr>
      </w:pPr>
      <w:r>
        <w:rPr>
          <w:rFonts w:ascii="Tw Cen MT" w:hAnsi="Tw Cen MT"/>
          <w:sz w:val="24"/>
          <w:szCs w:val="24"/>
        </w:rPr>
        <w:t>Advocate for the finalization and enactment of the draft Social Protection Bill to strengthen the implementation of the National Social Protection Policy and ensure comprehensive coverage and support for persons with disabilities.</w:t>
      </w:r>
    </w:p>
    <w:p w14:paraId="42C58A15" w14:textId="77777777" w:rsidR="00031F03" w:rsidRDefault="00000000">
      <w:pPr>
        <w:pStyle w:val="ListParagraph"/>
        <w:numPr>
          <w:ilvl w:val="0"/>
          <w:numId w:val="23"/>
        </w:numPr>
        <w:spacing w:line="360" w:lineRule="auto"/>
        <w:jc w:val="both"/>
        <w:rPr>
          <w:rFonts w:ascii="Tw Cen MT" w:hAnsi="Tw Cen MT" w:cs="Times New Roman"/>
          <w:sz w:val="24"/>
          <w:szCs w:val="24"/>
        </w:rPr>
      </w:pPr>
      <w:r>
        <w:rPr>
          <w:rFonts w:ascii="Tw Cen MT" w:hAnsi="Tw Cen MT"/>
          <w:sz w:val="24"/>
          <w:szCs w:val="24"/>
        </w:rPr>
        <w:t>Establish transparent criteria and mechanisms for determining the monthly disability allowance as outlined in the Draft Persons with Disability Bill 2024 to ensure fairness and adequacy in support provided to unemployed persons with disabilities.</w:t>
      </w:r>
    </w:p>
    <w:p w14:paraId="2F4F2092" w14:textId="77777777" w:rsidR="00031F03" w:rsidRDefault="00031F03">
      <w:pPr>
        <w:spacing w:line="360" w:lineRule="auto"/>
        <w:jc w:val="both"/>
        <w:rPr>
          <w:rFonts w:ascii="Tw Cen MT" w:hAnsi="Tw Cen MT" w:cs="Times New Roman"/>
          <w:sz w:val="24"/>
          <w:szCs w:val="24"/>
        </w:rPr>
      </w:pPr>
    </w:p>
    <w:p w14:paraId="09A14BD2" w14:textId="77777777" w:rsidR="00031F03" w:rsidRDefault="00000000">
      <w:pPr>
        <w:pStyle w:val="Heading1"/>
        <w:rPr>
          <w:rFonts w:ascii="Tw Cen MT" w:hAnsi="Tw Cen MT"/>
          <w:b/>
          <w:bCs/>
          <w:color w:val="auto"/>
          <w:sz w:val="24"/>
          <w:szCs w:val="24"/>
        </w:rPr>
      </w:pPr>
      <w:bookmarkStart w:id="51" w:name="_Toc171581997"/>
      <w:r>
        <w:rPr>
          <w:rFonts w:ascii="Tw Cen MT" w:hAnsi="Tw Cen MT"/>
          <w:b/>
          <w:bCs/>
          <w:color w:val="auto"/>
          <w:sz w:val="24"/>
          <w:szCs w:val="24"/>
        </w:rPr>
        <w:t>Article 29: Participation in Political and Public Life</w:t>
      </w:r>
      <w:bookmarkEnd w:id="51"/>
      <w:r>
        <w:rPr>
          <w:rFonts w:ascii="Tw Cen MT" w:hAnsi="Tw Cen MT"/>
          <w:b/>
          <w:bCs/>
          <w:color w:val="auto"/>
          <w:sz w:val="24"/>
          <w:szCs w:val="24"/>
        </w:rPr>
        <w:t xml:space="preserve"> </w:t>
      </w:r>
    </w:p>
    <w:p w14:paraId="0BE67568" w14:textId="77777777" w:rsidR="00031F03" w:rsidRDefault="00031F03">
      <w:pPr>
        <w:pStyle w:val="NoSpacing"/>
        <w:rPr>
          <w:rFonts w:ascii="Tw Cen MT" w:hAnsi="Tw Cen MT"/>
          <w:sz w:val="20"/>
          <w:szCs w:val="20"/>
        </w:rPr>
      </w:pPr>
    </w:p>
    <w:p w14:paraId="2332E083"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29.1. While there have been strides in recognizing and addressing the political rights of persons with disabilities in Ghana, significant challenges remain. Accessibility remains a significant challenge. There have been many voting locations, political platforms, and public offices that are not physically accessible to persons with disabilities. </w:t>
      </w:r>
    </w:p>
    <w:p w14:paraId="71DBD13C"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lastRenderedPageBreak/>
        <w:t xml:space="preserve">29.2. Furthermore, the lack of accessible communication methods, such as Braille, sign language, and Easy Read formats, limits their ability to receive information and engage effectively in political discourse. </w:t>
      </w:r>
    </w:p>
    <w:p w14:paraId="18F6EE39"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29.3. There is limited awareness among political parties and the public about the rights of persons with disabilities. The representation of persons with disabilities in political positions is notably low. Few individuals with disabilities hold elected office or other significant public roles, which limits their influence on policy and decision-making processes. There is currently no Minister of State with a disability, nor are there members of parliament with disabilities and this is concerning.</w:t>
      </w:r>
    </w:p>
    <w:p w14:paraId="541DCB43"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29.4. Social attitudes and cultural perceptions also pose substantial obstacles. Persons with disabilities often face prejudices and stigmatization, which can deter their involvement in political and public life. This societal exclusion is exacerbated for women with disabilities, who encounter additional layers of discrimination. </w:t>
      </w:r>
    </w:p>
    <w:p w14:paraId="160B98EB"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29.5. The right to vote for persons with psychosocial and intellectual disabilities is often undermined by outdated legal frameworks</w:t>
      </w:r>
      <w:r>
        <w:rPr>
          <w:rFonts w:ascii="Tw Cen MT" w:hAnsi="Tw Cen MT" w:cs="Times New Roman"/>
          <w:sz w:val="24"/>
          <w:szCs w:val="24"/>
          <w:vertAlign w:val="superscript"/>
        </w:rPr>
        <w:footnoteReference w:id="54"/>
      </w:r>
      <w:r>
        <w:rPr>
          <w:rFonts w:ascii="Tw Cen MT" w:hAnsi="Tw Cen MT" w:cs="Times New Roman"/>
          <w:sz w:val="24"/>
          <w:szCs w:val="24"/>
        </w:rPr>
        <w:t xml:space="preserve"> and societal prejudices. Article 42 of the Constitution, for example, specifically disenfranchises persons who are not “of sound mind” from voting or registering to vote.</w:t>
      </w:r>
      <w:r>
        <w:rPr>
          <w:rStyle w:val="FootnoteReference"/>
          <w:rFonts w:ascii="Tw Cen MT" w:hAnsi="Tw Cen MT" w:cs="Times New Roman"/>
          <w:sz w:val="24"/>
          <w:szCs w:val="24"/>
        </w:rPr>
        <w:footnoteReference w:id="55"/>
      </w:r>
      <w:r>
        <w:rPr>
          <w:rFonts w:ascii="Tw Cen MT" w:hAnsi="Tw Cen MT" w:cs="Times New Roman"/>
          <w:sz w:val="24"/>
          <w:szCs w:val="24"/>
        </w:rPr>
        <w:t xml:space="preserve"> In addition, Article 94(2)(b)(ii) excludes persons of “unsound mind” or who have been “detained as a criminal lunatic” from being a member of Parliament. These barriers often prevent them from exercising their political rights, such as voting or running for public office. </w:t>
      </w:r>
    </w:p>
    <w:p w14:paraId="3EF66FB8"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29.6. The Electoral Commission Act 1993 (Act 451) establishes the Electoral Commission and endows it with the power to enact regulations pertaining to voter registration.</w:t>
      </w:r>
      <w:r>
        <w:rPr>
          <w:rStyle w:val="FootnoteReference"/>
          <w:rFonts w:ascii="Tw Cen MT" w:hAnsi="Tw Cen MT" w:cs="Times New Roman"/>
          <w:sz w:val="24"/>
          <w:szCs w:val="24"/>
        </w:rPr>
        <w:footnoteReference w:id="56"/>
      </w:r>
      <w:r>
        <w:rPr>
          <w:rFonts w:ascii="Tw Cen MT" w:hAnsi="Tw Cen MT" w:cs="Times New Roman"/>
          <w:sz w:val="24"/>
          <w:szCs w:val="24"/>
        </w:rPr>
        <w:t xml:space="preserve"> The Regulations enacted by the Commission in terms of these powers restrict eligibility for registration to those persons with “sound mind”.</w:t>
      </w:r>
      <w:r>
        <w:rPr>
          <w:rStyle w:val="FootnoteReference"/>
          <w:rFonts w:ascii="Tw Cen MT" w:hAnsi="Tw Cen MT" w:cs="Times New Roman"/>
          <w:sz w:val="24"/>
          <w:szCs w:val="24"/>
        </w:rPr>
        <w:footnoteReference w:id="57"/>
      </w:r>
    </w:p>
    <w:p w14:paraId="58568293" w14:textId="77777777" w:rsidR="00031F03" w:rsidRDefault="00031F03">
      <w:pPr>
        <w:spacing w:line="360" w:lineRule="auto"/>
        <w:jc w:val="both"/>
        <w:rPr>
          <w:rFonts w:ascii="Tw Cen MT" w:hAnsi="Tw Cen MT" w:cs="Times New Roman"/>
          <w:sz w:val="24"/>
          <w:szCs w:val="24"/>
        </w:rPr>
      </w:pPr>
    </w:p>
    <w:p w14:paraId="09DC37B8"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Recommendations </w:t>
      </w:r>
    </w:p>
    <w:p w14:paraId="60523A0D" w14:textId="77777777" w:rsidR="00031F03" w:rsidRDefault="00031F03"/>
    <w:p w14:paraId="4D89E501" w14:textId="77777777" w:rsidR="00031F03" w:rsidRDefault="00000000">
      <w:pPr>
        <w:pStyle w:val="ListParagraph"/>
        <w:numPr>
          <w:ilvl w:val="0"/>
          <w:numId w:val="24"/>
        </w:numPr>
        <w:spacing w:line="360" w:lineRule="auto"/>
        <w:jc w:val="both"/>
        <w:rPr>
          <w:rFonts w:ascii="Tw Cen MT" w:hAnsi="Tw Cen MT" w:cs="Times New Roman"/>
          <w:sz w:val="24"/>
          <w:szCs w:val="24"/>
        </w:rPr>
      </w:pPr>
      <w:r>
        <w:rPr>
          <w:rFonts w:ascii="Tw Cen MT" w:eastAsia="Times New Roman" w:hAnsi="Tw Cen MT"/>
          <w:sz w:val="24"/>
          <w:szCs w:val="24"/>
        </w:rPr>
        <w:t>The State should conduct accessibility audits and ensure physical accessibility of all voting locations, political platforms, and public offices.</w:t>
      </w:r>
    </w:p>
    <w:p w14:paraId="3E2340DD" w14:textId="77777777" w:rsidR="00031F03" w:rsidRDefault="00000000">
      <w:pPr>
        <w:pStyle w:val="ListParagraph"/>
        <w:numPr>
          <w:ilvl w:val="0"/>
          <w:numId w:val="24"/>
        </w:numPr>
        <w:spacing w:line="360" w:lineRule="auto"/>
        <w:jc w:val="both"/>
        <w:rPr>
          <w:rFonts w:ascii="Tw Cen MT" w:hAnsi="Tw Cen MT" w:cs="Times New Roman"/>
          <w:sz w:val="24"/>
          <w:szCs w:val="24"/>
        </w:rPr>
      </w:pPr>
      <w:r>
        <w:rPr>
          <w:rFonts w:ascii="Tw Cen MT" w:eastAsia="Times New Roman" w:hAnsi="Tw Cen MT"/>
          <w:sz w:val="24"/>
          <w:szCs w:val="24"/>
        </w:rPr>
        <w:t>Establish accessible communication methods such as Braille, sign language, and Easy Read formats for effective engagement in political discourse.</w:t>
      </w:r>
    </w:p>
    <w:p w14:paraId="697C2E88" w14:textId="77777777" w:rsidR="00031F03" w:rsidRDefault="00000000">
      <w:pPr>
        <w:pStyle w:val="ListParagraph"/>
        <w:numPr>
          <w:ilvl w:val="0"/>
          <w:numId w:val="24"/>
        </w:numPr>
        <w:spacing w:line="360" w:lineRule="auto"/>
        <w:jc w:val="both"/>
        <w:rPr>
          <w:rFonts w:ascii="Tw Cen MT" w:hAnsi="Tw Cen MT" w:cs="Times New Roman"/>
          <w:sz w:val="24"/>
          <w:szCs w:val="24"/>
        </w:rPr>
      </w:pPr>
      <w:r>
        <w:rPr>
          <w:rFonts w:ascii="Tw Cen MT" w:eastAsia="Times New Roman" w:hAnsi="Tw Cen MT"/>
          <w:sz w:val="24"/>
          <w:szCs w:val="24"/>
        </w:rPr>
        <w:lastRenderedPageBreak/>
        <w:t>Raise awareness among political parties and the public about the rights and contributions of persons with disabilities, aiming for increased representation in elected positions and significant public roles.</w:t>
      </w:r>
    </w:p>
    <w:p w14:paraId="5C1205D9" w14:textId="77777777" w:rsidR="00031F03" w:rsidRDefault="00000000">
      <w:pPr>
        <w:pStyle w:val="ListParagraph"/>
        <w:numPr>
          <w:ilvl w:val="0"/>
          <w:numId w:val="24"/>
        </w:numPr>
        <w:spacing w:line="360" w:lineRule="auto"/>
        <w:jc w:val="both"/>
        <w:rPr>
          <w:rFonts w:ascii="Tw Cen MT" w:hAnsi="Tw Cen MT" w:cs="Times New Roman"/>
          <w:sz w:val="24"/>
          <w:szCs w:val="24"/>
        </w:rPr>
      </w:pPr>
      <w:r>
        <w:rPr>
          <w:rFonts w:ascii="Tw Cen MT" w:eastAsia="Times New Roman" w:hAnsi="Tw Cen MT"/>
          <w:sz w:val="24"/>
          <w:szCs w:val="24"/>
        </w:rPr>
        <w:t>Address societal attitudes and cultural perceptions through targeted advocacy and education to combat prejudices and promote inclusivity.</w:t>
      </w:r>
    </w:p>
    <w:p w14:paraId="3A774BFF" w14:textId="77777777" w:rsidR="00031F03" w:rsidRDefault="00000000">
      <w:pPr>
        <w:pStyle w:val="ListParagraph"/>
        <w:numPr>
          <w:ilvl w:val="0"/>
          <w:numId w:val="24"/>
        </w:numPr>
        <w:spacing w:line="360" w:lineRule="auto"/>
        <w:jc w:val="both"/>
        <w:rPr>
          <w:rFonts w:ascii="Tw Cen MT" w:hAnsi="Tw Cen MT" w:cs="Times New Roman"/>
          <w:sz w:val="24"/>
          <w:szCs w:val="24"/>
        </w:rPr>
      </w:pPr>
      <w:r>
        <w:rPr>
          <w:rFonts w:ascii="Tw Cen MT" w:eastAsia="Times New Roman" w:hAnsi="Tw Cen MT"/>
          <w:sz w:val="24"/>
          <w:szCs w:val="24"/>
        </w:rPr>
        <w:t>The State should review and amend discriminatory legal frameworks including the Constitution that hinder the political participation of persons with psychosocial and intellectual disabilities.</w:t>
      </w:r>
    </w:p>
    <w:p w14:paraId="0DAB3A46" w14:textId="77777777" w:rsidR="00031F03" w:rsidRDefault="00000000">
      <w:pPr>
        <w:pStyle w:val="ListParagraph"/>
        <w:numPr>
          <w:ilvl w:val="0"/>
          <w:numId w:val="24"/>
        </w:numPr>
        <w:spacing w:line="360" w:lineRule="auto"/>
        <w:jc w:val="both"/>
        <w:rPr>
          <w:rFonts w:ascii="Tw Cen MT" w:hAnsi="Tw Cen MT" w:cs="Times New Roman"/>
          <w:sz w:val="24"/>
          <w:szCs w:val="24"/>
        </w:rPr>
      </w:pPr>
      <w:r>
        <w:rPr>
          <w:rFonts w:ascii="Tw Cen MT" w:eastAsia="Times New Roman" w:hAnsi="Tw Cen MT"/>
          <w:sz w:val="24"/>
          <w:szCs w:val="24"/>
        </w:rPr>
        <w:t>Amend electoral regulations to ensure equitable access to voter registration and eliminate barriers based on mental health status.</w:t>
      </w:r>
    </w:p>
    <w:p w14:paraId="7CE75197" w14:textId="77777777" w:rsidR="00031F03" w:rsidRDefault="00000000">
      <w:pPr>
        <w:pStyle w:val="Heading1"/>
        <w:rPr>
          <w:rFonts w:ascii="Tw Cen MT" w:hAnsi="Tw Cen MT"/>
          <w:b/>
          <w:bCs/>
          <w:color w:val="auto"/>
          <w:sz w:val="24"/>
          <w:szCs w:val="24"/>
        </w:rPr>
      </w:pPr>
      <w:bookmarkStart w:id="52" w:name="_Toc171581998"/>
      <w:r>
        <w:rPr>
          <w:rFonts w:ascii="Tw Cen MT" w:hAnsi="Tw Cen MT"/>
          <w:b/>
          <w:bCs/>
          <w:color w:val="auto"/>
          <w:sz w:val="24"/>
          <w:szCs w:val="24"/>
        </w:rPr>
        <w:t>Article 30: Participation in Cultural Life, Recreation, Leisure and Sport</w:t>
      </w:r>
      <w:bookmarkEnd w:id="52"/>
      <w:r>
        <w:rPr>
          <w:rFonts w:ascii="Tw Cen MT" w:hAnsi="Tw Cen MT"/>
          <w:b/>
          <w:bCs/>
          <w:color w:val="auto"/>
          <w:sz w:val="24"/>
          <w:szCs w:val="24"/>
        </w:rPr>
        <w:t xml:space="preserve"> </w:t>
      </w:r>
    </w:p>
    <w:p w14:paraId="5131F69B" w14:textId="77777777" w:rsidR="00031F03" w:rsidRDefault="00031F03"/>
    <w:p w14:paraId="04CE6FC1"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 xml:space="preserve">30.1. </w:t>
      </w:r>
      <w:r>
        <w:rPr>
          <w:rFonts w:ascii="Tw Cen MT" w:hAnsi="Tw Cen MT"/>
          <w:sz w:val="24"/>
          <w:szCs w:val="24"/>
        </w:rPr>
        <w:t>In Ghana, numerous sports and cultural facilities present significant accessibility challenges for persons with disabilities. These venues frequently lack essential features such as ramps, accessible seating, and proper signage, which prevent individuals with disabilities from fully participating in or attending events. Efforts to remove these barriers face obstacles including limited funding, insufficient political commitment, and a lack of awareness regarding the unique requirements of persons with disabilities. Additionally, bureaucratic inefficiencies and inadequate coordination among government agencies further contribute to the ongoing accessibility issues in cultural, recreational, leisure, and sports facilities across the country.</w:t>
      </w:r>
    </w:p>
    <w:p w14:paraId="7EA1F19D"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30.2. A study</w:t>
      </w:r>
      <w:r>
        <w:rPr>
          <w:rFonts w:ascii="Tw Cen MT" w:hAnsi="Tw Cen MT" w:cs="Times New Roman"/>
          <w:sz w:val="24"/>
          <w:szCs w:val="24"/>
          <w:vertAlign w:val="superscript"/>
        </w:rPr>
        <w:footnoteReference w:id="58"/>
      </w:r>
      <w:r>
        <w:rPr>
          <w:rFonts w:ascii="Tw Cen MT" w:hAnsi="Tw Cen MT" w:cs="Times New Roman"/>
          <w:sz w:val="24"/>
          <w:szCs w:val="24"/>
        </w:rPr>
        <w:t>on the accessibility of recreational facilities in Ghana revealed that the four stadiums assessed (Accra, Kumasi, Sekondi-Takoradi, and Tamale Sports Stadiums) were largely inaccessible to persons with disabilities. Although the newly constructed stadiums showed slight improvements in accessibility, significant gaps were identified. This is particularly concerning as these stadiums are venues for not only sporting events such as football, athletics, and boxing but also for a variety of other recreational and social activities including musical concerts, Independence Day celebrations, church services, and political rallies, which attract large crowds, including persons with disabilities.</w:t>
      </w:r>
    </w:p>
    <w:p w14:paraId="2B2B1FEE" w14:textId="77777777" w:rsidR="00031F03" w:rsidRDefault="00000000">
      <w:pPr>
        <w:spacing w:line="360" w:lineRule="auto"/>
        <w:jc w:val="both"/>
        <w:rPr>
          <w:rFonts w:ascii="Tw Cen MT" w:hAnsi="Tw Cen MT" w:cs="Times New Roman"/>
          <w:sz w:val="24"/>
          <w:szCs w:val="24"/>
        </w:rPr>
      </w:pPr>
      <w:r>
        <w:rPr>
          <w:rFonts w:ascii="Tw Cen MT" w:hAnsi="Tw Cen MT" w:cs="Times New Roman"/>
          <w:sz w:val="24"/>
          <w:szCs w:val="24"/>
        </w:rPr>
        <w:t>30.3. Persons with disabilities, particularly those with albinism, face significant cultural barriers and negative stereotypes. In many communities, they are subjected to discrimination and social exclusion, which prevents them from participating in traditional cultural events and community activities</w:t>
      </w:r>
      <w:r>
        <w:rPr>
          <w:rFonts w:ascii="Arial" w:hAnsi="Arial" w:cs="Arial"/>
          <w:sz w:val="24"/>
          <w:szCs w:val="24"/>
        </w:rPr>
        <w:t>​</w:t>
      </w:r>
      <w:r>
        <w:rPr>
          <w:rFonts w:ascii="Tw Cen MT" w:hAnsi="Tw Cen MT" w:cs="Times New Roman"/>
          <w:sz w:val="24"/>
          <w:szCs w:val="24"/>
        </w:rPr>
        <w:t xml:space="preserve">. </w:t>
      </w:r>
    </w:p>
    <w:p w14:paraId="3074BDC9" w14:textId="77777777" w:rsidR="00031F03" w:rsidRDefault="00031F03">
      <w:pPr>
        <w:pStyle w:val="NoSpacing"/>
        <w:rPr>
          <w:rFonts w:ascii="Tw Cen MT" w:hAnsi="Tw Cen MT"/>
          <w:b/>
          <w:bCs/>
          <w:sz w:val="24"/>
          <w:szCs w:val="24"/>
        </w:rPr>
      </w:pPr>
    </w:p>
    <w:p w14:paraId="09A19713" w14:textId="77777777" w:rsidR="00031F03" w:rsidRDefault="00031F03">
      <w:pPr>
        <w:pStyle w:val="NoSpacing"/>
        <w:rPr>
          <w:rFonts w:ascii="Tw Cen MT" w:hAnsi="Tw Cen MT"/>
          <w:b/>
          <w:bCs/>
          <w:sz w:val="24"/>
          <w:szCs w:val="24"/>
        </w:rPr>
      </w:pPr>
    </w:p>
    <w:p w14:paraId="172D5938" w14:textId="77777777" w:rsidR="00031F03" w:rsidRDefault="00000000">
      <w:pPr>
        <w:pStyle w:val="NoSpacing"/>
        <w:rPr>
          <w:rFonts w:ascii="Tw Cen MT" w:hAnsi="Tw Cen MT"/>
          <w:b/>
          <w:bCs/>
          <w:sz w:val="24"/>
          <w:szCs w:val="24"/>
        </w:rPr>
      </w:pPr>
      <w:r>
        <w:rPr>
          <w:rFonts w:ascii="Tw Cen MT" w:hAnsi="Tw Cen MT"/>
          <w:b/>
          <w:bCs/>
          <w:sz w:val="24"/>
          <w:szCs w:val="24"/>
        </w:rPr>
        <w:lastRenderedPageBreak/>
        <w:t xml:space="preserve">Proposed Recommendations </w:t>
      </w:r>
    </w:p>
    <w:p w14:paraId="41C47E5A" w14:textId="77777777" w:rsidR="00031F03" w:rsidRDefault="00031F03"/>
    <w:p w14:paraId="2A3027B3" w14:textId="77777777" w:rsidR="00031F03" w:rsidRDefault="00000000">
      <w:pPr>
        <w:pStyle w:val="ListParagraph"/>
        <w:numPr>
          <w:ilvl w:val="0"/>
          <w:numId w:val="25"/>
        </w:numPr>
        <w:spacing w:line="360" w:lineRule="auto"/>
        <w:jc w:val="both"/>
        <w:rPr>
          <w:rFonts w:ascii="Tw Cen MT" w:hAnsi="Tw Cen MT" w:cs="Times New Roman"/>
          <w:sz w:val="24"/>
          <w:szCs w:val="24"/>
        </w:rPr>
      </w:pPr>
      <w:r>
        <w:rPr>
          <w:rFonts w:ascii="Tw Cen MT" w:hAnsi="Tw Cen MT"/>
          <w:sz w:val="24"/>
          <w:szCs w:val="24"/>
        </w:rPr>
        <w:t xml:space="preserve">The State should implement a comprehensive accessibility audit of all sports and cultural facilities across Ghana to identify deficiencies and prioritize the installation of ramps, accessible seating, and proper signage. Allocate sufficient funding and resources, enhance political commitment, and conduct awareness campaigns to promote understanding of the needs of persons with disabilities. </w:t>
      </w:r>
    </w:p>
    <w:p w14:paraId="146FD22D" w14:textId="77777777" w:rsidR="00031F03" w:rsidRDefault="00000000">
      <w:pPr>
        <w:pStyle w:val="ListParagraph"/>
        <w:numPr>
          <w:ilvl w:val="0"/>
          <w:numId w:val="25"/>
        </w:numPr>
        <w:spacing w:line="360" w:lineRule="auto"/>
        <w:jc w:val="both"/>
        <w:rPr>
          <w:rFonts w:ascii="Tw Cen MT" w:hAnsi="Tw Cen MT" w:cs="Times New Roman"/>
          <w:sz w:val="24"/>
          <w:szCs w:val="24"/>
        </w:rPr>
      </w:pPr>
      <w:r>
        <w:rPr>
          <w:rFonts w:ascii="Tw Cen MT" w:hAnsi="Tw Cen MT"/>
          <w:sz w:val="24"/>
          <w:szCs w:val="24"/>
        </w:rPr>
        <w:t xml:space="preserve">Develop and enforce strict accessibility standards for all stadiums and recreational facilities in Ghana, ensuring they meet international accessibility guidelines. </w:t>
      </w:r>
    </w:p>
    <w:p w14:paraId="20DEBB27" w14:textId="77777777" w:rsidR="00031F03" w:rsidRDefault="00000000">
      <w:pPr>
        <w:pStyle w:val="ListParagraph"/>
        <w:numPr>
          <w:ilvl w:val="0"/>
          <w:numId w:val="25"/>
        </w:numPr>
        <w:spacing w:line="360" w:lineRule="auto"/>
        <w:jc w:val="both"/>
        <w:rPr>
          <w:rFonts w:ascii="Tw Cen MT" w:hAnsi="Tw Cen MT" w:cs="Times New Roman"/>
          <w:sz w:val="24"/>
          <w:szCs w:val="24"/>
        </w:rPr>
      </w:pPr>
      <w:r>
        <w:rPr>
          <w:rFonts w:ascii="Tw Cen MT" w:hAnsi="Tw Cen MT"/>
          <w:sz w:val="24"/>
          <w:szCs w:val="24"/>
        </w:rPr>
        <w:t>Launch targeted awareness programmes to challenge cultural stereotypes and discriminatory practices against persons with disabilities, particularly those with albinism. Foster inclusive community engagement and participation in traditional cultural events and activities, ensuring all individuals can freely and actively take part without facing social exclusion or prejudice.</w:t>
      </w:r>
    </w:p>
    <w:p w14:paraId="1BBE807E" w14:textId="77777777" w:rsidR="00031F03" w:rsidRDefault="00031F03">
      <w:pPr>
        <w:pStyle w:val="Heading1"/>
        <w:rPr>
          <w:rFonts w:ascii="Tw Cen MT" w:hAnsi="Tw Cen MT"/>
          <w:b/>
          <w:bCs/>
          <w:color w:val="auto"/>
          <w:sz w:val="24"/>
          <w:szCs w:val="24"/>
          <w:lang w:eastAsia="zh-CN"/>
        </w:rPr>
      </w:pPr>
    </w:p>
    <w:p w14:paraId="76541386" w14:textId="77777777" w:rsidR="00031F03" w:rsidRDefault="00000000">
      <w:pPr>
        <w:pStyle w:val="Heading1"/>
        <w:rPr>
          <w:rFonts w:ascii="Tw Cen MT" w:hAnsi="Tw Cen MT"/>
          <w:b/>
          <w:bCs/>
          <w:color w:val="auto"/>
          <w:sz w:val="24"/>
          <w:szCs w:val="24"/>
          <w:lang w:eastAsia="zh-CN"/>
        </w:rPr>
      </w:pPr>
      <w:bookmarkStart w:id="53" w:name="_Toc171581999"/>
      <w:r>
        <w:rPr>
          <w:rFonts w:ascii="Tw Cen MT" w:hAnsi="Tw Cen MT"/>
          <w:b/>
          <w:bCs/>
          <w:color w:val="auto"/>
          <w:sz w:val="24"/>
          <w:szCs w:val="24"/>
          <w:lang w:eastAsia="zh-CN"/>
        </w:rPr>
        <w:t>Article 31: Data and Statistics</w:t>
      </w:r>
      <w:bookmarkEnd w:id="53"/>
      <w:r>
        <w:rPr>
          <w:rFonts w:ascii="Tw Cen MT" w:hAnsi="Tw Cen MT"/>
          <w:b/>
          <w:bCs/>
          <w:color w:val="auto"/>
          <w:sz w:val="24"/>
          <w:szCs w:val="24"/>
          <w:lang w:eastAsia="zh-CN"/>
        </w:rPr>
        <w:t xml:space="preserve"> </w:t>
      </w:r>
    </w:p>
    <w:p w14:paraId="127DECE6" w14:textId="77777777" w:rsidR="00031F03" w:rsidRDefault="00031F03">
      <w:pPr>
        <w:rPr>
          <w:lang w:eastAsia="zh-CN"/>
        </w:rPr>
      </w:pPr>
    </w:p>
    <w:p w14:paraId="03F5F8B8" w14:textId="77777777" w:rsidR="00031F03" w:rsidRDefault="00000000">
      <w:pPr>
        <w:spacing w:after="200" w:line="360" w:lineRule="auto"/>
        <w:jc w:val="both"/>
        <w:rPr>
          <w:rFonts w:ascii="Tw Cen MT" w:hAnsi="Tw Cen MT" w:cs="Times New Roman"/>
          <w:kern w:val="0"/>
          <w:sz w:val="24"/>
          <w:szCs w:val="24"/>
          <w:lang w:eastAsia="zh-CN"/>
          <w14:ligatures w14:val="none"/>
        </w:rPr>
      </w:pPr>
      <w:r>
        <w:rPr>
          <w:rFonts w:ascii="Tw Cen MT" w:hAnsi="Tw Cen MT" w:cs="Times New Roman"/>
          <w:kern w:val="0"/>
          <w:sz w:val="24"/>
          <w:szCs w:val="24"/>
          <w:lang w:eastAsia="zh-CN"/>
          <w14:ligatures w14:val="none"/>
        </w:rPr>
        <w:t xml:space="preserve">31.1. The Ghana Statistical Service adopted and incorporated the Washington Group's short set of questions into the data collection tool used for the 2021 Housing and Population Census. As a result, the GSS gave an estimate of 8% of the Ghanaian population being persons with disabilities.  However, there has been no effort to collect disability-specific data. Moreover, the Washington Group short set of questions that was adapted and used by the GSS in the 2021 population and housing census is limited to only six domains which has excluded some categories of persons with disabilities such as persons with albinism, persons with psychosocial ad children with disabilities under 5 years.   </w:t>
      </w:r>
    </w:p>
    <w:p w14:paraId="0E53510F"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Recommendations </w:t>
      </w:r>
    </w:p>
    <w:p w14:paraId="2D59785A" w14:textId="77777777" w:rsidR="00031F03" w:rsidRDefault="00031F03">
      <w:pPr>
        <w:pStyle w:val="NoSpacing"/>
        <w:rPr>
          <w:rFonts w:ascii="Tw Cen MT" w:hAnsi="Tw Cen MT"/>
          <w:sz w:val="20"/>
          <w:szCs w:val="20"/>
        </w:rPr>
      </w:pPr>
    </w:p>
    <w:p w14:paraId="5C6AEE9C" w14:textId="77777777" w:rsidR="00031F03" w:rsidRDefault="00000000">
      <w:pPr>
        <w:spacing w:line="360" w:lineRule="auto"/>
        <w:ind w:left="720"/>
        <w:jc w:val="both"/>
        <w:rPr>
          <w:rFonts w:ascii="Tw Cen MT" w:hAnsi="Tw Cen MT" w:cs="Times New Roman"/>
          <w:sz w:val="24"/>
          <w:szCs w:val="24"/>
        </w:rPr>
      </w:pPr>
      <w:r>
        <w:rPr>
          <w:rFonts w:ascii="Tw Cen MT" w:hAnsi="Tw Cen MT"/>
          <w:sz w:val="24"/>
          <w:szCs w:val="24"/>
        </w:rPr>
        <w:t>The State should expand the data collection methodology to include disability-specific questions that encompass a broader range of disabilities, including categories like persons with albinism, psychosocial disabilities, and children under 5 years, to ensure more accurate and inclusive representation of persons with disabilities in national statistics and planning.</w:t>
      </w:r>
    </w:p>
    <w:p w14:paraId="0D50AF51" w14:textId="77777777" w:rsidR="00031F03" w:rsidRDefault="00031F03">
      <w:pPr>
        <w:pStyle w:val="Heading1"/>
        <w:rPr>
          <w:rFonts w:ascii="Tw Cen MT" w:hAnsi="Tw Cen MT"/>
          <w:b/>
          <w:bCs/>
          <w:color w:val="auto"/>
          <w:sz w:val="24"/>
          <w:szCs w:val="24"/>
        </w:rPr>
      </w:pPr>
    </w:p>
    <w:p w14:paraId="6B626554" w14:textId="77777777" w:rsidR="00031F03" w:rsidRDefault="00031F03">
      <w:pPr>
        <w:pStyle w:val="Heading1"/>
        <w:rPr>
          <w:rFonts w:ascii="Tw Cen MT" w:hAnsi="Tw Cen MT"/>
          <w:b/>
          <w:bCs/>
          <w:color w:val="auto"/>
          <w:sz w:val="24"/>
          <w:szCs w:val="24"/>
        </w:rPr>
      </w:pPr>
    </w:p>
    <w:p w14:paraId="38D63C7B" w14:textId="77777777" w:rsidR="00031F03" w:rsidRDefault="00000000">
      <w:pPr>
        <w:pStyle w:val="Heading1"/>
        <w:rPr>
          <w:rFonts w:ascii="Tw Cen MT" w:hAnsi="Tw Cen MT"/>
          <w:b/>
          <w:bCs/>
          <w:color w:val="auto"/>
          <w:sz w:val="24"/>
          <w:szCs w:val="24"/>
        </w:rPr>
      </w:pPr>
      <w:bookmarkStart w:id="54" w:name="_Toc171582000"/>
      <w:r>
        <w:rPr>
          <w:rFonts w:ascii="Tw Cen MT" w:hAnsi="Tw Cen MT"/>
          <w:b/>
          <w:bCs/>
          <w:color w:val="auto"/>
          <w:sz w:val="24"/>
          <w:szCs w:val="24"/>
        </w:rPr>
        <w:t>Article 32: International Cooperation</w:t>
      </w:r>
      <w:bookmarkEnd w:id="54"/>
      <w:r>
        <w:rPr>
          <w:rFonts w:ascii="Tw Cen MT" w:hAnsi="Tw Cen MT"/>
          <w:b/>
          <w:bCs/>
          <w:color w:val="auto"/>
          <w:sz w:val="24"/>
          <w:szCs w:val="24"/>
        </w:rPr>
        <w:t xml:space="preserve">  </w:t>
      </w:r>
    </w:p>
    <w:p w14:paraId="0DDB02FE" w14:textId="77777777" w:rsidR="00031F03" w:rsidRDefault="00031F03"/>
    <w:p w14:paraId="260E889E" w14:textId="77777777" w:rsidR="00031F03" w:rsidRDefault="00000000">
      <w:pPr>
        <w:pStyle w:val="NoSpacing"/>
        <w:spacing w:line="360" w:lineRule="auto"/>
        <w:rPr>
          <w:rFonts w:ascii="Tw Cen MT" w:hAnsi="Tw Cen MT"/>
          <w:sz w:val="24"/>
          <w:szCs w:val="24"/>
        </w:rPr>
      </w:pPr>
      <w:bookmarkStart w:id="55" w:name="_Toc167791205"/>
      <w:bookmarkStart w:id="56" w:name="_Toc90117978"/>
      <w:bookmarkStart w:id="57" w:name="_Toc95038784"/>
      <w:r>
        <w:rPr>
          <w:rFonts w:ascii="Tw Cen MT" w:hAnsi="Tw Cen MT"/>
          <w:sz w:val="24"/>
          <w:szCs w:val="24"/>
        </w:rPr>
        <w:t>32.1. The state has put in place structures to support the implementation of the 2030 agenda for sustainable development. Organisations of persons with disabilities (OPDs) are involved in civil society organisations mechanisms put together to support and monitor the implementation of the 2030 agenda for sustainable development. However, there is no formal involvement of OPDs in State plans and programs, nor the structures for implementation of the 2030 agenda for sustainable development.</w:t>
      </w:r>
      <w:bookmarkEnd w:id="55"/>
    </w:p>
    <w:p w14:paraId="169BCDAC" w14:textId="77777777" w:rsidR="00031F03" w:rsidRDefault="00031F03">
      <w:pPr>
        <w:pStyle w:val="NoSpacing"/>
        <w:rPr>
          <w:rFonts w:ascii="Tw Cen MT" w:hAnsi="Tw Cen MT"/>
          <w:b/>
          <w:bCs/>
          <w:sz w:val="24"/>
          <w:szCs w:val="24"/>
        </w:rPr>
      </w:pPr>
    </w:p>
    <w:p w14:paraId="722E02C4"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Recommendations </w:t>
      </w:r>
    </w:p>
    <w:p w14:paraId="6A2D1DC0" w14:textId="77777777" w:rsidR="00031F03" w:rsidRDefault="00031F03">
      <w:pPr>
        <w:pStyle w:val="NoSpacing"/>
        <w:spacing w:line="360" w:lineRule="auto"/>
        <w:ind w:left="720"/>
        <w:jc w:val="both"/>
        <w:rPr>
          <w:rFonts w:ascii="Tw Cen MT" w:hAnsi="Tw Cen MT"/>
          <w:sz w:val="16"/>
          <w:szCs w:val="16"/>
        </w:rPr>
      </w:pPr>
      <w:bookmarkStart w:id="58" w:name="_Toc90117979"/>
      <w:bookmarkStart w:id="59" w:name="_Toc95038785"/>
      <w:bookmarkEnd w:id="56"/>
      <w:bookmarkEnd w:id="57"/>
    </w:p>
    <w:p w14:paraId="5FDB3507" w14:textId="77777777" w:rsidR="00031F03" w:rsidRDefault="00000000">
      <w:pPr>
        <w:pStyle w:val="NoSpacing"/>
        <w:spacing w:line="360" w:lineRule="auto"/>
        <w:ind w:left="720"/>
        <w:jc w:val="both"/>
        <w:rPr>
          <w:rFonts w:ascii="Tw Cen MT" w:eastAsia="Times New Roman" w:hAnsi="Tw Cen MT" w:cs="Times New Roman"/>
          <w:b/>
          <w:bCs/>
          <w:sz w:val="24"/>
          <w:szCs w:val="24"/>
          <w:lang w:val="en-GB"/>
        </w:rPr>
      </w:pPr>
      <w:r>
        <w:rPr>
          <w:rFonts w:ascii="Tw Cen MT" w:hAnsi="Tw Cen MT"/>
          <w:sz w:val="24"/>
          <w:szCs w:val="24"/>
        </w:rPr>
        <w:t>Formally integrate Organisations of Persons with Disabilities (OPDs) into state planning and implementation structures for the 2030 Agenda for Sustainable Development to ensure their perspectives and needs are effectively represented and addressed.</w:t>
      </w:r>
    </w:p>
    <w:p w14:paraId="778E250E" w14:textId="77777777" w:rsidR="00031F03" w:rsidRDefault="00000000">
      <w:pPr>
        <w:pStyle w:val="Heading1"/>
        <w:rPr>
          <w:rFonts w:ascii="Tw Cen MT" w:hAnsi="Tw Cen MT"/>
          <w:b/>
          <w:bCs/>
          <w:color w:val="auto"/>
          <w:sz w:val="24"/>
          <w:szCs w:val="24"/>
        </w:rPr>
      </w:pPr>
      <w:bookmarkStart w:id="60" w:name="_Toc171582001"/>
      <w:r>
        <w:rPr>
          <w:rFonts w:ascii="Tw Cen MT" w:hAnsi="Tw Cen MT"/>
          <w:b/>
          <w:bCs/>
          <w:color w:val="auto"/>
          <w:sz w:val="24"/>
          <w:szCs w:val="24"/>
        </w:rPr>
        <w:t>Article 33: National Implementation and Monitoring</w:t>
      </w:r>
      <w:bookmarkEnd w:id="60"/>
      <w:r>
        <w:rPr>
          <w:rFonts w:ascii="Tw Cen MT" w:hAnsi="Tw Cen MT"/>
          <w:b/>
          <w:bCs/>
          <w:color w:val="auto"/>
          <w:sz w:val="24"/>
          <w:szCs w:val="24"/>
        </w:rPr>
        <w:t xml:space="preserve">  </w:t>
      </w:r>
      <w:bookmarkEnd w:id="58"/>
      <w:bookmarkEnd w:id="59"/>
    </w:p>
    <w:p w14:paraId="23309049" w14:textId="77777777" w:rsidR="00031F03" w:rsidRDefault="00031F03"/>
    <w:p w14:paraId="191C0049" w14:textId="77777777" w:rsidR="00031F03" w:rsidRDefault="00000000">
      <w:pPr>
        <w:spacing w:after="120" w:line="360" w:lineRule="auto"/>
        <w:jc w:val="both"/>
        <w:rPr>
          <w:rFonts w:ascii="Tw Cen MT" w:eastAsia="Calibri" w:hAnsi="Tw Cen MT" w:cs="Times New Roman"/>
          <w:kern w:val="0"/>
          <w:sz w:val="24"/>
          <w:szCs w:val="24"/>
          <w:lang w:val="en-GB" w:eastAsia="en-US"/>
          <w14:ligatures w14:val="none"/>
        </w:rPr>
      </w:pPr>
      <w:r>
        <w:rPr>
          <w:rFonts w:ascii="Tw Cen MT" w:eastAsia="Calibri" w:hAnsi="Tw Cen MT" w:cs="Times New Roman"/>
          <w:kern w:val="0"/>
          <w:sz w:val="24"/>
          <w:szCs w:val="24"/>
          <w:lang w:val="en-GB" w:eastAsia="en-US"/>
          <w14:ligatures w14:val="none"/>
        </w:rPr>
        <w:t>33.1. The National Council for on Persons with Disability (NCPD) is the focal point for the implementation of the Persons with Disability Act. However, the Council is chronically under-resourced and not decentralized making it impossible for the Council to carry out its mandate effectively. There is lack of clarity within State agencies on the role of NCPD.</w:t>
      </w:r>
    </w:p>
    <w:p w14:paraId="6243BA19" w14:textId="77777777" w:rsidR="00031F03" w:rsidRDefault="00000000">
      <w:pPr>
        <w:spacing w:after="120" w:line="360" w:lineRule="auto"/>
        <w:jc w:val="both"/>
        <w:rPr>
          <w:rFonts w:ascii="Tw Cen MT" w:eastAsia="Calibri" w:hAnsi="Tw Cen MT" w:cs="Times New Roman"/>
          <w:kern w:val="0"/>
          <w:sz w:val="24"/>
          <w:szCs w:val="24"/>
          <w:lang w:val="en-GB" w:eastAsia="en-US"/>
          <w14:ligatures w14:val="none"/>
        </w:rPr>
      </w:pPr>
      <w:r>
        <w:rPr>
          <w:rFonts w:ascii="Tw Cen MT" w:eastAsia="Calibri" w:hAnsi="Tw Cen MT" w:cs="Times New Roman"/>
          <w:kern w:val="0"/>
          <w:sz w:val="24"/>
          <w:szCs w:val="24"/>
          <w:lang w:val="en-GB" w:eastAsia="en-US"/>
          <w14:ligatures w14:val="none"/>
        </w:rPr>
        <w:t>33.2. There is still no independent State institution designated to monitor and report on the implementation of the CRPD, nor has the state established or designated a coordination mechanism within the State to facilitate related action in different sectors on disability and at different levels.</w:t>
      </w:r>
    </w:p>
    <w:p w14:paraId="5B473928" w14:textId="77777777" w:rsidR="00031F03" w:rsidRDefault="00000000">
      <w:pPr>
        <w:spacing w:after="120" w:line="360" w:lineRule="auto"/>
        <w:jc w:val="both"/>
        <w:rPr>
          <w:rFonts w:ascii="Tw Cen MT" w:eastAsia="Calibri" w:hAnsi="Tw Cen MT" w:cs="Times New Roman"/>
          <w:kern w:val="0"/>
          <w:sz w:val="24"/>
          <w:szCs w:val="24"/>
          <w:lang w:val="en-GB" w:eastAsia="en-US"/>
          <w14:ligatures w14:val="none"/>
        </w:rPr>
      </w:pPr>
      <w:r>
        <w:rPr>
          <w:rFonts w:ascii="Tw Cen MT" w:eastAsia="Calibri" w:hAnsi="Tw Cen MT" w:cs="Times New Roman"/>
          <w:kern w:val="0"/>
          <w:sz w:val="24"/>
          <w:szCs w:val="24"/>
          <w:lang w:val="en-GB" w:eastAsia="en-US"/>
          <w14:ligatures w14:val="none"/>
        </w:rPr>
        <w:t>33.3 The Commission on Human Rights and Administrative Justice (CHRAJ) is not adequately resourced to deal effectively with issues of human rights violations of persons with disabilities. Moreover, there is no specific designated desk to investigate and report on the infringement on the rights of persons with disabilities.</w:t>
      </w:r>
    </w:p>
    <w:p w14:paraId="566898D5" w14:textId="77777777" w:rsidR="00031F03" w:rsidRDefault="00031F03">
      <w:pPr>
        <w:spacing w:after="120" w:line="360" w:lineRule="auto"/>
        <w:jc w:val="both"/>
        <w:rPr>
          <w:rFonts w:ascii="Tw Cen MT" w:eastAsia="Calibri" w:hAnsi="Tw Cen MT" w:cs="Times New Roman"/>
          <w:kern w:val="0"/>
          <w:sz w:val="16"/>
          <w:szCs w:val="16"/>
          <w:lang w:val="en-GB" w:eastAsia="en-US"/>
          <w14:ligatures w14:val="none"/>
        </w:rPr>
      </w:pPr>
    </w:p>
    <w:p w14:paraId="05BC1367" w14:textId="77777777" w:rsidR="00031F03" w:rsidRDefault="00000000">
      <w:pPr>
        <w:pStyle w:val="NoSpacing"/>
        <w:rPr>
          <w:rFonts w:ascii="Tw Cen MT" w:hAnsi="Tw Cen MT"/>
          <w:b/>
          <w:bCs/>
          <w:sz w:val="24"/>
          <w:szCs w:val="24"/>
        </w:rPr>
      </w:pPr>
      <w:r>
        <w:rPr>
          <w:rFonts w:ascii="Tw Cen MT" w:hAnsi="Tw Cen MT"/>
          <w:b/>
          <w:bCs/>
          <w:sz w:val="24"/>
          <w:szCs w:val="24"/>
        </w:rPr>
        <w:t xml:space="preserve">Proposed Recommendations </w:t>
      </w:r>
    </w:p>
    <w:p w14:paraId="1B40F8BD" w14:textId="77777777" w:rsidR="00031F03" w:rsidRDefault="00031F03"/>
    <w:p w14:paraId="2693257B" w14:textId="77777777" w:rsidR="00031F03" w:rsidRDefault="00000000">
      <w:pPr>
        <w:pStyle w:val="ListParagraph"/>
        <w:numPr>
          <w:ilvl w:val="0"/>
          <w:numId w:val="26"/>
        </w:numPr>
        <w:spacing w:after="120" w:line="360" w:lineRule="auto"/>
        <w:jc w:val="both"/>
        <w:rPr>
          <w:rFonts w:ascii="Tw Cen MT" w:eastAsia="Calibri" w:hAnsi="Tw Cen MT" w:cs="Times New Roman"/>
          <w:kern w:val="0"/>
          <w:sz w:val="24"/>
          <w:szCs w:val="24"/>
          <w:lang w:val="en-GB" w:eastAsia="en-US"/>
          <w14:ligatures w14:val="none"/>
        </w:rPr>
      </w:pPr>
      <w:r>
        <w:rPr>
          <w:rFonts w:ascii="Tw Cen MT" w:eastAsia="Calibri" w:hAnsi="Tw Cen MT" w:cs="Times New Roman"/>
          <w:kern w:val="0"/>
          <w:sz w:val="24"/>
          <w:szCs w:val="24"/>
          <w:lang w:val="en-GB" w:eastAsia="en-US"/>
          <w14:ligatures w14:val="none"/>
        </w:rPr>
        <w:t xml:space="preserve">The State should adequately resource and strengthen the capacity of the focal point (the National Council on Persons with Disabilities) within the State to implement the Convention. </w:t>
      </w:r>
    </w:p>
    <w:p w14:paraId="7611A9B6" w14:textId="77777777" w:rsidR="00031F03" w:rsidRDefault="00000000">
      <w:pPr>
        <w:pStyle w:val="ListParagraph"/>
        <w:numPr>
          <w:ilvl w:val="0"/>
          <w:numId w:val="26"/>
        </w:numPr>
        <w:spacing w:after="120" w:line="360" w:lineRule="auto"/>
        <w:jc w:val="both"/>
        <w:rPr>
          <w:rFonts w:ascii="Tw Cen MT" w:eastAsia="Calibri" w:hAnsi="Tw Cen MT" w:cs="Times New Roman"/>
          <w:kern w:val="0"/>
          <w:sz w:val="24"/>
          <w:szCs w:val="24"/>
          <w:lang w:val="en-GB" w:eastAsia="en-US"/>
          <w14:ligatures w14:val="none"/>
        </w:rPr>
      </w:pPr>
      <w:r>
        <w:rPr>
          <w:rFonts w:ascii="Tw Cen MT" w:eastAsia="Calibri" w:hAnsi="Tw Cen MT" w:cs="Times New Roman"/>
          <w:kern w:val="0"/>
          <w:sz w:val="24"/>
          <w:szCs w:val="24"/>
          <w:lang w:val="en-GB" w:eastAsia="en-US"/>
          <w14:ligatures w14:val="none"/>
        </w:rPr>
        <w:lastRenderedPageBreak/>
        <w:t>The State should designate an independent monitoring framework that meets the mandate of the Paris Principles and that is provided with the necessary budgetary and human resources to carry out its work of promoting and monitoring the implementation of the convention and ensure the active participation of representative organisations of persons with disabilities.</w:t>
      </w:r>
    </w:p>
    <w:p w14:paraId="1EA896A4" w14:textId="77777777" w:rsidR="00031F03" w:rsidRDefault="00000000">
      <w:pPr>
        <w:pStyle w:val="ListParagraph"/>
        <w:numPr>
          <w:ilvl w:val="0"/>
          <w:numId w:val="26"/>
        </w:numPr>
        <w:spacing w:after="120" w:line="360" w:lineRule="auto"/>
        <w:jc w:val="both"/>
        <w:rPr>
          <w:rFonts w:ascii="Tw Cen MT" w:eastAsia="Calibri" w:hAnsi="Tw Cen MT" w:cs="Times New Roman"/>
          <w:kern w:val="0"/>
          <w:sz w:val="24"/>
          <w:szCs w:val="24"/>
          <w:lang w:val="en-GB" w:eastAsia="en-US"/>
          <w14:ligatures w14:val="none"/>
        </w:rPr>
      </w:pPr>
      <w:r>
        <w:rPr>
          <w:rFonts w:ascii="Tw Cen MT" w:eastAsia="Calibri" w:hAnsi="Tw Cen MT" w:cs="Times New Roman"/>
          <w:kern w:val="0"/>
          <w:sz w:val="24"/>
          <w:szCs w:val="24"/>
          <w:lang w:val="en-GB" w:eastAsia="en-US"/>
          <w14:ligatures w14:val="none"/>
        </w:rPr>
        <w:t>The State should strengthen and resource CHRAJ to effectively discharge its mandate in promoting and protecting the rights of persons with disabilities.</w:t>
      </w:r>
    </w:p>
    <w:sectPr w:rsidR="00031F03">
      <w:headerReference w:type="even" r:id="rId10"/>
      <w:headerReference w:type="default" r:id="rId11"/>
      <w:footerReference w:type="even" r:id="rId12"/>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24E12" w14:textId="77777777" w:rsidR="00C15E00" w:rsidRDefault="00C15E00">
      <w:r>
        <w:separator/>
      </w:r>
    </w:p>
  </w:endnote>
  <w:endnote w:type="continuationSeparator" w:id="0">
    <w:p w14:paraId="2C05E5DA" w14:textId="77777777" w:rsidR="00C15E00" w:rsidRDefault="00C1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55157" w14:textId="77777777" w:rsidR="00031F03" w:rsidRDefault="00031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6300B" w14:textId="77777777" w:rsidR="00031F03" w:rsidRDefault="00000000">
    <w:pPr>
      <w:pStyle w:val="Footer"/>
    </w:pPr>
    <w:r>
      <w:rPr>
        <w:noProof/>
      </w:rPr>
      <mc:AlternateContent>
        <mc:Choice Requires="wpg">
          <w:drawing>
            <wp:anchor distT="0" distB="0" distL="0" distR="0" simplePos="0" relativeHeight="2" behindDoc="0" locked="0" layoutInCell="0" allowOverlap="1">
              <wp:simplePos x="0" y="0"/>
              <wp:positionH relativeFrom="rightMargin">
                <wp:align>right</wp:align>
              </wp:positionH>
              <wp:positionV relativeFrom="bottomMargin">
                <wp:align>bottom</wp:align>
              </wp:positionV>
              <wp:extent cx="914400" cy="914400"/>
              <wp:effectExtent l="11430" t="0" r="0" b="0"/>
              <wp:wrapNone/>
              <wp:docPr id="40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914400"/>
                        <a:chOff x="10800" y="14400"/>
                        <a:chExt cx="1440" cy="1440"/>
                      </a:xfrm>
                    </wpg:grpSpPr>
                    <wps:wsp>
                      <wps:cNvPr id="642861840" name="Rectangle 642861840"/>
                      <wps:cNvSpPr/>
                      <wps:spPr>
                        <a:xfrm>
                          <a:off x="10800" y="14400"/>
                          <a:ext cx="1440" cy="1440"/>
                        </a:xfrm>
                        <a:prstGeom prst="rect">
                          <a:avLst/>
                        </a:prstGeom>
                        <a:solidFill>
                          <a:srgbClr val="FFFFFF"/>
                        </a:solidFill>
                        <a:ln>
                          <a:noFill/>
                        </a:ln>
                      </wps:spPr>
                      <wps:txbx>
                        <w:txbxContent>
                          <w:p w14:paraId="75A3B599" w14:textId="77777777" w:rsidR="00031F03" w:rsidRDefault="00031F03"/>
                        </w:txbxContent>
                      </wps:txbx>
                      <wps:bodyPr vert="horz" wrap="square" lIns="91440" tIns="45720" rIns="91440" bIns="45720" anchor="t" upright="1">
                        <a:prstTxWarp prst="textNoShape">
                          <a:avLst/>
                        </a:prstTxWarp>
                        <a:noAutofit/>
                      </wps:bodyPr>
                    </wps:wsp>
                    <wps:wsp>
                      <wps:cNvPr id="1572728802" name="Arrow: Pentagon 1572728802"/>
                      <wps:cNvSpPr/>
                      <wps:spPr>
                        <a:xfrm rot="13500000" flipH="1">
                          <a:off x="10813" y="14744"/>
                          <a:ext cx="1121" cy="495"/>
                        </a:xfrm>
                        <a:prstGeom prst="homePlate">
                          <a:avLst>
                            <a:gd name="adj" fmla="val 56616"/>
                          </a:avLst>
                        </a:prstGeom>
                        <a:ln w="9525" cap="flat" cmpd="sng">
                          <a:solidFill>
                            <a:srgbClr val="5C83B4"/>
                          </a:solidFill>
                          <a:prstDash val="solid"/>
                          <a:miter/>
                          <a:headEnd type="none" w="med" len="med"/>
                          <a:tailEnd type="none" w="med" len="med"/>
                        </a:ln>
                      </wps:spPr>
                      <wps:txbx>
                        <w:txbxContent>
                          <w:p w14:paraId="66544D23" w14:textId="77777777" w:rsidR="00031F03"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txbxContent>
                      </wps:txbx>
                      <wps:bodyPr vert="horz" wrap="square" lIns="91440" tIns="0" rIns="91440" bIns="0" anchor="ctr"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4097" filled="f" stroked="f" style="position:absolute;margin-left:0.0pt;margin-top:0.0pt;width:72.0pt;height:72.0pt;z-index:2;mso-position-horizontal:right;mso-position-vertical:bottom;mso-position-horizontal-relative:right-margin-area;mso-position-vertical-relative:bottom-margin-area;mso-width-percent:0;mso-height-percent:0;mso-width-relative:page;mso-height-relative:page;mso-wrap-distance-left:0.0pt;mso-wrap-distance-right:0.0pt;visibility:visible;" o:allowincell="false" coordsize="1440,1440" coordorigin="10800,14400">
              <v:rect id="4098" fillcolor="white" stroked="f" style="position:absolute;left:10800;top:14400;width:1440;height:1440;z-index:2;mso-position-horizontal-relative:page;mso-position-vertical-relative:page;mso-width-relative:page;mso-height-relative:page;visibility:visible;">
                <v:stroke on="f"/>
                <v:fill/>
                <v:textbox inset="7.2pt,3.6pt,7.2pt,3.6pt">
                  <w:txbxContent>
                    <w:p>
                      <w:pPr>
                        <w:pStyle w:val="style0"/>
                        <w:rPr/>
                      </w:pPr>
                    </w:p>
                  </w:txbxContent>
                </v:textbox>
              </v:rect>
              <v:shapetype id="_x0000_t15" coordsize="21600,21600" o:spt="15" adj="16200" path="m@0,l,,,21600@0,21600,21600,10800xe">
                <v:stroke joinstyle="miter"/>
                <v:formulas>
                  <v:f eqn="val #0"/>
                  <v:f eqn="prod #0 1 2"/>
                </v:formulas>
                <v:path o:connecttype="custom" o:connectlocs="@1,0;0,10800;@1,21600;21600,10800" o:connectangles="270,180,90,0" textboxrect="0,0,10800,21600;0,0,16200,21600;0,0,21600,21600"/>
                <v:handles>
                  <v:h position="#0,topLeft" xrange="0,21600"/>
                </v:handles>
              </v:shapetype>
              <v:shape id="4099" type="#_x0000_t15" adj="16201," filled="f" style="position:absolute;left:10813;top:14744;width:1121;height:495;z-index:3;mso-position-horizontal-relative:page;mso-position-vertical-relative:page;mso-width-relative:page;mso-height-relative:page;visibility:visible;rotation:8847360fd;v-text-anchor:middle;flip:x;">
                <v:stroke joinstyle="miter" color="#5c83b4"/>
                <v:fill/>
                <v:textbox inset="7.2pt,0.0pt,7.2pt,0.0pt">
                  <w:txbxContent>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txbxContent>
                </v:textbox>
              </v:shape>
              <v:fill/>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3BE16" w14:textId="77777777" w:rsidR="00C15E00" w:rsidRDefault="00C15E00">
      <w:r>
        <w:separator/>
      </w:r>
    </w:p>
  </w:footnote>
  <w:footnote w:type="continuationSeparator" w:id="0">
    <w:p w14:paraId="66B3ABB7" w14:textId="77777777" w:rsidR="00C15E00" w:rsidRDefault="00C15E00">
      <w:r>
        <w:continuationSeparator/>
      </w:r>
    </w:p>
  </w:footnote>
  <w:footnote w:id="1">
    <w:p w14:paraId="47C73B98"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The most recent version of the Bill accessed by the GFD is submitted alongside this submission.</w:t>
      </w:r>
    </w:p>
  </w:footnote>
  <w:footnote w:id="2">
    <w:p w14:paraId="414616E0" w14:textId="77777777" w:rsidR="00031F03" w:rsidRDefault="00000000">
      <w:pPr>
        <w:pStyle w:val="FootnoteText"/>
        <w:rPr>
          <w:rFonts w:ascii="Tw Cen MT" w:hAnsi="Tw Cen MT"/>
          <w:lang w:val="en-GB"/>
        </w:rPr>
      </w:pPr>
      <w:r>
        <w:rPr>
          <w:rStyle w:val="FootnoteReference"/>
          <w:rFonts w:ascii="Tw Cen MT" w:hAnsi="Tw Cen MT"/>
        </w:rPr>
        <w:footnoteRef/>
      </w:r>
      <w:r>
        <w:rPr>
          <w:rFonts w:ascii="Tw Cen MT" w:hAnsi="Tw Cen MT"/>
          <w:lang w:val="en-GB"/>
        </w:rPr>
        <w:t xml:space="preserve"> Section 14(a) Criminal Offences Act 1960</w:t>
      </w:r>
    </w:p>
  </w:footnote>
  <w:footnote w:id="3">
    <w:p w14:paraId="38E8755A" w14:textId="77777777" w:rsidR="00031F03" w:rsidRDefault="00000000">
      <w:pPr>
        <w:pStyle w:val="FootnoteText"/>
      </w:pPr>
      <w:r>
        <w:rPr>
          <w:rStyle w:val="FootnoteReference"/>
        </w:rPr>
        <w:footnoteRef/>
      </w:r>
      <w:r>
        <w:t xml:space="preserve"> Id, </w:t>
      </w:r>
      <w:r>
        <w:rPr>
          <w:rFonts w:ascii="Tw Cen MT" w:hAnsi="Tw Cen MT"/>
          <w:lang w:val="en-GB"/>
        </w:rPr>
        <w:t xml:space="preserve">Section 27(a)(b) </w:t>
      </w:r>
    </w:p>
  </w:footnote>
  <w:footnote w:id="4">
    <w:p w14:paraId="48EADFB4" w14:textId="77777777" w:rsidR="00031F03" w:rsidRDefault="00000000">
      <w:pPr>
        <w:pStyle w:val="FootnoteText"/>
      </w:pPr>
      <w:r>
        <w:rPr>
          <w:rStyle w:val="FootnoteReference"/>
        </w:rPr>
        <w:footnoteRef/>
      </w:r>
      <w:r>
        <w:t xml:space="preserve"> Id, </w:t>
      </w:r>
      <w:r>
        <w:rPr>
          <w:rFonts w:ascii="Tw Cen MT" w:hAnsi="Tw Cen MT"/>
          <w:lang w:val="en-GB"/>
        </w:rPr>
        <w:t xml:space="preserve">Section 58(2)(a) </w:t>
      </w:r>
    </w:p>
  </w:footnote>
  <w:footnote w:id="5">
    <w:p w14:paraId="7594C658"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Article 17 (2) Constitution of the Republic of Ghana, 1992</w:t>
      </w:r>
    </w:p>
  </w:footnote>
  <w:footnote w:id="6">
    <w:p w14:paraId="678A0285" w14:textId="77777777" w:rsidR="00031F03" w:rsidRDefault="00000000">
      <w:pPr>
        <w:pStyle w:val="FootnoteText"/>
        <w:jc w:val="both"/>
      </w:pPr>
      <w:r>
        <w:rPr>
          <w:rStyle w:val="FootnoteReference"/>
        </w:rPr>
        <w:footnoteRef/>
      </w:r>
      <w:r>
        <w:t xml:space="preserve"> </w:t>
      </w:r>
      <w:r>
        <w:rPr>
          <w:rFonts w:ascii="Tw Cen MT" w:hAnsi="Tw Cen MT"/>
        </w:rPr>
        <w:t xml:space="preserve">Article 29(3) Constitution of the Republic of Ghana, 1992: </w:t>
      </w:r>
      <w:r>
        <w:rPr>
          <w:rFonts w:ascii="Tw Cen MT" w:hAnsi="Tw Cen MT"/>
          <w:i/>
          <w:iCs/>
        </w:rPr>
        <w:t>If the stay of a disabled person in a specialised establishment is indispensable, the environment and living conditions there shall be as close as possible to those of the normal life of a person of his age.</w:t>
      </w:r>
    </w:p>
  </w:footnote>
  <w:footnote w:id="7">
    <w:p w14:paraId="348F9F87" w14:textId="77777777" w:rsidR="00031F03" w:rsidRDefault="00000000">
      <w:pPr>
        <w:pStyle w:val="FootnoteText"/>
        <w:rPr>
          <w:rFonts w:ascii="Tw Cen MT" w:hAnsi="Tw Cen MT"/>
        </w:rPr>
      </w:pPr>
      <w:r>
        <w:rPr>
          <w:rStyle w:val="FootnoteReference"/>
        </w:rPr>
        <w:footnoteRef/>
      </w:r>
      <w:r>
        <w:t xml:space="preserve"> </w:t>
      </w:r>
      <w:r>
        <w:rPr>
          <w:rFonts w:ascii="Tw Cen MT" w:hAnsi="Tw Cen MT"/>
        </w:rPr>
        <w:t xml:space="preserve">Article 29(6) Constitution of the Republic of Ghana, 1992: </w:t>
      </w:r>
      <w:r>
        <w:rPr>
          <w:rFonts w:ascii="Tw Cen MT" w:hAnsi="Tw Cen MT"/>
          <w:i/>
          <w:iCs/>
        </w:rPr>
        <w:t>As far as practicable, every place to which the public have access shall have appropriate facilities for disabled persons.</w:t>
      </w:r>
    </w:p>
  </w:footnote>
  <w:footnote w:id="8">
    <w:p w14:paraId="04E7D783" w14:textId="77777777" w:rsidR="00031F03" w:rsidRDefault="00000000">
      <w:pPr>
        <w:pStyle w:val="FootnoteText"/>
        <w:rPr>
          <w:lang w:val="en-GB"/>
        </w:rPr>
      </w:pPr>
      <w:r>
        <w:rPr>
          <w:rStyle w:val="FootnoteReference"/>
        </w:rPr>
        <w:footnoteRef/>
      </w:r>
      <w:r>
        <w:rPr>
          <w:lang w:val="en-GB"/>
        </w:rPr>
        <w:t xml:space="preserve"> </w:t>
      </w:r>
      <w:r>
        <w:rPr>
          <w:rFonts w:ascii="Tw Cen MT" w:hAnsi="Tw Cen MT"/>
          <w:lang w:val="en-GB"/>
        </w:rPr>
        <w:t>https://gna.org.gh/2022/11/pay-attention-to-issues-affecting-women-and-girls-with-disability-government-told</w:t>
      </w:r>
    </w:p>
  </w:footnote>
  <w:footnote w:id="9">
    <w:p w14:paraId="4D436B6B" w14:textId="77777777" w:rsidR="00031F03" w:rsidRDefault="00000000">
      <w:pPr>
        <w:pStyle w:val="FootnoteText"/>
        <w:rPr>
          <w:rFonts w:ascii="Tw Cen MT" w:hAnsi="Tw Cen MT"/>
          <w:lang w:val="en-ZA"/>
        </w:rPr>
      </w:pPr>
      <w:r>
        <w:rPr>
          <w:rStyle w:val="FootnoteReference"/>
          <w:rFonts w:ascii="Tw Cen MT" w:hAnsi="Tw Cen MT"/>
        </w:rPr>
        <w:footnoteRef/>
      </w:r>
      <w:r>
        <w:rPr>
          <w:rFonts w:ascii="Tw Cen MT" w:hAnsi="Tw Cen MT"/>
        </w:rPr>
        <w:t xml:space="preserve">https://www.parliament.gh/epanel/docs/bills/AFFIRMATIVE%20ACTION%20(GENDER%20EQUALITY)%20BILL,%202023.pdf </w:t>
      </w:r>
    </w:p>
  </w:footnote>
  <w:footnote w:id="10">
    <w:p w14:paraId="2E7CD5DE" w14:textId="77777777" w:rsidR="00031F03" w:rsidRDefault="00000000">
      <w:pPr>
        <w:pStyle w:val="Heading2"/>
        <w:spacing w:before="0"/>
        <w:rPr>
          <w:rFonts w:ascii="Arial" w:hAnsi="Arial" w:cs="Arial"/>
          <w:color w:val="0076C0"/>
        </w:rPr>
      </w:pPr>
      <w:r>
        <w:rPr>
          <w:rStyle w:val="FootnoteReference"/>
          <w:rFonts w:ascii="Tw Cen MT" w:hAnsi="Tw Cen MT"/>
          <w:color w:val="auto"/>
          <w:sz w:val="20"/>
          <w:szCs w:val="20"/>
        </w:rPr>
        <w:footnoteRef/>
      </w:r>
      <w:r>
        <w:rPr>
          <w:rFonts w:ascii="Tw Cen MT" w:hAnsi="Tw Cen MT"/>
          <w:color w:val="auto"/>
          <w:sz w:val="20"/>
          <w:szCs w:val="20"/>
        </w:rPr>
        <w:t xml:space="preserve"> Afrikids 2019, The Spirit Child Phenomenon; https://www.afrikids.org/scp-fear</w:t>
      </w:r>
    </w:p>
  </w:footnote>
  <w:footnote w:id="11">
    <w:p w14:paraId="06257201"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GFD Report 2023, Rapid Assessment </w:t>
      </w:r>
      <w:r>
        <w:rPr>
          <w:rFonts w:ascii="Tw Cen MT" w:hAnsi="Tw Cen MT" w:cs="Times New Roman"/>
        </w:rPr>
        <w:t>on the spillage of excess water in the Akosombo and Kpong dams.</w:t>
      </w:r>
    </w:p>
  </w:footnote>
  <w:footnote w:id="12">
    <w:p w14:paraId="6593475C"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Human Rights Watch (2012), “Like a Death Sentence" documenting cases of legal capacity violations among persons with psychosocial disabilities in Ghana.</w:t>
      </w:r>
    </w:p>
  </w:footnote>
  <w:footnote w:id="13">
    <w:p w14:paraId="5E257AB3" w14:textId="77777777" w:rsidR="00031F03" w:rsidRDefault="00000000">
      <w:pPr>
        <w:pStyle w:val="FootnoteText"/>
      </w:pPr>
      <w:r>
        <w:rPr>
          <w:rStyle w:val="FootnoteReference"/>
          <w:rFonts w:ascii="Tw Cen MT" w:hAnsi="Tw Cen MT"/>
        </w:rPr>
        <w:footnoteRef/>
      </w:r>
      <w:r>
        <w:rPr>
          <w:rFonts w:ascii="Tw Cen MT" w:hAnsi="Tw Cen MT"/>
        </w:rPr>
        <w:t xml:space="preserve"> Section 67, Mental Health Act, 2012.</w:t>
      </w:r>
      <w:r>
        <w:t xml:space="preserve"> </w:t>
      </w:r>
    </w:p>
  </w:footnote>
  <w:footnote w:id="14">
    <w:p w14:paraId="5EE0FC8B"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Id, Section 55</w:t>
      </w:r>
    </w:p>
  </w:footnote>
  <w:footnote w:id="15">
    <w:p w14:paraId="78454054"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Id, Section 58</w:t>
      </w:r>
    </w:p>
  </w:footnote>
  <w:footnote w:id="16">
    <w:p w14:paraId="13C1BC92"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Id, Section 42</w:t>
      </w:r>
    </w:p>
  </w:footnote>
  <w:footnote w:id="17">
    <w:p w14:paraId="0A6BEFCE" w14:textId="77777777" w:rsidR="00031F03" w:rsidRDefault="00000000">
      <w:pPr>
        <w:pStyle w:val="FootnoteText"/>
      </w:pPr>
      <w:r>
        <w:rPr>
          <w:rStyle w:val="FootnoteReference"/>
          <w:rFonts w:ascii="Tw Cen MT" w:hAnsi="Tw Cen MT"/>
        </w:rPr>
        <w:footnoteRef/>
      </w:r>
      <w:r>
        <w:rPr>
          <w:rFonts w:ascii="Tw Cen MT" w:hAnsi="Tw Cen MT"/>
        </w:rPr>
        <w:t xml:space="preserve"> Id, Section 50</w:t>
      </w:r>
    </w:p>
  </w:footnote>
  <w:footnote w:id="18">
    <w:p w14:paraId="69DB5F3E"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Article 14, Constitution of the Republic of Ghana, 1992 reads in relevant part:</w:t>
      </w:r>
      <w:r>
        <w:rPr>
          <w:rFonts w:ascii="Tw Cen MT" w:hAnsi="Tw Cen MT"/>
        </w:rPr>
        <w:br/>
      </w:r>
    </w:p>
    <w:p w14:paraId="1FE1AA36" w14:textId="77777777" w:rsidR="00031F03" w:rsidRDefault="00000000">
      <w:pPr>
        <w:spacing w:after="160" w:line="276" w:lineRule="auto"/>
        <w:ind w:left="720"/>
        <w:jc w:val="both"/>
        <w:rPr>
          <w:rFonts w:ascii="Tw Cen MT" w:hAnsi="Tw Cen MT"/>
          <w:sz w:val="20"/>
          <w:szCs w:val="20"/>
        </w:rPr>
      </w:pPr>
      <w:r>
        <w:rPr>
          <w:rFonts w:ascii="Tw Cen MT" w:hAnsi="Tw Cen MT"/>
          <w:sz w:val="20"/>
          <w:szCs w:val="20"/>
        </w:rPr>
        <w:t>“</w:t>
      </w:r>
      <w:r>
        <w:rPr>
          <w:rFonts w:ascii="Tahoma" w:hAnsi="Tahoma" w:cs="Tahoma"/>
          <w:sz w:val="20"/>
          <w:szCs w:val="20"/>
        </w:rPr>
        <w:t>﻿</w:t>
      </w:r>
      <w:r>
        <w:rPr>
          <w:rFonts w:ascii="Tw Cen MT" w:hAnsi="Tw Cen MT"/>
          <w:sz w:val="20"/>
          <w:szCs w:val="20"/>
        </w:rPr>
        <w:t>Every person shall be entitled to his personal liberty and no person shall be deprived of his personal liberty except in the following cases and in accordance with procedure permitted by law –</w:t>
      </w:r>
    </w:p>
    <w:p w14:paraId="2F4BA78B" w14:textId="77777777" w:rsidR="00031F03" w:rsidRDefault="00000000">
      <w:pPr>
        <w:spacing w:line="360" w:lineRule="auto"/>
        <w:ind w:left="990"/>
        <w:jc w:val="both"/>
        <w:rPr>
          <w:rFonts w:ascii="Tw Cen MT" w:hAnsi="Tw Cen MT"/>
        </w:rPr>
      </w:pPr>
      <w:r>
        <w:rPr>
          <w:rFonts w:ascii="Tw Cen MT" w:hAnsi="Tw Cen MT"/>
          <w:sz w:val="20"/>
          <w:szCs w:val="20"/>
        </w:rPr>
        <w:t>(d) in the case of a person suffering from an infectious or contagious disease, a person of unsound mind, a person addicted to drugs or alcohol or a vagrant, for the purpose of his care or treatment or the protection of the community.”</w:t>
      </w:r>
    </w:p>
  </w:footnote>
  <w:footnote w:id="19">
    <w:p w14:paraId="046755BE"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w:t>
      </w:r>
      <w:r>
        <w:rPr>
          <w:rFonts w:ascii="Tw Cen MT" w:hAnsi="Tw Cen MT" w:cs="Times New Roman"/>
          <w:lang w:val="en-GB"/>
        </w:rPr>
        <w:t>https://www.afro.who.int/countries/ghana/news/improving-access-mental-health-services-ghana</w:t>
      </w:r>
    </w:p>
  </w:footnote>
  <w:footnote w:id="20">
    <w:p w14:paraId="0B511020"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Section 57(3), The Mental Health Act 846, 2012. </w:t>
      </w:r>
    </w:p>
  </w:footnote>
  <w:footnote w:id="21">
    <w:p w14:paraId="3FE454A5" w14:textId="77777777" w:rsidR="00031F03" w:rsidRDefault="00000000">
      <w:pPr>
        <w:pStyle w:val="FootnoteText"/>
      </w:pPr>
      <w:r>
        <w:rPr>
          <w:rStyle w:val="FootnoteReference"/>
          <w:rFonts w:ascii="Tw Cen MT" w:hAnsi="Tw Cen MT"/>
        </w:rPr>
        <w:footnoteRef/>
      </w:r>
      <w:r>
        <w:rPr>
          <w:rFonts w:ascii="Tw Cen MT" w:hAnsi="Tw Cen MT"/>
        </w:rPr>
        <w:t xml:space="preserve"> Section 4(1), The Persons with Disability Act 715, 2006.</w:t>
      </w:r>
    </w:p>
  </w:footnote>
  <w:footnote w:id="22">
    <w:p w14:paraId="3590208C"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Human Rights Watch (2020), Living in Chains: Shackling of People with Psychosocial Disabilities Worldwide. https://www.hrw.org/sites/default/files/media_2020/10/global_shackling1020_web_2.pdf</w:t>
      </w:r>
    </w:p>
  </w:footnote>
  <w:footnote w:id="23">
    <w:p w14:paraId="753D7632"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https://www.emerald.com/insight/content/doi/10.1108/IJSE-04-2021-0199/full/html</w:t>
      </w:r>
    </w:p>
  </w:footnote>
  <w:footnote w:id="24">
    <w:p w14:paraId="51EC461D"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https://ghrp.biomedcentral.com/articles/10.1186/s41256-022-00238-2</w:t>
      </w:r>
    </w:p>
  </w:footnote>
  <w:footnote w:id="25">
    <w:p w14:paraId="704A9A61"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https://www.hrw.org/news/2022/03/02/ghana-submission-un-committee-rights-persons-disabilities</w:t>
      </w:r>
    </w:p>
  </w:footnote>
  <w:footnote w:id="26">
    <w:p w14:paraId="79115EE4" w14:textId="77777777" w:rsidR="00031F03" w:rsidRDefault="00000000">
      <w:pPr>
        <w:pStyle w:val="FootnoteText"/>
      </w:pPr>
      <w:r>
        <w:rPr>
          <w:rStyle w:val="FootnoteReference"/>
          <w:rFonts w:ascii="Tw Cen MT" w:hAnsi="Tw Cen MT"/>
        </w:rPr>
        <w:footnoteRef/>
      </w:r>
      <w:r>
        <w:rPr>
          <w:rFonts w:ascii="Tw Cen MT" w:hAnsi="Tw Cen MT"/>
        </w:rPr>
        <w:t xml:space="preserve"> Ghana Statistical Services (2014), Disability in Ghana. https://www2.statsghana.gov.gh/docfiles/2010phc/Mono/Disability%20in%20Ghana.pdf</w:t>
      </w:r>
    </w:p>
  </w:footnote>
  <w:footnote w:id="27">
    <w:p w14:paraId="2A724126" w14:textId="77777777" w:rsidR="00031F03" w:rsidRDefault="00000000">
      <w:pPr>
        <w:pStyle w:val="FootnoteText"/>
      </w:pPr>
      <w:r>
        <w:rPr>
          <w:rStyle w:val="FootnoteReference"/>
        </w:rPr>
        <w:footnoteRef/>
      </w:r>
      <w:r>
        <w:t xml:space="preserve"> </w:t>
      </w:r>
      <w:r>
        <w:rPr>
          <w:rFonts w:ascii="Tw Cen MT" w:hAnsi="Tw Cen MT"/>
        </w:rPr>
        <w:t>Section 83, Persons with Disabilities Bill 2024</w:t>
      </w:r>
    </w:p>
  </w:footnote>
  <w:footnote w:id="28">
    <w:p w14:paraId="7C3A0D11" w14:textId="77777777" w:rsidR="00031F03" w:rsidRDefault="00000000">
      <w:pPr>
        <w:pStyle w:val="FootnoteText"/>
        <w:rPr>
          <w:lang w:val="en-ZA"/>
        </w:rPr>
      </w:pPr>
      <w:r>
        <w:rPr>
          <w:rStyle w:val="FootnoteReference"/>
        </w:rPr>
        <w:footnoteRef/>
      </w:r>
      <w:r>
        <w:t xml:space="preserve"> </w:t>
      </w:r>
      <w:r>
        <w:rPr>
          <w:rFonts w:ascii="Tw Cen MT" w:hAnsi="Tw Cen MT"/>
        </w:rPr>
        <w:t>https://www.nhis.gov.gh/benefits</w:t>
      </w:r>
      <w:r>
        <w:t xml:space="preserve"> </w:t>
      </w:r>
    </w:p>
  </w:footnote>
  <w:footnote w:id="29">
    <w:p w14:paraId="5A144334" w14:textId="77777777" w:rsidR="00031F03" w:rsidRDefault="00000000">
      <w:pPr>
        <w:pStyle w:val="FootnoteText"/>
        <w:rPr>
          <w:rFonts w:ascii="Tw Cen MT" w:hAnsi="Tw Cen MT"/>
          <w:lang w:val="en-ZA"/>
        </w:rPr>
      </w:pPr>
      <w:r>
        <w:rPr>
          <w:rStyle w:val="FootnoteReference"/>
          <w:rFonts w:ascii="Tw Cen MT" w:hAnsi="Tw Cen MT"/>
        </w:rPr>
        <w:footnoteRef/>
      </w:r>
      <w:r>
        <w:rPr>
          <w:rFonts w:ascii="Tw Cen MT" w:hAnsi="Tw Cen MT"/>
        </w:rPr>
        <w:t xml:space="preserve"> https://www.journalijar.com/uploads/5ef622c6cba94_IJAR-31701.pdf </w:t>
      </w:r>
    </w:p>
  </w:footnote>
  <w:footnote w:id="30">
    <w:p w14:paraId="56630FCF"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PDA, section 29.</w:t>
      </w:r>
    </w:p>
  </w:footnote>
  <w:footnote w:id="31">
    <w:p w14:paraId="316263F3" w14:textId="77777777" w:rsidR="00031F03" w:rsidRDefault="00000000">
      <w:pPr>
        <w:pStyle w:val="FootnoteText"/>
        <w:rPr>
          <w:rFonts w:ascii="Tw Cen MT" w:hAnsi="Tw Cen MT"/>
          <w:lang w:val="en-ZA"/>
        </w:rPr>
      </w:pPr>
      <w:r>
        <w:rPr>
          <w:rStyle w:val="FootnoteReference"/>
          <w:rFonts w:ascii="Tw Cen MT" w:hAnsi="Tw Cen MT"/>
        </w:rPr>
        <w:footnoteRef/>
      </w:r>
      <w:r>
        <w:rPr>
          <w:rFonts w:ascii="Tw Cen MT" w:hAnsi="Tw Cen MT"/>
        </w:rPr>
        <w:t xml:space="preserve"> </w:t>
      </w:r>
      <w:r>
        <w:rPr>
          <w:rFonts w:ascii="Tw Cen MT" w:hAnsi="Tw Cen MT"/>
          <w:lang w:val="en-ZA"/>
        </w:rPr>
        <w:t>Section 23, Persons with Disability Act 715</w:t>
      </w:r>
    </w:p>
  </w:footnote>
  <w:footnote w:id="32">
    <w:p w14:paraId="26A11C66" w14:textId="77777777" w:rsidR="00031F03" w:rsidRDefault="00000000">
      <w:pPr>
        <w:pStyle w:val="FootnoteText"/>
        <w:rPr>
          <w:rFonts w:ascii="Tw Cen MT" w:hAnsi="Tw Cen MT"/>
          <w:lang w:val="en-ZA"/>
        </w:rPr>
      </w:pPr>
      <w:r>
        <w:rPr>
          <w:rStyle w:val="FootnoteReference"/>
          <w:rFonts w:ascii="Tw Cen MT" w:hAnsi="Tw Cen MT"/>
        </w:rPr>
        <w:footnoteRef/>
      </w:r>
      <w:r>
        <w:rPr>
          <w:rFonts w:ascii="Tw Cen MT" w:hAnsi="Tw Cen MT"/>
        </w:rPr>
        <w:t xml:space="preserve"> </w:t>
      </w:r>
      <w:r>
        <w:rPr>
          <w:rFonts w:ascii="Tw Cen MT" w:hAnsi="Tw Cen MT"/>
          <w:lang w:val="en-ZA"/>
        </w:rPr>
        <w:t>Section 24, Persons with Disability Act 715</w:t>
      </w:r>
    </w:p>
  </w:footnote>
  <w:footnote w:id="33">
    <w:p w14:paraId="0DCB3499" w14:textId="77777777" w:rsidR="00031F03" w:rsidRDefault="00000000">
      <w:pPr>
        <w:pStyle w:val="FootnoteText"/>
        <w:rPr>
          <w:rFonts w:ascii="Tw Cen MT" w:hAnsi="Tw Cen MT"/>
          <w:lang w:val="en-ZA"/>
        </w:rPr>
      </w:pPr>
      <w:r>
        <w:rPr>
          <w:rStyle w:val="FootnoteReference"/>
          <w:rFonts w:ascii="Tw Cen MT" w:hAnsi="Tw Cen MT"/>
        </w:rPr>
        <w:footnoteRef/>
      </w:r>
      <w:r>
        <w:rPr>
          <w:rFonts w:ascii="Tw Cen MT" w:hAnsi="Tw Cen MT"/>
        </w:rPr>
        <w:t xml:space="preserve"> </w:t>
      </w:r>
      <w:r>
        <w:rPr>
          <w:rFonts w:ascii="Tw Cen MT" w:hAnsi="Tw Cen MT"/>
          <w:lang w:val="en-ZA"/>
        </w:rPr>
        <w:t>Id, section 26</w:t>
      </w:r>
    </w:p>
  </w:footnote>
  <w:footnote w:id="34">
    <w:p w14:paraId="47AD8642" w14:textId="77777777" w:rsidR="00031F03" w:rsidRDefault="00000000">
      <w:pPr>
        <w:pStyle w:val="FootnoteText"/>
        <w:rPr>
          <w:rFonts w:ascii="Tw Cen MT" w:hAnsi="Tw Cen MT"/>
          <w:lang w:val="en-ZA"/>
        </w:rPr>
      </w:pPr>
      <w:r>
        <w:rPr>
          <w:rStyle w:val="FootnoteReference"/>
          <w:rFonts w:ascii="Tw Cen MT" w:hAnsi="Tw Cen MT"/>
        </w:rPr>
        <w:footnoteRef/>
      </w:r>
      <w:r>
        <w:rPr>
          <w:rFonts w:ascii="Tw Cen MT" w:hAnsi="Tw Cen MT"/>
        </w:rPr>
        <w:t xml:space="preserve"> </w:t>
      </w:r>
      <w:r>
        <w:rPr>
          <w:rFonts w:ascii="Tw Cen MT" w:hAnsi="Tw Cen MT"/>
          <w:lang w:val="en-ZA"/>
        </w:rPr>
        <w:t>Id, section 26-7</w:t>
      </w:r>
    </w:p>
  </w:footnote>
  <w:footnote w:id="35">
    <w:p w14:paraId="6704600D" w14:textId="77777777" w:rsidR="00031F03" w:rsidRDefault="00000000">
      <w:pPr>
        <w:pStyle w:val="FootnoteText"/>
        <w:rPr>
          <w:rFonts w:ascii="Tw Cen MT" w:hAnsi="Tw Cen MT"/>
          <w:lang w:val="en-ZA"/>
        </w:rPr>
      </w:pPr>
      <w:r>
        <w:rPr>
          <w:rStyle w:val="FootnoteReference"/>
          <w:rFonts w:ascii="Tw Cen MT" w:hAnsi="Tw Cen MT"/>
        </w:rPr>
        <w:footnoteRef/>
      </w:r>
      <w:r>
        <w:rPr>
          <w:rFonts w:ascii="Tw Cen MT" w:hAnsi="Tw Cen MT"/>
        </w:rPr>
        <w:t xml:space="preserve"> </w:t>
      </w:r>
      <w:r>
        <w:rPr>
          <w:rFonts w:ascii="Tw Cen MT" w:hAnsi="Tw Cen MT"/>
          <w:lang w:val="en-ZA"/>
        </w:rPr>
        <w:t>Id, Section 30</w:t>
      </w:r>
    </w:p>
  </w:footnote>
  <w:footnote w:id="36">
    <w:p w14:paraId="2DE5B6E7" w14:textId="77777777" w:rsidR="00031F03" w:rsidRDefault="00000000">
      <w:pPr>
        <w:pStyle w:val="FootnoteText"/>
        <w:rPr>
          <w:rFonts w:ascii="Tw Cen MT" w:hAnsi="Tw Cen MT"/>
          <w:lang w:val="en-ZA"/>
        </w:rPr>
      </w:pPr>
      <w:r>
        <w:rPr>
          <w:rStyle w:val="FootnoteReference"/>
          <w:rFonts w:ascii="Tw Cen MT" w:hAnsi="Tw Cen MT"/>
        </w:rPr>
        <w:footnoteRef/>
      </w:r>
      <w:r>
        <w:rPr>
          <w:rFonts w:ascii="Tw Cen MT" w:hAnsi="Tw Cen MT"/>
        </w:rPr>
        <w:t xml:space="preserve"> The Right to Information Act 989 of 2019, available: https://ir.parliament.gh/bitstream/handle/123456789/2142/RIGHT%20TO%20INFORMATION%20ACT%2C%202019%20%28ACT%20989%29.pdf?sequence=1&amp;isAllowed=y.</w:t>
      </w:r>
    </w:p>
  </w:footnote>
  <w:footnote w:id="37">
    <w:p w14:paraId="60A69023"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https://www.wipo.int/treaties/en/notifications/marrakesh/treaty_marrakesh_40.html </w:t>
      </w:r>
    </w:p>
  </w:footnote>
  <w:footnote w:id="38">
    <w:p w14:paraId="70F46ED8"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Section 62(3), Persons with Disabilities Bill 2024</w:t>
      </w:r>
    </w:p>
  </w:footnote>
  <w:footnote w:id="39">
    <w:p w14:paraId="6C4D5664" w14:textId="77777777" w:rsidR="00031F03" w:rsidRDefault="00000000">
      <w:pPr>
        <w:pStyle w:val="FootnoteText"/>
      </w:pPr>
      <w:r>
        <w:rPr>
          <w:rStyle w:val="FootnoteReference"/>
          <w:rFonts w:ascii="Tw Cen MT" w:hAnsi="Tw Cen MT"/>
        </w:rPr>
        <w:footnoteRef/>
      </w:r>
      <w:r>
        <w:rPr>
          <w:rFonts w:ascii="Tw Cen MT" w:hAnsi="Tw Cen MT"/>
        </w:rPr>
        <w:t xml:space="preserve"> Id, </w:t>
      </w:r>
      <w:r>
        <w:rPr>
          <w:rFonts w:ascii="Tw Cen MT" w:hAnsi="Tw Cen MT"/>
          <w:lang w:val="en-ZA"/>
        </w:rPr>
        <w:t>Section 87(h)</w:t>
      </w:r>
    </w:p>
  </w:footnote>
  <w:footnote w:id="40">
    <w:p w14:paraId="6DF83954" w14:textId="77777777" w:rsidR="00031F03" w:rsidRDefault="00000000">
      <w:pPr>
        <w:pStyle w:val="FootnoteText"/>
        <w:rPr>
          <w:lang w:val="en-ZA"/>
        </w:rPr>
      </w:pPr>
      <w:r>
        <w:rPr>
          <w:rStyle w:val="FootnoteReference"/>
        </w:rPr>
        <w:footnoteRef/>
      </w:r>
      <w:r>
        <w:t xml:space="preserve"> </w:t>
      </w:r>
      <w:r>
        <w:rPr>
          <w:rFonts w:ascii="Tw Cen MT" w:hAnsi="Tw Cen MT"/>
        </w:rPr>
        <w:t>https://journals.sagepub.com/doi/full/10.1177/2158244019900567</w:t>
      </w:r>
      <w:r>
        <w:t xml:space="preserve"> </w:t>
      </w:r>
    </w:p>
  </w:footnote>
  <w:footnote w:id="41">
    <w:p w14:paraId="66BC4738" w14:textId="77777777" w:rsidR="00031F03" w:rsidRDefault="00000000">
      <w:pPr>
        <w:pStyle w:val="FootnoteText"/>
        <w:rPr>
          <w:lang w:val="en-ZA"/>
        </w:rPr>
      </w:pPr>
      <w:r>
        <w:rPr>
          <w:rStyle w:val="FootnoteReference"/>
        </w:rPr>
        <w:footnoteRef/>
      </w:r>
      <w:r>
        <w:t xml:space="preserve"> </w:t>
      </w:r>
      <w:r>
        <w:rPr>
          <w:rFonts w:ascii="Tw Cen MT" w:hAnsi="Tw Cen MT"/>
        </w:rPr>
        <w:t>https://bmjpaedsopen.bmj.com/content/7/1/e001807.info</w:t>
      </w:r>
      <w:r>
        <w:t xml:space="preserve"> </w:t>
      </w:r>
    </w:p>
  </w:footnote>
  <w:footnote w:id="42">
    <w:p w14:paraId="60052B59" w14:textId="77777777" w:rsidR="00031F03" w:rsidRDefault="00000000">
      <w:pPr>
        <w:pStyle w:val="FootnoteText"/>
        <w:rPr>
          <w:rFonts w:ascii="Tw Cen MT" w:hAnsi="Tw Cen MT"/>
        </w:rPr>
      </w:pPr>
      <w:r>
        <w:rPr>
          <w:rStyle w:val="FootnoteReference"/>
        </w:rPr>
        <w:footnoteRef/>
      </w:r>
      <w:r>
        <w:t xml:space="preserve"> </w:t>
      </w:r>
      <w:r>
        <w:rPr>
          <w:rFonts w:ascii="Tw Cen MT" w:hAnsi="Tw Cen MT"/>
        </w:rPr>
        <w:t xml:space="preserve">https://sapghana.com/data/documents/Inclusive-Education-Policy-official-document.pdf </w:t>
      </w:r>
    </w:p>
  </w:footnote>
  <w:footnote w:id="43">
    <w:p w14:paraId="415CE6C6" w14:textId="77777777" w:rsidR="00031F03" w:rsidRDefault="00000000">
      <w:pPr>
        <w:pStyle w:val="FootnoteText"/>
        <w:rPr>
          <w:lang w:val="en-ZA"/>
        </w:rPr>
      </w:pPr>
      <w:r>
        <w:rPr>
          <w:rStyle w:val="FootnoteReference"/>
        </w:rPr>
        <w:footnoteRef/>
      </w:r>
      <w:r>
        <w:t xml:space="preserve"> </w:t>
      </w:r>
      <w:r>
        <w:rPr>
          <w:rFonts w:ascii="Tw Cen MT" w:hAnsi="Tw Cen MT"/>
        </w:rPr>
        <w:t>https://scielo.org.za/scielo.php?script=sci_arttext&amp;pid=S2226-72202022000100011</w:t>
      </w:r>
      <w:r>
        <w:t xml:space="preserve"> </w:t>
      </w:r>
    </w:p>
  </w:footnote>
  <w:footnote w:id="44">
    <w:p w14:paraId="240E13EC" w14:textId="77777777" w:rsidR="00031F03" w:rsidRDefault="00000000">
      <w:pPr>
        <w:pStyle w:val="FootnoteText"/>
      </w:pPr>
      <w:r>
        <w:rPr>
          <w:rStyle w:val="FootnoteReference"/>
        </w:rPr>
        <w:footnoteRef/>
      </w:r>
      <w:r>
        <w:t xml:space="preserve"> </w:t>
      </w:r>
      <w:r>
        <w:rPr>
          <w:rFonts w:ascii="Tw Cen MT" w:hAnsi="Tw Cen MT"/>
        </w:rPr>
        <w:t xml:space="preserve">https://gna.org.gh/2021/12/absence-of-sign-language-teachers-braille-materials-hamper-teaching-and-learning/ </w:t>
      </w:r>
    </w:p>
  </w:footnote>
  <w:footnote w:id="45">
    <w:p w14:paraId="4B1EFDFB" w14:textId="77777777" w:rsidR="00031F03" w:rsidRDefault="00000000">
      <w:pPr>
        <w:pStyle w:val="FootnoteText"/>
        <w:rPr>
          <w:lang w:val="en-ZA"/>
        </w:rPr>
      </w:pPr>
      <w:r>
        <w:rPr>
          <w:rStyle w:val="FootnoteReference"/>
        </w:rPr>
        <w:footnoteRef/>
      </w:r>
      <w:r>
        <w:t xml:space="preserve"> </w:t>
      </w:r>
      <w:r>
        <w:rPr>
          <w:rFonts w:ascii="Tw Cen MT" w:hAnsi="Tw Cen MT"/>
        </w:rPr>
        <w:t>https://www.ej-edu.org/index.php/ejedu/article/download/239/125/840; https://abjournals.org/bjeldp/wp-content/uploads/sites/8/journal/published_paper/volume-3/issue-1/BJELDP_DDFNIrDZ.pdf.</w:t>
      </w:r>
      <w:r>
        <w:t xml:space="preserve">  </w:t>
      </w:r>
    </w:p>
  </w:footnote>
  <w:footnote w:id="46">
    <w:p w14:paraId="7F025754" w14:textId="77777777" w:rsidR="00031F03" w:rsidRDefault="00000000">
      <w:pPr>
        <w:pStyle w:val="FootnoteText"/>
      </w:pPr>
      <w:r>
        <w:rPr>
          <w:rStyle w:val="FootnoteReference"/>
        </w:rPr>
        <w:footnoteRef/>
      </w:r>
      <w:r>
        <w:t xml:space="preserve"> https://www.fao.org/reduce-rural-poverty/resources/resources-detail/en/c/468363/</w:t>
      </w:r>
    </w:p>
  </w:footnote>
  <w:footnote w:id="47">
    <w:p w14:paraId="17DD26DB" w14:textId="77777777" w:rsidR="00031F03" w:rsidRDefault="00000000">
      <w:pPr>
        <w:pStyle w:val="FootnoteText"/>
      </w:pPr>
      <w:r>
        <w:rPr>
          <w:rStyle w:val="FootnoteReference"/>
        </w:rPr>
        <w:footnoteRef/>
      </w:r>
      <w:r>
        <w:t xml:space="preserve"> https://www.emerald.com/insight/content/doi/10.1108/IJSE-04-2021-0199/full/html</w:t>
      </w:r>
    </w:p>
  </w:footnote>
  <w:footnote w:id="48">
    <w:p w14:paraId="1A28646C" w14:textId="77777777" w:rsidR="00031F03" w:rsidRDefault="00000000">
      <w:pPr>
        <w:pStyle w:val="FootnoteText"/>
      </w:pPr>
      <w:r>
        <w:rPr>
          <w:rStyle w:val="FootnoteReference"/>
        </w:rPr>
        <w:footnoteRef/>
      </w:r>
      <w:r>
        <w:t xml:space="preserve"> https://www.cocoainitiative.org/knowledge-hub/resources/livelihood-empowerment-against-poverty-programme-endline-impact-evaluation</w:t>
      </w:r>
    </w:p>
  </w:footnote>
  <w:footnote w:id="49">
    <w:p w14:paraId="1AA133F1"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https://ghrp.biomedcentral.com/articles/10.1186/s41256-022-00238-2</w:t>
      </w:r>
    </w:p>
  </w:footnote>
  <w:footnote w:id="50">
    <w:p w14:paraId="35525A93"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https://www.cambridge.org/core/journals/primary-health-care-research-and-development/article/barriers-to-health-care-access-and-utilization-among-aged-indigents-under-the-livelihood-empowerment-against-poverty-programme-leap-the-perspective-of-users-and-service-providers-in-northwestern-ghana/4A79E9A46268B29280D1A56B815FDA32</w:t>
      </w:r>
    </w:p>
  </w:footnote>
  <w:footnote w:id="51">
    <w:p w14:paraId="336991D2" w14:textId="77777777" w:rsidR="00031F03" w:rsidRDefault="00000000">
      <w:pPr>
        <w:pStyle w:val="FootnoteText"/>
      </w:pPr>
      <w:r>
        <w:rPr>
          <w:rStyle w:val="FootnoteReference"/>
          <w:rFonts w:ascii="Tw Cen MT" w:hAnsi="Tw Cen MT"/>
        </w:rPr>
        <w:footnoteRef/>
      </w:r>
      <w:r>
        <w:rPr>
          <w:rFonts w:ascii="Tw Cen MT" w:hAnsi="Tw Cen MT"/>
        </w:rPr>
        <w:t xml:space="preserve"> https://rdsjournal.org/index.php/journal/article/view/526</w:t>
      </w:r>
    </w:p>
  </w:footnote>
  <w:footnote w:id="52">
    <w:p w14:paraId="740BE5A6" w14:textId="77777777" w:rsidR="00031F03" w:rsidRDefault="00000000">
      <w:pPr>
        <w:pStyle w:val="FootnoteText"/>
        <w:rPr>
          <w:lang w:val="en-ZA"/>
        </w:rPr>
      </w:pPr>
      <w:r>
        <w:rPr>
          <w:rStyle w:val="FootnoteReference"/>
        </w:rPr>
        <w:footnoteRef/>
      </w:r>
      <w:r>
        <w:t xml:space="preserve"> </w:t>
      </w:r>
      <w:r>
        <w:rPr>
          <w:lang w:val="en-ZA"/>
        </w:rPr>
        <w:t>Section 30(3), Persons with Disabilities Bill, 2024.</w:t>
      </w:r>
    </w:p>
  </w:footnote>
  <w:footnote w:id="53">
    <w:p w14:paraId="077612A2" w14:textId="77777777" w:rsidR="00031F03" w:rsidRDefault="00000000">
      <w:pPr>
        <w:pStyle w:val="FootnoteText"/>
        <w:rPr>
          <w:lang w:val="en-ZA"/>
        </w:rPr>
      </w:pPr>
      <w:r>
        <w:rPr>
          <w:rStyle w:val="FootnoteReference"/>
        </w:rPr>
        <w:footnoteRef/>
      </w:r>
      <w:r>
        <w:t xml:space="preserve"> </w:t>
      </w:r>
      <w:r>
        <w:rPr>
          <w:lang w:val="en-ZA"/>
        </w:rPr>
        <w:t>Id, Section 30(4).</w:t>
      </w:r>
    </w:p>
  </w:footnote>
  <w:footnote w:id="54">
    <w:p w14:paraId="57B5981B"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Article 42 of the 1992 Constitution of Ghana</w:t>
      </w:r>
    </w:p>
  </w:footnote>
  <w:footnote w:id="55">
    <w:p w14:paraId="6C993A0B" w14:textId="77777777" w:rsidR="00031F03" w:rsidRDefault="00000000">
      <w:pPr>
        <w:pStyle w:val="FootnoteText"/>
        <w:rPr>
          <w:rFonts w:ascii="Tw Cen MT" w:hAnsi="Tw Cen MT"/>
          <w:lang w:val="en-ZA"/>
        </w:rPr>
      </w:pPr>
      <w:r>
        <w:rPr>
          <w:rStyle w:val="FootnoteReference"/>
          <w:rFonts w:ascii="Tw Cen MT" w:hAnsi="Tw Cen MT"/>
        </w:rPr>
        <w:footnoteRef/>
      </w:r>
      <w:r>
        <w:rPr>
          <w:rFonts w:ascii="Tw Cen MT" w:hAnsi="Tw Cen MT"/>
        </w:rPr>
        <w:t xml:space="preserve"> </w:t>
      </w:r>
      <w:r>
        <w:rPr>
          <w:rFonts w:ascii="Tw Cen MT" w:hAnsi="Tw Cen MT"/>
          <w:lang w:val="en-ZA"/>
        </w:rPr>
        <w:t>It reads: “Every citizen of Ghana of eighteen years of age or above and of sound mind has the right to vote and is entitled to be registered as a voter for the purposes of public elections and referenda.”</w:t>
      </w:r>
    </w:p>
  </w:footnote>
  <w:footnote w:id="56">
    <w:p w14:paraId="4D54A9F6" w14:textId="77777777" w:rsidR="00031F03" w:rsidRDefault="00000000">
      <w:pPr>
        <w:pStyle w:val="FootnoteText"/>
        <w:rPr>
          <w:rFonts w:ascii="Tw Cen MT" w:hAnsi="Tw Cen MT"/>
          <w:lang w:val="fr-FR"/>
        </w:rPr>
      </w:pPr>
      <w:r>
        <w:rPr>
          <w:rStyle w:val="FootnoteReference"/>
          <w:rFonts w:ascii="Tw Cen MT" w:hAnsi="Tw Cen MT"/>
        </w:rPr>
        <w:footnoteRef/>
      </w:r>
      <w:r>
        <w:rPr>
          <w:rFonts w:ascii="Tw Cen MT" w:hAnsi="Tw Cen MT"/>
          <w:lang w:val="fr-FR"/>
        </w:rPr>
        <w:t xml:space="preserve"> Section 12(1): https://ir.parliament.gh/bitstream/handle/123456789/1810/ELECTORAL%20COMMISSION%20ACT%2C%201993%20%28ACT%20451%29.pdf?sequence=1&amp;isAllowed=y. </w:t>
      </w:r>
    </w:p>
  </w:footnote>
  <w:footnote w:id="57">
    <w:p w14:paraId="440926D9" w14:textId="77777777" w:rsidR="00031F03" w:rsidRDefault="00000000">
      <w:pPr>
        <w:pStyle w:val="FootnoteText"/>
        <w:rPr>
          <w:lang w:val="en-ZA"/>
        </w:rPr>
      </w:pPr>
      <w:r>
        <w:rPr>
          <w:rStyle w:val="FootnoteReference"/>
          <w:rFonts w:ascii="Tw Cen MT" w:hAnsi="Tw Cen MT"/>
        </w:rPr>
        <w:footnoteRef/>
      </w:r>
      <w:r>
        <w:rPr>
          <w:rFonts w:ascii="Tw Cen MT" w:hAnsi="Tw Cen MT"/>
          <w:lang w:val="en-ZA"/>
        </w:rPr>
        <w:t xml:space="preserve"> https://ir.parliament.gh/bitstream/handle/123456789/2235/C.I.12.pdf?sequence=1&amp;isAllowed=y, Regulation 1(c).</w:t>
      </w:r>
      <w:r>
        <w:rPr>
          <w:lang w:val="en-ZA"/>
        </w:rPr>
        <w:t xml:space="preserve"> </w:t>
      </w:r>
    </w:p>
  </w:footnote>
  <w:footnote w:id="58">
    <w:p w14:paraId="2E241C90" w14:textId="77777777" w:rsidR="00031F03" w:rsidRDefault="00000000">
      <w:pPr>
        <w:pStyle w:val="FootnoteText"/>
        <w:rPr>
          <w:rFonts w:ascii="Tw Cen MT" w:hAnsi="Tw Cen MT"/>
        </w:rPr>
      </w:pPr>
      <w:r>
        <w:rPr>
          <w:rStyle w:val="FootnoteReference"/>
          <w:rFonts w:ascii="Tw Cen MT" w:hAnsi="Tw Cen MT"/>
        </w:rPr>
        <w:footnoteRef/>
      </w:r>
      <w:r>
        <w:rPr>
          <w:rFonts w:ascii="Tw Cen MT" w:hAnsi="Tw Cen MT"/>
        </w:rPr>
        <w:t xml:space="preserve"> </w:t>
      </w:r>
      <w:r>
        <w:rPr>
          <w:rFonts w:ascii="Tw Cen MT" w:hAnsi="Tw Cen MT"/>
          <w:shd w:val="clear" w:color="auto" w:fill="FFFFFF"/>
        </w:rPr>
        <w:t>Danso, A. K., Adinyira, E., Ayarkwa, J., Tudzi, E., &amp; Adjei, E. K. (2023), Accessibility of recreational facilities in Ghana.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5820" w14:textId="77777777" w:rsidR="00031F03" w:rsidRDefault="00031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90B3" w14:textId="77777777" w:rsidR="00031F03" w:rsidRDefault="00031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86569" w14:textId="77777777" w:rsidR="00031F03" w:rsidRDefault="0003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002"/>
    <w:multiLevelType w:val="multilevel"/>
    <w:tmpl w:val="C20CC938"/>
    <w:lvl w:ilvl="0">
      <w:start w:val="20"/>
      <w:numFmt w:val="decimal"/>
      <w:lvlText w:val="%1."/>
      <w:lvlJc w:val="left"/>
      <w:pPr>
        <w:ind w:left="560" w:hanging="5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0000003"/>
    <w:multiLevelType w:val="hybridMultilevel"/>
    <w:tmpl w:val="3642CB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0000004"/>
    <w:multiLevelType w:val="hybridMultilevel"/>
    <w:tmpl w:val="66727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multilevel"/>
    <w:tmpl w:val="8110C522"/>
    <w:lvl w:ilvl="0">
      <w:start w:val="20"/>
      <w:numFmt w:val="decimal"/>
      <w:lvlText w:val="%1."/>
      <w:lvlJc w:val="left"/>
      <w:pPr>
        <w:ind w:left="560" w:hanging="5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0000006"/>
    <w:multiLevelType w:val="multilevel"/>
    <w:tmpl w:val="77B0417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0000007"/>
    <w:multiLevelType w:val="multilevel"/>
    <w:tmpl w:val="CAE081FA"/>
    <w:lvl w:ilvl="0">
      <w:start w:val="16"/>
      <w:numFmt w:val="decimal"/>
      <w:lvlText w:val="%1."/>
      <w:lvlJc w:val="left"/>
      <w:pPr>
        <w:ind w:left="560" w:hanging="560"/>
      </w:pPr>
      <w:rPr>
        <w:rFonts w:hint="default"/>
      </w:rPr>
    </w:lvl>
    <w:lvl w:ilvl="1">
      <w:start w:val="1"/>
      <w:numFmt w:val="decimal"/>
      <w:lvlText w:val="%2."/>
      <w:lvlJc w:val="left"/>
      <w:pPr>
        <w:ind w:left="1080" w:hanging="36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000000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00000A"/>
    <w:multiLevelType w:val="multilevel"/>
    <w:tmpl w:val="E55A3F1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B"/>
    <w:multiLevelType w:val="multilevel"/>
    <w:tmpl w:val="C572360E"/>
    <w:lvl w:ilvl="0">
      <w:start w:val="1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000000C"/>
    <w:multiLevelType w:val="hybridMultilevel"/>
    <w:tmpl w:val="9490F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D"/>
    <w:multiLevelType w:val="hybridMultilevel"/>
    <w:tmpl w:val="75D62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multilevel"/>
    <w:tmpl w:val="0B5C260A"/>
    <w:lvl w:ilvl="0">
      <w:start w:val="16"/>
      <w:numFmt w:val="decimal"/>
      <w:lvlText w:val="%1."/>
      <w:lvlJc w:val="left"/>
      <w:pPr>
        <w:ind w:left="560" w:hanging="5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0000000F"/>
    <w:multiLevelType w:val="hybridMultilevel"/>
    <w:tmpl w:val="F3BA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0"/>
    <w:multiLevelType w:val="hybridMultilevel"/>
    <w:tmpl w:val="CAEC4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1"/>
    <w:multiLevelType w:val="multilevel"/>
    <w:tmpl w:val="D99E051E"/>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0000012"/>
    <w:multiLevelType w:val="hybridMultilevel"/>
    <w:tmpl w:val="9322E4CC"/>
    <w:lvl w:ilvl="0" w:tplc="69FC6D0A">
      <w:start w:val="1"/>
      <w:numFmt w:val="decimal"/>
      <w:lvlText w:val="%1."/>
      <w:lvlJc w:val="left"/>
      <w:pPr>
        <w:ind w:left="720" w:hanging="360"/>
      </w:pPr>
    </w:lvl>
    <w:lvl w:ilvl="1" w:tplc="AA1EED86" w:tentative="1">
      <w:start w:val="1"/>
      <w:numFmt w:val="lowerLetter"/>
      <w:lvlText w:val="%2."/>
      <w:lvlJc w:val="left"/>
      <w:pPr>
        <w:ind w:left="1440" w:hanging="360"/>
      </w:pPr>
    </w:lvl>
    <w:lvl w:ilvl="2" w:tplc="E872DABE" w:tentative="1">
      <w:start w:val="1"/>
      <w:numFmt w:val="lowerRoman"/>
      <w:lvlText w:val="%3."/>
      <w:lvlJc w:val="right"/>
      <w:pPr>
        <w:ind w:left="2160" w:hanging="180"/>
      </w:pPr>
    </w:lvl>
    <w:lvl w:ilvl="3" w:tplc="4B542488" w:tentative="1">
      <w:start w:val="1"/>
      <w:numFmt w:val="decimal"/>
      <w:lvlText w:val="%4."/>
      <w:lvlJc w:val="left"/>
      <w:pPr>
        <w:ind w:left="2880" w:hanging="360"/>
      </w:pPr>
    </w:lvl>
    <w:lvl w:ilvl="4" w:tplc="C810CBCC" w:tentative="1">
      <w:start w:val="1"/>
      <w:numFmt w:val="lowerLetter"/>
      <w:lvlText w:val="%5."/>
      <w:lvlJc w:val="left"/>
      <w:pPr>
        <w:ind w:left="3600" w:hanging="360"/>
      </w:pPr>
    </w:lvl>
    <w:lvl w:ilvl="5" w:tplc="07300586" w:tentative="1">
      <w:start w:val="1"/>
      <w:numFmt w:val="lowerRoman"/>
      <w:lvlText w:val="%6."/>
      <w:lvlJc w:val="right"/>
      <w:pPr>
        <w:ind w:left="4320" w:hanging="180"/>
      </w:pPr>
    </w:lvl>
    <w:lvl w:ilvl="6" w:tplc="1E32DE88" w:tentative="1">
      <w:start w:val="1"/>
      <w:numFmt w:val="decimal"/>
      <w:lvlText w:val="%7."/>
      <w:lvlJc w:val="left"/>
      <w:pPr>
        <w:ind w:left="5040" w:hanging="360"/>
      </w:pPr>
    </w:lvl>
    <w:lvl w:ilvl="7" w:tplc="80385086" w:tentative="1">
      <w:start w:val="1"/>
      <w:numFmt w:val="lowerLetter"/>
      <w:lvlText w:val="%8."/>
      <w:lvlJc w:val="left"/>
      <w:pPr>
        <w:ind w:left="5760" w:hanging="360"/>
      </w:pPr>
    </w:lvl>
    <w:lvl w:ilvl="8" w:tplc="8A8A6234" w:tentative="1">
      <w:start w:val="1"/>
      <w:numFmt w:val="lowerRoman"/>
      <w:lvlText w:val="%9."/>
      <w:lvlJc w:val="right"/>
      <w:pPr>
        <w:ind w:left="6480" w:hanging="180"/>
      </w:pPr>
    </w:lvl>
  </w:abstractNum>
  <w:abstractNum w:abstractNumId="19" w15:restartNumberingAfterBreak="0">
    <w:nsid w:val="00000013"/>
    <w:multiLevelType w:val="hybridMultilevel"/>
    <w:tmpl w:val="9322E4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00000014"/>
    <w:multiLevelType w:val="hybridMultilevel"/>
    <w:tmpl w:val="0E543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5"/>
    <w:multiLevelType w:val="hybridMultilevel"/>
    <w:tmpl w:val="A4BA0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6"/>
    <w:multiLevelType w:val="hybridMultilevel"/>
    <w:tmpl w:val="FCC4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7"/>
    <w:multiLevelType w:val="hybridMultilevel"/>
    <w:tmpl w:val="2EBC6C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0000018"/>
    <w:multiLevelType w:val="multilevel"/>
    <w:tmpl w:val="8A0A0858"/>
    <w:lvl w:ilvl="0">
      <w:start w:val="20"/>
      <w:numFmt w:val="decimal"/>
      <w:lvlText w:val="%1."/>
      <w:lvlJc w:val="left"/>
      <w:pPr>
        <w:ind w:left="560" w:hanging="560"/>
      </w:pPr>
      <w:rPr>
        <w:rFonts w:hint="default"/>
      </w:rPr>
    </w:lvl>
    <w:lvl w:ilvl="1">
      <w:start w:val="1"/>
      <w:numFmt w:val="decimal"/>
      <w:lvlText w:val="%2."/>
      <w:lvlJc w:val="left"/>
      <w:pPr>
        <w:ind w:left="108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00000019"/>
    <w:multiLevelType w:val="hybridMultilevel"/>
    <w:tmpl w:val="73A885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000001A"/>
    <w:multiLevelType w:val="multilevel"/>
    <w:tmpl w:val="B7C470A0"/>
    <w:lvl w:ilvl="0">
      <w:start w:val="21"/>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0000001B"/>
    <w:multiLevelType w:val="multilevel"/>
    <w:tmpl w:val="54245CB4"/>
    <w:lvl w:ilvl="0">
      <w:start w:val="19"/>
      <w:numFmt w:val="decimal"/>
      <w:lvlText w:val="%1."/>
      <w:lvlJc w:val="left"/>
      <w:pPr>
        <w:ind w:left="560" w:hanging="5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0000001C"/>
    <w:multiLevelType w:val="multilevel"/>
    <w:tmpl w:val="972E2E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000001D"/>
    <w:multiLevelType w:val="hybridMultilevel"/>
    <w:tmpl w:val="B21AF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E"/>
    <w:multiLevelType w:val="multilevel"/>
    <w:tmpl w:val="387EC980"/>
    <w:lvl w:ilvl="0">
      <w:start w:val="25"/>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98259681">
    <w:abstractNumId w:val="17"/>
  </w:num>
  <w:num w:numId="2" w16cid:durableId="1818187188">
    <w:abstractNumId w:val="14"/>
  </w:num>
  <w:num w:numId="3" w16cid:durableId="657266483">
    <w:abstractNumId w:val="2"/>
  </w:num>
  <w:num w:numId="4" w16cid:durableId="1106268206">
    <w:abstractNumId w:val="26"/>
  </w:num>
  <w:num w:numId="5" w16cid:durableId="1648171483">
    <w:abstractNumId w:val="30"/>
  </w:num>
  <w:num w:numId="6" w16cid:durableId="1072389912">
    <w:abstractNumId w:val="23"/>
  </w:num>
  <w:num w:numId="7" w16cid:durableId="1699432207">
    <w:abstractNumId w:val="12"/>
  </w:num>
  <w:num w:numId="8" w16cid:durableId="1803956532">
    <w:abstractNumId w:val="1"/>
  </w:num>
  <w:num w:numId="9" w16cid:durableId="1333021344">
    <w:abstractNumId w:val="0"/>
  </w:num>
  <w:num w:numId="10" w16cid:durableId="1203631">
    <w:abstractNumId w:val="11"/>
  </w:num>
  <w:num w:numId="11" w16cid:durableId="733048988">
    <w:abstractNumId w:val="10"/>
  </w:num>
  <w:num w:numId="12" w16cid:durableId="1475877315">
    <w:abstractNumId w:val="9"/>
  </w:num>
  <w:num w:numId="13" w16cid:durableId="1849363605">
    <w:abstractNumId w:val="8"/>
  </w:num>
  <w:num w:numId="14" w16cid:durableId="1264998346">
    <w:abstractNumId w:val="25"/>
  </w:num>
  <w:num w:numId="15" w16cid:durableId="406876955">
    <w:abstractNumId w:val="7"/>
  </w:num>
  <w:num w:numId="16" w16cid:durableId="1225868973">
    <w:abstractNumId w:val="27"/>
  </w:num>
  <w:num w:numId="17" w16cid:durableId="1711957584">
    <w:abstractNumId w:val="24"/>
  </w:num>
  <w:num w:numId="18" w16cid:durableId="946160865">
    <w:abstractNumId w:val="5"/>
  </w:num>
  <w:num w:numId="19" w16cid:durableId="1333600803">
    <w:abstractNumId w:val="4"/>
  </w:num>
  <w:num w:numId="20" w16cid:durableId="1538472331">
    <w:abstractNumId w:val="16"/>
  </w:num>
  <w:num w:numId="21" w16cid:durableId="1940721821">
    <w:abstractNumId w:val="29"/>
  </w:num>
  <w:num w:numId="22" w16cid:durableId="1043407213">
    <w:abstractNumId w:val="21"/>
  </w:num>
  <w:num w:numId="23" w16cid:durableId="2136244095">
    <w:abstractNumId w:val="13"/>
  </w:num>
  <w:num w:numId="24" w16cid:durableId="1900482846">
    <w:abstractNumId w:val="22"/>
  </w:num>
  <w:num w:numId="25" w16cid:durableId="480275940">
    <w:abstractNumId w:val="15"/>
  </w:num>
  <w:num w:numId="26" w16cid:durableId="1341853882">
    <w:abstractNumId w:val="20"/>
  </w:num>
  <w:num w:numId="27" w16cid:durableId="1207177690">
    <w:abstractNumId w:val="28"/>
  </w:num>
  <w:num w:numId="28" w16cid:durableId="322508935">
    <w:abstractNumId w:val="3"/>
  </w:num>
  <w:num w:numId="29" w16cid:durableId="1362589691">
    <w:abstractNumId w:val="19"/>
  </w:num>
  <w:num w:numId="30" w16cid:durableId="1186677631">
    <w:abstractNumId w:val="6"/>
  </w:num>
  <w:num w:numId="31" w16cid:durableId="7041378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03"/>
    <w:rsid w:val="00031F03"/>
    <w:rsid w:val="00685866"/>
    <w:rsid w:val="006A1E38"/>
    <w:rsid w:val="00C15E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7CDD6C2B-6E38-4EEF-B0A8-94FDDD6B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SimSun"/>
        <w:kern w:val="2"/>
        <w:sz w:val="22"/>
        <w:szCs w:val="22"/>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mbria" w:hAnsi="Cambria" w:cs="Times New Roman"/>
      <w:color w:val="365F91"/>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mbria" w:hAnsi="Cambria" w:cs="Times New Roman"/>
      <w:color w:val="365F91"/>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Cambria" w:hAnsi="Cambria" w:cs="Times New Roman"/>
      <w:color w:val="243F6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Cambria" w:hAnsi="Cambria" w:cs="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NoSpacing">
    <w:name w:val="No Spacing"/>
    <w:link w:val="NoSpacingChar"/>
    <w:uiPriority w:val="1"/>
    <w:qFormat/>
    <w:rPr>
      <w:rFonts w:cs="Arial"/>
      <w:kern w:val="0"/>
      <w:lang w:eastAsia="en-US"/>
      <w14:ligatures w14:val="none"/>
    </w:rPr>
  </w:style>
  <w:style w:type="character" w:customStyle="1" w:styleId="NoSpacingChar">
    <w:name w:val="No Spacing Char"/>
    <w:basedOn w:val="DefaultParagraphFont"/>
    <w:link w:val="NoSpacing"/>
    <w:uiPriority w:val="1"/>
    <w:rPr>
      <w:rFonts w:ascii="Calibri" w:eastAsia="SimSun" w:hAnsi="Calibri" w:cs="Arial"/>
      <w:kern w:val="0"/>
      <w:lang w:eastAsia="en-US"/>
      <w14:ligatures w14:val="none"/>
    </w:rPr>
  </w:style>
  <w:style w:type="paragraph" w:customStyle="1" w:styleId="Default">
    <w:name w:val="Default"/>
    <w:pPr>
      <w:autoSpaceDE w:val="0"/>
      <w:autoSpaceDN w:val="0"/>
      <w:adjustRightInd w:val="0"/>
    </w:pPr>
    <w:rPr>
      <w:rFonts w:ascii="Arial" w:hAnsi="Arial" w:cs="Arial"/>
      <w:color w:val="000000"/>
      <w:kern w:val="0"/>
      <w:sz w:val="24"/>
      <w:szCs w:val="24"/>
    </w:rPr>
  </w:style>
  <w:style w:type="character" w:customStyle="1" w:styleId="Heading1Char">
    <w:name w:val="Heading 1 Char"/>
    <w:basedOn w:val="DefaultParagraphFont"/>
    <w:link w:val="Heading1"/>
    <w:uiPriority w:val="9"/>
    <w:rPr>
      <w:rFonts w:ascii="Cambria" w:eastAsia="SimSun" w:hAnsi="Cambria" w:cs="Times New Roman"/>
      <w:color w:val="365F91"/>
      <w:sz w:val="32"/>
      <w:szCs w:val="32"/>
    </w:rPr>
  </w:style>
  <w:style w:type="paragraph" w:styleId="TOCHeading">
    <w:name w:val="TOC Heading"/>
    <w:basedOn w:val="Heading1"/>
    <w:next w:val="Normal"/>
    <w:uiPriority w:val="39"/>
    <w:qFormat/>
    <w:pPr>
      <w:spacing w:line="259" w:lineRule="auto"/>
      <w:outlineLvl w:val="9"/>
    </w:pPr>
    <w:rPr>
      <w:kern w:val="0"/>
      <w:lang w:eastAsia="en-US"/>
      <w14:ligatures w14:val="none"/>
    </w:r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TOC1">
    <w:name w:val="toc 1"/>
    <w:basedOn w:val="Normal"/>
    <w:next w:val="Normal"/>
    <w:uiPriority w:val="39"/>
    <w:pPr>
      <w:tabs>
        <w:tab w:val="right" w:leader="dot" w:pos="9016"/>
      </w:tabs>
      <w:spacing w:after="100"/>
    </w:pPr>
    <w:rPr>
      <w:rFonts w:ascii="Tw Cen MT" w:hAnsi="Tw Cen MT"/>
      <w:b/>
      <w:bCs/>
      <w:noProof/>
      <w:sz w:val="26"/>
      <w:szCs w:val="26"/>
    </w:rPr>
  </w:style>
  <w:style w:type="character" w:customStyle="1" w:styleId="Heading2Char">
    <w:name w:val="Heading 2 Char"/>
    <w:basedOn w:val="DefaultParagraphFont"/>
    <w:link w:val="Heading2"/>
    <w:uiPriority w:val="9"/>
    <w:rPr>
      <w:rFonts w:ascii="Cambria" w:eastAsia="SimSun" w:hAnsi="Cambria" w:cs="Times New Roman"/>
      <w:color w:val="365F91"/>
      <w:sz w:val="26"/>
      <w:szCs w:val="26"/>
    </w:rPr>
  </w:style>
  <w:style w:type="character" w:customStyle="1" w:styleId="Heading3Char">
    <w:name w:val="Heading 3 Char"/>
    <w:basedOn w:val="DefaultParagraphFont"/>
    <w:link w:val="Heading3"/>
    <w:uiPriority w:val="9"/>
    <w:rPr>
      <w:rFonts w:ascii="Cambria" w:eastAsia="SimSun" w:hAnsi="Cambria" w:cs="Times New Roman"/>
      <w:color w:val="243F60"/>
      <w:sz w:val="24"/>
      <w:szCs w:val="24"/>
    </w:rPr>
  </w:style>
  <w:style w:type="character" w:customStyle="1" w:styleId="Heading4Char">
    <w:name w:val="Heading 4 Char"/>
    <w:basedOn w:val="DefaultParagraphFont"/>
    <w:link w:val="Heading4"/>
    <w:uiPriority w:val="9"/>
    <w:rPr>
      <w:rFonts w:ascii="Cambria" w:eastAsia="SimSun" w:hAnsi="Cambria" w:cs="Times New Roman"/>
      <w:i/>
      <w:iCs/>
      <w:color w:val="365F91"/>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cf01">
    <w:name w:val="cf01"/>
    <w:basedOn w:val="DefaultParagraphFont"/>
    <w:rPr>
      <w:rFonts w:ascii="Segoe UI" w:hAnsi="Segoe UI" w:cs="Segoe UI" w:hint="default"/>
      <w:sz w:val="18"/>
      <w:szCs w:val="18"/>
    </w:rPr>
  </w:style>
  <w:style w:type="paragraph" w:styleId="BodyText">
    <w:name w:val="Body Text"/>
    <w:basedOn w:val="Normal"/>
    <w:link w:val="BodyTextChar"/>
    <w:uiPriority w:val="1"/>
    <w:qFormat/>
    <w:pPr>
      <w:widowControl w:val="0"/>
      <w:autoSpaceDE w:val="0"/>
      <w:autoSpaceDN w:val="0"/>
    </w:pPr>
    <w:rPr>
      <w:rFonts w:ascii="Arial Narrow" w:eastAsia="Arial Narrow" w:hAnsi="Arial Narrow" w:cs="Arial Narrow"/>
      <w:kern w:val="0"/>
      <w:sz w:val="28"/>
      <w:szCs w:val="28"/>
      <w:lang w:eastAsia="en-US"/>
      <w14:ligatures w14:val="none"/>
    </w:rPr>
  </w:style>
  <w:style w:type="character" w:customStyle="1" w:styleId="BodyTextChar">
    <w:name w:val="Body Text Char"/>
    <w:basedOn w:val="DefaultParagraphFont"/>
    <w:link w:val="BodyText"/>
    <w:uiPriority w:val="1"/>
    <w:rPr>
      <w:rFonts w:ascii="Arial Narrow" w:eastAsia="Arial Narrow" w:hAnsi="Arial Narrow" w:cs="Arial Narrow"/>
      <w:kern w:val="0"/>
      <w:sz w:val="28"/>
      <w:szCs w:val="28"/>
      <w:lang w:eastAsia="en-US"/>
      <w14:ligatures w14:val="none"/>
    </w:rPr>
  </w:style>
  <w:style w:type="paragraph" w:styleId="Revision">
    <w:name w:val="Revis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DA7E-0085-4B98-B68B-2216DC07F92B}">
  <ds:schemaRefs>
    <ds:schemaRef ds:uri="http://www.wps.cn/android/officeDocument/2013/mofficeCustomData"/>
  </ds:schemaRefs>
</ds:datastoreItem>
</file>

<file path=customXml/itemProps2.xml><?xml version="1.0" encoding="utf-8"?>
<ds:datastoreItem xmlns:ds="http://schemas.openxmlformats.org/officeDocument/2006/customXml" ds:itemID="{E01CC877-95E5-4443-A658-6DC701DC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13131</Words>
  <Characters>74851</Characters>
  <Application>Microsoft Office Word</Application>
  <DocSecurity>0</DocSecurity>
  <Lines>623</Lines>
  <Paragraphs>175</Paragraphs>
  <ScaleCrop>false</ScaleCrop>
  <Company/>
  <LinksUpToDate>false</LinksUpToDate>
  <CharactersWithSpaces>87807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 Shadow Report - 2024</dc:title>
  <dc:subject>CRPD Shadow Report - 2024</dc:subject>
  <dc:creator>Auberon Jeleel Odoom</dc:creator>
  <cp:lastModifiedBy>Adam Abdul Wahab</cp:lastModifiedBy>
  <cp:revision>2</cp:revision>
  <dcterms:created xsi:type="dcterms:W3CDTF">2024-07-15T11:50:00Z</dcterms:created>
  <dcterms:modified xsi:type="dcterms:W3CDTF">2024-07-15T11:50:00Z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83077bdcaab14f178faad0be5d890778</vt:lpwstr>
  </property>
  <property fmtid="{D5CDD505-2E9C-101B-9397-08002B2CF9AE}" pid="3" name="GrammarlyDocumentId">
    <vt:lpwstr>faceeeeeb27d38d10f0ae5aad73c2a9dd6d7d8ff5655bbdf7961eeced155864b</vt:lpwstr>
  </property>
</Properties>
</file>