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BAE2" w14:textId="3AE24C8B" w:rsidR="00EA3BC4" w:rsidRPr="00DD7ED2" w:rsidRDefault="0054483C" w:rsidP="00EA3BC4">
      <w:pPr>
        <w:pStyle w:val="Title"/>
        <w:rPr>
          <w:b/>
          <w:sz w:val="50"/>
          <w:szCs w:val="50"/>
        </w:rPr>
      </w:pPr>
      <w:r w:rsidRPr="00DD7ED2">
        <w:rPr>
          <w:noProof/>
        </w:rPr>
        <mc:AlternateContent>
          <mc:Choice Requires="wps">
            <w:drawing>
              <wp:anchor distT="0" distB="0" distL="114300" distR="114300" simplePos="0" relativeHeight="251658241" behindDoc="0" locked="0" layoutInCell="1" allowOverlap="1" wp14:anchorId="177A7FCE" wp14:editId="169F46BE">
                <wp:simplePos x="0" y="0"/>
                <wp:positionH relativeFrom="page">
                  <wp:align>left</wp:align>
                </wp:positionH>
                <wp:positionV relativeFrom="paragraph">
                  <wp:posOffset>-3764280</wp:posOffset>
                </wp:positionV>
                <wp:extent cx="288290" cy="1081659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2A94" id="Rectangle 3" o:spid="_x0000_s1026" style="position:absolute;margin-left:0;margin-top:-296.4pt;width:22.7pt;height:851.7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" fillcolor="#8f23b3" stroked="f" strokecolor="#8f23b3">
                <w10:wrap anchorx="page"/>
              </v:rect>
            </w:pict>
          </mc:Fallback>
        </mc:AlternateContent>
      </w:r>
      <w:r w:rsidR="00F0541B" w:rsidRPr="00DD7ED2">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3667D" id="Rectangle 4"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DD7ED2">
        <w:rPr>
          <w:b/>
          <w:sz w:val="50"/>
          <w:szCs w:val="50"/>
          <w:lang w:eastAsia="en-GB"/>
        </w:rPr>
        <w:t>Country Policy and Information Note</w:t>
      </w:r>
      <w:r w:rsidR="00EA3BC4" w:rsidRPr="00DD7ED2">
        <w:rPr>
          <w:b/>
          <w:sz w:val="50"/>
          <w:szCs w:val="50"/>
        </w:rPr>
        <w:t xml:space="preserve"> </w:t>
      </w:r>
    </w:p>
    <w:p w14:paraId="03EF43A7" w14:textId="487E9336" w:rsidR="00EA3BC4" w:rsidRPr="00DD7ED2" w:rsidRDefault="00884560" w:rsidP="00EA3BC4">
      <w:pPr>
        <w:pStyle w:val="Title"/>
      </w:pPr>
      <w:bookmarkStart w:id="0" w:name="_top"/>
      <w:bookmarkEnd w:id="0"/>
      <w:r>
        <w:rPr>
          <w:lang w:eastAsia="en-GB"/>
        </w:rPr>
        <w:t>Georgia</w:t>
      </w:r>
      <w:r w:rsidR="00EA3BC4" w:rsidRPr="00DD7ED2">
        <w:rPr>
          <w:lang w:eastAsia="en-GB"/>
        </w:rPr>
        <w:t xml:space="preserve">: </w:t>
      </w:r>
      <w:r w:rsidR="00F85291">
        <w:rPr>
          <w:lang w:eastAsia="en-GB"/>
        </w:rPr>
        <w:t xml:space="preserve">Sexual orientation and gender identity and expression </w:t>
      </w:r>
    </w:p>
    <w:p w14:paraId="0D02FF17" w14:textId="77777777" w:rsidR="00EA3BC4" w:rsidRPr="00DD7ED2" w:rsidRDefault="00EA3BC4" w:rsidP="00EA3BC4"/>
    <w:p w14:paraId="4700C948" w14:textId="1E9E15C7" w:rsidR="00EA3BC4" w:rsidRPr="00DD7ED2" w:rsidRDefault="00F5694D" w:rsidP="00EA3BC4">
      <w:r>
        <w:t xml:space="preserve"> </w:t>
      </w:r>
    </w:p>
    <w:p w14:paraId="0436A447" w14:textId="0EF1F314" w:rsidR="00EA3BC4" w:rsidRPr="00DD7ED2" w:rsidRDefault="00EA3BC4" w:rsidP="00EA3BC4">
      <w:pPr>
        <w:pStyle w:val="subheading2"/>
      </w:pPr>
      <w:r w:rsidRPr="00DD7ED2">
        <w:t xml:space="preserve">Version </w:t>
      </w:r>
      <w:r w:rsidR="00F85291">
        <w:t>1</w:t>
      </w:r>
      <w:r w:rsidRPr="00DD7ED2">
        <w:t>.</w:t>
      </w:r>
      <w:r w:rsidR="00F85291">
        <w:t>0</w:t>
      </w:r>
    </w:p>
    <w:p w14:paraId="3F48F875" w14:textId="2BF5BD62" w:rsidR="00EA3BC4" w:rsidRPr="00DD7ED2" w:rsidRDefault="00671F98" w:rsidP="00EA3BC4">
      <w:pPr>
        <w:pStyle w:val="subheading2"/>
      </w:pPr>
      <w:r>
        <w:t>December</w:t>
      </w:r>
      <w:r w:rsidR="00F85291">
        <w:t xml:space="preserve"> 2023 </w:t>
      </w:r>
    </w:p>
    <w:p w14:paraId="6D7070F9" w14:textId="77777777" w:rsidR="00EA3BC4" w:rsidRPr="00DD7ED2" w:rsidRDefault="00EA3BC4" w:rsidP="00EA3BC4"/>
    <w:p w14:paraId="08ACB72B" w14:textId="77777777" w:rsidR="00B02AA1" w:rsidRDefault="00B02AA1" w:rsidP="00B02AA1">
      <w:pPr>
        <w:pStyle w:val="subheading2"/>
        <w:rPr>
          <w:sz w:val="24"/>
          <w:szCs w:val="24"/>
        </w:rPr>
      </w:pPr>
    </w:p>
    <w:p w14:paraId="22BB61F5" w14:textId="77777777" w:rsidR="00B02AA1" w:rsidRDefault="00B02AA1" w:rsidP="00B02AA1">
      <w:pPr>
        <w:pStyle w:val="subheading2"/>
        <w:rPr>
          <w:sz w:val="24"/>
          <w:szCs w:val="24"/>
        </w:rPr>
      </w:pPr>
    </w:p>
    <w:p w14:paraId="4E20391F" w14:textId="77777777" w:rsidR="00B02AA1" w:rsidRDefault="00B02AA1" w:rsidP="00B02AA1">
      <w:pPr>
        <w:pStyle w:val="subheading2"/>
        <w:rPr>
          <w:sz w:val="24"/>
          <w:szCs w:val="24"/>
        </w:rPr>
      </w:pPr>
    </w:p>
    <w:p w14:paraId="4AEC4CA1" w14:textId="77777777" w:rsidR="0078240E" w:rsidRDefault="0078240E">
      <w:pPr>
        <w:spacing w:after="200" w:line="276" w:lineRule="auto"/>
        <w:rPr>
          <w:color w:val="7030A0"/>
          <w:sz w:val="52"/>
        </w:rPr>
      </w:pPr>
      <w:bookmarkStart w:id="1" w:name="_Contents"/>
      <w:bookmarkStart w:id="2" w:name="_Contents_1"/>
      <w:bookmarkStart w:id="3" w:name="_Toc409598707"/>
      <w:bookmarkEnd w:id="1"/>
      <w:bookmarkEnd w:id="2"/>
      <w:r>
        <w:br w:type="page"/>
      </w:r>
    </w:p>
    <w:p w14:paraId="7C0F2047" w14:textId="77777777" w:rsidR="008F799D" w:rsidRDefault="00EA3BC4" w:rsidP="00410536">
      <w:pPr>
        <w:pStyle w:val="Subheading"/>
        <w:rPr>
          <w:noProof/>
        </w:rPr>
      </w:pPr>
      <w:r w:rsidRPr="00DD7ED2">
        <w:lastRenderedPageBreak/>
        <w:t>Conte</w:t>
      </w:r>
      <w:bookmarkStart w:id="4" w:name="contents"/>
      <w:bookmarkEnd w:id="4"/>
      <w:r w:rsidRPr="00DD7ED2">
        <w:t>nts</w:t>
      </w:r>
      <w:r w:rsidRPr="00AF2E27">
        <w:rPr>
          <w:rFonts w:eastAsiaTheme="majorEastAsia" w:cstheme="majorBidi"/>
          <w:b/>
          <w:bCs/>
          <w:szCs w:val="28"/>
        </w:rPr>
        <w:fldChar w:fldCharType="begin"/>
      </w:r>
      <w:r w:rsidRPr="00AF2E27">
        <w:instrText xml:space="preserve"> TOC \o "1-3" \h \z \u </w:instrText>
      </w:r>
      <w:r w:rsidRPr="00AF2E27">
        <w:rPr>
          <w:rFonts w:eastAsiaTheme="majorEastAsia" w:cstheme="majorBidi"/>
          <w:b/>
          <w:bCs/>
          <w:szCs w:val="28"/>
        </w:rPr>
        <w:fldChar w:fldCharType="separate"/>
      </w:r>
    </w:p>
    <w:p w14:paraId="6B564D95" w14:textId="6414AE84"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161" w:history="1">
        <w:r w:rsidRPr="003656BB">
          <w:rPr>
            <w:rStyle w:val="Hyperlink"/>
            <w:noProof/>
          </w:rPr>
          <w:t>Executive summary</w:t>
        </w:r>
        <w:r>
          <w:rPr>
            <w:noProof/>
            <w:webHidden/>
          </w:rPr>
          <w:tab/>
        </w:r>
        <w:r>
          <w:rPr>
            <w:noProof/>
            <w:webHidden/>
          </w:rPr>
          <w:fldChar w:fldCharType="begin"/>
        </w:r>
        <w:r>
          <w:rPr>
            <w:noProof/>
            <w:webHidden/>
          </w:rPr>
          <w:instrText xml:space="preserve"> PAGEREF _Toc178601161 \h </w:instrText>
        </w:r>
        <w:r>
          <w:rPr>
            <w:noProof/>
            <w:webHidden/>
          </w:rPr>
        </w:r>
        <w:r>
          <w:rPr>
            <w:noProof/>
            <w:webHidden/>
          </w:rPr>
          <w:fldChar w:fldCharType="separate"/>
        </w:r>
        <w:r>
          <w:rPr>
            <w:noProof/>
            <w:webHidden/>
          </w:rPr>
          <w:t>4</w:t>
        </w:r>
        <w:r>
          <w:rPr>
            <w:noProof/>
            <w:webHidden/>
          </w:rPr>
          <w:fldChar w:fldCharType="end"/>
        </w:r>
      </w:hyperlink>
    </w:p>
    <w:p w14:paraId="68EB4ED4" w14:textId="1AA87ACD"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162" w:history="1">
        <w:r w:rsidRPr="003656BB">
          <w:rPr>
            <w:rStyle w:val="Hyperlink"/>
            <w:noProof/>
          </w:rPr>
          <w:t>Assessment</w:t>
        </w:r>
        <w:r>
          <w:rPr>
            <w:noProof/>
            <w:webHidden/>
          </w:rPr>
          <w:tab/>
        </w:r>
        <w:r>
          <w:rPr>
            <w:noProof/>
            <w:webHidden/>
          </w:rPr>
          <w:fldChar w:fldCharType="begin"/>
        </w:r>
        <w:r>
          <w:rPr>
            <w:noProof/>
            <w:webHidden/>
          </w:rPr>
          <w:instrText xml:space="preserve"> PAGEREF _Toc178601162 \h </w:instrText>
        </w:r>
        <w:r>
          <w:rPr>
            <w:noProof/>
            <w:webHidden/>
          </w:rPr>
        </w:r>
        <w:r>
          <w:rPr>
            <w:noProof/>
            <w:webHidden/>
          </w:rPr>
          <w:fldChar w:fldCharType="separate"/>
        </w:r>
        <w:r>
          <w:rPr>
            <w:noProof/>
            <w:webHidden/>
          </w:rPr>
          <w:t>5</w:t>
        </w:r>
        <w:r>
          <w:rPr>
            <w:noProof/>
            <w:webHidden/>
          </w:rPr>
          <w:fldChar w:fldCharType="end"/>
        </w:r>
      </w:hyperlink>
    </w:p>
    <w:p w14:paraId="263C050B" w14:textId="3322BF2D"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63" w:history="1">
        <w:r w:rsidRPr="003656BB">
          <w:rPr>
            <w:rStyle w:val="Hyperlink"/>
            <w:noProof/>
          </w:rPr>
          <w:t>About the assessment</w:t>
        </w:r>
        <w:r>
          <w:rPr>
            <w:noProof/>
            <w:webHidden/>
          </w:rPr>
          <w:tab/>
        </w:r>
        <w:r>
          <w:rPr>
            <w:noProof/>
            <w:webHidden/>
          </w:rPr>
          <w:fldChar w:fldCharType="begin"/>
        </w:r>
        <w:r>
          <w:rPr>
            <w:noProof/>
            <w:webHidden/>
          </w:rPr>
          <w:instrText xml:space="preserve"> PAGEREF _Toc178601163 \h </w:instrText>
        </w:r>
        <w:r>
          <w:rPr>
            <w:noProof/>
            <w:webHidden/>
          </w:rPr>
        </w:r>
        <w:r>
          <w:rPr>
            <w:noProof/>
            <w:webHidden/>
          </w:rPr>
          <w:fldChar w:fldCharType="separate"/>
        </w:r>
        <w:r>
          <w:rPr>
            <w:noProof/>
            <w:webHidden/>
          </w:rPr>
          <w:t>5</w:t>
        </w:r>
        <w:r>
          <w:rPr>
            <w:noProof/>
            <w:webHidden/>
          </w:rPr>
          <w:fldChar w:fldCharType="end"/>
        </w:r>
      </w:hyperlink>
    </w:p>
    <w:p w14:paraId="679A2B4B" w14:textId="330DCE03"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64" w:history="1">
        <w:r w:rsidRPr="003656BB">
          <w:rPr>
            <w:rStyle w:val="Hyperlink"/>
            <w:noProof/>
          </w:rPr>
          <w:t>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Material facts, credibility and other checks/referrals</w:t>
        </w:r>
        <w:r>
          <w:rPr>
            <w:noProof/>
            <w:webHidden/>
          </w:rPr>
          <w:tab/>
        </w:r>
        <w:r>
          <w:rPr>
            <w:noProof/>
            <w:webHidden/>
          </w:rPr>
          <w:fldChar w:fldCharType="begin"/>
        </w:r>
        <w:r>
          <w:rPr>
            <w:noProof/>
            <w:webHidden/>
          </w:rPr>
          <w:instrText xml:space="preserve"> PAGEREF _Toc178601164 \h </w:instrText>
        </w:r>
        <w:r>
          <w:rPr>
            <w:noProof/>
            <w:webHidden/>
          </w:rPr>
        </w:r>
        <w:r>
          <w:rPr>
            <w:noProof/>
            <w:webHidden/>
          </w:rPr>
          <w:fldChar w:fldCharType="separate"/>
        </w:r>
        <w:r>
          <w:rPr>
            <w:noProof/>
            <w:webHidden/>
          </w:rPr>
          <w:t>5</w:t>
        </w:r>
        <w:r>
          <w:rPr>
            <w:noProof/>
            <w:webHidden/>
          </w:rPr>
          <w:fldChar w:fldCharType="end"/>
        </w:r>
      </w:hyperlink>
    </w:p>
    <w:p w14:paraId="207BD435" w14:textId="37E654F7"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65" w:history="1">
        <w:r w:rsidRPr="003656BB">
          <w:rPr>
            <w:rStyle w:val="Hyperlink"/>
            <w:noProof/>
          </w:rPr>
          <w:t>1.1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Credibility</w:t>
        </w:r>
        <w:r>
          <w:rPr>
            <w:noProof/>
            <w:webHidden/>
          </w:rPr>
          <w:tab/>
        </w:r>
        <w:r>
          <w:rPr>
            <w:noProof/>
            <w:webHidden/>
          </w:rPr>
          <w:fldChar w:fldCharType="begin"/>
        </w:r>
        <w:r>
          <w:rPr>
            <w:noProof/>
            <w:webHidden/>
          </w:rPr>
          <w:instrText xml:space="preserve"> PAGEREF _Toc178601165 \h </w:instrText>
        </w:r>
        <w:r>
          <w:rPr>
            <w:noProof/>
            <w:webHidden/>
          </w:rPr>
        </w:r>
        <w:r>
          <w:rPr>
            <w:noProof/>
            <w:webHidden/>
          </w:rPr>
          <w:fldChar w:fldCharType="separate"/>
        </w:r>
        <w:r>
          <w:rPr>
            <w:noProof/>
            <w:webHidden/>
          </w:rPr>
          <w:t>5</w:t>
        </w:r>
        <w:r>
          <w:rPr>
            <w:noProof/>
            <w:webHidden/>
          </w:rPr>
          <w:fldChar w:fldCharType="end"/>
        </w:r>
      </w:hyperlink>
    </w:p>
    <w:p w14:paraId="4988C7AD" w14:textId="276C478B"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66" w:history="1">
        <w:r w:rsidRPr="003656BB">
          <w:rPr>
            <w:rStyle w:val="Hyperlink"/>
            <w:noProof/>
          </w:rPr>
          <w:t>1.2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Exclusion</w:t>
        </w:r>
        <w:r>
          <w:rPr>
            <w:noProof/>
            <w:webHidden/>
          </w:rPr>
          <w:tab/>
        </w:r>
        <w:r>
          <w:rPr>
            <w:noProof/>
            <w:webHidden/>
          </w:rPr>
          <w:fldChar w:fldCharType="begin"/>
        </w:r>
        <w:r>
          <w:rPr>
            <w:noProof/>
            <w:webHidden/>
          </w:rPr>
          <w:instrText xml:space="preserve"> PAGEREF _Toc178601166 \h </w:instrText>
        </w:r>
        <w:r>
          <w:rPr>
            <w:noProof/>
            <w:webHidden/>
          </w:rPr>
        </w:r>
        <w:r>
          <w:rPr>
            <w:noProof/>
            <w:webHidden/>
          </w:rPr>
          <w:fldChar w:fldCharType="separate"/>
        </w:r>
        <w:r>
          <w:rPr>
            <w:noProof/>
            <w:webHidden/>
          </w:rPr>
          <w:t>5</w:t>
        </w:r>
        <w:r>
          <w:rPr>
            <w:noProof/>
            <w:webHidden/>
          </w:rPr>
          <w:fldChar w:fldCharType="end"/>
        </w:r>
      </w:hyperlink>
    </w:p>
    <w:p w14:paraId="1F610A32" w14:textId="1B9C3393"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67" w:history="1">
        <w:r w:rsidRPr="003656BB">
          <w:rPr>
            <w:rStyle w:val="Hyperlink"/>
            <w:noProof/>
          </w:rPr>
          <w:t>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Convention reason(s)</w:t>
        </w:r>
        <w:r>
          <w:rPr>
            <w:noProof/>
            <w:webHidden/>
          </w:rPr>
          <w:tab/>
        </w:r>
        <w:r>
          <w:rPr>
            <w:noProof/>
            <w:webHidden/>
          </w:rPr>
          <w:fldChar w:fldCharType="begin"/>
        </w:r>
        <w:r>
          <w:rPr>
            <w:noProof/>
            <w:webHidden/>
          </w:rPr>
          <w:instrText xml:space="preserve"> PAGEREF _Toc178601167 \h </w:instrText>
        </w:r>
        <w:r>
          <w:rPr>
            <w:noProof/>
            <w:webHidden/>
          </w:rPr>
        </w:r>
        <w:r>
          <w:rPr>
            <w:noProof/>
            <w:webHidden/>
          </w:rPr>
          <w:fldChar w:fldCharType="separate"/>
        </w:r>
        <w:r>
          <w:rPr>
            <w:noProof/>
            <w:webHidden/>
          </w:rPr>
          <w:t>6</w:t>
        </w:r>
        <w:r>
          <w:rPr>
            <w:noProof/>
            <w:webHidden/>
          </w:rPr>
          <w:fldChar w:fldCharType="end"/>
        </w:r>
      </w:hyperlink>
    </w:p>
    <w:p w14:paraId="68D0EB8A" w14:textId="31C96132"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68" w:history="1">
        <w:r w:rsidRPr="003656BB">
          <w:rPr>
            <w:rStyle w:val="Hyperlink"/>
            <w:noProof/>
          </w:rPr>
          <w:t>3.</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Risk</w:t>
        </w:r>
        <w:r>
          <w:rPr>
            <w:noProof/>
            <w:webHidden/>
          </w:rPr>
          <w:tab/>
        </w:r>
        <w:r>
          <w:rPr>
            <w:noProof/>
            <w:webHidden/>
          </w:rPr>
          <w:fldChar w:fldCharType="begin"/>
        </w:r>
        <w:r>
          <w:rPr>
            <w:noProof/>
            <w:webHidden/>
          </w:rPr>
          <w:instrText xml:space="preserve"> PAGEREF _Toc178601168 \h </w:instrText>
        </w:r>
        <w:r>
          <w:rPr>
            <w:noProof/>
            <w:webHidden/>
          </w:rPr>
        </w:r>
        <w:r>
          <w:rPr>
            <w:noProof/>
            <w:webHidden/>
          </w:rPr>
          <w:fldChar w:fldCharType="separate"/>
        </w:r>
        <w:r>
          <w:rPr>
            <w:noProof/>
            <w:webHidden/>
          </w:rPr>
          <w:t>6</w:t>
        </w:r>
        <w:r>
          <w:rPr>
            <w:noProof/>
            <w:webHidden/>
          </w:rPr>
          <w:fldChar w:fldCharType="end"/>
        </w:r>
      </w:hyperlink>
    </w:p>
    <w:p w14:paraId="31E902FF" w14:textId="258A56E2"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69" w:history="1">
        <w:r w:rsidRPr="003656BB">
          <w:rPr>
            <w:rStyle w:val="Hyperlink"/>
            <w:noProof/>
          </w:rPr>
          <w:t>3.1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Risk from the state</w:t>
        </w:r>
        <w:r>
          <w:rPr>
            <w:noProof/>
            <w:webHidden/>
          </w:rPr>
          <w:tab/>
        </w:r>
        <w:r>
          <w:rPr>
            <w:noProof/>
            <w:webHidden/>
          </w:rPr>
          <w:fldChar w:fldCharType="begin"/>
        </w:r>
        <w:r>
          <w:rPr>
            <w:noProof/>
            <w:webHidden/>
          </w:rPr>
          <w:instrText xml:space="preserve"> PAGEREF _Toc178601169 \h </w:instrText>
        </w:r>
        <w:r>
          <w:rPr>
            <w:noProof/>
            <w:webHidden/>
          </w:rPr>
        </w:r>
        <w:r>
          <w:rPr>
            <w:noProof/>
            <w:webHidden/>
          </w:rPr>
          <w:fldChar w:fldCharType="separate"/>
        </w:r>
        <w:r>
          <w:rPr>
            <w:noProof/>
            <w:webHidden/>
          </w:rPr>
          <w:t>6</w:t>
        </w:r>
        <w:r>
          <w:rPr>
            <w:noProof/>
            <w:webHidden/>
          </w:rPr>
          <w:fldChar w:fldCharType="end"/>
        </w:r>
      </w:hyperlink>
    </w:p>
    <w:p w14:paraId="5324BFC3" w14:textId="33621B34"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70" w:history="1">
        <w:r w:rsidRPr="003656BB">
          <w:rPr>
            <w:rStyle w:val="Hyperlink"/>
            <w:noProof/>
          </w:rPr>
          <w:t>3.2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Risk from non-state, including ‘rogue’ state, actors</w:t>
        </w:r>
        <w:r>
          <w:rPr>
            <w:noProof/>
            <w:webHidden/>
          </w:rPr>
          <w:tab/>
        </w:r>
        <w:r>
          <w:rPr>
            <w:noProof/>
            <w:webHidden/>
          </w:rPr>
          <w:fldChar w:fldCharType="begin"/>
        </w:r>
        <w:r>
          <w:rPr>
            <w:noProof/>
            <w:webHidden/>
          </w:rPr>
          <w:instrText xml:space="preserve"> PAGEREF _Toc178601170 \h </w:instrText>
        </w:r>
        <w:r>
          <w:rPr>
            <w:noProof/>
            <w:webHidden/>
          </w:rPr>
        </w:r>
        <w:r>
          <w:rPr>
            <w:noProof/>
            <w:webHidden/>
          </w:rPr>
          <w:fldChar w:fldCharType="separate"/>
        </w:r>
        <w:r>
          <w:rPr>
            <w:noProof/>
            <w:webHidden/>
          </w:rPr>
          <w:t>7</w:t>
        </w:r>
        <w:r>
          <w:rPr>
            <w:noProof/>
            <w:webHidden/>
          </w:rPr>
          <w:fldChar w:fldCharType="end"/>
        </w:r>
      </w:hyperlink>
    </w:p>
    <w:p w14:paraId="43DD6E7C" w14:textId="428DE846"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71" w:history="1">
        <w:r w:rsidRPr="003656BB">
          <w:rPr>
            <w:rStyle w:val="Hyperlink"/>
            <w:noProof/>
          </w:rPr>
          <w:t>4.</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Protection</w:t>
        </w:r>
        <w:r>
          <w:rPr>
            <w:noProof/>
            <w:webHidden/>
          </w:rPr>
          <w:tab/>
        </w:r>
        <w:r>
          <w:rPr>
            <w:noProof/>
            <w:webHidden/>
          </w:rPr>
          <w:fldChar w:fldCharType="begin"/>
        </w:r>
        <w:r>
          <w:rPr>
            <w:noProof/>
            <w:webHidden/>
          </w:rPr>
          <w:instrText xml:space="preserve"> PAGEREF _Toc178601171 \h </w:instrText>
        </w:r>
        <w:r>
          <w:rPr>
            <w:noProof/>
            <w:webHidden/>
          </w:rPr>
        </w:r>
        <w:r>
          <w:rPr>
            <w:noProof/>
            <w:webHidden/>
          </w:rPr>
          <w:fldChar w:fldCharType="separate"/>
        </w:r>
        <w:r>
          <w:rPr>
            <w:noProof/>
            <w:webHidden/>
          </w:rPr>
          <w:t>8</w:t>
        </w:r>
        <w:r>
          <w:rPr>
            <w:noProof/>
            <w:webHidden/>
          </w:rPr>
          <w:fldChar w:fldCharType="end"/>
        </w:r>
      </w:hyperlink>
    </w:p>
    <w:p w14:paraId="20E4724D" w14:textId="22AD32AB"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72" w:history="1">
        <w:r w:rsidRPr="003656BB">
          <w:rPr>
            <w:rStyle w:val="Hyperlink"/>
            <w:noProof/>
          </w:rPr>
          <w:t>5.</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Internal relocation</w:t>
        </w:r>
        <w:r>
          <w:rPr>
            <w:noProof/>
            <w:webHidden/>
          </w:rPr>
          <w:tab/>
        </w:r>
        <w:r>
          <w:rPr>
            <w:noProof/>
            <w:webHidden/>
          </w:rPr>
          <w:fldChar w:fldCharType="begin"/>
        </w:r>
        <w:r>
          <w:rPr>
            <w:noProof/>
            <w:webHidden/>
          </w:rPr>
          <w:instrText xml:space="preserve"> PAGEREF _Toc178601172 \h </w:instrText>
        </w:r>
        <w:r>
          <w:rPr>
            <w:noProof/>
            <w:webHidden/>
          </w:rPr>
        </w:r>
        <w:r>
          <w:rPr>
            <w:noProof/>
            <w:webHidden/>
          </w:rPr>
          <w:fldChar w:fldCharType="separate"/>
        </w:r>
        <w:r>
          <w:rPr>
            <w:noProof/>
            <w:webHidden/>
          </w:rPr>
          <w:t>9</w:t>
        </w:r>
        <w:r>
          <w:rPr>
            <w:noProof/>
            <w:webHidden/>
          </w:rPr>
          <w:fldChar w:fldCharType="end"/>
        </w:r>
      </w:hyperlink>
    </w:p>
    <w:p w14:paraId="7701B2FC" w14:textId="2A07A018"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73" w:history="1">
        <w:r w:rsidRPr="003656BB">
          <w:rPr>
            <w:rStyle w:val="Hyperlink"/>
            <w:noProof/>
          </w:rPr>
          <w:t>6.</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Certification</w:t>
        </w:r>
        <w:r>
          <w:rPr>
            <w:noProof/>
            <w:webHidden/>
          </w:rPr>
          <w:tab/>
        </w:r>
        <w:r>
          <w:rPr>
            <w:noProof/>
            <w:webHidden/>
          </w:rPr>
          <w:fldChar w:fldCharType="begin"/>
        </w:r>
        <w:r>
          <w:rPr>
            <w:noProof/>
            <w:webHidden/>
          </w:rPr>
          <w:instrText xml:space="preserve"> PAGEREF _Toc178601173 \h </w:instrText>
        </w:r>
        <w:r>
          <w:rPr>
            <w:noProof/>
            <w:webHidden/>
          </w:rPr>
        </w:r>
        <w:r>
          <w:rPr>
            <w:noProof/>
            <w:webHidden/>
          </w:rPr>
          <w:fldChar w:fldCharType="separate"/>
        </w:r>
        <w:r>
          <w:rPr>
            <w:noProof/>
            <w:webHidden/>
          </w:rPr>
          <w:t>10</w:t>
        </w:r>
        <w:r>
          <w:rPr>
            <w:noProof/>
            <w:webHidden/>
          </w:rPr>
          <w:fldChar w:fldCharType="end"/>
        </w:r>
      </w:hyperlink>
    </w:p>
    <w:p w14:paraId="173C6489" w14:textId="0600427E"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174" w:history="1">
        <w:r w:rsidRPr="003656BB">
          <w:rPr>
            <w:rStyle w:val="Hyperlink"/>
            <w:noProof/>
          </w:rPr>
          <w:t>Country information</w:t>
        </w:r>
        <w:r>
          <w:rPr>
            <w:noProof/>
            <w:webHidden/>
          </w:rPr>
          <w:tab/>
        </w:r>
        <w:r>
          <w:rPr>
            <w:noProof/>
            <w:webHidden/>
          </w:rPr>
          <w:fldChar w:fldCharType="begin"/>
        </w:r>
        <w:r>
          <w:rPr>
            <w:noProof/>
            <w:webHidden/>
          </w:rPr>
          <w:instrText xml:space="preserve"> PAGEREF _Toc178601174 \h </w:instrText>
        </w:r>
        <w:r>
          <w:rPr>
            <w:noProof/>
            <w:webHidden/>
          </w:rPr>
        </w:r>
        <w:r>
          <w:rPr>
            <w:noProof/>
            <w:webHidden/>
          </w:rPr>
          <w:fldChar w:fldCharType="separate"/>
        </w:r>
        <w:r>
          <w:rPr>
            <w:noProof/>
            <w:webHidden/>
          </w:rPr>
          <w:t>11</w:t>
        </w:r>
        <w:r>
          <w:rPr>
            <w:noProof/>
            <w:webHidden/>
          </w:rPr>
          <w:fldChar w:fldCharType="end"/>
        </w:r>
      </w:hyperlink>
    </w:p>
    <w:p w14:paraId="02E9A055" w14:textId="66705410"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75" w:history="1">
        <w:r w:rsidRPr="003656BB">
          <w:rPr>
            <w:rStyle w:val="Hyperlink"/>
            <w:noProof/>
          </w:rPr>
          <w:t>About the country information</w:t>
        </w:r>
        <w:r>
          <w:rPr>
            <w:noProof/>
            <w:webHidden/>
          </w:rPr>
          <w:tab/>
        </w:r>
        <w:r>
          <w:rPr>
            <w:noProof/>
            <w:webHidden/>
          </w:rPr>
          <w:fldChar w:fldCharType="begin"/>
        </w:r>
        <w:r>
          <w:rPr>
            <w:noProof/>
            <w:webHidden/>
          </w:rPr>
          <w:instrText xml:space="preserve"> PAGEREF _Toc178601175 \h </w:instrText>
        </w:r>
        <w:r>
          <w:rPr>
            <w:noProof/>
            <w:webHidden/>
          </w:rPr>
        </w:r>
        <w:r>
          <w:rPr>
            <w:noProof/>
            <w:webHidden/>
          </w:rPr>
          <w:fldChar w:fldCharType="separate"/>
        </w:r>
        <w:r>
          <w:rPr>
            <w:noProof/>
            <w:webHidden/>
          </w:rPr>
          <w:t>11</w:t>
        </w:r>
        <w:r>
          <w:rPr>
            <w:noProof/>
            <w:webHidden/>
          </w:rPr>
          <w:fldChar w:fldCharType="end"/>
        </w:r>
      </w:hyperlink>
    </w:p>
    <w:p w14:paraId="57B89812" w14:textId="771A9EB8"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76" w:history="1">
        <w:r w:rsidRPr="003656BB">
          <w:rPr>
            <w:rStyle w:val="Hyperlink"/>
            <w:noProof/>
          </w:rPr>
          <w:t>7.</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Legal framework</w:t>
        </w:r>
        <w:r>
          <w:rPr>
            <w:noProof/>
            <w:webHidden/>
          </w:rPr>
          <w:tab/>
        </w:r>
        <w:r>
          <w:rPr>
            <w:noProof/>
            <w:webHidden/>
          </w:rPr>
          <w:fldChar w:fldCharType="begin"/>
        </w:r>
        <w:r>
          <w:rPr>
            <w:noProof/>
            <w:webHidden/>
          </w:rPr>
          <w:instrText xml:space="preserve"> PAGEREF _Toc178601176 \h </w:instrText>
        </w:r>
        <w:r>
          <w:rPr>
            <w:noProof/>
            <w:webHidden/>
          </w:rPr>
        </w:r>
        <w:r>
          <w:rPr>
            <w:noProof/>
            <w:webHidden/>
          </w:rPr>
          <w:fldChar w:fldCharType="separate"/>
        </w:r>
        <w:r>
          <w:rPr>
            <w:noProof/>
            <w:webHidden/>
          </w:rPr>
          <w:t>11</w:t>
        </w:r>
        <w:r>
          <w:rPr>
            <w:noProof/>
            <w:webHidden/>
          </w:rPr>
          <w:fldChar w:fldCharType="end"/>
        </w:r>
      </w:hyperlink>
    </w:p>
    <w:p w14:paraId="5FAED769" w14:textId="761A8104"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77" w:history="1">
        <w:r w:rsidRPr="003656BB">
          <w:rPr>
            <w:rStyle w:val="Hyperlink"/>
            <w:noProof/>
          </w:rPr>
          <w:t>7.1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Criminal Code</w:t>
        </w:r>
        <w:r>
          <w:rPr>
            <w:noProof/>
            <w:webHidden/>
          </w:rPr>
          <w:tab/>
        </w:r>
        <w:r>
          <w:rPr>
            <w:noProof/>
            <w:webHidden/>
          </w:rPr>
          <w:fldChar w:fldCharType="begin"/>
        </w:r>
        <w:r>
          <w:rPr>
            <w:noProof/>
            <w:webHidden/>
          </w:rPr>
          <w:instrText xml:space="preserve"> PAGEREF _Toc178601177 \h </w:instrText>
        </w:r>
        <w:r>
          <w:rPr>
            <w:noProof/>
            <w:webHidden/>
          </w:rPr>
        </w:r>
        <w:r>
          <w:rPr>
            <w:noProof/>
            <w:webHidden/>
          </w:rPr>
          <w:fldChar w:fldCharType="separate"/>
        </w:r>
        <w:r>
          <w:rPr>
            <w:noProof/>
            <w:webHidden/>
          </w:rPr>
          <w:t>11</w:t>
        </w:r>
        <w:r>
          <w:rPr>
            <w:noProof/>
            <w:webHidden/>
          </w:rPr>
          <w:fldChar w:fldCharType="end"/>
        </w:r>
      </w:hyperlink>
    </w:p>
    <w:p w14:paraId="518AC510" w14:textId="0C25CFA2"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78" w:history="1">
        <w:r w:rsidRPr="003656BB">
          <w:rPr>
            <w:rStyle w:val="Hyperlink"/>
            <w:noProof/>
          </w:rPr>
          <w:t>7.2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Anti-discrimination</w:t>
        </w:r>
        <w:r>
          <w:rPr>
            <w:noProof/>
            <w:webHidden/>
          </w:rPr>
          <w:tab/>
        </w:r>
        <w:r>
          <w:rPr>
            <w:noProof/>
            <w:webHidden/>
          </w:rPr>
          <w:fldChar w:fldCharType="begin"/>
        </w:r>
        <w:r>
          <w:rPr>
            <w:noProof/>
            <w:webHidden/>
          </w:rPr>
          <w:instrText xml:space="preserve"> PAGEREF _Toc178601178 \h </w:instrText>
        </w:r>
        <w:r>
          <w:rPr>
            <w:noProof/>
            <w:webHidden/>
          </w:rPr>
        </w:r>
        <w:r>
          <w:rPr>
            <w:noProof/>
            <w:webHidden/>
          </w:rPr>
          <w:fldChar w:fldCharType="separate"/>
        </w:r>
        <w:r>
          <w:rPr>
            <w:noProof/>
            <w:webHidden/>
          </w:rPr>
          <w:t>11</w:t>
        </w:r>
        <w:r>
          <w:rPr>
            <w:noProof/>
            <w:webHidden/>
          </w:rPr>
          <w:fldChar w:fldCharType="end"/>
        </w:r>
      </w:hyperlink>
    </w:p>
    <w:p w14:paraId="53B6E28F" w14:textId="2D71E90A"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79" w:history="1">
        <w:r w:rsidRPr="003656BB">
          <w:rPr>
            <w:rStyle w:val="Hyperlink"/>
            <w:noProof/>
          </w:rPr>
          <w:t>7.3</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Marriage and civil union</w:t>
        </w:r>
        <w:r>
          <w:rPr>
            <w:noProof/>
            <w:webHidden/>
          </w:rPr>
          <w:tab/>
        </w:r>
        <w:r>
          <w:rPr>
            <w:noProof/>
            <w:webHidden/>
          </w:rPr>
          <w:fldChar w:fldCharType="begin"/>
        </w:r>
        <w:r>
          <w:rPr>
            <w:noProof/>
            <w:webHidden/>
          </w:rPr>
          <w:instrText xml:space="preserve"> PAGEREF _Toc178601179 \h </w:instrText>
        </w:r>
        <w:r>
          <w:rPr>
            <w:noProof/>
            <w:webHidden/>
          </w:rPr>
        </w:r>
        <w:r>
          <w:rPr>
            <w:noProof/>
            <w:webHidden/>
          </w:rPr>
          <w:fldChar w:fldCharType="separate"/>
        </w:r>
        <w:r>
          <w:rPr>
            <w:noProof/>
            <w:webHidden/>
          </w:rPr>
          <w:t>12</w:t>
        </w:r>
        <w:r>
          <w:rPr>
            <w:noProof/>
            <w:webHidden/>
          </w:rPr>
          <w:fldChar w:fldCharType="end"/>
        </w:r>
      </w:hyperlink>
    </w:p>
    <w:p w14:paraId="2A1E696F" w14:textId="34E7E7EC"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0" w:history="1">
        <w:r w:rsidRPr="003656BB">
          <w:rPr>
            <w:rStyle w:val="Hyperlink"/>
            <w:noProof/>
          </w:rPr>
          <w:t>7.4</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Transgender rights</w:t>
        </w:r>
        <w:r>
          <w:rPr>
            <w:noProof/>
            <w:webHidden/>
          </w:rPr>
          <w:tab/>
        </w:r>
        <w:r>
          <w:rPr>
            <w:noProof/>
            <w:webHidden/>
          </w:rPr>
          <w:fldChar w:fldCharType="begin"/>
        </w:r>
        <w:r>
          <w:rPr>
            <w:noProof/>
            <w:webHidden/>
          </w:rPr>
          <w:instrText xml:space="preserve"> PAGEREF _Toc178601180 \h </w:instrText>
        </w:r>
        <w:r>
          <w:rPr>
            <w:noProof/>
            <w:webHidden/>
          </w:rPr>
        </w:r>
        <w:r>
          <w:rPr>
            <w:noProof/>
            <w:webHidden/>
          </w:rPr>
          <w:fldChar w:fldCharType="separate"/>
        </w:r>
        <w:r>
          <w:rPr>
            <w:noProof/>
            <w:webHidden/>
          </w:rPr>
          <w:t>12</w:t>
        </w:r>
        <w:r>
          <w:rPr>
            <w:noProof/>
            <w:webHidden/>
          </w:rPr>
          <w:fldChar w:fldCharType="end"/>
        </w:r>
      </w:hyperlink>
    </w:p>
    <w:p w14:paraId="6BBF86DC" w14:textId="76AF0178"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1" w:history="1">
        <w:r w:rsidRPr="003656BB">
          <w:rPr>
            <w:rStyle w:val="Hyperlink"/>
            <w:noProof/>
          </w:rPr>
          <w:t>7.5</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Conversion therapy</w:t>
        </w:r>
        <w:r>
          <w:rPr>
            <w:noProof/>
            <w:webHidden/>
          </w:rPr>
          <w:tab/>
        </w:r>
        <w:r>
          <w:rPr>
            <w:noProof/>
            <w:webHidden/>
          </w:rPr>
          <w:fldChar w:fldCharType="begin"/>
        </w:r>
        <w:r>
          <w:rPr>
            <w:noProof/>
            <w:webHidden/>
          </w:rPr>
          <w:instrText xml:space="preserve"> PAGEREF _Toc178601181 \h </w:instrText>
        </w:r>
        <w:r>
          <w:rPr>
            <w:noProof/>
            <w:webHidden/>
          </w:rPr>
        </w:r>
        <w:r>
          <w:rPr>
            <w:noProof/>
            <w:webHidden/>
          </w:rPr>
          <w:fldChar w:fldCharType="separate"/>
        </w:r>
        <w:r>
          <w:rPr>
            <w:noProof/>
            <w:webHidden/>
          </w:rPr>
          <w:t>13</w:t>
        </w:r>
        <w:r>
          <w:rPr>
            <w:noProof/>
            <w:webHidden/>
          </w:rPr>
          <w:fldChar w:fldCharType="end"/>
        </w:r>
      </w:hyperlink>
    </w:p>
    <w:p w14:paraId="2DA5A753" w14:textId="48F03CF1"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82" w:history="1">
        <w:r w:rsidRPr="003656BB">
          <w:rPr>
            <w:rStyle w:val="Hyperlink"/>
            <w:noProof/>
          </w:rPr>
          <w:t>8.</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State attitudes</w:t>
        </w:r>
        <w:r>
          <w:rPr>
            <w:noProof/>
            <w:webHidden/>
          </w:rPr>
          <w:tab/>
        </w:r>
        <w:r>
          <w:rPr>
            <w:noProof/>
            <w:webHidden/>
          </w:rPr>
          <w:fldChar w:fldCharType="begin"/>
        </w:r>
        <w:r>
          <w:rPr>
            <w:noProof/>
            <w:webHidden/>
          </w:rPr>
          <w:instrText xml:space="preserve"> PAGEREF _Toc178601182 \h </w:instrText>
        </w:r>
        <w:r>
          <w:rPr>
            <w:noProof/>
            <w:webHidden/>
          </w:rPr>
        </w:r>
        <w:r>
          <w:rPr>
            <w:noProof/>
            <w:webHidden/>
          </w:rPr>
          <w:fldChar w:fldCharType="separate"/>
        </w:r>
        <w:r>
          <w:rPr>
            <w:noProof/>
            <w:webHidden/>
          </w:rPr>
          <w:t>13</w:t>
        </w:r>
        <w:r>
          <w:rPr>
            <w:noProof/>
            <w:webHidden/>
          </w:rPr>
          <w:fldChar w:fldCharType="end"/>
        </w:r>
      </w:hyperlink>
    </w:p>
    <w:p w14:paraId="4710E94D" w14:textId="730BB0CB"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83" w:history="1">
        <w:r w:rsidRPr="003656BB">
          <w:rPr>
            <w:rStyle w:val="Hyperlink"/>
            <w:noProof/>
          </w:rPr>
          <w:t>9.</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State treatment</w:t>
        </w:r>
        <w:r>
          <w:rPr>
            <w:noProof/>
            <w:webHidden/>
          </w:rPr>
          <w:tab/>
        </w:r>
        <w:r>
          <w:rPr>
            <w:noProof/>
            <w:webHidden/>
          </w:rPr>
          <w:fldChar w:fldCharType="begin"/>
        </w:r>
        <w:r>
          <w:rPr>
            <w:noProof/>
            <w:webHidden/>
          </w:rPr>
          <w:instrText xml:space="preserve"> PAGEREF _Toc178601183 \h </w:instrText>
        </w:r>
        <w:r>
          <w:rPr>
            <w:noProof/>
            <w:webHidden/>
          </w:rPr>
        </w:r>
        <w:r>
          <w:rPr>
            <w:noProof/>
            <w:webHidden/>
          </w:rPr>
          <w:fldChar w:fldCharType="separate"/>
        </w:r>
        <w:r>
          <w:rPr>
            <w:noProof/>
            <w:webHidden/>
          </w:rPr>
          <w:t>16</w:t>
        </w:r>
        <w:r>
          <w:rPr>
            <w:noProof/>
            <w:webHidden/>
          </w:rPr>
          <w:fldChar w:fldCharType="end"/>
        </w:r>
      </w:hyperlink>
    </w:p>
    <w:p w14:paraId="6ED31A1E" w14:textId="4CC84862"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4" w:history="1">
        <w:r w:rsidRPr="003656BB">
          <w:rPr>
            <w:rStyle w:val="Hyperlink"/>
            <w:noProof/>
          </w:rPr>
          <w:t>9.1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Policy framework</w:t>
        </w:r>
        <w:r>
          <w:rPr>
            <w:noProof/>
            <w:webHidden/>
          </w:rPr>
          <w:tab/>
        </w:r>
        <w:r>
          <w:rPr>
            <w:noProof/>
            <w:webHidden/>
          </w:rPr>
          <w:fldChar w:fldCharType="begin"/>
        </w:r>
        <w:r>
          <w:rPr>
            <w:noProof/>
            <w:webHidden/>
          </w:rPr>
          <w:instrText xml:space="preserve"> PAGEREF _Toc178601184 \h </w:instrText>
        </w:r>
        <w:r>
          <w:rPr>
            <w:noProof/>
            <w:webHidden/>
          </w:rPr>
        </w:r>
        <w:r>
          <w:rPr>
            <w:noProof/>
            <w:webHidden/>
          </w:rPr>
          <w:fldChar w:fldCharType="separate"/>
        </w:r>
        <w:r>
          <w:rPr>
            <w:noProof/>
            <w:webHidden/>
          </w:rPr>
          <w:t>16</w:t>
        </w:r>
        <w:r>
          <w:rPr>
            <w:noProof/>
            <w:webHidden/>
          </w:rPr>
          <w:fldChar w:fldCharType="end"/>
        </w:r>
      </w:hyperlink>
    </w:p>
    <w:p w14:paraId="339DE75C" w14:textId="4089F580"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5" w:history="1">
        <w:r w:rsidRPr="003656BB">
          <w:rPr>
            <w:rStyle w:val="Hyperlink"/>
            <w:noProof/>
          </w:rPr>
          <w:t>9.2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Protection - general</w:t>
        </w:r>
        <w:r>
          <w:rPr>
            <w:noProof/>
            <w:webHidden/>
          </w:rPr>
          <w:tab/>
        </w:r>
        <w:r>
          <w:rPr>
            <w:noProof/>
            <w:webHidden/>
          </w:rPr>
          <w:fldChar w:fldCharType="begin"/>
        </w:r>
        <w:r>
          <w:rPr>
            <w:noProof/>
            <w:webHidden/>
          </w:rPr>
          <w:instrText xml:space="preserve"> PAGEREF _Toc178601185 \h </w:instrText>
        </w:r>
        <w:r>
          <w:rPr>
            <w:noProof/>
            <w:webHidden/>
          </w:rPr>
        </w:r>
        <w:r>
          <w:rPr>
            <w:noProof/>
            <w:webHidden/>
          </w:rPr>
          <w:fldChar w:fldCharType="separate"/>
        </w:r>
        <w:r>
          <w:rPr>
            <w:noProof/>
            <w:webHidden/>
          </w:rPr>
          <w:t>17</w:t>
        </w:r>
        <w:r>
          <w:rPr>
            <w:noProof/>
            <w:webHidden/>
          </w:rPr>
          <w:fldChar w:fldCharType="end"/>
        </w:r>
      </w:hyperlink>
    </w:p>
    <w:p w14:paraId="4BC19501" w14:textId="271419AC"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6" w:history="1">
        <w:r w:rsidRPr="003656BB">
          <w:rPr>
            <w:rStyle w:val="Hyperlink"/>
            <w:noProof/>
          </w:rPr>
          <w:t>9.3</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Protection – LGBTI</w:t>
        </w:r>
        <w:r>
          <w:rPr>
            <w:noProof/>
            <w:webHidden/>
          </w:rPr>
          <w:tab/>
        </w:r>
        <w:r>
          <w:rPr>
            <w:noProof/>
            <w:webHidden/>
          </w:rPr>
          <w:fldChar w:fldCharType="begin"/>
        </w:r>
        <w:r>
          <w:rPr>
            <w:noProof/>
            <w:webHidden/>
          </w:rPr>
          <w:instrText xml:space="preserve"> PAGEREF _Toc178601186 \h </w:instrText>
        </w:r>
        <w:r>
          <w:rPr>
            <w:noProof/>
            <w:webHidden/>
          </w:rPr>
        </w:r>
        <w:r>
          <w:rPr>
            <w:noProof/>
            <w:webHidden/>
          </w:rPr>
          <w:fldChar w:fldCharType="separate"/>
        </w:r>
        <w:r>
          <w:rPr>
            <w:noProof/>
            <w:webHidden/>
          </w:rPr>
          <w:t>17</w:t>
        </w:r>
        <w:r>
          <w:rPr>
            <w:noProof/>
            <w:webHidden/>
          </w:rPr>
          <w:fldChar w:fldCharType="end"/>
        </w:r>
      </w:hyperlink>
    </w:p>
    <w:p w14:paraId="5C7E265F" w14:textId="0A8F3B69"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7" w:history="1">
        <w:r w:rsidRPr="003656BB">
          <w:rPr>
            <w:rStyle w:val="Hyperlink"/>
            <w:noProof/>
          </w:rPr>
          <w:t>9.4</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State response to Pride events</w:t>
        </w:r>
        <w:r>
          <w:rPr>
            <w:noProof/>
            <w:webHidden/>
          </w:rPr>
          <w:tab/>
        </w:r>
        <w:r>
          <w:rPr>
            <w:noProof/>
            <w:webHidden/>
          </w:rPr>
          <w:fldChar w:fldCharType="begin"/>
        </w:r>
        <w:r>
          <w:rPr>
            <w:noProof/>
            <w:webHidden/>
          </w:rPr>
          <w:instrText xml:space="preserve"> PAGEREF _Toc178601187 \h </w:instrText>
        </w:r>
        <w:r>
          <w:rPr>
            <w:noProof/>
            <w:webHidden/>
          </w:rPr>
        </w:r>
        <w:r>
          <w:rPr>
            <w:noProof/>
            <w:webHidden/>
          </w:rPr>
          <w:fldChar w:fldCharType="separate"/>
        </w:r>
        <w:r>
          <w:rPr>
            <w:noProof/>
            <w:webHidden/>
          </w:rPr>
          <w:t>21</w:t>
        </w:r>
        <w:r>
          <w:rPr>
            <w:noProof/>
            <w:webHidden/>
          </w:rPr>
          <w:fldChar w:fldCharType="end"/>
        </w:r>
      </w:hyperlink>
    </w:p>
    <w:p w14:paraId="6E92F0A3" w14:textId="6EDF248C"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8" w:history="1">
        <w:r w:rsidRPr="003656BB">
          <w:rPr>
            <w:rStyle w:val="Hyperlink"/>
            <w:noProof/>
          </w:rPr>
          <w:t>9.5</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Prosecutions and convictions</w:t>
        </w:r>
        <w:r>
          <w:rPr>
            <w:noProof/>
            <w:webHidden/>
          </w:rPr>
          <w:tab/>
        </w:r>
        <w:r>
          <w:rPr>
            <w:noProof/>
            <w:webHidden/>
          </w:rPr>
          <w:fldChar w:fldCharType="begin"/>
        </w:r>
        <w:r>
          <w:rPr>
            <w:noProof/>
            <w:webHidden/>
          </w:rPr>
          <w:instrText xml:space="preserve"> PAGEREF _Toc178601188 \h </w:instrText>
        </w:r>
        <w:r>
          <w:rPr>
            <w:noProof/>
            <w:webHidden/>
          </w:rPr>
        </w:r>
        <w:r>
          <w:rPr>
            <w:noProof/>
            <w:webHidden/>
          </w:rPr>
          <w:fldChar w:fldCharType="separate"/>
        </w:r>
        <w:r>
          <w:rPr>
            <w:noProof/>
            <w:webHidden/>
          </w:rPr>
          <w:t>25</w:t>
        </w:r>
        <w:r>
          <w:rPr>
            <w:noProof/>
            <w:webHidden/>
          </w:rPr>
          <w:fldChar w:fldCharType="end"/>
        </w:r>
      </w:hyperlink>
    </w:p>
    <w:p w14:paraId="16268D29" w14:textId="24F17467"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89" w:history="1">
        <w:r w:rsidRPr="003656BB">
          <w:rPr>
            <w:rStyle w:val="Hyperlink"/>
            <w:noProof/>
          </w:rPr>
          <w:t>9.6</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The Public Defender (Ombudsman)</w:t>
        </w:r>
        <w:r>
          <w:rPr>
            <w:noProof/>
            <w:webHidden/>
          </w:rPr>
          <w:tab/>
        </w:r>
        <w:r>
          <w:rPr>
            <w:noProof/>
            <w:webHidden/>
          </w:rPr>
          <w:fldChar w:fldCharType="begin"/>
        </w:r>
        <w:r>
          <w:rPr>
            <w:noProof/>
            <w:webHidden/>
          </w:rPr>
          <w:instrText xml:space="preserve"> PAGEREF _Toc178601189 \h </w:instrText>
        </w:r>
        <w:r>
          <w:rPr>
            <w:noProof/>
            <w:webHidden/>
          </w:rPr>
        </w:r>
        <w:r>
          <w:rPr>
            <w:noProof/>
            <w:webHidden/>
          </w:rPr>
          <w:fldChar w:fldCharType="separate"/>
        </w:r>
        <w:r>
          <w:rPr>
            <w:noProof/>
            <w:webHidden/>
          </w:rPr>
          <w:t>26</w:t>
        </w:r>
        <w:r>
          <w:rPr>
            <w:noProof/>
            <w:webHidden/>
          </w:rPr>
          <w:fldChar w:fldCharType="end"/>
        </w:r>
      </w:hyperlink>
    </w:p>
    <w:p w14:paraId="60021FC1" w14:textId="3265A54A"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90" w:history="1">
        <w:r w:rsidRPr="003656BB">
          <w:rPr>
            <w:rStyle w:val="Hyperlink"/>
            <w:noProof/>
          </w:rPr>
          <w:t>9.7</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LGBTI persons in detention</w:t>
        </w:r>
        <w:r>
          <w:rPr>
            <w:noProof/>
            <w:webHidden/>
          </w:rPr>
          <w:tab/>
        </w:r>
        <w:r>
          <w:rPr>
            <w:noProof/>
            <w:webHidden/>
          </w:rPr>
          <w:fldChar w:fldCharType="begin"/>
        </w:r>
        <w:r>
          <w:rPr>
            <w:noProof/>
            <w:webHidden/>
          </w:rPr>
          <w:instrText xml:space="preserve"> PAGEREF _Toc178601190 \h </w:instrText>
        </w:r>
        <w:r>
          <w:rPr>
            <w:noProof/>
            <w:webHidden/>
          </w:rPr>
        </w:r>
        <w:r>
          <w:rPr>
            <w:noProof/>
            <w:webHidden/>
          </w:rPr>
          <w:fldChar w:fldCharType="separate"/>
        </w:r>
        <w:r>
          <w:rPr>
            <w:noProof/>
            <w:webHidden/>
          </w:rPr>
          <w:t>27</w:t>
        </w:r>
        <w:r>
          <w:rPr>
            <w:noProof/>
            <w:webHidden/>
          </w:rPr>
          <w:fldChar w:fldCharType="end"/>
        </w:r>
      </w:hyperlink>
    </w:p>
    <w:p w14:paraId="4C89225A" w14:textId="5390C731"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91" w:history="1">
        <w:r w:rsidRPr="003656BB">
          <w:rPr>
            <w:rStyle w:val="Hyperlink"/>
            <w:noProof/>
          </w:rPr>
          <w:t>10.</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Societal attitudes</w:t>
        </w:r>
        <w:r>
          <w:rPr>
            <w:noProof/>
            <w:webHidden/>
          </w:rPr>
          <w:tab/>
        </w:r>
        <w:r>
          <w:rPr>
            <w:noProof/>
            <w:webHidden/>
          </w:rPr>
          <w:fldChar w:fldCharType="begin"/>
        </w:r>
        <w:r>
          <w:rPr>
            <w:noProof/>
            <w:webHidden/>
          </w:rPr>
          <w:instrText xml:space="preserve"> PAGEREF _Toc178601191 \h </w:instrText>
        </w:r>
        <w:r>
          <w:rPr>
            <w:noProof/>
            <w:webHidden/>
          </w:rPr>
        </w:r>
        <w:r>
          <w:rPr>
            <w:noProof/>
            <w:webHidden/>
          </w:rPr>
          <w:fldChar w:fldCharType="separate"/>
        </w:r>
        <w:r>
          <w:rPr>
            <w:noProof/>
            <w:webHidden/>
          </w:rPr>
          <w:t>27</w:t>
        </w:r>
        <w:r>
          <w:rPr>
            <w:noProof/>
            <w:webHidden/>
          </w:rPr>
          <w:fldChar w:fldCharType="end"/>
        </w:r>
      </w:hyperlink>
    </w:p>
    <w:p w14:paraId="43F7BE79" w14:textId="55EEC12A"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92" w:history="1">
        <w:r w:rsidRPr="003656BB">
          <w:rPr>
            <w:rStyle w:val="Hyperlink"/>
            <w:noProof/>
          </w:rPr>
          <w:t>11.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Societal treatment</w:t>
        </w:r>
        <w:r>
          <w:rPr>
            <w:noProof/>
            <w:webHidden/>
          </w:rPr>
          <w:tab/>
        </w:r>
        <w:r>
          <w:rPr>
            <w:noProof/>
            <w:webHidden/>
          </w:rPr>
          <w:fldChar w:fldCharType="begin"/>
        </w:r>
        <w:r>
          <w:rPr>
            <w:noProof/>
            <w:webHidden/>
          </w:rPr>
          <w:instrText xml:space="preserve"> PAGEREF _Toc178601192 \h </w:instrText>
        </w:r>
        <w:r>
          <w:rPr>
            <w:noProof/>
            <w:webHidden/>
          </w:rPr>
        </w:r>
        <w:r>
          <w:rPr>
            <w:noProof/>
            <w:webHidden/>
          </w:rPr>
          <w:fldChar w:fldCharType="separate"/>
        </w:r>
        <w:r>
          <w:rPr>
            <w:noProof/>
            <w:webHidden/>
          </w:rPr>
          <w:t>31</w:t>
        </w:r>
        <w:r>
          <w:rPr>
            <w:noProof/>
            <w:webHidden/>
          </w:rPr>
          <w:fldChar w:fldCharType="end"/>
        </w:r>
      </w:hyperlink>
    </w:p>
    <w:p w14:paraId="1252F164" w14:textId="2A14AC1F"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93" w:history="1">
        <w:r w:rsidRPr="003656BB">
          <w:rPr>
            <w:rStyle w:val="Hyperlink"/>
            <w:noProof/>
          </w:rPr>
          <w:t>12.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Access to services</w:t>
        </w:r>
        <w:r>
          <w:rPr>
            <w:noProof/>
            <w:webHidden/>
          </w:rPr>
          <w:tab/>
        </w:r>
        <w:r>
          <w:rPr>
            <w:noProof/>
            <w:webHidden/>
          </w:rPr>
          <w:fldChar w:fldCharType="begin"/>
        </w:r>
        <w:r>
          <w:rPr>
            <w:noProof/>
            <w:webHidden/>
          </w:rPr>
          <w:instrText xml:space="preserve"> PAGEREF _Toc178601193 \h </w:instrText>
        </w:r>
        <w:r>
          <w:rPr>
            <w:noProof/>
            <w:webHidden/>
          </w:rPr>
        </w:r>
        <w:r>
          <w:rPr>
            <w:noProof/>
            <w:webHidden/>
          </w:rPr>
          <w:fldChar w:fldCharType="separate"/>
        </w:r>
        <w:r>
          <w:rPr>
            <w:noProof/>
            <w:webHidden/>
          </w:rPr>
          <w:t>33</w:t>
        </w:r>
        <w:r>
          <w:rPr>
            <w:noProof/>
            <w:webHidden/>
          </w:rPr>
          <w:fldChar w:fldCharType="end"/>
        </w:r>
      </w:hyperlink>
    </w:p>
    <w:p w14:paraId="13033D1B" w14:textId="2AF6106D"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94" w:history="1">
        <w:r w:rsidRPr="003656BB">
          <w:rPr>
            <w:rStyle w:val="Hyperlink"/>
            <w:noProof/>
          </w:rPr>
          <w:t>12.1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Overview</w:t>
        </w:r>
        <w:r>
          <w:rPr>
            <w:noProof/>
            <w:webHidden/>
          </w:rPr>
          <w:tab/>
        </w:r>
        <w:r>
          <w:rPr>
            <w:noProof/>
            <w:webHidden/>
          </w:rPr>
          <w:fldChar w:fldCharType="begin"/>
        </w:r>
        <w:r>
          <w:rPr>
            <w:noProof/>
            <w:webHidden/>
          </w:rPr>
          <w:instrText xml:space="preserve"> PAGEREF _Toc178601194 \h </w:instrText>
        </w:r>
        <w:r>
          <w:rPr>
            <w:noProof/>
            <w:webHidden/>
          </w:rPr>
        </w:r>
        <w:r>
          <w:rPr>
            <w:noProof/>
            <w:webHidden/>
          </w:rPr>
          <w:fldChar w:fldCharType="separate"/>
        </w:r>
        <w:r>
          <w:rPr>
            <w:noProof/>
            <w:webHidden/>
          </w:rPr>
          <w:t>33</w:t>
        </w:r>
        <w:r>
          <w:rPr>
            <w:noProof/>
            <w:webHidden/>
          </w:rPr>
          <w:fldChar w:fldCharType="end"/>
        </w:r>
      </w:hyperlink>
    </w:p>
    <w:p w14:paraId="7E4BFBFD" w14:textId="748AC868"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95" w:history="1">
        <w:r w:rsidRPr="003656BB">
          <w:rPr>
            <w:rStyle w:val="Hyperlink"/>
            <w:rFonts w:eastAsiaTheme="majorEastAsia" w:cstheme="majorBidi"/>
            <w:bCs/>
            <w:noProof/>
          </w:rPr>
          <w:t>12.2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rFonts w:eastAsiaTheme="majorEastAsia" w:cstheme="majorBidi"/>
            <w:bCs/>
            <w:noProof/>
          </w:rPr>
          <w:t>Accommodation</w:t>
        </w:r>
        <w:r>
          <w:rPr>
            <w:noProof/>
            <w:webHidden/>
          </w:rPr>
          <w:tab/>
        </w:r>
        <w:r>
          <w:rPr>
            <w:noProof/>
            <w:webHidden/>
          </w:rPr>
          <w:fldChar w:fldCharType="begin"/>
        </w:r>
        <w:r>
          <w:rPr>
            <w:noProof/>
            <w:webHidden/>
          </w:rPr>
          <w:instrText xml:space="preserve"> PAGEREF _Toc178601195 \h </w:instrText>
        </w:r>
        <w:r>
          <w:rPr>
            <w:noProof/>
            <w:webHidden/>
          </w:rPr>
        </w:r>
        <w:r>
          <w:rPr>
            <w:noProof/>
            <w:webHidden/>
          </w:rPr>
          <w:fldChar w:fldCharType="separate"/>
        </w:r>
        <w:r>
          <w:rPr>
            <w:noProof/>
            <w:webHidden/>
          </w:rPr>
          <w:t>34</w:t>
        </w:r>
        <w:r>
          <w:rPr>
            <w:noProof/>
            <w:webHidden/>
          </w:rPr>
          <w:fldChar w:fldCharType="end"/>
        </w:r>
      </w:hyperlink>
    </w:p>
    <w:p w14:paraId="440F082E" w14:textId="2E5F4D97"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96" w:history="1">
        <w:r w:rsidRPr="003656BB">
          <w:rPr>
            <w:rStyle w:val="Hyperlink"/>
            <w:noProof/>
          </w:rPr>
          <w:t>12.3</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Healthcare</w:t>
        </w:r>
        <w:r>
          <w:rPr>
            <w:noProof/>
            <w:webHidden/>
          </w:rPr>
          <w:tab/>
        </w:r>
        <w:r>
          <w:rPr>
            <w:noProof/>
            <w:webHidden/>
          </w:rPr>
          <w:fldChar w:fldCharType="begin"/>
        </w:r>
        <w:r>
          <w:rPr>
            <w:noProof/>
            <w:webHidden/>
          </w:rPr>
          <w:instrText xml:space="preserve"> PAGEREF _Toc178601196 \h </w:instrText>
        </w:r>
        <w:r>
          <w:rPr>
            <w:noProof/>
            <w:webHidden/>
          </w:rPr>
        </w:r>
        <w:r>
          <w:rPr>
            <w:noProof/>
            <w:webHidden/>
          </w:rPr>
          <w:fldChar w:fldCharType="separate"/>
        </w:r>
        <w:r>
          <w:rPr>
            <w:noProof/>
            <w:webHidden/>
          </w:rPr>
          <w:t>35</w:t>
        </w:r>
        <w:r>
          <w:rPr>
            <w:noProof/>
            <w:webHidden/>
          </w:rPr>
          <w:fldChar w:fldCharType="end"/>
        </w:r>
      </w:hyperlink>
    </w:p>
    <w:p w14:paraId="0FB99C83" w14:textId="5B89E299"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97" w:history="1">
        <w:r w:rsidRPr="003656BB">
          <w:rPr>
            <w:rStyle w:val="Hyperlink"/>
            <w:noProof/>
          </w:rPr>
          <w:t>12.4</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Education</w:t>
        </w:r>
        <w:r>
          <w:rPr>
            <w:noProof/>
            <w:webHidden/>
          </w:rPr>
          <w:tab/>
        </w:r>
        <w:r>
          <w:rPr>
            <w:noProof/>
            <w:webHidden/>
          </w:rPr>
          <w:fldChar w:fldCharType="begin"/>
        </w:r>
        <w:r>
          <w:rPr>
            <w:noProof/>
            <w:webHidden/>
          </w:rPr>
          <w:instrText xml:space="preserve"> PAGEREF _Toc178601197 \h </w:instrText>
        </w:r>
        <w:r>
          <w:rPr>
            <w:noProof/>
            <w:webHidden/>
          </w:rPr>
        </w:r>
        <w:r>
          <w:rPr>
            <w:noProof/>
            <w:webHidden/>
          </w:rPr>
          <w:fldChar w:fldCharType="separate"/>
        </w:r>
        <w:r>
          <w:rPr>
            <w:noProof/>
            <w:webHidden/>
          </w:rPr>
          <w:t>37</w:t>
        </w:r>
        <w:r>
          <w:rPr>
            <w:noProof/>
            <w:webHidden/>
          </w:rPr>
          <w:fldChar w:fldCharType="end"/>
        </w:r>
      </w:hyperlink>
    </w:p>
    <w:p w14:paraId="5EB61239" w14:textId="56AEC45B"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198" w:history="1">
        <w:r w:rsidRPr="003656BB">
          <w:rPr>
            <w:rStyle w:val="Hyperlink"/>
            <w:noProof/>
          </w:rPr>
          <w:t>12.5</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Employment</w:t>
        </w:r>
        <w:r>
          <w:rPr>
            <w:noProof/>
            <w:webHidden/>
          </w:rPr>
          <w:tab/>
        </w:r>
        <w:r>
          <w:rPr>
            <w:noProof/>
            <w:webHidden/>
          </w:rPr>
          <w:fldChar w:fldCharType="begin"/>
        </w:r>
        <w:r>
          <w:rPr>
            <w:noProof/>
            <w:webHidden/>
          </w:rPr>
          <w:instrText xml:space="preserve"> PAGEREF _Toc178601198 \h </w:instrText>
        </w:r>
        <w:r>
          <w:rPr>
            <w:noProof/>
            <w:webHidden/>
          </w:rPr>
        </w:r>
        <w:r>
          <w:rPr>
            <w:noProof/>
            <w:webHidden/>
          </w:rPr>
          <w:fldChar w:fldCharType="separate"/>
        </w:r>
        <w:r>
          <w:rPr>
            <w:noProof/>
            <w:webHidden/>
          </w:rPr>
          <w:t>37</w:t>
        </w:r>
        <w:r>
          <w:rPr>
            <w:noProof/>
            <w:webHidden/>
          </w:rPr>
          <w:fldChar w:fldCharType="end"/>
        </w:r>
      </w:hyperlink>
    </w:p>
    <w:p w14:paraId="09E5FD3C" w14:textId="68A85EDA"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199" w:history="1">
        <w:r w:rsidRPr="003656BB">
          <w:rPr>
            <w:rStyle w:val="Hyperlink"/>
            <w:noProof/>
          </w:rPr>
          <w:t>13.</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LGBTI community</w:t>
        </w:r>
        <w:r>
          <w:rPr>
            <w:noProof/>
            <w:webHidden/>
          </w:rPr>
          <w:tab/>
        </w:r>
        <w:r>
          <w:rPr>
            <w:noProof/>
            <w:webHidden/>
          </w:rPr>
          <w:fldChar w:fldCharType="begin"/>
        </w:r>
        <w:r>
          <w:rPr>
            <w:noProof/>
            <w:webHidden/>
          </w:rPr>
          <w:instrText xml:space="preserve"> PAGEREF _Toc178601199 \h </w:instrText>
        </w:r>
        <w:r>
          <w:rPr>
            <w:noProof/>
            <w:webHidden/>
          </w:rPr>
        </w:r>
        <w:r>
          <w:rPr>
            <w:noProof/>
            <w:webHidden/>
          </w:rPr>
          <w:fldChar w:fldCharType="separate"/>
        </w:r>
        <w:r>
          <w:rPr>
            <w:noProof/>
            <w:webHidden/>
          </w:rPr>
          <w:t>39</w:t>
        </w:r>
        <w:r>
          <w:rPr>
            <w:noProof/>
            <w:webHidden/>
          </w:rPr>
          <w:fldChar w:fldCharType="end"/>
        </w:r>
      </w:hyperlink>
    </w:p>
    <w:p w14:paraId="5730A92F" w14:textId="6BFEFBDB"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200" w:history="1">
        <w:r w:rsidRPr="003656BB">
          <w:rPr>
            <w:rStyle w:val="Hyperlink"/>
            <w:noProof/>
          </w:rPr>
          <w:t>13.1</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Lived experience, visibility and ‘coming out’</w:t>
        </w:r>
        <w:r>
          <w:rPr>
            <w:noProof/>
            <w:webHidden/>
          </w:rPr>
          <w:tab/>
        </w:r>
        <w:r>
          <w:rPr>
            <w:noProof/>
            <w:webHidden/>
          </w:rPr>
          <w:fldChar w:fldCharType="begin"/>
        </w:r>
        <w:r>
          <w:rPr>
            <w:noProof/>
            <w:webHidden/>
          </w:rPr>
          <w:instrText xml:space="preserve"> PAGEREF _Toc178601200 \h </w:instrText>
        </w:r>
        <w:r>
          <w:rPr>
            <w:noProof/>
            <w:webHidden/>
          </w:rPr>
        </w:r>
        <w:r>
          <w:rPr>
            <w:noProof/>
            <w:webHidden/>
          </w:rPr>
          <w:fldChar w:fldCharType="separate"/>
        </w:r>
        <w:r>
          <w:rPr>
            <w:noProof/>
            <w:webHidden/>
          </w:rPr>
          <w:t>39</w:t>
        </w:r>
        <w:r>
          <w:rPr>
            <w:noProof/>
            <w:webHidden/>
          </w:rPr>
          <w:fldChar w:fldCharType="end"/>
        </w:r>
      </w:hyperlink>
    </w:p>
    <w:p w14:paraId="00D7475F" w14:textId="57F9E734" w:rsidR="008F799D" w:rsidRDefault="008F799D">
      <w:pPr>
        <w:pStyle w:val="TOC3"/>
        <w:rPr>
          <w:rFonts w:asciiTheme="minorHAnsi" w:eastAsiaTheme="minorEastAsia" w:hAnsiTheme="minorHAnsi" w:cstheme="minorBidi"/>
          <w:noProof/>
          <w:color w:val="auto"/>
          <w:kern w:val="2"/>
          <w:sz w:val="22"/>
          <w:lang w:eastAsia="en-GB"/>
          <w14:ligatures w14:val="standardContextual"/>
        </w:rPr>
      </w:pPr>
      <w:hyperlink w:anchor="_Toc178601201" w:history="1">
        <w:r w:rsidRPr="003656BB">
          <w:rPr>
            <w:rStyle w:val="Hyperlink"/>
            <w:rFonts w:eastAsiaTheme="majorEastAsia" w:cstheme="majorBidi"/>
            <w:bCs/>
            <w:noProof/>
          </w:rPr>
          <w:t>13.2</w:t>
        </w:r>
        <w:r>
          <w:rPr>
            <w:rFonts w:asciiTheme="minorHAnsi" w:eastAsiaTheme="minorEastAsia" w:hAnsiTheme="minorHAnsi" w:cstheme="minorBidi"/>
            <w:noProof/>
            <w:color w:val="auto"/>
            <w:kern w:val="2"/>
            <w:sz w:val="22"/>
            <w:lang w:eastAsia="en-GB"/>
            <w14:ligatures w14:val="standardContextual"/>
          </w:rPr>
          <w:tab/>
        </w:r>
        <w:r w:rsidRPr="003656BB">
          <w:rPr>
            <w:rStyle w:val="Hyperlink"/>
            <w:rFonts w:eastAsiaTheme="majorEastAsia" w:cstheme="majorBidi"/>
            <w:bCs/>
            <w:noProof/>
          </w:rPr>
          <w:t>Support organisations</w:t>
        </w:r>
        <w:r>
          <w:rPr>
            <w:noProof/>
            <w:webHidden/>
          </w:rPr>
          <w:tab/>
        </w:r>
        <w:r>
          <w:rPr>
            <w:noProof/>
            <w:webHidden/>
          </w:rPr>
          <w:fldChar w:fldCharType="begin"/>
        </w:r>
        <w:r>
          <w:rPr>
            <w:noProof/>
            <w:webHidden/>
          </w:rPr>
          <w:instrText xml:space="preserve"> PAGEREF _Toc178601201 \h </w:instrText>
        </w:r>
        <w:r>
          <w:rPr>
            <w:noProof/>
            <w:webHidden/>
          </w:rPr>
        </w:r>
        <w:r>
          <w:rPr>
            <w:noProof/>
            <w:webHidden/>
          </w:rPr>
          <w:fldChar w:fldCharType="separate"/>
        </w:r>
        <w:r>
          <w:rPr>
            <w:noProof/>
            <w:webHidden/>
          </w:rPr>
          <w:t>42</w:t>
        </w:r>
        <w:r>
          <w:rPr>
            <w:noProof/>
            <w:webHidden/>
          </w:rPr>
          <w:fldChar w:fldCharType="end"/>
        </w:r>
      </w:hyperlink>
    </w:p>
    <w:p w14:paraId="5DD9AC13" w14:textId="5613D51B"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202" w:history="1">
        <w:r w:rsidRPr="003656BB">
          <w:rPr>
            <w:rStyle w:val="Hyperlink"/>
            <w:noProof/>
          </w:rPr>
          <w:t>14.</w:t>
        </w:r>
        <w:r>
          <w:rPr>
            <w:rFonts w:asciiTheme="minorHAnsi" w:eastAsiaTheme="minorEastAsia" w:hAnsiTheme="minorHAnsi" w:cstheme="minorBidi"/>
            <w:noProof/>
            <w:color w:val="auto"/>
            <w:kern w:val="2"/>
            <w:sz w:val="22"/>
            <w:lang w:eastAsia="en-GB"/>
            <w14:ligatures w14:val="standardContextual"/>
          </w:rPr>
          <w:tab/>
        </w:r>
        <w:r w:rsidRPr="003656BB">
          <w:rPr>
            <w:rStyle w:val="Hyperlink"/>
            <w:noProof/>
          </w:rPr>
          <w:t>Freedom of movement</w:t>
        </w:r>
        <w:r>
          <w:rPr>
            <w:noProof/>
            <w:webHidden/>
          </w:rPr>
          <w:tab/>
        </w:r>
        <w:r>
          <w:rPr>
            <w:noProof/>
            <w:webHidden/>
          </w:rPr>
          <w:fldChar w:fldCharType="begin"/>
        </w:r>
        <w:r>
          <w:rPr>
            <w:noProof/>
            <w:webHidden/>
          </w:rPr>
          <w:instrText xml:space="preserve"> PAGEREF _Toc178601202 \h </w:instrText>
        </w:r>
        <w:r>
          <w:rPr>
            <w:noProof/>
            <w:webHidden/>
          </w:rPr>
        </w:r>
        <w:r>
          <w:rPr>
            <w:noProof/>
            <w:webHidden/>
          </w:rPr>
          <w:fldChar w:fldCharType="separate"/>
        </w:r>
        <w:r>
          <w:rPr>
            <w:noProof/>
            <w:webHidden/>
          </w:rPr>
          <w:t>42</w:t>
        </w:r>
        <w:r>
          <w:rPr>
            <w:noProof/>
            <w:webHidden/>
          </w:rPr>
          <w:fldChar w:fldCharType="end"/>
        </w:r>
      </w:hyperlink>
    </w:p>
    <w:p w14:paraId="02AB4753" w14:textId="7FB0BD15"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203" w:history="1">
        <w:r w:rsidRPr="003656BB">
          <w:rPr>
            <w:rStyle w:val="Hyperlink"/>
            <w:noProof/>
          </w:rPr>
          <w:t>Research methodology</w:t>
        </w:r>
        <w:r>
          <w:rPr>
            <w:noProof/>
            <w:webHidden/>
          </w:rPr>
          <w:tab/>
        </w:r>
        <w:r>
          <w:rPr>
            <w:noProof/>
            <w:webHidden/>
          </w:rPr>
          <w:fldChar w:fldCharType="begin"/>
        </w:r>
        <w:r>
          <w:rPr>
            <w:noProof/>
            <w:webHidden/>
          </w:rPr>
          <w:instrText xml:space="preserve"> PAGEREF _Toc178601203 \h </w:instrText>
        </w:r>
        <w:r>
          <w:rPr>
            <w:noProof/>
            <w:webHidden/>
          </w:rPr>
        </w:r>
        <w:r>
          <w:rPr>
            <w:noProof/>
            <w:webHidden/>
          </w:rPr>
          <w:fldChar w:fldCharType="separate"/>
        </w:r>
        <w:r>
          <w:rPr>
            <w:noProof/>
            <w:webHidden/>
          </w:rPr>
          <w:t>43</w:t>
        </w:r>
        <w:r>
          <w:rPr>
            <w:noProof/>
            <w:webHidden/>
          </w:rPr>
          <w:fldChar w:fldCharType="end"/>
        </w:r>
      </w:hyperlink>
    </w:p>
    <w:p w14:paraId="7FDBE1BD" w14:textId="15D8E773"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204" w:history="1">
        <w:r w:rsidRPr="003656BB">
          <w:rPr>
            <w:rStyle w:val="Hyperlink"/>
            <w:noProof/>
          </w:rPr>
          <w:t>Terms of Reference</w:t>
        </w:r>
        <w:r>
          <w:rPr>
            <w:noProof/>
            <w:webHidden/>
          </w:rPr>
          <w:tab/>
        </w:r>
        <w:r>
          <w:rPr>
            <w:noProof/>
            <w:webHidden/>
          </w:rPr>
          <w:fldChar w:fldCharType="begin"/>
        </w:r>
        <w:r>
          <w:rPr>
            <w:noProof/>
            <w:webHidden/>
          </w:rPr>
          <w:instrText xml:space="preserve"> PAGEREF _Toc178601204 \h </w:instrText>
        </w:r>
        <w:r>
          <w:rPr>
            <w:noProof/>
            <w:webHidden/>
          </w:rPr>
        </w:r>
        <w:r>
          <w:rPr>
            <w:noProof/>
            <w:webHidden/>
          </w:rPr>
          <w:fldChar w:fldCharType="separate"/>
        </w:r>
        <w:r>
          <w:rPr>
            <w:noProof/>
            <w:webHidden/>
          </w:rPr>
          <w:t>44</w:t>
        </w:r>
        <w:r>
          <w:rPr>
            <w:noProof/>
            <w:webHidden/>
          </w:rPr>
          <w:fldChar w:fldCharType="end"/>
        </w:r>
      </w:hyperlink>
    </w:p>
    <w:p w14:paraId="316FFE68" w14:textId="2F9E8781"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205" w:history="1">
        <w:r w:rsidRPr="003656BB">
          <w:rPr>
            <w:rStyle w:val="Hyperlink"/>
            <w:noProof/>
          </w:rPr>
          <w:t>Bibliography</w:t>
        </w:r>
        <w:r>
          <w:rPr>
            <w:noProof/>
            <w:webHidden/>
          </w:rPr>
          <w:tab/>
        </w:r>
        <w:r>
          <w:rPr>
            <w:noProof/>
            <w:webHidden/>
          </w:rPr>
          <w:fldChar w:fldCharType="begin"/>
        </w:r>
        <w:r>
          <w:rPr>
            <w:noProof/>
            <w:webHidden/>
          </w:rPr>
          <w:instrText xml:space="preserve"> PAGEREF _Toc178601205 \h </w:instrText>
        </w:r>
        <w:r>
          <w:rPr>
            <w:noProof/>
            <w:webHidden/>
          </w:rPr>
        </w:r>
        <w:r>
          <w:rPr>
            <w:noProof/>
            <w:webHidden/>
          </w:rPr>
          <w:fldChar w:fldCharType="separate"/>
        </w:r>
        <w:r>
          <w:rPr>
            <w:noProof/>
            <w:webHidden/>
          </w:rPr>
          <w:t>45</w:t>
        </w:r>
        <w:r>
          <w:rPr>
            <w:noProof/>
            <w:webHidden/>
          </w:rPr>
          <w:fldChar w:fldCharType="end"/>
        </w:r>
      </w:hyperlink>
    </w:p>
    <w:p w14:paraId="307FB82B" w14:textId="130BC530"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206" w:history="1">
        <w:r w:rsidRPr="003656BB">
          <w:rPr>
            <w:rStyle w:val="Hyperlink"/>
            <w:noProof/>
          </w:rPr>
          <w:t>Sources cited</w:t>
        </w:r>
        <w:r>
          <w:rPr>
            <w:noProof/>
            <w:webHidden/>
          </w:rPr>
          <w:tab/>
        </w:r>
        <w:r>
          <w:rPr>
            <w:noProof/>
            <w:webHidden/>
          </w:rPr>
          <w:fldChar w:fldCharType="begin"/>
        </w:r>
        <w:r>
          <w:rPr>
            <w:noProof/>
            <w:webHidden/>
          </w:rPr>
          <w:instrText xml:space="preserve"> PAGEREF _Toc178601206 \h </w:instrText>
        </w:r>
        <w:r>
          <w:rPr>
            <w:noProof/>
            <w:webHidden/>
          </w:rPr>
        </w:r>
        <w:r>
          <w:rPr>
            <w:noProof/>
            <w:webHidden/>
          </w:rPr>
          <w:fldChar w:fldCharType="separate"/>
        </w:r>
        <w:r>
          <w:rPr>
            <w:noProof/>
            <w:webHidden/>
          </w:rPr>
          <w:t>45</w:t>
        </w:r>
        <w:r>
          <w:rPr>
            <w:noProof/>
            <w:webHidden/>
          </w:rPr>
          <w:fldChar w:fldCharType="end"/>
        </w:r>
      </w:hyperlink>
    </w:p>
    <w:p w14:paraId="2EC9220A" w14:textId="6F757BFF"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207" w:history="1">
        <w:r w:rsidRPr="003656BB">
          <w:rPr>
            <w:rStyle w:val="Hyperlink"/>
            <w:noProof/>
          </w:rPr>
          <w:t>Sources consulted but not cited</w:t>
        </w:r>
        <w:r>
          <w:rPr>
            <w:noProof/>
            <w:webHidden/>
          </w:rPr>
          <w:tab/>
        </w:r>
        <w:r>
          <w:rPr>
            <w:noProof/>
            <w:webHidden/>
          </w:rPr>
          <w:fldChar w:fldCharType="begin"/>
        </w:r>
        <w:r>
          <w:rPr>
            <w:noProof/>
            <w:webHidden/>
          </w:rPr>
          <w:instrText xml:space="preserve"> PAGEREF _Toc178601207 \h </w:instrText>
        </w:r>
        <w:r>
          <w:rPr>
            <w:noProof/>
            <w:webHidden/>
          </w:rPr>
        </w:r>
        <w:r>
          <w:rPr>
            <w:noProof/>
            <w:webHidden/>
          </w:rPr>
          <w:fldChar w:fldCharType="separate"/>
        </w:r>
        <w:r>
          <w:rPr>
            <w:noProof/>
            <w:webHidden/>
          </w:rPr>
          <w:t>48</w:t>
        </w:r>
        <w:r>
          <w:rPr>
            <w:noProof/>
            <w:webHidden/>
          </w:rPr>
          <w:fldChar w:fldCharType="end"/>
        </w:r>
      </w:hyperlink>
    </w:p>
    <w:p w14:paraId="752B99FE" w14:textId="5977EA72" w:rsidR="008F799D" w:rsidRDefault="008F799D">
      <w:pPr>
        <w:pStyle w:val="TOC1"/>
        <w:rPr>
          <w:rFonts w:asciiTheme="minorHAnsi" w:eastAsiaTheme="minorEastAsia" w:hAnsiTheme="minorHAnsi" w:cstheme="minorBidi"/>
          <w:b w:val="0"/>
          <w:noProof/>
          <w:color w:val="auto"/>
          <w:kern w:val="2"/>
          <w:sz w:val="22"/>
          <w:lang w:eastAsia="en-GB"/>
          <w14:ligatures w14:val="standardContextual"/>
        </w:rPr>
      </w:pPr>
      <w:hyperlink w:anchor="_Toc178601208" w:history="1">
        <w:r w:rsidRPr="003656BB">
          <w:rPr>
            <w:rStyle w:val="Hyperlink"/>
            <w:noProof/>
          </w:rPr>
          <w:t>Version control and feedback</w:t>
        </w:r>
        <w:r>
          <w:rPr>
            <w:noProof/>
            <w:webHidden/>
          </w:rPr>
          <w:tab/>
        </w:r>
        <w:r>
          <w:rPr>
            <w:noProof/>
            <w:webHidden/>
          </w:rPr>
          <w:fldChar w:fldCharType="begin"/>
        </w:r>
        <w:r>
          <w:rPr>
            <w:noProof/>
            <w:webHidden/>
          </w:rPr>
          <w:instrText xml:space="preserve"> PAGEREF _Toc178601208 \h </w:instrText>
        </w:r>
        <w:r>
          <w:rPr>
            <w:noProof/>
            <w:webHidden/>
          </w:rPr>
        </w:r>
        <w:r>
          <w:rPr>
            <w:noProof/>
            <w:webHidden/>
          </w:rPr>
          <w:fldChar w:fldCharType="separate"/>
        </w:r>
        <w:r>
          <w:rPr>
            <w:noProof/>
            <w:webHidden/>
          </w:rPr>
          <w:t>49</w:t>
        </w:r>
        <w:r>
          <w:rPr>
            <w:noProof/>
            <w:webHidden/>
          </w:rPr>
          <w:fldChar w:fldCharType="end"/>
        </w:r>
      </w:hyperlink>
    </w:p>
    <w:p w14:paraId="24BFA69A" w14:textId="03D1B969"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209" w:history="1">
        <w:r w:rsidRPr="003656BB">
          <w:rPr>
            <w:rStyle w:val="Hyperlink"/>
            <w:noProof/>
          </w:rPr>
          <w:t>Feedback to the Home Office</w:t>
        </w:r>
        <w:r>
          <w:rPr>
            <w:noProof/>
            <w:webHidden/>
          </w:rPr>
          <w:tab/>
        </w:r>
        <w:r>
          <w:rPr>
            <w:noProof/>
            <w:webHidden/>
          </w:rPr>
          <w:fldChar w:fldCharType="begin"/>
        </w:r>
        <w:r>
          <w:rPr>
            <w:noProof/>
            <w:webHidden/>
          </w:rPr>
          <w:instrText xml:space="preserve"> PAGEREF _Toc178601209 \h </w:instrText>
        </w:r>
        <w:r>
          <w:rPr>
            <w:noProof/>
            <w:webHidden/>
          </w:rPr>
        </w:r>
        <w:r>
          <w:rPr>
            <w:noProof/>
            <w:webHidden/>
          </w:rPr>
          <w:fldChar w:fldCharType="separate"/>
        </w:r>
        <w:r>
          <w:rPr>
            <w:noProof/>
            <w:webHidden/>
          </w:rPr>
          <w:t>49</w:t>
        </w:r>
        <w:r>
          <w:rPr>
            <w:noProof/>
            <w:webHidden/>
          </w:rPr>
          <w:fldChar w:fldCharType="end"/>
        </w:r>
      </w:hyperlink>
    </w:p>
    <w:p w14:paraId="67672933" w14:textId="4301AD2D" w:rsidR="008F799D" w:rsidRDefault="008F799D">
      <w:pPr>
        <w:pStyle w:val="TOC2"/>
        <w:rPr>
          <w:rFonts w:asciiTheme="minorHAnsi" w:eastAsiaTheme="minorEastAsia" w:hAnsiTheme="minorHAnsi" w:cstheme="minorBidi"/>
          <w:noProof/>
          <w:color w:val="auto"/>
          <w:kern w:val="2"/>
          <w:sz w:val="22"/>
          <w:lang w:eastAsia="en-GB"/>
          <w14:ligatures w14:val="standardContextual"/>
        </w:rPr>
      </w:pPr>
      <w:hyperlink w:anchor="_Toc178601210" w:history="1">
        <w:r w:rsidRPr="003656BB">
          <w:rPr>
            <w:rStyle w:val="Hyperlink"/>
            <w:noProof/>
          </w:rPr>
          <w:t>Independent Advisory Group on Country Information</w:t>
        </w:r>
        <w:r>
          <w:rPr>
            <w:noProof/>
            <w:webHidden/>
          </w:rPr>
          <w:tab/>
        </w:r>
        <w:r>
          <w:rPr>
            <w:noProof/>
            <w:webHidden/>
          </w:rPr>
          <w:fldChar w:fldCharType="begin"/>
        </w:r>
        <w:r>
          <w:rPr>
            <w:noProof/>
            <w:webHidden/>
          </w:rPr>
          <w:instrText xml:space="preserve"> PAGEREF _Toc178601210 \h </w:instrText>
        </w:r>
        <w:r>
          <w:rPr>
            <w:noProof/>
            <w:webHidden/>
          </w:rPr>
        </w:r>
        <w:r>
          <w:rPr>
            <w:noProof/>
            <w:webHidden/>
          </w:rPr>
          <w:fldChar w:fldCharType="separate"/>
        </w:r>
        <w:r>
          <w:rPr>
            <w:noProof/>
            <w:webHidden/>
          </w:rPr>
          <w:t>49</w:t>
        </w:r>
        <w:r>
          <w:rPr>
            <w:noProof/>
            <w:webHidden/>
          </w:rPr>
          <w:fldChar w:fldCharType="end"/>
        </w:r>
      </w:hyperlink>
    </w:p>
    <w:p w14:paraId="444002AE" w14:textId="77777777" w:rsidR="00EA3BC4" w:rsidRPr="00DD7ED2" w:rsidRDefault="00EA3BC4" w:rsidP="00EA3BC4">
      <w:pPr>
        <w:rPr>
          <w:rFonts w:eastAsiaTheme="majorEastAsia" w:cstheme="majorBidi"/>
          <w:b/>
          <w:bCs/>
          <w:color w:val="7030A0"/>
          <w:sz w:val="32"/>
          <w:szCs w:val="28"/>
        </w:rPr>
      </w:pPr>
      <w:r w:rsidRPr="00AF2E27">
        <w:rPr>
          <w:color w:val="7030A0"/>
        </w:rPr>
        <w:fldChar w:fldCharType="end"/>
      </w:r>
      <w:r w:rsidRPr="00DD7ED2">
        <w:br w:type="page"/>
      </w:r>
    </w:p>
    <w:p w14:paraId="450CACA6" w14:textId="23E88B87" w:rsidR="005440E1" w:rsidRPr="00D41E26" w:rsidRDefault="00B02AA1" w:rsidP="00D41E26">
      <w:pPr>
        <w:pStyle w:val="Heading1"/>
      </w:pPr>
      <w:bookmarkStart w:id="5" w:name="_Toc146698526"/>
      <w:bookmarkStart w:id="6" w:name="_Toc500775364"/>
      <w:bookmarkStart w:id="7" w:name="_Toc178601161"/>
      <w:r w:rsidRPr="00D41E26">
        <w:lastRenderedPageBreak/>
        <w:t xml:space="preserve">Executive </w:t>
      </w:r>
      <w:r w:rsidR="00E32F70" w:rsidRPr="00D41E26">
        <w:t>s</w:t>
      </w:r>
      <w:r w:rsidRPr="00D41E26">
        <w:t>ummar</w:t>
      </w:r>
      <w:r w:rsidR="000C3D00" w:rsidRPr="00D41E26">
        <w:t>y</w:t>
      </w:r>
      <w:bookmarkEnd w:id="5"/>
      <w:bookmarkEnd w:id="7"/>
    </w:p>
    <w:p w14:paraId="189DDED4" w14:textId="70D5618F" w:rsidR="00F02ED8" w:rsidRDefault="00F02ED8" w:rsidP="00F02ED8">
      <w:pPr>
        <w:rPr>
          <w:b/>
          <w:bCs/>
        </w:rPr>
      </w:pPr>
      <w:r w:rsidRPr="00D41E26">
        <w:rPr>
          <w:b/>
          <w:bCs/>
        </w:rPr>
        <w:t>This Note does not cover the situation in the Russian-occupied regions of Abkhazia and South Ossetia.</w:t>
      </w:r>
    </w:p>
    <w:p w14:paraId="15BA2F60" w14:textId="7547D9F7" w:rsidR="00DE5A5C" w:rsidRDefault="00D41E26" w:rsidP="00DE5A5C">
      <w:r w:rsidRPr="00D41E26">
        <w:t>In general, persons identifying as LGBTI are not subject to treatment by the state or non-state actors that is sufficiently serious, by its nature or repetition, to amount to persecution or serious harm.</w:t>
      </w:r>
      <w:r w:rsidR="008D1638" w:rsidRPr="008D1638">
        <w:t xml:space="preserve"> </w:t>
      </w:r>
      <w:r w:rsidR="008D1638" w:rsidRPr="0077260A">
        <w:t xml:space="preserve">The onus is on the person to demonstrate otherwise. </w:t>
      </w:r>
    </w:p>
    <w:p w14:paraId="65224600" w14:textId="5A86598C" w:rsidR="0086134F" w:rsidRDefault="0086134F" w:rsidP="00DE5A5C">
      <w:r>
        <w:t>Whilst not explicitly mentioned</w:t>
      </w:r>
      <w:r w:rsidR="00313C38">
        <w:t xml:space="preserve">, the Constitution protects the rights of LGBTI individuals </w:t>
      </w:r>
      <w:r w:rsidR="00C42DCD">
        <w:t>in Georgia</w:t>
      </w:r>
      <w:r w:rsidR="005F7288">
        <w:t>, protecting the community against discrimination and ensuring access to basic services</w:t>
      </w:r>
      <w:r w:rsidR="00114AF8">
        <w:t>, employment, property and healthca</w:t>
      </w:r>
      <w:r w:rsidR="008E31BE">
        <w:t xml:space="preserve">re. </w:t>
      </w:r>
      <w:r w:rsidR="009829A8">
        <w:t>In practice, LGBTI persons report barriers in accessing basic services and discrimination on the basis of their sexual orientation and</w:t>
      </w:r>
      <w:r w:rsidR="00F5694D">
        <w:t>/</w:t>
      </w:r>
      <w:r w:rsidR="009829A8">
        <w:t xml:space="preserve">or gender identity. </w:t>
      </w:r>
      <w:r w:rsidR="009B17C2">
        <w:t>T</w:t>
      </w:r>
      <w:r w:rsidR="000D012D">
        <w:t xml:space="preserve">here are no legal provisions for same-sex marriage or civil partnerships. Conversion therapy, although not officially banned, is not commonly practiced. </w:t>
      </w:r>
    </w:p>
    <w:p w14:paraId="0CD87DF1" w14:textId="188122F5" w:rsidR="00462307" w:rsidRDefault="004410EF" w:rsidP="00DE5A5C">
      <w:r>
        <w:t>W</w:t>
      </w:r>
      <w:r w:rsidR="009D0317">
        <w:t xml:space="preserve">idespread negative attitudes towards LGBTI </w:t>
      </w:r>
      <w:r w:rsidR="00C12599">
        <w:t>persons</w:t>
      </w:r>
      <w:r>
        <w:t xml:space="preserve"> prevail</w:t>
      </w:r>
      <w:r w:rsidR="00C12599">
        <w:t>,</w:t>
      </w:r>
      <w:r w:rsidR="009D0317">
        <w:t xml:space="preserve"> particularly among far-right groups</w:t>
      </w:r>
      <w:r w:rsidR="00B62F90">
        <w:t xml:space="preserve"> and the Georgian Orthodox Church</w:t>
      </w:r>
      <w:r w:rsidR="009D0317">
        <w:t xml:space="preserve">. </w:t>
      </w:r>
      <w:r w:rsidR="00131DDC">
        <w:t>Occasionally, p</w:t>
      </w:r>
      <w:r w:rsidR="006A4589">
        <w:t>olitical officials’ anti-LGBTI rhetoric has fueled violence and discrimination</w:t>
      </w:r>
      <w:r w:rsidR="00131DDC">
        <w:t xml:space="preserve"> against the LGBTI community</w:t>
      </w:r>
      <w:r w:rsidR="00672174">
        <w:t>,</w:t>
      </w:r>
      <w:r w:rsidR="00131DDC">
        <w:t xml:space="preserve"> particularly</w:t>
      </w:r>
      <w:r w:rsidR="006A4589">
        <w:t xml:space="preserve"> at public events</w:t>
      </w:r>
      <w:r w:rsidR="00B86280">
        <w:t xml:space="preserve"> such as Pride</w:t>
      </w:r>
      <w:r w:rsidR="00F462ED">
        <w:t>,</w:t>
      </w:r>
      <w:r w:rsidR="00B86280">
        <w:t xml:space="preserve"> and constitute</w:t>
      </w:r>
      <w:r w:rsidR="00672174">
        <w:t xml:space="preserve"> the majority of incidents committed against LGBTI </w:t>
      </w:r>
      <w:r w:rsidR="00450DC0">
        <w:t>persons</w:t>
      </w:r>
      <w:r w:rsidR="00672174">
        <w:t>.</w:t>
      </w:r>
      <w:r w:rsidR="00131DDC">
        <w:t xml:space="preserve"> However, </w:t>
      </w:r>
      <w:r w:rsidR="00771039">
        <w:t xml:space="preserve">whilst </w:t>
      </w:r>
      <w:r w:rsidR="0027311F">
        <w:t xml:space="preserve">societal attitudes remain generally negative, </w:t>
      </w:r>
      <w:r w:rsidR="00302B35">
        <w:t xml:space="preserve">that </w:t>
      </w:r>
      <w:r w:rsidR="0027311F">
        <w:t>they</w:t>
      </w:r>
      <w:r w:rsidR="00302B35">
        <w:t xml:space="preserve"> </w:t>
      </w:r>
      <w:r w:rsidR="002060C6">
        <w:t>have improved</w:t>
      </w:r>
      <w:r w:rsidR="00450DC0">
        <w:t xml:space="preserve"> recently</w:t>
      </w:r>
      <w:r w:rsidR="00BD104F">
        <w:t xml:space="preserve">, particularly among urban communities and </w:t>
      </w:r>
      <w:r w:rsidR="009829A8">
        <w:t xml:space="preserve">the </w:t>
      </w:r>
      <w:r w:rsidR="00BD104F">
        <w:t>younger demographic</w:t>
      </w:r>
      <w:r w:rsidR="0027311F">
        <w:t>. O</w:t>
      </w:r>
      <w:r w:rsidR="005F7288">
        <w:t xml:space="preserve">ne </w:t>
      </w:r>
      <w:r w:rsidR="00D57D60">
        <w:t>study from 2020 highlighted that generally LGBTI persons</w:t>
      </w:r>
      <w:r w:rsidR="005566FC">
        <w:t xml:space="preserve"> were ‘comfortable’ living in Georgia</w:t>
      </w:r>
      <w:r w:rsidR="00462307">
        <w:t xml:space="preserve">. </w:t>
      </w:r>
    </w:p>
    <w:p w14:paraId="1BEEB301" w14:textId="1A7DB0A9" w:rsidR="00490386" w:rsidRDefault="007415C3" w:rsidP="00DE5A5C">
      <w:r>
        <w:t xml:space="preserve">There is no evidence to suggest that </w:t>
      </w:r>
      <w:r w:rsidR="00E611BC">
        <w:t>state</w:t>
      </w:r>
      <w:r w:rsidR="005F5AFB">
        <w:t xml:space="preserve"> actors </w:t>
      </w:r>
      <w:r w:rsidR="00E611BC">
        <w:t>actively target</w:t>
      </w:r>
      <w:r w:rsidR="00C87F44">
        <w:t xml:space="preserve"> the LGBTI community. Nevertheless, t</w:t>
      </w:r>
      <w:r w:rsidR="00462307">
        <w:t xml:space="preserve">he LGBTI community </w:t>
      </w:r>
      <w:r w:rsidR="00472D6E">
        <w:t>are generally mistrusting of</w:t>
      </w:r>
      <w:r w:rsidR="00462307">
        <w:t xml:space="preserve"> law enforcement </w:t>
      </w:r>
      <w:r w:rsidR="009B05B2">
        <w:t xml:space="preserve">and </w:t>
      </w:r>
      <w:r w:rsidR="00807949">
        <w:t xml:space="preserve">inconsistent </w:t>
      </w:r>
      <w:r w:rsidR="009B05B2">
        <w:t>handling of c</w:t>
      </w:r>
      <w:r w:rsidR="009C5301">
        <w:t xml:space="preserve">ases </w:t>
      </w:r>
      <w:r w:rsidR="00462307">
        <w:t xml:space="preserve">which has led to </w:t>
      </w:r>
      <w:r w:rsidR="0057018A">
        <w:t>underreport</w:t>
      </w:r>
      <w:r w:rsidR="00396542">
        <w:t>ing of</w:t>
      </w:r>
      <w:r w:rsidR="0057018A">
        <w:t xml:space="preserve"> hate crimes. </w:t>
      </w:r>
      <w:r w:rsidR="008D4761">
        <w:t xml:space="preserve">The state has been criticised for its failure to pursue perpetrators of violence against </w:t>
      </w:r>
      <w:r w:rsidR="0061156A">
        <w:t xml:space="preserve">the LGBTI community, particularly those responsible for violence at public Pride events. </w:t>
      </w:r>
      <w:r w:rsidR="0057018A">
        <w:t>However, official statistics show that</w:t>
      </w:r>
      <w:r w:rsidR="00490386">
        <w:t xml:space="preserve"> hate crimes are being reported and </w:t>
      </w:r>
      <w:r w:rsidR="00396542">
        <w:t xml:space="preserve">are </w:t>
      </w:r>
      <w:r w:rsidR="00490386">
        <w:t>addressed by the criminal justice system</w:t>
      </w:r>
      <w:r w:rsidR="00396542">
        <w:t>, with</w:t>
      </w:r>
      <w:r w:rsidR="00054945">
        <w:t xml:space="preserve"> 106 criminal i</w:t>
      </w:r>
      <w:r w:rsidR="00054945" w:rsidRPr="0021227D">
        <w:t>nvestigations</w:t>
      </w:r>
      <w:r w:rsidR="00054945">
        <w:t xml:space="preserve"> </w:t>
      </w:r>
      <w:r w:rsidR="00054945" w:rsidRPr="0021227D">
        <w:t xml:space="preserve">initiated on the basis of intolerance on the grounds of </w:t>
      </w:r>
      <w:r w:rsidR="0C3AA921">
        <w:t>sexual orientation, gender identity, and expression (</w:t>
      </w:r>
      <w:r w:rsidR="00054945" w:rsidRPr="0021227D">
        <w:t>SOGIE</w:t>
      </w:r>
      <w:r w:rsidR="6E87D406">
        <w:t>)</w:t>
      </w:r>
      <w:r w:rsidR="00054945">
        <w:t xml:space="preserve"> in 2021</w:t>
      </w:r>
      <w:r w:rsidR="009B05B2">
        <w:t>,</w:t>
      </w:r>
      <w:r w:rsidR="00A658F2">
        <w:t xml:space="preserve"> of which </w:t>
      </w:r>
      <w:r w:rsidR="00054945">
        <w:t>there were 20 convictions. In 2022, there were 76 investigations and 40 convictions</w:t>
      </w:r>
      <w:r w:rsidR="00490386">
        <w:t xml:space="preserve">. The Ombudsman’s office also actively investigates complaints made by LGBTI </w:t>
      </w:r>
      <w:r w:rsidR="000B4C8B">
        <w:t>persons</w:t>
      </w:r>
      <w:r w:rsidR="00490386">
        <w:t xml:space="preserve">. </w:t>
      </w:r>
    </w:p>
    <w:p w14:paraId="4A5E24AD" w14:textId="3D004DB8" w:rsidR="00302B35" w:rsidRDefault="00490386" w:rsidP="00DE5A5C">
      <w:r>
        <w:t>In urban areas, notably T</w:t>
      </w:r>
      <w:r w:rsidR="00F5312F">
        <w:t xml:space="preserve">bilisi, LGBTI </w:t>
      </w:r>
      <w:r w:rsidR="00C71536">
        <w:t>persons</w:t>
      </w:r>
      <w:r w:rsidR="00F5312F">
        <w:t xml:space="preserve"> </w:t>
      </w:r>
      <w:r w:rsidR="00D355C0">
        <w:t>have</w:t>
      </w:r>
      <w:r w:rsidR="00F5312F">
        <w:t xml:space="preserve"> a higher degree of freedom and ability to express their sexual orientation and</w:t>
      </w:r>
      <w:r w:rsidR="00F5694D">
        <w:t>/</w:t>
      </w:r>
      <w:r w:rsidR="00F5312F">
        <w:t>or gender identity. The presence of support groups and dedicated NGOs</w:t>
      </w:r>
      <w:r w:rsidR="00CE0A0D">
        <w:t xml:space="preserve"> in Georgia continues to contribute positively to the advancement of LGBTI rights. </w:t>
      </w:r>
    </w:p>
    <w:p w14:paraId="0902465E" w14:textId="0DAC0BC3" w:rsidR="00525A67" w:rsidRPr="002F251D" w:rsidRDefault="00DE5A5C" w:rsidP="00525A67">
      <w:r w:rsidRPr="00DE5A5C">
        <w:t xml:space="preserve">In general, the state is both willing and able to offer sufficient protection from </w:t>
      </w:r>
      <w:proofErr w:type="spellStart"/>
      <w:r w:rsidRPr="00DE5A5C">
        <w:t>non</w:t>
      </w:r>
      <w:r>
        <w:t xml:space="preserve"> </w:t>
      </w:r>
      <w:r w:rsidRPr="00DE5A5C">
        <w:t>state</w:t>
      </w:r>
      <w:proofErr w:type="spellEnd"/>
      <w:r w:rsidRPr="00DE5A5C">
        <w:t xml:space="preserve"> actors, including ‘rogue’ state actors. </w:t>
      </w:r>
      <w:r w:rsidR="00D355C0">
        <w:t>In general, i</w:t>
      </w:r>
      <w:r w:rsidRPr="00DE5A5C">
        <w:t>nternal relocation is also likely to be reasonable</w:t>
      </w:r>
      <w:r w:rsidR="00D355C0">
        <w:t xml:space="preserve"> and not unduly harsh</w:t>
      </w:r>
      <w:r w:rsidRPr="00DE5A5C">
        <w:t>, particularly to urban areas and large cities</w:t>
      </w:r>
      <w:r w:rsidR="00F176EE">
        <w:t xml:space="preserve">, such as Tbilisi. </w:t>
      </w:r>
      <w:r w:rsidR="00525A67" w:rsidRPr="002F251D">
        <w:t xml:space="preserve">Where a claim is refused, it is </w:t>
      </w:r>
      <w:r w:rsidR="00525A67">
        <w:t>likely</w:t>
      </w:r>
      <w:r w:rsidR="00525A67" w:rsidRPr="002F251D">
        <w:t xml:space="preserve"> to be certifiable as ‘clearly unfounded’ under section 94 of the Nationality, Immigration and Asylum Act 2002.</w:t>
      </w:r>
    </w:p>
    <w:p w14:paraId="0ABDB522" w14:textId="77777777" w:rsidR="00F42A79" w:rsidRDefault="00000000" w:rsidP="00F42A79">
      <w:pPr>
        <w:pStyle w:val="Backtocontents"/>
        <w:rPr>
          <w:rStyle w:val="Hyperlink"/>
        </w:rPr>
      </w:pPr>
      <w:hyperlink w:anchor="contents" w:history="1">
        <w:r w:rsidR="00F42A79" w:rsidRPr="00DD7ED2">
          <w:rPr>
            <w:rStyle w:val="Hyperlink"/>
          </w:rPr>
          <w:t>Back to Contents</w:t>
        </w:r>
      </w:hyperlink>
    </w:p>
    <w:p w14:paraId="065345BD" w14:textId="77777777" w:rsidR="000B4C8B" w:rsidRDefault="000B4C8B">
      <w:pPr>
        <w:spacing w:after="200" w:line="276" w:lineRule="auto"/>
        <w:rPr>
          <w:rFonts w:eastAsiaTheme="majorEastAsia" w:cstheme="majorBidi"/>
          <w:bCs/>
          <w:color w:val="7030A0"/>
          <w:sz w:val="52"/>
          <w:szCs w:val="28"/>
        </w:rPr>
      </w:pPr>
      <w:bookmarkStart w:id="8" w:name="_Toc146698527"/>
      <w:r>
        <w:br w:type="page"/>
      </w:r>
    </w:p>
    <w:p w14:paraId="66B3AD0B" w14:textId="62EF0302" w:rsidR="00EA3BC4" w:rsidRPr="00DD7ED2" w:rsidRDefault="00EA3BC4" w:rsidP="00B82DB8">
      <w:pPr>
        <w:pStyle w:val="Heading1"/>
        <w:keepNext w:val="0"/>
        <w:keepLines w:val="0"/>
        <w:widowControl w:val="0"/>
      </w:pPr>
      <w:bookmarkStart w:id="9" w:name="_Toc178601162"/>
      <w:r w:rsidRPr="00DD7ED2">
        <w:lastRenderedPageBreak/>
        <w:t>A</w:t>
      </w:r>
      <w:r w:rsidR="00647EBD" w:rsidRPr="00DD7ED2">
        <w:t>ssessment</w:t>
      </w:r>
      <w:bookmarkEnd w:id="8"/>
      <w:bookmarkEnd w:id="9"/>
    </w:p>
    <w:p w14:paraId="72F7CA7E" w14:textId="656B28FB" w:rsidR="006215B7" w:rsidRPr="00583F42" w:rsidRDefault="006215B7" w:rsidP="00B82DB8">
      <w:pPr>
        <w:pStyle w:val="Heading2"/>
        <w:keepNext w:val="0"/>
        <w:keepLines w:val="0"/>
        <w:widowControl w:val="0"/>
        <w:numPr>
          <w:ilvl w:val="0"/>
          <w:numId w:val="0"/>
        </w:numPr>
        <w:ind w:left="851" w:hanging="851"/>
      </w:pPr>
      <w:bookmarkStart w:id="10" w:name="_Introduction"/>
      <w:bookmarkStart w:id="11" w:name="_Basis_of_claim"/>
      <w:bookmarkStart w:id="12" w:name="_Toc146698528"/>
      <w:bookmarkStart w:id="13" w:name="_Hlk43465050"/>
      <w:bookmarkStart w:id="14" w:name="_Toc178601163"/>
      <w:bookmarkEnd w:id="3"/>
      <w:bookmarkEnd w:id="6"/>
      <w:bookmarkEnd w:id="10"/>
      <w:bookmarkEnd w:id="11"/>
      <w:r w:rsidRPr="00E01B01">
        <w:t>About</w:t>
      </w:r>
      <w:r>
        <w:t xml:space="preserve"> </w:t>
      </w:r>
      <w:r w:rsidRPr="00583F42">
        <w:t>the</w:t>
      </w:r>
      <w:r>
        <w:t xml:space="preserve"> </w:t>
      </w:r>
      <w:r w:rsidRPr="00583F42">
        <w:t>assessment</w:t>
      </w:r>
      <w:bookmarkEnd w:id="12"/>
      <w:bookmarkEnd w:id="14"/>
    </w:p>
    <w:bookmarkEnd w:id="13"/>
    <w:p w14:paraId="2720373D" w14:textId="6B4A3637" w:rsidR="006215B7" w:rsidRPr="00491647" w:rsidRDefault="006215B7" w:rsidP="00B82DB8">
      <w:pPr>
        <w:widowControl w:val="0"/>
      </w:pPr>
      <w:r w:rsidRPr="00491647">
        <w:t xml:space="preserve">This section </w:t>
      </w:r>
      <w:r w:rsidR="00B220D6" w:rsidRPr="00491647">
        <w:t xml:space="preserve">considers </w:t>
      </w:r>
      <w:r w:rsidRPr="00491647">
        <w:t xml:space="preserve">the evidence relevant to this note – that is information in the </w:t>
      </w:r>
      <w:hyperlink w:anchor="_Country_information_2" w:history="1">
        <w:r w:rsidRPr="00491647">
          <w:rPr>
            <w:rStyle w:val="Hyperlink"/>
          </w:rPr>
          <w:t>country information</w:t>
        </w:r>
      </w:hyperlink>
      <w:r w:rsidR="00F73455" w:rsidRPr="00491647">
        <w:t>,</w:t>
      </w:r>
      <w:r w:rsidRPr="00491647">
        <w:t xml:space="preserve"> refugee/human rights laws and policies</w:t>
      </w:r>
      <w:r w:rsidR="00F73455" w:rsidRPr="00491647">
        <w:t xml:space="preserve">, </w:t>
      </w:r>
      <w:r w:rsidRPr="00491647">
        <w:t xml:space="preserve">and applicable caselaw </w:t>
      </w:r>
      <w:r w:rsidR="00176959" w:rsidRPr="00491647">
        <w:t xml:space="preserve">– </w:t>
      </w:r>
      <w:r w:rsidRPr="00491647">
        <w:t xml:space="preserve">and provides an assessment of whether, </w:t>
      </w:r>
      <w:r w:rsidRPr="00491647">
        <w:rPr>
          <w:b/>
          <w:bCs/>
        </w:rPr>
        <w:t>in general</w:t>
      </w:r>
      <w:r w:rsidRPr="00491647">
        <w:rPr>
          <w:bCs/>
        </w:rPr>
        <w:t xml:space="preserve">: </w:t>
      </w:r>
    </w:p>
    <w:p w14:paraId="2E1FC59B" w14:textId="3BCB91F4" w:rsidR="00B02AA1" w:rsidRPr="00491647" w:rsidRDefault="00B02AA1" w:rsidP="00B82DB8">
      <w:pPr>
        <w:pStyle w:val="Bulletpoint"/>
        <w:widowControl w:val="0"/>
        <w:numPr>
          <w:ilvl w:val="0"/>
          <w:numId w:val="27"/>
        </w:numPr>
      </w:pPr>
      <w:r w:rsidRPr="00491647">
        <w:t xml:space="preserve">a person is reasonably likely to face a real risk of </w:t>
      </w:r>
      <w:r w:rsidR="002571AD" w:rsidRPr="00491647">
        <w:t>persecution/serious harm by</w:t>
      </w:r>
      <w:r w:rsidR="00764DEF" w:rsidRPr="00491647">
        <w:t xml:space="preserve"> state or non-state actors </w:t>
      </w:r>
      <w:r w:rsidR="002571AD" w:rsidRPr="00491647">
        <w:t xml:space="preserve">because </w:t>
      </w:r>
      <w:r w:rsidR="00764DEF" w:rsidRPr="00491647">
        <w:t>of the</w:t>
      </w:r>
      <w:r w:rsidR="00C3625B" w:rsidRPr="00491647">
        <w:t xml:space="preserve"> person’s actual or perceived</w:t>
      </w:r>
      <w:r w:rsidR="00764DEF" w:rsidRPr="00491647">
        <w:t xml:space="preserve"> sexual orientation and/or</w:t>
      </w:r>
      <w:r w:rsidR="00A36CFE" w:rsidRPr="00491647">
        <w:t xml:space="preserve"> gender identity</w:t>
      </w:r>
      <w:r w:rsidR="00C3625B" w:rsidRPr="00491647">
        <w:t xml:space="preserve"> or expression</w:t>
      </w:r>
      <w:r w:rsidR="00A36CFE" w:rsidRPr="00491647">
        <w:t xml:space="preserve"> </w:t>
      </w:r>
    </w:p>
    <w:p w14:paraId="02D370D1" w14:textId="77777777" w:rsidR="00B02AA1" w:rsidRPr="00491647" w:rsidRDefault="00B02AA1" w:rsidP="00B82DB8">
      <w:pPr>
        <w:pStyle w:val="Bulletpoint"/>
        <w:widowControl w:val="0"/>
        <w:numPr>
          <w:ilvl w:val="0"/>
          <w:numId w:val="27"/>
        </w:numPr>
      </w:pPr>
      <w:r w:rsidRPr="00491647">
        <w:t>a person is able to obtain protection from the state (or quasi state bodies)</w:t>
      </w:r>
    </w:p>
    <w:p w14:paraId="049BAE36" w14:textId="4469DC01" w:rsidR="00B02AA1" w:rsidRPr="00491647" w:rsidRDefault="00B02AA1" w:rsidP="00B82DB8">
      <w:pPr>
        <w:pStyle w:val="Bulletpoint"/>
        <w:widowControl w:val="0"/>
        <w:numPr>
          <w:ilvl w:val="0"/>
          <w:numId w:val="27"/>
        </w:numPr>
      </w:pPr>
      <w:r w:rsidRPr="00491647">
        <w:t xml:space="preserve">a person is reasonably able to relocate within a country or territory </w:t>
      </w:r>
    </w:p>
    <w:p w14:paraId="4488A819" w14:textId="77777777" w:rsidR="00B02AA1" w:rsidRPr="00491647" w:rsidRDefault="00B02AA1" w:rsidP="00B82DB8">
      <w:pPr>
        <w:pStyle w:val="Bulletpoint"/>
        <w:widowControl w:val="0"/>
        <w:numPr>
          <w:ilvl w:val="0"/>
          <w:numId w:val="27"/>
        </w:numPr>
      </w:pPr>
      <w:r w:rsidRPr="00491647">
        <w:t xml:space="preserve">a </w:t>
      </w:r>
      <w:r w:rsidR="00B82DB8">
        <w:t>grant of</w:t>
      </w:r>
      <w:r w:rsidRPr="00491647">
        <w:t xml:space="preserve"> asylum, humanitarian protection or other form of leave</w:t>
      </w:r>
      <w:r w:rsidR="00B82DB8">
        <w:t xml:space="preserve"> is likely</w:t>
      </w:r>
      <w:r w:rsidR="00B82DB8" w:rsidRPr="00AA086B">
        <w:t>, and</w:t>
      </w:r>
      <w:r w:rsidRPr="00491647">
        <w:t xml:space="preserve"> </w:t>
      </w:r>
    </w:p>
    <w:p w14:paraId="6974673C" w14:textId="33326498" w:rsidR="00B02AA1" w:rsidRPr="00491647" w:rsidRDefault="00B02AA1" w:rsidP="00B82DB8">
      <w:pPr>
        <w:pStyle w:val="Bulletpoint"/>
        <w:widowControl w:val="0"/>
        <w:numPr>
          <w:ilvl w:val="0"/>
          <w:numId w:val="27"/>
        </w:numPr>
      </w:pPr>
      <w:r w:rsidRPr="00491647">
        <w:t xml:space="preserve">if a claim is refused, it is likely or unlikely to be certifiable as ‘clearly unfounded’ under </w:t>
      </w:r>
      <w:hyperlink r:id="rId12" w:history="1">
        <w:r w:rsidRPr="00491647">
          <w:rPr>
            <w:rStyle w:val="Hyperlink"/>
            <w:szCs w:val="24"/>
          </w:rPr>
          <w:t>section 94 of the Nationality, Immigration and Asylum Act 2002</w:t>
        </w:r>
      </w:hyperlink>
      <w:r w:rsidRPr="00491647">
        <w:rPr>
          <w:szCs w:val="24"/>
        </w:rPr>
        <w:t>.</w:t>
      </w:r>
      <w:r w:rsidRPr="00491647">
        <w:t xml:space="preserve"> </w:t>
      </w:r>
    </w:p>
    <w:p w14:paraId="31A9476F" w14:textId="77777777" w:rsidR="00B02AA1" w:rsidRPr="00491647" w:rsidRDefault="00B02AA1" w:rsidP="00B82DB8">
      <w:pPr>
        <w:widowControl w:val="0"/>
      </w:pPr>
      <w:r w:rsidRPr="00491647">
        <w:t xml:space="preserve">Decision makers </w:t>
      </w:r>
      <w:r w:rsidRPr="00491647">
        <w:rPr>
          <w:b/>
        </w:rPr>
        <w:t>must</w:t>
      </w:r>
      <w:r w:rsidRPr="00491647">
        <w:t>, however, still consider all claims on an individual basis, taking into account each case’s specific facts.</w:t>
      </w:r>
    </w:p>
    <w:p w14:paraId="0E14ACF4" w14:textId="7295D63D" w:rsidR="00F42A79" w:rsidRPr="00395D3F" w:rsidRDefault="00811F71" w:rsidP="00B82DB8">
      <w:pPr>
        <w:widowControl w:val="0"/>
      </w:pPr>
      <w:r w:rsidRPr="00491647">
        <w:t>This note provides an assessment of the general situation for gay men, lesbian</w:t>
      </w:r>
      <w:r w:rsidR="00C3625B" w:rsidRPr="00491647">
        <w:t>s</w:t>
      </w:r>
      <w:r w:rsidR="002B6D66" w:rsidRPr="00491647">
        <w:t xml:space="preserve">, bisexuals, trans and intersex (LGBTI) persons, as well as those perceived as such. They are referred to collectively as ‘LGBTI persons’, although the experiences of each group may differ. </w:t>
      </w:r>
      <w:r w:rsidR="00F42A79" w:rsidRPr="00491647">
        <w:rPr>
          <w:b/>
          <w:bCs/>
        </w:rPr>
        <w:t>This Note does not cover the situation in the Russian-occupied regions of Abkhazia and South Ossetia.</w:t>
      </w:r>
    </w:p>
    <w:p w14:paraId="5DF90801" w14:textId="36D52B63" w:rsidR="006C707B" w:rsidRPr="00491647" w:rsidRDefault="00531ED8" w:rsidP="00B82DB8">
      <w:pPr>
        <w:widowControl w:val="0"/>
      </w:pPr>
      <w:r w:rsidRPr="00491647">
        <w:t xml:space="preserve">For general guidance on considering claims made by LGBTI persons, decision makers should refer to the Asylum Instructions, </w:t>
      </w:r>
      <w:hyperlink r:id="rId13" w:history="1">
        <w:r w:rsidRPr="00491647">
          <w:rPr>
            <w:rStyle w:val="Hyperlink"/>
          </w:rPr>
          <w:t>Sexual identity issues in the asylum claim</w:t>
        </w:r>
      </w:hyperlink>
      <w:r w:rsidRPr="00491647">
        <w:t xml:space="preserve"> and </w:t>
      </w:r>
      <w:hyperlink r:id="rId14" w:history="1">
        <w:r w:rsidRPr="00491647">
          <w:rPr>
            <w:rStyle w:val="Hyperlink"/>
          </w:rPr>
          <w:t>Gender identity issues in the asylum claim</w:t>
        </w:r>
      </w:hyperlink>
      <w:r w:rsidRPr="00491647">
        <w:t>.</w:t>
      </w:r>
    </w:p>
    <w:p w14:paraId="6978AF5C" w14:textId="77BA500D" w:rsidR="00DB64F5" w:rsidRDefault="00000000" w:rsidP="00B82DB8">
      <w:pPr>
        <w:pStyle w:val="Backtocontents"/>
        <w:widowControl w:val="0"/>
        <w:rPr>
          <w:rStyle w:val="Hyperlink"/>
        </w:rPr>
      </w:pPr>
      <w:hyperlink w:anchor="contents" w:history="1">
        <w:r w:rsidR="00DB64F5" w:rsidRPr="00DD7ED2">
          <w:rPr>
            <w:rStyle w:val="Hyperlink"/>
          </w:rPr>
          <w:t>Back to Contents</w:t>
        </w:r>
      </w:hyperlink>
    </w:p>
    <w:p w14:paraId="419DEC99" w14:textId="55B36339" w:rsidR="00A77927" w:rsidRPr="00A77927" w:rsidRDefault="00A77927" w:rsidP="00B82DB8">
      <w:pPr>
        <w:pStyle w:val="Sectionupdate"/>
        <w:widowControl w:val="0"/>
        <w:rPr>
          <w:rStyle w:val="Hyperlink"/>
          <w:color w:val="7030A0"/>
          <w:u w:val="none"/>
        </w:rPr>
      </w:pPr>
      <w:bookmarkStart w:id="15" w:name="_Hlk146050632"/>
      <w:r w:rsidRPr="00A77927">
        <w:rPr>
          <w:rStyle w:val="Hyperlink"/>
          <w:color w:val="7030A0"/>
          <w:u w:val="none"/>
        </w:rPr>
        <w:t>Section updated: 19 September 2023</w:t>
      </w:r>
      <w:bookmarkEnd w:id="15"/>
    </w:p>
    <w:p w14:paraId="5222470E" w14:textId="7395B2A3" w:rsidR="00AB58EB" w:rsidRPr="00491647" w:rsidRDefault="0036152A" w:rsidP="00B82DB8">
      <w:pPr>
        <w:pStyle w:val="Heading2"/>
        <w:keepNext w:val="0"/>
        <w:keepLines w:val="0"/>
        <w:widowControl w:val="0"/>
      </w:pPr>
      <w:bookmarkStart w:id="16" w:name="_Toc146698529"/>
      <w:bookmarkStart w:id="17" w:name="_Toc178601164"/>
      <w:r w:rsidRPr="00491647">
        <w:t>Material facts, c</w:t>
      </w:r>
      <w:r w:rsidR="00AB58EB" w:rsidRPr="00491647">
        <w:t>redibility</w:t>
      </w:r>
      <w:r w:rsidRPr="00491647">
        <w:t xml:space="preserve"> and other checks/referrals</w:t>
      </w:r>
      <w:bookmarkEnd w:id="16"/>
      <w:bookmarkEnd w:id="17"/>
    </w:p>
    <w:p w14:paraId="3B05DAD9" w14:textId="50F303C9" w:rsidR="0036152A" w:rsidRPr="00491647" w:rsidRDefault="0036152A" w:rsidP="00B82DB8">
      <w:pPr>
        <w:pStyle w:val="Heading3"/>
        <w:keepNext w:val="0"/>
        <w:keepLines w:val="0"/>
        <w:widowControl w:val="0"/>
      </w:pPr>
      <w:bookmarkStart w:id="18" w:name="_Toc146698530"/>
      <w:bookmarkStart w:id="19" w:name="_Toc178601165"/>
      <w:r w:rsidRPr="00491647">
        <w:t>Credibility</w:t>
      </w:r>
      <w:bookmarkEnd w:id="18"/>
      <w:bookmarkEnd w:id="19"/>
      <w:r w:rsidRPr="00491647">
        <w:t xml:space="preserve"> </w:t>
      </w:r>
    </w:p>
    <w:p w14:paraId="014A28DB" w14:textId="3E70F930" w:rsidR="000C554C" w:rsidRPr="00491647" w:rsidRDefault="000C554C" w:rsidP="00B82DB8">
      <w:pPr>
        <w:pStyle w:val="ListParagraph"/>
        <w:widowControl w:val="0"/>
      </w:pPr>
      <w:r>
        <w:t xml:space="preserve">For information on assessing credibility, see the instruction on </w:t>
      </w:r>
      <w:hyperlink r:id="rId15">
        <w:r w:rsidRPr="32BE9D94">
          <w:rPr>
            <w:rStyle w:val="Hyperlink"/>
          </w:rPr>
          <w:t>Assessing Credibility and Refugee Status</w:t>
        </w:r>
      </w:hyperlink>
      <w:bookmarkStart w:id="20" w:name="_Hlk32930547"/>
      <w:r w:rsidR="008558FD">
        <w:t>.</w:t>
      </w:r>
      <w:bookmarkEnd w:id="20"/>
    </w:p>
    <w:p w14:paraId="539E0F20" w14:textId="77777777" w:rsidR="000C554C" w:rsidRPr="00491647" w:rsidRDefault="000C554C" w:rsidP="00B82DB8">
      <w:pPr>
        <w:pStyle w:val="ListParagraph"/>
        <w:widowControl w:val="0"/>
      </w:pPr>
      <w:r w:rsidRPr="00491647">
        <w:t xml:space="preserve">Decision makers must also check if there has been a previous application for a UK visa or another form of leave. </w:t>
      </w:r>
      <w:r>
        <w:t xml:space="preserve">Asylum applications matched to visas should be investigated prior to the asylum interview (see the </w:t>
      </w:r>
      <w:hyperlink r:id="rId16">
        <w:r w:rsidRPr="32BE9D94">
          <w:rPr>
            <w:rStyle w:val="Hyperlink"/>
          </w:rPr>
          <w:t>Asylum Instruction on Visa Matches, Asylum Claims from UK Visa Applicants</w:t>
        </w:r>
      </w:hyperlink>
      <w:r>
        <w:t>).</w:t>
      </w:r>
    </w:p>
    <w:p w14:paraId="0868639A" w14:textId="1104C106" w:rsidR="00FB3578" w:rsidRPr="00491647" w:rsidRDefault="00D07332" w:rsidP="00B82DB8">
      <w:pPr>
        <w:pStyle w:val="ListParagraph"/>
        <w:widowControl w:val="0"/>
      </w:pPr>
      <w:r w:rsidRPr="00491647">
        <w:t>In cases where there are doubts surrounding a person’s claimed place of origin, decision makers should also consider language analysis testing</w:t>
      </w:r>
      <w:r w:rsidR="00597229" w:rsidRPr="00491647">
        <w:t>, where available</w:t>
      </w:r>
      <w:r w:rsidRPr="00491647">
        <w:t xml:space="preserve"> </w:t>
      </w:r>
      <w:r w:rsidR="000C554C" w:rsidRPr="00491647">
        <w:t xml:space="preserve">(see </w:t>
      </w:r>
      <w:r w:rsidR="000C554C">
        <w:t xml:space="preserve">the </w:t>
      </w:r>
      <w:hyperlink r:id="rId17">
        <w:r w:rsidR="000C554C" w:rsidRPr="32BE9D94">
          <w:rPr>
            <w:rStyle w:val="Hyperlink"/>
          </w:rPr>
          <w:t>Asylum Instruction on Language Analysis</w:t>
        </w:r>
      </w:hyperlink>
      <w:r w:rsidR="000C554C">
        <w:t>).</w:t>
      </w:r>
      <w:bookmarkStart w:id="21" w:name="_Hlk11915093"/>
    </w:p>
    <w:p w14:paraId="7E6DB707" w14:textId="73375648" w:rsidR="00491647" w:rsidRPr="00491647" w:rsidRDefault="00491647" w:rsidP="00B82DB8">
      <w:pPr>
        <w:pStyle w:val="ListParagraph"/>
        <w:widowControl w:val="0"/>
      </w:pPr>
      <w:r>
        <w:t xml:space="preserve">For guidance on interviewing generally see the Asylum Instruction on </w:t>
      </w:r>
      <w:hyperlink r:id="rId18">
        <w:r w:rsidRPr="32BE9D94">
          <w:rPr>
            <w:rStyle w:val="Hyperlink"/>
          </w:rPr>
          <w:t>Conducting asylum interviews</w:t>
        </w:r>
      </w:hyperlink>
      <w:r>
        <w:t>.</w:t>
      </w:r>
    </w:p>
    <w:bookmarkEnd w:id="21"/>
    <w:p w14:paraId="4B5ED4E8" w14:textId="77777777" w:rsidR="00BC7051" w:rsidRDefault="00B657EE" w:rsidP="00B82DB8">
      <w:pPr>
        <w:pStyle w:val="Backtocontents"/>
        <w:widowControl w:val="0"/>
        <w:rPr>
          <w:rStyle w:val="Hyperlink"/>
        </w:rPr>
      </w:pPr>
      <w:r w:rsidRPr="00491647">
        <w:fldChar w:fldCharType="begin"/>
      </w:r>
      <w:r w:rsidRPr="00491647">
        <w:instrText xml:space="preserve"> HYPERLINK \l "contents" </w:instrText>
      </w:r>
      <w:r w:rsidRPr="00491647">
        <w:fldChar w:fldCharType="separate"/>
      </w:r>
      <w:r w:rsidR="00BC7051" w:rsidRPr="00491647">
        <w:rPr>
          <w:rStyle w:val="Hyperlink"/>
        </w:rPr>
        <w:t>Back to Contents</w:t>
      </w:r>
      <w:r w:rsidRPr="00491647">
        <w:rPr>
          <w:rStyle w:val="Hyperlink"/>
        </w:rPr>
        <w:fldChar w:fldCharType="end"/>
      </w:r>
    </w:p>
    <w:p w14:paraId="174F1111" w14:textId="7182A3AF" w:rsidR="00AB58EB" w:rsidRPr="00491647" w:rsidRDefault="00AB58EB" w:rsidP="00B82DB8">
      <w:pPr>
        <w:pStyle w:val="Heading3"/>
        <w:keepNext w:val="0"/>
        <w:keepLines w:val="0"/>
        <w:widowControl w:val="0"/>
        <w:tabs>
          <w:tab w:val="left" w:pos="284"/>
        </w:tabs>
      </w:pPr>
      <w:bookmarkStart w:id="22" w:name="_Toc146698531"/>
      <w:bookmarkStart w:id="23" w:name="_Toc178601166"/>
      <w:r w:rsidRPr="00491647">
        <w:t>Exclusion</w:t>
      </w:r>
      <w:bookmarkEnd w:id="22"/>
      <w:bookmarkEnd w:id="23"/>
    </w:p>
    <w:p w14:paraId="13734315" w14:textId="1573AACD" w:rsidR="00C055C1" w:rsidRPr="00491647" w:rsidRDefault="00C055C1" w:rsidP="00B82DB8">
      <w:pPr>
        <w:pStyle w:val="ListParagraph"/>
        <w:widowControl w:val="0"/>
      </w:pPr>
      <w:r w:rsidRPr="00491647">
        <w:lastRenderedPageBreak/>
        <w:t>Decision makers must consider whether there are serious reasons for considering whether one (or more) of the exclusion clauses is applicable. Each case must be considered on its individual facts and merits.</w:t>
      </w:r>
      <w:r w:rsidR="00F5694D">
        <w:t xml:space="preserve"> </w:t>
      </w:r>
      <w:r w:rsidRPr="00491647">
        <w:rPr>
          <w:rFonts w:eastAsia="Calibri"/>
        </w:rPr>
        <w:t xml:space="preserve"> </w:t>
      </w:r>
    </w:p>
    <w:p w14:paraId="47E14097" w14:textId="007E9A2F" w:rsidR="00C055C1" w:rsidRPr="00491647" w:rsidRDefault="00C055C1" w:rsidP="00B82DB8">
      <w:pPr>
        <w:pStyle w:val="ListParagraph"/>
        <w:widowControl w:val="0"/>
      </w:pPr>
      <w:r w:rsidRPr="00491647">
        <w:t>If the person is excluded from the Refugee Convention, they will also be excluded from a grant of humanitarian protection</w:t>
      </w:r>
      <w:r w:rsidR="00DB6F03" w:rsidRPr="00491647">
        <w:t xml:space="preserve"> </w:t>
      </w:r>
      <w:r w:rsidR="00DB6F03" w:rsidRPr="00491647">
        <w:rPr>
          <w:rFonts w:eastAsia="Calibri"/>
        </w:rPr>
        <w:t>(which has a wider range of exclusions than refugee status)</w:t>
      </w:r>
      <w:r w:rsidRPr="00491647">
        <w:t>.</w:t>
      </w:r>
      <w:r w:rsidR="00F5694D">
        <w:t xml:space="preserve"> </w:t>
      </w:r>
    </w:p>
    <w:p w14:paraId="3C7F0CF0" w14:textId="02E9CC9C" w:rsidR="00F60A09" w:rsidRPr="00491647" w:rsidRDefault="00C055C1" w:rsidP="00B82DB8">
      <w:pPr>
        <w:pStyle w:val="ListParagraph"/>
        <w:widowControl w:val="0"/>
        <w:rPr>
          <w:szCs w:val="24"/>
        </w:rPr>
      </w:pPr>
      <w:r>
        <w:t xml:space="preserve">For guidance on exclusion and restricted leave, see the Asylum Instruction on </w:t>
      </w:r>
      <w:hyperlink r:id="rId19">
        <w:r w:rsidRPr="32BE9D94">
          <w:rPr>
            <w:color w:val="0000FF"/>
            <w:u w:val="single"/>
          </w:rPr>
          <w:t>Exclusion under Articles 1F and 33(2) of the Refugee Convention</w:t>
        </w:r>
      </w:hyperlink>
      <w:r>
        <w:t xml:space="preserve">, </w:t>
      </w:r>
      <w:hyperlink r:id="rId20">
        <w:r w:rsidRPr="32BE9D94">
          <w:rPr>
            <w:rStyle w:val="Hyperlink"/>
            <w:rFonts w:eastAsia="Calibri"/>
          </w:rPr>
          <w:t>Humanitarian Protection</w:t>
        </w:r>
      </w:hyperlink>
      <w:r>
        <w:t xml:space="preserve"> and</w:t>
      </w:r>
      <w:r w:rsidR="00FB3FB3">
        <w:t xml:space="preserve"> the instruction on</w:t>
      </w:r>
      <w:r>
        <w:t xml:space="preserve"> </w:t>
      </w:r>
      <w:hyperlink r:id="rId21">
        <w:r w:rsidRPr="32BE9D94">
          <w:rPr>
            <w:color w:val="0000FF"/>
            <w:u w:val="single"/>
          </w:rPr>
          <w:t>Restricted Leave</w:t>
        </w:r>
      </w:hyperlink>
      <w:r>
        <w:t>.</w:t>
      </w:r>
    </w:p>
    <w:bookmarkStart w:id="24" w:name="_Hlk71125251"/>
    <w:p w14:paraId="0456879D" w14:textId="76C3E72D" w:rsidR="00CE0811" w:rsidRDefault="007C7BD8" w:rsidP="00B82DB8">
      <w:pPr>
        <w:pStyle w:val="Backtocontents"/>
        <w:widowControl w:val="0"/>
        <w:rPr>
          <w:rStyle w:val="Hyperlink"/>
        </w:rPr>
      </w:pPr>
      <w:r>
        <w:fldChar w:fldCharType="begin"/>
      </w:r>
      <w:r>
        <w:instrText>HYPERLINK \l "contents"</w:instrText>
      </w:r>
      <w:r>
        <w:fldChar w:fldCharType="separate"/>
      </w:r>
      <w:r w:rsidR="00922871" w:rsidRPr="00DD7ED2">
        <w:rPr>
          <w:rStyle w:val="Hyperlink"/>
        </w:rPr>
        <w:t>Back to Contents</w:t>
      </w:r>
      <w:r>
        <w:rPr>
          <w:rStyle w:val="Hyperlink"/>
        </w:rPr>
        <w:fldChar w:fldCharType="end"/>
      </w:r>
    </w:p>
    <w:p w14:paraId="54889505" w14:textId="70E2CF7B" w:rsidR="00A77927" w:rsidRPr="00A77927" w:rsidRDefault="00A77927" w:rsidP="00B82DB8">
      <w:pPr>
        <w:pStyle w:val="Sectionupdate"/>
        <w:widowControl w:val="0"/>
      </w:pPr>
      <w:r w:rsidRPr="00A77927">
        <w:t>Section updated: 19 September 2023</w:t>
      </w:r>
    </w:p>
    <w:p w14:paraId="7293A2C6" w14:textId="5428FF25" w:rsidR="00AB58EB" w:rsidRPr="00DD7ED2" w:rsidRDefault="00F60A09" w:rsidP="00B82DB8">
      <w:pPr>
        <w:pStyle w:val="Heading2"/>
        <w:keepNext w:val="0"/>
        <w:keepLines w:val="0"/>
        <w:widowControl w:val="0"/>
      </w:pPr>
      <w:bookmarkStart w:id="25" w:name="_Toc146698532"/>
      <w:bookmarkStart w:id="26" w:name="_Toc178601167"/>
      <w:bookmarkEnd w:id="24"/>
      <w:r w:rsidRPr="006819D3">
        <w:t>C</w:t>
      </w:r>
      <w:r w:rsidR="005014C1" w:rsidRPr="006819D3">
        <w:t>onvention</w:t>
      </w:r>
      <w:r w:rsidR="005014C1" w:rsidRPr="00DD7ED2">
        <w:t xml:space="preserve"> r</w:t>
      </w:r>
      <w:r w:rsidR="00AB58EB" w:rsidRPr="00DD7ED2">
        <w:t>eason</w:t>
      </w:r>
      <w:r w:rsidRPr="00DD7ED2">
        <w:t>(s)</w:t>
      </w:r>
      <w:bookmarkEnd w:id="25"/>
      <w:bookmarkEnd w:id="26"/>
    </w:p>
    <w:p w14:paraId="3B69202D" w14:textId="797451E0" w:rsidR="00E03D59" w:rsidRPr="002F251D" w:rsidRDefault="00E03D59" w:rsidP="00B82DB8">
      <w:pPr>
        <w:pStyle w:val="ListParagraph"/>
        <w:widowControl w:val="0"/>
      </w:pPr>
      <w:bookmarkStart w:id="27" w:name="_Hlk50623350"/>
      <w:r w:rsidRPr="002F251D">
        <w:t xml:space="preserve">Actual </w:t>
      </w:r>
      <w:r w:rsidR="00BF7C3C" w:rsidRPr="002F251D">
        <w:t xml:space="preserve">or imputed </w:t>
      </w:r>
      <w:r w:rsidR="00BC7DD4" w:rsidRPr="002F251D">
        <w:t>particular social group (PSG)</w:t>
      </w:r>
      <w:r w:rsidR="00395D3F">
        <w:t>.</w:t>
      </w:r>
    </w:p>
    <w:p w14:paraId="37C7FB62" w14:textId="72C13753" w:rsidR="00B312B1" w:rsidRPr="002F251D" w:rsidRDefault="00B312B1" w:rsidP="00B82DB8">
      <w:pPr>
        <w:pStyle w:val="ListParagraph"/>
        <w:widowControl w:val="0"/>
      </w:pPr>
      <w:r w:rsidRPr="002F251D">
        <w:t xml:space="preserve">LGBTI persons </w:t>
      </w:r>
      <w:r w:rsidR="00491647" w:rsidRPr="002F251D">
        <w:t xml:space="preserve">in Georgia </w:t>
      </w:r>
      <w:r w:rsidRPr="002F251D">
        <w:t>form a PSG</w:t>
      </w:r>
      <w:r w:rsidR="00A30BFE" w:rsidRPr="002F251D">
        <w:t xml:space="preserve"> </w:t>
      </w:r>
      <w:r w:rsidRPr="002F251D">
        <w:t>within the meaning of the Refugee Convention because they share an innate characteristic</w:t>
      </w:r>
      <w:r w:rsidR="00491647" w:rsidRPr="002F251D">
        <w:t>,</w:t>
      </w:r>
      <w:r w:rsidRPr="002F251D">
        <w:t xml:space="preserve"> or a common background that cannot be changed, or share a characteristic or belief that is so fundamental to identity or conscience that a person should not be forced to renounce it </w:t>
      </w:r>
      <w:r w:rsidRPr="002F251D">
        <w:rPr>
          <w:b/>
        </w:rPr>
        <w:t>and</w:t>
      </w:r>
      <w:r w:rsidRPr="002F251D">
        <w:t xml:space="preserve"> have a distinct identity in </w:t>
      </w:r>
      <w:r w:rsidR="00A30BFE" w:rsidRPr="002F251D">
        <w:t xml:space="preserve">Georgia </w:t>
      </w:r>
      <w:r w:rsidRPr="002F251D">
        <w:t>because the group is perceived as being different by the surrounding society.</w:t>
      </w:r>
    </w:p>
    <w:p w14:paraId="0E03C256" w14:textId="0A74F621" w:rsidR="00B312B1" w:rsidRPr="002F251D" w:rsidRDefault="00B312B1" w:rsidP="00B82DB8">
      <w:pPr>
        <w:pStyle w:val="ListParagraph"/>
        <w:widowControl w:val="0"/>
        <w:rPr>
          <w:szCs w:val="24"/>
        </w:rPr>
      </w:pPr>
      <w:r>
        <w:t xml:space="preserve">Although </w:t>
      </w:r>
      <w:r w:rsidR="00A30BFE">
        <w:t>LGBTI persons</w:t>
      </w:r>
      <w:r w:rsidR="002F251D">
        <w:t xml:space="preserve"> in Georgia</w:t>
      </w:r>
      <w:r w:rsidR="00A30BFE">
        <w:t xml:space="preserve"> </w:t>
      </w:r>
      <w:r>
        <w:t>form a PSG, establishing such membership is not sufficient to be recognised as a refugee. The question is whether the person</w:t>
      </w:r>
      <w:r w:rsidR="002F251D">
        <w:t xml:space="preserve"> will face a real risk or</w:t>
      </w:r>
      <w:r>
        <w:t xml:space="preserve"> </w:t>
      </w:r>
      <w:r w:rsidRPr="002F251D">
        <w:rPr>
          <w:rFonts w:eastAsia="Calibri"/>
        </w:rPr>
        <w:t xml:space="preserve">has a well-founded fear </w:t>
      </w:r>
      <w:r>
        <w:t xml:space="preserve">of persecution on account of their membership of </w:t>
      </w:r>
      <w:r w:rsidR="002F251D">
        <w:t>the</w:t>
      </w:r>
      <w:r>
        <w:t xml:space="preserve"> group.</w:t>
      </w:r>
    </w:p>
    <w:bookmarkEnd w:id="27"/>
    <w:p w14:paraId="0DFC44F2" w14:textId="7CF84BBE" w:rsidR="00CE0811" w:rsidRPr="002F251D" w:rsidRDefault="005E4E74" w:rsidP="00B82DB8">
      <w:pPr>
        <w:pStyle w:val="ListParagraph"/>
        <w:widowControl w:val="0"/>
        <w:rPr>
          <w:rStyle w:val="Hyperlink"/>
          <w:color w:val="auto"/>
          <w:u w:val="none"/>
        </w:rPr>
      </w:pPr>
      <w:r>
        <w:t xml:space="preserve">For further guidance on the 5 Refugee Convention grounds see the Asylum Instruction, </w:t>
      </w:r>
      <w:hyperlink r:id="rId22">
        <w:r w:rsidRPr="32BE9D94">
          <w:rPr>
            <w:color w:val="0000FF"/>
            <w:u w:val="single"/>
          </w:rPr>
          <w:t>Assessing Credibility and Refugee Status</w:t>
        </w:r>
      </w:hyperlink>
      <w:r>
        <w:t>.</w:t>
      </w:r>
    </w:p>
    <w:bookmarkStart w:id="28" w:name="_Hlk146620197"/>
    <w:p w14:paraId="7A644B05" w14:textId="7CA91F3C" w:rsidR="00CE0811" w:rsidRDefault="00970C33" w:rsidP="00B82DB8">
      <w:pPr>
        <w:pStyle w:val="Backtocontents"/>
        <w:widowControl w:val="0"/>
        <w:rPr>
          <w:rStyle w:val="Hyperlink"/>
        </w:rPr>
      </w:pPr>
      <w:r>
        <w:fldChar w:fldCharType="begin"/>
      </w:r>
      <w:r>
        <w:instrText>HYPERLINK \l "contents"</w:instrText>
      </w:r>
      <w:r>
        <w:fldChar w:fldCharType="separate"/>
      </w:r>
      <w:r w:rsidR="00922871" w:rsidRPr="00DD7ED2">
        <w:rPr>
          <w:rStyle w:val="Hyperlink"/>
        </w:rPr>
        <w:t>Back to Contents</w:t>
      </w:r>
      <w:r>
        <w:rPr>
          <w:rStyle w:val="Hyperlink"/>
        </w:rPr>
        <w:fldChar w:fldCharType="end"/>
      </w:r>
    </w:p>
    <w:bookmarkEnd w:id="28"/>
    <w:p w14:paraId="7F20450B" w14:textId="379E6C71" w:rsidR="00A77927" w:rsidRPr="00A77927" w:rsidRDefault="00A77927" w:rsidP="00B82DB8">
      <w:pPr>
        <w:pStyle w:val="Sectionupdate"/>
        <w:widowControl w:val="0"/>
      </w:pPr>
      <w:r w:rsidRPr="00A77927">
        <w:t>Section updated: 19 September 2023</w:t>
      </w:r>
    </w:p>
    <w:p w14:paraId="1E658EC4" w14:textId="646E229C" w:rsidR="00AB58EB" w:rsidRPr="00DD7ED2" w:rsidRDefault="00AB58EB" w:rsidP="00B82DB8">
      <w:pPr>
        <w:pStyle w:val="Heading2"/>
        <w:keepNext w:val="0"/>
        <w:keepLines w:val="0"/>
        <w:widowControl w:val="0"/>
      </w:pPr>
      <w:bookmarkStart w:id="29" w:name="_Toc146698533"/>
      <w:bookmarkStart w:id="30" w:name="_Toc178601168"/>
      <w:r w:rsidRPr="006819D3">
        <w:t>Risk</w:t>
      </w:r>
      <w:bookmarkEnd w:id="29"/>
      <w:bookmarkEnd w:id="30"/>
    </w:p>
    <w:p w14:paraId="1D16EB96" w14:textId="114B7EA4" w:rsidR="00B37C39" w:rsidRPr="003D2397" w:rsidRDefault="00E750AB" w:rsidP="00B82DB8">
      <w:pPr>
        <w:pStyle w:val="Heading3"/>
        <w:keepNext w:val="0"/>
        <w:keepLines w:val="0"/>
        <w:widowControl w:val="0"/>
      </w:pPr>
      <w:bookmarkStart w:id="31" w:name="_Toc146698534"/>
      <w:bookmarkStart w:id="32" w:name="_Hlk146620340"/>
      <w:bookmarkStart w:id="33" w:name="_Toc178601169"/>
      <w:r>
        <w:t>Risk from the state</w:t>
      </w:r>
      <w:bookmarkEnd w:id="31"/>
      <w:bookmarkEnd w:id="33"/>
    </w:p>
    <w:bookmarkEnd w:id="32"/>
    <w:p w14:paraId="52475099" w14:textId="76535098" w:rsidR="00974CEB" w:rsidRDefault="00974CEB" w:rsidP="00B82DB8">
      <w:pPr>
        <w:pStyle w:val="ListParagraph"/>
        <w:widowControl w:val="0"/>
      </w:pPr>
      <w:r w:rsidRPr="0077260A">
        <w:t xml:space="preserve">In general, </w:t>
      </w:r>
      <w:r w:rsidR="0054377A" w:rsidRPr="0077260A">
        <w:t>LGBTI persons</w:t>
      </w:r>
      <w:r w:rsidR="0054377A">
        <w:t xml:space="preserve"> do not</w:t>
      </w:r>
      <w:r w:rsidRPr="0077260A">
        <w:t xml:space="preserve"> face treatment </w:t>
      </w:r>
      <w:r>
        <w:t xml:space="preserve">from state actors </w:t>
      </w:r>
      <w:r w:rsidRPr="0077260A">
        <w:t>which is sufficiently serious by its nature or repetition, or by an accumulation of measures, that amounts to persecution or serious</w:t>
      </w:r>
      <w:r w:rsidR="00B82DB8">
        <w:t xml:space="preserve"> harm</w:t>
      </w:r>
      <w:r w:rsidRPr="0077260A">
        <w:t xml:space="preserve">. The onus is on the person to demonstrate otherwise. </w:t>
      </w:r>
    </w:p>
    <w:p w14:paraId="271AC431" w14:textId="17A484E2" w:rsidR="00B35AD3" w:rsidRPr="00E908AE" w:rsidRDefault="00B35AD3" w:rsidP="00B82DB8">
      <w:pPr>
        <w:pStyle w:val="ListParagraph"/>
        <w:widowControl w:val="0"/>
        <w:rPr>
          <w:rStyle w:val="BacktocontentsChar"/>
          <w:color w:val="auto"/>
          <w:u w:val="none"/>
        </w:rPr>
      </w:pPr>
      <w:r w:rsidRPr="001B1CD3">
        <w:t xml:space="preserve">Consensual same-sex sexual </w:t>
      </w:r>
      <w:r>
        <w:t>act</w:t>
      </w:r>
      <w:r w:rsidR="731E1290">
        <w:t>i</w:t>
      </w:r>
      <w:r>
        <w:t>vity</w:t>
      </w:r>
      <w:r w:rsidRPr="001B1CD3">
        <w:t xml:space="preserve"> is not criminalized for men or women</w:t>
      </w:r>
      <w:r>
        <w:t xml:space="preserve">. (See </w:t>
      </w:r>
      <w:r w:rsidRPr="00A65F7C">
        <w:rPr>
          <w:rStyle w:val="BacktocontentsChar"/>
        </w:rPr>
        <w:fldChar w:fldCharType="begin"/>
      </w:r>
      <w:r w:rsidRPr="00A65F7C">
        <w:rPr>
          <w:rStyle w:val="BacktocontentsChar"/>
        </w:rPr>
        <w:instrText xml:space="preserve"> REF _Ref145350315 \h </w:instrText>
      </w:r>
      <w:r>
        <w:rPr>
          <w:rStyle w:val="BacktocontentsChar"/>
        </w:rPr>
        <w:instrText xml:space="preserve"> \* MERGEFORMAT </w:instrText>
      </w:r>
      <w:r w:rsidRPr="00A65F7C">
        <w:rPr>
          <w:rStyle w:val="BacktocontentsChar"/>
        </w:rPr>
      </w:r>
      <w:r w:rsidRPr="00A65F7C">
        <w:rPr>
          <w:rStyle w:val="BacktocontentsChar"/>
        </w:rPr>
        <w:fldChar w:fldCharType="separate"/>
      </w:r>
      <w:r w:rsidRPr="00A65F7C">
        <w:rPr>
          <w:rStyle w:val="BacktocontentsChar"/>
        </w:rPr>
        <w:t>Criminal Code</w:t>
      </w:r>
      <w:r w:rsidRPr="00A65F7C">
        <w:rPr>
          <w:rStyle w:val="BacktocontentsChar"/>
        </w:rPr>
        <w:fldChar w:fldCharType="end"/>
      </w:r>
      <w:r w:rsidR="005065EC" w:rsidRPr="005065EC">
        <w:rPr>
          <w:rStyle w:val="BacktocontentsChar"/>
          <w:color w:val="auto"/>
          <w:u w:val="none"/>
        </w:rPr>
        <w:t>).</w:t>
      </w:r>
    </w:p>
    <w:p w14:paraId="48E54E1D" w14:textId="61F4994F" w:rsidR="00B35AD3" w:rsidRDefault="00B35AD3" w:rsidP="00B82DB8">
      <w:pPr>
        <w:pStyle w:val="ListParagraph"/>
        <w:widowControl w:val="0"/>
      </w:pPr>
      <w:r>
        <w:t>While the</w:t>
      </w:r>
      <w:r w:rsidRPr="00F9056E">
        <w:t xml:space="preserve"> Constitution does not specifically list sexual orientation and gender identity</w:t>
      </w:r>
      <w:r>
        <w:t xml:space="preserve"> </w:t>
      </w:r>
      <w:r w:rsidRPr="00F9056E">
        <w:t xml:space="preserve">among the prohibited grounds for discrimination, </w:t>
      </w:r>
      <w:r>
        <w:t xml:space="preserve">in 2014 </w:t>
      </w:r>
      <w:r w:rsidRPr="00F9056E">
        <w:t>the Constitutional Court ruled that protected grounds should be interpreted as including sexual orientation</w:t>
      </w:r>
      <w:r>
        <w:t>.</w:t>
      </w:r>
      <w:r w:rsidRPr="00E908AE">
        <w:t xml:space="preserve"> </w:t>
      </w:r>
      <w:r>
        <w:t>While</w:t>
      </w:r>
      <w:r w:rsidRPr="00E908AE">
        <w:t xml:space="preserve"> </w:t>
      </w:r>
      <w:r>
        <w:t xml:space="preserve">positive </w:t>
      </w:r>
      <w:r w:rsidRPr="00E908AE">
        <w:t xml:space="preserve">changes to law and policy </w:t>
      </w:r>
      <w:r>
        <w:t>have been introduced as part of the EU-accession process, sources claim that</w:t>
      </w:r>
      <w:r w:rsidRPr="00E908AE">
        <w:t xml:space="preserve"> LGBTI persons</w:t>
      </w:r>
      <w:r>
        <w:t xml:space="preserve"> remain overlooked and that the existing protections from discrimination are ineffective (See </w:t>
      </w:r>
      <w:r w:rsidRPr="00A65F7C">
        <w:rPr>
          <w:rStyle w:val="BacktocontentsChar"/>
        </w:rPr>
        <w:fldChar w:fldCharType="begin"/>
      </w:r>
      <w:r w:rsidRPr="00A65F7C">
        <w:rPr>
          <w:rStyle w:val="BacktocontentsChar"/>
        </w:rPr>
        <w:instrText xml:space="preserve"> REF _Ref145350328 \h </w:instrText>
      </w:r>
      <w:r>
        <w:rPr>
          <w:rStyle w:val="BacktocontentsChar"/>
        </w:rPr>
        <w:instrText xml:space="preserve"> \* MERGEFORMAT </w:instrText>
      </w:r>
      <w:r w:rsidRPr="00A65F7C">
        <w:rPr>
          <w:rStyle w:val="BacktocontentsChar"/>
        </w:rPr>
      </w:r>
      <w:r w:rsidRPr="00A65F7C">
        <w:rPr>
          <w:rStyle w:val="BacktocontentsChar"/>
        </w:rPr>
        <w:fldChar w:fldCharType="separate"/>
      </w:r>
      <w:r w:rsidRPr="00A65F7C">
        <w:rPr>
          <w:rStyle w:val="BacktocontentsChar"/>
        </w:rPr>
        <w:t>Anti-discrimination</w:t>
      </w:r>
      <w:r w:rsidRPr="00A65F7C">
        <w:rPr>
          <w:rStyle w:val="BacktocontentsChar"/>
        </w:rPr>
        <w:fldChar w:fldCharType="end"/>
      </w:r>
      <w:r>
        <w:t xml:space="preserve"> and </w:t>
      </w:r>
      <w:r w:rsidRPr="007F4D8B">
        <w:rPr>
          <w:rStyle w:val="BacktocontentsChar"/>
        </w:rPr>
        <w:fldChar w:fldCharType="begin"/>
      </w:r>
      <w:r w:rsidRPr="007F4D8B">
        <w:rPr>
          <w:rStyle w:val="BacktocontentsChar"/>
        </w:rPr>
        <w:instrText xml:space="preserve"> REF _Ref145414986 \h </w:instrText>
      </w:r>
      <w:r>
        <w:rPr>
          <w:rStyle w:val="BacktocontentsChar"/>
        </w:rPr>
        <w:instrText xml:space="preserve"> \* MERGEFORMAT </w:instrText>
      </w:r>
      <w:r w:rsidRPr="007F4D8B">
        <w:rPr>
          <w:rStyle w:val="BacktocontentsChar"/>
        </w:rPr>
      </w:r>
      <w:r w:rsidRPr="007F4D8B">
        <w:rPr>
          <w:rStyle w:val="BacktocontentsChar"/>
        </w:rPr>
        <w:fldChar w:fldCharType="separate"/>
      </w:r>
      <w:r w:rsidRPr="007F4D8B">
        <w:rPr>
          <w:rStyle w:val="BacktocontentsChar"/>
        </w:rPr>
        <w:t>Policy framework</w:t>
      </w:r>
      <w:r w:rsidRPr="007F4D8B">
        <w:rPr>
          <w:rStyle w:val="BacktocontentsChar"/>
        </w:rPr>
        <w:fldChar w:fldCharType="end"/>
      </w:r>
      <w:r>
        <w:t>).</w:t>
      </w:r>
    </w:p>
    <w:p w14:paraId="4D149AA7" w14:textId="1135ADCC" w:rsidR="00FE2875" w:rsidRDefault="00FE2875" w:rsidP="00B82DB8">
      <w:pPr>
        <w:pStyle w:val="ListParagraph"/>
        <w:widowControl w:val="0"/>
      </w:pPr>
      <w:r w:rsidRPr="00FE2875">
        <w:t>Prime Minister Irakli Gharibashvili</w:t>
      </w:r>
      <w:r>
        <w:t xml:space="preserve"> and other public officials </w:t>
      </w:r>
      <w:r w:rsidR="00DA2DE3">
        <w:t xml:space="preserve">occasionally </w:t>
      </w:r>
      <w:r>
        <w:lastRenderedPageBreak/>
        <w:t>make anti-LGBTI statements</w:t>
      </w:r>
      <w:r w:rsidR="005440E1">
        <w:t>, including claims about gay ‘propaganda’,</w:t>
      </w:r>
      <w:r>
        <w:t xml:space="preserve"> as part of </w:t>
      </w:r>
      <w:r w:rsidR="00055506">
        <w:t xml:space="preserve">a </w:t>
      </w:r>
      <w:r>
        <w:t xml:space="preserve">wider anti-European </w:t>
      </w:r>
      <w:r w:rsidR="00055506">
        <w:t xml:space="preserve">and anti-liberal </w:t>
      </w:r>
      <w:r>
        <w:t xml:space="preserve">rhetoric </w:t>
      </w:r>
      <w:r w:rsidR="00055506">
        <w:t>tied in with</w:t>
      </w:r>
      <w:r>
        <w:t xml:space="preserve"> </w:t>
      </w:r>
      <w:r w:rsidR="005440E1">
        <w:t xml:space="preserve">the </w:t>
      </w:r>
      <w:r>
        <w:t>promot</w:t>
      </w:r>
      <w:r w:rsidR="005440E1">
        <w:t>ion of</w:t>
      </w:r>
      <w:r>
        <w:t xml:space="preserve"> ‘traditional’ Georgian values</w:t>
      </w:r>
      <w:r w:rsidR="005440E1">
        <w:t xml:space="preserve">, which appeals to </w:t>
      </w:r>
      <w:r>
        <w:t>far-right voters</w:t>
      </w:r>
      <w:r w:rsidR="00DA2DE3">
        <w:t xml:space="preserve"> and can exacerbate</w:t>
      </w:r>
      <w:r w:rsidR="00E3163D">
        <w:t xml:space="preserve"> </w:t>
      </w:r>
      <w:proofErr w:type="spellStart"/>
      <w:r w:rsidR="00E3163D">
        <w:t>marginalisatoin</w:t>
      </w:r>
      <w:proofErr w:type="spellEnd"/>
      <w:r w:rsidR="00E3163D">
        <w:t xml:space="preserve"> of LGBTI persons</w:t>
      </w:r>
      <w:r w:rsidR="008207A5">
        <w:t xml:space="preserve"> (s</w:t>
      </w:r>
      <w:r>
        <w:t xml:space="preserve">ee </w:t>
      </w:r>
      <w:r w:rsidRPr="00FE2875">
        <w:rPr>
          <w:rStyle w:val="BacktocontentsChar"/>
        </w:rPr>
        <w:fldChar w:fldCharType="begin"/>
      </w:r>
      <w:r w:rsidRPr="00FE2875">
        <w:rPr>
          <w:rStyle w:val="BacktocontentsChar"/>
        </w:rPr>
        <w:instrText xml:space="preserve"> REF _Ref145413036 \h </w:instrText>
      </w:r>
      <w:r>
        <w:rPr>
          <w:rStyle w:val="BacktocontentsChar"/>
        </w:rPr>
        <w:instrText xml:space="preserve"> \* MERGEFORMAT </w:instrText>
      </w:r>
      <w:r w:rsidRPr="00FE2875">
        <w:rPr>
          <w:rStyle w:val="BacktocontentsChar"/>
        </w:rPr>
      </w:r>
      <w:r w:rsidRPr="00FE2875">
        <w:rPr>
          <w:rStyle w:val="BacktocontentsChar"/>
        </w:rPr>
        <w:fldChar w:fldCharType="separate"/>
      </w:r>
      <w:r w:rsidRPr="00FE2875">
        <w:rPr>
          <w:rStyle w:val="BacktocontentsChar"/>
        </w:rPr>
        <w:t>State attitudes</w:t>
      </w:r>
      <w:r w:rsidRPr="00FE2875">
        <w:rPr>
          <w:rStyle w:val="BacktocontentsChar"/>
        </w:rPr>
        <w:fldChar w:fldCharType="end"/>
      </w:r>
      <w:r w:rsidR="008207A5">
        <w:t>).</w:t>
      </w:r>
    </w:p>
    <w:p w14:paraId="36E9E8CA" w14:textId="1F2DD353" w:rsidR="005B29C7" w:rsidRPr="005B29C7" w:rsidRDefault="009506D7" w:rsidP="00B82DB8">
      <w:pPr>
        <w:pStyle w:val="ListParagraph"/>
        <w:widowControl w:val="0"/>
        <w:rPr>
          <w:color w:val="0000FF" w:themeColor="hyperlink"/>
        </w:rPr>
      </w:pPr>
      <w:r>
        <w:t>There is no evidence to support that state actors</w:t>
      </w:r>
      <w:r w:rsidR="00F5694D">
        <w:t xml:space="preserve"> </w:t>
      </w:r>
      <w:r>
        <w:t xml:space="preserve">systematically target LGBTI persons. </w:t>
      </w:r>
      <w:r w:rsidR="00DC0C7B">
        <w:t xml:space="preserve">The majority of reports of human rights violations against LGBTI persons relate to </w:t>
      </w:r>
      <w:r w:rsidR="006A45F1">
        <w:t>acts committed by non-state actors during public events such as Pride</w:t>
      </w:r>
      <w:r w:rsidR="005B29C7">
        <w:t xml:space="preserve">. </w:t>
      </w:r>
      <w:r w:rsidR="00F30F61">
        <w:t xml:space="preserve">For an assessment of the protection afforded by the state to members of the LGBTI community, see </w:t>
      </w:r>
      <w:hyperlink w:anchor="_Protection">
        <w:r w:rsidR="00F30F61" w:rsidRPr="32BE9D94">
          <w:rPr>
            <w:rStyle w:val="Hyperlink"/>
          </w:rPr>
          <w:t>Protection</w:t>
        </w:r>
      </w:hyperlink>
      <w:r w:rsidR="00F30F61">
        <w:t xml:space="preserve">. </w:t>
      </w:r>
    </w:p>
    <w:p w14:paraId="2B3315F1" w14:textId="26AA7296" w:rsidR="00B35AD3" w:rsidRDefault="00B35AD3" w:rsidP="00B82DB8">
      <w:pPr>
        <w:pStyle w:val="ListParagraph"/>
        <w:widowControl w:val="0"/>
      </w:pPr>
      <w:r w:rsidRPr="00A65F7C">
        <w:t>There is no provision in Georgian law for same sex marriages or civil partnerships</w:t>
      </w:r>
      <w:r>
        <w:t xml:space="preserve">. </w:t>
      </w:r>
      <w:r w:rsidRPr="00CD455D">
        <w:t>Conversion therapy is not banned</w:t>
      </w:r>
      <w:r>
        <w:t xml:space="preserve"> but there is limited information on the use of conversion techniques i</w:t>
      </w:r>
      <w:r w:rsidR="000755E1">
        <w:t>n</w:t>
      </w:r>
      <w:r>
        <w:t xml:space="preserve"> practice (See </w:t>
      </w:r>
      <w:r w:rsidRPr="0077260A">
        <w:rPr>
          <w:rStyle w:val="BacktocontentsChar"/>
        </w:rPr>
        <w:fldChar w:fldCharType="begin"/>
      </w:r>
      <w:r w:rsidRPr="0077260A">
        <w:rPr>
          <w:rStyle w:val="BacktocontentsChar"/>
        </w:rPr>
        <w:instrText xml:space="preserve"> REF _Ref145353072 \h </w:instrText>
      </w:r>
      <w:r>
        <w:rPr>
          <w:rStyle w:val="BacktocontentsChar"/>
        </w:rPr>
        <w:instrText xml:space="preserve"> \* MERGEFORMAT </w:instrText>
      </w:r>
      <w:r w:rsidRPr="0077260A">
        <w:rPr>
          <w:rStyle w:val="BacktocontentsChar"/>
        </w:rPr>
      </w:r>
      <w:r w:rsidRPr="0077260A">
        <w:rPr>
          <w:rStyle w:val="BacktocontentsChar"/>
        </w:rPr>
        <w:fldChar w:fldCharType="separate"/>
      </w:r>
      <w:r w:rsidRPr="0077260A">
        <w:rPr>
          <w:rStyle w:val="BacktocontentsChar"/>
        </w:rPr>
        <w:t>Marriage and civil union</w:t>
      </w:r>
      <w:r w:rsidRPr="0077260A">
        <w:rPr>
          <w:rStyle w:val="BacktocontentsChar"/>
        </w:rPr>
        <w:fldChar w:fldCharType="end"/>
      </w:r>
      <w:r>
        <w:t xml:space="preserve"> and </w:t>
      </w:r>
      <w:r w:rsidRPr="0077260A">
        <w:rPr>
          <w:rStyle w:val="BacktocontentsChar"/>
        </w:rPr>
        <w:fldChar w:fldCharType="begin"/>
      </w:r>
      <w:r w:rsidRPr="0077260A">
        <w:rPr>
          <w:rStyle w:val="BacktocontentsChar"/>
        </w:rPr>
        <w:instrText xml:space="preserve"> REF _Ref145353085 \h </w:instrText>
      </w:r>
      <w:r>
        <w:rPr>
          <w:rStyle w:val="BacktocontentsChar"/>
        </w:rPr>
        <w:instrText xml:space="preserve"> \* MERGEFORMAT </w:instrText>
      </w:r>
      <w:r w:rsidRPr="0077260A">
        <w:rPr>
          <w:rStyle w:val="BacktocontentsChar"/>
        </w:rPr>
      </w:r>
      <w:r w:rsidRPr="0077260A">
        <w:rPr>
          <w:rStyle w:val="BacktocontentsChar"/>
        </w:rPr>
        <w:fldChar w:fldCharType="separate"/>
      </w:r>
      <w:r w:rsidRPr="0077260A">
        <w:rPr>
          <w:rStyle w:val="BacktocontentsChar"/>
        </w:rPr>
        <w:t>Conversion therapy</w:t>
      </w:r>
      <w:r w:rsidRPr="0077260A">
        <w:rPr>
          <w:rStyle w:val="BacktocontentsChar"/>
        </w:rPr>
        <w:fldChar w:fldCharType="end"/>
      </w:r>
      <w:r>
        <w:t>).</w:t>
      </w:r>
    </w:p>
    <w:p w14:paraId="61DD771F" w14:textId="77777777" w:rsidR="00B35AD3" w:rsidRDefault="00B35AD3" w:rsidP="00B82DB8">
      <w:pPr>
        <w:pStyle w:val="ListParagraph"/>
        <w:widowControl w:val="0"/>
        <w:rPr>
          <w:rStyle w:val="normaltextrun"/>
        </w:rPr>
      </w:pPr>
      <w:r w:rsidRPr="00CD455D">
        <w:t xml:space="preserve">There is no </w:t>
      </w:r>
      <w:r>
        <w:t>clear</w:t>
      </w:r>
      <w:r w:rsidRPr="00CD455D">
        <w:t xml:space="preserve"> legal </w:t>
      </w:r>
      <w:r>
        <w:t xml:space="preserve">framework covering </w:t>
      </w:r>
      <w:r w:rsidRPr="00CD455D">
        <w:t>gender recognition</w:t>
      </w:r>
      <w:r>
        <w:t>.</w:t>
      </w:r>
      <w:r w:rsidRPr="00CD455D">
        <w:t xml:space="preserve"> </w:t>
      </w:r>
      <w:r>
        <w:t>H</w:t>
      </w:r>
      <w:r w:rsidRPr="00CD455D">
        <w:t xml:space="preserve">owever, </w:t>
      </w:r>
      <w:r>
        <w:t>in practice, persons who undergo surgery can change their gender on</w:t>
      </w:r>
      <w:r w:rsidRPr="00CD455D">
        <w:t xml:space="preserve"> their birth certificate and other legal documents</w:t>
      </w:r>
      <w:r w:rsidRPr="00785EBB">
        <w:t xml:space="preserve">. </w:t>
      </w:r>
      <w:r w:rsidRPr="00785EBB">
        <w:rPr>
          <w:rStyle w:val="normaltextrun"/>
        </w:rPr>
        <w:t xml:space="preserve">A 2022 ruling by the European Court of Human Rights (ECtHR) found that Georgia had violated Article 8 of the </w:t>
      </w:r>
      <w:r w:rsidRPr="00785EBB">
        <w:t>European Convention on Human Rights (ECHR) by</w:t>
      </w:r>
      <w:r w:rsidRPr="00785EBB">
        <w:rPr>
          <w:rStyle w:val="normaltextrun"/>
        </w:rPr>
        <w:t xml:space="preserve"> refusing legal gender recognition for 3 transmen </w:t>
      </w:r>
      <w:r>
        <w:t>who</w:t>
      </w:r>
      <w:r w:rsidRPr="00785EBB">
        <w:t xml:space="preserve"> had not undergone sex reassignment surgery </w:t>
      </w:r>
      <w:r w:rsidRPr="00785EBB">
        <w:rPr>
          <w:rStyle w:val="normaltextrun"/>
        </w:rPr>
        <w:t xml:space="preserve">(See </w:t>
      </w:r>
      <w:hyperlink w:anchor="_Transgender_rights">
        <w:r w:rsidRPr="32BE9D94">
          <w:rPr>
            <w:rStyle w:val="Hyperlink"/>
          </w:rPr>
          <w:t>Transgender rights</w:t>
        </w:r>
      </w:hyperlink>
      <w:r w:rsidRPr="32BE9D94">
        <w:rPr>
          <w:rStyle w:val="normaltextrun"/>
        </w:rPr>
        <w:t>).</w:t>
      </w:r>
    </w:p>
    <w:p w14:paraId="7A0ECE26" w14:textId="7FF5A24F" w:rsidR="00830204" w:rsidRPr="00DC0C7B" w:rsidRDefault="00000000" w:rsidP="00B82DB8">
      <w:pPr>
        <w:pStyle w:val="ListParagraph"/>
        <w:widowControl w:val="0"/>
        <w:numPr>
          <w:ilvl w:val="0"/>
          <w:numId w:val="0"/>
        </w:numPr>
        <w:ind w:left="851"/>
        <w:jc w:val="right"/>
        <w:rPr>
          <w:color w:val="0000FF" w:themeColor="hyperlink"/>
        </w:rPr>
      </w:pPr>
      <w:hyperlink w:anchor="contents" w:history="1">
        <w:r w:rsidR="00830204" w:rsidRPr="00DD7ED2">
          <w:rPr>
            <w:rStyle w:val="Hyperlink"/>
          </w:rPr>
          <w:t>Back to Contents</w:t>
        </w:r>
      </w:hyperlink>
    </w:p>
    <w:p w14:paraId="1A695447" w14:textId="70F61489" w:rsidR="00E750AB" w:rsidRPr="003D2397" w:rsidRDefault="00E750AB" w:rsidP="00B82DB8">
      <w:pPr>
        <w:pStyle w:val="Heading3"/>
        <w:keepNext w:val="0"/>
        <w:keepLines w:val="0"/>
        <w:widowControl w:val="0"/>
      </w:pPr>
      <w:bookmarkStart w:id="34" w:name="_Toc146698535"/>
      <w:bookmarkStart w:id="35" w:name="_Toc178601170"/>
      <w:r>
        <w:t>Risk from non-state, including ‘rogue’ state, actors</w:t>
      </w:r>
      <w:bookmarkEnd w:id="34"/>
      <w:bookmarkEnd w:id="35"/>
    </w:p>
    <w:p w14:paraId="4EE5151A" w14:textId="19E4B729" w:rsidR="00403CDE" w:rsidRDefault="00403CDE" w:rsidP="00B82DB8">
      <w:pPr>
        <w:pStyle w:val="ListParagraph"/>
        <w:widowControl w:val="0"/>
      </w:pPr>
      <w:r w:rsidRPr="0077260A">
        <w:t xml:space="preserve">In general, </w:t>
      </w:r>
      <w:r w:rsidR="00B35AD3" w:rsidRPr="0077260A">
        <w:t>LGBTI persons</w:t>
      </w:r>
      <w:r w:rsidR="00B35AD3">
        <w:t xml:space="preserve"> do not</w:t>
      </w:r>
      <w:r w:rsidRPr="0077260A">
        <w:t xml:space="preserve"> face treatment </w:t>
      </w:r>
      <w:r>
        <w:t xml:space="preserve">from non-state actors </w:t>
      </w:r>
      <w:r w:rsidRPr="0077260A">
        <w:t xml:space="preserve">which is sufficiently serious by its nature or repetition, or by an accumulation of measures, that amounts to persecution or serious harm. The onus is on the person to demonstrate otherwise. </w:t>
      </w:r>
    </w:p>
    <w:p w14:paraId="6491555D" w14:textId="719FBA45" w:rsidR="00055506" w:rsidRDefault="00A854B8" w:rsidP="00B82DB8">
      <w:pPr>
        <w:pStyle w:val="ListParagraph"/>
        <w:widowControl w:val="0"/>
      </w:pPr>
      <w:r>
        <w:t xml:space="preserve">Societal attitudes towards LGBTI </w:t>
      </w:r>
      <w:r w:rsidR="00955CC8">
        <w:t>persons</w:t>
      </w:r>
      <w:r>
        <w:t xml:space="preserve"> in Georgia are multifaceted</w:t>
      </w:r>
      <w:r w:rsidR="00D22DBD">
        <w:t>, and the state’s lack of recognition of homophobia as a</w:t>
      </w:r>
      <w:r w:rsidR="00582765">
        <w:t>n</w:t>
      </w:r>
      <w:r w:rsidR="00D22DBD">
        <w:t xml:space="preserve"> issue contributes to societal polarisation. </w:t>
      </w:r>
      <w:r w:rsidR="006C59DF">
        <w:t>Quantitative and qualitative r</w:t>
      </w:r>
      <w:r w:rsidR="00913066">
        <w:t>esearch</w:t>
      </w:r>
      <w:r w:rsidR="00913066" w:rsidRPr="00913066">
        <w:t xml:space="preserve"> conducted in Georgia between 2016 and 2021 </w:t>
      </w:r>
      <w:r w:rsidR="008E4848">
        <w:t xml:space="preserve">found </w:t>
      </w:r>
      <w:r w:rsidR="00913066" w:rsidRPr="00913066">
        <w:t xml:space="preserve">that </w:t>
      </w:r>
      <w:r w:rsidR="008E4848">
        <w:t xml:space="preserve">negative attitudes towards LGBTI persons are </w:t>
      </w:r>
      <w:r w:rsidR="006C59DF">
        <w:t xml:space="preserve">strong and </w:t>
      </w:r>
      <w:r w:rsidR="008E4848">
        <w:t>widespread but</w:t>
      </w:r>
      <w:r w:rsidR="00913066" w:rsidRPr="00913066">
        <w:t xml:space="preserve"> </w:t>
      </w:r>
      <w:r w:rsidR="006C59DF">
        <w:t xml:space="preserve">that </w:t>
      </w:r>
      <w:r w:rsidR="00913066" w:rsidRPr="00913066">
        <w:t xml:space="preserve">these negative </w:t>
      </w:r>
      <w:r w:rsidR="008E4848">
        <w:t>perceptions</w:t>
      </w:r>
      <w:r w:rsidR="00414220">
        <w:t xml:space="preserve"> have decreased</w:t>
      </w:r>
      <w:r w:rsidR="002E29D7">
        <w:t xml:space="preserve">. Research undertaken by the Women’s Initiatives Support Group (WISG) indicated a positive shift in societal attitudes, with decreasing </w:t>
      </w:r>
      <w:r w:rsidR="00597FEA">
        <w:t>indices of homo/bi/transphobia</w:t>
      </w:r>
      <w:r w:rsidR="006B5393">
        <w:t xml:space="preserve"> and growing support for rights such as gay marriage and adoption. Disparities in attitudes persist, with certain demographics</w:t>
      </w:r>
      <w:r w:rsidR="00B10EB5">
        <w:t xml:space="preserve">, like men, older </w:t>
      </w:r>
      <w:r w:rsidR="00276701">
        <w:t>persons</w:t>
      </w:r>
      <w:r w:rsidR="00B10EB5">
        <w:t xml:space="preserve"> and those living in non-urban areas exhibiting more negative views</w:t>
      </w:r>
      <w:r w:rsidR="0074431D">
        <w:t xml:space="preserve">. LGBTI persons in more urban areas, such as Tbilisi, </w:t>
      </w:r>
      <w:r w:rsidR="00864FCB">
        <w:t xml:space="preserve">enjoy a higher degree of freedom in expressing their sexual orientation and </w:t>
      </w:r>
      <w:r w:rsidR="00D969FE">
        <w:t>gender identity</w:t>
      </w:r>
      <w:r w:rsidR="00B10EB5">
        <w:t xml:space="preserve"> </w:t>
      </w:r>
      <w:r w:rsidR="00EF130D">
        <w:t>(s</w:t>
      </w:r>
      <w:r w:rsidR="003C62CA">
        <w:t xml:space="preserve">ee </w:t>
      </w:r>
      <w:r w:rsidR="003C62CA" w:rsidRPr="003C62CA">
        <w:rPr>
          <w:rStyle w:val="BacktocontentsChar"/>
        </w:rPr>
        <w:fldChar w:fldCharType="begin"/>
      </w:r>
      <w:r w:rsidR="003C62CA" w:rsidRPr="003C62CA">
        <w:rPr>
          <w:rStyle w:val="BacktocontentsChar"/>
        </w:rPr>
        <w:instrText xml:space="preserve"> REF _Ref145526388 \h </w:instrText>
      </w:r>
      <w:r w:rsidR="003C62CA">
        <w:rPr>
          <w:rStyle w:val="BacktocontentsChar"/>
        </w:rPr>
        <w:instrText xml:space="preserve"> \* MERGEFORMAT </w:instrText>
      </w:r>
      <w:r w:rsidR="003C62CA" w:rsidRPr="003C62CA">
        <w:rPr>
          <w:rStyle w:val="BacktocontentsChar"/>
        </w:rPr>
      </w:r>
      <w:r w:rsidR="003C62CA" w:rsidRPr="003C62CA">
        <w:rPr>
          <w:rStyle w:val="BacktocontentsChar"/>
        </w:rPr>
        <w:fldChar w:fldCharType="separate"/>
      </w:r>
      <w:r w:rsidR="003C62CA" w:rsidRPr="003C62CA">
        <w:rPr>
          <w:rStyle w:val="BacktocontentsChar"/>
        </w:rPr>
        <w:t>Societal attitudes</w:t>
      </w:r>
      <w:r w:rsidR="003C62CA" w:rsidRPr="003C62CA">
        <w:rPr>
          <w:rStyle w:val="BacktocontentsChar"/>
        </w:rPr>
        <w:fldChar w:fldCharType="end"/>
      </w:r>
      <w:r w:rsidR="0054483C">
        <w:t xml:space="preserve"> and </w:t>
      </w:r>
      <w:hyperlink w:anchor="_Freedom_of_movement">
        <w:r w:rsidR="0054483C" w:rsidRPr="32BE9D94">
          <w:rPr>
            <w:rStyle w:val="Hyperlink"/>
          </w:rPr>
          <w:t>Freedom of movement</w:t>
        </w:r>
      </w:hyperlink>
      <w:r w:rsidR="0054483C">
        <w:rPr>
          <w:rStyle w:val="Hyperlink"/>
        </w:rPr>
        <w:t>)</w:t>
      </w:r>
      <w:r w:rsidR="0074431D">
        <w:t>.</w:t>
      </w:r>
    </w:p>
    <w:p w14:paraId="1DC9F67C" w14:textId="4FA3E989" w:rsidR="00F62E99" w:rsidRDefault="005578D1" w:rsidP="00B82DB8">
      <w:pPr>
        <w:pStyle w:val="ListParagraph"/>
        <w:widowControl w:val="0"/>
      </w:pPr>
      <w:r>
        <w:t xml:space="preserve">Whilst based on a </w:t>
      </w:r>
      <w:r w:rsidR="00276701">
        <w:t xml:space="preserve">relatively </w:t>
      </w:r>
      <w:r>
        <w:t>small sample, a</w:t>
      </w:r>
      <w:r w:rsidR="00B0523A">
        <w:t xml:space="preserve"> study </w:t>
      </w:r>
      <w:r w:rsidR="00001B22">
        <w:t xml:space="preserve">by the Human Rights Education and Monitoring Centre (EMC) </w:t>
      </w:r>
      <w:r w:rsidR="00B0523A">
        <w:t>based on 320</w:t>
      </w:r>
      <w:r w:rsidR="00BA178F">
        <w:t xml:space="preserve"> LGBTI participants </w:t>
      </w:r>
      <w:r w:rsidR="005D6701">
        <w:t xml:space="preserve">in 2020 aged 18 to 29 found that 52% of respondents reported being victims of </w:t>
      </w:r>
      <w:r w:rsidR="00B85152">
        <w:t>‘</w:t>
      </w:r>
      <w:r w:rsidR="005D6701">
        <w:t>violence</w:t>
      </w:r>
      <w:r w:rsidR="00B85152">
        <w:t>’</w:t>
      </w:r>
      <w:r w:rsidR="005D6701">
        <w:t xml:space="preserve"> at some point in their lives due to their sexual orientation or gender identity. </w:t>
      </w:r>
      <w:r w:rsidR="00B85152">
        <w:t>However, ‘violence’</w:t>
      </w:r>
      <w:r w:rsidR="0008261D">
        <w:t xml:space="preserve"> encompassed a wide range of behaviours, including both physical and psychological forms. </w:t>
      </w:r>
      <w:r w:rsidR="00291D84">
        <w:t xml:space="preserve">Generally, the study showed that </w:t>
      </w:r>
      <w:r w:rsidR="00DA0B54">
        <w:t xml:space="preserve">LGBTI people continue to face physical and psychological </w:t>
      </w:r>
      <w:r w:rsidR="00DA0B54">
        <w:lastRenderedPageBreak/>
        <w:t>violence</w:t>
      </w:r>
      <w:r w:rsidR="00D87133">
        <w:t xml:space="preserve"> at home, in public and on online platforms. </w:t>
      </w:r>
      <w:r w:rsidR="00FA5A94">
        <w:t>Specifically however,</w:t>
      </w:r>
      <w:r w:rsidR="00D87133">
        <w:t xml:space="preserve"> </w:t>
      </w:r>
      <w:r w:rsidR="00FA5A94">
        <w:t>it showed a minority of</w:t>
      </w:r>
      <w:r w:rsidR="0008261D">
        <w:t xml:space="preserve"> 29.4% of respondents h</w:t>
      </w:r>
      <w:r w:rsidR="00FA5A94">
        <w:t>aving</w:t>
      </w:r>
      <w:r w:rsidR="0008261D">
        <w:t xml:space="preserve"> experienced physical violence within the</w:t>
      </w:r>
      <w:r w:rsidR="000E5E8F">
        <w:t xml:space="preserve"> 2 years preceding the study</w:t>
      </w:r>
      <w:r w:rsidR="0073576D">
        <w:t xml:space="preserve"> and slightly less than half (</w:t>
      </w:r>
      <w:r w:rsidR="005D0150">
        <w:t>48.4%</w:t>
      </w:r>
      <w:r w:rsidR="0073576D">
        <w:t>)</w:t>
      </w:r>
      <w:r w:rsidR="005D0150">
        <w:t xml:space="preserve"> of respondents reported</w:t>
      </w:r>
      <w:r w:rsidR="003F130D">
        <w:t xml:space="preserve"> experiencing psychological violence in the form of verbal abuse, humiliation, ridicule, emotional manipulation</w:t>
      </w:r>
      <w:r w:rsidR="0062065D">
        <w:t xml:space="preserve"> and the restriction of gender expression</w:t>
      </w:r>
      <w:r w:rsidR="00396B2E">
        <w:t>. Despite these findings, the study also found that only 19% of respondents reported social isolation from friends and family</w:t>
      </w:r>
      <w:r w:rsidR="00E820CA">
        <w:t xml:space="preserve"> </w:t>
      </w:r>
      <w:r w:rsidR="00F62E99">
        <w:t xml:space="preserve">(see </w:t>
      </w:r>
      <w:hyperlink w:anchor="_Societal_treatment">
        <w:r w:rsidR="00F62E99" w:rsidRPr="32BE9D94">
          <w:rPr>
            <w:rStyle w:val="Hyperlink"/>
          </w:rPr>
          <w:t>Societal treatment</w:t>
        </w:r>
      </w:hyperlink>
      <w:r w:rsidR="00F62E99">
        <w:t>).</w:t>
      </w:r>
    </w:p>
    <w:p w14:paraId="4621EEF9" w14:textId="233995B8" w:rsidR="00E820CA" w:rsidRDefault="00376FA5" w:rsidP="00E873CB">
      <w:pPr>
        <w:pStyle w:val="ListParagraph"/>
        <w:widowControl w:val="0"/>
      </w:pPr>
      <w:r>
        <w:t xml:space="preserve">The Constitution of Georgia outlines that all citizens have the right to property, employment, education and healthcare. </w:t>
      </w:r>
      <w:r w:rsidR="00420597">
        <w:t xml:space="preserve">Sources such as the </w:t>
      </w:r>
      <w:r w:rsidR="002C7D03">
        <w:t>C</w:t>
      </w:r>
      <w:r w:rsidR="002C7D03" w:rsidRPr="002C7D03">
        <w:t xml:space="preserve">oalition for Equality </w:t>
      </w:r>
      <w:r w:rsidR="00420597">
        <w:t>noted that the</w:t>
      </w:r>
      <w:r w:rsidR="002C7D03" w:rsidRPr="002C7D03">
        <w:t xml:space="preserve"> LGBT</w:t>
      </w:r>
      <w:r w:rsidR="00E34E98">
        <w:t>I</w:t>
      </w:r>
      <w:r w:rsidR="002C7D03" w:rsidRPr="002C7D03">
        <w:t xml:space="preserve"> community</w:t>
      </w:r>
      <w:r w:rsidR="00420597">
        <w:t xml:space="preserve"> face discrimination </w:t>
      </w:r>
      <w:r w:rsidR="00E34E98">
        <w:t>when</w:t>
      </w:r>
      <w:r w:rsidR="00420597">
        <w:t xml:space="preserve"> accessing </w:t>
      </w:r>
      <w:r w:rsidR="00E34E98">
        <w:t xml:space="preserve">accommodation, </w:t>
      </w:r>
      <w:r w:rsidR="00E873CB">
        <w:t>healthcare and employment</w:t>
      </w:r>
      <w:r w:rsidR="002C7D03">
        <w:t xml:space="preserve">. </w:t>
      </w:r>
      <w:r w:rsidR="00E873CB">
        <w:t>However, w</w:t>
      </w:r>
      <w:r w:rsidR="00224904">
        <w:t>hilst a minority of</w:t>
      </w:r>
      <w:r w:rsidR="00260799">
        <w:t xml:space="preserve"> LGBTI</w:t>
      </w:r>
      <w:r w:rsidR="00224904">
        <w:t xml:space="preserve"> respondents</w:t>
      </w:r>
      <w:r w:rsidR="002B4064">
        <w:t xml:space="preserve"> in </w:t>
      </w:r>
      <w:r w:rsidR="00001B22">
        <w:t xml:space="preserve">the 2020 EMC study </w:t>
      </w:r>
      <w:r w:rsidR="00224904">
        <w:t xml:space="preserve">detailed their experiences of homelessness due to ‘coming out’ and leaving their family homes, </w:t>
      </w:r>
      <w:r w:rsidR="001D19AA">
        <w:t xml:space="preserve">the study overall </w:t>
      </w:r>
      <w:r w:rsidR="004379DE">
        <w:t xml:space="preserve">showed </w:t>
      </w:r>
      <w:r w:rsidR="00154008">
        <w:t>that the majority of respondents</w:t>
      </w:r>
      <w:r w:rsidR="005A528E">
        <w:t xml:space="preserve"> (</w:t>
      </w:r>
      <w:r w:rsidR="00FE2D05">
        <w:t>65.7</w:t>
      </w:r>
      <w:r w:rsidR="005F37D5">
        <w:t>%)</w:t>
      </w:r>
      <w:r w:rsidR="00154008">
        <w:t xml:space="preserve"> </w:t>
      </w:r>
      <w:r w:rsidR="00A43247">
        <w:t>ha</w:t>
      </w:r>
      <w:r w:rsidR="0031252A">
        <w:t>d</w:t>
      </w:r>
      <w:r w:rsidR="00A43247">
        <w:t xml:space="preserve"> never faced homelessness</w:t>
      </w:r>
      <w:r w:rsidR="001D19AA">
        <w:t>.</w:t>
      </w:r>
      <w:r w:rsidR="00DA29EF">
        <w:t xml:space="preserve"> </w:t>
      </w:r>
      <w:r w:rsidR="00F20ADE">
        <w:t>LGBTI persons can face discriminatory treatment when accessing healthcare, with t</w:t>
      </w:r>
      <w:r w:rsidR="001D19AA">
        <w:t xml:space="preserve">he </w:t>
      </w:r>
      <w:r w:rsidR="00DA29EF">
        <w:t xml:space="preserve">EMC </w:t>
      </w:r>
      <w:r w:rsidR="00F20ADE">
        <w:t>highlighting a minority of</w:t>
      </w:r>
      <w:r w:rsidR="001D19AA">
        <w:t xml:space="preserve"> respondents who had experienced instances of ‘mocking attitudes’, inappropriate questions, service refusal, insults, ignorance of specific needs and breaches of confidentiality</w:t>
      </w:r>
      <w:r w:rsidR="00F20ADE">
        <w:t>. However, o</w:t>
      </w:r>
      <w:r w:rsidR="0003206E">
        <w:t xml:space="preserve">verall, </w:t>
      </w:r>
      <w:r w:rsidR="008E56FD">
        <w:t xml:space="preserve">85.6% of respondents </w:t>
      </w:r>
      <w:r w:rsidR="0031252A">
        <w:t>report</w:t>
      </w:r>
      <w:r w:rsidR="008C1B24">
        <w:t>ed</w:t>
      </w:r>
      <w:r w:rsidR="0031252A">
        <w:t xml:space="preserve"> </w:t>
      </w:r>
      <w:r w:rsidR="008C1B24">
        <w:t>no experiences of</w:t>
      </w:r>
      <w:r w:rsidR="00546444">
        <w:t xml:space="preserve"> discrimination in accessing healthcare</w:t>
      </w:r>
      <w:r w:rsidR="002F4D38">
        <w:t xml:space="preserve">. </w:t>
      </w:r>
      <w:r w:rsidR="006178AA">
        <w:t xml:space="preserve">The study showed that </w:t>
      </w:r>
      <w:r w:rsidR="00A91330">
        <w:t>employment opportunities appeared to be influenced by openness and expression of sexuality</w:t>
      </w:r>
      <w:r w:rsidR="007603B2">
        <w:t xml:space="preserve"> but highlighted that of the respondents, a majority of 68.8%</w:t>
      </w:r>
      <w:r w:rsidR="009B183B">
        <w:t xml:space="preserve"> </w:t>
      </w:r>
      <w:r w:rsidR="007603B2">
        <w:t xml:space="preserve">were employed </w:t>
      </w:r>
      <w:r w:rsidR="00E820CA">
        <w:t xml:space="preserve">(see </w:t>
      </w:r>
      <w:hyperlink w:anchor="_Treatment_by_family">
        <w:r w:rsidR="00E820CA" w:rsidRPr="32BE9D94">
          <w:rPr>
            <w:rStyle w:val="Hyperlink"/>
          </w:rPr>
          <w:t>Access to services</w:t>
        </w:r>
      </w:hyperlink>
      <w:r w:rsidR="00E820CA">
        <w:t>).</w:t>
      </w:r>
    </w:p>
    <w:p w14:paraId="64299D77" w14:textId="610AF81D" w:rsidR="007F4A38" w:rsidRDefault="00384080" w:rsidP="00B82DB8">
      <w:pPr>
        <w:pStyle w:val="ListParagraph"/>
        <w:widowControl w:val="0"/>
      </w:pPr>
      <w:r>
        <w:t xml:space="preserve">The </w:t>
      </w:r>
      <w:r w:rsidR="00F20361">
        <w:t>2020</w:t>
      </w:r>
      <w:r w:rsidR="00A92D37">
        <w:t xml:space="preserve"> EMC </w:t>
      </w:r>
      <w:r w:rsidR="00001B22">
        <w:t>study</w:t>
      </w:r>
      <w:r w:rsidR="003177F8">
        <w:t xml:space="preserve"> found varying </w:t>
      </w:r>
      <w:r w:rsidR="009E164D">
        <w:t xml:space="preserve">degrees of </w:t>
      </w:r>
      <w:r w:rsidR="00C10A53">
        <w:t xml:space="preserve">happiness and openness among LGBTI </w:t>
      </w:r>
      <w:proofErr w:type="spellStart"/>
      <w:r w:rsidR="00C10A53">
        <w:t>repsondents</w:t>
      </w:r>
      <w:proofErr w:type="spellEnd"/>
      <w:r w:rsidR="00C10A53">
        <w:t>, with transgender</w:t>
      </w:r>
      <w:r w:rsidR="00A80A4C">
        <w:t xml:space="preserve"> respondents reporting the lowest happiness levels and bisexual men reporting </w:t>
      </w:r>
      <w:r w:rsidR="00131511">
        <w:t>the highest.</w:t>
      </w:r>
      <w:r w:rsidR="00986682">
        <w:t xml:space="preserve"> The same study found that </w:t>
      </w:r>
      <w:r w:rsidR="00B6392E">
        <w:t>the majority of</w:t>
      </w:r>
      <w:r w:rsidR="00986682">
        <w:t xml:space="preserve"> respondents </w:t>
      </w:r>
      <w:r w:rsidR="00B6392E">
        <w:t>felt either ‘very comfortable’, ‘comfortable’</w:t>
      </w:r>
      <w:r w:rsidR="00001B22">
        <w:t xml:space="preserve"> </w:t>
      </w:r>
      <w:r w:rsidR="00B6392E">
        <w:t xml:space="preserve">and </w:t>
      </w:r>
      <w:r w:rsidR="000D26B9">
        <w:t>‘partly comfortable, party uncomfortable’</w:t>
      </w:r>
      <w:r w:rsidR="009B4479">
        <w:t xml:space="preserve"> living in Georgia</w:t>
      </w:r>
      <w:r w:rsidR="00AA60A4">
        <w:t xml:space="preserve"> </w:t>
      </w:r>
      <w:r w:rsidR="007F4A38">
        <w:t xml:space="preserve">(see </w:t>
      </w:r>
      <w:hyperlink w:anchor="_Lived_experience,_visibility">
        <w:r w:rsidR="007F4A38" w:rsidRPr="32BE9D94">
          <w:rPr>
            <w:rStyle w:val="Hyperlink"/>
          </w:rPr>
          <w:t>Lived experience, visibility and 'coming out'</w:t>
        </w:r>
      </w:hyperlink>
      <w:r w:rsidR="007F4A38">
        <w:t>).</w:t>
      </w:r>
    </w:p>
    <w:p w14:paraId="20635D73" w14:textId="2951DB98" w:rsidR="00A86710" w:rsidRPr="00A86710" w:rsidRDefault="00533108" w:rsidP="00B82DB8">
      <w:pPr>
        <w:pStyle w:val="ListParagraph"/>
        <w:widowControl w:val="0"/>
        <w:rPr>
          <w:color w:val="7030A0"/>
        </w:rPr>
      </w:pPr>
      <w:r>
        <w:t xml:space="preserve">There is a higher visibility of LGBTI </w:t>
      </w:r>
      <w:r w:rsidR="000A2B01">
        <w:t>persons</w:t>
      </w:r>
      <w:r>
        <w:t xml:space="preserve"> in u</w:t>
      </w:r>
      <w:r w:rsidR="00AA60A4">
        <w:t>rban areas such as Tbilisi</w:t>
      </w:r>
      <w:r>
        <w:t xml:space="preserve">, with many younger LGBTI </w:t>
      </w:r>
      <w:r w:rsidR="000A2B01">
        <w:t>persons</w:t>
      </w:r>
      <w:r>
        <w:t xml:space="preserve"> </w:t>
      </w:r>
      <w:r w:rsidR="00CE6528">
        <w:t>moving to urban cities where they report feeling more able to express their identities</w:t>
      </w:r>
      <w:r w:rsidR="001C4ACE">
        <w:t xml:space="preserve"> and </w:t>
      </w:r>
      <w:r w:rsidR="00CE6528">
        <w:t>connect with the LGBTI community</w:t>
      </w:r>
      <w:r w:rsidR="001C4ACE">
        <w:t>. There is a</w:t>
      </w:r>
      <w:r w:rsidR="00F11169">
        <w:t xml:space="preserve"> small</w:t>
      </w:r>
      <w:r w:rsidR="001C4ACE">
        <w:t xml:space="preserve"> ‘underground’ LGBTI </w:t>
      </w:r>
      <w:r w:rsidR="00A86710">
        <w:t>scene in Tbilisi encompassing comedy, clubbing, art and social movements</w:t>
      </w:r>
      <w:r w:rsidR="009F5158">
        <w:t xml:space="preserve">, </w:t>
      </w:r>
      <w:r w:rsidR="00A86710">
        <w:t>and there are numerous support organisations working to e</w:t>
      </w:r>
      <w:r w:rsidR="009F5158">
        <w:t>m</w:t>
      </w:r>
      <w:r w:rsidR="00A86710">
        <w:t xml:space="preserve">power and protect the rights of the LGBTI community across the country. </w:t>
      </w:r>
    </w:p>
    <w:p w14:paraId="12EBC460" w14:textId="7264CEED" w:rsidR="00D170C0" w:rsidRPr="00A86710" w:rsidRDefault="00D170C0" w:rsidP="00B82DB8">
      <w:pPr>
        <w:pStyle w:val="ListParagraph"/>
        <w:widowControl w:val="0"/>
        <w:rPr>
          <w:rStyle w:val="Hyperlink"/>
          <w:color w:val="7030A0"/>
          <w:u w:val="none"/>
        </w:rPr>
      </w:pPr>
      <w:r>
        <w:t xml:space="preserve">For further guidance on assessing risk, see the </w:t>
      </w:r>
      <w:r w:rsidR="00EB669E">
        <w:t>Asylum I</w:t>
      </w:r>
      <w:r>
        <w:t xml:space="preserve">nstruction on </w:t>
      </w:r>
      <w:hyperlink r:id="rId23">
        <w:r w:rsidRPr="32BE9D94">
          <w:rPr>
            <w:rStyle w:val="Hyperlink"/>
          </w:rPr>
          <w:t>Assessing Credibility and Refugee Status</w:t>
        </w:r>
      </w:hyperlink>
      <w:r w:rsidRPr="32BE9D94">
        <w:rPr>
          <w:rStyle w:val="Hyperlink"/>
          <w:color w:val="auto"/>
          <w:u w:val="none"/>
        </w:rPr>
        <w:t>.</w:t>
      </w:r>
    </w:p>
    <w:p w14:paraId="1B7FB22F" w14:textId="1D90900E" w:rsidR="00CE0811" w:rsidRDefault="00000000" w:rsidP="00B82DB8">
      <w:pPr>
        <w:pStyle w:val="Backtocontents"/>
        <w:widowControl w:val="0"/>
        <w:rPr>
          <w:rStyle w:val="Hyperlink"/>
        </w:rPr>
      </w:pPr>
      <w:hyperlink w:anchor="contents" w:history="1">
        <w:r w:rsidR="00922871" w:rsidRPr="00DD7ED2">
          <w:rPr>
            <w:rStyle w:val="Hyperlink"/>
          </w:rPr>
          <w:t>Back to Contents</w:t>
        </w:r>
      </w:hyperlink>
    </w:p>
    <w:p w14:paraId="4DF321A8" w14:textId="3100994D" w:rsidR="00A77927" w:rsidRPr="00A77927" w:rsidRDefault="00A77927" w:rsidP="00B82DB8">
      <w:pPr>
        <w:pStyle w:val="Sectionupdate"/>
        <w:widowControl w:val="0"/>
      </w:pPr>
      <w:r w:rsidRPr="00A77927">
        <w:t>Section updated: 19 September 2023</w:t>
      </w:r>
    </w:p>
    <w:p w14:paraId="4E57F5C6" w14:textId="368F6D2D" w:rsidR="00AB58EB" w:rsidRPr="00A24932" w:rsidRDefault="00AB58EB" w:rsidP="00B82DB8">
      <w:pPr>
        <w:pStyle w:val="Heading2"/>
        <w:keepNext w:val="0"/>
        <w:keepLines w:val="0"/>
        <w:widowControl w:val="0"/>
      </w:pPr>
      <w:bookmarkStart w:id="36" w:name="_Protection"/>
      <w:bookmarkStart w:id="37" w:name="_Toc146698536"/>
      <w:bookmarkStart w:id="38" w:name="_Toc178601171"/>
      <w:bookmarkEnd w:id="36"/>
      <w:r w:rsidRPr="00A24932">
        <w:t>Protection</w:t>
      </w:r>
      <w:bookmarkEnd w:id="37"/>
      <w:bookmarkEnd w:id="38"/>
    </w:p>
    <w:p w14:paraId="370FCE2B" w14:textId="2F5D9781" w:rsidR="00D310F3" w:rsidRDefault="00D310F3" w:rsidP="00B82DB8">
      <w:pPr>
        <w:pStyle w:val="ListParagraph"/>
        <w:widowControl w:val="0"/>
      </w:pPr>
      <w:r>
        <w:t xml:space="preserve">Most reports of human rights violations against LGBTI persons relate to the annual Pride festival held in Georgia’s capital, </w:t>
      </w:r>
      <w:r w:rsidRPr="00DF17CA">
        <w:t>Tbilisi</w:t>
      </w:r>
      <w:r>
        <w:t xml:space="preserve">. Far-right groups disrupted the festival in 2021, 2022 and 2023. Sources criticised the </w:t>
      </w:r>
      <w:r w:rsidR="00B25D3D">
        <w:t>p</w:t>
      </w:r>
      <w:r>
        <w:t>olice’s response to mob violence during the 2021 event.</w:t>
      </w:r>
      <w:r w:rsidRPr="00627696">
        <w:t xml:space="preserve"> </w:t>
      </w:r>
      <w:r>
        <w:t>Whil</w:t>
      </w:r>
      <w:r w:rsidR="009D3149">
        <w:t>st</w:t>
      </w:r>
      <w:r>
        <w:t xml:space="preserve"> 3</w:t>
      </w:r>
      <w:r w:rsidRPr="00627696">
        <w:t xml:space="preserve"> individuals were arrested and charged</w:t>
      </w:r>
      <w:r>
        <w:t xml:space="preserve">, sources suggest that the punishments were lenient </w:t>
      </w:r>
      <w:r>
        <w:lastRenderedPageBreak/>
        <w:t>and that the authorities failed</w:t>
      </w:r>
      <w:r w:rsidRPr="00DF17CA">
        <w:t xml:space="preserve"> to investigate and prosecute the organi</w:t>
      </w:r>
      <w:r>
        <w:t>s</w:t>
      </w:r>
      <w:r w:rsidRPr="00DF17CA">
        <w:t>ers</w:t>
      </w:r>
      <w:r>
        <w:t xml:space="preserve"> of the demonstrations. I</w:t>
      </w:r>
      <w:r w:rsidRPr="006475F5">
        <w:t>n 2022 and 2023</w:t>
      </w:r>
      <w:r>
        <w:t>, the public parade was cancelled and</w:t>
      </w:r>
      <w:r w:rsidRPr="006475F5">
        <w:t xml:space="preserve"> </w:t>
      </w:r>
      <w:r>
        <w:t>replaced by</w:t>
      </w:r>
      <w:r w:rsidRPr="006475F5">
        <w:t xml:space="preserve"> </w:t>
      </w:r>
      <w:r>
        <w:t xml:space="preserve">‘closed-door’ </w:t>
      </w:r>
      <w:r w:rsidRPr="006475F5">
        <w:t xml:space="preserve">events. </w:t>
      </w:r>
      <w:r>
        <w:t xml:space="preserve">A police presence during the 2022 and 2023 festivals resulted in the arrest of some far-right demonstrators, although sources did not report any subsequent prosecutions (see </w:t>
      </w:r>
      <w:r w:rsidRPr="006475F5">
        <w:rPr>
          <w:rStyle w:val="BacktocontentsChar"/>
        </w:rPr>
        <w:fldChar w:fldCharType="begin"/>
      </w:r>
      <w:r w:rsidRPr="006475F5">
        <w:rPr>
          <w:rStyle w:val="BacktocontentsChar"/>
        </w:rPr>
        <w:instrText xml:space="preserve"> REF _Ref145423571 \h </w:instrText>
      </w:r>
      <w:r>
        <w:rPr>
          <w:rStyle w:val="BacktocontentsChar"/>
        </w:rPr>
        <w:instrText xml:space="preserve"> \* MERGEFORMAT </w:instrText>
      </w:r>
      <w:r w:rsidRPr="006475F5">
        <w:rPr>
          <w:rStyle w:val="BacktocontentsChar"/>
        </w:rPr>
      </w:r>
      <w:r w:rsidRPr="006475F5">
        <w:rPr>
          <w:rStyle w:val="BacktocontentsChar"/>
        </w:rPr>
        <w:fldChar w:fldCharType="separate"/>
      </w:r>
      <w:r w:rsidRPr="006475F5">
        <w:rPr>
          <w:rStyle w:val="BacktocontentsChar"/>
        </w:rPr>
        <w:t>State Response to Pride events</w:t>
      </w:r>
      <w:r w:rsidRPr="006475F5">
        <w:rPr>
          <w:rStyle w:val="BacktocontentsChar"/>
        </w:rPr>
        <w:fldChar w:fldCharType="end"/>
      </w:r>
      <w:r>
        <w:t>).</w:t>
      </w:r>
    </w:p>
    <w:p w14:paraId="74650AFB" w14:textId="733168E4" w:rsidR="00D310F3" w:rsidRPr="00785EBB" w:rsidRDefault="002053F4" w:rsidP="002053F4">
      <w:pPr>
        <w:pStyle w:val="ListParagraph"/>
        <w:widowControl w:val="0"/>
        <w:rPr>
          <w:rStyle w:val="normaltextrun"/>
        </w:rPr>
      </w:pPr>
      <w:r>
        <w:t>P</w:t>
      </w:r>
      <w:r w:rsidRPr="002053F4">
        <w:t xml:space="preserve">olice </w:t>
      </w:r>
      <w:r>
        <w:t xml:space="preserve">reportedly </w:t>
      </w:r>
      <w:r w:rsidRPr="002053F4">
        <w:t xml:space="preserve">sometimes use abusive terminology and aggression towards LGBTI persons when they have been called upon to protect them. </w:t>
      </w:r>
      <w:r w:rsidR="00D310F3">
        <w:t>LGBTI persons lack trust in the police, resulting in the underreporting of</w:t>
      </w:r>
      <w:r w:rsidR="00D310F3" w:rsidRPr="006239BF">
        <w:t xml:space="preserve"> hate crime incidents</w:t>
      </w:r>
      <w:r w:rsidR="00D310F3">
        <w:t>.</w:t>
      </w:r>
      <w:r w:rsidR="00970C33" w:rsidRPr="002053F4">
        <w:rPr>
          <w:color w:val="000000"/>
          <w:sz w:val="27"/>
          <w:szCs w:val="27"/>
        </w:rPr>
        <w:t xml:space="preserve"> </w:t>
      </w:r>
      <w:r w:rsidR="00970C33" w:rsidRPr="00970C33">
        <w:t xml:space="preserve">However, a reluctance to seek protection does not mean that protection is unavailable. </w:t>
      </w:r>
      <w:r w:rsidR="00970C33">
        <w:t>Additionally</w:t>
      </w:r>
      <w:r w:rsidR="00D310F3">
        <w:t>, data on hate crimes indicates that LGBTI persons can, and do, report hate crime incidents to the police. Data is only available from October 2020, with 2 full years of data for 2021 and 2022, making it difficult to verify trends. In 2021, 106 criminal i</w:t>
      </w:r>
      <w:r w:rsidR="00D310F3" w:rsidRPr="0021227D">
        <w:t>nvestigations</w:t>
      </w:r>
      <w:r w:rsidR="00D310F3">
        <w:t xml:space="preserve"> were</w:t>
      </w:r>
      <w:r w:rsidR="00D310F3" w:rsidRPr="0021227D">
        <w:t xml:space="preserve"> initiated on the basis of intolerance on the grounds of SOGIE</w:t>
      </w:r>
      <w:r w:rsidR="00D310F3">
        <w:t>, and there were 20 convictions. In 2022, there were 76 investigations and 40 convictions</w:t>
      </w:r>
      <w:r w:rsidR="00D310F3" w:rsidRPr="0021227D">
        <w:t xml:space="preserve"> </w:t>
      </w:r>
      <w:r w:rsidR="00D310F3">
        <w:t xml:space="preserve">(see </w:t>
      </w:r>
      <w:r w:rsidR="00D310F3" w:rsidRPr="00DF17CA">
        <w:rPr>
          <w:rStyle w:val="BacktocontentsChar"/>
        </w:rPr>
        <w:fldChar w:fldCharType="begin"/>
      </w:r>
      <w:r w:rsidR="00D310F3" w:rsidRPr="00DF17CA">
        <w:rPr>
          <w:rStyle w:val="BacktocontentsChar"/>
        </w:rPr>
        <w:instrText xml:space="preserve"> REF _Ref145421272 \h </w:instrText>
      </w:r>
      <w:r w:rsidR="00D310F3">
        <w:rPr>
          <w:rStyle w:val="BacktocontentsChar"/>
        </w:rPr>
        <w:instrText xml:space="preserve"> \* MERGEFORMAT </w:instrText>
      </w:r>
      <w:r w:rsidR="00D310F3" w:rsidRPr="00DF17CA">
        <w:rPr>
          <w:rStyle w:val="BacktocontentsChar"/>
        </w:rPr>
      </w:r>
      <w:r w:rsidR="00D310F3" w:rsidRPr="00DF17CA">
        <w:rPr>
          <w:rStyle w:val="BacktocontentsChar"/>
        </w:rPr>
        <w:fldChar w:fldCharType="separate"/>
      </w:r>
      <w:r w:rsidR="00D310F3" w:rsidRPr="00DF17CA">
        <w:rPr>
          <w:rStyle w:val="BacktocontentsChar"/>
        </w:rPr>
        <w:t>Protection – LGBTI</w:t>
      </w:r>
      <w:r w:rsidR="00D310F3" w:rsidRPr="00DF17CA">
        <w:rPr>
          <w:rStyle w:val="BacktocontentsChar"/>
        </w:rPr>
        <w:fldChar w:fldCharType="end"/>
      </w:r>
      <w:r w:rsidR="00D310F3">
        <w:t xml:space="preserve"> and </w:t>
      </w:r>
      <w:r w:rsidR="00D310F3" w:rsidRPr="00477B74">
        <w:rPr>
          <w:rStyle w:val="BacktocontentsChar"/>
        </w:rPr>
        <w:fldChar w:fldCharType="begin"/>
      </w:r>
      <w:r w:rsidR="00D310F3" w:rsidRPr="00477B74">
        <w:rPr>
          <w:rStyle w:val="BacktocontentsChar"/>
        </w:rPr>
        <w:instrText xml:space="preserve"> REF _Ref145442196 \h </w:instrText>
      </w:r>
      <w:r w:rsidR="00D310F3">
        <w:rPr>
          <w:rStyle w:val="BacktocontentsChar"/>
        </w:rPr>
        <w:instrText xml:space="preserve"> \* MERGEFORMAT </w:instrText>
      </w:r>
      <w:r w:rsidR="00D310F3" w:rsidRPr="00477B74">
        <w:rPr>
          <w:rStyle w:val="BacktocontentsChar"/>
        </w:rPr>
      </w:r>
      <w:r w:rsidR="00D310F3" w:rsidRPr="00477B74">
        <w:rPr>
          <w:rStyle w:val="BacktocontentsChar"/>
        </w:rPr>
        <w:fldChar w:fldCharType="separate"/>
      </w:r>
      <w:r w:rsidR="00D310F3" w:rsidRPr="00477B74">
        <w:rPr>
          <w:rStyle w:val="BacktocontentsChar"/>
        </w:rPr>
        <w:t>Prosecutions and convictions</w:t>
      </w:r>
      <w:r w:rsidR="00D310F3" w:rsidRPr="00477B74">
        <w:rPr>
          <w:rStyle w:val="BacktocontentsChar"/>
        </w:rPr>
        <w:fldChar w:fldCharType="end"/>
      </w:r>
      <w:r w:rsidR="00D310F3">
        <w:t>).</w:t>
      </w:r>
    </w:p>
    <w:p w14:paraId="31714DC9" w14:textId="402C79CA" w:rsidR="00F3777B" w:rsidRPr="00F3777B" w:rsidRDefault="003E2C2C" w:rsidP="00B82DB8">
      <w:pPr>
        <w:pStyle w:val="ListParagraph"/>
        <w:widowControl w:val="0"/>
      </w:pPr>
      <w:r>
        <w:t xml:space="preserve">Whilst the Ombudsman’s decisions </w:t>
      </w:r>
      <w:r w:rsidRPr="003E2C2C">
        <w:t xml:space="preserve">have been criticised by LGBTI activists for their lack of reasoning and </w:t>
      </w:r>
      <w:proofErr w:type="spellStart"/>
      <w:r w:rsidRPr="003E2C2C">
        <w:t>failture</w:t>
      </w:r>
      <w:proofErr w:type="spellEnd"/>
      <w:r w:rsidRPr="003E2C2C">
        <w:t xml:space="preserve"> to always contain a proper analysis of all the circumstances of a case that may indicate discrimination</w:t>
      </w:r>
      <w:r w:rsidR="00D93B3B">
        <w:t>,</w:t>
      </w:r>
      <w:r>
        <w:t xml:space="preserve"> </w:t>
      </w:r>
      <w:r w:rsidR="00D310F3">
        <w:t>LGBTI persons can, and do,</w:t>
      </w:r>
      <w:r w:rsidR="00D310F3" w:rsidRPr="00D92346">
        <w:t xml:space="preserve"> </w:t>
      </w:r>
      <w:r w:rsidR="00D310F3">
        <w:t>submit complaints to the Ombudsman if their rights have been violated. The Ombudsman investigated 11 SOGIE-related cases of alleged discrimination in 2021 and 17 cases in 2022, although the outcome of the cases and any redress provided to complainants is unknown</w:t>
      </w:r>
      <w:r w:rsidR="00D9570B">
        <w:t xml:space="preserve">. </w:t>
      </w:r>
      <w:r w:rsidR="00D310F3">
        <w:t xml:space="preserve">(see </w:t>
      </w:r>
      <w:r w:rsidR="00D310F3" w:rsidRPr="00D92346">
        <w:rPr>
          <w:rStyle w:val="BacktocontentsChar"/>
        </w:rPr>
        <w:fldChar w:fldCharType="begin"/>
      </w:r>
      <w:r w:rsidR="00D310F3" w:rsidRPr="00D92346">
        <w:rPr>
          <w:rStyle w:val="BacktocontentsChar"/>
        </w:rPr>
        <w:instrText xml:space="preserve"> REF _Ref145519071 \h </w:instrText>
      </w:r>
      <w:r w:rsidR="00D310F3">
        <w:rPr>
          <w:rStyle w:val="BacktocontentsChar"/>
        </w:rPr>
        <w:instrText xml:space="preserve"> \* MERGEFORMAT </w:instrText>
      </w:r>
      <w:r w:rsidR="00D310F3" w:rsidRPr="00D92346">
        <w:rPr>
          <w:rStyle w:val="BacktocontentsChar"/>
        </w:rPr>
      </w:r>
      <w:r w:rsidR="00D310F3" w:rsidRPr="00D92346">
        <w:rPr>
          <w:rStyle w:val="BacktocontentsChar"/>
        </w:rPr>
        <w:fldChar w:fldCharType="separate"/>
      </w:r>
      <w:r w:rsidR="00D310F3" w:rsidRPr="00D92346">
        <w:rPr>
          <w:rStyle w:val="BacktocontentsChar"/>
        </w:rPr>
        <w:t>The Public Defender (Ombudsman)</w:t>
      </w:r>
      <w:r w:rsidR="00D310F3" w:rsidRPr="00D92346">
        <w:rPr>
          <w:rStyle w:val="BacktocontentsChar"/>
        </w:rPr>
        <w:fldChar w:fldCharType="end"/>
      </w:r>
      <w:r w:rsidR="00D310F3">
        <w:t>).</w:t>
      </w:r>
    </w:p>
    <w:p w14:paraId="6B1CF761" w14:textId="74BDD3BF" w:rsidR="00CE0811" w:rsidRPr="00DD7ED2" w:rsidRDefault="00CE0811" w:rsidP="00B82DB8">
      <w:pPr>
        <w:pStyle w:val="ListParagraph"/>
        <w:widowControl w:val="0"/>
        <w:rPr>
          <w:rStyle w:val="Hyperlink"/>
          <w:color w:val="auto"/>
          <w:u w:val="none"/>
        </w:rPr>
      </w:pPr>
      <w:r>
        <w:t xml:space="preserve">For further guidance on assessing state protection, see the </w:t>
      </w:r>
      <w:r w:rsidR="00EB669E">
        <w:t>Asylum I</w:t>
      </w:r>
      <w:r>
        <w:t xml:space="preserve">nstruction on </w:t>
      </w:r>
      <w:hyperlink r:id="rId24">
        <w:r w:rsidRPr="32BE9D94">
          <w:rPr>
            <w:rStyle w:val="Hyperlink"/>
          </w:rPr>
          <w:t>Assessing Credibility and Refugee Status</w:t>
        </w:r>
      </w:hyperlink>
      <w:r w:rsidRPr="32BE9D94">
        <w:rPr>
          <w:rStyle w:val="Hyperlink"/>
          <w:color w:val="auto"/>
          <w:u w:val="none"/>
        </w:rPr>
        <w:t>.</w:t>
      </w:r>
    </w:p>
    <w:p w14:paraId="1F78008D" w14:textId="145A1F07" w:rsidR="00CE0811" w:rsidRDefault="00000000" w:rsidP="00B82DB8">
      <w:pPr>
        <w:pStyle w:val="Backtocontents"/>
        <w:widowControl w:val="0"/>
        <w:rPr>
          <w:rStyle w:val="Hyperlink"/>
        </w:rPr>
      </w:pPr>
      <w:hyperlink w:anchor="contents" w:history="1">
        <w:r w:rsidR="00922871" w:rsidRPr="00DD7ED2">
          <w:rPr>
            <w:rStyle w:val="Hyperlink"/>
          </w:rPr>
          <w:t>Back to Contents</w:t>
        </w:r>
      </w:hyperlink>
    </w:p>
    <w:p w14:paraId="606513CD" w14:textId="76217876" w:rsidR="00A77927" w:rsidRPr="00A77927" w:rsidRDefault="00A77927" w:rsidP="00B82DB8">
      <w:pPr>
        <w:pStyle w:val="Sectionupdate"/>
        <w:widowControl w:val="0"/>
      </w:pPr>
      <w:r w:rsidRPr="00A77927">
        <w:t>Section updated: 19 September 2023</w:t>
      </w:r>
    </w:p>
    <w:p w14:paraId="559059FC" w14:textId="4D79E7A6" w:rsidR="00AB58EB" w:rsidRPr="006434C7" w:rsidRDefault="00AB58EB" w:rsidP="00B82DB8">
      <w:pPr>
        <w:pStyle w:val="Heading2"/>
        <w:keepNext w:val="0"/>
        <w:keepLines w:val="0"/>
        <w:widowControl w:val="0"/>
      </w:pPr>
      <w:bookmarkStart w:id="39" w:name="_Toc146698537"/>
      <w:bookmarkStart w:id="40" w:name="_Toc178601172"/>
      <w:r w:rsidRPr="006434C7">
        <w:t xml:space="preserve">Internal </w:t>
      </w:r>
      <w:r w:rsidR="00D170C0" w:rsidRPr="006434C7">
        <w:t>r</w:t>
      </w:r>
      <w:r w:rsidRPr="006434C7">
        <w:t>elocation</w:t>
      </w:r>
      <w:bookmarkEnd w:id="39"/>
      <w:bookmarkEnd w:id="40"/>
    </w:p>
    <w:p w14:paraId="6FF229FF" w14:textId="5A366A5E" w:rsidR="00CD290A" w:rsidRDefault="00CD290A" w:rsidP="00B82DB8">
      <w:pPr>
        <w:pStyle w:val="ListParagraph"/>
        <w:widowControl w:val="0"/>
        <w:rPr>
          <w:szCs w:val="24"/>
        </w:rPr>
      </w:pPr>
      <w:r>
        <w:t>In general, there are parts of Georgia where an LGBTI person would not have a well-founded fear of persecution/real risk of serious harm and would be reasonable for them to relocate to</w:t>
      </w:r>
      <w:r w:rsidR="00416FBF">
        <w:t>. This includes</w:t>
      </w:r>
      <w:r>
        <w:t xml:space="preserve">, but </w:t>
      </w:r>
      <w:r w:rsidR="00416FBF">
        <w:t xml:space="preserve">is </w:t>
      </w:r>
      <w:r>
        <w:t>not limited to, the capital city of Tbilisi. Each case must be considered on its facts.</w:t>
      </w:r>
    </w:p>
    <w:p w14:paraId="6F62C12D" w14:textId="28E80AAA" w:rsidR="00D67622" w:rsidRDefault="00C959F3" w:rsidP="00B82DB8">
      <w:pPr>
        <w:pStyle w:val="ListParagraph"/>
        <w:widowControl w:val="0"/>
      </w:pPr>
      <w:r>
        <w:t>Georgia is a small country</w:t>
      </w:r>
      <w:r w:rsidR="00CA1D1F">
        <w:t xml:space="preserve"> with a population of approximately 3.6 million</w:t>
      </w:r>
      <w:r w:rsidR="00770C6E">
        <w:t xml:space="preserve">. Approximately 1 million people live in the capital of </w:t>
      </w:r>
      <w:proofErr w:type="spellStart"/>
      <w:r w:rsidR="00770C6E">
        <w:t>Tbisil</w:t>
      </w:r>
      <w:r w:rsidR="001832AB">
        <w:t>i</w:t>
      </w:r>
      <w:proofErr w:type="spellEnd"/>
      <w:r w:rsidR="00D67622">
        <w:t xml:space="preserve">. </w:t>
      </w:r>
      <w:r w:rsidR="006434C7">
        <w:t>There is a higher visibility of LGBTI individuals in urban areas such as Tbilisi, with many younger LGBTI individuals moving to urban cities where they report feeling more able to express their identities and connect with the LGBTI community</w:t>
      </w:r>
      <w:r w:rsidR="001832AB">
        <w:t xml:space="preserve"> (see </w:t>
      </w:r>
      <w:hyperlink w:anchor="_Freedom_of_movement">
        <w:r w:rsidR="001832AB" w:rsidRPr="32BE9D94">
          <w:rPr>
            <w:rStyle w:val="Hyperlink"/>
          </w:rPr>
          <w:t>Freedom of movement</w:t>
        </w:r>
      </w:hyperlink>
      <w:r w:rsidR="001832AB">
        <w:t>).</w:t>
      </w:r>
    </w:p>
    <w:p w14:paraId="581E4ED6" w14:textId="2EA44B86" w:rsidR="00820AB7" w:rsidRDefault="00820AB7" w:rsidP="00B82DB8">
      <w:pPr>
        <w:pStyle w:val="ListParagraph"/>
        <w:widowControl w:val="0"/>
        <w:rPr>
          <w:szCs w:val="24"/>
        </w:rPr>
      </w:pPr>
      <w:r>
        <w:t>Internal relocation will not be an option if it depends on the person concealing their sexual orientation and/or gender identity in the proposed new location if the reason (or one of the reasons) is a fear of persecution. Each case must be considered on its facts.</w:t>
      </w:r>
    </w:p>
    <w:p w14:paraId="1BC16F06" w14:textId="266C4162" w:rsidR="00820AB7" w:rsidRPr="00820AB7" w:rsidRDefault="00820AB7" w:rsidP="00B82DB8">
      <w:pPr>
        <w:pStyle w:val="ListParagraph"/>
        <w:widowControl w:val="0"/>
        <w:rPr>
          <w:rStyle w:val="Hyperlink"/>
          <w:color w:val="auto"/>
          <w:szCs w:val="24"/>
          <w:u w:val="none"/>
        </w:rPr>
      </w:pPr>
      <w:r>
        <w:t xml:space="preserve">For further guidance on considering internal relocation and factors to be taken into account see the Asylum Instruction on </w:t>
      </w:r>
      <w:hyperlink r:id="rId25">
        <w:r w:rsidRPr="32BE9D94">
          <w:rPr>
            <w:rStyle w:val="Hyperlink"/>
          </w:rPr>
          <w:t xml:space="preserve">Assessing Credibility and </w:t>
        </w:r>
        <w:r w:rsidRPr="32BE9D94">
          <w:rPr>
            <w:rStyle w:val="Hyperlink"/>
          </w:rPr>
          <w:lastRenderedPageBreak/>
          <w:t>Refugee Status</w:t>
        </w:r>
      </w:hyperlink>
      <w:r w:rsidRPr="32BE9D94">
        <w:rPr>
          <w:rStyle w:val="Hyperlink"/>
          <w:color w:val="auto"/>
          <w:u w:val="none"/>
        </w:rPr>
        <w:t xml:space="preserve"> and </w:t>
      </w:r>
      <w:hyperlink r:id="rId26">
        <w:r w:rsidRPr="32BE9D94">
          <w:rPr>
            <w:rStyle w:val="Hyperlink"/>
          </w:rPr>
          <w:t>Sexual orientation in the asylum claim</w:t>
        </w:r>
      </w:hyperlink>
      <w:r>
        <w:t xml:space="preserve"> and </w:t>
      </w:r>
      <w:hyperlink r:id="rId27">
        <w:r w:rsidRPr="32BE9D94">
          <w:rPr>
            <w:color w:val="0000FF"/>
            <w:u w:val="single"/>
          </w:rPr>
          <w:t>Gender identity issues in the asylum claim</w:t>
        </w:r>
      </w:hyperlink>
      <w:r>
        <w:t>.</w:t>
      </w:r>
    </w:p>
    <w:p w14:paraId="65AC772A" w14:textId="6A623E9D" w:rsidR="00CE0811" w:rsidRDefault="00000000" w:rsidP="00B82DB8">
      <w:pPr>
        <w:pStyle w:val="Backtocontents"/>
        <w:widowControl w:val="0"/>
        <w:rPr>
          <w:rStyle w:val="Hyperlink"/>
        </w:rPr>
      </w:pPr>
      <w:hyperlink w:anchor="contents" w:history="1">
        <w:r w:rsidR="00922871" w:rsidRPr="00DD7ED2">
          <w:rPr>
            <w:rStyle w:val="Hyperlink"/>
          </w:rPr>
          <w:t>Back to Contents</w:t>
        </w:r>
      </w:hyperlink>
    </w:p>
    <w:p w14:paraId="560907C4" w14:textId="3E37B46B" w:rsidR="00A77927" w:rsidRPr="00A77927" w:rsidRDefault="00A77927" w:rsidP="00B82DB8">
      <w:pPr>
        <w:pStyle w:val="Sectionupdate"/>
        <w:widowControl w:val="0"/>
      </w:pPr>
      <w:r w:rsidRPr="00A77927">
        <w:t>Section updated: 19 September 2023</w:t>
      </w:r>
    </w:p>
    <w:p w14:paraId="2B48D67E" w14:textId="6C0B8853" w:rsidR="00CE0811" w:rsidRPr="00DD7ED2" w:rsidRDefault="00AB58EB" w:rsidP="00B82DB8">
      <w:pPr>
        <w:pStyle w:val="Heading2"/>
        <w:keepNext w:val="0"/>
        <w:keepLines w:val="0"/>
        <w:widowControl w:val="0"/>
      </w:pPr>
      <w:bookmarkStart w:id="41" w:name="_Toc146698538"/>
      <w:bookmarkStart w:id="42" w:name="_Toc178601173"/>
      <w:r w:rsidRPr="006819D3">
        <w:t>Certification</w:t>
      </w:r>
      <w:bookmarkEnd w:id="41"/>
      <w:bookmarkEnd w:id="42"/>
    </w:p>
    <w:p w14:paraId="4C9FB28F" w14:textId="456F0924" w:rsidR="00CE0811" w:rsidRPr="002F251D" w:rsidRDefault="00CE0811" w:rsidP="00B82DB8">
      <w:pPr>
        <w:pStyle w:val="ListParagraph"/>
        <w:widowControl w:val="0"/>
      </w:pPr>
      <w:r w:rsidRPr="002F251D">
        <w:t>Where a claim is refused, it is likely to be certifiable as ‘clearly unfounded’ under section 94 of the Nationality, Immigration and Asylum Act 2002.</w:t>
      </w:r>
    </w:p>
    <w:p w14:paraId="2C8F99F5" w14:textId="2591FCCF" w:rsidR="00AB58EB" w:rsidRPr="00DD7ED2" w:rsidRDefault="00CE0811" w:rsidP="00B82DB8">
      <w:pPr>
        <w:pStyle w:val="ListParagraph"/>
        <w:widowControl w:val="0"/>
      </w:pPr>
      <w:r>
        <w:t xml:space="preserve">For further guidance on certification, see </w:t>
      </w:r>
      <w:hyperlink r:id="rId28">
        <w:r w:rsidRPr="32BE9D94">
          <w:rPr>
            <w:color w:val="0000FF"/>
            <w:u w:val="single"/>
          </w:rPr>
          <w:t>Certification of Protection and Human Rights claims under section 94 of the Nationality, Immigration and Asylum Act 2002 (clearly unfounded claims)</w:t>
        </w:r>
      </w:hyperlink>
      <w:r>
        <w:t>.</w:t>
      </w:r>
      <w:r w:rsidR="00AB58EB">
        <w:t xml:space="preserve"> </w:t>
      </w:r>
    </w:p>
    <w:p w14:paraId="7A1345CA" w14:textId="55353107" w:rsidR="00EA3BC4" w:rsidRPr="00DD7ED2" w:rsidRDefault="00000000" w:rsidP="00B82DB8">
      <w:pPr>
        <w:widowControl w:val="0"/>
        <w:jc w:val="right"/>
        <w:rPr>
          <w:rStyle w:val="Hyperlink"/>
          <w:szCs w:val="24"/>
        </w:rPr>
      </w:pPr>
      <w:hyperlink w:anchor="contents" w:history="1">
        <w:r w:rsidR="00922871" w:rsidRPr="00DD7ED2">
          <w:rPr>
            <w:rStyle w:val="Hyperlink"/>
            <w:szCs w:val="24"/>
          </w:rPr>
          <w:t>Back to Contents</w:t>
        </w:r>
      </w:hyperlink>
    </w:p>
    <w:p w14:paraId="6EA1BC47" w14:textId="77777777" w:rsidR="009406A0" w:rsidRPr="00DD7ED2" w:rsidRDefault="009406A0">
      <w:pPr>
        <w:spacing w:after="200" w:line="276" w:lineRule="auto"/>
        <w:rPr>
          <w:rFonts w:eastAsiaTheme="majorEastAsia" w:cstheme="majorBidi"/>
          <w:bCs/>
          <w:color w:val="7030A0"/>
          <w:sz w:val="52"/>
          <w:szCs w:val="28"/>
        </w:rPr>
      </w:pPr>
      <w:bookmarkStart w:id="43" w:name="_Country_information"/>
      <w:bookmarkStart w:id="44" w:name="_Country_information_1"/>
      <w:bookmarkStart w:id="45" w:name="_Toc500775370"/>
      <w:bookmarkStart w:id="46" w:name="_Toc409598708"/>
      <w:bookmarkEnd w:id="43"/>
      <w:bookmarkEnd w:id="44"/>
      <w:r w:rsidRPr="00DD7ED2">
        <w:br w:type="page"/>
      </w:r>
    </w:p>
    <w:p w14:paraId="7456BF4D" w14:textId="1F17C9B4" w:rsidR="00EA3BC4" w:rsidRPr="00DD7ED2" w:rsidRDefault="00EA3BC4" w:rsidP="001E1516">
      <w:pPr>
        <w:pStyle w:val="Heading1"/>
        <w:keepNext w:val="0"/>
        <w:keepLines w:val="0"/>
        <w:widowControl w:val="0"/>
      </w:pPr>
      <w:bookmarkStart w:id="47" w:name="_Country_information_2"/>
      <w:bookmarkStart w:id="48" w:name="_Toc146698539"/>
      <w:bookmarkStart w:id="49" w:name="_Toc178601174"/>
      <w:bookmarkEnd w:id="47"/>
      <w:r w:rsidRPr="00DD7ED2">
        <w:lastRenderedPageBreak/>
        <w:t>Country information</w:t>
      </w:r>
      <w:bookmarkEnd w:id="45"/>
      <w:bookmarkEnd w:id="48"/>
      <w:bookmarkEnd w:id="49"/>
    </w:p>
    <w:p w14:paraId="29B6FCEA" w14:textId="2F49F8BB" w:rsidR="000C1446" w:rsidRPr="00DD7ED2" w:rsidRDefault="000C1446" w:rsidP="001E1516">
      <w:pPr>
        <w:pStyle w:val="Heading2"/>
        <w:keepNext w:val="0"/>
        <w:keepLines w:val="0"/>
        <w:widowControl w:val="0"/>
        <w:numPr>
          <w:ilvl w:val="0"/>
          <w:numId w:val="0"/>
        </w:numPr>
        <w:ind w:left="851" w:hanging="851"/>
      </w:pPr>
      <w:bookmarkStart w:id="50" w:name="_Toc125988447"/>
      <w:bookmarkStart w:id="51" w:name="_Toc146698540"/>
      <w:bookmarkStart w:id="52" w:name="_Toc500775371"/>
      <w:bookmarkStart w:id="53" w:name="_Toc178601175"/>
      <w:r>
        <w:t>About the country information</w:t>
      </w:r>
      <w:bookmarkEnd w:id="50"/>
      <w:bookmarkEnd w:id="51"/>
      <w:bookmarkEnd w:id="53"/>
    </w:p>
    <w:p w14:paraId="550FA7F0" w14:textId="372D6082" w:rsidR="00C2628B" w:rsidRPr="00644C3F" w:rsidRDefault="00C2628B" w:rsidP="00C2628B">
      <w:pPr>
        <w:widowControl w:val="0"/>
      </w:pPr>
      <w:r w:rsidRPr="00644C3F">
        <w:t>Th</w:t>
      </w:r>
      <w:r w:rsidR="00896A2F" w:rsidRPr="00644C3F">
        <w:t>is</w:t>
      </w:r>
      <w:r w:rsidRPr="00644C3F">
        <w:t xml:space="preserve"> contains </w:t>
      </w:r>
      <w:r w:rsidR="002A6787" w:rsidRPr="00644C3F">
        <w:t>publicly available or disclosable</w:t>
      </w:r>
      <w:r w:rsidRPr="00644C3F">
        <w:t xml:space="preserve"> </w:t>
      </w:r>
      <w:r w:rsidR="00896A2F" w:rsidRPr="00644C3F">
        <w:t xml:space="preserve">country of origin information (COI) </w:t>
      </w:r>
      <w:r w:rsidRPr="00644C3F">
        <w:t xml:space="preserve">which has been </w:t>
      </w:r>
      <w:r w:rsidR="00B220D6" w:rsidRPr="00644C3F">
        <w:t>gathered, collated</w:t>
      </w:r>
      <w:r w:rsidRPr="00644C3F">
        <w:t xml:space="preserve"> and analysed in line with the </w:t>
      </w:r>
      <w:hyperlink w:anchor="_Research_methodology" w:history="1">
        <w:r w:rsidR="00D20A0E" w:rsidRPr="00644C3F">
          <w:rPr>
            <w:rStyle w:val="Hyperlink"/>
          </w:rPr>
          <w:t>research methodology</w:t>
        </w:r>
      </w:hyperlink>
      <w:r w:rsidRPr="00644C3F">
        <w:rPr>
          <w:rStyle w:val="Hyperlink"/>
          <w:u w:val="none"/>
        </w:rPr>
        <w:t>.</w:t>
      </w:r>
      <w:r w:rsidRPr="00644C3F">
        <w:t xml:space="preserve"> It provides the evidence base for the assessment.</w:t>
      </w:r>
    </w:p>
    <w:p w14:paraId="54AA8983" w14:textId="5CF39208" w:rsidR="00C2628B" w:rsidRPr="00644C3F" w:rsidRDefault="00C2628B" w:rsidP="00C2628B">
      <w:pPr>
        <w:widowControl w:val="0"/>
      </w:pPr>
      <w:r w:rsidRPr="00644C3F">
        <w:t xml:space="preserve">The structure and content of this section follow a </w:t>
      </w:r>
      <w:hyperlink w:anchor="_Terms_of_Reference_1" w:history="1">
        <w:r w:rsidRPr="00644C3F">
          <w:rPr>
            <w:rStyle w:val="Hyperlink"/>
          </w:rPr>
          <w:t>terms of reference</w:t>
        </w:r>
      </w:hyperlink>
      <w:r w:rsidRPr="00644C3F">
        <w:t xml:space="preserve"> which sets out the general and specific topics relevant to the scope of this note.</w:t>
      </w:r>
    </w:p>
    <w:p w14:paraId="2D6A52F0" w14:textId="121C796E" w:rsidR="00C2628B" w:rsidRDefault="00C2628B" w:rsidP="00C2628B">
      <w:pPr>
        <w:widowControl w:val="0"/>
      </w:pPr>
      <w:r w:rsidRPr="00644C3F">
        <w:t xml:space="preserve">Decision makers must use relevant </w:t>
      </w:r>
      <w:r w:rsidR="001E1516">
        <w:t>COI</w:t>
      </w:r>
      <w:r w:rsidRPr="00644C3F">
        <w:t xml:space="preserve"> as the evidential basis for decisions.</w:t>
      </w:r>
    </w:p>
    <w:p w14:paraId="7365C93C" w14:textId="7C87B444" w:rsidR="00B220D6" w:rsidRDefault="00000000" w:rsidP="001E1516">
      <w:pPr>
        <w:widowControl w:val="0"/>
        <w:jc w:val="right"/>
        <w:rPr>
          <w:rStyle w:val="Hyperlink"/>
          <w:szCs w:val="24"/>
        </w:rPr>
      </w:pPr>
      <w:hyperlink w:anchor="contents" w:history="1">
        <w:r w:rsidR="00B220D6" w:rsidRPr="00DD7ED2">
          <w:rPr>
            <w:rStyle w:val="Hyperlink"/>
            <w:szCs w:val="24"/>
          </w:rPr>
          <w:t>Back to Contents</w:t>
        </w:r>
      </w:hyperlink>
    </w:p>
    <w:p w14:paraId="7D1B8B76" w14:textId="114AC9B3" w:rsidR="00A77927" w:rsidRPr="00A77927" w:rsidRDefault="00A77927" w:rsidP="001E1516">
      <w:pPr>
        <w:pStyle w:val="Sectionupdate"/>
        <w:widowControl w:val="0"/>
      </w:pPr>
      <w:r w:rsidRPr="00A77927">
        <w:t>Section updated: 19 September 2023</w:t>
      </w:r>
    </w:p>
    <w:p w14:paraId="5EB00E6A" w14:textId="77777777" w:rsidR="00981494" w:rsidRPr="00981494" w:rsidRDefault="00981494" w:rsidP="001E1516">
      <w:pPr>
        <w:pStyle w:val="Heading2"/>
        <w:keepNext w:val="0"/>
        <w:keepLines w:val="0"/>
        <w:widowControl w:val="0"/>
      </w:pPr>
      <w:bookmarkStart w:id="54" w:name="_Toc138175650"/>
      <w:bookmarkStart w:id="55" w:name="_Toc141193627"/>
      <w:bookmarkStart w:id="56" w:name="_Toc146698541"/>
      <w:bookmarkStart w:id="57" w:name="_Toc178601176"/>
      <w:r w:rsidRPr="00981494">
        <w:t>Legal framework</w:t>
      </w:r>
      <w:bookmarkEnd w:id="54"/>
      <w:bookmarkEnd w:id="55"/>
      <w:bookmarkEnd w:id="56"/>
      <w:bookmarkEnd w:id="57"/>
      <w:r w:rsidRPr="00981494">
        <w:t xml:space="preserve"> </w:t>
      </w:r>
    </w:p>
    <w:p w14:paraId="2325DCEA" w14:textId="77777777" w:rsidR="00981494" w:rsidRPr="00981494" w:rsidRDefault="00981494" w:rsidP="001E1516">
      <w:pPr>
        <w:pStyle w:val="Heading3"/>
        <w:keepNext w:val="0"/>
        <w:keepLines w:val="0"/>
        <w:widowControl w:val="0"/>
      </w:pPr>
      <w:bookmarkStart w:id="58" w:name="_Criminal_Code"/>
      <w:bookmarkStart w:id="59" w:name="_Toc138175651"/>
      <w:bookmarkStart w:id="60" w:name="_Ref145350315"/>
      <w:bookmarkStart w:id="61" w:name="_Toc146698542"/>
      <w:bookmarkStart w:id="62" w:name="_Toc178601177"/>
      <w:bookmarkEnd w:id="58"/>
      <w:r w:rsidRPr="00981494">
        <w:t>Criminal Code</w:t>
      </w:r>
      <w:bookmarkEnd w:id="59"/>
      <w:bookmarkEnd w:id="60"/>
      <w:bookmarkEnd w:id="61"/>
      <w:bookmarkEnd w:id="62"/>
    </w:p>
    <w:p w14:paraId="0B13E5C1" w14:textId="4DA25D9F" w:rsidR="00A95CD7" w:rsidRDefault="00981494" w:rsidP="001E1516">
      <w:pPr>
        <w:pStyle w:val="ListParagraph"/>
        <w:widowControl w:val="0"/>
      </w:pPr>
      <w:r w:rsidRPr="00981494">
        <w:t xml:space="preserve">The International Lesbian, Gay, Bisexual, Trans and Intersex </w:t>
      </w:r>
      <w:r w:rsidR="0009143C">
        <w:t xml:space="preserve">Association </w:t>
      </w:r>
      <w:r w:rsidRPr="00981494">
        <w:t xml:space="preserve">(ILGA) observed in its </w:t>
      </w:r>
      <w:r w:rsidR="00E84F36">
        <w:t xml:space="preserve">2020 </w:t>
      </w:r>
      <w:r w:rsidRPr="00981494">
        <w:t>report ‘State-Sponsored Homophobia 2020: Global Legislation Overview Update’, that there are no laws in Georgia prohibiting same-sex sexual activity between consenting adults</w:t>
      </w:r>
      <w:r w:rsidRPr="00981494">
        <w:rPr>
          <w:vertAlign w:val="superscript"/>
        </w:rPr>
        <w:footnoteReference w:id="2"/>
      </w:r>
      <w:r w:rsidRPr="00981494">
        <w:t>.</w:t>
      </w:r>
    </w:p>
    <w:p w14:paraId="09D0A90F" w14:textId="77777777" w:rsidR="00A95CD7" w:rsidRDefault="00981494" w:rsidP="001E1516">
      <w:pPr>
        <w:pStyle w:val="ListParagraph"/>
        <w:widowControl w:val="0"/>
      </w:pPr>
      <w:r w:rsidRPr="00981494">
        <w:t xml:space="preserve">The ILGA report 2020, stated: ‘The </w:t>
      </w:r>
      <w:hyperlink r:id="rId29" w:history="1">
        <w:r w:rsidRPr="00A95CD7">
          <w:rPr>
            <w:color w:val="0000FF" w:themeColor="hyperlink"/>
            <w:u w:val="single"/>
          </w:rPr>
          <w:t>Criminal Code</w:t>
        </w:r>
      </w:hyperlink>
      <w:r w:rsidRPr="00981494">
        <w:t xml:space="preserve"> (2000) of Georgia removed the pre-existing sodomy provisions that were carried through from the Soviet Union period.’</w:t>
      </w:r>
      <w:r w:rsidRPr="00981494">
        <w:rPr>
          <w:vertAlign w:val="superscript"/>
        </w:rPr>
        <w:footnoteReference w:id="3"/>
      </w:r>
      <w:r w:rsidRPr="00981494">
        <w:t xml:space="preserve"> </w:t>
      </w:r>
    </w:p>
    <w:p w14:paraId="6B7208F8" w14:textId="77777777" w:rsidR="00A95CD7" w:rsidRDefault="00981494" w:rsidP="001E1516">
      <w:pPr>
        <w:pStyle w:val="ListParagraph"/>
        <w:widowControl w:val="0"/>
      </w:pPr>
      <w:r w:rsidRPr="00981494">
        <w:t>The ILGA report further stated: ‘Article 53(3) of the Penal Code [Criminal Code] (2000), as amended in 2012, provides that the commission of a crime on the basis of sexual orientation constitutes an aggravating circumstance for all crimes under the Code.’</w:t>
      </w:r>
      <w:r w:rsidRPr="00981494">
        <w:rPr>
          <w:vertAlign w:val="superscript"/>
        </w:rPr>
        <w:footnoteReference w:id="4"/>
      </w:r>
    </w:p>
    <w:p w14:paraId="00133722" w14:textId="29979BF7" w:rsidR="00981494" w:rsidRDefault="00981494" w:rsidP="001E1516">
      <w:pPr>
        <w:pStyle w:val="ListParagraph"/>
        <w:widowControl w:val="0"/>
      </w:pPr>
      <w:r w:rsidRPr="00981494">
        <w:t xml:space="preserve">The US State Department in its human rights report covering events in 2022 (USSD </w:t>
      </w:r>
      <w:r w:rsidR="0057491E">
        <w:t xml:space="preserve">2022 HR </w:t>
      </w:r>
      <w:r w:rsidRPr="00981494">
        <w:t>report) observed: ‘</w:t>
      </w:r>
      <w:bookmarkStart w:id="64" w:name="_Hlk145348385"/>
      <w:r w:rsidRPr="00981494">
        <w:t>Consensual same-sex sexual conduct is not criminalized for men or women</w:t>
      </w:r>
      <w:bookmarkEnd w:id="64"/>
      <w:r w:rsidRPr="00981494">
        <w:t>, and the age of consent is equal.’</w:t>
      </w:r>
      <w:r w:rsidRPr="00981494">
        <w:rPr>
          <w:vertAlign w:val="superscript"/>
        </w:rPr>
        <w:footnoteReference w:id="5"/>
      </w:r>
    </w:p>
    <w:bookmarkStart w:id="65" w:name="_Hlk140490300"/>
    <w:p w14:paraId="7C36BB23" w14:textId="77777777" w:rsidR="00981494" w:rsidRPr="00981494" w:rsidRDefault="00981494" w:rsidP="001E1516">
      <w:pPr>
        <w:widowControl w:val="0"/>
        <w:ind w:left="6480"/>
        <w:rPr>
          <w:color w:val="0000FF"/>
          <w:szCs w:val="24"/>
          <w:u w:val="words"/>
        </w:rPr>
      </w:pPr>
      <w:r w:rsidRPr="00981494">
        <w:fldChar w:fldCharType="begin"/>
      </w:r>
      <w:r w:rsidRPr="00981494">
        <w:instrText>HYPERLINK \l "contents"</w:instrText>
      </w:r>
      <w:r w:rsidRPr="00981494">
        <w:fldChar w:fldCharType="separate"/>
      </w:r>
      <w:r w:rsidRPr="00981494">
        <w:rPr>
          <w:color w:val="0000FF" w:themeColor="hyperlink"/>
          <w:szCs w:val="24"/>
          <w:u w:val="single"/>
        </w:rPr>
        <w:t>Back to Contents</w:t>
      </w:r>
      <w:r w:rsidRPr="00981494">
        <w:rPr>
          <w:color w:val="0000FF" w:themeColor="hyperlink"/>
          <w:szCs w:val="24"/>
          <w:u w:val="single"/>
        </w:rPr>
        <w:fldChar w:fldCharType="end"/>
      </w:r>
      <w:bookmarkEnd w:id="65"/>
    </w:p>
    <w:p w14:paraId="5AB618DD" w14:textId="1B92923F" w:rsidR="00981494" w:rsidRPr="00981494" w:rsidRDefault="001C337D" w:rsidP="001E1516">
      <w:pPr>
        <w:pStyle w:val="Heading3"/>
        <w:keepNext w:val="0"/>
        <w:keepLines w:val="0"/>
        <w:widowControl w:val="0"/>
      </w:pPr>
      <w:bookmarkStart w:id="66" w:name="_Protection_from_discrimination"/>
      <w:bookmarkStart w:id="67" w:name="_Toc138175652"/>
      <w:bookmarkStart w:id="68" w:name="_Ref145350328"/>
      <w:bookmarkStart w:id="69" w:name="_Toc146698543"/>
      <w:bookmarkStart w:id="70" w:name="_Toc178601178"/>
      <w:bookmarkEnd w:id="66"/>
      <w:r>
        <w:t>Anti-</w:t>
      </w:r>
      <w:r w:rsidR="00981494" w:rsidRPr="00981494">
        <w:t>discrimination</w:t>
      </w:r>
      <w:bookmarkEnd w:id="67"/>
      <w:bookmarkEnd w:id="68"/>
      <w:bookmarkEnd w:id="69"/>
      <w:bookmarkEnd w:id="70"/>
    </w:p>
    <w:p w14:paraId="16E4B42C" w14:textId="0F193677" w:rsidR="00981494" w:rsidRPr="00981494" w:rsidRDefault="001B1CD3" w:rsidP="001E1516">
      <w:pPr>
        <w:pStyle w:val="ListParagraph"/>
        <w:widowControl w:val="0"/>
      </w:pPr>
      <w:r>
        <w:t xml:space="preserve">In July 2022, </w:t>
      </w:r>
      <w:r w:rsidRPr="001B1CD3">
        <w:t>following a visit to Georgia</w:t>
      </w:r>
      <w:r>
        <w:t>,</w:t>
      </w:r>
      <w:r w:rsidRPr="001B1CD3">
        <w:t xml:space="preserve"> </w:t>
      </w:r>
      <w:r>
        <w:t>t</w:t>
      </w:r>
      <w:r w:rsidR="00981494" w:rsidRPr="00981494">
        <w:t>he Commissioner for Human Rights of the Council of Europe</w:t>
      </w:r>
      <w:r>
        <w:t xml:space="preserve"> reported</w:t>
      </w:r>
      <w:r w:rsidR="00981494" w:rsidRPr="00981494">
        <w:t>:</w:t>
      </w:r>
    </w:p>
    <w:p w14:paraId="24DE7624" w14:textId="555677CC" w:rsidR="00102B99" w:rsidRPr="00981494" w:rsidRDefault="00981494" w:rsidP="001E1516">
      <w:pPr>
        <w:pStyle w:val="ListParagraph"/>
        <w:widowControl w:val="0"/>
        <w:numPr>
          <w:ilvl w:val="0"/>
          <w:numId w:val="0"/>
        </w:numPr>
        <w:ind w:left="851"/>
      </w:pPr>
      <w:r w:rsidRPr="00981494">
        <w:t>‘</w:t>
      </w:r>
      <w:bookmarkStart w:id="71" w:name="_Hlk145350041"/>
      <w:r w:rsidRPr="00981494">
        <w:t xml:space="preserve">Georgia has a well-developed anti-discrimination legal framework which covers discrimination based on sexual orientation, gender identity, and expression (SOGIE). The principle of equality is enshrined in Article 11 of the Georgian Constitution and although it does not specifically list sexual orientation and gender identity among the prohibited grounds for discrimination, the Constitutional Court of Georgia ruled in 2008 that the list of protected grounds is not exhaustive and in 2014 that protected grounds </w:t>
      </w:r>
      <w:r w:rsidRPr="00981494">
        <w:lastRenderedPageBreak/>
        <w:t>should be interpreted as including sexual orientation, among other grounds</w:t>
      </w:r>
      <w:bookmarkEnd w:id="71"/>
      <w:r w:rsidRPr="00981494">
        <w:t>.’</w:t>
      </w:r>
      <w:r w:rsidRPr="00981494">
        <w:rPr>
          <w:vertAlign w:val="superscript"/>
        </w:rPr>
        <w:footnoteReference w:id="6"/>
      </w:r>
    </w:p>
    <w:p w14:paraId="7024CC18" w14:textId="77777777" w:rsidR="00981494" w:rsidRPr="00981494" w:rsidRDefault="00000000" w:rsidP="001E1516">
      <w:pPr>
        <w:widowControl w:val="0"/>
        <w:jc w:val="right"/>
        <w:rPr>
          <w:color w:val="0000FF"/>
          <w:szCs w:val="24"/>
          <w:u w:val="words"/>
        </w:rPr>
      </w:pPr>
      <w:hyperlink w:anchor="contents" w:history="1">
        <w:r w:rsidR="00981494" w:rsidRPr="00981494">
          <w:rPr>
            <w:color w:val="0000FF" w:themeColor="hyperlink"/>
            <w:szCs w:val="24"/>
            <w:u w:val="single"/>
          </w:rPr>
          <w:t>Back to Contents</w:t>
        </w:r>
      </w:hyperlink>
    </w:p>
    <w:p w14:paraId="4EB6972D" w14:textId="77777777" w:rsidR="00981494" w:rsidRPr="00981494" w:rsidRDefault="00981494" w:rsidP="001E1516">
      <w:pPr>
        <w:pStyle w:val="Heading3"/>
        <w:keepNext w:val="0"/>
        <w:keepLines w:val="0"/>
        <w:widowControl w:val="0"/>
      </w:pPr>
      <w:bookmarkStart w:id="72" w:name="_Toc138175653"/>
      <w:bookmarkStart w:id="73" w:name="_Ref145353072"/>
      <w:bookmarkStart w:id="74" w:name="_Toc146698544"/>
      <w:bookmarkStart w:id="75" w:name="_Toc178601179"/>
      <w:r w:rsidRPr="00981494">
        <w:t>Marriage and civil union</w:t>
      </w:r>
      <w:bookmarkEnd w:id="72"/>
      <w:bookmarkEnd w:id="73"/>
      <w:bookmarkEnd w:id="74"/>
      <w:bookmarkEnd w:id="75"/>
    </w:p>
    <w:p w14:paraId="4DD266E6" w14:textId="77777777" w:rsidR="00981494" w:rsidRPr="00981494" w:rsidRDefault="00981494" w:rsidP="001E1516">
      <w:pPr>
        <w:pStyle w:val="ListParagraph"/>
        <w:widowControl w:val="0"/>
      </w:pPr>
      <w:bookmarkStart w:id="76" w:name="_Hlk145350477"/>
      <w:r w:rsidRPr="00981494">
        <w:t>There is no provision in Georgian law for same sex marriages or civil partnerships</w:t>
      </w:r>
      <w:bookmarkEnd w:id="76"/>
      <w:r w:rsidRPr="00981494">
        <w:rPr>
          <w:vertAlign w:val="superscript"/>
        </w:rPr>
        <w:footnoteReference w:id="7"/>
      </w:r>
      <w:r w:rsidRPr="00981494">
        <w:t>.</w:t>
      </w:r>
    </w:p>
    <w:p w14:paraId="1BC25F52" w14:textId="3601199E" w:rsidR="00981494" w:rsidRPr="00981494" w:rsidRDefault="008F5537" w:rsidP="001E1516">
      <w:pPr>
        <w:pStyle w:val="ListParagraph"/>
        <w:widowControl w:val="0"/>
      </w:pPr>
      <w:r>
        <w:t>Article 30 of t</w:t>
      </w:r>
      <w:r w:rsidR="00981494" w:rsidRPr="00981494">
        <w:t xml:space="preserve">he Constitution was amended in 2018 </w:t>
      </w:r>
      <w:r w:rsidR="00E8080A">
        <w:t>from</w:t>
      </w:r>
      <w:r w:rsidR="00AB517F">
        <w:t xml:space="preserve"> marriage defined as ‘based upon the equality of rights and the free will of spouses’</w:t>
      </w:r>
      <w:r w:rsidR="00AB517F">
        <w:rPr>
          <w:rStyle w:val="FootnoteReference"/>
        </w:rPr>
        <w:footnoteReference w:id="8"/>
      </w:r>
      <w:r w:rsidR="00AB517F">
        <w:t xml:space="preserve"> </w:t>
      </w:r>
      <w:r w:rsidR="00981494" w:rsidRPr="00981494">
        <w:t>to define marriage as ‘a union of a woman and a man for the purpose of founding a family’</w:t>
      </w:r>
      <w:r w:rsidR="00323783">
        <w:t>.</w:t>
      </w:r>
      <w:r w:rsidR="00981494" w:rsidRPr="00981494">
        <w:rPr>
          <w:vertAlign w:val="superscript"/>
        </w:rPr>
        <w:footnoteReference w:id="9"/>
      </w:r>
    </w:p>
    <w:p w14:paraId="0ACF977F" w14:textId="77777777" w:rsidR="00981494" w:rsidRPr="00981494" w:rsidRDefault="00000000" w:rsidP="001E1516">
      <w:pPr>
        <w:widowControl w:val="0"/>
        <w:jc w:val="right"/>
        <w:rPr>
          <w:color w:val="0000FF"/>
          <w:szCs w:val="24"/>
          <w:u w:val="words"/>
        </w:rPr>
      </w:pPr>
      <w:hyperlink w:anchor="contents" w:history="1">
        <w:r w:rsidR="00981494" w:rsidRPr="00981494">
          <w:rPr>
            <w:color w:val="0000FF" w:themeColor="hyperlink"/>
            <w:szCs w:val="24"/>
            <w:u w:val="single"/>
          </w:rPr>
          <w:t>Back to Contents</w:t>
        </w:r>
      </w:hyperlink>
    </w:p>
    <w:p w14:paraId="58F39A48" w14:textId="72C18798" w:rsidR="00981494" w:rsidRPr="00981494" w:rsidRDefault="00981494" w:rsidP="001E1516">
      <w:pPr>
        <w:pStyle w:val="Heading3"/>
        <w:keepNext w:val="0"/>
        <w:keepLines w:val="0"/>
        <w:widowControl w:val="0"/>
      </w:pPr>
      <w:bookmarkStart w:id="77" w:name="_Transgender_rights"/>
      <w:bookmarkStart w:id="78" w:name="_Toc138175654"/>
      <w:bookmarkStart w:id="79" w:name="_Toc146698545"/>
      <w:bookmarkStart w:id="80" w:name="_Toc178601180"/>
      <w:bookmarkEnd w:id="77"/>
      <w:r>
        <w:t>Trans</w:t>
      </w:r>
      <w:r w:rsidR="1C0C2AD4">
        <w:t>gender</w:t>
      </w:r>
      <w:r w:rsidRPr="00981494">
        <w:t xml:space="preserve"> rights</w:t>
      </w:r>
      <w:bookmarkEnd w:id="78"/>
      <w:bookmarkEnd w:id="79"/>
      <w:bookmarkEnd w:id="80"/>
    </w:p>
    <w:p w14:paraId="0EE4FBCA" w14:textId="4B249006" w:rsidR="00981494" w:rsidRDefault="0054654F" w:rsidP="001E1516">
      <w:pPr>
        <w:pStyle w:val="ListParagraph"/>
        <w:widowControl w:val="0"/>
      </w:pPr>
      <w:r w:rsidRPr="0054654F">
        <w:t>On 25 March 2021, a transwoman’s gender was legally recognised for the first time</w:t>
      </w:r>
      <w:r>
        <w:t xml:space="preserve"> after</w:t>
      </w:r>
      <w:r w:rsidRPr="0054654F">
        <w:t xml:space="preserve"> the applicant submitted a certificate from a medical institution as proof of a surgical operation of gender reassignment</w:t>
      </w:r>
      <w:r w:rsidRPr="0054654F">
        <w:rPr>
          <w:vertAlign w:val="superscript"/>
        </w:rPr>
        <w:footnoteReference w:id="10"/>
      </w:r>
      <w:r>
        <w:t>.</w:t>
      </w:r>
    </w:p>
    <w:p w14:paraId="2DA00072" w14:textId="71E05164" w:rsidR="00E4107E" w:rsidRPr="009854D1" w:rsidRDefault="00A65F7C" w:rsidP="001E1516">
      <w:pPr>
        <w:pStyle w:val="ListParagraph"/>
        <w:widowControl w:val="0"/>
      </w:pPr>
      <w:r>
        <w:rPr>
          <w:rStyle w:val="normaltextrun"/>
          <w:color w:val="000000"/>
        </w:rPr>
        <w:t>In April 2022, t</w:t>
      </w:r>
      <w:r w:rsidR="00250E57" w:rsidRPr="009854D1">
        <w:rPr>
          <w:rStyle w:val="normaltextrun"/>
          <w:color w:val="000000"/>
        </w:rPr>
        <w:t xml:space="preserve">he </w:t>
      </w:r>
      <w:r w:rsidR="00611E6E" w:rsidRPr="009854D1">
        <w:rPr>
          <w:rStyle w:val="normaltextrun"/>
          <w:color w:val="000000"/>
        </w:rPr>
        <w:t>Public Defenders (Ombudsman) Office (</w:t>
      </w:r>
      <w:r w:rsidR="00250E57" w:rsidRPr="009854D1">
        <w:rPr>
          <w:rStyle w:val="findhit"/>
          <w:color w:val="000000"/>
        </w:rPr>
        <w:t>PDO</w:t>
      </w:r>
      <w:r w:rsidR="00611E6E" w:rsidRPr="009854D1">
        <w:rPr>
          <w:rStyle w:val="normaltextrun"/>
          <w:color w:val="000000"/>
        </w:rPr>
        <w:t xml:space="preserve">), </w:t>
      </w:r>
      <w:r>
        <w:rPr>
          <w:rStyle w:val="normaltextrun"/>
          <w:color w:val="000000"/>
        </w:rPr>
        <w:t>Georgia’s national</w:t>
      </w:r>
      <w:r w:rsidR="00611E6E" w:rsidRPr="009854D1">
        <w:rPr>
          <w:rStyle w:val="normaltextrun"/>
          <w:color w:val="000000"/>
        </w:rPr>
        <w:t xml:space="preserve"> human rights organisation,</w:t>
      </w:r>
      <w:r w:rsidR="00250E57" w:rsidRPr="009854D1">
        <w:rPr>
          <w:rStyle w:val="normaltextrun"/>
          <w:color w:val="000000"/>
        </w:rPr>
        <w:t xml:space="preserve"> </w:t>
      </w:r>
      <w:r w:rsidR="007A24FF" w:rsidRPr="009854D1">
        <w:t>stated</w:t>
      </w:r>
      <w:r w:rsidR="00250E57" w:rsidRPr="009854D1">
        <w:t xml:space="preserve"> that</w:t>
      </w:r>
      <w:r w:rsidR="00961075" w:rsidRPr="009854D1">
        <w:t xml:space="preserve"> </w:t>
      </w:r>
      <w:r w:rsidR="00E4107E" w:rsidRPr="009854D1">
        <w:t xml:space="preserve">‘the issue of Legal Gender Recognition </w:t>
      </w:r>
      <w:r w:rsidR="003F35AD" w:rsidRPr="009854D1">
        <w:t>is not judicially regulated, and the general procedures for considering this process are also ob</w:t>
      </w:r>
      <w:r w:rsidR="00AF6C82" w:rsidRPr="009854D1">
        <w:t>scure.’</w:t>
      </w:r>
      <w:r w:rsidR="00AF6C82" w:rsidRPr="009854D1">
        <w:rPr>
          <w:rStyle w:val="FootnoteReference"/>
        </w:rPr>
        <w:footnoteReference w:id="11"/>
      </w:r>
    </w:p>
    <w:p w14:paraId="71EF34D3" w14:textId="6E5E8ADB" w:rsidR="0057491E" w:rsidRPr="0057491E" w:rsidRDefault="00AF6C82" w:rsidP="001E1516">
      <w:pPr>
        <w:pStyle w:val="ListParagraph"/>
        <w:widowControl w:val="0"/>
        <w:rPr>
          <w:rStyle w:val="FootnoteTextChar"/>
          <w:sz w:val="24"/>
          <w:szCs w:val="22"/>
        </w:rPr>
      </w:pPr>
      <w:r w:rsidRPr="009854D1">
        <w:t xml:space="preserve">The </w:t>
      </w:r>
      <w:r w:rsidR="00A65F7C">
        <w:t xml:space="preserve">2022 </w:t>
      </w:r>
      <w:r w:rsidRPr="009854D1">
        <w:t>PDO</w:t>
      </w:r>
      <w:r w:rsidR="00326A0D" w:rsidRPr="009854D1">
        <w:t xml:space="preserve"> </w:t>
      </w:r>
      <w:r w:rsidRPr="009854D1">
        <w:t xml:space="preserve">report </w:t>
      </w:r>
      <w:r w:rsidR="00A65F7C">
        <w:t>explained</w:t>
      </w:r>
      <w:r w:rsidRPr="009854D1">
        <w:t xml:space="preserve"> that </w:t>
      </w:r>
      <w:r w:rsidR="00A65F7C">
        <w:t>the</w:t>
      </w:r>
      <w:r w:rsidR="00961075" w:rsidRPr="009854D1">
        <w:t xml:space="preserve"> only regulatory</w:t>
      </w:r>
      <w:r w:rsidR="008D792C" w:rsidRPr="009854D1">
        <w:t xml:space="preserve"> statu</w:t>
      </w:r>
      <w:r w:rsidR="00A65F7C">
        <w:t>t</w:t>
      </w:r>
      <w:r w:rsidR="008D792C" w:rsidRPr="009854D1">
        <w:t xml:space="preserve">e </w:t>
      </w:r>
      <w:r w:rsidR="00127ECE" w:rsidRPr="009854D1">
        <w:t xml:space="preserve">that can be used for legal </w:t>
      </w:r>
      <w:r w:rsidR="00364AB1" w:rsidRPr="009854D1">
        <w:t xml:space="preserve">gender recognition is the ‘Law on Civil Status Acts’ </w:t>
      </w:r>
      <w:r w:rsidR="00334619" w:rsidRPr="009854D1">
        <w:t xml:space="preserve">as ‘gender reassignment is one of the </w:t>
      </w:r>
      <w:r w:rsidR="004E71F6" w:rsidRPr="009854D1">
        <w:t xml:space="preserve">grounds for amending the civil status acts, according to </w:t>
      </w:r>
      <w:r w:rsidR="00D76C6F" w:rsidRPr="009854D1">
        <w:t>Article 78 of the law</w:t>
      </w:r>
      <w:r w:rsidR="00E4107E" w:rsidRPr="009854D1">
        <w:t xml:space="preserve">’. </w:t>
      </w:r>
      <w:r w:rsidR="00C1095F" w:rsidRPr="009854D1">
        <w:t>Although the law doesn’t define ‘gender reassignment’ or define any procedures associated with it</w:t>
      </w:r>
      <w:r w:rsidR="00C1095F" w:rsidRPr="009854D1">
        <w:rPr>
          <w:rStyle w:val="FootnoteReference"/>
        </w:rPr>
        <w:footnoteReference w:id="12"/>
      </w:r>
      <w:r w:rsidR="00274685">
        <w:t>.</w:t>
      </w:r>
    </w:p>
    <w:p w14:paraId="425F3DBD" w14:textId="76DC066B" w:rsidR="00A84FBA" w:rsidRPr="009854D1" w:rsidRDefault="00A65F7C" w:rsidP="001E1516">
      <w:pPr>
        <w:pStyle w:val="ListParagraph"/>
        <w:widowControl w:val="0"/>
      </w:pPr>
      <w:r>
        <w:rPr>
          <w:rStyle w:val="FootnoteTextChar"/>
          <w:sz w:val="24"/>
          <w:szCs w:val="24"/>
        </w:rPr>
        <w:t xml:space="preserve">In April 2023, </w:t>
      </w:r>
      <w:r w:rsidR="0054654F" w:rsidRPr="32BE9D94">
        <w:t>based on various sources, the</w:t>
      </w:r>
      <w:r w:rsidR="0054654F" w:rsidRPr="0054654F">
        <w:rPr>
          <w:szCs w:val="19"/>
        </w:rPr>
        <w:t xml:space="preserve"> </w:t>
      </w:r>
      <w:r w:rsidR="00A84FBA" w:rsidRPr="009854D1">
        <w:rPr>
          <w:rStyle w:val="FootnoteTextChar"/>
          <w:sz w:val="24"/>
          <w:szCs w:val="24"/>
        </w:rPr>
        <w:t>Eurasian Coalition for Health, Rights, Gender and Sexual Diversity</w:t>
      </w:r>
      <w:r w:rsidR="00A84FBA" w:rsidRPr="009854D1">
        <w:t xml:space="preserve"> (ECOM), a Georgian NGO campaigning for LGBT rights</w:t>
      </w:r>
      <w:r w:rsidR="0054654F">
        <w:t>, noted</w:t>
      </w:r>
      <w:r w:rsidR="00A84FBA" w:rsidRPr="009854D1">
        <w:t xml:space="preserve"> that due to Georgian legislation not taking into account the needs of transpe</w:t>
      </w:r>
      <w:r w:rsidR="0054654F">
        <w:t>rsons,</w:t>
      </w:r>
      <w:r w:rsidR="00A84FBA" w:rsidRPr="009854D1">
        <w:t xml:space="preserve"> there are a number of legal barriers for t</w:t>
      </w:r>
      <w:r w:rsidR="0054654F">
        <w:t>hose</w:t>
      </w:r>
      <w:r w:rsidR="00A84FBA" w:rsidRPr="009854D1">
        <w:t xml:space="preserve"> who seek to change gender on their birth records and official documents</w:t>
      </w:r>
      <w:r w:rsidR="00A84FBA" w:rsidRPr="009854D1">
        <w:rPr>
          <w:rStyle w:val="FootnoteReference"/>
        </w:rPr>
        <w:footnoteReference w:id="13"/>
      </w:r>
      <w:r w:rsidR="00A84FBA" w:rsidRPr="009854D1">
        <w:t xml:space="preserve">. </w:t>
      </w:r>
    </w:p>
    <w:p w14:paraId="2D83B7CA" w14:textId="5833B182" w:rsidR="008105E7" w:rsidRPr="009854D1" w:rsidRDefault="0057491E" w:rsidP="001E1516">
      <w:pPr>
        <w:pStyle w:val="ListParagraph"/>
        <w:widowControl w:val="0"/>
      </w:pPr>
      <w:r w:rsidRPr="0057491E">
        <w:t>The USSD 2022 HR Report noted: ‘There is no law explicitly governing legal gender recognition; however, established practice requires bodily modification surgeries for individuals to petition to change their birth certificates and other legal documents. The law does not provide options for transgender individuals who do not, for medical, financial, or any other reasons, wish to undergo surgery.’</w:t>
      </w:r>
      <w:r w:rsidRPr="0057491E">
        <w:rPr>
          <w:vertAlign w:val="superscript"/>
        </w:rPr>
        <w:footnoteReference w:id="14"/>
      </w:r>
    </w:p>
    <w:p w14:paraId="7B959323" w14:textId="332268C9" w:rsidR="00F22A8D" w:rsidRPr="009854D1" w:rsidRDefault="00F22A8D" w:rsidP="001E1516">
      <w:pPr>
        <w:pStyle w:val="ListParagraph"/>
        <w:widowControl w:val="0"/>
      </w:pPr>
      <w:r w:rsidRPr="009854D1">
        <w:t xml:space="preserve">In </w:t>
      </w:r>
      <w:r w:rsidR="0057491E">
        <w:t xml:space="preserve">December </w:t>
      </w:r>
      <w:r w:rsidRPr="009854D1">
        <w:t xml:space="preserve">2022 the ECtHR ruled on the case of </w:t>
      </w:r>
      <w:hyperlink r:id="rId30" w:anchor="{%22itemid%22:[%22001-221237%22]}" w:history="1">
        <w:r w:rsidRPr="00934802">
          <w:rPr>
            <w:rStyle w:val="Hyperlink"/>
          </w:rPr>
          <w:t>A.D and others v. Georgia</w:t>
        </w:r>
      </w:hyperlink>
      <w:r w:rsidRPr="009854D1">
        <w:t xml:space="preserve">. The applicants were three transmen who </w:t>
      </w:r>
      <w:r w:rsidR="0057491E">
        <w:t>argued</w:t>
      </w:r>
      <w:r w:rsidRPr="009854D1">
        <w:t xml:space="preserve"> that they had </w:t>
      </w:r>
      <w:r w:rsidRPr="009854D1">
        <w:lastRenderedPageBreak/>
        <w:t>been unable to obtain legal recognition of their gender because they had not undergone sex reassignment surgery</w:t>
      </w:r>
      <w:r w:rsidR="0057491E">
        <w:t xml:space="preserve">. </w:t>
      </w:r>
      <w:r w:rsidRPr="009854D1">
        <w:t xml:space="preserve">The ruling stated: </w:t>
      </w:r>
    </w:p>
    <w:p w14:paraId="4F5FE244" w14:textId="5D36BCF0" w:rsidR="00F22A8D" w:rsidRPr="00CD7F75" w:rsidRDefault="00F22A8D" w:rsidP="001E1516">
      <w:pPr>
        <w:pStyle w:val="ListParagraph"/>
        <w:widowControl w:val="0"/>
        <w:numPr>
          <w:ilvl w:val="0"/>
          <w:numId w:val="0"/>
        </w:numPr>
        <w:ind w:left="851"/>
      </w:pPr>
      <w:r w:rsidRPr="009854D1">
        <w:t xml:space="preserve">‘The Court found that in particular that, despite the fact that the right to have one’s sex changed in civil status records had existed in Georgia since 1998, there had not apparently been one single case of successful legal gender recognition. The imprecision of the current domestic legislation undermined the availability of legal gender recognition in practice, and the lack of a clear legal framework left the domestic authorities with excessive discretionary powers, which could lead to arbitrary decisions in the examination of applications. Such a situation was fundamentally at odds with the respondent State’s duty to provide quick, transparent and accessible procedures for legal gender recognition.’ </w:t>
      </w:r>
      <w:r w:rsidRPr="009854D1">
        <w:rPr>
          <w:rStyle w:val="FootnoteReference"/>
        </w:rPr>
        <w:footnoteReference w:id="15"/>
      </w:r>
      <w:r w:rsidRPr="009854D1">
        <w:t xml:space="preserve"> </w:t>
      </w:r>
    </w:p>
    <w:p w14:paraId="712C0562" w14:textId="77777777" w:rsidR="00981494" w:rsidRPr="00981494" w:rsidRDefault="00000000" w:rsidP="001E1516">
      <w:pPr>
        <w:widowControl w:val="0"/>
        <w:ind w:left="6480"/>
        <w:rPr>
          <w:color w:val="0000FF" w:themeColor="hyperlink"/>
          <w:szCs w:val="24"/>
          <w:u w:val="single"/>
        </w:rPr>
      </w:pPr>
      <w:hyperlink w:anchor="contents" w:history="1">
        <w:r w:rsidR="00981494" w:rsidRPr="00981494">
          <w:rPr>
            <w:color w:val="0000FF" w:themeColor="hyperlink"/>
            <w:szCs w:val="24"/>
            <w:u w:val="single"/>
          </w:rPr>
          <w:t>Back to Contents</w:t>
        </w:r>
      </w:hyperlink>
    </w:p>
    <w:p w14:paraId="40D785C0" w14:textId="77777777" w:rsidR="00981494" w:rsidRPr="00981494" w:rsidRDefault="00981494" w:rsidP="001E1516">
      <w:pPr>
        <w:pStyle w:val="Heading3"/>
        <w:keepNext w:val="0"/>
        <w:keepLines w:val="0"/>
        <w:widowControl w:val="0"/>
      </w:pPr>
      <w:bookmarkStart w:id="81" w:name="_Conversion_therapy"/>
      <w:bookmarkStart w:id="82" w:name="_Ref145353085"/>
      <w:bookmarkStart w:id="83" w:name="_Toc146698546"/>
      <w:bookmarkStart w:id="84" w:name="_Toc178601181"/>
      <w:bookmarkEnd w:id="81"/>
      <w:r w:rsidRPr="00981494">
        <w:t>Conversion therapy</w:t>
      </w:r>
      <w:bookmarkEnd w:id="82"/>
      <w:bookmarkEnd w:id="83"/>
      <w:bookmarkEnd w:id="84"/>
    </w:p>
    <w:p w14:paraId="2732E80D" w14:textId="5D8A3AA4" w:rsidR="00981494" w:rsidRPr="00981494" w:rsidRDefault="00981494" w:rsidP="001E1516">
      <w:pPr>
        <w:pStyle w:val="ListParagraph"/>
        <w:widowControl w:val="0"/>
      </w:pPr>
      <w:r w:rsidRPr="00981494">
        <w:t xml:space="preserve">The USSD </w:t>
      </w:r>
      <w:r w:rsidR="00CD455D">
        <w:t xml:space="preserve">2022 HR </w:t>
      </w:r>
      <w:r w:rsidRPr="00981494">
        <w:t xml:space="preserve">report </w:t>
      </w:r>
      <w:r w:rsidR="00CD455D">
        <w:t>noted</w:t>
      </w:r>
      <w:r w:rsidR="00C54A28">
        <w:t xml:space="preserve"> </w:t>
      </w:r>
      <w:r w:rsidRPr="00981494">
        <w:t>‘So-called conversion therapy practices were not banned. According to Tbilisi Pride, there were several cases of parents taking children to a psychiatrist in an attempt to change the sexual orientation or gender identity or expression of the child.’</w:t>
      </w:r>
      <w:r w:rsidRPr="00981494">
        <w:rPr>
          <w:vertAlign w:val="superscript"/>
        </w:rPr>
        <w:footnoteReference w:id="16"/>
      </w:r>
    </w:p>
    <w:p w14:paraId="1DC51E6E" w14:textId="0C68CB90" w:rsidR="008048B0" w:rsidRPr="00981494" w:rsidRDefault="004C1AB1" w:rsidP="001E1516">
      <w:pPr>
        <w:pStyle w:val="ListParagraph"/>
        <w:widowControl w:val="0"/>
      </w:pPr>
      <w:r>
        <w:t>CPIT found no other sources relating to conversion therapy</w:t>
      </w:r>
      <w:r w:rsidR="00D75C40">
        <w:t xml:space="preserve"> in Georgia (See </w:t>
      </w:r>
      <w:hyperlink w:anchor="_Bibliography">
        <w:r w:rsidR="00AB568B" w:rsidRPr="32BE9D94">
          <w:rPr>
            <w:rStyle w:val="Hyperlink"/>
          </w:rPr>
          <w:t>B</w:t>
        </w:r>
        <w:r w:rsidR="00D75C40" w:rsidRPr="32BE9D94">
          <w:rPr>
            <w:rStyle w:val="Hyperlink"/>
          </w:rPr>
          <w:t>ibliography</w:t>
        </w:r>
      </w:hyperlink>
      <w:r w:rsidR="00D75C40">
        <w:t>)</w:t>
      </w:r>
      <w:r w:rsidR="00AB568B">
        <w:t>.</w:t>
      </w:r>
      <w:r w:rsidR="00D75C40">
        <w:t xml:space="preserve"> </w:t>
      </w:r>
    </w:p>
    <w:p w14:paraId="20B1AB12" w14:textId="1E112585" w:rsidR="00981494" w:rsidRDefault="00000000" w:rsidP="001E1516">
      <w:pPr>
        <w:widowControl w:val="0"/>
        <w:jc w:val="right"/>
        <w:rPr>
          <w:color w:val="0000FF" w:themeColor="hyperlink"/>
          <w:szCs w:val="24"/>
          <w:u w:val="single"/>
        </w:rPr>
      </w:pPr>
      <w:hyperlink w:anchor="contents" w:history="1">
        <w:r w:rsidR="00981494" w:rsidRPr="00981494">
          <w:rPr>
            <w:color w:val="0000FF" w:themeColor="hyperlink"/>
            <w:szCs w:val="24"/>
            <w:u w:val="single"/>
          </w:rPr>
          <w:t>Back to Contents</w:t>
        </w:r>
      </w:hyperlink>
      <w:bookmarkStart w:id="85" w:name="_Treatment_by_the"/>
      <w:bookmarkEnd w:id="85"/>
    </w:p>
    <w:p w14:paraId="12D91A23" w14:textId="6BB2C3B3" w:rsidR="00A77927" w:rsidRPr="00A77927" w:rsidRDefault="00A77927" w:rsidP="001E1516">
      <w:pPr>
        <w:pStyle w:val="Sectionupdate"/>
        <w:widowControl w:val="0"/>
      </w:pPr>
      <w:r w:rsidRPr="00A77927">
        <w:t>Section updated: 19 September 2023</w:t>
      </w:r>
    </w:p>
    <w:p w14:paraId="5AFCA814" w14:textId="6C28BDB5" w:rsidR="00981494" w:rsidRPr="00981494" w:rsidRDefault="006A362B" w:rsidP="001E1516">
      <w:pPr>
        <w:pStyle w:val="Heading2"/>
        <w:keepNext w:val="0"/>
        <w:keepLines w:val="0"/>
        <w:widowControl w:val="0"/>
      </w:pPr>
      <w:bookmarkStart w:id="86" w:name="_Ref145413036"/>
      <w:bookmarkStart w:id="87" w:name="_Toc146698547"/>
      <w:bookmarkStart w:id="88" w:name="_Toc178601182"/>
      <w:r>
        <w:t>S</w:t>
      </w:r>
      <w:r w:rsidR="0035447D" w:rsidRPr="0035447D">
        <w:t>tate</w:t>
      </w:r>
      <w:r w:rsidR="005A32CF">
        <w:t xml:space="preserve"> attitudes</w:t>
      </w:r>
      <w:bookmarkEnd w:id="86"/>
      <w:bookmarkEnd w:id="87"/>
      <w:bookmarkEnd w:id="88"/>
    </w:p>
    <w:p w14:paraId="09CBC213" w14:textId="2BD15126" w:rsidR="00226757" w:rsidRDefault="00226757" w:rsidP="001E1516">
      <w:pPr>
        <w:pStyle w:val="ListParagraph"/>
        <w:widowControl w:val="0"/>
      </w:pPr>
      <w:r>
        <w:t xml:space="preserve">In July 2021, OC Media, a regional online news service, reported comments made by </w:t>
      </w:r>
      <w:bookmarkStart w:id="89" w:name="_Hlk145412723"/>
      <w:r>
        <w:t>Prime Minister</w:t>
      </w:r>
      <w:r w:rsidR="002A4D4E">
        <w:t xml:space="preserve"> </w:t>
      </w:r>
      <w:r w:rsidR="002A4D4E" w:rsidRPr="002A4D4E">
        <w:t>Irakli Gharibashvili</w:t>
      </w:r>
      <w:r w:rsidR="002A4D4E">
        <w:t xml:space="preserve"> </w:t>
      </w:r>
      <w:bookmarkEnd w:id="89"/>
      <w:r w:rsidR="002A4D4E">
        <w:t>in the aftermath of violence around the 2021 Tbilisi Pride parade:</w:t>
      </w:r>
    </w:p>
    <w:p w14:paraId="0EE8BBEF" w14:textId="4BAA436B" w:rsidR="002A4D4E" w:rsidRPr="002A4D4E" w:rsidRDefault="002A4D4E" w:rsidP="001E1516">
      <w:pPr>
        <w:pStyle w:val="ListParagraph"/>
        <w:widowControl w:val="0"/>
        <w:numPr>
          <w:ilvl w:val="0"/>
          <w:numId w:val="0"/>
        </w:numPr>
        <w:ind w:left="851"/>
      </w:pPr>
      <w:r>
        <w:t>‘”</w:t>
      </w:r>
      <w:r w:rsidRPr="002A4D4E">
        <w:t>When 95% of the population are against conducting a propagandist parade, we should obey this</w:t>
      </w:r>
      <w:r>
        <w:t>”</w:t>
      </w:r>
      <w:r w:rsidRPr="002A4D4E">
        <w:t>, he</w:t>
      </w:r>
      <w:r>
        <w:t xml:space="preserve"> [</w:t>
      </w:r>
      <w:r w:rsidRPr="002A4D4E">
        <w:t>Gharibashvili</w:t>
      </w:r>
      <w:r>
        <w:t>]</w:t>
      </w:r>
      <w:r w:rsidRPr="002A4D4E">
        <w:t xml:space="preserve"> added. </w:t>
      </w:r>
    </w:p>
    <w:p w14:paraId="117E82BD" w14:textId="3A9A26C6" w:rsidR="002A4D4E" w:rsidRDefault="002A4D4E" w:rsidP="001E1516">
      <w:pPr>
        <w:pStyle w:val="ListParagraph"/>
        <w:widowControl w:val="0"/>
        <w:numPr>
          <w:ilvl w:val="0"/>
          <w:numId w:val="0"/>
        </w:numPr>
        <w:ind w:left="851"/>
      </w:pPr>
      <w:r>
        <w:t>‘</w:t>
      </w:r>
      <w:r w:rsidRPr="002A4D4E">
        <w:t xml:space="preserve">He also claimed, without evidence, that the violence of recent days was an unsuccessful conspiracy against the state planned and carried out by </w:t>
      </w:r>
      <w:r>
        <w:t>“</w:t>
      </w:r>
      <w:r w:rsidRPr="002A4D4E">
        <w:t>anti-state anti-church forces</w:t>
      </w:r>
      <w:r>
        <w:t>”..</w:t>
      </w:r>
      <w:r w:rsidRPr="002A4D4E">
        <w:t>.</w:t>
      </w:r>
    </w:p>
    <w:p w14:paraId="29B0DFAA" w14:textId="3EA48DD7" w:rsidR="005B03C7" w:rsidRDefault="002A4D4E" w:rsidP="001E1516">
      <w:pPr>
        <w:pStyle w:val="ListParagraph"/>
        <w:widowControl w:val="0"/>
        <w:numPr>
          <w:ilvl w:val="0"/>
          <w:numId w:val="0"/>
        </w:numPr>
        <w:ind w:left="851"/>
      </w:pPr>
      <w:r>
        <w:t>‘</w:t>
      </w:r>
      <w:r w:rsidRPr="002A4D4E">
        <w:t xml:space="preserve">Adding to the conspiratorial claims, Gharibashvili also said that the </w:t>
      </w:r>
      <w:proofErr w:type="gramStart"/>
      <w:r w:rsidRPr="002A4D4E">
        <w:t>Shame</w:t>
      </w:r>
      <w:proofErr w:type="gramEnd"/>
      <w:r w:rsidRPr="002A4D4E">
        <w:t xml:space="preserve"> Movement, a liberal anti-government group, was also managed by </w:t>
      </w:r>
      <w:r>
        <w:t>“</w:t>
      </w:r>
      <w:r w:rsidRPr="002A4D4E">
        <w:t>Saakashvili’s organisations</w:t>
      </w:r>
      <w:r>
        <w:t>”</w:t>
      </w:r>
      <w:r w:rsidRPr="002A4D4E">
        <w:t xml:space="preserve"> </w:t>
      </w:r>
      <w:r>
        <w:t>[a reference to a</w:t>
      </w:r>
      <w:r w:rsidR="00FD24E6">
        <w:t xml:space="preserve"> pro-European</w:t>
      </w:r>
      <w:r>
        <w:t xml:space="preserve"> opposition party] </w:t>
      </w:r>
      <w:r w:rsidRPr="002A4D4E">
        <w:t xml:space="preserve">and that he had questions about </w:t>
      </w:r>
      <w:proofErr w:type="spellStart"/>
      <w:r w:rsidRPr="002A4D4E">
        <w:t>wether</w:t>
      </w:r>
      <w:proofErr w:type="spellEnd"/>
      <w:r w:rsidRPr="002A4D4E">
        <w:t xml:space="preserve"> </w:t>
      </w:r>
      <w:r>
        <w:t xml:space="preserve">[sic] </w:t>
      </w:r>
      <w:r w:rsidRPr="002A4D4E">
        <w:t xml:space="preserve">Saakashvili and </w:t>
      </w:r>
      <w:r>
        <w:t>“</w:t>
      </w:r>
      <w:r w:rsidRPr="002A4D4E">
        <w:t>his radical group</w:t>
      </w:r>
      <w:r>
        <w:t>”</w:t>
      </w:r>
      <w:r w:rsidRPr="002A4D4E">
        <w:t xml:space="preserve"> were controlling the queer community as well.</w:t>
      </w:r>
      <w:r>
        <w:t>’</w:t>
      </w:r>
      <w:r w:rsidR="00FD24E6">
        <w:rPr>
          <w:rStyle w:val="FootnoteReference"/>
        </w:rPr>
        <w:footnoteReference w:id="17"/>
      </w:r>
    </w:p>
    <w:p w14:paraId="230790DA" w14:textId="34E7614E" w:rsidR="009B12C7" w:rsidRDefault="009B12C7" w:rsidP="001E1516">
      <w:pPr>
        <w:pStyle w:val="ListParagraph"/>
        <w:widowControl w:val="0"/>
      </w:pPr>
      <w:r w:rsidRPr="00981494">
        <w:t>The Commissioner for Human Rights of the Council of Europe</w:t>
      </w:r>
      <w:r>
        <w:t xml:space="preserve"> </w:t>
      </w:r>
      <w:r w:rsidR="0042528D">
        <w:t>(CoE)</w:t>
      </w:r>
      <w:r>
        <w:t xml:space="preserve"> 2022 report stated:</w:t>
      </w:r>
    </w:p>
    <w:p w14:paraId="3E0C4031" w14:textId="77777777" w:rsidR="009B12C7" w:rsidRDefault="009B12C7" w:rsidP="001E1516">
      <w:pPr>
        <w:pStyle w:val="ListParagraph"/>
        <w:widowControl w:val="0"/>
        <w:numPr>
          <w:ilvl w:val="0"/>
          <w:numId w:val="0"/>
        </w:numPr>
        <w:ind w:left="851"/>
      </w:pPr>
      <w:r w:rsidRPr="00981494">
        <w:t xml:space="preserve">‘The Commissioner was informed of several instances of hate speech and manifestations of intolerance in the public sphere, and she was particularly struck by the manifestations of intolerance displayed by high-level officials, </w:t>
      </w:r>
      <w:r w:rsidRPr="00981494">
        <w:lastRenderedPageBreak/>
        <w:t>as well as by religious and community leaders. Certain media outlets, notably those associated with the above-mentioned ultra-conservative and far-right movements, have also reportedly engaged in hate speech or have contributed to its dissemination. The Commissioner learned that while hate speech against LGBTI people used to intensify at election time in the past, it has now become part of everyday discourse. This is in part due to ultra-conservative and far-right groups placing increasing claims on the public space, increasing their access not only to privately owned, but also to public broadcaster medi</w:t>
      </w:r>
      <w:r>
        <w:t>a.’</w:t>
      </w:r>
      <w:r w:rsidRPr="00981494">
        <w:rPr>
          <w:vertAlign w:val="superscript"/>
        </w:rPr>
        <w:footnoteReference w:id="18"/>
      </w:r>
    </w:p>
    <w:p w14:paraId="4730F896" w14:textId="04266C5C" w:rsidR="004F4675" w:rsidRDefault="004F4675" w:rsidP="00747753">
      <w:pPr>
        <w:pStyle w:val="ListParagraph"/>
        <w:widowControl w:val="0"/>
      </w:pPr>
      <w:r w:rsidRPr="00981494">
        <w:t xml:space="preserve">The Commissioner for Human Rights of the </w:t>
      </w:r>
      <w:r w:rsidR="0042528D">
        <w:t>CoE</w:t>
      </w:r>
      <w:r>
        <w:t xml:space="preserve"> 2022 report </w:t>
      </w:r>
      <w:r w:rsidR="00734B80">
        <w:t>added</w:t>
      </w:r>
      <w:r w:rsidR="00747753">
        <w:t xml:space="preserve"> </w:t>
      </w:r>
      <w:r w:rsidRPr="00981494">
        <w:t>‘</w:t>
      </w:r>
      <w:r>
        <w:t>…</w:t>
      </w:r>
      <w:r w:rsidRPr="00981494">
        <w:t>the Commissioner considers that some public statements made by certain politicians and government officials during the events of July 2021 served only to exacerbate this problem and to provide some legitimacy for attempts by ultra-conservative groups to prevent LGBTI people from expressing themselves in the public space.’</w:t>
      </w:r>
      <w:r w:rsidRPr="00981494">
        <w:rPr>
          <w:vertAlign w:val="superscript"/>
        </w:rPr>
        <w:footnoteReference w:id="19"/>
      </w:r>
      <w:r w:rsidR="001C7841">
        <w:t xml:space="preserve"> (See </w:t>
      </w:r>
      <w:hyperlink w:anchor="_Pride_Events_and" w:history="1">
        <w:r w:rsidR="001C7841">
          <w:rPr>
            <w:rStyle w:val="Hyperlink"/>
          </w:rPr>
          <w:t>P</w:t>
        </w:r>
        <w:r w:rsidR="001C7841" w:rsidRPr="001C7841">
          <w:rPr>
            <w:rStyle w:val="Hyperlink"/>
          </w:rPr>
          <w:t xml:space="preserve">ride </w:t>
        </w:r>
        <w:r w:rsidR="001C7841">
          <w:rPr>
            <w:rStyle w:val="Hyperlink"/>
          </w:rPr>
          <w:t>E</w:t>
        </w:r>
        <w:r w:rsidR="001C7841" w:rsidRPr="001C7841">
          <w:rPr>
            <w:rStyle w:val="Hyperlink"/>
          </w:rPr>
          <w:t xml:space="preserve">vents and </w:t>
        </w:r>
        <w:r w:rsidR="001C7841">
          <w:rPr>
            <w:rStyle w:val="Hyperlink"/>
          </w:rPr>
          <w:t>S</w:t>
        </w:r>
        <w:r w:rsidR="001C7841" w:rsidRPr="001C7841">
          <w:rPr>
            <w:rStyle w:val="Hyperlink"/>
          </w:rPr>
          <w:t xml:space="preserve">tate </w:t>
        </w:r>
        <w:r w:rsidR="001C7841">
          <w:rPr>
            <w:rStyle w:val="Hyperlink"/>
          </w:rPr>
          <w:t>R</w:t>
        </w:r>
        <w:r w:rsidR="001C7841" w:rsidRPr="001C7841">
          <w:rPr>
            <w:rStyle w:val="Hyperlink"/>
          </w:rPr>
          <w:t>esponse</w:t>
        </w:r>
      </w:hyperlink>
      <w:r w:rsidR="001C7841">
        <w:t>)</w:t>
      </w:r>
    </w:p>
    <w:p w14:paraId="1BC84FD6" w14:textId="5F74028B" w:rsidR="00A351E7" w:rsidRDefault="00A351E7" w:rsidP="001E1516">
      <w:pPr>
        <w:pStyle w:val="ListParagraph"/>
        <w:widowControl w:val="0"/>
      </w:pPr>
      <w:r w:rsidRPr="00981494">
        <w:t>The Institute for War and Peace Reporting, an online news magazine which partners with local journalists</w:t>
      </w:r>
      <w:r w:rsidR="00772158">
        <w:t xml:space="preserve"> and</w:t>
      </w:r>
      <w:r w:rsidRPr="00981494">
        <w:t xml:space="preserve"> rights advocates </w:t>
      </w:r>
      <w:r>
        <w:t xml:space="preserve">noted </w:t>
      </w:r>
      <w:r w:rsidRPr="00981494">
        <w:t>in an article dated 23 February 2022: ‘LGBTI activists in Georgia are warning of the growing political power of homophobic, far-right groups, with fears that the government may choose to court such forces rather than oppose them.’</w:t>
      </w:r>
      <w:r w:rsidRPr="00981494">
        <w:rPr>
          <w:vertAlign w:val="superscript"/>
        </w:rPr>
        <w:footnoteReference w:id="20"/>
      </w:r>
    </w:p>
    <w:p w14:paraId="77075A42" w14:textId="744ECC8E" w:rsidR="009B12C7" w:rsidRPr="005F2424" w:rsidRDefault="00772158" w:rsidP="001E1516">
      <w:pPr>
        <w:pStyle w:val="ListParagraph"/>
        <w:widowControl w:val="0"/>
      </w:pPr>
      <w:r>
        <w:t>An April 2022</w:t>
      </w:r>
      <w:r w:rsidR="009B12C7" w:rsidRPr="00763EC7">
        <w:t xml:space="preserve"> PDO report assessed: </w:t>
      </w:r>
    </w:p>
    <w:p w14:paraId="4CDB2207" w14:textId="428F4525" w:rsidR="001B78F4" w:rsidRDefault="009B12C7" w:rsidP="001E1516">
      <w:pPr>
        <w:pStyle w:val="ListParagraph"/>
        <w:widowControl w:val="0"/>
        <w:numPr>
          <w:ilvl w:val="0"/>
          <w:numId w:val="0"/>
        </w:numPr>
        <w:ind w:left="851"/>
      </w:pPr>
      <w:r w:rsidRPr="00763EC7">
        <w:t>‘Hate speech propagated by politicians and public officials is particularly problematic in Georgia, where it has a significant negative impact on social acceptance and the scope of violence against the LGBT+ community. In recent years, politicians’ hate speech and their use of derogatory language toward the LGBT+ community have had dire consequences for society, legitimizing violence and increasing violence against the LGBT+ community. While politicians’ hate speech does not contain an incitement to public violence, it aims to prioritize and dominate the will of the majority at the expense of minorities’ oppression; indirectly, it establishes a solid foundation for reinforcing violence and perpetuating negative attitudes toward the LGBT+ community.’</w:t>
      </w:r>
      <w:r w:rsidRPr="00763EC7">
        <w:rPr>
          <w:rStyle w:val="FootnoteReference"/>
        </w:rPr>
        <w:footnoteReference w:id="21"/>
      </w:r>
      <w:r>
        <w:t xml:space="preserve"> </w:t>
      </w:r>
    </w:p>
    <w:p w14:paraId="6DCFF7BF" w14:textId="241AC2C4" w:rsidR="001B78F4" w:rsidRDefault="00772158" w:rsidP="001E1516">
      <w:pPr>
        <w:pStyle w:val="ListParagraph"/>
        <w:widowControl w:val="0"/>
      </w:pPr>
      <w:r>
        <w:t>In an April 2023 report,</w:t>
      </w:r>
      <w:r w:rsidR="00FE2875">
        <w:t xml:space="preserve"> covering 2022,</w:t>
      </w:r>
      <w:r>
        <w:t xml:space="preserve"> t</w:t>
      </w:r>
      <w:r w:rsidR="001B78F4">
        <w:t xml:space="preserve">he PDO </w:t>
      </w:r>
      <w:r>
        <w:t>commented</w:t>
      </w:r>
      <w:r w:rsidR="007D5A7F">
        <w:t>:</w:t>
      </w:r>
    </w:p>
    <w:p w14:paraId="749E621E" w14:textId="79C3DDDE" w:rsidR="008048B0" w:rsidRDefault="007D5A7F" w:rsidP="001E1516">
      <w:pPr>
        <w:pStyle w:val="ListParagraph"/>
        <w:widowControl w:val="0"/>
        <w:numPr>
          <w:ilvl w:val="2"/>
          <w:numId w:val="0"/>
        </w:numPr>
        <w:ind w:left="851"/>
      </w:pPr>
      <w:r>
        <w:t>‘Statements by politicians that could incite discrimination based on sexual orientation and gender identity were problematic in the reporting period</w:t>
      </w:r>
      <w:r w:rsidR="00FE2875">
        <w:t>..</w:t>
      </w:r>
      <w:r>
        <w:t xml:space="preserve">. Iago </w:t>
      </w:r>
      <w:proofErr w:type="spellStart"/>
      <w:r>
        <w:t>Khvichia</w:t>
      </w:r>
      <w:proofErr w:type="spellEnd"/>
      <w:r>
        <w:t xml:space="preserve">, a member of the </w:t>
      </w:r>
      <w:proofErr w:type="spellStart"/>
      <w:r>
        <w:t>Girchi</w:t>
      </w:r>
      <w:proofErr w:type="spellEnd"/>
      <w:r>
        <w:t xml:space="preserve"> political party, and Shalva </w:t>
      </w:r>
      <w:proofErr w:type="spellStart"/>
      <w:r>
        <w:t>Natelashvili</w:t>
      </w:r>
      <w:proofErr w:type="spellEnd"/>
      <w:r>
        <w:t xml:space="preserve">, Chairman of the Labour Party, also spoke about the LGBT+ community in a negative context. The head of the government of the Autonomous Republic of Adjara, Tornike </w:t>
      </w:r>
      <w:proofErr w:type="spellStart"/>
      <w:r>
        <w:t>Rizhvadze</w:t>
      </w:r>
      <w:proofErr w:type="spellEnd"/>
      <w:r>
        <w:t xml:space="preserve">, used a homophobic and discriminatory term when assessing the wave of protests in support of the European integration in the country and noted: “I don’t think it is the will of the Georgian people or the dream of our ancestors to hand over power to </w:t>
      </w:r>
      <w:r>
        <w:lastRenderedPageBreak/>
        <w:t>the shadow cabinet of “</w:t>
      </w:r>
      <w:proofErr w:type="spellStart"/>
      <w:r>
        <w:t>liberasts</w:t>
      </w:r>
      <w:proofErr w:type="spellEnd"/>
      <w:r>
        <w:t>”.</w:t>
      </w:r>
      <w:r w:rsidR="00743196">
        <w:t>’</w:t>
      </w:r>
      <w:r w:rsidR="004C4B02">
        <w:rPr>
          <w:rStyle w:val="FootnoteReference"/>
        </w:rPr>
        <w:footnoteReference w:id="22"/>
      </w:r>
    </w:p>
    <w:p w14:paraId="78B62BF7" w14:textId="77777777" w:rsidR="00F81E29" w:rsidRDefault="00F81E29" w:rsidP="00F81E29">
      <w:pPr>
        <w:pStyle w:val="ListParagraph"/>
        <w:widowControl w:val="0"/>
      </w:pPr>
      <w:r>
        <w:t xml:space="preserve">In May 2023, a joint statement was </w:t>
      </w:r>
      <w:r w:rsidRPr="00DF03E1">
        <w:t>issued by the United Nations system in Georgia, the Delegation of the European Union to Georgia, the Embassies to Georgia of Austria, Belgium, Bulgaria, Canada, Czechia, Denmark, Estonia, Finland, France, Germany, Greece, Ireland, Israel, Italy, Latvia, Lithuania, the Netherlands, New Zealand, Norway, Portugal, Romania, Slovakia, Slovenia, Spain, Sweden, Switzerland, the United Kingdom and the United States, the European Investment Bank’s Regional Representation for the South Caucasus, and the Head of the EU Monitoring Mission in Georgia</w:t>
      </w:r>
      <w:r>
        <w:t xml:space="preserve">, which noted that: </w:t>
      </w:r>
    </w:p>
    <w:p w14:paraId="107F24DF" w14:textId="3E1CD1AA" w:rsidR="00F81E29" w:rsidRDefault="00F81E29" w:rsidP="00F81E29">
      <w:pPr>
        <w:pStyle w:val="ListParagraph"/>
        <w:widowControl w:val="0"/>
        <w:numPr>
          <w:ilvl w:val="0"/>
          <w:numId w:val="0"/>
        </w:numPr>
        <w:ind w:left="851"/>
      </w:pPr>
      <w:r>
        <w:t>‘…</w:t>
      </w:r>
      <w:r w:rsidRPr="00DF03E1">
        <w:t xml:space="preserve"> Newly adopted national policy documents, such as the National Human Rights Strategy 2022-2030, the State Concept of Georgia on Gender Equality and the national development strategy Vision 2030 do not include measures to strengthen protection and inclusion of LGBTQI+ persons. Stigmatization, discriminatory language and hate speech by some public officials, politicians, media and religious figures incite further harassment against LGBTQI+ persons and threaten their lives. Instigators and many perpetrators of open acts of violence against LGBTQI+ individuals in recent years, including during Pride Week in July 2021, have not been brought to justice, thus further limiting the opportunity for LGBTQI+ persons to exercise their right to peaceful assembly.</w:t>
      </w:r>
      <w:r>
        <w:t>’</w:t>
      </w:r>
      <w:r>
        <w:rPr>
          <w:rStyle w:val="FootnoteReference"/>
        </w:rPr>
        <w:footnoteReference w:id="23"/>
      </w:r>
    </w:p>
    <w:p w14:paraId="44F2CB6D" w14:textId="4CE88D3C" w:rsidR="00480025" w:rsidRDefault="00480025" w:rsidP="001E1516">
      <w:pPr>
        <w:pStyle w:val="ListParagraph"/>
        <w:widowControl w:val="0"/>
      </w:pPr>
      <w:r>
        <w:t>In June 2023, OC Media reported:</w:t>
      </w:r>
    </w:p>
    <w:p w14:paraId="38C1D5E5" w14:textId="26493909" w:rsidR="00480025" w:rsidRDefault="00480025" w:rsidP="001E1516">
      <w:pPr>
        <w:pStyle w:val="ListParagraph"/>
        <w:widowControl w:val="0"/>
        <w:numPr>
          <w:ilvl w:val="0"/>
          <w:numId w:val="0"/>
        </w:numPr>
        <w:ind w:left="851"/>
      </w:pPr>
      <w:r>
        <w:t>‘In recent months, senior figures in the ruling Georgian Dream party have increased and intensified their homophobic rhetoric…</w:t>
      </w:r>
    </w:p>
    <w:p w14:paraId="109C653D" w14:textId="7DD350A9" w:rsidR="00480025" w:rsidRDefault="00480025" w:rsidP="001E1516">
      <w:pPr>
        <w:pStyle w:val="ListParagraph"/>
        <w:widowControl w:val="0"/>
        <w:numPr>
          <w:ilvl w:val="0"/>
          <w:numId w:val="0"/>
        </w:numPr>
        <w:ind w:left="851"/>
      </w:pPr>
      <w:r>
        <w:t>‘Georgia’s Prime Minister, ruling party chair, and parliamentary faction chair have all made pointed homophobic statements in recent months, warning against queer “propaganda” and accusing young people of having “messed-up orientations”.</w:t>
      </w:r>
    </w:p>
    <w:p w14:paraId="3DFA558F" w14:textId="38BA509C" w:rsidR="00480025" w:rsidRDefault="00480025" w:rsidP="001E1516">
      <w:pPr>
        <w:pStyle w:val="ListParagraph"/>
        <w:widowControl w:val="0"/>
        <w:numPr>
          <w:ilvl w:val="0"/>
          <w:numId w:val="0"/>
        </w:numPr>
        <w:ind w:left="851"/>
      </w:pPr>
      <w:r>
        <w:t>‘The number and frequency of these statements has increased since March, causing some activists to raise concerns that the government is intending to jeopardise Tbilisi Pride Week, which is set to take place in the first week of July. Others, however, believe that this is part of a broader pre-election strategy by the ruling party…</w:t>
      </w:r>
    </w:p>
    <w:p w14:paraId="7DDF0BD2" w14:textId="3A51DA4C" w:rsidR="00480025" w:rsidRDefault="00480025" w:rsidP="001E1516">
      <w:pPr>
        <w:pStyle w:val="ListParagraph"/>
        <w:widowControl w:val="0"/>
        <w:numPr>
          <w:ilvl w:val="0"/>
          <w:numId w:val="0"/>
        </w:numPr>
        <w:ind w:left="851"/>
      </w:pPr>
      <w:r>
        <w:t>‘Speaking at a Conservative Political Action Committee (CPAC) conference in Hungary in April, [Prime Minister] Gharibashvili repeatedly emphasised the importance of “preserving traditional values” and the inadmissibility of “violence by the minority against the majority”.</w:t>
      </w:r>
    </w:p>
    <w:p w14:paraId="5EB33B60" w14:textId="6AD448C0" w:rsidR="00480025" w:rsidRDefault="00480025" w:rsidP="001E1516">
      <w:pPr>
        <w:pStyle w:val="ListParagraph"/>
        <w:widowControl w:val="0"/>
        <w:numPr>
          <w:ilvl w:val="0"/>
          <w:numId w:val="0"/>
        </w:numPr>
        <w:ind w:left="851"/>
      </w:pPr>
      <w:r>
        <w:t>‘A few days later, in his Independence Day speech, the prime minister claimed that “evil forces” were trying to destroy traditional values and “make lies a reality”,</w:t>
      </w:r>
      <w:r w:rsidR="00F5694D">
        <w:t xml:space="preserve"> </w:t>
      </w:r>
      <w:r>
        <w:t>while not specifying what those “forces” were</w:t>
      </w:r>
      <w:r w:rsidR="002D2A1C">
        <w:t>…</w:t>
      </w:r>
    </w:p>
    <w:p w14:paraId="44640F07" w14:textId="40D336B3" w:rsidR="002D2A1C" w:rsidRDefault="002D2A1C" w:rsidP="001E1516">
      <w:pPr>
        <w:pStyle w:val="ListParagraph"/>
        <w:widowControl w:val="0"/>
        <w:numPr>
          <w:ilvl w:val="0"/>
          <w:numId w:val="0"/>
        </w:numPr>
        <w:ind w:left="851"/>
      </w:pPr>
      <w:r>
        <w:t>‘…</w:t>
      </w:r>
      <w:r w:rsidRPr="002D2A1C">
        <w:t xml:space="preserve">Mariam </w:t>
      </w:r>
      <w:proofErr w:type="spellStart"/>
      <w:r w:rsidRPr="002D2A1C">
        <w:t>Kvaratskhelia</w:t>
      </w:r>
      <w:proofErr w:type="spellEnd"/>
      <w:r w:rsidRPr="002D2A1C">
        <w:t>, one of Tbilisi Pride’s co-directors, told </w:t>
      </w:r>
      <w:r w:rsidRPr="002D2A1C">
        <w:rPr>
          <w:i/>
          <w:iCs/>
        </w:rPr>
        <w:t>OC Media </w:t>
      </w:r>
      <w:r w:rsidRPr="002D2A1C">
        <w:t xml:space="preserve">that she saw the trend as part of </w:t>
      </w:r>
      <w:proofErr w:type="spellStart"/>
      <w:r w:rsidRPr="002D2A1C">
        <w:t>of</w:t>
      </w:r>
      <w:proofErr w:type="spellEnd"/>
      <w:r w:rsidRPr="002D2A1C">
        <w:t xml:space="preserve"> a broader electoral strategy and not solely connected to Pride Week.</w:t>
      </w:r>
    </w:p>
    <w:p w14:paraId="01E64061" w14:textId="29C68A3B" w:rsidR="002D2A1C" w:rsidRDefault="002D2A1C" w:rsidP="001E1516">
      <w:pPr>
        <w:pStyle w:val="ListParagraph"/>
        <w:widowControl w:val="0"/>
        <w:numPr>
          <w:ilvl w:val="0"/>
          <w:numId w:val="0"/>
        </w:numPr>
        <w:ind w:left="851"/>
      </w:pPr>
      <w:r>
        <w:lastRenderedPageBreak/>
        <w:t>‘‘</w:t>
      </w:r>
      <w:r w:rsidRPr="002D2A1C">
        <w:t>‘We believe that the ruling party […] has chosen homophobic politics as a pre-election strategy to secure the votes of up to 15–20% [who are] radical conservatives in the upcoming 2024 elections</w:t>
      </w:r>
      <w:r>
        <w:t>”</w:t>
      </w:r>
      <w:r w:rsidRPr="002D2A1C">
        <w:t xml:space="preserve">, said </w:t>
      </w:r>
      <w:proofErr w:type="spellStart"/>
      <w:r w:rsidRPr="002D2A1C">
        <w:t>Kvaratskhelia</w:t>
      </w:r>
      <w:proofErr w:type="spellEnd"/>
      <w:r>
        <w:t>.’</w:t>
      </w:r>
      <w:r>
        <w:rPr>
          <w:rStyle w:val="FootnoteReference"/>
        </w:rPr>
        <w:footnoteReference w:id="24"/>
      </w:r>
    </w:p>
    <w:p w14:paraId="6EBC262A" w14:textId="0A4FD458" w:rsidR="0091611C" w:rsidRDefault="005440E1" w:rsidP="00584E29">
      <w:pPr>
        <w:pStyle w:val="ListParagraph"/>
        <w:widowControl w:val="0"/>
      </w:pPr>
      <w:r w:rsidRPr="005440E1">
        <w:t xml:space="preserve">Politico’s </w:t>
      </w:r>
      <w:r>
        <w:t xml:space="preserve">July </w:t>
      </w:r>
      <w:r w:rsidRPr="005440E1">
        <w:t>2023 article on Georgia’s EU ambitions and its contradictory attitude to LGBT rights highlighted that Prime Minister Garibashvili</w:t>
      </w:r>
      <w:r>
        <w:t>’s speech to</w:t>
      </w:r>
      <w:r w:rsidRPr="005440E1">
        <w:t xml:space="preserve"> </w:t>
      </w:r>
      <w:r>
        <w:t>P</w:t>
      </w:r>
      <w:r w:rsidRPr="005440E1">
        <w:t>arliament on 30 June [2023] ‘proposed to open discussions in the parliament about regulating “gay propaganda” by law…If the government decides to green light the “gay propaganda” law proposed by the government, it will be a potential blow not only to Georgia’s queer community but to the whole country’s European ambitions. President Zourabichvili has already pledged to veto the bill if it sees daylight.’</w:t>
      </w:r>
      <w:r w:rsidRPr="005440E1">
        <w:rPr>
          <w:vertAlign w:val="superscript"/>
        </w:rPr>
        <w:footnoteReference w:id="25"/>
      </w:r>
    </w:p>
    <w:p w14:paraId="2FECAC3F" w14:textId="58410E72" w:rsidR="004F7AC1" w:rsidRDefault="00584E29" w:rsidP="004F7AC1">
      <w:pPr>
        <w:pStyle w:val="ListParagraph"/>
        <w:widowControl w:val="0"/>
      </w:pPr>
      <w:r>
        <w:t>Civil.ge noted in a July 2023 article that: ‘</w:t>
      </w:r>
      <w:r w:rsidRPr="00584E29">
        <w:t>The legislative proposal to “ban LGBT propaganda” was launched as a public initiative by the Conservative Movement/Alt-Info in December 2022 and was formally registered as the legislative proposal in May 2023. The passing of such a law was also included among the demands of the ultra-conservative gathering in May. The spokesperson of the Georgian Dream assured then that his party “was not planning to pass such a proposal.”</w:t>
      </w:r>
      <w:r w:rsidR="00B643BC">
        <w:t>’</w:t>
      </w:r>
      <w:r w:rsidR="00B643BC">
        <w:rPr>
          <w:rStyle w:val="FootnoteReference"/>
        </w:rPr>
        <w:footnoteReference w:id="26"/>
      </w:r>
    </w:p>
    <w:p w14:paraId="2C7B2D89" w14:textId="73B8F3C3" w:rsidR="004F7AC1" w:rsidRPr="008048B0" w:rsidRDefault="004F7AC1" w:rsidP="004F7AC1">
      <w:pPr>
        <w:pStyle w:val="ListParagraph"/>
        <w:widowControl w:val="0"/>
      </w:pPr>
      <w:r>
        <w:t xml:space="preserve">In the sources consulted, CPIT found no further update on </w:t>
      </w:r>
      <w:r w:rsidR="004240C1">
        <w:t xml:space="preserve">the ‘LGBT propaganda’ proposal (see </w:t>
      </w:r>
      <w:hyperlink w:anchor="_Bibliography" w:history="1">
        <w:r w:rsidR="004240C1" w:rsidRPr="004240C1">
          <w:rPr>
            <w:rStyle w:val="Hyperlink"/>
          </w:rPr>
          <w:t>Bibliography</w:t>
        </w:r>
      </w:hyperlink>
      <w:r w:rsidR="004240C1">
        <w:t>).</w:t>
      </w:r>
    </w:p>
    <w:p w14:paraId="3ED59393" w14:textId="3364356C" w:rsidR="00981494" w:rsidRDefault="00000000" w:rsidP="001E1516">
      <w:pPr>
        <w:widowControl w:val="0"/>
        <w:jc w:val="right"/>
        <w:rPr>
          <w:color w:val="0000FF" w:themeColor="hyperlink"/>
          <w:szCs w:val="24"/>
          <w:u w:val="single"/>
        </w:rPr>
      </w:pPr>
      <w:hyperlink w:anchor="contents" w:history="1">
        <w:r w:rsidR="003F5AC5" w:rsidRPr="00981494">
          <w:rPr>
            <w:color w:val="0000FF" w:themeColor="hyperlink"/>
            <w:szCs w:val="24"/>
            <w:u w:val="single"/>
          </w:rPr>
          <w:t>Back to Contents</w:t>
        </w:r>
      </w:hyperlink>
    </w:p>
    <w:p w14:paraId="26623C10" w14:textId="43501B5F" w:rsidR="00A77927" w:rsidRPr="00A77927" w:rsidRDefault="00A77927" w:rsidP="001E1516">
      <w:pPr>
        <w:pStyle w:val="Sectionupdate"/>
        <w:widowControl w:val="0"/>
      </w:pPr>
      <w:r w:rsidRPr="00A77927">
        <w:t>Section updated: 19 September 2023</w:t>
      </w:r>
    </w:p>
    <w:p w14:paraId="228B3BA8" w14:textId="31FF71AF" w:rsidR="00981494" w:rsidRDefault="005A32CF" w:rsidP="001E1516">
      <w:pPr>
        <w:pStyle w:val="Heading2"/>
        <w:keepNext w:val="0"/>
        <w:keepLines w:val="0"/>
        <w:widowControl w:val="0"/>
      </w:pPr>
      <w:bookmarkStart w:id="92" w:name="_Prosecution"/>
      <w:bookmarkStart w:id="93" w:name="_Toc146698548"/>
      <w:bookmarkStart w:id="94" w:name="_Toc178601183"/>
      <w:bookmarkEnd w:id="92"/>
      <w:r>
        <w:t>State treatment</w:t>
      </w:r>
      <w:bookmarkEnd w:id="93"/>
      <w:bookmarkEnd w:id="94"/>
    </w:p>
    <w:p w14:paraId="2FB90810" w14:textId="60959CC5" w:rsidR="005A32CF" w:rsidRPr="005A32CF" w:rsidRDefault="005A32CF" w:rsidP="001E1516">
      <w:pPr>
        <w:pStyle w:val="Heading3"/>
        <w:keepNext w:val="0"/>
        <w:keepLines w:val="0"/>
        <w:widowControl w:val="0"/>
      </w:pPr>
      <w:bookmarkStart w:id="95" w:name="_Ref145414986"/>
      <w:bookmarkStart w:id="96" w:name="_Toc146698549"/>
      <w:bookmarkStart w:id="97" w:name="_Toc178601184"/>
      <w:r>
        <w:t>Policy framework</w:t>
      </w:r>
      <w:bookmarkEnd w:id="95"/>
      <w:bookmarkEnd w:id="96"/>
      <w:bookmarkEnd w:id="97"/>
    </w:p>
    <w:p w14:paraId="7A51B28A" w14:textId="77777777" w:rsidR="0028035E" w:rsidRDefault="0028035E" w:rsidP="001E1516">
      <w:pPr>
        <w:pStyle w:val="ListParagraph"/>
        <w:widowControl w:val="0"/>
      </w:pPr>
      <w:r w:rsidRPr="00D60FDB">
        <w:t xml:space="preserve">The PDO 2022 LGBT+ report noted ‘Georgian legislation and policies have significantly changed in recent years, allowing for the legal recognition of the LGBT+ community. Georgia’s commitment to international organizations to eliminate discrimination on the basis of sexual orientation and gender identity was one of the reasons for improving the legal environment. Georgia was required by the Association Agreement with the European Union to adopt legislation prohibiting all forms of discrimination, including sexual orientation and gender identity, among other protected grounds of discrimination.’ </w:t>
      </w:r>
      <w:r w:rsidRPr="00D60FDB">
        <w:rPr>
          <w:rStyle w:val="FootnoteReference"/>
        </w:rPr>
        <w:footnoteReference w:id="27"/>
      </w:r>
    </w:p>
    <w:p w14:paraId="2B3B642D" w14:textId="4A1D9ABD" w:rsidR="0028035E" w:rsidRDefault="0028035E" w:rsidP="001E1516">
      <w:pPr>
        <w:pStyle w:val="ListParagraph"/>
        <w:widowControl w:val="0"/>
      </w:pPr>
      <w:r>
        <w:t xml:space="preserve">The PDO 2022 LGBT+ report </w:t>
      </w:r>
      <w:r w:rsidR="000720AA">
        <w:t>reported that</w:t>
      </w:r>
      <w:r>
        <w:t xml:space="preserve"> these efforts </w:t>
      </w:r>
      <w:r w:rsidR="00B81651">
        <w:t>were</w:t>
      </w:r>
      <w:r>
        <w:t xml:space="preserve"> ‘largely constrained by international organizations’ obligations, including ensuring the implementation of the Association Agreement between Georgia and the European Union, rather than by policies designed to address genuine needs.’ </w:t>
      </w:r>
      <w:r>
        <w:rPr>
          <w:rStyle w:val="FootnoteReference"/>
        </w:rPr>
        <w:footnoteReference w:id="28"/>
      </w:r>
    </w:p>
    <w:p w14:paraId="3D46A0FE" w14:textId="1A666495" w:rsidR="0028035E" w:rsidRPr="00DE7690" w:rsidRDefault="0028035E" w:rsidP="001E1516">
      <w:pPr>
        <w:pStyle w:val="ListParagraph"/>
        <w:widowControl w:val="0"/>
      </w:pPr>
      <w:r w:rsidRPr="00DE7690">
        <w:t xml:space="preserve">The PDO 2022 LGBT+ report stated: ‘Since 2014, Government Plans have included some activities aimed at ending discrimination based on sexual orientation and gender identity, though their implementation status has </w:t>
      </w:r>
      <w:r w:rsidRPr="00DE7690">
        <w:lastRenderedPageBreak/>
        <w:t>frequently been purely formal.’</w:t>
      </w:r>
      <w:r w:rsidRPr="00DE7690">
        <w:rPr>
          <w:rStyle w:val="FootnoteReference"/>
        </w:rPr>
        <w:footnoteReference w:id="29"/>
      </w:r>
    </w:p>
    <w:p w14:paraId="11B56167" w14:textId="1C2BF773" w:rsidR="004F1EE4" w:rsidRPr="000D38D8" w:rsidRDefault="0028035E" w:rsidP="001E1516">
      <w:pPr>
        <w:pStyle w:val="ListParagraph"/>
        <w:widowControl w:val="0"/>
      </w:pPr>
      <w:r w:rsidRPr="000D38D8">
        <w:t>The PDO 2022 special report noted ‘that state policy documents developed for the protection of human rights, the National Human Rights Strategy and the State Concept on Gender Equality, not only are ineffective in terms of protection of LGBT+ people, but they do not mention this group at all.’</w:t>
      </w:r>
      <w:r w:rsidRPr="000D38D8">
        <w:rPr>
          <w:rStyle w:val="FootnoteReference"/>
        </w:rPr>
        <w:footnoteReference w:id="30"/>
      </w:r>
    </w:p>
    <w:p w14:paraId="2AC58B6A" w14:textId="71411092" w:rsidR="00981494" w:rsidRPr="00E908AE" w:rsidRDefault="00000000" w:rsidP="001E1516">
      <w:pPr>
        <w:pStyle w:val="Backtocontents"/>
        <w:widowControl w:val="0"/>
      </w:pPr>
      <w:hyperlink w:anchor="contents" w:history="1">
        <w:r w:rsidR="00E908AE" w:rsidRPr="00E908AE">
          <w:rPr>
            <w:rStyle w:val="Hyperlink"/>
          </w:rPr>
          <w:t>Back to Contents</w:t>
        </w:r>
      </w:hyperlink>
      <w:bookmarkStart w:id="98" w:name="_Freedom_of_assembly_1"/>
      <w:bookmarkStart w:id="99" w:name="_State_protection"/>
      <w:bookmarkEnd w:id="98"/>
      <w:bookmarkEnd w:id="99"/>
    </w:p>
    <w:p w14:paraId="059AF776" w14:textId="1C6A34F6" w:rsidR="00D3234B" w:rsidRDefault="00C14A9E" w:rsidP="001E1516">
      <w:pPr>
        <w:pStyle w:val="Heading3"/>
        <w:keepNext w:val="0"/>
        <w:keepLines w:val="0"/>
        <w:widowControl w:val="0"/>
      </w:pPr>
      <w:bookmarkStart w:id="100" w:name="_Toc146698550"/>
      <w:bookmarkStart w:id="101" w:name="_Toc178601185"/>
      <w:r>
        <w:t>Protection -</w:t>
      </w:r>
      <w:r w:rsidR="00B34DA0">
        <w:t xml:space="preserve"> g</w:t>
      </w:r>
      <w:r w:rsidR="00981494" w:rsidRPr="00981494">
        <w:t>eneral</w:t>
      </w:r>
      <w:bookmarkEnd w:id="100"/>
      <w:bookmarkEnd w:id="101"/>
    </w:p>
    <w:p w14:paraId="565D22D8" w14:textId="32A2E261" w:rsidR="00981494" w:rsidRPr="00981494" w:rsidRDefault="00981494" w:rsidP="001E1516">
      <w:pPr>
        <w:pStyle w:val="ListParagraph"/>
        <w:widowControl w:val="0"/>
      </w:pPr>
      <w:r w:rsidRPr="00981494">
        <w:t>The USSD report 2022 noted:</w:t>
      </w:r>
    </w:p>
    <w:p w14:paraId="1A06A23D" w14:textId="14BB9B05" w:rsidR="00981494" w:rsidRDefault="00981494" w:rsidP="001E1516">
      <w:pPr>
        <w:pStyle w:val="ListParagraph"/>
        <w:widowControl w:val="0"/>
        <w:numPr>
          <w:ilvl w:val="2"/>
          <w:numId w:val="0"/>
        </w:numPr>
        <w:ind w:left="851"/>
      </w:pPr>
      <w:r w:rsidRPr="00981494">
        <w:t>‘The Ministry of Internal Affairs and the State Security Service have primary responsibility for law enforcement and the maintenance of public order. The ministry is the primary law enforcement organization and includes the national police force, the border security force, and the Coast Guard. The State Security Service is the internal intelligence service responsible for counterintelligence, counterterrorism, and anticorruption efforts. There were indications that at times government officials did not maintain exclusive control of domestic security forces. There were credible reports that members of the security forces committed some abuses… The government took steps to investigate some officials for human rights abuses, but impunity remained a problem.’</w:t>
      </w:r>
      <w:r w:rsidRPr="00981494">
        <w:rPr>
          <w:vertAlign w:val="superscript"/>
        </w:rPr>
        <w:footnoteReference w:id="31"/>
      </w:r>
    </w:p>
    <w:p w14:paraId="254E26C0" w14:textId="77777777" w:rsidR="000658F6" w:rsidRPr="000D38D8" w:rsidRDefault="000658F6" w:rsidP="001E1516">
      <w:pPr>
        <w:pStyle w:val="ListParagraph"/>
        <w:widowControl w:val="0"/>
      </w:pPr>
      <w:r w:rsidRPr="000D38D8">
        <w:t xml:space="preserve">The PDO 2022 special report highlighted: </w:t>
      </w:r>
    </w:p>
    <w:p w14:paraId="47C57DF1" w14:textId="1F4F8114" w:rsidR="000658F6" w:rsidRPr="00981494" w:rsidRDefault="000658F6" w:rsidP="001E1516">
      <w:pPr>
        <w:pStyle w:val="ListParagraph"/>
        <w:widowControl w:val="0"/>
        <w:numPr>
          <w:ilvl w:val="0"/>
          <w:numId w:val="0"/>
        </w:numPr>
        <w:ind w:left="851"/>
      </w:pPr>
      <w:r w:rsidRPr="000D38D8">
        <w:t>‘The policy for combating crime has substantially improved in recent years in Georgia. Significant steps have been taken by state agencies to increase the quality of response to crimes, as well as to produce a joint statistics for the law enforcement agencies and courts, but like the previous year’s reporting period, the ineffective investigation of alleged hate crimes remains a challenge. Law enforcement agencies still do not meet the standards of effectiveness or timeliness. Confidence in law enforcement agencies is low among vulnerable groups, and it is being further decreased by the weak response or lack of response to incidents.</w:t>
      </w:r>
      <w:r w:rsidR="00C3072A">
        <w:t>’</w:t>
      </w:r>
      <w:r w:rsidRPr="000D38D8">
        <w:rPr>
          <w:rStyle w:val="FootnoteReference"/>
        </w:rPr>
        <w:footnoteReference w:id="32"/>
      </w:r>
      <w:r w:rsidR="00C3072A">
        <w:t xml:space="preserve"> </w:t>
      </w:r>
      <w:r w:rsidR="00C3072A" w:rsidRPr="000D38D8">
        <w:t>(</w:t>
      </w:r>
      <w:r w:rsidR="00C3072A">
        <w:t>s</w:t>
      </w:r>
      <w:r w:rsidR="00C3072A" w:rsidRPr="000D38D8">
        <w:t xml:space="preserve">ee </w:t>
      </w:r>
      <w:hyperlink w:anchor="_Violence__and" w:history="1">
        <w:r w:rsidR="00C3072A" w:rsidRPr="000D38D8">
          <w:rPr>
            <w:rStyle w:val="Hyperlink"/>
          </w:rPr>
          <w:t>Violence and hate crimes</w:t>
        </w:r>
      </w:hyperlink>
      <w:r w:rsidR="00C3072A" w:rsidRPr="000D38D8">
        <w:t xml:space="preserve"> and </w:t>
      </w:r>
      <w:hyperlink w:anchor="_Pride_Events_and" w:history="1">
        <w:r w:rsidR="00C3072A" w:rsidRPr="000D38D8">
          <w:rPr>
            <w:rStyle w:val="Hyperlink"/>
          </w:rPr>
          <w:t>Pride Events and State Response</w:t>
        </w:r>
      </w:hyperlink>
      <w:r w:rsidR="00C3072A" w:rsidRPr="000D38D8">
        <w:t>)</w:t>
      </w:r>
      <w:r w:rsidR="00C3072A">
        <w:t>.</w:t>
      </w:r>
    </w:p>
    <w:bookmarkStart w:id="102" w:name="_Hlk145414494"/>
    <w:p w14:paraId="0B8ACEA3" w14:textId="77777777" w:rsidR="00981494" w:rsidRPr="00981494" w:rsidRDefault="00764E86" w:rsidP="001E1516">
      <w:pPr>
        <w:widowControl w:val="0"/>
        <w:jc w:val="right"/>
        <w:rPr>
          <w:color w:val="0000FF"/>
          <w:szCs w:val="24"/>
          <w:u w:val="words"/>
        </w:rPr>
      </w:pPr>
      <w:r>
        <w:fldChar w:fldCharType="begin"/>
      </w:r>
      <w:r>
        <w:instrText xml:space="preserve"> HYPERLINK \l "contents" </w:instrText>
      </w:r>
      <w:r>
        <w:fldChar w:fldCharType="separate"/>
      </w:r>
      <w:r w:rsidR="00981494" w:rsidRPr="00981494">
        <w:rPr>
          <w:color w:val="0000FF" w:themeColor="hyperlink"/>
          <w:szCs w:val="24"/>
          <w:u w:val="single"/>
        </w:rPr>
        <w:t>Back to Contents</w:t>
      </w:r>
      <w:r>
        <w:rPr>
          <w:color w:val="0000FF" w:themeColor="hyperlink"/>
          <w:szCs w:val="24"/>
          <w:u w:val="single"/>
        </w:rPr>
        <w:fldChar w:fldCharType="end"/>
      </w:r>
      <w:bookmarkEnd w:id="102"/>
    </w:p>
    <w:p w14:paraId="2D0D7D93" w14:textId="52196D1A" w:rsidR="00981494" w:rsidRPr="00981494" w:rsidRDefault="00C14A9E" w:rsidP="001E1516">
      <w:pPr>
        <w:pStyle w:val="Heading3"/>
        <w:keepNext w:val="0"/>
        <w:keepLines w:val="0"/>
        <w:widowControl w:val="0"/>
      </w:pPr>
      <w:bookmarkStart w:id="103" w:name="_CJS_–_LGBTI"/>
      <w:bookmarkStart w:id="104" w:name="_Toc138175665"/>
      <w:bookmarkStart w:id="105" w:name="_Ref145421272"/>
      <w:bookmarkStart w:id="106" w:name="_Toc146698551"/>
      <w:bookmarkStart w:id="107" w:name="_Toc178601186"/>
      <w:bookmarkEnd w:id="103"/>
      <w:r>
        <w:t>Protection</w:t>
      </w:r>
      <w:r w:rsidR="00981494" w:rsidRPr="00981494">
        <w:t xml:space="preserve"> – LGBTI</w:t>
      </w:r>
      <w:bookmarkEnd w:id="104"/>
      <w:bookmarkEnd w:id="105"/>
      <w:bookmarkEnd w:id="106"/>
      <w:bookmarkEnd w:id="107"/>
    </w:p>
    <w:p w14:paraId="073C655F" w14:textId="77777777" w:rsidR="00522B04" w:rsidRDefault="00522B04" w:rsidP="001E1516">
      <w:pPr>
        <w:pStyle w:val="ListParagraph"/>
        <w:widowControl w:val="0"/>
      </w:pPr>
      <w:r w:rsidRPr="00522B04">
        <w:t>In 2020 the Human Rights Education and Monitoring Center (EMC</w:t>
      </w:r>
      <w:r>
        <w:t>) stated:</w:t>
      </w:r>
    </w:p>
    <w:p w14:paraId="277F4B23" w14:textId="697CCE30" w:rsidR="00522B04" w:rsidRDefault="00522B04" w:rsidP="001E1516">
      <w:pPr>
        <w:pStyle w:val="ListParagraph"/>
        <w:widowControl w:val="0"/>
        <w:numPr>
          <w:ilvl w:val="0"/>
          <w:numId w:val="0"/>
        </w:numPr>
        <w:ind w:left="851"/>
      </w:pPr>
      <w:r>
        <w:t>‘</w:t>
      </w:r>
      <w:r w:rsidRPr="00522B04">
        <w:t xml:space="preserve">The Human Rights Department (currently the Human Rights Monitoring and Investigation Quality Monitoring Department) was established within the Ministry of Internal Affairs of Georgia in 2018. Its mandate, among other things, extends to monitoring the quality of investigations into hate crimes based on sexual orientation and gender identity. The launch of this department has brought significant changes in terms of crime detection and prosecution, including statistical data collection and introduction of certain aspects of prevention policy. In particular, the department has helped train </w:t>
      </w:r>
      <w:r w:rsidRPr="00522B04">
        <w:lastRenderedPageBreak/>
        <w:t>police and investigators to provide an effective response to these types of crimes</w:t>
      </w:r>
      <w:r>
        <w:t>.’</w:t>
      </w:r>
      <w:r>
        <w:rPr>
          <w:rStyle w:val="FootnoteReference"/>
        </w:rPr>
        <w:footnoteReference w:id="33"/>
      </w:r>
    </w:p>
    <w:p w14:paraId="6EF8E419" w14:textId="77777777" w:rsidR="00D94B95" w:rsidRDefault="003A3894" w:rsidP="004E001D">
      <w:pPr>
        <w:pStyle w:val="ListParagraph"/>
        <w:widowControl w:val="0"/>
      </w:pPr>
      <w:r>
        <w:t>In 2020 the EMC published the results of quantitative research which aimed ‘to explore social vulnerability, economic situation and experience of violence of the LGBTQ community in Georgia</w:t>
      </w:r>
      <w:r w:rsidR="004E001D">
        <w:t xml:space="preserve">’. </w:t>
      </w:r>
      <w:r w:rsidR="004E001D" w:rsidRPr="004E001D">
        <w:t>Questionnaires were administered face-to-face to members of the LGBT</w:t>
      </w:r>
      <w:r w:rsidR="00546C16">
        <w:t>Q</w:t>
      </w:r>
      <w:r w:rsidR="004E001D" w:rsidRPr="004E001D">
        <w:t xml:space="preserve"> community between September and December 2019, with valid responses received from 320 persons</w:t>
      </w:r>
      <w:r w:rsidR="004E001D" w:rsidRPr="004E001D">
        <w:rPr>
          <w:vertAlign w:val="superscript"/>
        </w:rPr>
        <w:footnoteReference w:id="34"/>
      </w:r>
      <w:r w:rsidR="004E001D" w:rsidRPr="004E001D">
        <w:t>. The survey was conducted in collaboration with LGBTQ community organisations, which resulted in the majority (87%) of respondents falling into the age group 18 to 29</w:t>
      </w:r>
      <w:r w:rsidR="004E001D" w:rsidRPr="004E001D">
        <w:rPr>
          <w:vertAlign w:val="superscript"/>
        </w:rPr>
        <w:footnoteReference w:id="35"/>
      </w:r>
      <w:r w:rsidR="004E001D" w:rsidRPr="004E001D">
        <w:t>. EMC commented, ‘due to the nature of the [sample] selection, the present study may not accurately describe the needs and attitudes of LGBTQ people who are not familiar with the community organizations.’</w:t>
      </w:r>
      <w:r w:rsidR="004E001D" w:rsidRPr="004E001D">
        <w:rPr>
          <w:vertAlign w:val="superscript"/>
        </w:rPr>
        <w:footnoteReference w:id="36"/>
      </w:r>
      <w:r w:rsidR="004E001D" w:rsidRPr="004E001D">
        <w:t xml:space="preserve"> </w:t>
      </w:r>
    </w:p>
    <w:p w14:paraId="5FD3066C" w14:textId="3B9097E1" w:rsidR="00271D79" w:rsidRDefault="00D94B95" w:rsidP="004E001D">
      <w:pPr>
        <w:pStyle w:val="ListParagraph"/>
        <w:widowControl w:val="0"/>
      </w:pPr>
      <w:r>
        <w:t>It is important to note that victim perception is not the only indicator of the effectiveness of a state response to violence. However, r</w:t>
      </w:r>
      <w:r w:rsidR="00271D79">
        <w:t>espondents were asked about their experience of reporting incidents of physical violence or threats of physical violence to the police. EMC found ‘…</w:t>
      </w:r>
      <w:r w:rsidR="00271D79" w:rsidRPr="00271D79">
        <w:t xml:space="preserve">30.4% </w:t>
      </w:r>
      <w:r w:rsidR="00810CFD">
        <w:t xml:space="preserve">[28 persons] </w:t>
      </w:r>
      <w:r w:rsidR="00271D79" w:rsidRPr="00271D79">
        <w:t>of the respondents who spoke about their experience of violence in the last 2 years, appealed to the police for a response</w:t>
      </w:r>
      <w:r w:rsidR="00271D79">
        <w:t>…’</w:t>
      </w:r>
      <w:r w:rsidR="00271D79">
        <w:rPr>
          <w:rStyle w:val="FootnoteReference"/>
        </w:rPr>
        <w:footnoteReference w:id="37"/>
      </w:r>
      <w:r w:rsidR="00810CFD">
        <w:t xml:space="preserve"> EMC asked the 28 persons who reported incidents to rate the police response:</w:t>
      </w:r>
    </w:p>
    <w:p w14:paraId="748A05CE" w14:textId="6EB49100" w:rsidR="00810CFD" w:rsidRDefault="00810CFD" w:rsidP="001E1516">
      <w:pPr>
        <w:pStyle w:val="Bulletpoint"/>
        <w:widowControl w:val="0"/>
      </w:pPr>
      <w:r w:rsidRPr="00810CFD">
        <w:t>57% of respondents rated the police response negatively</w:t>
      </w:r>
    </w:p>
    <w:p w14:paraId="7E83B41C" w14:textId="34C5B35B" w:rsidR="00810CFD" w:rsidRDefault="00810CFD" w:rsidP="001E1516">
      <w:pPr>
        <w:pStyle w:val="Bulletpoint"/>
        <w:widowControl w:val="0"/>
      </w:pPr>
      <w:r w:rsidRPr="00810CFD">
        <w:t>1</w:t>
      </w:r>
      <w:r>
        <w:t>8</w:t>
      </w:r>
      <w:r w:rsidRPr="00810CFD">
        <w:t>% of respondents rated the police response as partly positive and partly negative</w:t>
      </w:r>
    </w:p>
    <w:p w14:paraId="12313AC5" w14:textId="26711CD8" w:rsidR="00920250" w:rsidRDefault="00810CFD" w:rsidP="00920250">
      <w:pPr>
        <w:pStyle w:val="Bulletpoint"/>
        <w:widowControl w:val="0"/>
      </w:pPr>
      <w:r w:rsidRPr="00810CFD">
        <w:t>25% assessed the police response positively</w:t>
      </w:r>
      <w:r>
        <w:rPr>
          <w:rStyle w:val="FootnoteReference"/>
        </w:rPr>
        <w:footnoteReference w:id="38"/>
      </w:r>
    </w:p>
    <w:p w14:paraId="667C23F5" w14:textId="77777777" w:rsidR="00595F1D" w:rsidRDefault="00595F1D" w:rsidP="00595F1D">
      <w:pPr>
        <w:pStyle w:val="ListParagraph"/>
        <w:widowControl w:val="0"/>
      </w:pPr>
      <w:r>
        <w:t>The USSD HR report 2022 noted that:</w:t>
      </w:r>
    </w:p>
    <w:p w14:paraId="54A81570" w14:textId="103BF03E" w:rsidR="00595F1D" w:rsidRDefault="00595F1D" w:rsidP="00595F1D">
      <w:pPr>
        <w:pStyle w:val="ListParagraph"/>
        <w:widowControl w:val="0"/>
        <w:numPr>
          <w:ilvl w:val="0"/>
          <w:numId w:val="0"/>
        </w:numPr>
        <w:ind w:left="851"/>
      </w:pPr>
      <w:r>
        <w:t>‘</w:t>
      </w:r>
      <w:r w:rsidRPr="00A61FC5">
        <w:t>In November the Social Justice Center submitted a report on the legal status of LGBTQI+ persons to the Council of Europe’s Committee of Ministers. The report criticized the government’s response to recent violent acts against such individuals. In particular, the report noted ineffective investigations of hate crimes committed by ultra-right groups, and institutional gaps that hindered the protection of the rights of LGBTQI+ persons. The report attributed these shortcomings to shared values of key government officials and the ultra-right radical groups Alt-Info and the Conservative Movement</w:t>
      </w:r>
      <w:r>
        <w:t>..</w:t>
      </w:r>
      <w:r w:rsidRPr="00A61FC5">
        <w:t>.</w:t>
      </w:r>
      <w:r w:rsidRPr="00A713E4">
        <w:rPr>
          <w:rFonts w:ascii="Open Sans" w:eastAsia="Times New Roman" w:hAnsi="Open Sans" w:cs="Open Sans"/>
          <w:color w:val="333333"/>
          <w:spacing w:val="-4"/>
          <w:szCs w:val="24"/>
          <w:highlight w:val="magenta"/>
          <w:lang w:eastAsia="en-GB"/>
        </w:rPr>
        <w:t xml:space="preserve"> </w:t>
      </w:r>
      <w:r w:rsidRPr="00A713E4">
        <w:t>The PDO stated that since 2012, the state’s failure to provide freedom of assembly to LGBTQI+ persons and organizations in public spaces permitted incitement to violence in those spaces, and the state failed to prosecute and punish those who threatened or carried out this violence.</w:t>
      </w:r>
      <w:r>
        <w:t>’</w:t>
      </w:r>
      <w:r>
        <w:rPr>
          <w:rStyle w:val="FootnoteReference"/>
        </w:rPr>
        <w:footnoteReference w:id="39"/>
      </w:r>
    </w:p>
    <w:p w14:paraId="4F4B4792" w14:textId="77777777" w:rsidR="00595F1D" w:rsidRPr="00981494" w:rsidRDefault="00595F1D" w:rsidP="00595F1D">
      <w:pPr>
        <w:pStyle w:val="ListParagraph"/>
        <w:widowControl w:val="0"/>
      </w:pPr>
      <w:r>
        <w:t xml:space="preserve">In July 2022, </w:t>
      </w:r>
      <w:r w:rsidRPr="001B1CD3">
        <w:t>following a visit to Georgia</w:t>
      </w:r>
      <w:r>
        <w:t>,</w:t>
      </w:r>
      <w:r w:rsidRPr="001B1CD3">
        <w:t xml:space="preserve"> </w:t>
      </w:r>
      <w:r>
        <w:t>t</w:t>
      </w:r>
      <w:r w:rsidRPr="00981494">
        <w:t>he Commissioner for Human Rights of the Council of Europe</w:t>
      </w:r>
      <w:r>
        <w:t xml:space="preserve"> reported</w:t>
      </w:r>
      <w:r w:rsidRPr="00981494">
        <w:t>:</w:t>
      </w:r>
    </w:p>
    <w:p w14:paraId="705A92F7" w14:textId="20D8827D" w:rsidR="00595F1D" w:rsidRDefault="00595F1D" w:rsidP="00FF2E2B">
      <w:pPr>
        <w:pStyle w:val="ListParagraph"/>
        <w:widowControl w:val="0"/>
        <w:numPr>
          <w:ilvl w:val="0"/>
          <w:numId w:val="0"/>
        </w:numPr>
        <w:ind w:left="851"/>
      </w:pPr>
      <w:r>
        <w:lastRenderedPageBreak/>
        <w:t>‘</w:t>
      </w:r>
      <w:r w:rsidRPr="004873B4">
        <w:t>There is a persistent failure to address violent attacks led by ultra-conservative and far-right groups against participants at events held in the context of the yearly International Day Against Homophobia, Transphobia and Biphobia (IDAHOBIT) and Pride Marches. Since 2012, these events have been repeatedly interrupted by these groups or cancelled by organisers due to violent attacks and/or serious threats of violence coming from these groups. The fact that the authorities fail to ensure safety and protection in this context only exacerbates these attacks.</w:t>
      </w:r>
      <w:r>
        <w:t>’</w:t>
      </w:r>
      <w:r>
        <w:rPr>
          <w:rStyle w:val="FootnoteReference"/>
        </w:rPr>
        <w:footnoteReference w:id="40"/>
      </w:r>
      <w:r w:rsidRPr="004873B4">
        <w:t xml:space="preserve"> </w:t>
      </w:r>
    </w:p>
    <w:p w14:paraId="0B7EAE9E" w14:textId="77777777" w:rsidR="00FF2E2B" w:rsidRDefault="00595F1D" w:rsidP="00595F1D">
      <w:pPr>
        <w:pStyle w:val="ListParagraph"/>
        <w:widowControl w:val="0"/>
      </w:pPr>
      <w:r>
        <w:t xml:space="preserve">The same report noted that: </w:t>
      </w:r>
    </w:p>
    <w:p w14:paraId="3A311876" w14:textId="7BE52780" w:rsidR="00580192" w:rsidRDefault="00595F1D" w:rsidP="00FF2E2B">
      <w:pPr>
        <w:pStyle w:val="ListParagraph"/>
        <w:widowControl w:val="0"/>
        <w:numPr>
          <w:ilvl w:val="0"/>
          <w:numId w:val="0"/>
        </w:numPr>
        <w:ind w:left="851"/>
      </w:pPr>
      <w:r>
        <w:t>‘</w:t>
      </w:r>
      <w:r w:rsidRPr="00ED406F">
        <w:t xml:space="preserve">This spiral of violence and impunity against LGBTI people has also been reflected in important judgments of the European Court of Human Rights against Georgia. In particular, in its 2015 judgment in the case of </w:t>
      </w:r>
      <w:proofErr w:type="spellStart"/>
      <w:r w:rsidRPr="00FF2E2B">
        <w:t>Identoba</w:t>
      </w:r>
      <w:proofErr w:type="spellEnd"/>
      <w:r w:rsidRPr="00FF2E2B">
        <w:t xml:space="preserve"> and Others v. Georgia,</w:t>
      </w:r>
      <w:r w:rsidRPr="00ED406F">
        <w:t xml:space="preserve"> the Court found that the domestic authorities did not ensure that the Pride March organised in May 2012 could take place peacefully by failing to sufficiently contain homophobic and violent counter-demonstrators, thereby falling short of their positive obligations under Article 11 (freedom of assembly and association) taken in conjunction with Article 14 (prohibition of discrimination) of the European Convention on Human Rights. The Court also established a violation of Article 3 (prohibition of torture and ill-treatment)</w:t>
      </w:r>
      <w:r>
        <w:t>…</w:t>
      </w:r>
    </w:p>
    <w:p w14:paraId="5DC4F02F" w14:textId="4DB13377" w:rsidR="00595F1D" w:rsidRDefault="00595F1D" w:rsidP="00FF2E2B">
      <w:pPr>
        <w:pStyle w:val="ListParagraph"/>
        <w:widowControl w:val="0"/>
        <w:numPr>
          <w:ilvl w:val="0"/>
          <w:numId w:val="0"/>
        </w:numPr>
        <w:ind w:left="851"/>
      </w:pPr>
      <w:r>
        <w:t>‘</w:t>
      </w:r>
      <w:r w:rsidRPr="00ED406F">
        <w:t>Events in many ways similar to those in 2012 and 2013 also occurred in 2019 and 2021</w:t>
      </w:r>
      <w:r w:rsidR="001F617D">
        <w:t>…</w:t>
      </w:r>
      <w:r w:rsidRPr="00ED406F">
        <w:t xml:space="preserve"> The failure by the authorities to punish those who were inciting hatred and calling for violence against the LGBTI activists and supporters involved in the organisation of the 2019 Pride March</w:t>
      </w:r>
      <w:r w:rsidR="001F617D">
        <w:t xml:space="preserve"> </w:t>
      </w:r>
      <w:r w:rsidRPr="00ED406F">
        <w:t>reportedly contributed to a perception of impunity and resulted in vicious attacks and other acts of violence carried out by ultra-conservative and far-right groups in July 2021. 55 people, including 53 journalists and camera operators working for various media outlets who gathered to cover the events, were injured. One of them was found dead several days later, reportedly due to unrelated causes. While the police arrested and charged 27 persons for their participation in these acts in the aftermath of these events, the Commissioner understands that the organisers of these acts were never prosecuted.</w:t>
      </w:r>
      <w:r>
        <w:t>’</w:t>
      </w:r>
      <w:r>
        <w:rPr>
          <w:rStyle w:val="FootnoteReference"/>
        </w:rPr>
        <w:footnoteReference w:id="41"/>
      </w:r>
      <w:r w:rsidRPr="00ED406F">
        <w:t xml:space="preserve"> </w:t>
      </w:r>
    </w:p>
    <w:p w14:paraId="455F5BB9" w14:textId="4E7C223C" w:rsidR="00920250" w:rsidRDefault="00595F1D" w:rsidP="00580192">
      <w:pPr>
        <w:pStyle w:val="ListParagraph"/>
        <w:widowControl w:val="0"/>
      </w:pPr>
      <w:r w:rsidRPr="000D38D8">
        <w:t>The PDO 2021 annual report noted that</w:t>
      </w:r>
      <w:r>
        <w:t xml:space="preserve"> ‘</w:t>
      </w:r>
      <w:r w:rsidRPr="00F222FD">
        <w:t>It should be noted that part of the crimes committed on the grounds of alleged hatred against LGBT+ people are usually related to physical and verbal abuse, beatings, assaults and death threats. The applicants also point out that, in a number of cases, law enforcement officials called to the scene used abusive terminology themselves and expressed aggression towards them on homophobic grounds instead of defusing the conflict.</w:t>
      </w:r>
      <w:r>
        <w:t>’</w:t>
      </w:r>
      <w:r>
        <w:rPr>
          <w:rStyle w:val="FootnoteReference"/>
        </w:rPr>
        <w:footnoteReference w:id="42"/>
      </w:r>
    </w:p>
    <w:p w14:paraId="6F7D2087" w14:textId="5C6C64AE" w:rsidR="00981494" w:rsidRPr="00981494" w:rsidRDefault="00981494" w:rsidP="001E1516">
      <w:pPr>
        <w:pStyle w:val="ListParagraph"/>
        <w:widowControl w:val="0"/>
      </w:pPr>
      <w:r w:rsidRPr="00981494">
        <w:t>ECOM, Equality Movement and Tbilisi Pride</w:t>
      </w:r>
      <w:r w:rsidR="00B1780D">
        <w:t xml:space="preserve"> </w:t>
      </w:r>
      <w:r w:rsidR="007D5A2D">
        <w:t>2022 ‘</w:t>
      </w:r>
      <w:r w:rsidRPr="00981494">
        <w:t xml:space="preserve">alternative </w:t>
      </w:r>
      <w:r w:rsidR="007D5A2D">
        <w:t>report’ provided as</w:t>
      </w:r>
      <w:r w:rsidRPr="00981494">
        <w:t xml:space="preserve"> commentary for the 135th Session of Human Rights Committee Review of the third periodic report by Georgia</w:t>
      </w:r>
      <w:r w:rsidR="007D5A2D">
        <w:t xml:space="preserve"> </w:t>
      </w:r>
      <w:r w:rsidRPr="00981494">
        <w:t>noted:</w:t>
      </w:r>
    </w:p>
    <w:p w14:paraId="3AC60CAE" w14:textId="014852A3" w:rsidR="00981494" w:rsidRPr="00981494" w:rsidRDefault="00981494" w:rsidP="001E1516">
      <w:pPr>
        <w:pStyle w:val="ListParagraph"/>
        <w:widowControl w:val="0"/>
        <w:numPr>
          <w:ilvl w:val="0"/>
          <w:numId w:val="0"/>
        </w:numPr>
        <w:ind w:left="851"/>
      </w:pPr>
      <w:r w:rsidRPr="00981494">
        <w:t xml:space="preserve">‘While private persons commit the majority of violations, the State stays </w:t>
      </w:r>
      <w:r w:rsidRPr="00981494">
        <w:lastRenderedPageBreak/>
        <w:t>inactive and does not fulfil its positive obligations. Even when the victim has contacted the authorities and a formal investigation has begun, the fact that, in most cases, presenting evidence is controversial, gives rise to a fear of retaliation, and that there is a lack of trust in law enforcement bodies, witnesses and victims fear testifying. In most cases witnesses are pressured or otherwise abused during the process of interrogation, thus the attendance of a lawyer is very important at the initial stage. The problems hindering the access of victims to justice also include obstacles in representing their interests on the part of human rights defenders and LGBT+ activists, and the unwillingness of the authorities to cooperate with civil society organizations.</w:t>
      </w:r>
    </w:p>
    <w:p w14:paraId="5AE149F3" w14:textId="3A0246C0" w:rsidR="00981494" w:rsidRPr="00981494" w:rsidRDefault="00981494" w:rsidP="001E1516">
      <w:pPr>
        <w:pStyle w:val="ListParagraph"/>
        <w:widowControl w:val="0"/>
        <w:numPr>
          <w:ilvl w:val="0"/>
          <w:numId w:val="0"/>
        </w:numPr>
        <w:ind w:left="851"/>
      </w:pPr>
      <w:r w:rsidRPr="00981494">
        <w:t>‘Conducting investigation in a timely manner has remained problematic</w:t>
      </w:r>
      <w:r w:rsidR="00E14A40">
        <w:t xml:space="preserve">. </w:t>
      </w:r>
      <w:r w:rsidR="00E14A40" w:rsidRPr="007323D9">
        <w:t>Investigations initiated by investigative authorities are usually protracted without an outcome for years</w:t>
      </w:r>
      <w:r w:rsidR="001C3A27">
        <w:t>…</w:t>
      </w:r>
      <w:r w:rsidRPr="00981494" w:rsidDel="001C3A27">
        <w:t xml:space="preserve"> </w:t>
      </w:r>
      <w:r w:rsidRPr="00981494">
        <w:t>It is also necessary to highlight the problem of the adequacy and proportionality of punishments, there are examples when attackers get off with a small fine.’</w:t>
      </w:r>
      <w:r w:rsidRPr="00981494">
        <w:rPr>
          <w:vertAlign w:val="superscript"/>
        </w:rPr>
        <w:footnoteReference w:id="43"/>
      </w:r>
    </w:p>
    <w:p w14:paraId="0FDEC7D9" w14:textId="60C7AD8E" w:rsidR="00981494" w:rsidRPr="00981494" w:rsidRDefault="006145A5" w:rsidP="001E1516">
      <w:pPr>
        <w:pStyle w:val="ListParagraph"/>
        <w:widowControl w:val="0"/>
      </w:pPr>
      <w:r>
        <w:t xml:space="preserve">Tbilisi Pride 2022 shadow report </w:t>
      </w:r>
      <w:r w:rsidR="00DB1A00">
        <w:t>for</w:t>
      </w:r>
      <w:r w:rsidR="008A1263">
        <w:t xml:space="preserve"> </w:t>
      </w:r>
      <w:r w:rsidR="008A1263" w:rsidRPr="008A1263">
        <w:t>the 6th Periodic Report of Georgia</w:t>
      </w:r>
      <w:r w:rsidR="00AC6B2E">
        <w:t xml:space="preserve"> </w:t>
      </w:r>
      <w:r w:rsidR="00264649">
        <w:t>noted</w:t>
      </w:r>
      <w:r w:rsidR="00B5177C">
        <w:t xml:space="preserve"> that</w:t>
      </w:r>
      <w:r w:rsidR="00264649">
        <w:t xml:space="preserve"> w</w:t>
      </w:r>
      <w:r w:rsidR="00981494" w:rsidRPr="00981494">
        <w:t>ith regard to lesbians, bisexual women and transwomen</w:t>
      </w:r>
      <w:r w:rsidR="006037A5">
        <w:t>:</w:t>
      </w:r>
      <w:r w:rsidR="00981494" w:rsidRPr="00981494">
        <w:t xml:space="preserve"> </w:t>
      </w:r>
    </w:p>
    <w:p w14:paraId="70A577C4" w14:textId="742990F6" w:rsidR="00981494" w:rsidRPr="00981494" w:rsidRDefault="00981494" w:rsidP="001E1516">
      <w:pPr>
        <w:pStyle w:val="ListParagraph"/>
        <w:widowControl w:val="0"/>
        <w:numPr>
          <w:ilvl w:val="0"/>
          <w:numId w:val="0"/>
        </w:numPr>
        <w:ind w:left="851"/>
      </w:pPr>
      <w:r w:rsidRPr="00981494">
        <w:t xml:space="preserve">‘The incidence of SOGI [Sexual Orientation </w:t>
      </w:r>
      <w:r w:rsidR="00DB1A00">
        <w:t xml:space="preserve">and </w:t>
      </w:r>
      <w:r w:rsidRPr="00981494">
        <w:t xml:space="preserve">Gender Identity]-based hate crimes remains alarming, but only in very few cases this results in prosecution and/or conviction of the perpetrators. Secondary victimization often occurs as the police lack sensitivity towards hate crime victims, especially to those who are subject to hate crimes because of their SOGI status. Consequently, </w:t>
      </w:r>
      <w:bookmarkStart w:id="109" w:name="_Hlk145420779"/>
      <w:r w:rsidRPr="00981494">
        <w:t xml:space="preserve">most hate crime incidents remain unreported </w:t>
      </w:r>
      <w:bookmarkEnd w:id="109"/>
      <w:r w:rsidRPr="00981494">
        <w:t>as hate crime victims do not trust law enforcement authorities. Regretfully, while investigating and prosecuting incidents of hate, authorities tend to ignore bias as a motive for aggravation (Article 531 of the Criminal Code of Georgia).’</w:t>
      </w:r>
      <w:r w:rsidRPr="00981494">
        <w:rPr>
          <w:vertAlign w:val="superscript"/>
        </w:rPr>
        <w:footnoteReference w:id="44"/>
      </w:r>
      <w:r w:rsidRPr="00981494">
        <w:t xml:space="preserve"> </w:t>
      </w:r>
      <w:r w:rsidR="003F07B9" w:rsidRPr="001F2730">
        <w:t>The</w:t>
      </w:r>
      <w:r w:rsidR="006239BF">
        <w:t xml:space="preserve"> source provided</w:t>
      </w:r>
      <w:r w:rsidR="003F07B9" w:rsidRPr="001F2730">
        <w:t xml:space="preserve"> no statistics on the incidence of SOGI hate crimes</w:t>
      </w:r>
      <w:r w:rsidR="006239BF">
        <w:t>.</w:t>
      </w:r>
    </w:p>
    <w:p w14:paraId="5B69AD2F" w14:textId="599D777C" w:rsidR="00DB1A00" w:rsidRDefault="00981494" w:rsidP="001E1516">
      <w:pPr>
        <w:pStyle w:val="ListParagraph"/>
        <w:widowControl w:val="0"/>
      </w:pPr>
      <w:r w:rsidRPr="00981494">
        <w:t>The USSD report 2022 noted: ‘The law makes acting on the basis of prejudice because of a person’s sexual orientation or gender identity an aggravating factor for all crimes. According to NGOs, however, the government rarely enforced the law. The Human Rights Department of the Ministry of Internal Affairs trained officers on hate crimes.’</w:t>
      </w:r>
      <w:r w:rsidRPr="00981494">
        <w:rPr>
          <w:vertAlign w:val="superscript"/>
        </w:rPr>
        <w:footnoteReference w:id="45"/>
      </w:r>
      <w:r w:rsidR="000977ED">
        <w:t xml:space="preserve"> </w:t>
      </w:r>
      <w:r w:rsidRPr="00981494">
        <w:t xml:space="preserve">(See </w:t>
      </w:r>
      <w:hyperlink w:anchor="_Violence__and" w:history="1">
        <w:r w:rsidRPr="000977ED">
          <w:rPr>
            <w:color w:val="0000FF" w:themeColor="hyperlink"/>
            <w:u w:val="single"/>
          </w:rPr>
          <w:t>Violence and hate crimes</w:t>
        </w:r>
      </w:hyperlink>
      <w:r w:rsidR="00854E9D">
        <w:t xml:space="preserve">). </w:t>
      </w:r>
    </w:p>
    <w:p w14:paraId="5AEEE35C" w14:textId="00E4CC3F" w:rsidR="00090C4D" w:rsidRPr="00981494" w:rsidRDefault="00090C4D" w:rsidP="001E1516">
      <w:pPr>
        <w:pStyle w:val="ListParagraph"/>
        <w:widowControl w:val="0"/>
      </w:pPr>
      <w:r w:rsidRPr="00981494">
        <w:t xml:space="preserve">The Commissioner for Human Rights of the </w:t>
      </w:r>
      <w:r w:rsidR="005C4931">
        <w:t>CoE</w:t>
      </w:r>
      <w:r>
        <w:t xml:space="preserve"> 2022 report </w:t>
      </w:r>
      <w:r w:rsidRPr="00981494">
        <w:t>stated:</w:t>
      </w:r>
    </w:p>
    <w:p w14:paraId="4991BE50" w14:textId="1065BBBE" w:rsidR="00090C4D" w:rsidRDefault="00090C4D" w:rsidP="001E1516">
      <w:pPr>
        <w:pStyle w:val="ListParagraph"/>
        <w:widowControl w:val="0"/>
        <w:numPr>
          <w:ilvl w:val="0"/>
          <w:numId w:val="0"/>
        </w:numPr>
        <w:ind w:left="851"/>
      </w:pPr>
      <w:r w:rsidRPr="00981494">
        <w:t>‘Violence against LGBTI people, their supporters, and the defenders of their rights has been a long-standing issue of concern in Georgia which is compounded by a failure to hold perpetrators to account, in particular the organisers of acts of violence. This persisting impunity reinforces biased and hateful attitudes within certain segments of Georgian society. Impunity has also contributed to the unprecedented rise of well-organised and well-funded ultra-conservative and far-right groups with anti-LGBTI, anti-gender, and anti-minorities agendas whose members have participated in violent acts.’</w:t>
      </w:r>
      <w:r w:rsidRPr="00981494">
        <w:rPr>
          <w:vertAlign w:val="superscript"/>
        </w:rPr>
        <w:footnoteReference w:id="46"/>
      </w:r>
    </w:p>
    <w:p w14:paraId="3EE69351" w14:textId="3808EDA6" w:rsidR="000977ED" w:rsidRPr="000D38D8" w:rsidRDefault="000977ED" w:rsidP="001E1516">
      <w:pPr>
        <w:pStyle w:val="ListParagraph"/>
        <w:widowControl w:val="0"/>
      </w:pPr>
      <w:r w:rsidRPr="000D38D8">
        <w:lastRenderedPageBreak/>
        <w:t>Georgia applied for European Union (EU) membership on 3 March 2022 with the European Council stating it would grant Georgia EU candidate country status if it fulfilled certain obligations. One of the obligations stated ‘More needs to be done to protect the rights of lesbian, gay, bisexual, transgender, intersex or queer (LGBTIQ) persons in Georgia, particularly in light of the July 2021 [Tbilisi Pride] events.</w:t>
      </w:r>
      <w:r w:rsidRPr="000D38D8">
        <w:rPr>
          <w:rStyle w:val="FootnoteReference"/>
        </w:rPr>
        <w:footnoteReference w:id="47"/>
      </w:r>
    </w:p>
    <w:p w14:paraId="483C732D" w14:textId="77777777" w:rsidR="00981494" w:rsidRPr="000D38D8" w:rsidRDefault="00000000" w:rsidP="001E1516">
      <w:pPr>
        <w:widowControl w:val="0"/>
        <w:jc w:val="right"/>
        <w:rPr>
          <w:color w:val="0000FF" w:themeColor="hyperlink"/>
          <w:szCs w:val="24"/>
          <w:u w:val="single"/>
        </w:rPr>
      </w:pPr>
      <w:hyperlink w:anchor="contents" w:history="1">
        <w:r w:rsidR="00981494" w:rsidRPr="000D38D8">
          <w:rPr>
            <w:color w:val="0000FF" w:themeColor="hyperlink"/>
            <w:szCs w:val="24"/>
            <w:u w:val="single"/>
          </w:rPr>
          <w:t>Back to Contents</w:t>
        </w:r>
      </w:hyperlink>
    </w:p>
    <w:p w14:paraId="5CE7FC02" w14:textId="00CCDD69" w:rsidR="007B60A0" w:rsidRPr="000D38D8" w:rsidRDefault="007B60A0" w:rsidP="001E1516">
      <w:pPr>
        <w:pStyle w:val="Heading3"/>
        <w:keepNext w:val="0"/>
        <w:keepLines w:val="0"/>
        <w:widowControl w:val="0"/>
      </w:pPr>
      <w:bookmarkStart w:id="110" w:name="_ECtHR_rulings"/>
      <w:bookmarkStart w:id="111" w:name="_Pride_Events_and"/>
      <w:bookmarkStart w:id="112" w:name="_Ref145423571"/>
      <w:bookmarkStart w:id="113" w:name="_Toc146698552"/>
      <w:bookmarkStart w:id="114" w:name="_Toc178601187"/>
      <w:bookmarkEnd w:id="110"/>
      <w:bookmarkEnd w:id="111"/>
      <w:r w:rsidRPr="000D38D8">
        <w:t xml:space="preserve">State </w:t>
      </w:r>
      <w:r w:rsidR="00CA0986">
        <w:t>r</w:t>
      </w:r>
      <w:r w:rsidRPr="000D38D8">
        <w:t>esponse</w:t>
      </w:r>
      <w:r w:rsidR="005A32CF">
        <w:t xml:space="preserve"> to Pride events</w:t>
      </w:r>
      <w:bookmarkEnd w:id="112"/>
      <w:bookmarkEnd w:id="113"/>
      <w:bookmarkEnd w:id="114"/>
    </w:p>
    <w:p w14:paraId="4ABBB20A" w14:textId="2CAF27CB" w:rsidR="007B60A0" w:rsidRPr="000D38D8" w:rsidRDefault="007B60A0" w:rsidP="001E1516">
      <w:pPr>
        <w:pStyle w:val="ListParagraph"/>
        <w:widowControl w:val="0"/>
      </w:pPr>
      <w:r w:rsidRPr="000D38D8">
        <w:t>The</w:t>
      </w:r>
      <w:r w:rsidR="00DF17CA">
        <w:t xml:space="preserve"> </w:t>
      </w:r>
      <w:r w:rsidRPr="000D38D8">
        <w:t>US</w:t>
      </w:r>
      <w:r w:rsidR="00DF17CA">
        <w:t>S</w:t>
      </w:r>
      <w:r w:rsidRPr="000D38D8">
        <w:t>D</w:t>
      </w:r>
      <w:r w:rsidR="00DF17CA">
        <w:t xml:space="preserve"> </w:t>
      </w:r>
      <w:r w:rsidRPr="000D38D8">
        <w:t xml:space="preserve">2021 </w:t>
      </w:r>
      <w:r w:rsidR="00DF17CA">
        <w:t>HR report</w:t>
      </w:r>
      <w:r w:rsidRPr="000D38D8">
        <w:t xml:space="preserve"> noted:</w:t>
      </w:r>
    </w:p>
    <w:p w14:paraId="2541CC14" w14:textId="77777777" w:rsidR="00B94046" w:rsidRDefault="007B60A0" w:rsidP="001E1516">
      <w:pPr>
        <w:pStyle w:val="ListParagraph"/>
        <w:widowControl w:val="0"/>
        <w:numPr>
          <w:ilvl w:val="0"/>
          <w:numId w:val="0"/>
        </w:numPr>
        <w:ind w:left="851"/>
      </w:pPr>
      <w:r w:rsidRPr="000D38D8">
        <w:t>‘[O]n July 5</w:t>
      </w:r>
      <w:r w:rsidR="00376D17">
        <w:t xml:space="preserve"> [2021]</w:t>
      </w:r>
      <w:r w:rsidRPr="000D38D8">
        <w:t>, police failed to take appropriate action to protect the right to freedom of peaceful assembly for individuals who had planned to participate in a Pride event. Approximately 3,000 far-right demonstrators violently rioted through Tbilisi, destroying an opposition protest site at parliament, attacking NGO offices, and assaulting more than 50 journalists and others following statements from Prime Minister Garibashvili that called the planned Tbilisi Pride event, March for Dignity, inappropriate and described it as a plot by “Saakashvili and the radical opposition” aimed at sparking tension and destabilization in the country. The prime minister alleged that 95 percent of the population opposed the event as a justification for blaming Tbilisi Pride for the violence</w:t>
      </w:r>
      <w:r w:rsidR="00B94046">
        <w:t>…</w:t>
      </w:r>
    </w:p>
    <w:p w14:paraId="1DAA1741" w14:textId="0BD8B24F" w:rsidR="007B60A0" w:rsidRPr="000D38D8" w:rsidRDefault="00B94046" w:rsidP="00B94046">
      <w:pPr>
        <w:pStyle w:val="ListParagraph"/>
        <w:widowControl w:val="0"/>
        <w:numPr>
          <w:ilvl w:val="0"/>
          <w:numId w:val="0"/>
        </w:numPr>
        <w:ind w:left="851"/>
      </w:pPr>
      <w:r>
        <w:t>‘</w:t>
      </w:r>
      <w:r w:rsidRPr="001D687F">
        <w:t>Reports and videos showed that police failed to arrest far-right actors as they assaulted police, journalists, and others seen to be associated with the pride march or Western values. The group attempted to storm parliament but was unable to do so and tore down the EU flag flying in front of parliament. One Polish tourist was stabbed, allegedly for appearing to be associated with the lesbian, gay, bisexual, transgender, queer, and intersex (LGBTQI+) community. LGBTQI+ activists described feeling hunted as the locations where they sought refuge were discovered by far-right groups. Activists expressed concern that they were found due to government assistance. Throughout the day the Ministry of Internal Affairs failed to deploy riot control measures. Weeks in advance, ministry officials pressured organizers to cancel the March for Dignity, stating they could not protect the right to assembly because they expected between 20,000 and 50,000 counterdemonstrators.</w:t>
      </w:r>
      <w:r w:rsidR="007B60A0" w:rsidRPr="000D38D8">
        <w:t>’</w:t>
      </w:r>
      <w:r w:rsidR="007B60A0" w:rsidRPr="000D38D8">
        <w:rPr>
          <w:vertAlign w:val="superscript"/>
        </w:rPr>
        <w:footnoteReference w:id="48"/>
      </w:r>
    </w:p>
    <w:p w14:paraId="614DBFFC" w14:textId="22F52C3C" w:rsidR="00DF17CA" w:rsidRDefault="00DF17CA" w:rsidP="001E1516">
      <w:pPr>
        <w:pStyle w:val="ListParagraph"/>
        <w:widowControl w:val="0"/>
      </w:pPr>
      <w:r w:rsidRPr="00DF17CA">
        <w:t xml:space="preserve">The </w:t>
      </w:r>
      <w:r>
        <w:t xml:space="preserve">2022 </w:t>
      </w:r>
      <w:r w:rsidRPr="00DF17CA">
        <w:t xml:space="preserve">USSD </w:t>
      </w:r>
      <w:r>
        <w:t xml:space="preserve">HR </w:t>
      </w:r>
      <w:r w:rsidRPr="00DF17CA">
        <w:t xml:space="preserve">report </w:t>
      </w:r>
      <w:r>
        <w:t>commented</w:t>
      </w:r>
      <w:r w:rsidRPr="00DF17CA">
        <w:t xml:space="preserve">: ‘The </w:t>
      </w:r>
      <w:bookmarkStart w:id="115" w:name="_Hlk145423431"/>
      <w:r w:rsidRPr="00DF17CA">
        <w:t xml:space="preserve">government’s failure to credibly investigate and prosecute the organizers </w:t>
      </w:r>
      <w:bookmarkEnd w:id="115"/>
      <w:r w:rsidRPr="00DF17CA">
        <w:t>of July 2021 violence in advance of the Pride March resulted in impunity for those abuses.’</w:t>
      </w:r>
      <w:r w:rsidRPr="00DF17CA">
        <w:rPr>
          <w:vertAlign w:val="superscript"/>
        </w:rPr>
        <w:footnoteReference w:id="49"/>
      </w:r>
    </w:p>
    <w:p w14:paraId="2CA38A7F" w14:textId="026AD378" w:rsidR="007B60A0" w:rsidRPr="000D38D8" w:rsidRDefault="007B60A0" w:rsidP="001E1516">
      <w:pPr>
        <w:pStyle w:val="ListParagraph"/>
        <w:widowControl w:val="0"/>
      </w:pPr>
      <w:r w:rsidRPr="000D38D8">
        <w:t xml:space="preserve">The PDO 2021 annual report noted that the authorities would have been aware that there was a high risk of violence against the LGBTI community as the events of 5 July had ‘been preceded by public calls for violence by specific groups.’ However, the Ministry of Internal Affairs ‘did not take any </w:t>
      </w:r>
      <w:bookmarkStart w:id="116" w:name="_Hlk145422919"/>
      <w:r w:rsidRPr="000D38D8">
        <w:t xml:space="preserve">effective measures to prevent violence </w:t>
      </w:r>
      <w:bookmarkEnd w:id="116"/>
      <w:r w:rsidRPr="000D38D8">
        <w:t xml:space="preserve">and unfortunately, the response to the incidents of human rights violations by violent groups was not </w:t>
      </w:r>
      <w:r w:rsidRPr="000D38D8">
        <w:lastRenderedPageBreak/>
        <w:t>appropriate either.’</w:t>
      </w:r>
      <w:r w:rsidRPr="000D38D8">
        <w:rPr>
          <w:rStyle w:val="FootnoteReference"/>
        </w:rPr>
        <w:footnoteReference w:id="50"/>
      </w:r>
    </w:p>
    <w:p w14:paraId="5B82D7D6" w14:textId="7A6E49A1" w:rsidR="007B60A0" w:rsidRDefault="007B60A0" w:rsidP="001E1516">
      <w:pPr>
        <w:pStyle w:val="ListParagraph"/>
        <w:widowControl w:val="0"/>
      </w:pPr>
      <w:r w:rsidRPr="000D38D8">
        <w:t xml:space="preserve">Civil Georgia reported that following the events of Pride 2021, </w:t>
      </w:r>
      <w:bookmarkStart w:id="117" w:name="_Hlk145423115"/>
      <w:r w:rsidRPr="000D38D8">
        <w:t>three individuals were arrested and charged</w:t>
      </w:r>
      <w:bookmarkEnd w:id="117"/>
      <w:r w:rsidRPr="000D38D8">
        <w:t xml:space="preserve"> with raiding the Tbilisi Pride Office. </w:t>
      </w:r>
      <w:proofErr w:type="spellStart"/>
      <w:r w:rsidRPr="000D38D8">
        <w:t>Subesquently</w:t>
      </w:r>
      <w:proofErr w:type="spellEnd"/>
      <w:r w:rsidR="00F5694D">
        <w:t xml:space="preserve"> </w:t>
      </w:r>
      <w:r w:rsidRPr="000D38D8">
        <w:t xml:space="preserve">‘Tbilisi City Court fined each accused by GEL 5,000 (USD 1,700)…. The fines were rendered under Article 160.2a.3a of the Criminal Code of Georgia, which punishes the violation of the domicile or of any other property, committed using violence by more than one person… The lawyer for the </w:t>
      </w:r>
      <w:proofErr w:type="spellStart"/>
      <w:r w:rsidRPr="000D38D8">
        <w:t>defense</w:t>
      </w:r>
      <w:proofErr w:type="spellEnd"/>
      <w:r w:rsidRPr="000D38D8">
        <w:t xml:space="preserve">, </w:t>
      </w:r>
      <w:proofErr w:type="spellStart"/>
      <w:r w:rsidRPr="000D38D8">
        <w:t>Shorena</w:t>
      </w:r>
      <w:proofErr w:type="spellEnd"/>
      <w:r w:rsidRPr="000D38D8">
        <w:t xml:space="preserve"> </w:t>
      </w:r>
      <w:proofErr w:type="spellStart"/>
      <w:r w:rsidRPr="000D38D8">
        <w:t>Kobidze</w:t>
      </w:r>
      <w:proofErr w:type="spellEnd"/>
      <w:r w:rsidRPr="000D38D8">
        <w:t>, pointed out that the Court acquitted the defendants of more severe charges under Article 156.2 (persecution on the grounds of intolerance) and Article 225.2 (organized group violence).’</w:t>
      </w:r>
      <w:r w:rsidRPr="000D38D8">
        <w:rPr>
          <w:rStyle w:val="FootnoteReference"/>
        </w:rPr>
        <w:footnoteReference w:id="51"/>
      </w:r>
    </w:p>
    <w:p w14:paraId="2E1BA8AE" w14:textId="77777777" w:rsidR="00A22F4D" w:rsidRDefault="00A22F4D" w:rsidP="00A22F4D">
      <w:pPr>
        <w:pStyle w:val="ListParagraph"/>
        <w:widowControl w:val="0"/>
      </w:pPr>
      <w:bookmarkStart w:id="118" w:name="_Hlk151138573"/>
      <w:r>
        <w:t>The PDO 2022 Special Report stated that:</w:t>
      </w:r>
    </w:p>
    <w:p w14:paraId="615E63CA" w14:textId="292290D9" w:rsidR="00A22F4D" w:rsidRDefault="00A22F4D" w:rsidP="00A22F4D">
      <w:pPr>
        <w:pStyle w:val="ListParagraph"/>
        <w:widowControl w:val="0"/>
        <w:numPr>
          <w:ilvl w:val="0"/>
          <w:numId w:val="0"/>
        </w:numPr>
        <w:ind w:left="851"/>
      </w:pPr>
      <w:r>
        <w:t>‘…</w:t>
      </w:r>
      <w:r w:rsidRPr="00105B1F">
        <w:t>compared to 2021, the Pride Week was held in a much safer environment and with fewer obstacles in 2022. However, it should be noted that this was not due to the development or improvement of relevant mechanisms for the rights of LGBT+ people or their safety, but mostly by holding the events in closed spaces/private areas instead of public spaces. Tbilisi Pride refused to effectively enjoy freedom of assembly in public space due to the experience of 5-6 July 2021, when the law enforcement officials did not use positive measures against the violent actions committed by radical violent groups.</w:t>
      </w:r>
      <w:r>
        <w:t>’</w:t>
      </w:r>
      <w:r>
        <w:rPr>
          <w:rStyle w:val="FootnoteReference"/>
        </w:rPr>
        <w:footnoteReference w:id="52"/>
      </w:r>
    </w:p>
    <w:p w14:paraId="2174AF79" w14:textId="60384AD8" w:rsidR="00A22F4D" w:rsidRDefault="00A22F4D" w:rsidP="00A22F4D">
      <w:pPr>
        <w:pStyle w:val="ListParagraph"/>
        <w:widowControl w:val="0"/>
      </w:pPr>
      <w:r>
        <w:t>The</w:t>
      </w:r>
      <w:r w:rsidRPr="00981494">
        <w:t xml:space="preserve"> Commissioner for Human Rights of the </w:t>
      </w:r>
      <w:r w:rsidR="00817D2A">
        <w:t>CoE</w:t>
      </w:r>
      <w:r>
        <w:t xml:space="preserve"> reported in July 2022 that</w:t>
      </w:r>
      <w:r w:rsidRPr="00981494">
        <w:t>:</w:t>
      </w:r>
    </w:p>
    <w:p w14:paraId="0A7FBC10" w14:textId="5D18F4D0" w:rsidR="00A22F4D" w:rsidRDefault="00A22F4D" w:rsidP="00A22F4D">
      <w:pPr>
        <w:pStyle w:val="ListParagraph"/>
        <w:widowControl w:val="0"/>
        <w:numPr>
          <w:ilvl w:val="0"/>
          <w:numId w:val="0"/>
        </w:numPr>
        <w:ind w:left="851"/>
      </w:pPr>
      <w:r>
        <w:t>‘</w:t>
      </w:r>
      <w:r w:rsidRPr="006D45C6">
        <w:t xml:space="preserve">At the time of drafting this report, leading civil society organisations involved in the preparation of the IDAHOBIT events announced that the planned March for Dignity will not be held in 2022, due to repeated failures by competent authorities to guarantee security and ongoing threats and incitement to violence by members of ultra-conservative and far-right groups involved in the 2021 attacks. This decision shows that unfortunately the exercise of the right to freedom of assembly and expression by LGBTI people in Georgia remains as challenging as it was a decade ago, despite initial signs of optimism in 2018. </w:t>
      </w:r>
      <w:r>
        <w:t>‘</w:t>
      </w:r>
      <w:r>
        <w:rPr>
          <w:rStyle w:val="FootnoteReference"/>
        </w:rPr>
        <w:footnoteReference w:id="53"/>
      </w:r>
      <w:bookmarkEnd w:id="118"/>
    </w:p>
    <w:p w14:paraId="2DA7A906" w14:textId="0B099AAE" w:rsidR="004B561C" w:rsidRDefault="004B561C" w:rsidP="004B561C">
      <w:pPr>
        <w:pStyle w:val="ListParagraph"/>
        <w:widowControl w:val="0"/>
      </w:pPr>
      <w:r>
        <w:t>The PDO 2022 Special Report stated that:</w:t>
      </w:r>
    </w:p>
    <w:p w14:paraId="5EB9AE91" w14:textId="308D0939" w:rsidR="004B561C" w:rsidRDefault="004B561C" w:rsidP="004B561C">
      <w:pPr>
        <w:pStyle w:val="ListParagraph"/>
        <w:widowControl w:val="0"/>
        <w:numPr>
          <w:ilvl w:val="0"/>
          <w:numId w:val="0"/>
        </w:numPr>
        <w:ind w:left="851"/>
      </w:pPr>
      <w:r>
        <w:t>‘…</w:t>
      </w:r>
      <w:r w:rsidRPr="00105B1F">
        <w:t>compared to 2021, the Pride Week was held in a much safer environment and with fewer obstacles in 2022. However, it should be noted that this was not due to the development or improvement of relevant mechanisms for the rights of LGBT+ people or their safety, but mostly by holding the events in closed spaces/private areas instead of public spaces. Tbilisi Pride refused to effectively enjoy freedom of assembly in public space due to the experience of 5-6 July 2021, when the law enforcement officials did not use positive measures against the violent actions committed by radical violent groups.</w:t>
      </w:r>
      <w:r>
        <w:t>’</w:t>
      </w:r>
      <w:r>
        <w:rPr>
          <w:rStyle w:val="FootnoteReference"/>
        </w:rPr>
        <w:footnoteReference w:id="54"/>
      </w:r>
    </w:p>
    <w:p w14:paraId="7345193B" w14:textId="497D178D" w:rsidR="004B561C" w:rsidRDefault="004B561C" w:rsidP="004B561C">
      <w:pPr>
        <w:pStyle w:val="ListParagraph"/>
        <w:widowControl w:val="0"/>
      </w:pPr>
      <w:r>
        <w:t>The</w:t>
      </w:r>
      <w:r w:rsidRPr="00981494">
        <w:t xml:space="preserve"> Commissioner for Human Rights of the </w:t>
      </w:r>
      <w:r w:rsidR="00817D2A">
        <w:t xml:space="preserve">CoE </w:t>
      </w:r>
      <w:r>
        <w:t>reported in July 2022 that</w:t>
      </w:r>
      <w:r w:rsidRPr="00981494">
        <w:t>:</w:t>
      </w:r>
    </w:p>
    <w:p w14:paraId="6D8453D8" w14:textId="040CDA0C" w:rsidR="004B561C" w:rsidRPr="000D38D8" w:rsidRDefault="004B561C" w:rsidP="004B561C">
      <w:pPr>
        <w:pStyle w:val="ListParagraph"/>
        <w:widowControl w:val="0"/>
        <w:numPr>
          <w:ilvl w:val="0"/>
          <w:numId w:val="0"/>
        </w:numPr>
        <w:ind w:left="851"/>
      </w:pPr>
      <w:r>
        <w:t>‘</w:t>
      </w:r>
      <w:r w:rsidRPr="006D45C6">
        <w:t xml:space="preserve">At the time of drafting this report, leading civil society organisations involved in the preparation of the IDAHOBIT events announced that the planned </w:t>
      </w:r>
      <w:r w:rsidRPr="006D45C6">
        <w:lastRenderedPageBreak/>
        <w:t>March for Dignity will not be held in 2022, due to repeated failures by competent authorities to guarantee security and ongoing threats and incitement to violence by members of ultra-conservative and far-right groups involved in the 2021 attacks. This decision shows that unfortunately the exercise of the right to freedom of assembly and expression by LGBTI people in Georgia remains as challenging as it was a decade ago, despite initial signs of optimism in 2018.</w:t>
      </w:r>
      <w:r>
        <w:t>’</w:t>
      </w:r>
      <w:r>
        <w:rPr>
          <w:rStyle w:val="FootnoteReference"/>
        </w:rPr>
        <w:footnoteReference w:id="55"/>
      </w:r>
    </w:p>
    <w:p w14:paraId="67C2AC4A" w14:textId="136F34E2" w:rsidR="007B60A0" w:rsidRPr="000D38D8" w:rsidRDefault="00513E9E" w:rsidP="001E1516">
      <w:pPr>
        <w:pStyle w:val="ListParagraph"/>
        <w:widowControl w:val="0"/>
      </w:pPr>
      <w:r>
        <w:t>HRW,</w:t>
      </w:r>
      <w:r w:rsidR="007B60A0" w:rsidRPr="000D38D8">
        <w:t xml:space="preserve"> in its annual report covering events in 2022</w:t>
      </w:r>
      <w:r>
        <w:t>,</w:t>
      </w:r>
      <w:r w:rsidR="007B60A0" w:rsidRPr="000D38D8">
        <w:t xml:space="preserve"> noted: ‘In July [2022], the Tbilisi City Court fined three people for raiding the offices of Tbilisi Pride, an LGBT rights group, during mass anti-LGBT attacks in July 2021 that led to dozens of injuries and cancellation of the Pride March. The court acquitted the defendants on more serious charges of persecution and organized group violence. In total, police detained 31 people over the violence.’</w:t>
      </w:r>
      <w:r w:rsidR="007B60A0" w:rsidRPr="000D38D8">
        <w:rPr>
          <w:vertAlign w:val="superscript"/>
        </w:rPr>
        <w:footnoteReference w:id="56"/>
      </w:r>
    </w:p>
    <w:p w14:paraId="07F458AD" w14:textId="75DBBEF6" w:rsidR="00D82FEB" w:rsidRPr="000D38D8" w:rsidRDefault="00FE1818" w:rsidP="001E1516">
      <w:pPr>
        <w:pStyle w:val="ListParagraph"/>
        <w:widowControl w:val="0"/>
      </w:pPr>
      <w:r>
        <w:t xml:space="preserve">On 7 July 2022, </w:t>
      </w:r>
      <w:r w:rsidR="00D82FEB" w:rsidRPr="000D38D8">
        <w:t>Georgia Today</w:t>
      </w:r>
      <w:r w:rsidR="000D38D8" w:rsidRPr="000D38D8">
        <w:t>, a local news organisation</w:t>
      </w:r>
      <w:r>
        <w:t>,</w:t>
      </w:r>
      <w:r w:rsidR="000D38D8" w:rsidRPr="000D38D8">
        <w:t xml:space="preserve"> </w:t>
      </w:r>
      <w:r w:rsidR="00D82FEB" w:rsidRPr="000D38D8">
        <w:t>reported that ‘Tbilisi Pride ended successfully with a festival despite violent groups trying to disrupt…</w:t>
      </w:r>
      <w:r w:rsidR="00D82FEB" w:rsidRPr="32BE9D94">
        <w:rPr>
          <w:shd w:val="clear" w:color="auto" w:fill="FFFFFF"/>
        </w:rPr>
        <w:t xml:space="preserve">supporters of the far-right extremist group Alt Info </w:t>
      </w:r>
      <w:proofErr w:type="spellStart"/>
      <w:r w:rsidR="00D82FEB" w:rsidRPr="32BE9D94">
        <w:rPr>
          <w:shd w:val="clear" w:color="auto" w:fill="FFFFFF"/>
        </w:rPr>
        <w:t>gathered..where</w:t>
      </w:r>
      <w:proofErr w:type="spellEnd"/>
      <w:r w:rsidR="00D82FEB" w:rsidRPr="32BE9D94">
        <w:rPr>
          <w:shd w:val="clear" w:color="auto" w:fill="FFFFFF"/>
        </w:rPr>
        <w:t xml:space="preserve"> they burned the flags of NATO and the European Union and tore apart rainbow flags. Police were mobilised on the spot.’ </w:t>
      </w:r>
      <w:r w:rsidR="00D82FEB" w:rsidRPr="000D38D8">
        <w:rPr>
          <w:rStyle w:val="FootnoteReference"/>
        </w:rPr>
        <w:footnoteReference w:id="57"/>
      </w:r>
    </w:p>
    <w:p w14:paraId="31529448" w14:textId="4374B515" w:rsidR="00D82FEB" w:rsidRPr="000D38D8" w:rsidRDefault="00D82FEB" w:rsidP="001E1516">
      <w:pPr>
        <w:pStyle w:val="ListParagraph"/>
        <w:widowControl w:val="0"/>
      </w:pPr>
      <w:r w:rsidRPr="32BE9D94">
        <w:rPr>
          <w:shd w:val="clear" w:color="auto" w:fill="FFFFFF"/>
        </w:rPr>
        <w:t>The</w:t>
      </w:r>
      <w:r w:rsidR="00E66FCE" w:rsidRPr="32BE9D94">
        <w:rPr>
          <w:shd w:val="clear" w:color="auto" w:fill="FFFFFF"/>
        </w:rPr>
        <w:t xml:space="preserve"> same</w:t>
      </w:r>
      <w:r w:rsidRPr="32BE9D94">
        <w:rPr>
          <w:shd w:val="clear" w:color="auto" w:fill="FFFFFF"/>
        </w:rPr>
        <w:t xml:space="preserve"> Georgia Today article added that the Georgian Ministry of Internal Affairs released a statement condemning ‘violence of any kind and calling on the groups opposing Pride Week to adhere to the law, follow the rightful demands of the police, and not to exceed the limits of the right to assembly and manifestation permitted by law.’</w:t>
      </w:r>
      <w:r w:rsidRPr="000D38D8">
        <w:rPr>
          <w:rStyle w:val="FootnoteReference"/>
        </w:rPr>
        <w:footnoteReference w:id="58"/>
      </w:r>
    </w:p>
    <w:p w14:paraId="325871F8" w14:textId="507E38D7" w:rsidR="007B60A0" w:rsidRPr="000D38D8" w:rsidRDefault="007B60A0" w:rsidP="001E1516">
      <w:pPr>
        <w:pStyle w:val="ListParagraph"/>
        <w:widowControl w:val="0"/>
      </w:pPr>
      <w:r w:rsidRPr="000D38D8">
        <w:t xml:space="preserve">The PDO 2022 Special Report noted that following the violent events at Tbilisi Pride 2021, organisers did not hold a public march in 2022 and opted to hold Pride events indoors. </w:t>
      </w:r>
      <w:proofErr w:type="gramStart"/>
      <w:r w:rsidRPr="000D38D8">
        <w:t>However</w:t>
      </w:r>
      <w:proofErr w:type="gramEnd"/>
      <w:r w:rsidRPr="000D38D8">
        <w:t xml:space="preserve"> after the information spread, ‘ultra-nationalist and extremist groups became active again, threatening with violence and preparing for counter-demonstrations. Among them, the leaders of the violent, homophobic and pro-Russian Conservative Movement/Alt-Info party openly expressed their aggression towards Pride Week and </w:t>
      </w:r>
      <w:proofErr w:type="gramStart"/>
      <w:r w:rsidRPr="000D38D8">
        <w:t>announced</w:t>
      </w:r>
      <w:proofErr w:type="gramEnd"/>
      <w:r w:rsidRPr="000D38D8">
        <w:t xml:space="preserve"> “full mobilization” against them.’</w:t>
      </w:r>
      <w:r w:rsidRPr="000D38D8">
        <w:rPr>
          <w:rStyle w:val="FootnoteReference"/>
        </w:rPr>
        <w:footnoteReference w:id="59"/>
      </w:r>
    </w:p>
    <w:p w14:paraId="34995ED5" w14:textId="5CAFFF02" w:rsidR="00090177" w:rsidRPr="000D38D8" w:rsidRDefault="00090177" w:rsidP="001E1516">
      <w:pPr>
        <w:pStyle w:val="ListParagraph"/>
        <w:widowControl w:val="0"/>
      </w:pPr>
      <w:r w:rsidRPr="000D38D8">
        <w:t xml:space="preserve">The PDO 2022 Special Report stated: </w:t>
      </w:r>
    </w:p>
    <w:p w14:paraId="213642EB" w14:textId="7F81EBC9" w:rsidR="00090177" w:rsidRPr="000D38D8" w:rsidRDefault="00090177" w:rsidP="001E1516">
      <w:pPr>
        <w:pStyle w:val="ListParagraph"/>
        <w:widowControl w:val="0"/>
        <w:numPr>
          <w:ilvl w:val="0"/>
          <w:numId w:val="0"/>
        </w:numPr>
        <w:ind w:left="851"/>
      </w:pPr>
      <w:r w:rsidRPr="000D38D8">
        <w:t xml:space="preserve">‘The Public Defender notes that, even though the threats made by the leaders of the ultra-nationalist and extremist groups, as well as by the homophobic and pro-Russian party Conservative Movement Alt-Info, were intense and real in this reporting period as well, and there were also public calls for violent actions - a crime referred to in Article 2391 of the Criminal Code, the relevant state agencies did not take legal action against the organizers of violence. The Ministry of Internal Affairs of Georgia launched an investigation only after the leaders and supporters of the violent groups gathered in the vicinity of the festival on July 2, </w:t>
      </w:r>
      <w:proofErr w:type="gramStart"/>
      <w:r w:rsidRPr="000D38D8">
        <w:t>2022</w:t>
      </w:r>
      <w:proofErr w:type="gramEnd"/>
      <w:r w:rsidRPr="000D38D8">
        <w:t xml:space="preserve"> and resisted the police officers mobilized on the spot. The police arrested 26 people at the protest </w:t>
      </w:r>
      <w:r w:rsidRPr="000D38D8">
        <w:lastRenderedPageBreak/>
        <w:t xml:space="preserve">rally against the Tbilisi Pride music festival, including two leaders of the group - </w:t>
      </w:r>
      <w:proofErr w:type="spellStart"/>
      <w:r w:rsidRPr="000D38D8">
        <w:t>Zurab</w:t>
      </w:r>
      <w:proofErr w:type="spellEnd"/>
      <w:r w:rsidRPr="000D38D8">
        <w:t xml:space="preserve"> </w:t>
      </w:r>
      <w:proofErr w:type="spellStart"/>
      <w:r w:rsidRPr="000D38D8">
        <w:t>Makharadze</w:t>
      </w:r>
      <w:proofErr w:type="spellEnd"/>
      <w:r w:rsidRPr="000D38D8">
        <w:t xml:space="preserve"> and Irakli </w:t>
      </w:r>
      <w:proofErr w:type="spellStart"/>
      <w:r w:rsidRPr="000D38D8">
        <w:t>Martinenko</w:t>
      </w:r>
      <w:proofErr w:type="spellEnd"/>
      <w:r w:rsidRPr="000D38D8">
        <w:t xml:space="preserve">, as well as </w:t>
      </w:r>
      <w:proofErr w:type="spellStart"/>
      <w:r w:rsidRPr="000D38D8">
        <w:t>Guram</w:t>
      </w:r>
      <w:proofErr w:type="spellEnd"/>
      <w:r w:rsidRPr="000D38D8">
        <w:t xml:space="preserve"> and Aleksandre </w:t>
      </w:r>
      <w:proofErr w:type="spellStart"/>
      <w:r w:rsidRPr="000D38D8">
        <w:t>Palavandishvilis</w:t>
      </w:r>
      <w:proofErr w:type="spellEnd"/>
      <w:r w:rsidRPr="000D38D8">
        <w:t>. It should be taken into account that no organizers or participants of the violent rallies have been prosecuted so far.’</w:t>
      </w:r>
      <w:r w:rsidR="00080A11" w:rsidRPr="000D38D8">
        <w:rPr>
          <w:rStyle w:val="FootnoteReference"/>
        </w:rPr>
        <w:footnoteReference w:id="60"/>
      </w:r>
    </w:p>
    <w:p w14:paraId="1630D169" w14:textId="34CC9FD4" w:rsidR="007B60A0" w:rsidRPr="000D38D8" w:rsidRDefault="00DF1D5C" w:rsidP="001E1516">
      <w:pPr>
        <w:pStyle w:val="ListParagraph"/>
        <w:widowControl w:val="0"/>
      </w:pPr>
      <w:r>
        <w:t xml:space="preserve">On 2 June 2023, </w:t>
      </w:r>
      <w:r w:rsidR="007B60A0" w:rsidRPr="000D38D8">
        <w:t>Civil Georgia, a local news organisation, report</w:t>
      </w:r>
      <w:r>
        <w:t>ed</w:t>
      </w:r>
      <w:r w:rsidR="007B60A0" w:rsidRPr="000D38D8">
        <w:t xml:space="preserve"> that the NGO Tbilisi Pride had announced that Pride Week 2023 would ‘include closed events of a political, cultural and academic nature, including an international LGBTQI conference and the Pride Festival.’</w:t>
      </w:r>
      <w:r w:rsidR="007B60A0" w:rsidRPr="000D38D8">
        <w:rPr>
          <w:vertAlign w:val="superscript"/>
        </w:rPr>
        <w:footnoteReference w:id="61"/>
      </w:r>
    </w:p>
    <w:p w14:paraId="69DE648F" w14:textId="77777777" w:rsidR="007B60A0" w:rsidRPr="000D38D8" w:rsidRDefault="007B60A0" w:rsidP="001E1516">
      <w:pPr>
        <w:pStyle w:val="ListParagraph"/>
        <w:widowControl w:val="0"/>
      </w:pPr>
      <w:r w:rsidRPr="000D38D8">
        <w:t>Reuters reported on 8 July 2023 that:</w:t>
      </w:r>
    </w:p>
    <w:p w14:paraId="13C4C3BA" w14:textId="77777777" w:rsidR="007B60A0" w:rsidRPr="000D38D8" w:rsidRDefault="007B60A0" w:rsidP="001E1516">
      <w:pPr>
        <w:pStyle w:val="ListParagraph"/>
        <w:widowControl w:val="0"/>
        <w:numPr>
          <w:ilvl w:val="0"/>
          <w:numId w:val="0"/>
        </w:numPr>
        <w:ind w:left="851"/>
      </w:pPr>
      <w:r w:rsidRPr="000D38D8">
        <w:t>‘Up to 2,000 anti-LGBT protesters broke up a Gay Pride festival in the Georgian capital Tbilisi on Saturday, scuffling with police and destroying props including rainbow flags and placards, though there were no reports of injuries.</w:t>
      </w:r>
    </w:p>
    <w:p w14:paraId="7E95811F" w14:textId="77777777" w:rsidR="007B60A0" w:rsidRPr="000D38D8" w:rsidRDefault="007B60A0" w:rsidP="001E1516">
      <w:pPr>
        <w:pStyle w:val="ListParagraph"/>
        <w:widowControl w:val="0"/>
        <w:numPr>
          <w:ilvl w:val="0"/>
          <w:numId w:val="0"/>
        </w:numPr>
        <w:ind w:left="851"/>
      </w:pPr>
      <w:r w:rsidRPr="000D38D8">
        <w:t>‘Organisers accused the authorities of actively colluding with the demonstrators to disrupt the festival, but a government minister said it was a difficult event to police as it was held in an open area, near a lake…</w:t>
      </w:r>
    </w:p>
    <w:p w14:paraId="48877833" w14:textId="291C6740" w:rsidR="007B60A0" w:rsidRDefault="007B60A0" w:rsidP="001E1516">
      <w:pPr>
        <w:pStyle w:val="ListParagraph"/>
        <w:widowControl w:val="0"/>
        <w:numPr>
          <w:ilvl w:val="0"/>
          <w:numId w:val="0"/>
        </w:numPr>
        <w:ind w:left="851"/>
      </w:pPr>
      <w:r w:rsidRPr="000D38D8">
        <w:t>‘The director of Tbilisi Pride confirmed to Reuters that all the event's participants had been bussed to safety but criticised the authorities' policing of the Pride event, which she said had been held in private for a second consecutive year to reduce the risk of such violent protests.’</w:t>
      </w:r>
      <w:r w:rsidRPr="000D38D8">
        <w:rPr>
          <w:rStyle w:val="FootnoteReference"/>
        </w:rPr>
        <w:footnoteReference w:id="62"/>
      </w:r>
    </w:p>
    <w:p w14:paraId="41B1D6EB" w14:textId="1191BE94" w:rsidR="00DF1D5C" w:rsidRDefault="00DF1D5C" w:rsidP="001E1516">
      <w:pPr>
        <w:pStyle w:val="ListParagraph"/>
        <w:widowControl w:val="0"/>
      </w:pPr>
      <w:r>
        <w:t>On 8 July 2023, CNN reported:</w:t>
      </w:r>
    </w:p>
    <w:p w14:paraId="1F48F52E" w14:textId="7CB2E147" w:rsidR="00DF1D5C" w:rsidRDefault="00DF1D5C" w:rsidP="001E1516">
      <w:pPr>
        <w:pStyle w:val="ListParagraph"/>
        <w:widowControl w:val="0"/>
        <w:numPr>
          <w:ilvl w:val="0"/>
          <w:numId w:val="0"/>
        </w:numPr>
        <w:ind w:left="851"/>
      </w:pPr>
      <w:r>
        <w:t>‘</w:t>
      </w:r>
      <w:r w:rsidRPr="00DF1D5C">
        <w:t xml:space="preserve">A Pride festival was </w:t>
      </w:r>
      <w:proofErr w:type="spellStart"/>
      <w:r w:rsidRPr="00DF1D5C">
        <w:t>canceled</w:t>
      </w:r>
      <w:proofErr w:type="spellEnd"/>
      <w:r w:rsidRPr="00DF1D5C">
        <w:t xml:space="preserve"> in the Georgian capital of Tbilisi on Saturday by organizers who say authorities failed to prevent violent disruptions from Russian-affiliated far-right groups</w:t>
      </w:r>
      <w:r>
        <w:t>…</w:t>
      </w:r>
    </w:p>
    <w:p w14:paraId="25889B87" w14:textId="362D9C91" w:rsidR="00DF1D5C" w:rsidRDefault="00DF1D5C" w:rsidP="001E1516">
      <w:pPr>
        <w:pStyle w:val="ListParagraph"/>
        <w:widowControl w:val="0"/>
        <w:numPr>
          <w:ilvl w:val="0"/>
          <w:numId w:val="0"/>
        </w:numPr>
        <w:ind w:left="851"/>
      </w:pPr>
      <w:r>
        <w:t>‘</w:t>
      </w:r>
      <w:r w:rsidRPr="00DF1D5C">
        <w:t>“The Ministry of Interior of Georgia once again neglected to protect us from violent far-right groups and allowed the mobs to prevent us from exercising our freedom of expression and assembly even in private settings,” Tbilisi Pride said</w:t>
      </w:r>
      <w:r>
        <w:t>.</w:t>
      </w:r>
    </w:p>
    <w:p w14:paraId="0EDC37FB" w14:textId="07A502A1" w:rsidR="00DF1D5C" w:rsidRDefault="00DF1D5C" w:rsidP="001E1516">
      <w:pPr>
        <w:pStyle w:val="ListParagraph"/>
        <w:widowControl w:val="0"/>
        <w:numPr>
          <w:ilvl w:val="0"/>
          <w:numId w:val="0"/>
        </w:numPr>
        <w:ind w:left="851"/>
      </w:pPr>
      <w:r>
        <w:t>‘</w:t>
      </w:r>
      <w:r w:rsidRPr="00DF1D5C">
        <w:t xml:space="preserve">Videos posted by Georgian activist channels showed clashes between police officers and anti-LGBTQ protesters in the festival area in </w:t>
      </w:r>
      <w:proofErr w:type="spellStart"/>
      <w:r w:rsidRPr="00DF1D5C">
        <w:t>Lisi</w:t>
      </w:r>
      <w:proofErr w:type="spellEnd"/>
      <w:r w:rsidRPr="00DF1D5C">
        <w:t xml:space="preserve"> Wonderland. Anti-Pride protesters were also pictured setting Pride flags on fire</w:t>
      </w:r>
      <w:r>
        <w:t>…</w:t>
      </w:r>
    </w:p>
    <w:p w14:paraId="7417433C" w14:textId="1C7CD05F" w:rsidR="00DF1D5C" w:rsidRDefault="00DF1D5C" w:rsidP="001E1516">
      <w:pPr>
        <w:pStyle w:val="ListParagraph"/>
        <w:widowControl w:val="0"/>
        <w:numPr>
          <w:ilvl w:val="0"/>
          <w:numId w:val="0"/>
        </w:numPr>
        <w:ind w:left="851"/>
      </w:pPr>
      <w:r>
        <w:t>‘</w:t>
      </w:r>
      <w:r w:rsidRPr="00DF1D5C">
        <w:t>In a statement on Friday, the Georgian Interior Ministry said it was taking “appropriate measures” to ensure the “safe format” of Saturday’s event and “to protect the freedom of expression and assembly of each person.”</w:t>
      </w:r>
    </w:p>
    <w:p w14:paraId="1BF7A351" w14:textId="48A3F6AF" w:rsidR="00DF1D5C" w:rsidRPr="00DF1D5C" w:rsidRDefault="00DF1D5C" w:rsidP="001E1516">
      <w:pPr>
        <w:pStyle w:val="ListParagraph"/>
        <w:widowControl w:val="0"/>
        <w:numPr>
          <w:ilvl w:val="0"/>
          <w:numId w:val="0"/>
        </w:numPr>
        <w:ind w:left="851"/>
      </w:pPr>
      <w:r>
        <w:t>‘</w:t>
      </w:r>
      <w:r w:rsidRPr="00DF1D5C">
        <w:t>The speaker of the Georgian Parliament, Shalva Papuashvili, stressed the government’s condemnation of any violence on Saturday, according to First Channel</w:t>
      </w:r>
      <w:r w:rsidR="008A6D10" w:rsidRPr="008A6D10">
        <w:rPr>
          <w:rFonts w:ascii="Helvetica" w:hAnsi="Helvetica"/>
          <w:color w:val="000000"/>
          <w:spacing w:val="6"/>
          <w:shd w:val="clear" w:color="auto" w:fill="FFFFFF"/>
        </w:rPr>
        <w:t xml:space="preserve"> </w:t>
      </w:r>
      <w:r w:rsidR="008A6D10">
        <w:rPr>
          <w:rFonts w:ascii="Helvetica" w:hAnsi="Helvetica"/>
          <w:color w:val="000000"/>
          <w:spacing w:val="6"/>
          <w:shd w:val="clear" w:color="auto" w:fill="FFFFFF"/>
        </w:rPr>
        <w:t>[</w:t>
      </w:r>
      <w:r w:rsidR="008A6D10" w:rsidRPr="008A6D10">
        <w:t>Georgian public broadcaster</w:t>
      </w:r>
      <w:r w:rsidR="008A6D10">
        <w:t>]</w:t>
      </w:r>
      <w:r w:rsidRPr="00DF1D5C">
        <w:t>.</w:t>
      </w:r>
    </w:p>
    <w:p w14:paraId="06410D4E" w14:textId="6E27293B" w:rsidR="00DF1D5C" w:rsidRPr="00DF1D5C" w:rsidRDefault="00DF1D5C" w:rsidP="001E1516">
      <w:pPr>
        <w:pStyle w:val="ListParagraph"/>
        <w:widowControl w:val="0"/>
        <w:numPr>
          <w:ilvl w:val="0"/>
          <w:numId w:val="0"/>
        </w:numPr>
        <w:ind w:left="851"/>
      </w:pPr>
      <w:r>
        <w:t>‘</w:t>
      </w:r>
      <w:r w:rsidRPr="00DF1D5C">
        <w:t>Papuashvili said police coped with the situation and prevented festival participants from being injured, according to First Channel.</w:t>
      </w:r>
    </w:p>
    <w:p w14:paraId="08A829A1" w14:textId="2A830628" w:rsidR="00DF1D5C" w:rsidRPr="00DF1D5C" w:rsidRDefault="00DF1D5C" w:rsidP="001E1516">
      <w:pPr>
        <w:pStyle w:val="ListParagraph"/>
        <w:widowControl w:val="0"/>
        <w:numPr>
          <w:ilvl w:val="0"/>
          <w:numId w:val="0"/>
        </w:numPr>
        <w:ind w:left="851"/>
      </w:pPr>
      <w:r>
        <w:lastRenderedPageBreak/>
        <w:t>‘</w:t>
      </w:r>
      <w:r w:rsidRPr="00DF1D5C">
        <w:t>Georgian President Salome Zourabichvili said statements from Papuashvili and other government officials had no value, calling on the government to “stop using hate speech and inciting confrontation.”</w:t>
      </w:r>
    </w:p>
    <w:p w14:paraId="3651B31F" w14:textId="6F65BFB5" w:rsidR="00DF1D5C" w:rsidRPr="00DF1D5C" w:rsidRDefault="00DF1D5C" w:rsidP="001E1516">
      <w:pPr>
        <w:pStyle w:val="ListParagraph"/>
        <w:widowControl w:val="0"/>
        <w:numPr>
          <w:ilvl w:val="0"/>
          <w:numId w:val="0"/>
        </w:numPr>
        <w:ind w:left="851"/>
      </w:pPr>
      <w:r>
        <w:t>‘</w:t>
      </w:r>
      <w:r w:rsidRPr="00DF1D5C">
        <w:t>Zourabichvili, who is independent of the country’s ruling Georgian Dream party, said the rights to peaceful assembly and freedom of expression guaranteed by the Georgian constitution were violated on Saturday.</w:t>
      </w:r>
      <w:r>
        <w:t>’</w:t>
      </w:r>
      <w:r w:rsidR="008A6D10">
        <w:rPr>
          <w:rStyle w:val="FootnoteReference"/>
        </w:rPr>
        <w:footnoteReference w:id="63"/>
      </w:r>
    </w:p>
    <w:p w14:paraId="7B5290B1" w14:textId="39658BF0" w:rsidR="00DF1D5C" w:rsidRPr="000D38D8" w:rsidRDefault="008A6D10" w:rsidP="001E1516">
      <w:pPr>
        <w:pStyle w:val="ListParagraph"/>
        <w:widowControl w:val="0"/>
      </w:pPr>
      <w:r>
        <w:t xml:space="preserve">On 8 July 2023, the </w:t>
      </w:r>
      <w:r w:rsidRPr="008A6D10">
        <w:t>British Ambassador to Georgia</w:t>
      </w:r>
      <w:r>
        <w:t>, Mark Clayton, tweeted:</w:t>
      </w:r>
      <w:r w:rsidRPr="008A6D10">
        <w:t xml:space="preserve"> </w:t>
      </w:r>
      <w:r>
        <w:t>‘</w:t>
      </w:r>
      <w:r w:rsidRPr="008A6D10">
        <w:t>Shocked and saddened to see that despite the planning &amp; preventive measures, @Tbilisipride</w:t>
      </w:r>
      <w:r>
        <w:t xml:space="preserve"> </w:t>
      </w:r>
      <w:r w:rsidRPr="008A6D10">
        <w:t>festival was cancelled due to safety risks for participants. I call on authorities to ensure that all who broke law &amp; aggressively disrupted a peaceful gathering will be brought to justice.</w:t>
      </w:r>
      <w:r>
        <w:t>’</w:t>
      </w:r>
      <w:r>
        <w:rPr>
          <w:rStyle w:val="FootnoteReference"/>
        </w:rPr>
        <w:footnoteReference w:id="64"/>
      </w:r>
    </w:p>
    <w:bookmarkStart w:id="119" w:name="_Hlk145324922"/>
    <w:p w14:paraId="64D41EDD" w14:textId="5A992560" w:rsidR="007B60A0" w:rsidRDefault="00060EE5" w:rsidP="001E1516">
      <w:pPr>
        <w:pStyle w:val="Backtocontents"/>
        <w:widowControl w:val="0"/>
      </w:pPr>
      <w:r w:rsidRPr="00060EE5">
        <w:fldChar w:fldCharType="begin"/>
      </w:r>
      <w:r w:rsidRPr="00060EE5">
        <w:instrText xml:space="preserve"> HYPERLINK \l "contents" </w:instrText>
      </w:r>
      <w:r w:rsidRPr="00060EE5">
        <w:fldChar w:fldCharType="separate"/>
      </w:r>
      <w:r w:rsidRPr="00060EE5">
        <w:rPr>
          <w:rStyle w:val="Hyperlink"/>
        </w:rPr>
        <w:t>Back to Contents</w:t>
      </w:r>
      <w:r w:rsidRPr="00060EE5">
        <w:fldChar w:fldCharType="end"/>
      </w:r>
      <w:bookmarkEnd w:id="119"/>
    </w:p>
    <w:p w14:paraId="1ADB6E51" w14:textId="543C6E33" w:rsidR="00090C4D" w:rsidRDefault="00090C4D" w:rsidP="001E1516">
      <w:pPr>
        <w:pStyle w:val="Heading3"/>
        <w:keepNext w:val="0"/>
        <w:keepLines w:val="0"/>
        <w:widowControl w:val="0"/>
      </w:pPr>
      <w:bookmarkStart w:id="120" w:name="_Ref145442196"/>
      <w:bookmarkStart w:id="121" w:name="_Toc146698553"/>
      <w:bookmarkStart w:id="122" w:name="_Toc178601188"/>
      <w:r>
        <w:t>Prosecutions and convictions</w:t>
      </w:r>
      <w:bookmarkEnd w:id="120"/>
      <w:bookmarkEnd w:id="121"/>
      <w:bookmarkEnd w:id="122"/>
    </w:p>
    <w:p w14:paraId="5E9E38DE" w14:textId="3A0C87A3" w:rsidR="001F7DB5" w:rsidRDefault="001F7DB5" w:rsidP="001E1516">
      <w:pPr>
        <w:pStyle w:val="ListParagraph"/>
        <w:widowControl w:val="0"/>
      </w:pPr>
      <w:r>
        <w:t xml:space="preserve">In September 2020, the Government of Georgia signed a </w:t>
      </w:r>
      <w:r w:rsidR="004369FD">
        <w:t>‘</w:t>
      </w:r>
      <w:r w:rsidR="004369FD" w:rsidRPr="004369FD">
        <w:t>Memorandum on Cooperation on Collection of Data on Hate Crime</w:t>
      </w:r>
      <w:r w:rsidR="004369FD">
        <w:t>‘</w:t>
      </w:r>
      <w:r>
        <w:t xml:space="preserve"> with the Council of Europe. </w:t>
      </w:r>
      <w:r w:rsidR="004369FD">
        <w:t xml:space="preserve">As a result, </w:t>
      </w:r>
      <w:r w:rsidR="004369FD" w:rsidRPr="004369FD">
        <w:t>the Supreme Court, the Office of the General Prosecutor, the Ministry of Internal Affairs, and the National Statistics Office of Georgia (G</w:t>
      </w:r>
      <w:r w:rsidR="004369FD">
        <w:t>EOSTAT</w:t>
      </w:r>
      <w:r w:rsidR="004369FD" w:rsidRPr="004369FD">
        <w:t>) create</w:t>
      </w:r>
      <w:r w:rsidR="004369FD">
        <w:t>d</w:t>
      </w:r>
      <w:r w:rsidR="004369FD" w:rsidRPr="004369FD">
        <w:t xml:space="preserve"> a joint system</w:t>
      </w:r>
      <w:r w:rsidR="004369FD">
        <w:t xml:space="preserve"> to collect and report data on hate crimes</w:t>
      </w:r>
      <w:r w:rsidR="004369FD">
        <w:rPr>
          <w:rStyle w:val="FootnoteReference"/>
        </w:rPr>
        <w:footnoteReference w:id="65"/>
      </w:r>
      <w:r w:rsidR="004369FD">
        <w:t>.</w:t>
      </w:r>
    </w:p>
    <w:p w14:paraId="4C91333B" w14:textId="43BA1B94" w:rsidR="00090C4D" w:rsidRDefault="00575BC5" w:rsidP="001E1516">
      <w:pPr>
        <w:pStyle w:val="ListParagraph"/>
        <w:widowControl w:val="0"/>
      </w:pPr>
      <w:r>
        <w:t>The tables below have been compiled by CPIT based upon statistics</w:t>
      </w:r>
      <w:r w:rsidR="00090C4D" w:rsidRPr="000D38D8">
        <w:t xml:space="preserve"> published by the Ministry of Internal Affairs of Georgia</w:t>
      </w:r>
      <w:r>
        <w:t>,</w:t>
      </w:r>
      <w:r w:rsidRPr="00575BC5">
        <w:t xml:space="preserve"> </w:t>
      </w:r>
      <w:r>
        <w:t xml:space="preserve">the </w:t>
      </w:r>
      <w:r w:rsidRPr="00575BC5">
        <w:t>Prosecutor’s Office of Georgia</w:t>
      </w:r>
      <w:r>
        <w:t xml:space="preserve"> and the</w:t>
      </w:r>
      <w:r w:rsidRPr="00575BC5">
        <w:t xml:space="preserve"> Supreme Court of Georgia</w:t>
      </w:r>
      <w:r>
        <w:t xml:space="preserve"> for the period October</w:t>
      </w:r>
      <w:r w:rsidR="00090C4D" w:rsidRPr="000D38D8">
        <w:t xml:space="preserve"> 2020 </w:t>
      </w:r>
      <w:r>
        <w:t>to December</w:t>
      </w:r>
      <w:r w:rsidR="00090C4D" w:rsidRPr="000D38D8">
        <w:t xml:space="preserve"> 2022</w:t>
      </w:r>
      <w:r w:rsidR="00F91F9A">
        <w:rPr>
          <w:rStyle w:val="FootnoteReference"/>
        </w:rPr>
        <w:footnoteReference w:id="66"/>
      </w:r>
      <w:r w:rsidR="00F91F9A">
        <w:t xml:space="preserve"> </w:t>
      </w:r>
      <w:r w:rsidR="00F91F9A">
        <w:rPr>
          <w:rStyle w:val="FootnoteReference"/>
        </w:rPr>
        <w:footnoteReference w:id="67"/>
      </w:r>
      <w:r w:rsidR="00F91F9A">
        <w:t xml:space="preserve"> </w:t>
      </w:r>
      <w:r w:rsidR="00F91F9A">
        <w:rPr>
          <w:rStyle w:val="FootnoteReference"/>
        </w:rPr>
        <w:footnoteReference w:id="68"/>
      </w:r>
      <w:r w:rsidR="00F91F9A">
        <w:t xml:space="preserve"> </w:t>
      </w:r>
      <w:r w:rsidR="00F91F9A">
        <w:rPr>
          <w:rStyle w:val="FootnoteReference"/>
        </w:rPr>
        <w:footnoteReference w:id="69"/>
      </w:r>
      <w:r>
        <w:t>. The table show</w:t>
      </w:r>
      <w:r w:rsidR="00F923A5">
        <w:t>s</w:t>
      </w:r>
      <w:r>
        <w:t xml:space="preserve"> the number of </w:t>
      </w:r>
      <w:r w:rsidR="00FC29F4">
        <w:t xml:space="preserve">investigations, </w:t>
      </w:r>
      <w:r>
        <w:t>prosecutions and convictions for hate crimes</w:t>
      </w:r>
      <w:r w:rsidR="00F923A5">
        <w:t xml:space="preserve"> committed on the grounds of intolerance of sexual orientation and/or gender identity</w:t>
      </w:r>
      <w:r>
        <w:t>.</w:t>
      </w:r>
    </w:p>
    <w:tbl>
      <w:tblPr>
        <w:tblStyle w:val="TableGrid"/>
        <w:tblW w:w="0" w:type="auto"/>
        <w:tblInd w:w="851" w:type="dxa"/>
        <w:tblLook w:val="04A0" w:firstRow="1" w:lastRow="0" w:firstColumn="1" w:lastColumn="0" w:noHBand="0" w:noVBand="1"/>
      </w:tblPr>
      <w:tblGrid>
        <w:gridCol w:w="5098"/>
        <w:gridCol w:w="1380"/>
        <w:gridCol w:w="888"/>
        <w:gridCol w:w="799"/>
      </w:tblGrid>
      <w:tr w:rsidR="00F923A5" w14:paraId="1D266F65" w14:textId="77777777" w:rsidTr="0000683A">
        <w:tc>
          <w:tcPr>
            <w:tcW w:w="5098" w:type="dxa"/>
          </w:tcPr>
          <w:p w14:paraId="28BA79D2" w14:textId="77777777" w:rsidR="00F923A5" w:rsidRDefault="00F923A5" w:rsidP="001E1516">
            <w:pPr>
              <w:pStyle w:val="ListParagraph"/>
              <w:widowControl w:val="0"/>
              <w:numPr>
                <w:ilvl w:val="0"/>
                <w:numId w:val="0"/>
              </w:numPr>
            </w:pPr>
          </w:p>
        </w:tc>
        <w:tc>
          <w:tcPr>
            <w:tcW w:w="1380" w:type="dxa"/>
          </w:tcPr>
          <w:p w14:paraId="14E03E4A" w14:textId="2854B44C" w:rsidR="00F923A5" w:rsidRPr="0086535A" w:rsidRDefault="00F923A5" w:rsidP="001E1516">
            <w:pPr>
              <w:pStyle w:val="ListParagraph"/>
              <w:widowControl w:val="0"/>
              <w:numPr>
                <w:ilvl w:val="0"/>
                <w:numId w:val="0"/>
              </w:numPr>
              <w:rPr>
                <w:b/>
                <w:bCs/>
              </w:rPr>
            </w:pPr>
            <w:r w:rsidRPr="0086535A">
              <w:rPr>
                <w:b/>
                <w:bCs/>
              </w:rPr>
              <w:t>2020 (Oct to Dec)</w:t>
            </w:r>
          </w:p>
        </w:tc>
        <w:tc>
          <w:tcPr>
            <w:tcW w:w="888" w:type="dxa"/>
          </w:tcPr>
          <w:p w14:paraId="79C25DEB" w14:textId="35D371CD" w:rsidR="00F923A5" w:rsidRPr="0086535A" w:rsidRDefault="00F923A5" w:rsidP="001E1516">
            <w:pPr>
              <w:pStyle w:val="ListParagraph"/>
              <w:widowControl w:val="0"/>
              <w:numPr>
                <w:ilvl w:val="0"/>
                <w:numId w:val="0"/>
              </w:numPr>
              <w:rPr>
                <w:b/>
                <w:bCs/>
              </w:rPr>
            </w:pPr>
            <w:r w:rsidRPr="0086535A">
              <w:rPr>
                <w:b/>
                <w:bCs/>
              </w:rPr>
              <w:t>2021</w:t>
            </w:r>
          </w:p>
        </w:tc>
        <w:tc>
          <w:tcPr>
            <w:tcW w:w="799" w:type="dxa"/>
          </w:tcPr>
          <w:p w14:paraId="3099F3B0" w14:textId="3CC815BB" w:rsidR="00F923A5" w:rsidRPr="0086535A" w:rsidRDefault="00F923A5" w:rsidP="001E1516">
            <w:pPr>
              <w:pStyle w:val="ListParagraph"/>
              <w:widowControl w:val="0"/>
              <w:numPr>
                <w:ilvl w:val="0"/>
                <w:numId w:val="0"/>
              </w:numPr>
              <w:rPr>
                <w:b/>
                <w:bCs/>
              </w:rPr>
            </w:pPr>
            <w:r w:rsidRPr="0086535A">
              <w:rPr>
                <w:b/>
                <w:bCs/>
              </w:rPr>
              <w:t>2022</w:t>
            </w:r>
          </w:p>
        </w:tc>
      </w:tr>
      <w:tr w:rsidR="00FC29F4" w14:paraId="709D6358" w14:textId="77777777" w:rsidTr="0000683A">
        <w:tc>
          <w:tcPr>
            <w:tcW w:w="5098" w:type="dxa"/>
          </w:tcPr>
          <w:p w14:paraId="41D7FF09" w14:textId="6C9AD5DA" w:rsidR="00FC29F4" w:rsidRDefault="00FC29F4" w:rsidP="009A0112">
            <w:pPr>
              <w:pStyle w:val="ListParagraph"/>
              <w:widowControl w:val="0"/>
              <w:numPr>
                <w:ilvl w:val="0"/>
                <w:numId w:val="0"/>
              </w:numPr>
              <w:spacing w:after="0"/>
            </w:pPr>
            <w:r>
              <w:t xml:space="preserve">Investigations initiated into criminal cases </w:t>
            </w:r>
            <w:r w:rsidR="0080294F">
              <w:t>on the basis</w:t>
            </w:r>
            <w:r>
              <w:t xml:space="preserve"> of intolerance </w:t>
            </w:r>
            <w:r w:rsidR="0080294F">
              <w:t xml:space="preserve">on the grounds </w:t>
            </w:r>
            <w:r>
              <w:t>of SOGIE</w:t>
            </w:r>
          </w:p>
        </w:tc>
        <w:tc>
          <w:tcPr>
            <w:tcW w:w="1380" w:type="dxa"/>
          </w:tcPr>
          <w:p w14:paraId="165FC1CE" w14:textId="1D910077" w:rsidR="00FC29F4" w:rsidRDefault="00460A02" w:rsidP="009A0112">
            <w:pPr>
              <w:pStyle w:val="ListParagraph"/>
              <w:widowControl w:val="0"/>
              <w:numPr>
                <w:ilvl w:val="0"/>
                <w:numId w:val="0"/>
              </w:numPr>
              <w:spacing w:after="0"/>
            </w:pPr>
            <w:r>
              <w:t>13</w:t>
            </w:r>
          </w:p>
        </w:tc>
        <w:tc>
          <w:tcPr>
            <w:tcW w:w="888" w:type="dxa"/>
          </w:tcPr>
          <w:p w14:paraId="729AC4E3" w14:textId="524D86F2" w:rsidR="00FC29F4" w:rsidRDefault="00460A02" w:rsidP="009A0112">
            <w:pPr>
              <w:pStyle w:val="ListParagraph"/>
              <w:widowControl w:val="0"/>
              <w:numPr>
                <w:ilvl w:val="0"/>
                <w:numId w:val="0"/>
              </w:numPr>
              <w:spacing w:after="0"/>
            </w:pPr>
            <w:r>
              <w:t>106</w:t>
            </w:r>
          </w:p>
        </w:tc>
        <w:tc>
          <w:tcPr>
            <w:tcW w:w="799" w:type="dxa"/>
          </w:tcPr>
          <w:p w14:paraId="36803C7D" w14:textId="03F6E0B3" w:rsidR="00FC29F4" w:rsidRDefault="00FC29F4" w:rsidP="009A0112">
            <w:pPr>
              <w:pStyle w:val="ListParagraph"/>
              <w:widowControl w:val="0"/>
              <w:numPr>
                <w:ilvl w:val="0"/>
                <w:numId w:val="0"/>
              </w:numPr>
              <w:spacing w:after="0"/>
            </w:pPr>
            <w:r>
              <w:t>76</w:t>
            </w:r>
          </w:p>
        </w:tc>
      </w:tr>
      <w:tr w:rsidR="00F923A5" w14:paraId="1228AF05" w14:textId="77777777" w:rsidTr="0000683A">
        <w:tc>
          <w:tcPr>
            <w:tcW w:w="5098" w:type="dxa"/>
          </w:tcPr>
          <w:p w14:paraId="668C41F7" w14:textId="5ACC87C7" w:rsidR="00F923A5" w:rsidRDefault="00FC29F4" w:rsidP="009A0112">
            <w:pPr>
              <w:pStyle w:val="ListParagraph"/>
              <w:widowControl w:val="0"/>
              <w:numPr>
                <w:ilvl w:val="0"/>
                <w:numId w:val="0"/>
              </w:numPr>
              <w:spacing w:after="0"/>
            </w:pPr>
            <w:r>
              <w:t>C</w:t>
            </w:r>
            <w:r w:rsidR="00F923A5" w:rsidRPr="00F923A5">
              <w:t>riminal prosecutions launched in connection to crimes committed on</w:t>
            </w:r>
            <w:r w:rsidR="001F7DB5">
              <w:t xml:space="preserve"> the basis of intolerance on the</w:t>
            </w:r>
            <w:r w:rsidR="00F923A5" w:rsidRPr="00F923A5">
              <w:t xml:space="preserve"> grounds of</w:t>
            </w:r>
            <w:r>
              <w:t xml:space="preserve"> SOGIE</w:t>
            </w:r>
          </w:p>
        </w:tc>
        <w:tc>
          <w:tcPr>
            <w:tcW w:w="1380" w:type="dxa"/>
          </w:tcPr>
          <w:p w14:paraId="2DCB9D7D" w14:textId="1B3BE20F" w:rsidR="00F923A5" w:rsidRDefault="00460A02" w:rsidP="009A0112">
            <w:pPr>
              <w:pStyle w:val="ListParagraph"/>
              <w:widowControl w:val="0"/>
              <w:numPr>
                <w:ilvl w:val="0"/>
                <w:numId w:val="0"/>
              </w:numPr>
              <w:spacing w:after="0"/>
            </w:pPr>
            <w:r>
              <w:t>5</w:t>
            </w:r>
          </w:p>
        </w:tc>
        <w:tc>
          <w:tcPr>
            <w:tcW w:w="888" w:type="dxa"/>
          </w:tcPr>
          <w:p w14:paraId="77658871" w14:textId="60934D4C" w:rsidR="00F923A5" w:rsidRDefault="00460A02" w:rsidP="009A0112">
            <w:pPr>
              <w:pStyle w:val="ListParagraph"/>
              <w:widowControl w:val="0"/>
              <w:numPr>
                <w:ilvl w:val="0"/>
                <w:numId w:val="0"/>
              </w:numPr>
              <w:spacing w:after="0"/>
            </w:pPr>
            <w:r>
              <w:t>67</w:t>
            </w:r>
          </w:p>
        </w:tc>
        <w:tc>
          <w:tcPr>
            <w:tcW w:w="799" w:type="dxa"/>
          </w:tcPr>
          <w:p w14:paraId="0D30548F" w14:textId="1679FD69" w:rsidR="00F923A5" w:rsidRDefault="00460A02" w:rsidP="009A0112">
            <w:pPr>
              <w:pStyle w:val="ListParagraph"/>
              <w:widowControl w:val="0"/>
              <w:numPr>
                <w:ilvl w:val="0"/>
                <w:numId w:val="0"/>
              </w:numPr>
              <w:spacing w:after="0"/>
            </w:pPr>
            <w:r>
              <w:t>55</w:t>
            </w:r>
          </w:p>
        </w:tc>
      </w:tr>
      <w:tr w:rsidR="00F923A5" w14:paraId="56B09AF0" w14:textId="77777777" w:rsidTr="0000683A">
        <w:tc>
          <w:tcPr>
            <w:tcW w:w="5098" w:type="dxa"/>
          </w:tcPr>
          <w:p w14:paraId="3DCF07B7" w14:textId="303433CD" w:rsidR="00F923A5" w:rsidRDefault="00FC29F4" w:rsidP="009A0112">
            <w:pPr>
              <w:pStyle w:val="ListParagraph"/>
              <w:widowControl w:val="0"/>
              <w:numPr>
                <w:ilvl w:val="0"/>
                <w:numId w:val="0"/>
              </w:numPr>
              <w:spacing w:after="0"/>
            </w:pPr>
            <w:r>
              <w:t>P</w:t>
            </w:r>
            <w:r w:rsidRPr="00FC29F4">
              <w:t xml:space="preserve">ersons convicted </w:t>
            </w:r>
            <w:r w:rsidR="001F7DB5">
              <w:t>on the basis of intolerance on the</w:t>
            </w:r>
            <w:r w:rsidRPr="00FC29F4">
              <w:t xml:space="preserve"> grounds</w:t>
            </w:r>
            <w:r>
              <w:t xml:space="preserve"> of SOGIE</w:t>
            </w:r>
          </w:p>
        </w:tc>
        <w:tc>
          <w:tcPr>
            <w:tcW w:w="1380" w:type="dxa"/>
          </w:tcPr>
          <w:p w14:paraId="4A67DA76" w14:textId="4D124F60" w:rsidR="00F923A5" w:rsidRDefault="00460A02" w:rsidP="009A0112">
            <w:pPr>
              <w:pStyle w:val="ListParagraph"/>
              <w:widowControl w:val="0"/>
              <w:numPr>
                <w:ilvl w:val="0"/>
                <w:numId w:val="0"/>
              </w:numPr>
              <w:spacing w:after="0"/>
            </w:pPr>
            <w:r>
              <w:t>9</w:t>
            </w:r>
          </w:p>
        </w:tc>
        <w:tc>
          <w:tcPr>
            <w:tcW w:w="888" w:type="dxa"/>
          </w:tcPr>
          <w:p w14:paraId="0D34B8B0" w14:textId="0D4938BC" w:rsidR="00F923A5" w:rsidRDefault="00460A02" w:rsidP="009A0112">
            <w:pPr>
              <w:pStyle w:val="ListParagraph"/>
              <w:widowControl w:val="0"/>
              <w:numPr>
                <w:ilvl w:val="0"/>
                <w:numId w:val="0"/>
              </w:numPr>
              <w:spacing w:after="0"/>
            </w:pPr>
            <w:r>
              <w:t>20</w:t>
            </w:r>
          </w:p>
        </w:tc>
        <w:tc>
          <w:tcPr>
            <w:tcW w:w="799" w:type="dxa"/>
          </w:tcPr>
          <w:p w14:paraId="3A9DE6EB" w14:textId="3C96D596" w:rsidR="00F923A5" w:rsidRDefault="00460A02" w:rsidP="009A0112">
            <w:pPr>
              <w:pStyle w:val="ListParagraph"/>
              <w:widowControl w:val="0"/>
              <w:numPr>
                <w:ilvl w:val="0"/>
                <w:numId w:val="0"/>
              </w:numPr>
              <w:spacing w:after="0"/>
            </w:pPr>
            <w:r>
              <w:t>40</w:t>
            </w:r>
          </w:p>
        </w:tc>
      </w:tr>
    </w:tbl>
    <w:p w14:paraId="30B2DF45" w14:textId="6855C564" w:rsidR="00090C4D" w:rsidRPr="00981494" w:rsidRDefault="00090C4D" w:rsidP="009A0112">
      <w:pPr>
        <w:pStyle w:val="ListParagraph"/>
        <w:widowControl w:val="0"/>
        <w:spacing w:before="120"/>
      </w:pPr>
      <w:r>
        <w:t>ECOM</w:t>
      </w:r>
      <w:r w:rsidRPr="00981494">
        <w:t>, Equality Movement and Tbilisi Pride</w:t>
      </w:r>
      <w:r>
        <w:t xml:space="preserve"> 2022</w:t>
      </w:r>
      <w:r w:rsidRPr="00981494">
        <w:t xml:space="preserve"> report</w:t>
      </w:r>
      <w:r>
        <w:t xml:space="preserve"> </w:t>
      </w:r>
      <w:r w:rsidR="0086535A">
        <w:t>commented</w:t>
      </w:r>
      <w:r w:rsidRPr="00981494">
        <w:t xml:space="preserve"> that in 2021, ‘individual attacks were</w:t>
      </w:r>
      <w:r w:rsidR="0080294F">
        <w:t xml:space="preserve"> also</w:t>
      </w:r>
      <w:r w:rsidRPr="00981494">
        <w:t xml:space="preserve"> on the rise’</w:t>
      </w:r>
      <w:r w:rsidR="0086535A">
        <w:t xml:space="preserve">. </w:t>
      </w:r>
      <w:r w:rsidR="0086535A" w:rsidRPr="0086535A">
        <w:t xml:space="preserve">The source did not </w:t>
      </w:r>
      <w:r w:rsidR="0086535A">
        <w:t>quantify the number of attacks</w:t>
      </w:r>
      <w:r w:rsidR="0086535A" w:rsidRPr="0086535A">
        <w:t xml:space="preserve"> but provide</w:t>
      </w:r>
      <w:r w:rsidR="0086535A">
        <w:t>d</w:t>
      </w:r>
      <w:r w:rsidR="0086535A" w:rsidRPr="0086535A">
        <w:t xml:space="preserve"> examples of </w:t>
      </w:r>
      <w:r w:rsidR="0086535A">
        <w:t>incidents</w:t>
      </w:r>
      <w:r w:rsidR="0086535A" w:rsidRPr="0086535A">
        <w:t xml:space="preserve"> that took place </w:t>
      </w:r>
      <w:r w:rsidR="0086535A">
        <w:t>during</w:t>
      </w:r>
      <w:r w:rsidR="0086535A" w:rsidRPr="0086535A">
        <w:t xml:space="preserve"> 2021</w:t>
      </w:r>
      <w:r w:rsidRPr="00981494">
        <w:t>:</w:t>
      </w:r>
    </w:p>
    <w:p w14:paraId="7D78C8FA" w14:textId="77777777" w:rsidR="007F4254" w:rsidRDefault="00090C4D" w:rsidP="007F4254">
      <w:pPr>
        <w:widowControl w:val="0"/>
        <w:ind w:left="851"/>
      </w:pPr>
      <w:r w:rsidRPr="00981494">
        <w:lastRenderedPageBreak/>
        <w:t>‘[O]n April 30, a 17-year-old trans</w:t>
      </w:r>
      <w:r>
        <w:t>w</w:t>
      </w:r>
      <w:r w:rsidRPr="00981494">
        <w:t xml:space="preserve">oman was attacked by two unknown suspects. On May 1, two individuals were charged for this crime and were released by the court on relatively low bail given the nature of the violent crime. On October 31, a man entered a massage </w:t>
      </w:r>
      <w:proofErr w:type="spellStart"/>
      <w:r w:rsidRPr="00981494">
        <w:t>parlor</w:t>
      </w:r>
      <w:proofErr w:type="spellEnd"/>
      <w:r w:rsidRPr="00981494">
        <w:t xml:space="preserve"> in Tbilisi and attacked two transwomen with a knife, killing one and wounding another. The suspect was arrested and faced a charge of premeditated murder. The Prosecutor General’s Office said the suspect “wanted to kill transpeople on the grounds of intolerance of gender identity.” On April 20, a man attacked a lesbian couple in front of their child outside their home in Tbilisi. The attacker, a </w:t>
      </w:r>
      <w:proofErr w:type="spellStart"/>
      <w:r w:rsidRPr="00981494">
        <w:t>neighbor</w:t>
      </w:r>
      <w:proofErr w:type="spellEnd"/>
      <w:r w:rsidRPr="00981494">
        <w:t>, insulted them and demanded they move out of the building. Police arrested the man, who was released on bail on April 23.</w:t>
      </w:r>
      <w:r w:rsidR="0080294F">
        <w:t xml:space="preserve"> </w:t>
      </w:r>
      <w:r w:rsidR="0080294F" w:rsidRPr="0080294F">
        <w:t>Two gay men were also verbally assaulted and received death threats</w:t>
      </w:r>
      <w:r w:rsidR="0080294F">
        <w:t>…</w:t>
      </w:r>
      <w:r w:rsidRPr="00981494">
        <w:t>’</w:t>
      </w:r>
      <w:r w:rsidRPr="00981494">
        <w:rPr>
          <w:vertAlign w:val="superscript"/>
        </w:rPr>
        <w:footnoteReference w:id="70"/>
      </w:r>
      <w:r w:rsidRPr="00981494">
        <w:t xml:space="preserve"> (See </w:t>
      </w:r>
      <w:hyperlink w:anchor="_State_protection" w:history="1">
        <w:r w:rsidRPr="00981494">
          <w:rPr>
            <w:color w:val="0000FF" w:themeColor="hyperlink"/>
            <w:u w:val="single"/>
          </w:rPr>
          <w:t>State Protection</w:t>
        </w:r>
      </w:hyperlink>
      <w:r w:rsidRPr="00981494">
        <w:t>.)</w:t>
      </w:r>
    </w:p>
    <w:p w14:paraId="0906D7F8" w14:textId="77777777" w:rsidR="007F4254" w:rsidRDefault="00D2328B" w:rsidP="00073060">
      <w:pPr>
        <w:pStyle w:val="ListParagraph"/>
        <w:widowControl w:val="0"/>
      </w:pPr>
      <w:r w:rsidRPr="003A17E0">
        <w:t>In July 2022, following a visit to Georgia, the Commissioner for Human Rights of the Council of Europe reported:</w:t>
      </w:r>
      <w:r>
        <w:t xml:space="preserve"> </w:t>
      </w:r>
    </w:p>
    <w:p w14:paraId="2E85D1E5" w14:textId="4D31C2B1" w:rsidR="00D2328B" w:rsidRDefault="00D2328B" w:rsidP="007F4254">
      <w:pPr>
        <w:pStyle w:val="ListParagraph"/>
        <w:widowControl w:val="0"/>
        <w:numPr>
          <w:ilvl w:val="0"/>
          <w:numId w:val="0"/>
        </w:numPr>
        <w:ind w:left="851"/>
      </w:pPr>
      <w:r>
        <w:t>‘</w:t>
      </w:r>
      <w:r w:rsidRPr="003A17E0">
        <w:t>According to information provided to the Commissioner by civil society organisations, there is a significant gap between the number of hate crimes and incidents documented by the Prosecutor’s Office and the Ministry of Internal Affairs and the number of cases documented by the organisations advocating for the rights of LGBTI people</w:t>
      </w:r>
      <w:r>
        <w:t xml:space="preserve">… </w:t>
      </w:r>
      <w:r w:rsidRPr="003A17E0">
        <w:t>In 2020, a memorandum was signed between the Ministry of Internal Affairs, the Prosecutor’s Office, the National Statistics Office, and the Supreme Court of Georgia to strengthen co-operation between the agencies and to ensure the annual publication of combined statistical data on hate crimes.</w:t>
      </w:r>
      <w:r>
        <w:t>’</w:t>
      </w:r>
      <w:r>
        <w:rPr>
          <w:rStyle w:val="FootnoteReference"/>
        </w:rPr>
        <w:footnoteReference w:id="71"/>
      </w:r>
      <w:r>
        <w:t xml:space="preserve"> The same report noted that, ‘</w:t>
      </w:r>
      <w:r w:rsidRPr="00BA75C7">
        <w:t>One of the challenges identified in relation to the investigation and prosecution of hate crimes in Georgia relates to the failure by the authorities to identify and correctly qualify hate motives.</w:t>
      </w:r>
      <w:r>
        <w:t>’</w:t>
      </w:r>
      <w:r>
        <w:rPr>
          <w:rStyle w:val="FootnoteReference"/>
        </w:rPr>
        <w:footnoteReference w:id="72"/>
      </w:r>
      <w:r w:rsidRPr="00BA75C7">
        <w:t xml:space="preserve"> </w:t>
      </w:r>
    </w:p>
    <w:p w14:paraId="5B761EFC" w14:textId="16E07D95" w:rsidR="00090C4D" w:rsidRPr="00090C4D" w:rsidRDefault="00000000" w:rsidP="001E1516">
      <w:pPr>
        <w:widowControl w:val="0"/>
        <w:ind w:left="851"/>
        <w:jc w:val="right"/>
      </w:pPr>
      <w:hyperlink w:anchor="contents" w:history="1">
        <w:r w:rsidR="00090C4D" w:rsidRPr="00060EE5">
          <w:rPr>
            <w:rStyle w:val="Hyperlink"/>
            <w:szCs w:val="24"/>
          </w:rPr>
          <w:t>Back to Contents</w:t>
        </w:r>
      </w:hyperlink>
    </w:p>
    <w:p w14:paraId="6BB05648" w14:textId="7EA3CFF8" w:rsidR="00E77E7B" w:rsidRDefault="00060EE5" w:rsidP="001E1516">
      <w:pPr>
        <w:pStyle w:val="Heading3"/>
        <w:keepNext w:val="0"/>
        <w:keepLines w:val="0"/>
        <w:widowControl w:val="0"/>
      </w:pPr>
      <w:bookmarkStart w:id="123" w:name="_Ref145519071"/>
      <w:bookmarkStart w:id="124" w:name="_Toc146698554"/>
      <w:bookmarkStart w:id="125" w:name="_Toc178601189"/>
      <w:r>
        <w:t>The Public Defender (Ombudsman)</w:t>
      </w:r>
      <w:bookmarkEnd w:id="123"/>
      <w:bookmarkEnd w:id="124"/>
      <w:bookmarkEnd w:id="125"/>
    </w:p>
    <w:p w14:paraId="6BB8DD08" w14:textId="77777777" w:rsidR="00D92346" w:rsidRDefault="00D92346" w:rsidP="001E1516">
      <w:pPr>
        <w:pStyle w:val="ListParagraph"/>
        <w:widowControl w:val="0"/>
      </w:pPr>
      <w:r>
        <w:t>A</w:t>
      </w:r>
      <w:r w:rsidR="00524721">
        <w:t xml:space="preserve">n undated ‘Guide’ </w:t>
      </w:r>
      <w:r>
        <w:t>on the PDO’s</w:t>
      </w:r>
      <w:r w:rsidR="00524721">
        <w:t xml:space="preserve"> we</w:t>
      </w:r>
      <w:r w:rsidR="00D5423A">
        <w:t>bsite</w:t>
      </w:r>
      <w:r>
        <w:t xml:space="preserve"> stated</w:t>
      </w:r>
      <w:r w:rsidR="00A441C4">
        <w:t>:</w:t>
      </w:r>
    </w:p>
    <w:p w14:paraId="27A4415B" w14:textId="5EA7F041" w:rsidR="00967F52" w:rsidRDefault="00A441C4" w:rsidP="001E1516">
      <w:pPr>
        <w:pStyle w:val="ListParagraph"/>
        <w:widowControl w:val="0"/>
        <w:numPr>
          <w:ilvl w:val="0"/>
          <w:numId w:val="0"/>
        </w:numPr>
        <w:ind w:left="851"/>
      </w:pPr>
      <w:r>
        <w:t>‘T</w:t>
      </w:r>
      <w:r w:rsidR="00524721">
        <w:t>he</w:t>
      </w:r>
      <w:r>
        <w:t xml:space="preserve"> Public Defender (ombudsman)</w:t>
      </w:r>
      <w:r w:rsidR="00BE2C7E">
        <w:t xml:space="preserve"> is a constitutional </w:t>
      </w:r>
      <w:proofErr w:type="spellStart"/>
      <w:r w:rsidR="00BE2C7E">
        <w:t>institiution</w:t>
      </w:r>
      <w:proofErr w:type="spellEnd"/>
      <w:r w:rsidR="00546C95">
        <w:t>, which supervises protection of human rights and freedoms within the terri</w:t>
      </w:r>
      <w:r w:rsidR="002E325D">
        <w:t>tory of Georgia, reveals the facts of violations, and facilitates res</w:t>
      </w:r>
      <w:r w:rsidR="004842BF">
        <w:t>toration of violated rights</w:t>
      </w:r>
      <w:r w:rsidR="001A232D">
        <w:t>…</w:t>
      </w:r>
      <w:bookmarkStart w:id="126" w:name="_Hlk145518871"/>
      <w:r w:rsidR="001A232D">
        <w:t xml:space="preserve">You can apply for </w:t>
      </w:r>
      <w:r w:rsidR="004A32ED" w:rsidRPr="004A32ED">
        <w:t xml:space="preserve">redress to the Public Defender when your (or someone else's) rights and freedoms are in the process of being or have been violated </w:t>
      </w:r>
      <w:bookmarkEnd w:id="126"/>
      <w:r w:rsidR="004A32ED" w:rsidRPr="004A32ED">
        <w:t>under the Georgian Constitution and/or law and/or international treaties and covenants to which Georgia is the party.</w:t>
      </w:r>
      <w:r w:rsidR="004A32ED">
        <w:t>’</w:t>
      </w:r>
      <w:r w:rsidR="00887E1E">
        <w:rPr>
          <w:rStyle w:val="FootnoteReference"/>
        </w:rPr>
        <w:footnoteReference w:id="73"/>
      </w:r>
    </w:p>
    <w:p w14:paraId="5F733D64" w14:textId="5717BB01" w:rsidR="00836489" w:rsidRDefault="001D38D4" w:rsidP="001E1516">
      <w:pPr>
        <w:pStyle w:val="ListParagraph"/>
        <w:widowControl w:val="0"/>
        <w:rPr>
          <w:szCs w:val="24"/>
        </w:rPr>
      </w:pPr>
      <w:r>
        <w:t xml:space="preserve">The PDO </w:t>
      </w:r>
      <w:r w:rsidR="00BD7BEA">
        <w:t>note</w:t>
      </w:r>
      <w:r w:rsidR="00D92346">
        <w:t>d</w:t>
      </w:r>
      <w:r w:rsidR="00BD7BEA">
        <w:t xml:space="preserve"> that</w:t>
      </w:r>
      <w:r w:rsidR="00062745">
        <w:t xml:space="preserve"> if </w:t>
      </w:r>
      <w:r w:rsidR="000C3EB6">
        <w:t>an individual’s rights have been violated</w:t>
      </w:r>
      <w:r w:rsidR="00F43358">
        <w:t xml:space="preserve"> </w:t>
      </w:r>
      <w:r w:rsidR="00DE6BAB">
        <w:t>‘..the Public Defender can</w:t>
      </w:r>
      <w:r w:rsidR="007B0E01">
        <w:t>:</w:t>
      </w:r>
    </w:p>
    <w:p w14:paraId="46EF3602" w14:textId="0F3492DA" w:rsidR="00836489" w:rsidRDefault="0086535A" w:rsidP="001E1516">
      <w:pPr>
        <w:pStyle w:val="Bulletpoint"/>
        <w:widowControl w:val="0"/>
        <w:rPr>
          <w:rStyle w:val="BulletpointChar"/>
        </w:rPr>
      </w:pPr>
      <w:r>
        <w:rPr>
          <w:rStyle w:val="BulletpointChar"/>
        </w:rPr>
        <w:t>‘</w:t>
      </w:r>
      <w:r w:rsidR="007B0E01" w:rsidRPr="00836489">
        <w:rPr>
          <w:rStyle w:val="BulletpointChar"/>
        </w:rPr>
        <w:t>Send recommendations to the state body, official or legal person, whose actions violated your rights;</w:t>
      </w:r>
    </w:p>
    <w:p w14:paraId="46455179" w14:textId="3C75AA21" w:rsidR="00836489" w:rsidRDefault="0086535A" w:rsidP="001E1516">
      <w:pPr>
        <w:pStyle w:val="Bulletpoint"/>
        <w:widowControl w:val="0"/>
        <w:rPr>
          <w:rStyle w:val="BulletpointChar"/>
        </w:rPr>
      </w:pPr>
      <w:r>
        <w:rPr>
          <w:rStyle w:val="BulletpointChar"/>
        </w:rPr>
        <w:t>‘</w:t>
      </w:r>
      <w:r w:rsidR="007B0E01" w:rsidRPr="00836489">
        <w:rPr>
          <w:rStyle w:val="BulletpointChar"/>
        </w:rPr>
        <w:t xml:space="preserve">If the Public Defender feels a crime has been committed, submit </w:t>
      </w:r>
      <w:r w:rsidR="007B0E01" w:rsidRPr="00836489">
        <w:rPr>
          <w:rStyle w:val="BulletpointChar"/>
        </w:rPr>
        <w:lastRenderedPageBreak/>
        <w:t>materials possessed by him to the investigating unit;</w:t>
      </w:r>
    </w:p>
    <w:p w14:paraId="5787A6A1" w14:textId="6B65C140" w:rsidR="00836489" w:rsidRDefault="0086535A" w:rsidP="001E1516">
      <w:pPr>
        <w:pStyle w:val="Bulletpoint"/>
        <w:widowControl w:val="0"/>
        <w:rPr>
          <w:rStyle w:val="BulletpointChar"/>
        </w:rPr>
      </w:pPr>
      <w:r>
        <w:rPr>
          <w:rStyle w:val="BulletpointChar"/>
        </w:rPr>
        <w:t>‘</w:t>
      </w:r>
      <w:r w:rsidR="007B0E01" w:rsidRPr="00836489">
        <w:rPr>
          <w:rStyle w:val="BulletpointChar"/>
        </w:rPr>
        <w:t>Submit proposals to relevant agencies regarding disciplinary or administrative procedures of its employees whose action(s) violated your rights and freedoms;</w:t>
      </w:r>
    </w:p>
    <w:p w14:paraId="40B8A1C2" w14:textId="29658361" w:rsidR="00836489" w:rsidRDefault="0086535A" w:rsidP="001E1516">
      <w:pPr>
        <w:pStyle w:val="Bulletpoint"/>
        <w:widowControl w:val="0"/>
        <w:rPr>
          <w:rStyle w:val="BulletpointChar"/>
        </w:rPr>
      </w:pPr>
      <w:r>
        <w:rPr>
          <w:rStyle w:val="BulletpointChar"/>
        </w:rPr>
        <w:t>‘</w:t>
      </w:r>
      <w:r w:rsidR="007B0E01" w:rsidRPr="00836489">
        <w:rPr>
          <w:rStyle w:val="BulletpointChar"/>
        </w:rPr>
        <w:t>Inform mass media about violations of human rights and freedoms;</w:t>
      </w:r>
    </w:p>
    <w:p w14:paraId="6C633465" w14:textId="1E0E2F58" w:rsidR="007C2FE7" w:rsidRPr="00836489" w:rsidRDefault="0086535A" w:rsidP="001E1516">
      <w:pPr>
        <w:pStyle w:val="Bulletpoint"/>
        <w:widowControl w:val="0"/>
        <w:rPr>
          <w:szCs w:val="24"/>
        </w:rPr>
      </w:pPr>
      <w:r>
        <w:rPr>
          <w:rStyle w:val="BulletpointChar"/>
        </w:rPr>
        <w:t>‘</w:t>
      </w:r>
      <w:r w:rsidR="007B0E01" w:rsidRPr="00836489">
        <w:rPr>
          <w:rStyle w:val="BulletpointChar"/>
        </w:rPr>
        <w:t>Publish information on violations of human rights in special reports and annual reports.</w:t>
      </w:r>
      <w:r w:rsidR="007B0E01" w:rsidRPr="00836489">
        <w:rPr>
          <w:szCs w:val="24"/>
          <w:bdr w:val="none" w:sz="0" w:space="0" w:color="auto" w:frame="1"/>
        </w:rPr>
        <w:t>’</w:t>
      </w:r>
      <w:r w:rsidR="00B2281F">
        <w:rPr>
          <w:rStyle w:val="FootnoteReference"/>
        </w:rPr>
        <w:footnoteReference w:id="74"/>
      </w:r>
    </w:p>
    <w:p w14:paraId="63A36B9A" w14:textId="487DA775" w:rsidR="00B974B9" w:rsidRDefault="00B974B9" w:rsidP="001E1516">
      <w:pPr>
        <w:pStyle w:val="ListParagraph"/>
        <w:widowControl w:val="0"/>
      </w:pPr>
      <w:r w:rsidRPr="00B974B9">
        <w:t>The PDO 2022 special report</w:t>
      </w:r>
      <w:r>
        <w:t xml:space="preserve"> provided details of</w:t>
      </w:r>
      <w:r w:rsidR="00D92346">
        <w:t xml:space="preserve"> the Ombudsman’s</w:t>
      </w:r>
      <w:r>
        <w:t xml:space="preserve"> investigations into </w:t>
      </w:r>
      <w:r w:rsidR="00D92346">
        <w:t xml:space="preserve">individual </w:t>
      </w:r>
      <w:r>
        <w:t xml:space="preserve">cases of alleged discrimination </w:t>
      </w:r>
      <w:r w:rsidRPr="00B974B9">
        <w:t>on the grounds of sexual orientation and gender identity</w:t>
      </w:r>
      <w:r w:rsidR="00AB0408">
        <w:t>:</w:t>
      </w:r>
    </w:p>
    <w:p w14:paraId="7AB7D5E7" w14:textId="56BD35A5" w:rsidR="00B974B9" w:rsidRDefault="00B974B9" w:rsidP="001E1516">
      <w:pPr>
        <w:pStyle w:val="Bulletpoint"/>
        <w:widowControl w:val="0"/>
      </w:pPr>
      <w:r>
        <w:t xml:space="preserve">In </w:t>
      </w:r>
      <w:r w:rsidRPr="00B974B9">
        <w:t xml:space="preserve">2022, </w:t>
      </w:r>
      <w:bookmarkStart w:id="127" w:name="_Hlk145438457"/>
      <w:r w:rsidRPr="00B974B9">
        <w:t>the Public Defender examined</w:t>
      </w:r>
      <w:r w:rsidR="00836489">
        <w:t xml:space="preserve"> a total of</w:t>
      </w:r>
      <w:r w:rsidRPr="00B974B9">
        <w:t xml:space="preserve"> 153 </w:t>
      </w:r>
      <w:r w:rsidR="00836489">
        <w:t xml:space="preserve">individual </w:t>
      </w:r>
      <w:r w:rsidRPr="00B974B9">
        <w:t>cases of alleged discrimination, of which 11%</w:t>
      </w:r>
      <w:r w:rsidR="00836489">
        <w:t xml:space="preserve"> were linked to SOGIE</w:t>
      </w:r>
      <w:bookmarkEnd w:id="127"/>
    </w:p>
    <w:p w14:paraId="4C323AD8" w14:textId="1D4F19B0" w:rsidR="00836489" w:rsidRDefault="00836489" w:rsidP="001E1516">
      <w:pPr>
        <w:pStyle w:val="Bulletpoint"/>
        <w:widowControl w:val="0"/>
      </w:pPr>
      <w:r>
        <w:t xml:space="preserve">In 2021, </w:t>
      </w:r>
      <w:r w:rsidRPr="00836489">
        <w:t>the Public Defender examined a total of 1</w:t>
      </w:r>
      <w:r>
        <w:t>61</w:t>
      </w:r>
      <w:r w:rsidRPr="00836489">
        <w:t xml:space="preserve"> </w:t>
      </w:r>
      <w:r>
        <w:t xml:space="preserve">individual </w:t>
      </w:r>
      <w:r w:rsidRPr="00836489">
        <w:t xml:space="preserve">cases of alleged discrimination, of which </w:t>
      </w:r>
      <w:r>
        <w:t>7</w:t>
      </w:r>
      <w:r w:rsidRPr="00836489">
        <w:t>% were linked to SOGIE</w:t>
      </w:r>
      <w:r>
        <w:rPr>
          <w:rStyle w:val="FootnoteReference"/>
        </w:rPr>
        <w:footnoteReference w:id="75"/>
      </w:r>
    </w:p>
    <w:p w14:paraId="2E74EB8B" w14:textId="4DB7965E" w:rsidR="00836489" w:rsidRPr="00E77E7B" w:rsidRDefault="00836489" w:rsidP="001E1516">
      <w:pPr>
        <w:pStyle w:val="Bulletpoint"/>
        <w:widowControl w:val="0"/>
        <w:numPr>
          <w:ilvl w:val="0"/>
          <w:numId w:val="0"/>
        </w:numPr>
        <w:ind w:left="851"/>
      </w:pPr>
      <w:r>
        <w:t>The PDO provided no information on the outcomes of the investigations.</w:t>
      </w:r>
    </w:p>
    <w:bookmarkStart w:id="128" w:name="_Hlk145321613"/>
    <w:p w14:paraId="2ED41C0A" w14:textId="0CA015B1" w:rsidR="00981494" w:rsidRDefault="002F251D" w:rsidP="001E1516">
      <w:pPr>
        <w:widowControl w:val="0"/>
        <w:jc w:val="right"/>
        <w:rPr>
          <w:color w:val="0000FF" w:themeColor="hyperlink"/>
          <w:szCs w:val="24"/>
          <w:u w:val="single"/>
        </w:rPr>
      </w:pPr>
      <w:r>
        <w:fldChar w:fldCharType="begin"/>
      </w:r>
      <w:r>
        <w:instrText xml:space="preserve"> HYPERLINK \l "contents" </w:instrText>
      </w:r>
      <w:r>
        <w:fldChar w:fldCharType="separate"/>
      </w:r>
      <w:r w:rsidR="00981494" w:rsidRPr="00981494">
        <w:rPr>
          <w:color w:val="0000FF" w:themeColor="hyperlink"/>
          <w:szCs w:val="24"/>
          <w:u w:val="single"/>
        </w:rPr>
        <w:t>Back to Contents</w:t>
      </w:r>
      <w:r>
        <w:rPr>
          <w:color w:val="0000FF" w:themeColor="hyperlink"/>
          <w:szCs w:val="24"/>
          <w:u w:val="single"/>
        </w:rPr>
        <w:fldChar w:fldCharType="end"/>
      </w:r>
      <w:bookmarkEnd w:id="128"/>
    </w:p>
    <w:p w14:paraId="6F4EEEEA" w14:textId="2EE6D765" w:rsidR="00A048AA" w:rsidRDefault="00A048AA" w:rsidP="00A048AA">
      <w:pPr>
        <w:pStyle w:val="Heading3"/>
      </w:pPr>
      <w:bookmarkStart w:id="129" w:name="_Toc178601190"/>
      <w:r>
        <w:t>LGBT</w:t>
      </w:r>
      <w:r w:rsidR="006A118E">
        <w:t>I</w:t>
      </w:r>
      <w:r>
        <w:t xml:space="preserve"> </w:t>
      </w:r>
      <w:r w:rsidR="006A118E">
        <w:t>persons</w:t>
      </w:r>
      <w:r>
        <w:t xml:space="preserve"> in detention</w:t>
      </w:r>
      <w:bookmarkEnd w:id="129"/>
    </w:p>
    <w:p w14:paraId="09BD92F2" w14:textId="47F67255" w:rsidR="00CF0E77" w:rsidRDefault="00A048AA" w:rsidP="00A048AA">
      <w:pPr>
        <w:pStyle w:val="ListParagraph"/>
        <w:widowControl w:val="0"/>
      </w:pPr>
      <w:r w:rsidRPr="00981494">
        <w:t>ECOM</w:t>
      </w:r>
      <w:r w:rsidR="00A969E9">
        <w:t>,</w:t>
      </w:r>
      <w:r w:rsidRPr="00981494">
        <w:t xml:space="preserve"> Equality Movement and Tbilisi Pride</w:t>
      </w:r>
      <w:r>
        <w:t xml:space="preserve"> 2022 ‘</w:t>
      </w:r>
      <w:r w:rsidRPr="00981494">
        <w:t xml:space="preserve">alternative </w:t>
      </w:r>
      <w:r>
        <w:t xml:space="preserve">report’ stated: </w:t>
      </w:r>
    </w:p>
    <w:p w14:paraId="142FDFEA" w14:textId="77777777" w:rsidR="00CF0E77" w:rsidRDefault="00A048AA" w:rsidP="00CF0E77">
      <w:pPr>
        <w:pStyle w:val="ListParagraph"/>
        <w:widowControl w:val="0"/>
        <w:numPr>
          <w:ilvl w:val="0"/>
          <w:numId w:val="0"/>
        </w:numPr>
        <w:ind w:left="851"/>
      </w:pPr>
      <w:r>
        <w:t>‘</w:t>
      </w:r>
      <w:r w:rsidRPr="004D7282">
        <w:t>Prison conditions for LGBT+ individuals are extremely precarious, affecting the basic rights of the detainees and those of their visitors. GBT prisoners report that they experience discrimination and violence in prison. Prison administrators separate all GBT prisoners from other prisoners. Prisoners state that the administration forces them to wear armbands to identify themselves</w:t>
      </w:r>
      <w:r>
        <w:t xml:space="preserve">… </w:t>
      </w:r>
      <w:r w:rsidRPr="004D7282">
        <w:t>To protect themselves while in detention, most would identify as heterosexuals.</w:t>
      </w:r>
      <w:r>
        <w:t>’</w:t>
      </w:r>
      <w:r>
        <w:rPr>
          <w:rStyle w:val="FootnoteReference"/>
        </w:rPr>
        <w:footnoteReference w:id="76"/>
      </w:r>
      <w:r w:rsidRPr="004D7282">
        <w:t xml:space="preserve"> </w:t>
      </w:r>
    </w:p>
    <w:p w14:paraId="4C5F3C37" w14:textId="28EFE4D9" w:rsidR="00A048AA" w:rsidRPr="00E77E7B" w:rsidRDefault="00A048AA" w:rsidP="00CF0E77">
      <w:pPr>
        <w:pStyle w:val="ListParagraph"/>
        <w:widowControl w:val="0"/>
      </w:pPr>
      <w:r>
        <w:t>Penal Reform International published a blog in 2020, which stated: ‘</w:t>
      </w:r>
      <w:r w:rsidRPr="00C01BDE">
        <w:t>On a daily basis, under such circumstances, belonging to a sexual minority in Georgian prisons is often linked to abuse and humiliation, physical and sexual violence, and fears that disclosure would have more painful consequences.’</w:t>
      </w:r>
      <w:r>
        <w:rPr>
          <w:rStyle w:val="FootnoteReference"/>
          <w:rFonts w:ascii="Helvetica Neue" w:hAnsi="Helvetica Neue"/>
          <w:color w:val="444444"/>
          <w:shd w:val="clear" w:color="auto" w:fill="FFFFFF"/>
        </w:rPr>
        <w:footnoteReference w:id="77"/>
      </w:r>
      <w:r>
        <w:t xml:space="preserve"> </w:t>
      </w:r>
    </w:p>
    <w:p w14:paraId="00EF16EB" w14:textId="0D0D6FC4" w:rsidR="00A048AA" w:rsidRDefault="00000000" w:rsidP="00A048AA">
      <w:pPr>
        <w:widowControl w:val="0"/>
        <w:jc w:val="right"/>
        <w:rPr>
          <w:color w:val="0000FF" w:themeColor="hyperlink"/>
          <w:szCs w:val="24"/>
          <w:u w:val="single"/>
        </w:rPr>
      </w:pPr>
      <w:hyperlink w:anchor="contents" w:history="1">
        <w:r w:rsidR="00A048AA" w:rsidRPr="00981494">
          <w:rPr>
            <w:color w:val="0000FF" w:themeColor="hyperlink"/>
            <w:szCs w:val="24"/>
            <w:u w:val="single"/>
          </w:rPr>
          <w:t>Back to Contents</w:t>
        </w:r>
      </w:hyperlink>
    </w:p>
    <w:p w14:paraId="746CD60E" w14:textId="11B00915" w:rsidR="00A77927" w:rsidRPr="00A77927" w:rsidRDefault="00A77927" w:rsidP="001E1516">
      <w:pPr>
        <w:pStyle w:val="Sectionupdate"/>
        <w:widowControl w:val="0"/>
      </w:pPr>
      <w:r w:rsidRPr="00A77927">
        <w:t>Section updated: 19 September 2023</w:t>
      </w:r>
    </w:p>
    <w:p w14:paraId="50FAED8D" w14:textId="42C47CF4" w:rsidR="00981494" w:rsidRPr="005A32CF" w:rsidRDefault="00981494" w:rsidP="001E1516">
      <w:pPr>
        <w:pStyle w:val="Heading2"/>
        <w:keepNext w:val="0"/>
        <w:keepLines w:val="0"/>
        <w:widowControl w:val="0"/>
      </w:pPr>
      <w:bookmarkStart w:id="130" w:name="_Freedom_of_assembly"/>
      <w:bookmarkStart w:id="131" w:name="_Societal_attitudes"/>
      <w:bookmarkStart w:id="132" w:name="_Toc138175667"/>
      <w:bookmarkStart w:id="133" w:name="_Toc141193630"/>
      <w:bookmarkStart w:id="134" w:name="_Ref145520052"/>
      <w:bookmarkStart w:id="135" w:name="_Ref145526388"/>
      <w:bookmarkStart w:id="136" w:name="_Toc146698555"/>
      <w:bookmarkStart w:id="137" w:name="_Toc178601191"/>
      <w:bookmarkEnd w:id="130"/>
      <w:bookmarkEnd w:id="131"/>
      <w:r w:rsidRPr="00981494">
        <w:t>Societal attitudes</w:t>
      </w:r>
      <w:bookmarkStart w:id="138" w:name="_Violence"/>
      <w:bookmarkStart w:id="139" w:name="_Public_opinion"/>
      <w:bookmarkEnd w:id="132"/>
      <w:bookmarkEnd w:id="133"/>
      <w:bookmarkEnd w:id="134"/>
      <w:bookmarkEnd w:id="135"/>
      <w:bookmarkEnd w:id="136"/>
      <w:bookmarkEnd w:id="137"/>
      <w:bookmarkEnd w:id="138"/>
      <w:bookmarkEnd w:id="139"/>
    </w:p>
    <w:p w14:paraId="4EAC895E" w14:textId="77777777" w:rsidR="006C0EFF" w:rsidRDefault="005C0843" w:rsidP="005C0843">
      <w:pPr>
        <w:pStyle w:val="ListParagraph"/>
        <w:widowControl w:val="0"/>
      </w:pPr>
      <w:r>
        <w:t>In July 2022, following a visit to Georgia, the Commissioner for Human Rights of the Council of Europe reported that:</w:t>
      </w:r>
    </w:p>
    <w:p w14:paraId="62E4472E" w14:textId="41860CF9" w:rsidR="005C0843" w:rsidRDefault="005C0843" w:rsidP="006C0EFF">
      <w:pPr>
        <w:pStyle w:val="ListParagraph"/>
        <w:widowControl w:val="0"/>
        <w:numPr>
          <w:ilvl w:val="0"/>
          <w:numId w:val="0"/>
        </w:numPr>
        <w:ind w:left="851"/>
      </w:pPr>
      <w:r>
        <w:t xml:space="preserve">‘There is a persisting stigma among Georgian society associated with LGBTI people that is closely associated with deeply rooted perceptions about the need to maintain “traditional” values and family units. As noted in the 2019 </w:t>
      </w:r>
      <w:r>
        <w:lastRenderedPageBreak/>
        <w:t>report of the IE SOGI, there remains a pervasive attitude in Georgian society that being LGBTI is “sinful, shameful, or pathologic”. These perceptions, as noted above, are fuelled and reinforced by members of far-right groups, some religious leaders, some politicians and some media outlets. On a positive note, a study commissioned by the Council of Europe indicated a change in attitudes and a growing recognition among Georgian society of the importance of diversity and of protecting the rights of minority communities, as well as an increased level of awareness of the problems which minorities, including sexual minorities, face.’</w:t>
      </w:r>
      <w:r>
        <w:rPr>
          <w:rStyle w:val="FootnoteReference"/>
        </w:rPr>
        <w:footnoteReference w:id="78"/>
      </w:r>
    </w:p>
    <w:p w14:paraId="2D1652AB" w14:textId="2A32333C" w:rsidR="009B4BD2" w:rsidRPr="00981494" w:rsidRDefault="005B03C7" w:rsidP="003E3A33">
      <w:pPr>
        <w:pStyle w:val="ListParagraph"/>
        <w:widowControl w:val="0"/>
      </w:pPr>
      <w:r>
        <w:t>T</w:t>
      </w:r>
      <w:r w:rsidRPr="005B03C7">
        <w:t>he online current affairs magazine, Foreign Policy, in an article</w:t>
      </w:r>
      <w:r w:rsidR="009B4BD2">
        <w:t xml:space="preserve"> dated 7 July 2021 </w:t>
      </w:r>
      <w:r w:rsidR="009B4BD2" w:rsidRPr="00981494">
        <w:t>noted</w:t>
      </w:r>
      <w:r w:rsidR="003E3A33">
        <w:t xml:space="preserve"> </w:t>
      </w:r>
      <w:r w:rsidR="009B4BD2" w:rsidRPr="00981494">
        <w:t>‘As in many countries in Eastern Europe and Central Asia, a broader tug of war over the country’s direction has coalesced around the issue of LGBT rights. Conservative groups, including the Georgian Orthodox Church, which is closely enmeshed with its Russian counterpart, have styled themselves as defenders of traditional values and are staunchly opposed to Georgia’s long-standing ambitions to join the European Union and NATO.’</w:t>
      </w:r>
      <w:r w:rsidR="009B4BD2" w:rsidRPr="00981494">
        <w:rPr>
          <w:vertAlign w:val="superscript"/>
        </w:rPr>
        <w:footnoteReference w:id="79"/>
      </w:r>
    </w:p>
    <w:p w14:paraId="6945233F" w14:textId="47B66382" w:rsidR="009B4BD2" w:rsidRDefault="009B4BD2" w:rsidP="0000683A">
      <w:pPr>
        <w:pStyle w:val="ListParagraph"/>
        <w:widowControl w:val="0"/>
      </w:pPr>
      <w:r w:rsidRPr="00981494">
        <w:t xml:space="preserve">The Foreign Policy article reported that Natalia </w:t>
      </w:r>
      <w:proofErr w:type="spellStart"/>
      <w:r w:rsidRPr="00981494">
        <w:t>Antelava</w:t>
      </w:r>
      <w:proofErr w:type="spellEnd"/>
      <w:r w:rsidRPr="00981494">
        <w:t>, editor-in-chief of privately funded Georgian news site Coda Story – which it stated had ‘reported extensively on the geopolitics of LGBT rights in the region’ – noted that ‘around 10 years ago, a range of ultraconservative groups began to use the phrase “LGBT” to describe anyone with liberal or pro-Western values.’</w:t>
      </w:r>
      <w:r w:rsidR="0000683A">
        <w:t xml:space="preserve"> </w:t>
      </w:r>
      <w:r w:rsidR="00E4723D">
        <w:t>The article</w:t>
      </w:r>
      <w:r w:rsidRPr="00981494">
        <w:t xml:space="preserve"> quoted </w:t>
      </w:r>
      <w:proofErr w:type="spellStart"/>
      <w:r w:rsidRPr="00981494">
        <w:t>Antelava</w:t>
      </w:r>
      <w:proofErr w:type="spellEnd"/>
      <w:r w:rsidRPr="00981494">
        <w:t xml:space="preserve"> as saying, ‘“They were just throwing that word at anyone who had liberal values.”’</w:t>
      </w:r>
      <w:r w:rsidRPr="00981494">
        <w:rPr>
          <w:vertAlign w:val="superscript"/>
        </w:rPr>
        <w:footnoteReference w:id="80"/>
      </w:r>
    </w:p>
    <w:p w14:paraId="08EEFCC3" w14:textId="48E18534" w:rsidR="005B03C7" w:rsidRDefault="005B03C7" w:rsidP="001E1516">
      <w:pPr>
        <w:pStyle w:val="ListParagraph"/>
        <w:widowControl w:val="0"/>
      </w:pPr>
      <w:bookmarkStart w:id="140" w:name="_Hlk145422005"/>
      <w:r w:rsidRPr="005B03C7">
        <w:t>Foreign Policy</w:t>
      </w:r>
      <w:bookmarkEnd w:id="140"/>
      <w:r w:rsidRPr="005B03C7">
        <w:t xml:space="preserve"> </w:t>
      </w:r>
      <w:r>
        <w:t xml:space="preserve">also </w:t>
      </w:r>
      <w:r w:rsidRPr="005B03C7">
        <w:t xml:space="preserve">quoted Ghia </w:t>
      </w:r>
      <w:proofErr w:type="spellStart"/>
      <w:r w:rsidRPr="005B03C7">
        <w:t>Nodia</w:t>
      </w:r>
      <w:proofErr w:type="spellEnd"/>
      <w:r w:rsidRPr="005B03C7">
        <w:t xml:space="preserve">, director of the International School of Caucasus Studies at Tbilisi’s Ilia </w:t>
      </w:r>
      <w:proofErr w:type="spellStart"/>
      <w:r w:rsidRPr="005B03C7">
        <w:t>Chavchavadze</w:t>
      </w:r>
      <w:proofErr w:type="spellEnd"/>
      <w:r w:rsidRPr="005B03C7">
        <w:t xml:space="preserve"> State University, as saying that the groups which organised the attack on Tbilisi Pride in 2021 ‘are actually targeting not only LGBT people, but they use this matter to undermine the whole idea of liberal-minded people and the idea of Europe and the West…So it’s more like pro-Russian forces mobilizing against European integration and progressive ideas.’</w:t>
      </w:r>
      <w:r w:rsidRPr="005B03C7">
        <w:rPr>
          <w:vertAlign w:val="superscript"/>
        </w:rPr>
        <w:footnoteReference w:id="81"/>
      </w:r>
    </w:p>
    <w:p w14:paraId="65F20554" w14:textId="0BB6A4D4" w:rsidR="00CE29CC" w:rsidRDefault="00CE29CC" w:rsidP="00CE29CC">
      <w:pPr>
        <w:pStyle w:val="ListParagraph"/>
        <w:widowControl w:val="0"/>
      </w:pPr>
      <w:bookmarkStart w:id="141" w:name="_Hlk145520246"/>
      <w:r>
        <w:t>The 2021 USSD report stated ‘Although awareness of inclusion issues was growing, the acceptance of women and minority communities including youth, persons with disabilities, and members of the LGBTQI+ community and ethnic minority groups remained incomplete within political parties. The ability of the LGBTQI+ community to exercise an active voice during the elections was suppressed by the July 5 [2021] attacks’</w:t>
      </w:r>
      <w:r>
        <w:rPr>
          <w:rStyle w:val="FootnoteReference"/>
        </w:rPr>
        <w:footnoteReference w:id="82"/>
      </w:r>
    </w:p>
    <w:p w14:paraId="5E2376DC" w14:textId="3D7C55BD" w:rsidR="00F82393" w:rsidRDefault="00F82393" w:rsidP="001E1516">
      <w:pPr>
        <w:pStyle w:val="ListParagraph"/>
        <w:widowControl w:val="0"/>
      </w:pPr>
      <w:proofErr w:type="spellStart"/>
      <w:r>
        <w:t>Womens</w:t>
      </w:r>
      <w:proofErr w:type="spellEnd"/>
      <w:r>
        <w:t xml:space="preserve"> </w:t>
      </w:r>
      <w:r w:rsidR="001B5E5B">
        <w:t>Initiatives Support Grou</w:t>
      </w:r>
      <w:r w:rsidR="00212C99">
        <w:t xml:space="preserve">p (WISG) </w:t>
      </w:r>
      <w:r w:rsidR="00D9143F">
        <w:t xml:space="preserve">conducted </w:t>
      </w:r>
      <w:r w:rsidR="00913066">
        <w:t xml:space="preserve">quantitative and qualitative </w:t>
      </w:r>
      <w:r w:rsidR="002D6338">
        <w:t xml:space="preserve">research </w:t>
      </w:r>
      <w:r w:rsidR="00D9143F">
        <w:t xml:space="preserve">in 2016 and 2021 </w:t>
      </w:r>
      <w:r w:rsidR="001807F8">
        <w:t>on knowledge</w:t>
      </w:r>
      <w:r w:rsidR="001346CB">
        <w:t xml:space="preserve"> and </w:t>
      </w:r>
      <w:r w:rsidR="001807F8">
        <w:t>attitudes</w:t>
      </w:r>
      <w:r w:rsidR="001346CB">
        <w:t xml:space="preserve"> towards the</w:t>
      </w:r>
      <w:r w:rsidR="001807F8">
        <w:t xml:space="preserve"> LGBTQI community in Georgia</w:t>
      </w:r>
      <w:r w:rsidR="006C59DF">
        <w:t>,</w:t>
      </w:r>
      <w:r w:rsidR="001807F8">
        <w:t xml:space="preserve"> published in a 2022</w:t>
      </w:r>
      <w:r w:rsidR="002D6338">
        <w:t xml:space="preserve"> report</w:t>
      </w:r>
      <w:r w:rsidR="001807F8">
        <w:t>.</w:t>
      </w:r>
      <w:r w:rsidR="006C59DF">
        <w:t xml:space="preserve"> In its summary of the research results, WISG commented: ‘</w:t>
      </w:r>
      <w:r w:rsidR="006C59DF" w:rsidRPr="006C59DF">
        <w:t xml:space="preserve">A comparison of the study results conducted in 2016 and 2021 shows that the homo/bi/transphobia indexes show a tendency to decrease. The share of respondents who hate LGBT(Q)I people, perceive their relationships as </w:t>
      </w:r>
      <w:r w:rsidR="006C59DF" w:rsidRPr="006C59DF">
        <w:lastRenderedPageBreak/>
        <w:t>depraved, or morally judge those people has significantly reduced.</w:t>
      </w:r>
      <w:r w:rsidR="006C59DF">
        <w:t>’</w:t>
      </w:r>
      <w:r w:rsidR="00281807">
        <w:rPr>
          <w:rStyle w:val="FootnoteReference"/>
        </w:rPr>
        <w:footnoteReference w:id="83"/>
      </w:r>
      <w:r w:rsidR="001346CB">
        <w:t xml:space="preserve"> </w:t>
      </w:r>
    </w:p>
    <w:p w14:paraId="1E80F82B" w14:textId="3DFF1CC3" w:rsidR="005E3AA0" w:rsidRDefault="00336CED" w:rsidP="001E1516">
      <w:pPr>
        <w:pStyle w:val="ListParagraph"/>
        <w:widowControl w:val="0"/>
      </w:pPr>
      <w:r>
        <w:t xml:space="preserve">The </w:t>
      </w:r>
      <w:r w:rsidR="006768DD">
        <w:t xml:space="preserve">WISG </w:t>
      </w:r>
      <w:r w:rsidR="00D6642E">
        <w:t xml:space="preserve">2022 </w:t>
      </w:r>
      <w:r w:rsidR="00634D54">
        <w:t xml:space="preserve">quantitative research </w:t>
      </w:r>
      <w:r w:rsidR="00407707">
        <w:t xml:space="preserve">was conducted via survey with 1,610 respondents. Of them, 29.3% </w:t>
      </w:r>
      <w:r w:rsidR="00055506">
        <w:t>we</w:t>
      </w:r>
      <w:r w:rsidR="00407707">
        <w:t xml:space="preserve">re residents of the capital, 28.0% </w:t>
      </w:r>
      <w:r w:rsidR="00055506">
        <w:t>we</w:t>
      </w:r>
      <w:r w:rsidR="00407707">
        <w:t xml:space="preserve">re residents of other urban settlements, and 42.7% </w:t>
      </w:r>
      <w:r w:rsidR="00055506">
        <w:t>we</w:t>
      </w:r>
      <w:r w:rsidR="00407707">
        <w:t>re residents of rural settlements</w:t>
      </w:r>
      <w:r w:rsidR="00407707">
        <w:rPr>
          <w:rStyle w:val="FootnoteReference"/>
        </w:rPr>
        <w:footnoteReference w:id="84"/>
      </w:r>
      <w:r w:rsidR="007D0B0E">
        <w:t xml:space="preserve">. </w:t>
      </w:r>
    </w:p>
    <w:p w14:paraId="5EA419F2" w14:textId="72941E0F" w:rsidR="0073673B" w:rsidRPr="0073673B" w:rsidRDefault="0073673B" w:rsidP="001E1516">
      <w:pPr>
        <w:pStyle w:val="ListParagraph"/>
        <w:widowControl w:val="0"/>
        <w:rPr>
          <w:szCs w:val="24"/>
        </w:rPr>
      </w:pPr>
      <w:r>
        <w:t>The WISG 2022 quantitative stu</w:t>
      </w:r>
      <w:r w:rsidR="000B6E07">
        <w:t>dy looked at a</w:t>
      </w:r>
      <w:r w:rsidR="000B6E07" w:rsidRPr="000B6E07">
        <w:t>ttitudes toward the civil rights</w:t>
      </w:r>
      <w:r w:rsidR="000B6E07">
        <w:t xml:space="preserve"> of LGBTI persons</w:t>
      </w:r>
      <w:r w:rsidR="00055506">
        <w:t>:</w:t>
      </w:r>
      <w:r>
        <w:t xml:space="preserve"> </w:t>
      </w:r>
    </w:p>
    <w:p w14:paraId="2FC13FD2" w14:textId="77777777" w:rsidR="00BF1E8C" w:rsidRDefault="0073673B" w:rsidP="001E1516">
      <w:pPr>
        <w:pStyle w:val="ListParagraph"/>
        <w:widowControl w:val="0"/>
        <w:numPr>
          <w:ilvl w:val="0"/>
          <w:numId w:val="0"/>
        </w:numPr>
        <w:ind w:left="851"/>
      </w:pPr>
      <w:r>
        <w:t>‘Compared to 2016, the public is more positive about LGBT(Q)I rights activists and more accepting of the group’s legal equality issues. Among society’s views:</w:t>
      </w:r>
    </w:p>
    <w:p w14:paraId="4C07FCBE" w14:textId="3E9E2EC5" w:rsidR="00BF1E8C" w:rsidRDefault="000B6E07" w:rsidP="001E1516">
      <w:pPr>
        <w:pStyle w:val="Bulletpoint"/>
        <w:widowControl w:val="0"/>
      </w:pPr>
      <w:r>
        <w:t>‘</w:t>
      </w:r>
      <w:r w:rsidR="0073673B">
        <w:t>The percentage of opponents of gay marriage decreased by 14.4% (from 88.8% to 74.6%), while the number of supporters increased from 4.7% to 10.3%.</w:t>
      </w:r>
    </w:p>
    <w:p w14:paraId="2B02729B" w14:textId="0116B289" w:rsidR="00BF1E8C" w:rsidRDefault="000B6E07" w:rsidP="001E1516">
      <w:pPr>
        <w:pStyle w:val="Bulletpoint"/>
        <w:widowControl w:val="0"/>
      </w:pPr>
      <w:r>
        <w:t>‘</w:t>
      </w:r>
      <w:r w:rsidR="0073673B">
        <w:t>Opposition to the right of adoption for gay/ lesbian couples fell from about 82.3% to 67.6% and 66.9%, respectively; the number of those who did not agree with the ban increased by 15%.</w:t>
      </w:r>
    </w:p>
    <w:p w14:paraId="13D3DF49" w14:textId="7B0A1253" w:rsidR="00BF1E8C" w:rsidRDefault="000B6E07" w:rsidP="001E1516">
      <w:pPr>
        <w:pStyle w:val="Bulletpoint"/>
        <w:widowControl w:val="0"/>
      </w:pPr>
      <w:r>
        <w:t>‘</w:t>
      </w:r>
      <w:r w:rsidR="0073673B">
        <w:t>Attitudes toward activists have also changed. The share of respondents who evaluated their activities negatively decreased by almost 20% (from 74.5% to 56.8%), while the number of supporters almost doubled</w:t>
      </w:r>
      <w:bookmarkEnd w:id="141"/>
      <w:r w:rsidR="0073673B">
        <w:t>.</w:t>
      </w:r>
      <w:r w:rsidR="00BF1E8C" w:rsidRPr="00BF1E8C">
        <w:t xml:space="preserve"> However, as in 2016, respondents have a more negative attitude toward activists than toward homosexuals in general.</w:t>
      </w:r>
    </w:p>
    <w:p w14:paraId="5F99108A" w14:textId="66C9FB37" w:rsidR="000B6E07" w:rsidRDefault="000B6E07" w:rsidP="001E1516">
      <w:pPr>
        <w:pStyle w:val="Bulletpoint"/>
        <w:widowControl w:val="0"/>
      </w:pPr>
      <w:r>
        <w:t>‘</w:t>
      </w:r>
      <w:r w:rsidR="00BF1E8C" w:rsidRPr="00BF1E8C">
        <w:t>Fewer respondents perceive talking about the legal equality of the LGBT(Q)I group as “gay propaganda” and “imposing their lifestyle on others” (76.5% in 2016 versus 55.9% in 2021).</w:t>
      </w:r>
    </w:p>
    <w:p w14:paraId="09957A74" w14:textId="55E23E00" w:rsidR="0073673B" w:rsidRDefault="000B6E07" w:rsidP="001E1516">
      <w:pPr>
        <w:pStyle w:val="Bulletpoint"/>
        <w:widowControl w:val="0"/>
      </w:pPr>
      <w:r>
        <w:t>‘</w:t>
      </w:r>
      <w:r w:rsidR="00BF1E8C" w:rsidRPr="00BF1E8C">
        <w:t>Although more than half (53%) of respondents still support the view that LGBT(Q)I people should be barred from the right to assemble and express themselves by law, compared to 2016</w:t>
      </w:r>
      <w:r w:rsidR="003C62CA">
        <w:t xml:space="preserve"> [when the equivalent figure was 78.1%]</w:t>
      </w:r>
      <w:r w:rsidR="00BF1E8C" w:rsidRPr="00BF1E8C">
        <w:t>, the percentage of such respondents has decreased by almost 25%; and the share of those respondents who consider such a restriction unacceptable have doubled: only 14.6% in 2016 versus 27.1% in 2021</w:t>
      </w:r>
      <w:r w:rsidR="0073673B">
        <w:t>’</w:t>
      </w:r>
      <w:r w:rsidR="0073673B">
        <w:rPr>
          <w:rStyle w:val="FootnoteReference"/>
          <w:szCs w:val="24"/>
        </w:rPr>
        <w:footnoteReference w:id="85"/>
      </w:r>
    </w:p>
    <w:p w14:paraId="16815EC6" w14:textId="091D37B5" w:rsidR="000B6E07" w:rsidRDefault="00E04DE9" w:rsidP="001E1516">
      <w:pPr>
        <w:pStyle w:val="ListParagraph"/>
        <w:widowControl w:val="0"/>
      </w:pPr>
      <w:bookmarkStart w:id="142" w:name="_Hlk145524404"/>
      <w:bookmarkStart w:id="143" w:name="_Hlk145524371"/>
      <w:r>
        <w:t>The WISG quan</w:t>
      </w:r>
      <w:r w:rsidR="00913066">
        <w:t>t</w:t>
      </w:r>
      <w:r>
        <w:t>itative stud</w:t>
      </w:r>
      <w:r w:rsidR="00913066">
        <w:t>y</w:t>
      </w:r>
      <w:r>
        <w:t xml:space="preserve"> </w:t>
      </w:r>
      <w:r w:rsidR="006B1CC2">
        <w:t>considered homophobic attitudes</w:t>
      </w:r>
      <w:r>
        <w:t>:</w:t>
      </w:r>
      <w:bookmarkEnd w:id="142"/>
    </w:p>
    <w:bookmarkEnd w:id="143"/>
    <w:p w14:paraId="4CADBF1B" w14:textId="77777777" w:rsidR="000B6E07" w:rsidRDefault="00E04DE9" w:rsidP="001E1516">
      <w:pPr>
        <w:pStyle w:val="Bulletpoint"/>
        <w:widowControl w:val="0"/>
      </w:pPr>
      <w:r w:rsidRPr="000B6E07">
        <w:rPr>
          <w:rStyle w:val="BulletpointChar"/>
        </w:rPr>
        <w:t>‘</w:t>
      </w:r>
      <w:r>
        <w:t>Compared to 2016, homophobic sentiments are less pronounced. The share of respondents who are disgusted by gay/lesbian people and perceive their relationships as “perversion” or “wrong” has significantly reduced.</w:t>
      </w:r>
    </w:p>
    <w:p w14:paraId="38FC37A5" w14:textId="77777777" w:rsidR="000B6E07" w:rsidRDefault="000B6E07" w:rsidP="001E1516">
      <w:pPr>
        <w:pStyle w:val="Bulletpoint"/>
        <w:widowControl w:val="0"/>
      </w:pPr>
      <w:r>
        <w:t>‘</w:t>
      </w:r>
      <w:r w:rsidR="00E04DE9">
        <w:t>As in 2016, gender, age, and settlement type remain significant predictors for homophobia. Men and older respondents living in urban areas (except the capital) and rural areas have a more negative attitude toward gay and lesbian people than women, young people and respondents living in the capital</w:t>
      </w:r>
      <w:r w:rsidR="002D43A7">
        <w:t>…</w:t>
      </w:r>
      <w:r w:rsidR="002D43A7" w:rsidRPr="002D43A7">
        <w:t xml:space="preserve"> </w:t>
      </w:r>
    </w:p>
    <w:p w14:paraId="2CF3C0F9" w14:textId="492F6E3D" w:rsidR="00981494" w:rsidRPr="00981494" w:rsidRDefault="000B6E07" w:rsidP="001E1516">
      <w:pPr>
        <w:pStyle w:val="Bulletpoint"/>
        <w:widowControl w:val="0"/>
      </w:pPr>
      <w:r>
        <w:lastRenderedPageBreak/>
        <w:t>‘</w:t>
      </w:r>
      <w:r w:rsidR="002D43A7">
        <w:t>Compared to 2016, acceptance of lesbians has increased more than that of gays.</w:t>
      </w:r>
      <w:r w:rsidR="00981494" w:rsidRPr="00981494">
        <w:t>’</w:t>
      </w:r>
      <w:r w:rsidR="00981494" w:rsidRPr="00981494">
        <w:rPr>
          <w:vertAlign w:val="superscript"/>
        </w:rPr>
        <w:footnoteReference w:id="86"/>
      </w:r>
    </w:p>
    <w:p w14:paraId="244AE088" w14:textId="69C8C75C" w:rsidR="006B1CC2" w:rsidRDefault="006B1CC2" w:rsidP="001E1516">
      <w:pPr>
        <w:pStyle w:val="ListParagraph"/>
        <w:widowControl w:val="0"/>
      </w:pPr>
      <w:r w:rsidRPr="006B1CC2">
        <w:t xml:space="preserve">The WISG quantitative study </w:t>
      </w:r>
      <w:r>
        <w:t xml:space="preserve">also </w:t>
      </w:r>
      <w:r w:rsidRPr="006B1CC2">
        <w:t xml:space="preserve">considered </w:t>
      </w:r>
      <w:r>
        <w:t>trans</w:t>
      </w:r>
      <w:r w:rsidRPr="006B1CC2">
        <w:t>phobic attitudes:</w:t>
      </w:r>
    </w:p>
    <w:p w14:paraId="0E3695A1" w14:textId="77777777" w:rsidR="006B1CC2" w:rsidRDefault="006B1CC2" w:rsidP="001E1516">
      <w:pPr>
        <w:pStyle w:val="Bulletpoint"/>
        <w:widowControl w:val="0"/>
      </w:pPr>
      <w:r>
        <w:t>‘</w:t>
      </w:r>
      <w:r w:rsidRPr="006B1CC2">
        <w:t>Significantly reduced is the share of respondents who perceive transgender, nonconforming gender expression, and cross-dressing as a disease or who morally judge such people.</w:t>
      </w:r>
    </w:p>
    <w:p w14:paraId="47A2B358" w14:textId="096D2575" w:rsidR="006B1CC2" w:rsidRDefault="006B1CC2" w:rsidP="001E1516">
      <w:pPr>
        <w:pStyle w:val="Bulletpoint"/>
        <w:widowControl w:val="0"/>
      </w:pPr>
      <w:r>
        <w:t>‘</w:t>
      </w:r>
      <w:r w:rsidRPr="006B1CC2">
        <w:t>The binary model of gender (“People are either men or women”) is less popular.</w:t>
      </w:r>
    </w:p>
    <w:p w14:paraId="1CC9B6A5" w14:textId="6D65D73A" w:rsidR="006B1CC2" w:rsidRDefault="006B1CC2" w:rsidP="001E1516">
      <w:pPr>
        <w:pStyle w:val="Bulletpoint"/>
        <w:widowControl w:val="0"/>
      </w:pPr>
      <w:r>
        <w:t>‘</w:t>
      </w:r>
      <w:r w:rsidRPr="006B1CC2">
        <w:t>The proportion of respondents who are willing to support a friend if he/she/they decide(s) to have sex reassignment surgery has increased.</w:t>
      </w:r>
    </w:p>
    <w:p w14:paraId="569507CF" w14:textId="6F4B35E5" w:rsidR="006B1CC2" w:rsidRDefault="006B1CC2" w:rsidP="001E1516">
      <w:pPr>
        <w:pStyle w:val="Bulletpoint"/>
        <w:widowControl w:val="0"/>
      </w:pPr>
      <w:r>
        <w:t>‘</w:t>
      </w:r>
      <w:r w:rsidRPr="006B1CC2">
        <w:t>The changes are markedly asymmetric and are more pronounced in female, young, and respondents living in capital, than in male, older, and other urban or rural respondents</w:t>
      </w:r>
      <w:r>
        <w:t>…</w:t>
      </w:r>
    </w:p>
    <w:p w14:paraId="335F9564" w14:textId="02521027" w:rsidR="006B1CC2" w:rsidRDefault="006B1CC2" w:rsidP="001E1516">
      <w:pPr>
        <w:pStyle w:val="Bulletpoint"/>
        <w:widowControl w:val="0"/>
      </w:pPr>
      <w:r>
        <w:t>‘…</w:t>
      </w:r>
      <w:r w:rsidRPr="006B1CC2">
        <w:t>Compared to 2016, the acceptance of gender-nonconforming men has increased more than that of gender-nonconforming women, which can</w:t>
      </w:r>
      <w:r w:rsidR="007069C8">
        <w:t xml:space="preserve"> </w:t>
      </w:r>
      <w:r w:rsidR="007069C8" w:rsidRPr="007069C8">
        <w:t>be explained by the group’s different visibility policy in recent years.</w:t>
      </w:r>
      <w:r w:rsidR="007069C8">
        <w:t>’</w:t>
      </w:r>
      <w:r w:rsidR="007069C8">
        <w:rPr>
          <w:rStyle w:val="FootnoteReference"/>
        </w:rPr>
        <w:footnoteReference w:id="87"/>
      </w:r>
    </w:p>
    <w:p w14:paraId="0447405B" w14:textId="46FB5745" w:rsidR="001466B9" w:rsidRPr="00981494" w:rsidRDefault="001466B9" w:rsidP="001E1516">
      <w:pPr>
        <w:pStyle w:val="ListParagraph"/>
        <w:widowControl w:val="0"/>
      </w:pPr>
      <w:r>
        <w:t xml:space="preserve">The WISG 2022 qualitative research was conducted </w:t>
      </w:r>
      <w:r w:rsidR="00D76EAE">
        <w:t>over 20 focus groups in which 150 representatives of different social and professional groups participated</w:t>
      </w:r>
      <w:r w:rsidR="00D76EAE">
        <w:rPr>
          <w:rStyle w:val="FootnoteReference"/>
        </w:rPr>
        <w:footnoteReference w:id="88"/>
      </w:r>
      <w:r w:rsidR="00F55ED1">
        <w:t xml:space="preserve">. </w:t>
      </w:r>
      <w:r w:rsidR="006E42F2">
        <w:t>The qualitative research found ‘In every interviewed group, a large number of respondents [number not stated] think that homophobia is widely spread in Georgian society and discourse and that we may come across it at every level of socio-political life. Moreover, a large number of the interviewees think that the state does not recognise</w:t>
      </w:r>
      <w:r w:rsidR="007069C8">
        <w:t xml:space="preserve"> </w:t>
      </w:r>
      <w:r w:rsidR="006E42F2">
        <w:t>homophobia as a systemic problem and that this circumstance encourages instrumentalizing LGBT(Q)I issues and makes the polarization in society even more severe.’</w:t>
      </w:r>
      <w:r w:rsidR="006E42F2">
        <w:rPr>
          <w:rStyle w:val="FootnoteReference"/>
        </w:rPr>
        <w:footnoteReference w:id="89"/>
      </w:r>
    </w:p>
    <w:p w14:paraId="6A8E06A2" w14:textId="2B66F24E" w:rsidR="003625D8" w:rsidRDefault="00D6642E" w:rsidP="001E1516">
      <w:pPr>
        <w:pStyle w:val="ListParagraph"/>
        <w:widowControl w:val="0"/>
      </w:pPr>
      <w:r>
        <w:t>The WISG 2022 report highlight</w:t>
      </w:r>
      <w:r w:rsidR="00347596">
        <w:t>ed ‘</w:t>
      </w:r>
      <w:r>
        <w:t>Community members and professionals participating in qualitative research studies, including police officers, also agree that transgender and gender-nonconforming people, as the most visible part of the LGBT(Q)I community, are more likely to be victims of hate crimes and discrimination due to their incompatibility with conventional gender norms.</w:t>
      </w:r>
      <w:r w:rsidR="00347596">
        <w:t>’</w:t>
      </w:r>
      <w:r w:rsidR="00347596">
        <w:rPr>
          <w:rStyle w:val="FootnoteReference"/>
        </w:rPr>
        <w:footnoteReference w:id="90"/>
      </w:r>
    </w:p>
    <w:p w14:paraId="276A5AED" w14:textId="00D7DC80" w:rsidR="00183194" w:rsidRDefault="00183194" w:rsidP="001E1516">
      <w:pPr>
        <w:pStyle w:val="ListParagraph"/>
        <w:widowControl w:val="0"/>
      </w:pPr>
      <w:r w:rsidRPr="00183194">
        <w:t xml:space="preserve">The </w:t>
      </w:r>
      <w:bookmarkStart w:id="144" w:name="_Hlk145589392"/>
      <w:r w:rsidRPr="00183194">
        <w:t xml:space="preserve">Caucasus Research Resource Center </w:t>
      </w:r>
      <w:bookmarkEnd w:id="144"/>
      <w:r w:rsidRPr="00183194">
        <w:t>(CRRC)</w:t>
      </w:r>
      <w:r>
        <w:t xml:space="preserve"> conducts an annual household survey in Georgia. During fieldwork which took place in </w:t>
      </w:r>
      <w:r w:rsidRPr="00183194">
        <w:t xml:space="preserve">December 2021 </w:t>
      </w:r>
      <w:r>
        <w:t>and</w:t>
      </w:r>
      <w:r w:rsidRPr="00183194">
        <w:t xml:space="preserve"> January 2022</w:t>
      </w:r>
      <w:r>
        <w:t>, respondents were asked ‘Which of these people would you not wish to have [as] your neighbors most?’ The answers have been summarised by CPIT in the table below</w:t>
      </w:r>
      <w:r w:rsidR="003E3A33">
        <w:rPr>
          <w:rStyle w:val="FootnoteReference"/>
        </w:rPr>
        <w:footnoteReference w:id="91"/>
      </w:r>
      <w:r>
        <w:t>.</w:t>
      </w:r>
    </w:p>
    <w:tbl>
      <w:tblPr>
        <w:tblStyle w:val="TableGrid"/>
        <w:tblW w:w="8358" w:type="dxa"/>
        <w:tblInd w:w="851" w:type="dxa"/>
        <w:tblLook w:val="04A0" w:firstRow="1" w:lastRow="0" w:firstColumn="1" w:lastColumn="0" w:noHBand="0" w:noVBand="1"/>
      </w:tblPr>
      <w:tblGrid>
        <w:gridCol w:w="5948"/>
        <w:gridCol w:w="2410"/>
      </w:tblGrid>
      <w:tr w:rsidR="00183194" w14:paraId="1354288E" w14:textId="77777777" w:rsidTr="00B86418">
        <w:tc>
          <w:tcPr>
            <w:tcW w:w="5948" w:type="dxa"/>
          </w:tcPr>
          <w:p w14:paraId="064952F5" w14:textId="07B86B12" w:rsidR="00183194" w:rsidRPr="00B86418" w:rsidRDefault="00183194" w:rsidP="0000683A">
            <w:pPr>
              <w:pStyle w:val="ListParagraph"/>
              <w:widowControl w:val="0"/>
              <w:numPr>
                <w:ilvl w:val="0"/>
                <w:numId w:val="0"/>
              </w:numPr>
              <w:spacing w:after="0"/>
              <w:rPr>
                <w:b/>
                <w:bCs/>
              </w:rPr>
            </w:pPr>
            <w:r w:rsidRPr="00B86418">
              <w:rPr>
                <w:b/>
                <w:bCs/>
              </w:rPr>
              <w:t>Category</w:t>
            </w:r>
          </w:p>
        </w:tc>
        <w:tc>
          <w:tcPr>
            <w:tcW w:w="2410" w:type="dxa"/>
          </w:tcPr>
          <w:p w14:paraId="46004497" w14:textId="40449B95" w:rsidR="00183194" w:rsidRPr="00B86418" w:rsidRDefault="00183194" w:rsidP="0000683A">
            <w:pPr>
              <w:pStyle w:val="ListParagraph"/>
              <w:widowControl w:val="0"/>
              <w:numPr>
                <w:ilvl w:val="0"/>
                <w:numId w:val="0"/>
              </w:numPr>
              <w:spacing w:after="0"/>
              <w:rPr>
                <w:b/>
                <w:bCs/>
              </w:rPr>
            </w:pPr>
            <w:r w:rsidRPr="00B86418">
              <w:rPr>
                <w:b/>
                <w:bCs/>
              </w:rPr>
              <w:t>% of respondents</w:t>
            </w:r>
          </w:p>
        </w:tc>
      </w:tr>
      <w:tr w:rsidR="00183194" w14:paraId="41918473" w14:textId="77777777" w:rsidTr="00B86418">
        <w:tc>
          <w:tcPr>
            <w:tcW w:w="5948" w:type="dxa"/>
          </w:tcPr>
          <w:p w14:paraId="1EA47EF1" w14:textId="72686987" w:rsidR="00183194" w:rsidRDefault="00183194" w:rsidP="0000683A">
            <w:pPr>
              <w:pStyle w:val="ListParagraph"/>
              <w:widowControl w:val="0"/>
              <w:numPr>
                <w:ilvl w:val="0"/>
                <w:numId w:val="0"/>
              </w:numPr>
              <w:spacing w:after="0"/>
            </w:pPr>
            <w:r>
              <w:t>Criminals</w:t>
            </w:r>
          </w:p>
        </w:tc>
        <w:tc>
          <w:tcPr>
            <w:tcW w:w="2410" w:type="dxa"/>
          </w:tcPr>
          <w:p w14:paraId="27A6B599" w14:textId="243C504A" w:rsidR="00183194" w:rsidRDefault="00183194" w:rsidP="0000683A">
            <w:pPr>
              <w:pStyle w:val="ListParagraph"/>
              <w:widowControl w:val="0"/>
              <w:numPr>
                <w:ilvl w:val="0"/>
                <w:numId w:val="0"/>
              </w:numPr>
              <w:spacing w:after="0"/>
            </w:pPr>
            <w:r>
              <w:t>36</w:t>
            </w:r>
          </w:p>
        </w:tc>
      </w:tr>
      <w:tr w:rsidR="00183194" w14:paraId="22D0AAF7" w14:textId="77777777" w:rsidTr="00B86418">
        <w:tc>
          <w:tcPr>
            <w:tcW w:w="5948" w:type="dxa"/>
          </w:tcPr>
          <w:p w14:paraId="06930FC4" w14:textId="4A761308" w:rsidR="00183194" w:rsidRDefault="00183194" w:rsidP="0000683A">
            <w:pPr>
              <w:pStyle w:val="ListParagraph"/>
              <w:widowControl w:val="0"/>
              <w:numPr>
                <w:ilvl w:val="0"/>
                <w:numId w:val="0"/>
              </w:numPr>
              <w:spacing w:after="0"/>
            </w:pPr>
            <w:r>
              <w:t>Drug addicts</w:t>
            </w:r>
          </w:p>
        </w:tc>
        <w:tc>
          <w:tcPr>
            <w:tcW w:w="2410" w:type="dxa"/>
          </w:tcPr>
          <w:p w14:paraId="52D07977" w14:textId="5568B0D1" w:rsidR="00183194" w:rsidRDefault="00183194" w:rsidP="0000683A">
            <w:pPr>
              <w:pStyle w:val="ListParagraph"/>
              <w:widowControl w:val="0"/>
              <w:numPr>
                <w:ilvl w:val="0"/>
                <w:numId w:val="0"/>
              </w:numPr>
              <w:spacing w:after="0"/>
            </w:pPr>
            <w:r>
              <w:t>28</w:t>
            </w:r>
          </w:p>
        </w:tc>
      </w:tr>
      <w:tr w:rsidR="00183194" w14:paraId="46B1529B" w14:textId="77777777" w:rsidTr="00B86418">
        <w:tc>
          <w:tcPr>
            <w:tcW w:w="5948" w:type="dxa"/>
          </w:tcPr>
          <w:p w14:paraId="3A3B8C50" w14:textId="4C2515D4" w:rsidR="00183194" w:rsidRDefault="00183194" w:rsidP="0000683A">
            <w:pPr>
              <w:pStyle w:val="ListParagraph"/>
              <w:widowControl w:val="0"/>
              <w:numPr>
                <w:ilvl w:val="0"/>
                <w:numId w:val="0"/>
              </w:numPr>
              <w:spacing w:after="0"/>
            </w:pPr>
            <w:r>
              <w:lastRenderedPageBreak/>
              <w:t>Homosexuals</w:t>
            </w:r>
          </w:p>
        </w:tc>
        <w:tc>
          <w:tcPr>
            <w:tcW w:w="2410" w:type="dxa"/>
          </w:tcPr>
          <w:p w14:paraId="1982B6F3" w14:textId="6CC099E3" w:rsidR="00183194" w:rsidRDefault="00183194" w:rsidP="0000683A">
            <w:pPr>
              <w:pStyle w:val="ListParagraph"/>
              <w:widowControl w:val="0"/>
              <w:numPr>
                <w:ilvl w:val="0"/>
                <w:numId w:val="0"/>
              </w:numPr>
              <w:spacing w:after="0"/>
            </w:pPr>
            <w:r>
              <w:t>20</w:t>
            </w:r>
          </w:p>
        </w:tc>
      </w:tr>
      <w:tr w:rsidR="00183194" w14:paraId="6850BC36" w14:textId="77777777" w:rsidTr="00B86418">
        <w:tc>
          <w:tcPr>
            <w:tcW w:w="5948" w:type="dxa"/>
          </w:tcPr>
          <w:p w14:paraId="1BBAE558" w14:textId="429AE280" w:rsidR="00183194" w:rsidRDefault="00183194" w:rsidP="0000683A">
            <w:pPr>
              <w:pStyle w:val="ListParagraph"/>
              <w:widowControl w:val="0"/>
              <w:numPr>
                <w:ilvl w:val="0"/>
                <w:numId w:val="0"/>
              </w:numPr>
              <w:spacing w:after="0"/>
            </w:pPr>
            <w:r w:rsidRPr="00183194">
              <w:t>I would not wish any of these people as my neighbors</w:t>
            </w:r>
          </w:p>
        </w:tc>
        <w:tc>
          <w:tcPr>
            <w:tcW w:w="2410" w:type="dxa"/>
          </w:tcPr>
          <w:p w14:paraId="6BFD1D0F" w14:textId="4AF030A6" w:rsidR="00183194" w:rsidRDefault="00183194" w:rsidP="0000683A">
            <w:pPr>
              <w:pStyle w:val="ListParagraph"/>
              <w:widowControl w:val="0"/>
              <w:numPr>
                <w:ilvl w:val="0"/>
                <w:numId w:val="0"/>
              </w:numPr>
              <w:spacing w:after="0"/>
            </w:pPr>
            <w:r>
              <w:t>7</w:t>
            </w:r>
          </w:p>
        </w:tc>
      </w:tr>
      <w:tr w:rsidR="00183194" w14:paraId="7CF30717" w14:textId="77777777" w:rsidTr="00B86418">
        <w:tc>
          <w:tcPr>
            <w:tcW w:w="5948" w:type="dxa"/>
          </w:tcPr>
          <w:p w14:paraId="7C5155E1" w14:textId="7D222342" w:rsidR="00183194" w:rsidRDefault="00183194" w:rsidP="0000683A">
            <w:pPr>
              <w:pStyle w:val="ListParagraph"/>
              <w:widowControl w:val="0"/>
              <w:numPr>
                <w:ilvl w:val="0"/>
                <w:numId w:val="0"/>
              </w:numPr>
              <w:spacing w:after="0"/>
            </w:pPr>
            <w:r>
              <w:t>Other</w:t>
            </w:r>
          </w:p>
        </w:tc>
        <w:tc>
          <w:tcPr>
            <w:tcW w:w="2410" w:type="dxa"/>
          </w:tcPr>
          <w:p w14:paraId="57589904" w14:textId="146524DE" w:rsidR="00183194" w:rsidRDefault="00183194" w:rsidP="0000683A">
            <w:pPr>
              <w:pStyle w:val="ListParagraph"/>
              <w:widowControl w:val="0"/>
              <w:numPr>
                <w:ilvl w:val="0"/>
                <w:numId w:val="0"/>
              </w:numPr>
              <w:spacing w:after="0"/>
            </w:pPr>
            <w:r>
              <w:t>6</w:t>
            </w:r>
          </w:p>
        </w:tc>
      </w:tr>
      <w:tr w:rsidR="00183194" w14:paraId="4A78B990" w14:textId="77777777" w:rsidTr="00B86418">
        <w:tc>
          <w:tcPr>
            <w:tcW w:w="5948" w:type="dxa"/>
          </w:tcPr>
          <w:p w14:paraId="1263F8FE" w14:textId="1E26E986" w:rsidR="00183194" w:rsidRDefault="00183194" w:rsidP="0000683A">
            <w:pPr>
              <w:pStyle w:val="ListParagraph"/>
              <w:widowControl w:val="0"/>
              <w:numPr>
                <w:ilvl w:val="0"/>
                <w:numId w:val="0"/>
              </w:numPr>
              <w:spacing w:after="0"/>
            </w:pPr>
            <w:r>
              <w:t>Don’t know/ refused to answer</w:t>
            </w:r>
          </w:p>
        </w:tc>
        <w:tc>
          <w:tcPr>
            <w:tcW w:w="2410" w:type="dxa"/>
          </w:tcPr>
          <w:p w14:paraId="2053D0A9" w14:textId="55D98236" w:rsidR="00183194" w:rsidRDefault="00183194" w:rsidP="0000683A">
            <w:pPr>
              <w:pStyle w:val="ListParagraph"/>
              <w:widowControl w:val="0"/>
              <w:numPr>
                <w:ilvl w:val="0"/>
                <w:numId w:val="0"/>
              </w:numPr>
              <w:spacing w:after="0"/>
            </w:pPr>
            <w:r>
              <w:t>3</w:t>
            </w:r>
          </w:p>
        </w:tc>
      </w:tr>
      <w:tr w:rsidR="00183194" w14:paraId="664E1CA1" w14:textId="77777777" w:rsidTr="00B86418">
        <w:tc>
          <w:tcPr>
            <w:tcW w:w="5948" w:type="dxa"/>
          </w:tcPr>
          <w:p w14:paraId="714DEB0A" w14:textId="0199D732" w:rsidR="00183194" w:rsidRDefault="00183194" w:rsidP="0000683A">
            <w:pPr>
              <w:pStyle w:val="ListParagraph"/>
              <w:widowControl w:val="0"/>
              <w:numPr>
                <w:ilvl w:val="0"/>
                <w:numId w:val="0"/>
              </w:numPr>
              <w:spacing w:after="0"/>
            </w:pPr>
            <w:r>
              <w:t>Total</w:t>
            </w:r>
          </w:p>
        </w:tc>
        <w:tc>
          <w:tcPr>
            <w:tcW w:w="2410" w:type="dxa"/>
          </w:tcPr>
          <w:p w14:paraId="553ED3BF" w14:textId="35A9C1E2" w:rsidR="00183194" w:rsidRDefault="00183194" w:rsidP="0000683A">
            <w:pPr>
              <w:pStyle w:val="ListParagraph"/>
              <w:widowControl w:val="0"/>
              <w:numPr>
                <w:ilvl w:val="0"/>
                <w:numId w:val="0"/>
              </w:numPr>
              <w:spacing w:after="0"/>
            </w:pPr>
            <w:r>
              <w:t>100</w:t>
            </w:r>
          </w:p>
        </w:tc>
      </w:tr>
    </w:tbl>
    <w:p w14:paraId="40C7DD79" w14:textId="16184D69" w:rsidR="00981494" w:rsidRDefault="00000000" w:rsidP="001E1516">
      <w:pPr>
        <w:widowControl w:val="0"/>
        <w:jc w:val="right"/>
        <w:rPr>
          <w:color w:val="0000FF" w:themeColor="hyperlink"/>
          <w:szCs w:val="24"/>
          <w:u w:val="single"/>
        </w:rPr>
      </w:pPr>
      <w:hyperlink w:anchor="contents" w:history="1">
        <w:r w:rsidR="00981494" w:rsidRPr="00981494">
          <w:rPr>
            <w:color w:val="0000FF" w:themeColor="hyperlink"/>
            <w:szCs w:val="24"/>
            <w:u w:val="single"/>
          </w:rPr>
          <w:t>Back to Contents</w:t>
        </w:r>
      </w:hyperlink>
    </w:p>
    <w:p w14:paraId="3D5E65A0" w14:textId="19C65705" w:rsidR="00A77927" w:rsidRPr="00A77927" w:rsidRDefault="00BA03C4" w:rsidP="001E1516">
      <w:pPr>
        <w:pStyle w:val="Sectionupdate"/>
        <w:widowControl w:val="0"/>
      </w:pPr>
      <w:r w:rsidRPr="00BA03C4">
        <w:t>Section updated: 19 September 2023</w:t>
      </w:r>
    </w:p>
    <w:p w14:paraId="0CB8BEE1" w14:textId="3CB92257" w:rsidR="00432B3E" w:rsidRDefault="0047147E" w:rsidP="00CB7CC9">
      <w:pPr>
        <w:pStyle w:val="Heading2"/>
        <w:keepNext w:val="0"/>
        <w:keepLines w:val="0"/>
        <w:widowControl w:val="0"/>
      </w:pPr>
      <w:bookmarkStart w:id="145" w:name="_Societal_treatment"/>
      <w:bookmarkStart w:id="146" w:name="_Toc146698556"/>
      <w:bookmarkStart w:id="147" w:name="_Toc178601192"/>
      <w:bookmarkEnd w:id="145"/>
      <w:r>
        <w:t>Societal treatment</w:t>
      </w:r>
      <w:bookmarkStart w:id="148" w:name="_Violence__and"/>
      <w:bookmarkStart w:id="149" w:name="_Violence_and_hate"/>
      <w:bookmarkEnd w:id="146"/>
      <w:bookmarkEnd w:id="147"/>
      <w:bookmarkEnd w:id="148"/>
      <w:bookmarkEnd w:id="149"/>
    </w:p>
    <w:p w14:paraId="365CCE42" w14:textId="7C2B5CB4" w:rsidR="00064639" w:rsidRDefault="00064639" w:rsidP="00F43006">
      <w:pPr>
        <w:pStyle w:val="ListParagraph"/>
        <w:widowControl w:val="0"/>
      </w:pPr>
      <w:r w:rsidRPr="00064639">
        <w:t>In July 2022, following a visit to Georgia, the Commissioner for Human Rights of the Council of Europe reported that ‘Transgender people in Georgia are exposed to high levels of social exclusion and violence.’</w:t>
      </w:r>
      <w:r w:rsidR="00A3149E">
        <w:rPr>
          <w:rStyle w:val="FootnoteReference"/>
        </w:rPr>
        <w:footnoteReference w:id="92"/>
      </w:r>
      <w:r w:rsidR="00F5694D">
        <w:t xml:space="preserve"> </w:t>
      </w:r>
    </w:p>
    <w:p w14:paraId="6881F26E" w14:textId="58685A4E" w:rsidR="00F43006" w:rsidRDefault="00F43006" w:rsidP="00F43006">
      <w:pPr>
        <w:pStyle w:val="ListParagraph"/>
        <w:widowControl w:val="0"/>
      </w:pPr>
      <w:r>
        <w:t>The USSD 2022 HR report stated: ‘The PDO reported LGBTQI+ individuals continued to experience systemic violence, oppression, abuse, intolerance, and discrimination.’</w:t>
      </w:r>
      <w:r>
        <w:rPr>
          <w:rStyle w:val="FootnoteReference"/>
        </w:rPr>
        <w:footnoteReference w:id="93"/>
      </w:r>
    </w:p>
    <w:p w14:paraId="5E0C876F" w14:textId="77777777" w:rsidR="00064639" w:rsidRDefault="00F43006" w:rsidP="00F43006">
      <w:pPr>
        <w:pStyle w:val="ListParagraph"/>
        <w:widowControl w:val="0"/>
      </w:pPr>
      <w:r>
        <w:t>The 2022 USSD report noted that</w:t>
      </w:r>
      <w:r w:rsidR="00064639">
        <w:t>:</w:t>
      </w:r>
    </w:p>
    <w:p w14:paraId="5C3E5E85" w14:textId="6FE2776D" w:rsidR="00F43006" w:rsidRDefault="00F43006" w:rsidP="00064639">
      <w:pPr>
        <w:pStyle w:val="ListParagraph"/>
        <w:widowControl w:val="0"/>
        <w:numPr>
          <w:ilvl w:val="0"/>
          <w:numId w:val="0"/>
        </w:numPr>
        <w:ind w:left="851"/>
      </w:pPr>
      <w:r>
        <w:t xml:space="preserve">‘In May a mob of approximately 30 men attacked five transgender women at their home in </w:t>
      </w:r>
      <w:proofErr w:type="spellStart"/>
      <w:r>
        <w:t>Chughureti</w:t>
      </w:r>
      <w:proofErr w:type="spellEnd"/>
      <w:r>
        <w:t xml:space="preserve"> District, Tbilisi. Tbilisi Pride, a local NGO, stated that the attackers, armed with stones and bricks, assaulted the women as well as their landlord, damaged their house, and made death threats. The Ministry of Internal Affairs launched an investigation, and Tbilisi Pride called on the Prosecutor’s Office to consider aggravating circumstance for the alleged hate crime. Similarly in June, approximately 20 men attacked several transgender women on Tamar </w:t>
      </w:r>
      <w:proofErr w:type="spellStart"/>
      <w:r>
        <w:t>Mepe</w:t>
      </w:r>
      <w:proofErr w:type="spellEnd"/>
      <w:r>
        <w:t xml:space="preserve"> Avenue in Tbilisi, and two persons were injured. The Ministry of Internal Affairs launched an investigation. In October, one person killed a foreign transgender woman in Tbilisi and injured another transgender woman. Police detained the accused and launched a murder investigation.’</w:t>
      </w:r>
      <w:r>
        <w:rPr>
          <w:rStyle w:val="FootnoteReference"/>
        </w:rPr>
        <w:footnoteReference w:id="94"/>
      </w:r>
    </w:p>
    <w:p w14:paraId="33FE81CF" w14:textId="77777777" w:rsidR="00F43006" w:rsidRDefault="00F43006" w:rsidP="00F43006">
      <w:pPr>
        <w:pStyle w:val="ListParagraph"/>
        <w:widowControl w:val="0"/>
      </w:pPr>
      <w:r>
        <w:t xml:space="preserve">Human Rights Watch in its annual report covering events in 2022 noted: </w:t>
      </w:r>
    </w:p>
    <w:p w14:paraId="4DFCE22B" w14:textId="2DD7344F" w:rsidR="00F43006" w:rsidRDefault="00F43006" w:rsidP="00F43006">
      <w:pPr>
        <w:pStyle w:val="ListParagraph"/>
        <w:widowControl w:val="0"/>
        <w:numPr>
          <w:ilvl w:val="0"/>
          <w:numId w:val="0"/>
        </w:numPr>
        <w:ind w:left="851"/>
      </w:pPr>
      <w:r>
        <w:t>‘Lesbian, gay, bisexual, and transgender (LGBT) people in Georgia continue to face harassment, discrimination, and violence. In May, a group of some 30 men attacked five transgender women in their home in Tbilisi. The attackers, armed with stones and bricks, assaulted the women and their landlord, damaged their house, and made death threats. An investigation was pending at time of writing.’</w:t>
      </w:r>
      <w:r>
        <w:rPr>
          <w:rStyle w:val="FootnoteReference"/>
        </w:rPr>
        <w:footnoteReference w:id="95"/>
      </w:r>
    </w:p>
    <w:p w14:paraId="28FEB015" w14:textId="2360A73F" w:rsidR="0051067A" w:rsidRDefault="00D354E9" w:rsidP="001E1516">
      <w:pPr>
        <w:pStyle w:val="ListParagraph"/>
        <w:widowControl w:val="0"/>
      </w:pPr>
      <w:r>
        <w:t>The EMC research</w:t>
      </w:r>
      <w:r w:rsidR="00CB7CC9">
        <w:t xml:space="preserve"> 2020</w:t>
      </w:r>
      <w:r>
        <w:t xml:space="preserve"> considered the LGBTQ community’s experience of violence and made a key finding that ‘</w:t>
      </w:r>
      <w:r w:rsidRPr="00D354E9">
        <w:t>52% of respondents have been victims of violence at least once in their lives, in whole or in part, because of their sexual orientation and/or gender identity</w:t>
      </w:r>
      <w:r>
        <w:t>.’</w:t>
      </w:r>
      <w:r>
        <w:rPr>
          <w:rStyle w:val="FootnoteReference"/>
        </w:rPr>
        <w:footnoteReference w:id="96"/>
      </w:r>
      <w:r>
        <w:t xml:space="preserve"> However, the definition of ‘violence’ used by EMC is</w:t>
      </w:r>
      <w:r w:rsidR="009119A5">
        <w:t xml:space="preserve"> very wide in terms of both the nature and severity of the treatment experienced. EMC splits ‘violence’ into ‘physical’ and ‘psychological’ and both elements are subdivided further.</w:t>
      </w:r>
    </w:p>
    <w:p w14:paraId="12014199" w14:textId="6AFDA1C2" w:rsidR="009119A5" w:rsidRDefault="00190071" w:rsidP="001E1516">
      <w:pPr>
        <w:pStyle w:val="ListParagraph"/>
        <w:widowControl w:val="0"/>
      </w:pPr>
      <w:bookmarkStart w:id="150" w:name="_Hlk146019355"/>
      <w:r>
        <w:lastRenderedPageBreak/>
        <w:t>When</w:t>
      </w:r>
      <w:r w:rsidR="009119A5">
        <w:t xml:space="preserve"> EMC</w:t>
      </w:r>
      <w:r>
        <w:t xml:space="preserve"> looked specifically at physical violence, the study found </w:t>
      </w:r>
      <w:bookmarkEnd w:id="150"/>
      <w:r>
        <w:t>‘</w:t>
      </w:r>
      <w:r w:rsidRPr="00190071">
        <w:t>29.4% of respondents (n = 91) have experienced physical violence in the last 2 years</w:t>
      </w:r>
      <w:r>
        <w:t>.’</w:t>
      </w:r>
      <w:r>
        <w:rPr>
          <w:rStyle w:val="FootnoteReference"/>
        </w:rPr>
        <w:footnoteReference w:id="97"/>
      </w:r>
      <w:r w:rsidR="003509EB">
        <w:t xml:space="preserve"> Of those who had experienced physical violence, the nature of the violence was summarised by EMC in the graph below</w:t>
      </w:r>
      <w:r w:rsidR="007F583F">
        <w:rPr>
          <w:rStyle w:val="FootnoteReference"/>
        </w:rPr>
        <w:footnoteReference w:id="98"/>
      </w:r>
      <w:r w:rsidR="006E1E6D">
        <w:t>, which contains categories covering both violence and threat of violence</w:t>
      </w:r>
      <w:r w:rsidR="003509EB">
        <w:t xml:space="preserve">. Most of the </w:t>
      </w:r>
      <w:r w:rsidR="006E1E6D">
        <w:t xml:space="preserve">recorded </w:t>
      </w:r>
      <w:r w:rsidR="003509EB">
        <w:t>experiences took place in one of 2 locations</w:t>
      </w:r>
      <w:r w:rsidR="00271D79">
        <w:rPr>
          <w:rStyle w:val="FootnoteReference"/>
        </w:rPr>
        <w:footnoteReference w:id="99"/>
      </w:r>
      <w:r w:rsidR="006E1E6D">
        <w:t>, the ‘street’ (29% of all experiences of physical violence) and ‘online’ (27% of all experiences of physical violence, which appears to relate to the recorded instances of ‘threat’ of violence)</w:t>
      </w:r>
      <w:r w:rsidR="003637CB">
        <w:t>. EMC did not provide a breakdown of experience of physical violence split according to a person’s sexual orientation or gender identity.</w:t>
      </w:r>
    </w:p>
    <w:p w14:paraId="60715797" w14:textId="306698B8" w:rsidR="003509EB" w:rsidRDefault="003509EB" w:rsidP="007F583F">
      <w:pPr>
        <w:pStyle w:val="ListParagraph"/>
        <w:widowControl w:val="0"/>
        <w:numPr>
          <w:ilvl w:val="0"/>
          <w:numId w:val="0"/>
        </w:numPr>
        <w:ind w:left="851"/>
      </w:pPr>
      <w:r>
        <w:rPr>
          <w:noProof/>
        </w:rPr>
        <w:drawing>
          <wp:inline distT="0" distB="0" distL="0" distR="0" wp14:anchorId="748A38AD" wp14:editId="75AD44E6">
            <wp:extent cx="4514850" cy="1819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14850" cy="1819275"/>
                    </a:xfrm>
                    <a:prstGeom prst="rect">
                      <a:avLst/>
                    </a:prstGeom>
                  </pic:spPr>
                </pic:pic>
              </a:graphicData>
            </a:graphic>
          </wp:inline>
        </w:drawing>
      </w:r>
    </w:p>
    <w:p w14:paraId="006B2399" w14:textId="34425579" w:rsidR="00B77516" w:rsidRDefault="00B77516" w:rsidP="001E1516">
      <w:pPr>
        <w:pStyle w:val="ListParagraph"/>
        <w:widowControl w:val="0"/>
      </w:pPr>
      <w:r w:rsidRPr="00B77516">
        <w:t>When EMC looked specifically at p</w:t>
      </w:r>
      <w:r>
        <w:t>sychological</w:t>
      </w:r>
      <w:r w:rsidRPr="00B77516">
        <w:t xml:space="preserve"> violence, the study found</w:t>
      </w:r>
      <w:r>
        <w:t xml:space="preserve"> ‘</w:t>
      </w:r>
      <w:r w:rsidRPr="00B77516">
        <w:t xml:space="preserve">48.4% of respondents have experienced psychological violence in the last 2 </w:t>
      </w:r>
      <w:proofErr w:type="gramStart"/>
      <w:r w:rsidRPr="00B77516">
        <w:t>years</w:t>
      </w:r>
      <w:r>
        <w:t>’</w:t>
      </w:r>
      <w:proofErr w:type="gramEnd"/>
      <w:r>
        <w:t>. This figure varied according to a person’s sexual orientation and gender identity and was highest for trans respondents (81.5%)</w:t>
      </w:r>
      <w:r>
        <w:rPr>
          <w:rStyle w:val="FootnoteReference"/>
        </w:rPr>
        <w:footnoteReference w:id="100"/>
      </w:r>
      <w:r>
        <w:t>.</w:t>
      </w:r>
    </w:p>
    <w:p w14:paraId="1D976832" w14:textId="6AB01B97" w:rsidR="00B77516" w:rsidRDefault="00B77516" w:rsidP="001E1516">
      <w:pPr>
        <w:pStyle w:val="ListParagraph"/>
        <w:widowControl w:val="0"/>
      </w:pPr>
      <w:r>
        <w:t>The sub-categories</w:t>
      </w:r>
      <w:r w:rsidR="00F37DC6">
        <w:t xml:space="preserve"> of</w:t>
      </w:r>
      <w:r>
        <w:t xml:space="preserve"> ‘psychological violence’ </w:t>
      </w:r>
      <w:r w:rsidR="00F37DC6" w:rsidRPr="00F37DC6">
        <w:t xml:space="preserve">showing the nature of the </w:t>
      </w:r>
      <w:r w:rsidR="00F37DC6">
        <w:t>experiences of</w:t>
      </w:r>
      <w:r>
        <w:t xml:space="preserve"> </w:t>
      </w:r>
      <w:r w:rsidR="00F37DC6">
        <w:t>survey respondents were summarised by EMC in the chart below</w:t>
      </w:r>
      <w:r w:rsidR="00236641">
        <w:rPr>
          <w:rStyle w:val="FootnoteReference"/>
        </w:rPr>
        <w:footnoteReference w:id="101"/>
      </w:r>
      <w:r w:rsidR="00F37DC6">
        <w:t>.</w:t>
      </w:r>
      <w:r w:rsidR="00F37DC6" w:rsidRPr="00F37DC6">
        <w:t xml:space="preserve"> </w:t>
      </w:r>
      <w:r w:rsidR="00F37DC6">
        <w:t xml:space="preserve">The chart indicates that the most common types of ‘psychological violence’ experienced by LGBTQ persons </w:t>
      </w:r>
      <w:proofErr w:type="gramStart"/>
      <w:r w:rsidR="00F37DC6">
        <w:t>were:</w:t>
      </w:r>
      <w:proofErr w:type="gramEnd"/>
      <w:r w:rsidR="00F37DC6" w:rsidRPr="00F37DC6">
        <w:t xml:space="preserve"> verbal abuse/humiliation</w:t>
      </w:r>
      <w:r w:rsidR="00F37DC6">
        <w:t>/</w:t>
      </w:r>
      <w:r w:rsidR="00F37DC6" w:rsidRPr="00F37DC6">
        <w:t xml:space="preserve">ridicule (87%), emotional manipulation (53%) and </w:t>
      </w:r>
      <w:r w:rsidR="00F37DC6">
        <w:t>restriction of gender expression (54%).</w:t>
      </w:r>
    </w:p>
    <w:p w14:paraId="436A9693" w14:textId="40EC1626" w:rsidR="00F37DC6" w:rsidRDefault="00F37DC6" w:rsidP="001E1516">
      <w:pPr>
        <w:pStyle w:val="ListParagraph"/>
        <w:widowControl w:val="0"/>
        <w:numPr>
          <w:ilvl w:val="0"/>
          <w:numId w:val="0"/>
        </w:numPr>
        <w:ind w:left="851"/>
      </w:pPr>
      <w:r>
        <w:rPr>
          <w:noProof/>
        </w:rPr>
        <w:lastRenderedPageBreak/>
        <w:drawing>
          <wp:inline distT="0" distB="0" distL="0" distR="0" wp14:anchorId="3C1A854C" wp14:editId="1BADECE2">
            <wp:extent cx="4203631" cy="288607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09918" cy="2890391"/>
                    </a:xfrm>
                    <a:prstGeom prst="rect">
                      <a:avLst/>
                    </a:prstGeom>
                  </pic:spPr>
                </pic:pic>
              </a:graphicData>
            </a:graphic>
          </wp:inline>
        </w:drawing>
      </w:r>
    </w:p>
    <w:p w14:paraId="5C80668D" w14:textId="732A9692" w:rsidR="005C10C2" w:rsidRPr="000D38D8" w:rsidRDefault="0000745E" w:rsidP="001E1516">
      <w:pPr>
        <w:pStyle w:val="ListParagraph"/>
        <w:widowControl w:val="0"/>
      </w:pPr>
      <w:r>
        <w:t>EMC identified the 3 most common locations in which the ‘psychological violence’ took place, ‘</w:t>
      </w:r>
      <w:r w:rsidRPr="0000745E">
        <w:t>Home (48.7%), street (29.8%), and online domain (27.0%)</w:t>
      </w:r>
      <w:r>
        <w:t>.’</w:t>
      </w:r>
      <w:r>
        <w:rPr>
          <w:rStyle w:val="FootnoteReference"/>
        </w:rPr>
        <w:footnoteReference w:id="102"/>
      </w:r>
    </w:p>
    <w:p w14:paraId="3C5F5979" w14:textId="4BB1EC22" w:rsidR="00981494" w:rsidRPr="00981494" w:rsidRDefault="005A32CF" w:rsidP="001E1516">
      <w:pPr>
        <w:pStyle w:val="ListParagraph"/>
        <w:widowControl w:val="0"/>
      </w:pPr>
      <w:r w:rsidRPr="005A32CF">
        <w:t xml:space="preserve">In June 2020, privately funded JAM News spoke to LGBT </w:t>
      </w:r>
      <w:r w:rsidR="00150875">
        <w:t xml:space="preserve">persons </w:t>
      </w:r>
      <w:r w:rsidRPr="005A32CF">
        <w:t xml:space="preserve">and their parents </w:t>
      </w:r>
      <w:r w:rsidR="00150875">
        <w:t>about their experience of living in Georgia</w:t>
      </w:r>
      <w:r w:rsidRPr="005A32CF">
        <w:t xml:space="preserve">. One individual </w:t>
      </w:r>
      <w:r w:rsidR="00150875">
        <w:t xml:space="preserve">- </w:t>
      </w:r>
      <w:r w:rsidRPr="005A32CF">
        <w:t xml:space="preserve">a lesbian who moved to the USA </w:t>
      </w:r>
      <w:r w:rsidR="00150875">
        <w:t>- said</w:t>
      </w:r>
      <w:r w:rsidRPr="005A32CF">
        <w:t>: ‘Nobody has thrown stones at me on the street, nobody has torn my hair out in public transport, didn’t give me slaps in nightclubs, didn’t splash my face with drinks in bars, nobody has tried to rape me because of my sexual orientation.</w:t>
      </w:r>
      <w:r w:rsidR="00C25353">
        <w:t xml:space="preserve"> </w:t>
      </w:r>
      <w:r w:rsidRPr="005A32CF">
        <w:t xml:space="preserve">Nor has anyone refused me as a tenant or kicked me out of an office or apartment, and no one tried to kill me because I’ve participated in a peaceful demonstration. And all this really happened to me in Georgia, I experienced all this the hard way, and more than once.’ </w:t>
      </w:r>
      <w:r w:rsidRPr="005A32CF">
        <w:rPr>
          <w:vertAlign w:val="superscript"/>
        </w:rPr>
        <w:footnoteReference w:id="103"/>
      </w:r>
    </w:p>
    <w:p w14:paraId="2188ADCF" w14:textId="00BCCBE9" w:rsidR="005459AD" w:rsidRPr="005459AD" w:rsidRDefault="00D36648" w:rsidP="005459AD">
      <w:pPr>
        <w:pStyle w:val="ListParagraph"/>
        <w:widowControl w:val="0"/>
      </w:pPr>
      <w:r>
        <w:t xml:space="preserve">The </w:t>
      </w:r>
      <w:r w:rsidR="00E5178D">
        <w:t xml:space="preserve">WISG </w:t>
      </w:r>
      <w:r>
        <w:t xml:space="preserve">2022 report </w:t>
      </w:r>
      <w:r w:rsidR="00981494" w:rsidRPr="00981494">
        <w:t>stated: ‘…[O]</w:t>
      </w:r>
      <w:proofErr w:type="spellStart"/>
      <w:r w:rsidR="00981494" w:rsidRPr="00981494">
        <w:t>ften</w:t>
      </w:r>
      <w:proofErr w:type="spellEnd"/>
      <w:r w:rsidR="00981494" w:rsidRPr="00981494">
        <w:t xml:space="preserve"> homophobic attitudes expressed through aggression or attack are less directed at lesbians, whom most respondents name as the least vulnerable group in the [LGBT] community.'</w:t>
      </w:r>
      <w:r w:rsidR="00981494" w:rsidRPr="00981494">
        <w:rPr>
          <w:vertAlign w:val="superscript"/>
        </w:rPr>
        <w:footnoteReference w:id="104"/>
      </w:r>
      <w:r w:rsidR="00981494" w:rsidRPr="00981494">
        <w:t xml:space="preserve"> The report noted that </w:t>
      </w:r>
      <w:r w:rsidR="005459AD" w:rsidRPr="005459AD">
        <w:t>representatives of the community and service providers indicated that this was a consequence of their lack of visibility, rather than a valid indicator of public attitudes</w:t>
      </w:r>
      <w:r w:rsidR="005459AD" w:rsidRPr="005459AD">
        <w:rPr>
          <w:vertAlign w:val="superscript"/>
        </w:rPr>
        <w:footnoteReference w:id="105"/>
      </w:r>
      <w:r w:rsidR="005459AD" w:rsidRPr="005459AD">
        <w:t xml:space="preserve">. </w:t>
      </w:r>
    </w:p>
    <w:p w14:paraId="60CEC2C1" w14:textId="138095CD" w:rsidR="00EB118E" w:rsidRDefault="00981494" w:rsidP="001E1516">
      <w:pPr>
        <w:pStyle w:val="ListParagraph"/>
        <w:widowControl w:val="0"/>
      </w:pPr>
      <w:r w:rsidRPr="00981494">
        <w:t>this was a consequence of their lack of visibility, rather than an indication of tolerance</w:t>
      </w:r>
      <w:r w:rsidRPr="00981494">
        <w:rPr>
          <w:vertAlign w:val="superscript"/>
        </w:rPr>
        <w:footnoteReference w:id="106"/>
      </w:r>
      <w:r w:rsidRPr="00981494">
        <w:t>.</w:t>
      </w:r>
    </w:p>
    <w:p w14:paraId="48AA8CC4" w14:textId="6A81F1A6" w:rsidR="00981494" w:rsidRDefault="00000000" w:rsidP="001E1516">
      <w:pPr>
        <w:widowControl w:val="0"/>
        <w:jc w:val="right"/>
        <w:rPr>
          <w:color w:val="0000FF" w:themeColor="hyperlink"/>
          <w:szCs w:val="24"/>
          <w:u w:val="single"/>
        </w:rPr>
      </w:pPr>
      <w:hyperlink w:anchor="contents" w:history="1">
        <w:r w:rsidR="00981494" w:rsidRPr="00981494">
          <w:rPr>
            <w:color w:val="0000FF" w:themeColor="hyperlink"/>
            <w:szCs w:val="24"/>
            <w:u w:val="single"/>
          </w:rPr>
          <w:t>Back to Contents</w:t>
        </w:r>
      </w:hyperlink>
      <w:bookmarkStart w:id="153" w:name="_Hate_speech"/>
      <w:bookmarkEnd w:id="153"/>
    </w:p>
    <w:p w14:paraId="162061E5" w14:textId="15E796DE" w:rsidR="00BA03C4" w:rsidRPr="00BA03C4" w:rsidRDefault="00BA03C4" w:rsidP="001E1516">
      <w:pPr>
        <w:pStyle w:val="Sectionupdate"/>
        <w:widowControl w:val="0"/>
      </w:pPr>
      <w:r w:rsidRPr="00BA03C4">
        <w:t>Section updated: 19 September 2023</w:t>
      </w:r>
    </w:p>
    <w:p w14:paraId="3D998623" w14:textId="5C834CA2" w:rsidR="00981494" w:rsidRPr="00981494" w:rsidRDefault="00981494" w:rsidP="001E1516">
      <w:pPr>
        <w:pStyle w:val="Heading2"/>
        <w:keepNext w:val="0"/>
        <w:keepLines w:val="0"/>
        <w:widowControl w:val="0"/>
      </w:pPr>
      <w:bookmarkStart w:id="154" w:name="_Treatment_by_family"/>
      <w:bookmarkStart w:id="155" w:name="_Culture"/>
      <w:bookmarkStart w:id="156" w:name="_Access_to_accommodation"/>
      <w:bookmarkStart w:id="157" w:name="_Access_to_social"/>
      <w:bookmarkStart w:id="158" w:name="_Access_to_services"/>
      <w:bookmarkStart w:id="159" w:name="_Toc138175675"/>
      <w:bookmarkStart w:id="160" w:name="_Toc141193631"/>
      <w:bookmarkStart w:id="161" w:name="_Toc146698557"/>
      <w:bookmarkStart w:id="162" w:name="_Toc178601193"/>
      <w:bookmarkEnd w:id="154"/>
      <w:bookmarkEnd w:id="155"/>
      <w:bookmarkEnd w:id="156"/>
      <w:bookmarkEnd w:id="157"/>
      <w:bookmarkEnd w:id="158"/>
      <w:r w:rsidRPr="00981494">
        <w:t>Access to s</w:t>
      </w:r>
      <w:r w:rsidR="00AD01B7">
        <w:t>ervices</w:t>
      </w:r>
      <w:bookmarkEnd w:id="159"/>
      <w:bookmarkEnd w:id="160"/>
      <w:bookmarkEnd w:id="161"/>
      <w:bookmarkEnd w:id="162"/>
    </w:p>
    <w:p w14:paraId="45BBC4C1" w14:textId="77777777" w:rsidR="00981494" w:rsidRPr="00981494" w:rsidRDefault="00981494" w:rsidP="001E1516">
      <w:pPr>
        <w:pStyle w:val="Heading3"/>
        <w:keepNext w:val="0"/>
        <w:keepLines w:val="0"/>
        <w:widowControl w:val="0"/>
      </w:pPr>
      <w:bookmarkStart w:id="163" w:name="_Toc138175676"/>
      <w:bookmarkStart w:id="164" w:name="_Toc146698558"/>
      <w:bookmarkStart w:id="165" w:name="_Toc178601194"/>
      <w:r w:rsidRPr="00981494">
        <w:t>Overview</w:t>
      </w:r>
      <w:bookmarkEnd w:id="163"/>
      <w:bookmarkEnd w:id="164"/>
      <w:bookmarkEnd w:id="165"/>
    </w:p>
    <w:p w14:paraId="5E63D430" w14:textId="6BA9C8FC" w:rsidR="0084274B" w:rsidRDefault="0084274B" w:rsidP="001E1516">
      <w:pPr>
        <w:pStyle w:val="ListParagraph"/>
        <w:widowControl w:val="0"/>
      </w:pPr>
      <w:r>
        <w:lastRenderedPageBreak/>
        <w:t xml:space="preserve">The Constitution of Georgia outlines that all citizens have the right to </w:t>
      </w:r>
      <w:proofErr w:type="spellStart"/>
      <w:r w:rsidR="005F7EC9" w:rsidRPr="005F7EC9">
        <w:t>to</w:t>
      </w:r>
      <w:proofErr w:type="spellEnd"/>
      <w:r w:rsidR="005F7EC9" w:rsidRPr="005F7EC9">
        <w:t xml:space="preserve"> own property (Article 19), and the right to education (Article 27) and healthcare (Article 28)</w:t>
      </w:r>
      <w:r w:rsidR="005F7EC9" w:rsidRPr="005F7EC9">
        <w:rPr>
          <w:vertAlign w:val="superscript"/>
        </w:rPr>
        <w:footnoteReference w:id="107"/>
      </w:r>
      <w:r w:rsidR="005F7EC9" w:rsidRPr="005F7EC9">
        <w:t>. The Constitution provides from the right of individuals to freely choose their employment (Article 26)</w:t>
      </w:r>
      <w:r w:rsidR="00764B8F">
        <w:rPr>
          <w:rStyle w:val="FootnoteReference"/>
        </w:rPr>
        <w:footnoteReference w:id="108"/>
      </w:r>
      <w:r w:rsidR="00994645">
        <w:t>.</w:t>
      </w:r>
    </w:p>
    <w:p w14:paraId="63EC8044" w14:textId="2216C3D7" w:rsidR="00B35B50" w:rsidRDefault="00981494" w:rsidP="001E1516">
      <w:pPr>
        <w:pStyle w:val="ListParagraph"/>
        <w:widowControl w:val="0"/>
      </w:pPr>
      <w:r w:rsidRPr="00981494">
        <w:t>Coalition for Equality, an informal association of 11 NGOs, report</w:t>
      </w:r>
      <w:r w:rsidR="00F2038C">
        <w:t>ed</w:t>
      </w:r>
      <w:r w:rsidRPr="00981494" w:rsidDel="004569D3">
        <w:t xml:space="preserve"> </w:t>
      </w:r>
      <w:r w:rsidR="004569D3">
        <w:t xml:space="preserve">in </w:t>
      </w:r>
      <w:r w:rsidRPr="00981494">
        <w:t>March 2022: ‘The LGBTQI community is not a homogeneous group. Thus, different groups have different challenges in accessing social rights. Transgender people are the most vulnerable part of the community…’</w:t>
      </w:r>
      <w:r w:rsidRPr="00981494">
        <w:rPr>
          <w:vertAlign w:val="superscript"/>
        </w:rPr>
        <w:footnoteReference w:id="109"/>
      </w:r>
      <w:r w:rsidRPr="00981494">
        <w:t xml:space="preserve"> </w:t>
      </w:r>
    </w:p>
    <w:p w14:paraId="0EC8F7A8" w14:textId="46653A45" w:rsidR="00B35B50" w:rsidRPr="00B35B50" w:rsidRDefault="00160BFC" w:rsidP="001E1516">
      <w:pPr>
        <w:pStyle w:val="ListParagraph"/>
        <w:widowControl w:val="0"/>
      </w:pPr>
      <w:r w:rsidRPr="00C46BF4">
        <w:t xml:space="preserve">The PDO 2022 </w:t>
      </w:r>
      <w:r w:rsidR="00E6773E" w:rsidRPr="00C46BF4">
        <w:t xml:space="preserve">LGBT+ </w:t>
      </w:r>
      <w:r w:rsidRPr="00C46BF4">
        <w:t>report highlighted</w:t>
      </w:r>
      <w:r w:rsidR="00B35B50" w:rsidRPr="00C46BF4">
        <w:t>:</w:t>
      </w:r>
    </w:p>
    <w:p w14:paraId="2C509F13" w14:textId="61F8D52B" w:rsidR="0084274B" w:rsidRPr="00981494" w:rsidRDefault="00B35B50" w:rsidP="001E1516">
      <w:pPr>
        <w:pStyle w:val="ListParagraph"/>
        <w:widowControl w:val="0"/>
        <w:numPr>
          <w:ilvl w:val="0"/>
          <w:numId w:val="0"/>
        </w:numPr>
        <w:ind w:left="851"/>
      </w:pPr>
      <w:r w:rsidRPr="00C46BF4">
        <w:t>‘Heterosexism in society, as well as restrictions or self-restrictions associated with “coming out,” have a disproportionately negative impact on the LGBT+ group’s social and economic status, exercise of the right to health, and protection of labor rights. As a result, LGBT+ people face significant obstacles in defending their rights and are at risk of being discriminated against or subjected to unequal treatment in almost every aspect of life. As a result, the interdependence of these challenges creates a cycle of social exclusion, from which emancipation is associated with significant difficulties.’</w:t>
      </w:r>
      <w:r>
        <w:rPr>
          <w:rStyle w:val="FootnoteReference"/>
        </w:rPr>
        <w:footnoteReference w:id="110"/>
      </w:r>
    </w:p>
    <w:p w14:paraId="4B325AFD" w14:textId="77777777" w:rsidR="00981494" w:rsidRPr="00981494" w:rsidRDefault="00000000" w:rsidP="001E1516">
      <w:pPr>
        <w:widowControl w:val="0"/>
        <w:jc w:val="right"/>
        <w:rPr>
          <w:color w:val="0000FF"/>
          <w:szCs w:val="24"/>
          <w:u w:val="words"/>
        </w:rPr>
      </w:pPr>
      <w:hyperlink w:anchor="contents" w:history="1">
        <w:r w:rsidR="00981494" w:rsidRPr="00981494">
          <w:rPr>
            <w:color w:val="0000FF" w:themeColor="hyperlink"/>
            <w:szCs w:val="24"/>
            <w:u w:val="single"/>
          </w:rPr>
          <w:t>Back to Contents</w:t>
        </w:r>
      </w:hyperlink>
    </w:p>
    <w:p w14:paraId="65D98781" w14:textId="77777777" w:rsidR="00981494" w:rsidRPr="00981494" w:rsidRDefault="00981494" w:rsidP="001E1516">
      <w:pPr>
        <w:widowControl w:val="0"/>
        <w:numPr>
          <w:ilvl w:val="1"/>
          <w:numId w:val="2"/>
        </w:numPr>
        <w:ind w:left="851" w:hanging="851"/>
        <w:outlineLvl w:val="2"/>
        <w:rPr>
          <w:rFonts w:eastAsiaTheme="majorEastAsia" w:cstheme="majorBidi"/>
          <w:bCs/>
          <w:color w:val="7030A0"/>
          <w:szCs w:val="24"/>
        </w:rPr>
      </w:pPr>
      <w:bookmarkStart w:id="166" w:name="_Toc138175677"/>
      <w:bookmarkStart w:id="167" w:name="_Toc141193632"/>
      <w:bookmarkStart w:id="168" w:name="_Toc146698559"/>
      <w:bookmarkStart w:id="169" w:name="_Toc178601195"/>
      <w:r w:rsidRPr="00981494">
        <w:rPr>
          <w:rFonts w:eastAsiaTheme="majorEastAsia" w:cstheme="majorBidi"/>
          <w:bCs/>
          <w:color w:val="7030A0"/>
          <w:szCs w:val="24"/>
        </w:rPr>
        <w:t>Accommodation</w:t>
      </w:r>
      <w:bookmarkEnd w:id="166"/>
      <w:bookmarkEnd w:id="167"/>
      <w:bookmarkEnd w:id="168"/>
      <w:bookmarkEnd w:id="169"/>
    </w:p>
    <w:p w14:paraId="3408358A" w14:textId="09205FB2" w:rsidR="00A018D6" w:rsidRDefault="00FC57B9" w:rsidP="001E1516">
      <w:pPr>
        <w:pStyle w:val="ListParagraph"/>
        <w:widowControl w:val="0"/>
      </w:pPr>
      <w:r>
        <w:t>The 2020 EMC study asked survey respondents ‘</w:t>
      </w:r>
      <w:r w:rsidRPr="00FC57B9">
        <w:t>Have you ever faced a problem of homelessness during your lifetime</w:t>
      </w:r>
      <w:r>
        <w:t>?’ and 20.9% of respondents replied ‘Yes’</w:t>
      </w:r>
      <w:r w:rsidR="00ED6257">
        <w:t>, while 13</w:t>
      </w:r>
      <w:r w:rsidR="001D3D3D">
        <w:t>.4</w:t>
      </w:r>
      <w:r w:rsidR="00ED6257">
        <w:t>%</w:t>
      </w:r>
      <w:r w:rsidR="001D3D3D">
        <w:t xml:space="preserve"> of respondents refrained from answering the question</w:t>
      </w:r>
      <w:r>
        <w:rPr>
          <w:rStyle w:val="FootnoteReference"/>
        </w:rPr>
        <w:footnoteReference w:id="111"/>
      </w:r>
      <w:r>
        <w:t xml:space="preserve">. However, the EMC study </w:t>
      </w:r>
      <w:r w:rsidR="00673162">
        <w:t>recorded</w:t>
      </w:r>
      <w:r>
        <w:t xml:space="preserve"> multiple causes of homelessness</w:t>
      </w:r>
      <w:r w:rsidR="00673162">
        <w:t>, not all of which were related to the person’s sexual orientation or gender identity. The study found ‘</w:t>
      </w:r>
      <w:r w:rsidR="00673162" w:rsidRPr="00673162">
        <w:t>44.8% of respondents indicated that the experience of homelessness was related to their identity, 11.9% indicated a partial connection, and 43.3% stated that the experience of homelessness was not related to their identity</w:t>
      </w:r>
      <w:r w:rsidR="00673162">
        <w:t>.’</w:t>
      </w:r>
      <w:r w:rsidR="00673162">
        <w:rPr>
          <w:rStyle w:val="FootnoteReference"/>
        </w:rPr>
        <w:footnoteReference w:id="112"/>
      </w:r>
    </w:p>
    <w:p w14:paraId="53128A56" w14:textId="77777777" w:rsidR="00320DC7" w:rsidRDefault="006448B5" w:rsidP="006448B5">
      <w:pPr>
        <w:pStyle w:val="ListParagraph"/>
        <w:widowControl w:val="0"/>
      </w:pPr>
      <w:r>
        <w:t>The PDO 2022 LGBT+ report noted:</w:t>
      </w:r>
    </w:p>
    <w:p w14:paraId="3E510CAC" w14:textId="4F177C90" w:rsidR="006448B5" w:rsidRDefault="006448B5" w:rsidP="00320DC7">
      <w:pPr>
        <w:pStyle w:val="ListParagraph"/>
        <w:widowControl w:val="0"/>
        <w:numPr>
          <w:ilvl w:val="0"/>
          <w:numId w:val="0"/>
        </w:numPr>
        <w:ind w:left="851"/>
      </w:pPr>
      <w:r>
        <w:t>‘Despite the fact that there are homeless shelters in Georgia including Batumi, Kutaisi and Tbilisi municipal shelters, taking those services by LGBT+ community is related to many barriers and is dangerous if we take into consideration the fact that young and adolescent part of LGBT+ community most often faces these problems and risks.’</w:t>
      </w:r>
      <w:r>
        <w:rPr>
          <w:rStyle w:val="FootnoteReference"/>
        </w:rPr>
        <w:footnoteReference w:id="113"/>
      </w:r>
    </w:p>
    <w:p w14:paraId="653059C5" w14:textId="43B7DDB8" w:rsidR="00981494" w:rsidRPr="00981494" w:rsidRDefault="00981494" w:rsidP="001E1516">
      <w:pPr>
        <w:pStyle w:val="ListParagraph"/>
        <w:widowControl w:val="0"/>
      </w:pPr>
      <w:r w:rsidRPr="00981494">
        <w:t>Coalition for Equality</w:t>
      </w:r>
      <w:r w:rsidR="001B4CC3">
        <w:t xml:space="preserve"> noted</w:t>
      </w:r>
      <w:r w:rsidRPr="00981494">
        <w:t xml:space="preserve"> in its </w:t>
      </w:r>
      <w:r w:rsidR="00DD3CFA">
        <w:t xml:space="preserve">March 2022 </w:t>
      </w:r>
      <w:r w:rsidRPr="00981494">
        <w:t>report:</w:t>
      </w:r>
    </w:p>
    <w:p w14:paraId="0AF0C8B7" w14:textId="77777777" w:rsidR="00981494" w:rsidRPr="00981494" w:rsidRDefault="00981494" w:rsidP="001E1516">
      <w:pPr>
        <w:pStyle w:val="ListParagraph"/>
        <w:widowControl w:val="0"/>
        <w:numPr>
          <w:ilvl w:val="0"/>
          <w:numId w:val="0"/>
        </w:numPr>
        <w:ind w:left="851"/>
      </w:pPr>
      <w:r w:rsidRPr="00981494">
        <w:t xml:space="preserve">‘After reaching adulthood, when community members openly express themselves or do a coming-out, they have to leave their families. From the experiences of the study participants, several major differences were </w:t>
      </w:r>
      <w:r w:rsidRPr="00981494">
        <w:lastRenderedPageBreak/>
        <w:t>revealed between the groups, which is also caused by negative perceptions in the patriarchal society of Georgia. For example, unlike gay/bisexual men, lesbian/bisexual women rarely leave their family, regardless of whether they feel supported by family members or not. Transgender women often have to start an independent life before reaching adulthood, which usually means cutting off communication with the family. Transgender men continue to live in a family even after Coming-out.</w:t>
      </w:r>
    </w:p>
    <w:p w14:paraId="6DA03B51" w14:textId="4DED4DB3" w:rsidR="00981494" w:rsidRPr="00981494" w:rsidRDefault="00981494" w:rsidP="001E1516">
      <w:pPr>
        <w:pStyle w:val="ListParagraph"/>
        <w:widowControl w:val="0"/>
        <w:numPr>
          <w:ilvl w:val="0"/>
          <w:numId w:val="0"/>
        </w:numPr>
        <w:ind w:left="851"/>
      </w:pPr>
      <w:r w:rsidRPr="00981494">
        <w:t>‘Due to low incomes, homelessness is common in the LGBTQI community, as well as frequent changes of housing, and daily rentals. Due to the lack of permanent housing, people living under the poverty line are unable to receive social assistance. The homophobic attitudes of the landlords/owners are also problematic, which is why community members refuse to rent homes and are asked to leave apartments due to unjustified reasons.’</w:t>
      </w:r>
      <w:r w:rsidRPr="00981494">
        <w:rPr>
          <w:vertAlign w:val="superscript"/>
        </w:rPr>
        <w:footnoteReference w:id="114"/>
      </w:r>
    </w:p>
    <w:p w14:paraId="37107781" w14:textId="77777777" w:rsidR="00981494" w:rsidRPr="00981494" w:rsidRDefault="00981494" w:rsidP="001E1516">
      <w:pPr>
        <w:widowControl w:val="0"/>
        <w:jc w:val="right"/>
        <w:rPr>
          <w:color w:val="0000FF" w:themeColor="hyperlink"/>
          <w:szCs w:val="24"/>
          <w:u w:val="single"/>
        </w:rPr>
      </w:pPr>
      <w:r w:rsidRPr="00981494">
        <w:rPr>
          <w:color w:val="0000FF"/>
          <w:szCs w:val="24"/>
          <w:u w:val="words"/>
        </w:rPr>
        <w:fldChar w:fldCharType="begin"/>
      </w:r>
      <w:r w:rsidRPr="00981494">
        <w:rPr>
          <w:color w:val="0000FF"/>
          <w:szCs w:val="24"/>
          <w:u w:val="words"/>
        </w:rPr>
        <w:instrText xml:space="preserve"> HYPERLINK  \l "contents" </w:instrText>
      </w:r>
      <w:r w:rsidRPr="00981494">
        <w:rPr>
          <w:color w:val="0000FF"/>
          <w:szCs w:val="24"/>
          <w:u w:val="words"/>
        </w:rPr>
      </w:r>
      <w:r w:rsidRPr="00981494">
        <w:rPr>
          <w:color w:val="0000FF"/>
          <w:szCs w:val="24"/>
          <w:u w:val="words"/>
        </w:rPr>
        <w:fldChar w:fldCharType="separate"/>
      </w:r>
      <w:r w:rsidRPr="00981494">
        <w:rPr>
          <w:color w:val="0000FF" w:themeColor="hyperlink"/>
          <w:szCs w:val="24"/>
          <w:u w:val="single"/>
        </w:rPr>
        <w:t>Back to Contents</w:t>
      </w:r>
    </w:p>
    <w:bookmarkStart w:id="170" w:name="_Healthcare"/>
    <w:bookmarkEnd w:id="170"/>
    <w:p w14:paraId="0DC56B0E" w14:textId="6B9D098A" w:rsidR="00981494" w:rsidRPr="00981494" w:rsidRDefault="00981494" w:rsidP="001E1516">
      <w:pPr>
        <w:pStyle w:val="Heading3"/>
        <w:keepNext w:val="0"/>
        <w:keepLines w:val="0"/>
        <w:widowControl w:val="0"/>
      </w:pPr>
      <w:r w:rsidRPr="00981494">
        <w:rPr>
          <w:color w:val="0000FF"/>
          <w:u w:val="words"/>
        </w:rPr>
        <w:fldChar w:fldCharType="end"/>
      </w:r>
      <w:bookmarkStart w:id="171" w:name="_Toc138175678"/>
      <w:bookmarkStart w:id="172" w:name="_Toc146698560"/>
      <w:bookmarkStart w:id="173" w:name="_Toc178601196"/>
      <w:r w:rsidRPr="00981494">
        <w:t>Healthcare</w:t>
      </w:r>
      <w:bookmarkEnd w:id="171"/>
      <w:bookmarkEnd w:id="172"/>
      <w:bookmarkEnd w:id="173"/>
    </w:p>
    <w:p w14:paraId="32D4580C" w14:textId="0AA03E9C" w:rsidR="00892747" w:rsidRDefault="00892747" w:rsidP="001E1516">
      <w:pPr>
        <w:pStyle w:val="ListParagraph"/>
        <w:widowControl w:val="0"/>
      </w:pPr>
      <w:r>
        <w:t>The 2020 EMC study found ‘</w:t>
      </w:r>
      <w:r w:rsidRPr="00892747">
        <w:t>14.4% of respondents (N=46) stated that they had become victims of discrimination while receiving health care services within the last two years</w:t>
      </w:r>
      <w:r>
        <w:t>…</w:t>
      </w:r>
      <w:r w:rsidRPr="00892747">
        <w:t xml:space="preserve"> Among direct discriminatory acts were mocking attitude (93.5%), inappropriate questions from doctors (79.5%), refusal of service (65.2%), insult or humiliation (58.7%), ignorance of specific needs (54.3%), and breach of confidentiality (50.0%).</w:t>
      </w:r>
      <w:r>
        <w:t>’</w:t>
      </w:r>
      <w:r>
        <w:rPr>
          <w:rStyle w:val="FootnoteReference"/>
        </w:rPr>
        <w:footnoteReference w:id="115"/>
      </w:r>
    </w:p>
    <w:p w14:paraId="534F879A" w14:textId="0B9A2043" w:rsidR="0054654F" w:rsidRDefault="0054654F" w:rsidP="001E1516">
      <w:pPr>
        <w:pStyle w:val="ListParagraph"/>
        <w:widowControl w:val="0"/>
      </w:pPr>
      <w:r w:rsidRPr="0054654F">
        <w:t>In 2021 the PDO highlighted ‘…the unavailability of medical services, including the fact that certain medications or hormonal treatments are not funded under the universal health care program, nor any other special program that would be tailored to the specific needs of transgender people exists.’</w:t>
      </w:r>
      <w:r w:rsidRPr="0054654F">
        <w:rPr>
          <w:vertAlign w:val="superscript"/>
        </w:rPr>
        <w:footnoteReference w:id="116"/>
      </w:r>
    </w:p>
    <w:p w14:paraId="6A9DB3E9" w14:textId="1806AE0B" w:rsidR="001D705D" w:rsidRDefault="00981494" w:rsidP="001E1516">
      <w:pPr>
        <w:pStyle w:val="ListParagraph"/>
        <w:widowControl w:val="0"/>
      </w:pPr>
      <w:r w:rsidRPr="00981494">
        <w:t xml:space="preserve">The </w:t>
      </w:r>
      <w:r w:rsidR="001D705D">
        <w:t xml:space="preserve">PDO 2022 </w:t>
      </w:r>
      <w:r w:rsidR="00643298">
        <w:t xml:space="preserve">LGBT+ </w:t>
      </w:r>
      <w:r w:rsidR="001D705D">
        <w:t>report noted:</w:t>
      </w:r>
    </w:p>
    <w:p w14:paraId="071DE13D" w14:textId="3863E039" w:rsidR="00981494" w:rsidRPr="00981494" w:rsidRDefault="00981494" w:rsidP="001E1516">
      <w:pPr>
        <w:pStyle w:val="ListParagraph"/>
        <w:widowControl w:val="0"/>
        <w:numPr>
          <w:ilvl w:val="0"/>
          <w:numId w:val="0"/>
        </w:numPr>
        <w:ind w:left="851"/>
      </w:pPr>
      <w:r w:rsidRPr="00981494">
        <w:t xml:space="preserve">‘According to Article 5 of the Constitution, Georgia is a social state that is responsible for public health and social protection, while Article 28’s first paragraph states that “a citizen’s right to affordable and high-quality health care services shall be guaranteed by law.” Article 6 of Georgia’s Patient Rights Law states that “patients may not be discriminated against on the basis of race, skin </w:t>
      </w:r>
      <w:proofErr w:type="spellStart"/>
      <w:r w:rsidRPr="00981494">
        <w:t>color</w:t>
      </w:r>
      <w:proofErr w:type="spellEnd"/>
      <w:r w:rsidRPr="00981494">
        <w:t>, language, sex, genetic heritage, belief and religion, political and other opinions, national, ethnic, or social origin, property and social status, place of residence, illness, sexual orientation, or negative personal attitude”. The similar norm on the prohibition of discrimination is enshrined in the Law of Georgia on Health Care.</w:t>
      </w:r>
    </w:p>
    <w:p w14:paraId="33D62B4B" w14:textId="0CA08FCF" w:rsidR="00981494" w:rsidRPr="00981494" w:rsidRDefault="00981494" w:rsidP="001E1516">
      <w:pPr>
        <w:pStyle w:val="ListParagraph"/>
        <w:widowControl w:val="0"/>
        <w:numPr>
          <w:ilvl w:val="2"/>
          <w:numId w:val="0"/>
        </w:numPr>
        <w:ind w:left="851"/>
      </w:pPr>
      <w:r>
        <w:t>‘Despite the fact that Georgian law protects LGBT+ people from discrimination, unequal treatment is still prevalent in the medical sector.… [E]</w:t>
      </w:r>
      <w:proofErr w:type="spellStart"/>
      <w:r>
        <w:t>ven</w:t>
      </w:r>
      <w:proofErr w:type="spellEnd"/>
      <w:r>
        <w:t xml:space="preserve"> when members of the LBGT+ community had no negative experiences with medical personnel, they frequently avoided visiting the doctor, except in cases of absolute necessity. In addition, various studies show that in the cases when LGBT+ community members need to use </w:t>
      </w:r>
      <w:r>
        <w:lastRenderedPageBreak/>
        <w:t>medical services (and this is in some ways related to their identity or sexual behaviour) they refrain from providing exhaustive information to the doctor, which might harm their health and effectiveness of their treatment</w:t>
      </w:r>
      <w:r w:rsidRPr="00981494">
        <w:t>.’</w:t>
      </w:r>
      <w:r w:rsidRPr="00981494">
        <w:rPr>
          <w:vertAlign w:val="superscript"/>
        </w:rPr>
        <w:footnoteReference w:id="117"/>
      </w:r>
    </w:p>
    <w:p w14:paraId="3A47B4F6" w14:textId="22D7A54F" w:rsidR="00981494" w:rsidRPr="00981494" w:rsidRDefault="0019102B" w:rsidP="001E1516">
      <w:pPr>
        <w:pStyle w:val="ListParagraph"/>
        <w:widowControl w:val="0"/>
      </w:pPr>
      <w:r>
        <w:t xml:space="preserve">In March 2022, the </w:t>
      </w:r>
      <w:r w:rsidR="00981494" w:rsidRPr="00981494">
        <w:t>Coalition for Equality noted: ‘Discriminatory, stereotypical attitudes and low sensitivity of medical staff are some of the obstacles to LGBTQI people while using health services…LGBTQI people choose a doctor and a medical facility to receive medical care on the recommendation of other community members, acquaintances, social workers, and/or community organizations.’</w:t>
      </w:r>
      <w:r w:rsidR="00981494" w:rsidRPr="00981494">
        <w:rPr>
          <w:vertAlign w:val="superscript"/>
        </w:rPr>
        <w:footnoteReference w:id="118"/>
      </w:r>
    </w:p>
    <w:p w14:paraId="70E77AC0" w14:textId="77777777" w:rsidR="00430EC8" w:rsidRDefault="00345CE8" w:rsidP="00430EC8">
      <w:pPr>
        <w:pStyle w:val="ListParagraph"/>
        <w:widowControl w:val="0"/>
      </w:pPr>
      <w:r>
        <w:t xml:space="preserve">Equality Movement offers a free and anonymous doctors service. This includes medical consultations, treatment appointments, </w:t>
      </w:r>
      <w:r w:rsidR="00B16CE8">
        <w:t xml:space="preserve">referrals to appropriate medical services, </w:t>
      </w:r>
      <w:r w:rsidR="004061AF">
        <w:t>blood tests and providing competent information on</w:t>
      </w:r>
      <w:r w:rsidR="00BA492C">
        <w:t xml:space="preserve"> </w:t>
      </w:r>
      <w:r w:rsidR="009A6CDA">
        <w:t xml:space="preserve">HIV/AIDS prevention medication </w:t>
      </w:r>
      <w:r w:rsidR="00BA492C" w:rsidRPr="00BA492C">
        <w:t xml:space="preserve">Pre-exposure prophylaxis </w:t>
      </w:r>
      <w:r w:rsidR="00BA492C">
        <w:t>(</w:t>
      </w:r>
      <w:r w:rsidR="004061AF">
        <w:t>PrEP</w:t>
      </w:r>
      <w:r w:rsidR="00BA492C">
        <w:t xml:space="preserve">) </w:t>
      </w:r>
      <w:r w:rsidR="004061AF">
        <w:rPr>
          <w:rStyle w:val="FootnoteReference"/>
        </w:rPr>
        <w:footnoteReference w:id="119"/>
      </w:r>
      <w:r w:rsidR="001E0CE2">
        <w:t>.</w:t>
      </w:r>
    </w:p>
    <w:p w14:paraId="67E4C10E" w14:textId="77777777" w:rsidR="00430EC8" w:rsidRDefault="00191052" w:rsidP="00430EC8">
      <w:pPr>
        <w:pStyle w:val="ListParagraph"/>
        <w:widowControl w:val="0"/>
      </w:pPr>
      <w:r>
        <w:t xml:space="preserve">The same report stated the following with regard to financial aspects of accessing healthcare: </w:t>
      </w:r>
    </w:p>
    <w:p w14:paraId="716645FC" w14:textId="5BD3D023" w:rsidR="00430EC8" w:rsidRDefault="00191052" w:rsidP="00430EC8">
      <w:pPr>
        <w:pStyle w:val="ListParagraph"/>
        <w:widowControl w:val="0"/>
        <w:numPr>
          <w:ilvl w:val="0"/>
          <w:numId w:val="0"/>
        </w:numPr>
        <w:ind w:left="851"/>
      </w:pPr>
      <w:r>
        <w:t>‘LGBTQI people face several major challenges in accessing health services. Lack of financial resources is cited as a major limiting factor for accessing medicines, scheduled or emergency medical procedures. Some of the sur- vey respondents have experienced receiving the amount (or part of the amount) needed for treatment from the state or community organizations, however such cases are rare, and they do not cover the complex needs of community members.’</w:t>
      </w:r>
      <w:r>
        <w:rPr>
          <w:rStyle w:val="FootnoteReference"/>
        </w:rPr>
        <w:footnoteReference w:id="120"/>
      </w:r>
      <w:r>
        <w:t xml:space="preserve"> </w:t>
      </w:r>
    </w:p>
    <w:p w14:paraId="6E78E748" w14:textId="77777777" w:rsidR="00813F1D" w:rsidRDefault="00191052" w:rsidP="00776526">
      <w:pPr>
        <w:pStyle w:val="ListParagraph"/>
        <w:widowControl w:val="0"/>
      </w:pPr>
      <w:r>
        <w:t xml:space="preserve">The Coalition for Equality also noted the following in relation to HIV/AIDS: </w:t>
      </w:r>
    </w:p>
    <w:p w14:paraId="383C92E8" w14:textId="77777777" w:rsidR="00813F1D" w:rsidRDefault="00191052" w:rsidP="00813F1D">
      <w:pPr>
        <w:pStyle w:val="ListParagraph"/>
        <w:widowControl w:val="0"/>
        <w:numPr>
          <w:ilvl w:val="0"/>
          <w:numId w:val="0"/>
        </w:numPr>
        <w:ind w:left="851"/>
      </w:pPr>
      <w:r>
        <w:t xml:space="preserve">‘…the rate of [HIV] testing and status detection is low. Focus group respondents pointed to several key issues in accessing HIV services. Nearly all participants in the study spoke about the practice of breaching confidentiality by the medical providers. Among the challenges was the geographical (territorial) location of the medical facility, which creates ad- </w:t>
      </w:r>
      <w:proofErr w:type="spellStart"/>
      <w:r>
        <w:t>ditional</w:t>
      </w:r>
      <w:proofErr w:type="spellEnd"/>
      <w:r>
        <w:t xml:space="preserve"> difficulties in obtaining the service. </w:t>
      </w:r>
    </w:p>
    <w:p w14:paraId="0F066474" w14:textId="746A9755" w:rsidR="00430EC8" w:rsidRDefault="00191052" w:rsidP="00813F1D">
      <w:pPr>
        <w:pStyle w:val="ListParagraph"/>
        <w:widowControl w:val="0"/>
        <w:numPr>
          <w:ilvl w:val="0"/>
          <w:numId w:val="0"/>
        </w:numPr>
        <w:ind w:left="851"/>
      </w:pPr>
      <w:r>
        <w:t xml:space="preserve">‘Although all HIV-related services are free for Georgian citizens, the study participants also mentioned other concomitant chronic diseases, the treat- </w:t>
      </w:r>
      <w:proofErr w:type="spellStart"/>
      <w:r>
        <w:t>ment</w:t>
      </w:r>
      <w:proofErr w:type="spellEnd"/>
      <w:r>
        <w:t xml:space="preserve"> of which is not covered by the state. Part of the community, especially the transgender community, named the issue of starting a treatment or dis- continuation of treatment as an important problem. The reasons for such practices were the stigma associated with HIV and the LGBTQI community, as well as the lack of information about the side effects of medications, and the lack of a support system.’</w:t>
      </w:r>
      <w:r>
        <w:rPr>
          <w:rStyle w:val="FootnoteReference"/>
        </w:rPr>
        <w:footnoteReference w:id="121"/>
      </w:r>
      <w:r>
        <w:t xml:space="preserve"> </w:t>
      </w:r>
    </w:p>
    <w:p w14:paraId="63D5D561" w14:textId="77777777" w:rsidR="00430EC8" w:rsidRDefault="00191052" w:rsidP="00FD4148">
      <w:pPr>
        <w:pStyle w:val="ListParagraph"/>
        <w:widowControl w:val="0"/>
      </w:pPr>
      <w:r>
        <w:t xml:space="preserve">The Coalition for Equality also note the following with regard to access to healthcare for transgender persons: </w:t>
      </w:r>
    </w:p>
    <w:p w14:paraId="6842970D" w14:textId="77777777" w:rsidR="00B17B45" w:rsidRDefault="00191052" w:rsidP="00430EC8">
      <w:pPr>
        <w:pStyle w:val="ListParagraph"/>
        <w:widowControl w:val="0"/>
        <w:numPr>
          <w:ilvl w:val="0"/>
          <w:numId w:val="0"/>
        </w:numPr>
        <w:ind w:left="851"/>
      </w:pPr>
      <w:r>
        <w:t xml:space="preserve">‘Access to health care for trans- gender people is hampered by economic </w:t>
      </w:r>
      <w:r>
        <w:lastRenderedPageBreak/>
        <w:t xml:space="preserve">vulnerability, transphobic attitudes, and the lack of trans-specific guidelines and protocols… Without national protocols and guidelines, health care providers are forced to rely on guidelines of other countries that may not cover or neglect Georgia’s context and special needs… </w:t>
      </w:r>
    </w:p>
    <w:p w14:paraId="2089F9A9" w14:textId="0DE801C5" w:rsidR="00191052" w:rsidRDefault="00B17B45" w:rsidP="00430EC8">
      <w:pPr>
        <w:pStyle w:val="ListParagraph"/>
        <w:widowControl w:val="0"/>
        <w:numPr>
          <w:ilvl w:val="0"/>
          <w:numId w:val="0"/>
        </w:numPr>
        <w:ind w:left="851"/>
      </w:pPr>
      <w:r>
        <w:t>‘</w:t>
      </w:r>
      <w:r w:rsidR="00191052">
        <w:t xml:space="preserve">The transgender women and men in the focus groups pointed out the problems in the process of hormonal therapy. Respondents indicated that receiving a consultation with a doctor and taking hormonal drugs is difficult due to lack of finances. Members of the LGBTQI community have tried to get funding for hormonal therapy from the state, but they were denied. </w:t>
      </w:r>
    </w:p>
    <w:p w14:paraId="21207A53" w14:textId="2A9ACA95" w:rsidR="00E66E69" w:rsidRDefault="00C777C1" w:rsidP="00C777C1">
      <w:pPr>
        <w:pStyle w:val="ListParagraph"/>
        <w:widowControl w:val="0"/>
        <w:numPr>
          <w:ilvl w:val="0"/>
          <w:numId w:val="0"/>
        </w:numPr>
        <w:ind w:left="851"/>
      </w:pPr>
      <w:r>
        <w:t>‘</w:t>
      </w:r>
      <w:r w:rsidR="00191052">
        <w:t xml:space="preserve">Due to lack of access to financial resources, some transgender people are forced to refuse therapy or take medications irregularly. When therapy is continued, transgender people are no longer able to meet other basic needs. Respondents recalled cases when community members were </w:t>
      </w:r>
      <w:proofErr w:type="spellStart"/>
      <w:r w:rsidR="00191052">
        <w:t>tak</w:t>
      </w:r>
      <w:proofErr w:type="spellEnd"/>
      <w:r w:rsidR="00191052">
        <w:t xml:space="preserve">- </w:t>
      </w:r>
      <w:proofErr w:type="spellStart"/>
      <w:r w:rsidR="00191052">
        <w:t>ing</w:t>
      </w:r>
      <w:proofErr w:type="spellEnd"/>
      <w:r w:rsidR="00191052">
        <w:t xml:space="preserve"> cheap hormonal medications without an endocrinologist prescription, which had a negative impact on their health.’</w:t>
      </w:r>
      <w:r w:rsidR="00191052">
        <w:rPr>
          <w:rStyle w:val="FootnoteReference"/>
        </w:rPr>
        <w:footnoteReference w:id="122"/>
      </w:r>
      <w:r w:rsidR="00191052">
        <w:t xml:space="preserve"> </w:t>
      </w:r>
    </w:p>
    <w:p w14:paraId="6FA8793C" w14:textId="1A3F43D2" w:rsidR="00345CE8" w:rsidRPr="00981494" w:rsidRDefault="00530C51" w:rsidP="001E1516">
      <w:pPr>
        <w:pStyle w:val="ListParagraph"/>
        <w:widowControl w:val="0"/>
      </w:pPr>
      <w:r>
        <w:t>Equ</w:t>
      </w:r>
      <w:r w:rsidR="00876A08">
        <w:t>a</w:t>
      </w:r>
      <w:r>
        <w:t xml:space="preserve">lity Movement </w:t>
      </w:r>
      <w:r w:rsidR="00170A31">
        <w:t xml:space="preserve">also </w:t>
      </w:r>
      <w:r>
        <w:t xml:space="preserve">provides LGBTQ+ individuals </w:t>
      </w:r>
      <w:r w:rsidR="009C0896">
        <w:t xml:space="preserve">with free psychological services </w:t>
      </w:r>
      <w:r w:rsidR="0037142C">
        <w:t xml:space="preserve">such as individual therapy, family therapy, clinical tests </w:t>
      </w:r>
      <w:r w:rsidR="00400112">
        <w:t>, psycho</w:t>
      </w:r>
      <w:r w:rsidR="009A61DB">
        <w:t>-diagnostics</w:t>
      </w:r>
      <w:r w:rsidR="00170A31">
        <w:t xml:space="preserve"> and other</w:t>
      </w:r>
      <w:r w:rsidR="00455F32">
        <w:t xml:space="preserve"> assistance </w:t>
      </w:r>
      <w:r w:rsidR="00170A31">
        <w:t>provided by</w:t>
      </w:r>
      <w:r w:rsidR="00F62BD6">
        <w:t xml:space="preserve"> multidisciplin</w:t>
      </w:r>
      <w:r w:rsidR="00170A31">
        <w:t>ary</w:t>
      </w:r>
      <w:r w:rsidR="00F62BD6">
        <w:t xml:space="preserve"> professionals </w:t>
      </w:r>
      <w:r w:rsidR="00F62BD6">
        <w:rPr>
          <w:rStyle w:val="FootnoteReference"/>
        </w:rPr>
        <w:footnoteReference w:id="123"/>
      </w:r>
      <w:r w:rsidR="00170A31">
        <w:t>.</w:t>
      </w:r>
    </w:p>
    <w:p w14:paraId="6BF61D9A" w14:textId="77777777" w:rsidR="00981494" w:rsidRPr="00981494" w:rsidRDefault="00000000" w:rsidP="001E1516">
      <w:pPr>
        <w:widowControl w:val="0"/>
        <w:jc w:val="right"/>
        <w:rPr>
          <w:color w:val="0000FF"/>
          <w:szCs w:val="24"/>
          <w:u w:val="words"/>
        </w:rPr>
      </w:pPr>
      <w:hyperlink w:anchor="contents" w:history="1">
        <w:r w:rsidR="00981494" w:rsidRPr="00981494">
          <w:rPr>
            <w:color w:val="0000FF" w:themeColor="hyperlink"/>
            <w:szCs w:val="24"/>
            <w:u w:val="single"/>
          </w:rPr>
          <w:t>Back to Contents</w:t>
        </w:r>
      </w:hyperlink>
    </w:p>
    <w:p w14:paraId="29691830" w14:textId="5EC84663" w:rsidR="00811ADE" w:rsidRDefault="00811ADE" w:rsidP="00811ADE">
      <w:pPr>
        <w:pStyle w:val="Heading3"/>
        <w:keepNext w:val="0"/>
        <w:keepLines w:val="0"/>
        <w:widowControl w:val="0"/>
      </w:pPr>
      <w:bookmarkStart w:id="174" w:name="_Employment"/>
      <w:bookmarkStart w:id="175" w:name="_Toc138175679"/>
      <w:bookmarkStart w:id="176" w:name="_Toc146698561"/>
      <w:bookmarkStart w:id="177" w:name="_Toc178601197"/>
      <w:bookmarkEnd w:id="174"/>
      <w:r>
        <w:t>Education</w:t>
      </w:r>
      <w:bookmarkEnd w:id="177"/>
    </w:p>
    <w:p w14:paraId="415B1FB9" w14:textId="77777777" w:rsidR="00F42A6C" w:rsidRDefault="00811ADE" w:rsidP="00811ADE">
      <w:pPr>
        <w:pStyle w:val="ListParagraph"/>
        <w:widowControl w:val="0"/>
      </w:pPr>
      <w:r>
        <w:t xml:space="preserve">EMC’s research stated the following: </w:t>
      </w:r>
    </w:p>
    <w:p w14:paraId="5EC38FB3" w14:textId="54A46247" w:rsidR="00811ADE" w:rsidRDefault="00811ADE" w:rsidP="00F42A6C">
      <w:pPr>
        <w:pStyle w:val="ListParagraph"/>
        <w:widowControl w:val="0"/>
        <w:numPr>
          <w:ilvl w:val="0"/>
          <w:numId w:val="0"/>
        </w:numPr>
        <w:ind w:left="851"/>
      </w:pPr>
      <w:r>
        <w:t xml:space="preserve">‘Research shows that LGBTQ people have limited access to education… The most acute problems among educational institutions at various levels were identified at the school level, which is a vulnerable age for young LGBTQ people. Unsupportive </w:t>
      </w:r>
      <w:proofErr w:type="spellStart"/>
      <w:r>
        <w:t>envi</w:t>
      </w:r>
      <w:proofErr w:type="spellEnd"/>
      <w:r>
        <w:t xml:space="preserve">- </w:t>
      </w:r>
      <w:proofErr w:type="spellStart"/>
      <w:r>
        <w:t>ronment</w:t>
      </w:r>
      <w:proofErr w:type="spellEnd"/>
      <w:r>
        <w:t xml:space="preserve"> in school spaces has the most negative impact on the future lives of individuals as it forms a foundation that ensures the transition to adulthood. The research shows that for 32.2% of the respondents (N = 292) the barrier to general education is homophobic discrimination by teachers and/or the school administration, and for 41.9% homophobic bullying by classmates/schoolchildren. It is noteworthy that of the respondents who ex- </w:t>
      </w:r>
      <w:proofErr w:type="spellStart"/>
      <w:r>
        <w:t>perienced</w:t>
      </w:r>
      <w:proofErr w:type="spellEnd"/>
      <w:r>
        <w:t xml:space="preserve"> barriers to general education due to their sexual orientation or gender identity (N = 136), 44.1% missed school days.’</w:t>
      </w:r>
      <w:r>
        <w:rPr>
          <w:rStyle w:val="FootnoteReference"/>
        </w:rPr>
        <w:footnoteReference w:id="124"/>
      </w:r>
    </w:p>
    <w:p w14:paraId="067C2922" w14:textId="77777777" w:rsidR="00F42A6C" w:rsidRPr="00981494" w:rsidRDefault="00000000" w:rsidP="00F42A6C">
      <w:pPr>
        <w:widowControl w:val="0"/>
        <w:jc w:val="right"/>
        <w:rPr>
          <w:color w:val="0000FF"/>
          <w:szCs w:val="24"/>
          <w:u w:val="words"/>
        </w:rPr>
      </w:pPr>
      <w:hyperlink w:anchor="contents" w:history="1">
        <w:r w:rsidR="00F42A6C" w:rsidRPr="00981494">
          <w:rPr>
            <w:color w:val="0000FF" w:themeColor="hyperlink"/>
            <w:szCs w:val="24"/>
            <w:u w:val="single"/>
          </w:rPr>
          <w:t>Back to Contents</w:t>
        </w:r>
      </w:hyperlink>
    </w:p>
    <w:p w14:paraId="47573FA4" w14:textId="1F30ACFD" w:rsidR="00811ADE" w:rsidRPr="00811ADE" w:rsidRDefault="00981494" w:rsidP="00811ADE">
      <w:pPr>
        <w:pStyle w:val="Heading3"/>
        <w:keepNext w:val="0"/>
        <w:keepLines w:val="0"/>
        <w:widowControl w:val="0"/>
      </w:pPr>
      <w:bookmarkStart w:id="178" w:name="_Toc178601198"/>
      <w:r w:rsidRPr="00981494">
        <w:t>Employment</w:t>
      </w:r>
      <w:bookmarkEnd w:id="175"/>
      <w:bookmarkEnd w:id="176"/>
      <w:bookmarkEnd w:id="178"/>
    </w:p>
    <w:p w14:paraId="558B5830" w14:textId="08C58C71" w:rsidR="008207D6" w:rsidRDefault="008207D6" w:rsidP="008207D6">
      <w:pPr>
        <w:pStyle w:val="ListParagraph"/>
        <w:widowControl w:val="0"/>
      </w:pPr>
      <w:r>
        <w:t>The USSD HR report 2022 noted that ‘Discrimination in the workplace was widespread. LGBTQI+ activists said discrimination based on gender identity and sexual orientation remained widespread and underreported.’</w:t>
      </w:r>
      <w:r>
        <w:rPr>
          <w:rStyle w:val="FootnoteReference"/>
        </w:rPr>
        <w:footnoteReference w:id="125"/>
      </w:r>
    </w:p>
    <w:p w14:paraId="65237605" w14:textId="55E53767" w:rsidR="007A5E32" w:rsidRDefault="007A5E32" w:rsidP="001E1516">
      <w:pPr>
        <w:pStyle w:val="ListParagraph"/>
        <w:widowControl w:val="0"/>
      </w:pPr>
      <w:r>
        <w:t xml:space="preserve">EMC’s research, published in 2020, asked respondents how open they were </w:t>
      </w:r>
      <w:r w:rsidRPr="007A5E32">
        <w:t xml:space="preserve">with co-workers </w:t>
      </w:r>
      <w:r>
        <w:t xml:space="preserve">about their sexual orientation. The percentage of </w:t>
      </w:r>
      <w:r>
        <w:lastRenderedPageBreak/>
        <w:t xml:space="preserve">respondents who reported </w:t>
      </w:r>
      <w:r w:rsidR="00D76F38">
        <w:t xml:space="preserve">that </w:t>
      </w:r>
      <w:r>
        <w:t xml:space="preserve">they were open </w:t>
      </w:r>
      <w:r w:rsidR="00D76F38">
        <w:t>with ‘All’ or ‘Most’ of their co-workers was:</w:t>
      </w:r>
    </w:p>
    <w:p w14:paraId="7D63B623" w14:textId="250AD76A" w:rsidR="00D76F38" w:rsidRDefault="00D76F38" w:rsidP="007F583F">
      <w:pPr>
        <w:pStyle w:val="Bulletpoint"/>
        <w:widowControl w:val="0"/>
        <w:spacing w:after="0"/>
      </w:pPr>
      <w:r>
        <w:t>Lesbian – 57.7%</w:t>
      </w:r>
    </w:p>
    <w:p w14:paraId="01D6969F" w14:textId="2E3A24E0" w:rsidR="00D76F38" w:rsidRDefault="00D76F38" w:rsidP="007F583F">
      <w:pPr>
        <w:pStyle w:val="Bulletpoint"/>
        <w:widowControl w:val="0"/>
        <w:spacing w:after="0"/>
      </w:pPr>
      <w:r>
        <w:t>Gay – 57.7%</w:t>
      </w:r>
    </w:p>
    <w:p w14:paraId="73F6899F" w14:textId="3BC0149D" w:rsidR="00D76F38" w:rsidRDefault="00D76F38" w:rsidP="007F583F">
      <w:pPr>
        <w:pStyle w:val="Bulletpoint"/>
        <w:widowControl w:val="0"/>
        <w:spacing w:after="0"/>
      </w:pPr>
      <w:r>
        <w:t>Bisexual woman – 20%</w:t>
      </w:r>
    </w:p>
    <w:p w14:paraId="164CA813" w14:textId="44ACBCAA" w:rsidR="00D76F38" w:rsidRDefault="00D76F38" w:rsidP="001E1516">
      <w:pPr>
        <w:pStyle w:val="Bulletpoint"/>
        <w:widowControl w:val="0"/>
      </w:pPr>
      <w:r>
        <w:t>Bisexual man</w:t>
      </w:r>
      <w:r w:rsidR="00BB68E0">
        <w:t xml:space="preserve"> – 65.4%</w:t>
      </w:r>
      <w:r w:rsidR="00BB68E0">
        <w:rPr>
          <w:rStyle w:val="FootnoteReference"/>
        </w:rPr>
        <w:footnoteReference w:id="126"/>
      </w:r>
    </w:p>
    <w:p w14:paraId="731D7F7C" w14:textId="7C2A87B2" w:rsidR="00BB68E0" w:rsidRDefault="00BB68E0" w:rsidP="001E1516">
      <w:pPr>
        <w:pStyle w:val="ListParagraph"/>
        <w:widowControl w:val="0"/>
      </w:pPr>
      <w:r>
        <w:t>Of the 320 responses to EMC’s questionnaire</w:t>
      </w:r>
      <w:r w:rsidRPr="00BB68E0">
        <w:t xml:space="preserve"> 68.8% </w:t>
      </w:r>
      <w:r>
        <w:t xml:space="preserve">of </w:t>
      </w:r>
      <w:r w:rsidRPr="00BB68E0">
        <w:t xml:space="preserve">LGBTQ </w:t>
      </w:r>
      <w:r>
        <w:t>persons we</w:t>
      </w:r>
      <w:r w:rsidRPr="00BB68E0">
        <w:t>re employed a</w:t>
      </w:r>
      <w:r>
        <w:t>nd</w:t>
      </w:r>
      <w:r w:rsidRPr="00BB68E0">
        <w:t xml:space="preserve"> 31.3% </w:t>
      </w:r>
      <w:r>
        <w:t>we</w:t>
      </w:r>
      <w:r w:rsidRPr="00BB68E0">
        <w:t>re unemployed</w:t>
      </w:r>
      <w:r w:rsidR="00CE4EAB">
        <w:t>. The 2 largest employment sectors were ‘a</w:t>
      </w:r>
      <w:r w:rsidR="00CE4EAB" w:rsidRPr="00CE4EAB">
        <w:t>rts, entertainment and leisure</w:t>
      </w:r>
      <w:r w:rsidR="00CE4EAB">
        <w:t>’ (32.7% of employed persons) and ‘a</w:t>
      </w:r>
      <w:r w:rsidR="00CE4EAB" w:rsidRPr="00CE4EAB">
        <w:t>ccommodation and catering services</w:t>
      </w:r>
      <w:r w:rsidR="00CE4EAB">
        <w:t>’ (19.2% of employed persons)</w:t>
      </w:r>
      <w:r>
        <w:rPr>
          <w:rStyle w:val="FootnoteReference"/>
        </w:rPr>
        <w:footnoteReference w:id="127"/>
      </w:r>
      <w:r>
        <w:t>.</w:t>
      </w:r>
    </w:p>
    <w:p w14:paraId="45336712" w14:textId="7ED60227" w:rsidR="001D705D" w:rsidRDefault="001D705D" w:rsidP="001E1516">
      <w:pPr>
        <w:pStyle w:val="ListParagraph"/>
        <w:widowControl w:val="0"/>
      </w:pPr>
      <w:r>
        <w:t>The P</w:t>
      </w:r>
      <w:r w:rsidR="000E4334">
        <w:t xml:space="preserve">DO 2022 </w:t>
      </w:r>
      <w:r w:rsidR="00643298">
        <w:t xml:space="preserve">LGBT+ </w:t>
      </w:r>
      <w:r w:rsidR="000E4334">
        <w:t>report noted:</w:t>
      </w:r>
    </w:p>
    <w:p w14:paraId="097BF1DE" w14:textId="4DE4F337" w:rsidR="00981494" w:rsidRPr="00981494" w:rsidRDefault="00981494" w:rsidP="001E1516">
      <w:pPr>
        <w:pStyle w:val="ListParagraph"/>
        <w:widowControl w:val="0"/>
        <w:numPr>
          <w:ilvl w:val="0"/>
          <w:numId w:val="0"/>
        </w:numPr>
        <w:ind w:left="851"/>
      </w:pPr>
      <w:r w:rsidRPr="00981494">
        <w:t>‘In terms of eliminating discrimination in the workplace, the key EU directives, which the State has committed to implementing in the EU-Europe Atomic Energy Union and their Association Agreement, are important</w:t>
      </w:r>
      <w:r w:rsidR="006B4689">
        <w:t>…</w:t>
      </w:r>
      <w:r w:rsidRPr="00981494">
        <w:t xml:space="preserve"> </w:t>
      </w:r>
    </w:p>
    <w:p w14:paraId="72FA978E" w14:textId="305B82C3" w:rsidR="00981494" w:rsidRPr="00981494" w:rsidRDefault="00981494" w:rsidP="001E1516">
      <w:pPr>
        <w:pStyle w:val="ListParagraph"/>
        <w:widowControl w:val="0"/>
        <w:numPr>
          <w:ilvl w:val="0"/>
          <w:numId w:val="0"/>
        </w:numPr>
        <w:ind w:left="851"/>
      </w:pPr>
      <w:r w:rsidRPr="00981494">
        <w:t>‘Georgian legislation has undergone significant changes in creating decent working conditions and prohibiting unequal treatment in the workplace. On September 29, 2020, as a result of the reform of the labor legislation, the Labor Code of Georgia became substantially closer to the EU directives and the requirements of the International Labor Organization</w:t>
      </w:r>
      <w:r w:rsidR="0028395C">
        <w:t>…</w:t>
      </w:r>
      <w:r w:rsidRPr="00981494" w:rsidDel="0028395C">
        <w:t xml:space="preserve"> </w:t>
      </w:r>
      <w:r w:rsidRPr="00981494">
        <w:t>It should also be noted that the Labor Code considered the employer’s direct obligation to take measures to protect the principle of equal treatment of employees in the institution, including the provisions prohibiting discrimination in the labor regulations and other documents and ensuring their implementation.’</w:t>
      </w:r>
      <w:r w:rsidRPr="00981494">
        <w:rPr>
          <w:vertAlign w:val="superscript"/>
        </w:rPr>
        <w:footnoteReference w:id="128"/>
      </w:r>
    </w:p>
    <w:p w14:paraId="7B597419" w14:textId="288124F7" w:rsidR="00981494" w:rsidRPr="00981494" w:rsidRDefault="00EA0998" w:rsidP="001E1516">
      <w:pPr>
        <w:pStyle w:val="ListParagraph"/>
        <w:widowControl w:val="0"/>
      </w:pPr>
      <w:r>
        <w:t xml:space="preserve">In March 2022, the </w:t>
      </w:r>
      <w:r w:rsidR="00981494" w:rsidRPr="00981494">
        <w:t xml:space="preserve">Coalition for Equality noted: </w:t>
      </w:r>
    </w:p>
    <w:p w14:paraId="31C7E71B" w14:textId="7D73EDE5" w:rsidR="00981494" w:rsidRPr="00981494" w:rsidRDefault="00981494" w:rsidP="001E1516">
      <w:pPr>
        <w:pStyle w:val="ListParagraph"/>
        <w:widowControl w:val="0"/>
        <w:numPr>
          <w:ilvl w:val="0"/>
          <w:numId w:val="0"/>
        </w:numPr>
        <w:ind w:left="851"/>
      </w:pPr>
      <w:r w:rsidRPr="00981494">
        <w:t>‘Experiences of cultural exclusion, violence and socio-economic oppression leave some LGBTQI people outside the labor market. Community members are usually represented in low-wage, informal sectors and create “cheap”, volatile workforces…</w:t>
      </w:r>
    </w:p>
    <w:p w14:paraId="5CF9D2BF" w14:textId="77777777" w:rsidR="00981494" w:rsidRPr="00981494" w:rsidRDefault="00981494" w:rsidP="001E1516">
      <w:pPr>
        <w:pStyle w:val="ListParagraph"/>
        <w:widowControl w:val="0"/>
        <w:numPr>
          <w:ilvl w:val="0"/>
          <w:numId w:val="0"/>
        </w:numPr>
        <w:ind w:left="851"/>
      </w:pPr>
      <w:r w:rsidRPr="00981494">
        <w:t>‘[LGBT] Community members face barriers and discriminatory treatment at all stages of the employment relationship – in job search, job interviews, employment, and job performance. Employment opportunities are significantly influenced by openness (coming out) and expression related to sexual orientation or gender identity. Only 21% of LGBTQI people in the workplace are open about their sexual orientation or gender identity, while 34% of community members do not reveal their identities to avoid harassment, threats and/or violence. Participants of in-depth interviews and focus groups indicated that identity could only be revealed in jobs that are LGBTQI-friendly or has internal anti-discrimination mechanisms in place…</w:t>
      </w:r>
    </w:p>
    <w:p w14:paraId="7716BE5A" w14:textId="77777777" w:rsidR="00981494" w:rsidRPr="00981494" w:rsidRDefault="00981494" w:rsidP="001E1516">
      <w:pPr>
        <w:pStyle w:val="ListParagraph"/>
        <w:widowControl w:val="0"/>
        <w:numPr>
          <w:ilvl w:val="0"/>
          <w:numId w:val="0"/>
        </w:numPr>
        <w:ind w:left="851"/>
      </w:pPr>
      <w:r w:rsidRPr="00981494">
        <w:t>‘Respondents named specific entertainment and leisure facilities (clubs, bars, restaurants, hotels, etc.) as LGBTQI-friendly workplaces. Some participants noted that openness and appropriate expression of identity were supported by the employer.</w:t>
      </w:r>
    </w:p>
    <w:p w14:paraId="3E918226" w14:textId="3932BDA7" w:rsidR="00981494" w:rsidRPr="00981494" w:rsidRDefault="00831D2F" w:rsidP="001E1516">
      <w:pPr>
        <w:pStyle w:val="ListParagraph"/>
        <w:widowControl w:val="0"/>
        <w:numPr>
          <w:ilvl w:val="0"/>
          <w:numId w:val="0"/>
        </w:numPr>
        <w:ind w:left="851"/>
      </w:pPr>
      <w:r>
        <w:lastRenderedPageBreak/>
        <w:t>‘</w:t>
      </w:r>
      <w:r w:rsidR="00981494" w:rsidRPr="00981494">
        <w:t>“There are certain trends in some companies. They like when a gay man’ serves them” – gay man.</w:t>
      </w:r>
    </w:p>
    <w:p w14:paraId="6F3AC498" w14:textId="10781803" w:rsidR="00981494" w:rsidRPr="00981494" w:rsidRDefault="00B1150E" w:rsidP="001E1516">
      <w:pPr>
        <w:pStyle w:val="ListParagraph"/>
        <w:widowControl w:val="0"/>
        <w:numPr>
          <w:ilvl w:val="0"/>
          <w:numId w:val="0"/>
        </w:numPr>
        <w:ind w:left="851"/>
      </w:pPr>
      <w:r>
        <w:t>‘</w:t>
      </w:r>
      <w:r w:rsidR="00981494" w:rsidRPr="00981494">
        <w:t xml:space="preserve">“When I was hired, the owner of the bar told me that </w:t>
      </w:r>
      <w:proofErr w:type="gramStart"/>
      <w:r w:rsidR="00981494" w:rsidRPr="00981494">
        <w:t>more ‘queer’</w:t>
      </w:r>
      <w:proofErr w:type="gramEnd"/>
      <w:r w:rsidR="00981494" w:rsidRPr="00981494">
        <w:t xml:space="preserve"> I acted, the cooler it would be. He wanted to sell my image to clients and create a ‘</w:t>
      </w:r>
      <w:proofErr w:type="spellStart"/>
      <w:r w:rsidR="00981494" w:rsidRPr="00981494">
        <w:t>colorful</w:t>
      </w:r>
      <w:proofErr w:type="spellEnd"/>
      <w:r w:rsidR="00981494" w:rsidRPr="00981494">
        <w:t xml:space="preserve"> environment’” – a gay man…</w:t>
      </w:r>
    </w:p>
    <w:p w14:paraId="3C94DE6D" w14:textId="77777777" w:rsidR="00981494" w:rsidRPr="00981494" w:rsidRDefault="00981494" w:rsidP="001E1516">
      <w:pPr>
        <w:pStyle w:val="ListParagraph"/>
        <w:widowControl w:val="0"/>
        <w:numPr>
          <w:ilvl w:val="0"/>
          <w:numId w:val="0"/>
        </w:numPr>
        <w:ind w:left="851"/>
      </w:pPr>
      <w:r w:rsidRPr="00981494">
        <w:t xml:space="preserve">‘The most common forms of discrimination are verbal discrimination (insults, humiliation, ridicule), as well as expulsion and spreading </w:t>
      </w:r>
      <w:proofErr w:type="spellStart"/>
      <w:r w:rsidRPr="00981494">
        <w:t>rumors</w:t>
      </w:r>
      <w:proofErr w:type="spellEnd"/>
      <w:r w:rsidRPr="00981494">
        <w:t>…</w:t>
      </w:r>
    </w:p>
    <w:p w14:paraId="3625C1F5" w14:textId="77777777" w:rsidR="00981494" w:rsidRPr="00981494" w:rsidRDefault="00981494" w:rsidP="001E1516">
      <w:pPr>
        <w:pStyle w:val="ListParagraph"/>
        <w:widowControl w:val="0"/>
        <w:numPr>
          <w:ilvl w:val="0"/>
          <w:numId w:val="0"/>
        </w:numPr>
        <w:ind w:left="851"/>
      </w:pPr>
      <w:r w:rsidRPr="00981494">
        <w:t>‘A significant portion of people in the LGBTQI community, including those surveyed, have had informal work experiences. The most common form of informal labor practice is working in the field of service and entertainment without a contract, based on oral agreement. In addition, lesbian, bisexual, and other non-heterosexual cisgender women work as babysitters, educators, tutors, and caregivers.’</w:t>
      </w:r>
      <w:r w:rsidRPr="00981494">
        <w:rPr>
          <w:vertAlign w:val="superscript"/>
        </w:rPr>
        <w:footnoteReference w:id="129"/>
      </w:r>
    </w:p>
    <w:p w14:paraId="618E9CFB" w14:textId="64CCD057" w:rsidR="00981494" w:rsidRDefault="00000000" w:rsidP="001E1516">
      <w:pPr>
        <w:widowControl w:val="0"/>
        <w:jc w:val="right"/>
        <w:rPr>
          <w:color w:val="0000FF" w:themeColor="hyperlink"/>
          <w:szCs w:val="24"/>
          <w:u w:val="single"/>
        </w:rPr>
      </w:pPr>
      <w:hyperlink w:anchor="contents" w:history="1">
        <w:r w:rsidR="00981494" w:rsidRPr="00981494">
          <w:rPr>
            <w:color w:val="0000FF" w:themeColor="hyperlink"/>
            <w:szCs w:val="24"/>
            <w:u w:val="single"/>
          </w:rPr>
          <w:t>Back to Contents</w:t>
        </w:r>
      </w:hyperlink>
    </w:p>
    <w:p w14:paraId="20618DF9" w14:textId="672E3EF8" w:rsidR="00BA03C4" w:rsidRPr="00BA03C4" w:rsidRDefault="00BA03C4" w:rsidP="001E1516">
      <w:pPr>
        <w:pStyle w:val="Sectionupdate"/>
        <w:widowControl w:val="0"/>
      </w:pPr>
      <w:r w:rsidRPr="00BA03C4">
        <w:t>Section updated: 19 September 2023</w:t>
      </w:r>
    </w:p>
    <w:p w14:paraId="0B7D4261" w14:textId="77777777" w:rsidR="00060EE5" w:rsidRPr="00815691" w:rsidRDefault="00060EE5" w:rsidP="001E1516">
      <w:pPr>
        <w:pStyle w:val="Heading2"/>
        <w:keepNext w:val="0"/>
        <w:keepLines w:val="0"/>
        <w:widowControl w:val="0"/>
      </w:pPr>
      <w:bookmarkStart w:id="180" w:name="_Toc138175672"/>
      <w:bookmarkStart w:id="181" w:name="_Toc146698562"/>
      <w:bookmarkStart w:id="182" w:name="_Toc178601199"/>
      <w:r>
        <w:t>LGBTI community</w:t>
      </w:r>
      <w:bookmarkEnd w:id="180"/>
      <w:bookmarkEnd w:id="181"/>
      <w:bookmarkEnd w:id="182"/>
    </w:p>
    <w:p w14:paraId="5F682BC6" w14:textId="358BC5C0" w:rsidR="00060EE5" w:rsidRDefault="006B7011" w:rsidP="001E1516">
      <w:pPr>
        <w:pStyle w:val="Heading3"/>
        <w:keepNext w:val="0"/>
        <w:keepLines w:val="0"/>
        <w:widowControl w:val="0"/>
      </w:pPr>
      <w:bookmarkStart w:id="183" w:name="_Visibility_and_‘coming"/>
      <w:bookmarkStart w:id="184" w:name="_Lived_experience,_visibility"/>
      <w:bookmarkStart w:id="185" w:name="_Toc138175673"/>
      <w:bookmarkStart w:id="186" w:name="_Toc146698563"/>
      <w:bookmarkStart w:id="187" w:name="_Toc178601200"/>
      <w:bookmarkEnd w:id="183"/>
      <w:bookmarkEnd w:id="184"/>
      <w:r>
        <w:t>Lived experience, v</w:t>
      </w:r>
      <w:r w:rsidR="00060EE5" w:rsidRPr="00981494">
        <w:t>isibility and ‘coming out’</w:t>
      </w:r>
      <w:bookmarkEnd w:id="185"/>
      <w:bookmarkEnd w:id="186"/>
      <w:bookmarkEnd w:id="187"/>
    </w:p>
    <w:p w14:paraId="39E96F57" w14:textId="7665D78D" w:rsidR="00811D56" w:rsidRDefault="00811D56" w:rsidP="00811D56">
      <w:pPr>
        <w:pStyle w:val="ListParagraph"/>
        <w:widowControl w:val="0"/>
      </w:pPr>
      <w:r>
        <w:t>The EMC stated the following regarding the experience of coming out: ‘The research shows that the coming out of members of the LGBTQ community can result in multiple vulnerabilities, including violence, lack of adequate access to education, lack of access to health care, and challenges of homelessness. Consequently, a large percentage of respondents – 63.9% avoid disclosing their sexual orientation, especially in the home/ family, neighbourhood, street, and other public spaces, indicating that there is almost no space reserved for the LGBTQ community members, and they constantly have to control their forms of their presentation/expression.’</w:t>
      </w:r>
      <w:r>
        <w:rPr>
          <w:rStyle w:val="FootnoteReference"/>
        </w:rPr>
        <w:footnoteReference w:id="130"/>
      </w:r>
    </w:p>
    <w:p w14:paraId="5BF6EEF1" w14:textId="2074BFA9" w:rsidR="006B7011" w:rsidRDefault="006B7011" w:rsidP="001E1516">
      <w:pPr>
        <w:pStyle w:val="ListParagraph"/>
        <w:widowControl w:val="0"/>
      </w:pPr>
      <w:r>
        <w:t>The EM</w:t>
      </w:r>
      <w:r w:rsidR="00522B04">
        <w:t>C</w:t>
      </w:r>
      <w:r>
        <w:t xml:space="preserve"> 2020 survey asked 320 respondents ‘Are you happy or not?’ </w:t>
      </w:r>
      <w:r w:rsidR="000A2702">
        <w:t>The results were summarised by EM</w:t>
      </w:r>
      <w:r w:rsidR="00522B04">
        <w:t>C</w:t>
      </w:r>
      <w:r w:rsidR="000A2702">
        <w:t xml:space="preserve"> in the chart below</w:t>
      </w:r>
      <w:r w:rsidR="007F583F">
        <w:rPr>
          <w:rStyle w:val="FootnoteReference"/>
        </w:rPr>
        <w:footnoteReference w:id="131"/>
      </w:r>
      <w:r w:rsidR="000A2702">
        <w:t xml:space="preserve"> and indicate a variation in ‘happiness’ levels </w:t>
      </w:r>
      <w:r w:rsidR="00934D66">
        <w:t>among</w:t>
      </w:r>
      <w:r w:rsidR="000A2702">
        <w:t xml:space="preserve"> </w:t>
      </w:r>
      <w:proofErr w:type="gramStart"/>
      <w:r w:rsidR="000A2702">
        <w:t>person’s</w:t>
      </w:r>
      <w:proofErr w:type="gramEnd"/>
      <w:r w:rsidR="000A2702">
        <w:t xml:space="preserve"> </w:t>
      </w:r>
      <w:r w:rsidR="00745062">
        <w:t xml:space="preserve">with different </w:t>
      </w:r>
      <w:r w:rsidR="000A2702">
        <w:t>sexual orientation</w:t>
      </w:r>
      <w:r w:rsidR="00745062">
        <w:t>s</w:t>
      </w:r>
      <w:r w:rsidR="000A2702">
        <w:t xml:space="preserve"> and gender identit</w:t>
      </w:r>
      <w:r w:rsidR="00745062">
        <w:t>ies</w:t>
      </w:r>
      <w:r w:rsidR="000A2702">
        <w:t>, with transgender respondents the least happy and bisexual men the most happy.</w:t>
      </w:r>
    </w:p>
    <w:p w14:paraId="50272B2C" w14:textId="0A98349B" w:rsidR="000A2702" w:rsidRDefault="0054435F" w:rsidP="007F583F">
      <w:pPr>
        <w:pStyle w:val="ListParagraph"/>
        <w:widowControl w:val="0"/>
        <w:numPr>
          <w:ilvl w:val="0"/>
          <w:numId w:val="0"/>
        </w:numPr>
        <w:ind w:left="851"/>
      </w:pPr>
      <w:r>
        <w:rPr>
          <w:noProof/>
        </w:rPr>
        <w:lastRenderedPageBreak/>
        <w:drawing>
          <wp:inline distT="0" distB="0" distL="0" distR="0" wp14:anchorId="56AD51ED" wp14:editId="0B3BB131">
            <wp:extent cx="5162550" cy="20904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178657" cy="2096942"/>
                    </a:xfrm>
                    <a:prstGeom prst="rect">
                      <a:avLst/>
                    </a:prstGeom>
                  </pic:spPr>
                </pic:pic>
              </a:graphicData>
            </a:graphic>
          </wp:inline>
        </w:drawing>
      </w:r>
    </w:p>
    <w:p w14:paraId="68EE3316" w14:textId="06F2742F" w:rsidR="0054435F" w:rsidRDefault="0054435F" w:rsidP="001E1516">
      <w:pPr>
        <w:pStyle w:val="ListParagraph"/>
        <w:widowControl w:val="0"/>
      </w:pPr>
      <w:r>
        <w:t>The EM</w:t>
      </w:r>
      <w:r w:rsidR="00522B04">
        <w:t>C</w:t>
      </w:r>
      <w:r>
        <w:t xml:space="preserve"> 2020 survey also asked respondents how comfortable they felt in Georgia</w:t>
      </w:r>
      <w:r w:rsidR="00F35FDC">
        <w:rPr>
          <w:rStyle w:val="FootnoteReference"/>
        </w:rPr>
        <w:footnoteReference w:id="132"/>
      </w:r>
      <w:r>
        <w:t>. The results have been summarised by CPIT in the table below.</w:t>
      </w:r>
    </w:p>
    <w:tbl>
      <w:tblPr>
        <w:tblStyle w:val="TableGrid"/>
        <w:tblW w:w="8358" w:type="dxa"/>
        <w:tblInd w:w="851" w:type="dxa"/>
        <w:tblLook w:val="04A0" w:firstRow="1" w:lastRow="0" w:firstColumn="1" w:lastColumn="0" w:noHBand="0" w:noVBand="1"/>
      </w:tblPr>
      <w:tblGrid>
        <w:gridCol w:w="2490"/>
        <w:gridCol w:w="1057"/>
        <w:gridCol w:w="725"/>
        <w:gridCol w:w="1124"/>
        <w:gridCol w:w="1158"/>
        <w:gridCol w:w="964"/>
        <w:gridCol w:w="840"/>
      </w:tblGrid>
      <w:tr w:rsidR="002E08DF" w14:paraId="503E6BEB" w14:textId="77777777" w:rsidTr="002E08DF">
        <w:tc>
          <w:tcPr>
            <w:tcW w:w="2546" w:type="dxa"/>
          </w:tcPr>
          <w:p w14:paraId="4756ACE1" w14:textId="77777777" w:rsidR="0054435F" w:rsidRDefault="0054435F" w:rsidP="00F35FDC">
            <w:pPr>
              <w:pStyle w:val="ListParagraph"/>
              <w:widowControl w:val="0"/>
              <w:numPr>
                <w:ilvl w:val="0"/>
                <w:numId w:val="0"/>
              </w:numPr>
              <w:spacing w:after="0"/>
            </w:pPr>
          </w:p>
        </w:tc>
        <w:tc>
          <w:tcPr>
            <w:tcW w:w="993" w:type="dxa"/>
          </w:tcPr>
          <w:p w14:paraId="63331571" w14:textId="72C9F3FA" w:rsidR="0054435F" w:rsidRDefault="0054435F" w:rsidP="00F35FDC">
            <w:pPr>
              <w:pStyle w:val="ListParagraph"/>
              <w:widowControl w:val="0"/>
              <w:numPr>
                <w:ilvl w:val="0"/>
                <w:numId w:val="0"/>
              </w:numPr>
              <w:spacing w:after="0"/>
            </w:pPr>
            <w:r>
              <w:t>Lesbian</w:t>
            </w:r>
          </w:p>
        </w:tc>
        <w:tc>
          <w:tcPr>
            <w:tcW w:w="728" w:type="dxa"/>
          </w:tcPr>
          <w:p w14:paraId="39CA8ADC" w14:textId="332E8691" w:rsidR="0054435F" w:rsidRDefault="0054435F" w:rsidP="00F35FDC">
            <w:pPr>
              <w:pStyle w:val="ListParagraph"/>
              <w:widowControl w:val="0"/>
              <w:numPr>
                <w:ilvl w:val="0"/>
                <w:numId w:val="0"/>
              </w:numPr>
              <w:spacing w:after="0"/>
            </w:pPr>
            <w:r>
              <w:t>Gay</w:t>
            </w:r>
          </w:p>
        </w:tc>
        <w:tc>
          <w:tcPr>
            <w:tcW w:w="1124" w:type="dxa"/>
          </w:tcPr>
          <w:p w14:paraId="2A3DE899" w14:textId="7C90B1AF" w:rsidR="0054435F" w:rsidRDefault="0054435F" w:rsidP="00F35FDC">
            <w:pPr>
              <w:pStyle w:val="ListParagraph"/>
              <w:widowControl w:val="0"/>
              <w:numPr>
                <w:ilvl w:val="0"/>
                <w:numId w:val="0"/>
              </w:numPr>
              <w:spacing w:after="0"/>
            </w:pPr>
            <w:r>
              <w:t>Bisexual woman</w:t>
            </w:r>
          </w:p>
        </w:tc>
        <w:tc>
          <w:tcPr>
            <w:tcW w:w="1161" w:type="dxa"/>
          </w:tcPr>
          <w:p w14:paraId="241104C9" w14:textId="145DED75" w:rsidR="0054435F" w:rsidRDefault="0054435F" w:rsidP="00F35FDC">
            <w:pPr>
              <w:pStyle w:val="ListParagraph"/>
              <w:widowControl w:val="0"/>
              <w:numPr>
                <w:ilvl w:val="0"/>
                <w:numId w:val="0"/>
              </w:numPr>
              <w:spacing w:after="0"/>
            </w:pPr>
            <w:r>
              <w:t>Bisexual man</w:t>
            </w:r>
          </w:p>
        </w:tc>
        <w:tc>
          <w:tcPr>
            <w:tcW w:w="964" w:type="dxa"/>
          </w:tcPr>
          <w:p w14:paraId="3BF14645" w14:textId="357F685D" w:rsidR="0054435F" w:rsidRDefault="0054435F" w:rsidP="00F35FDC">
            <w:pPr>
              <w:pStyle w:val="ListParagraph"/>
              <w:widowControl w:val="0"/>
              <w:numPr>
                <w:ilvl w:val="0"/>
                <w:numId w:val="0"/>
              </w:numPr>
              <w:spacing w:after="0"/>
            </w:pPr>
            <w:r>
              <w:t>Trans gender</w:t>
            </w:r>
          </w:p>
        </w:tc>
        <w:tc>
          <w:tcPr>
            <w:tcW w:w="842" w:type="dxa"/>
          </w:tcPr>
          <w:p w14:paraId="3221A833" w14:textId="1A2C6DDD" w:rsidR="0054435F" w:rsidRDefault="0054435F" w:rsidP="00F35FDC">
            <w:pPr>
              <w:pStyle w:val="ListParagraph"/>
              <w:widowControl w:val="0"/>
              <w:numPr>
                <w:ilvl w:val="0"/>
                <w:numId w:val="0"/>
              </w:numPr>
              <w:spacing w:after="0"/>
            </w:pPr>
            <w:r>
              <w:t>Other</w:t>
            </w:r>
          </w:p>
        </w:tc>
      </w:tr>
      <w:tr w:rsidR="002E08DF" w14:paraId="159B00AC" w14:textId="77777777" w:rsidTr="002E08DF">
        <w:tc>
          <w:tcPr>
            <w:tcW w:w="2546" w:type="dxa"/>
          </w:tcPr>
          <w:p w14:paraId="05BEE37A" w14:textId="28397FA5" w:rsidR="0054435F" w:rsidRDefault="0054435F" w:rsidP="00F35FDC">
            <w:pPr>
              <w:pStyle w:val="ListParagraph"/>
              <w:widowControl w:val="0"/>
              <w:numPr>
                <w:ilvl w:val="0"/>
                <w:numId w:val="0"/>
              </w:numPr>
              <w:spacing w:after="0"/>
            </w:pPr>
            <w:r>
              <w:t>Very comfortable</w:t>
            </w:r>
          </w:p>
        </w:tc>
        <w:tc>
          <w:tcPr>
            <w:tcW w:w="993" w:type="dxa"/>
          </w:tcPr>
          <w:p w14:paraId="07296F47" w14:textId="2120654C" w:rsidR="0054435F" w:rsidRDefault="000C1768" w:rsidP="00F35FDC">
            <w:pPr>
              <w:pStyle w:val="ListParagraph"/>
              <w:widowControl w:val="0"/>
              <w:numPr>
                <w:ilvl w:val="0"/>
                <w:numId w:val="0"/>
              </w:numPr>
              <w:spacing w:after="0"/>
            </w:pPr>
            <w:r>
              <w:t>10.8</w:t>
            </w:r>
          </w:p>
        </w:tc>
        <w:tc>
          <w:tcPr>
            <w:tcW w:w="728" w:type="dxa"/>
          </w:tcPr>
          <w:p w14:paraId="5B9EB3DC" w14:textId="6BD99823" w:rsidR="0054435F" w:rsidRDefault="000C1768" w:rsidP="00F35FDC">
            <w:pPr>
              <w:pStyle w:val="ListParagraph"/>
              <w:widowControl w:val="0"/>
              <w:numPr>
                <w:ilvl w:val="0"/>
                <w:numId w:val="0"/>
              </w:numPr>
              <w:spacing w:after="0"/>
            </w:pPr>
            <w:r>
              <w:t>15.5</w:t>
            </w:r>
          </w:p>
        </w:tc>
        <w:tc>
          <w:tcPr>
            <w:tcW w:w="1124" w:type="dxa"/>
          </w:tcPr>
          <w:p w14:paraId="7266DA2F" w14:textId="5BB67713" w:rsidR="0054435F" w:rsidRDefault="000C1768" w:rsidP="00F35FDC">
            <w:pPr>
              <w:pStyle w:val="ListParagraph"/>
              <w:widowControl w:val="0"/>
              <w:numPr>
                <w:ilvl w:val="0"/>
                <w:numId w:val="0"/>
              </w:numPr>
              <w:spacing w:after="0"/>
            </w:pPr>
            <w:r>
              <w:t>5.4</w:t>
            </w:r>
          </w:p>
        </w:tc>
        <w:tc>
          <w:tcPr>
            <w:tcW w:w="1161" w:type="dxa"/>
          </w:tcPr>
          <w:p w14:paraId="6ECD200D" w14:textId="3672BA19" w:rsidR="0054435F" w:rsidRDefault="000C1768" w:rsidP="00F35FDC">
            <w:pPr>
              <w:pStyle w:val="ListParagraph"/>
              <w:widowControl w:val="0"/>
              <w:numPr>
                <w:ilvl w:val="0"/>
                <w:numId w:val="0"/>
              </w:numPr>
              <w:spacing w:after="0"/>
            </w:pPr>
            <w:r>
              <w:t>9.7</w:t>
            </w:r>
          </w:p>
        </w:tc>
        <w:tc>
          <w:tcPr>
            <w:tcW w:w="964" w:type="dxa"/>
          </w:tcPr>
          <w:p w14:paraId="4E5390FA" w14:textId="045F260F" w:rsidR="0054435F" w:rsidRDefault="000C1768" w:rsidP="00F35FDC">
            <w:pPr>
              <w:pStyle w:val="ListParagraph"/>
              <w:widowControl w:val="0"/>
              <w:numPr>
                <w:ilvl w:val="0"/>
                <w:numId w:val="0"/>
              </w:numPr>
              <w:spacing w:after="0"/>
            </w:pPr>
            <w:r>
              <w:t>20.6</w:t>
            </w:r>
          </w:p>
        </w:tc>
        <w:tc>
          <w:tcPr>
            <w:tcW w:w="842" w:type="dxa"/>
          </w:tcPr>
          <w:p w14:paraId="76EDA334" w14:textId="330564A7" w:rsidR="0054435F" w:rsidRDefault="000C1768" w:rsidP="00F35FDC">
            <w:pPr>
              <w:pStyle w:val="ListParagraph"/>
              <w:widowControl w:val="0"/>
              <w:numPr>
                <w:ilvl w:val="0"/>
                <w:numId w:val="0"/>
              </w:numPr>
              <w:spacing w:after="0"/>
            </w:pPr>
            <w:r>
              <w:t>20.0</w:t>
            </w:r>
          </w:p>
        </w:tc>
      </w:tr>
      <w:tr w:rsidR="002E08DF" w14:paraId="39236D94" w14:textId="77777777" w:rsidTr="002E08DF">
        <w:tc>
          <w:tcPr>
            <w:tcW w:w="2546" w:type="dxa"/>
          </w:tcPr>
          <w:p w14:paraId="767586D8" w14:textId="1B091D72" w:rsidR="0054435F" w:rsidRDefault="0054435F" w:rsidP="00F35FDC">
            <w:pPr>
              <w:pStyle w:val="ListParagraph"/>
              <w:widowControl w:val="0"/>
              <w:numPr>
                <w:ilvl w:val="0"/>
                <w:numId w:val="0"/>
              </w:numPr>
              <w:spacing w:after="0"/>
            </w:pPr>
            <w:r>
              <w:t>Comfortable</w:t>
            </w:r>
          </w:p>
        </w:tc>
        <w:tc>
          <w:tcPr>
            <w:tcW w:w="993" w:type="dxa"/>
          </w:tcPr>
          <w:p w14:paraId="15C30DCC" w14:textId="308367D4" w:rsidR="0054435F" w:rsidRDefault="000C1768" w:rsidP="00F35FDC">
            <w:pPr>
              <w:pStyle w:val="ListParagraph"/>
              <w:widowControl w:val="0"/>
              <w:numPr>
                <w:ilvl w:val="0"/>
                <w:numId w:val="0"/>
              </w:numPr>
              <w:spacing w:after="0"/>
            </w:pPr>
            <w:r>
              <w:t>19.4</w:t>
            </w:r>
          </w:p>
        </w:tc>
        <w:tc>
          <w:tcPr>
            <w:tcW w:w="728" w:type="dxa"/>
          </w:tcPr>
          <w:p w14:paraId="76F5125D" w14:textId="7752365B" w:rsidR="0054435F" w:rsidRDefault="000C1768" w:rsidP="00F35FDC">
            <w:pPr>
              <w:pStyle w:val="ListParagraph"/>
              <w:widowControl w:val="0"/>
              <w:numPr>
                <w:ilvl w:val="0"/>
                <w:numId w:val="0"/>
              </w:numPr>
              <w:spacing w:after="0"/>
            </w:pPr>
            <w:r>
              <w:t>25.5</w:t>
            </w:r>
          </w:p>
        </w:tc>
        <w:tc>
          <w:tcPr>
            <w:tcW w:w="1124" w:type="dxa"/>
          </w:tcPr>
          <w:p w14:paraId="32CE7006" w14:textId="7042334D" w:rsidR="0054435F" w:rsidRDefault="000C1768" w:rsidP="00F35FDC">
            <w:pPr>
              <w:pStyle w:val="ListParagraph"/>
              <w:widowControl w:val="0"/>
              <w:numPr>
                <w:ilvl w:val="0"/>
                <w:numId w:val="0"/>
              </w:numPr>
              <w:spacing w:after="0"/>
            </w:pPr>
            <w:r>
              <w:t>16.2</w:t>
            </w:r>
          </w:p>
        </w:tc>
        <w:tc>
          <w:tcPr>
            <w:tcW w:w="1161" w:type="dxa"/>
          </w:tcPr>
          <w:p w14:paraId="34AC61EF" w14:textId="3B54A759" w:rsidR="0054435F" w:rsidRDefault="000C1768" w:rsidP="00F35FDC">
            <w:pPr>
              <w:pStyle w:val="ListParagraph"/>
              <w:widowControl w:val="0"/>
              <w:numPr>
                <w:ilvl w:val="0"/>
                <w:numId w:val="0"/>
              </w:numPr>
              <w:spacing w:after="0"/>
            </w:pPr>
            <w:r>
              <w:t>19.4</w:t>
            </w:r>
          </w:p>
        </w:tc>
        <w:tc>
          <w:tcPr>
            <w:tcW w:w="964" w:type="dxa"/>
          </w:tcPr>
          <w:p w14:paraId="5435D9CD" w14:textId="2560129E" w:rsidR="0054435F" w:rsidRDefault="000C1768" w:rsidP="00F35FDC">
            <w:pPr>
              <w:pStyle w:val="ListParagraph"/>
              <w:widowControl w:val="0"/>
              <w:numPr>
                <w:ilvl w:val="0"/>
                <w:numId w:val="0"/>
              </w:numPr>
              <w:spacing w:after="0"/>
            </w:pPr>
            <w:r>
              <w:t>2.9</w:t>
            </w:r>
          </w:p>
        </w:tc>
        <w:tc>
          <w:tcPr>
            <w:tcW w:w="842" w:type="dxa"/>
          </w:tcPr>
          <w:p w14:paraId="30F16E5B" w14:textId="45C4A815" w:rsidR="0054435F" w:rsidRDefault="000C1768" w:rsidP="00F35FDC">
            <w:pPr>
              <w:pStyle w:val="ListParagraph"/>
              <w:widowControl w:val="0"/>
              <w:numPr>
                <w:ilvl w:val="0"/>
                <w:numId w:val="0"/>
              </w:numPr>
              <w:spacing w:after="0"/>
            </w:pPr>
            <w:r>
              <w:t>26.7</w:t>
            </w:r>
          </w:p>
        </w:tc>
      </w:tr>
      <w:tr w:rsidR="002E08DF" w14:paraId="49164A73" w14:textId="77777777" w:rsidTr="002E08DF">
        <w:tc>
          <w:tcPr>
            <w:tcW w:w="2546" w:type="dxa"/>
          </w:tcPr>
          <w:p w14:paraId="1F2F9C69" w14:textId="286160DB" w:rsidR="0054435F" w:rsidRDefault="0054435F" w:rsidP="00F35FDC">
            <w:pPr>
              <w:pStyle w:val="ListParagraph"/>
              <w:widowControl w:val="0"/>
              <w:numPr>
                <w:ilvl w:val="0"/>
                <w:numId w:val="0"/>
              </w:numPr>
              <w:spacing w:after="0"/>
            </w:pPr>
            <w:r>
              <w:t>Partly comfortable/ partly uncomfortable</w:t>
            </w:r>
          </w:p>
        </w:tc>
        <w:tc>
          <w:tcPr>
            <w:tcW w:w="993" w:type="dxa"/>
          </w:tcPr>
          <w:p w14:paraId="0090333A" w14:textId="778F8731" w:rsidR="0054435F" w:rsidRDefault="000C1768" w:rsidP="00F35FDC">
            <w:pPr>
              <w:pStyle w:val="ListParagraph"/>
              <w:widowControl w:val="0"/>
              <w:numPr>
                <w:ilvl w:val="0"/>
                <w:numId w:val="0"/>
              </w:numPr>
              <w:spacing w:after="0"/>
            </w:pPr>
            <w:r>
              <w:t>51.6</w:t>
            </w:r>
          </w:p>
        </w:tc>
        <w:tc>
          <w:tcPr>
            <w:tcW w:w="728" w:type="dxa"/>
          </w:tcPr>
          <w:p w14:paraId="3709EBB2" w14:textId="1A678988" w:rsidR="0054435F" w:rsidRDefault="000C1768" w:rsidP="00F35FDC">
            <w:pPr>
              <w:pStyle w:val="ListParagraph"/>
              <w:widowControl w:val="0"/>
              <w:numPr>
                <w:ilvl w:val="0"/>
                <w:numId w:val="0"/>
              </w:numPr>
              <w:spacing w:after="0"/>
            </w:pPr>
            <w:r>
              <w:t>31.8</w:t>
            </w:r>
          </w:p>
        </w:tc>
        <w:tc>
          <w:tcPr>
            <w:tcW w:w="1124" w:type="dxa"/>
          </w:tcPr>
          <w:p w14:paraId="12A3EB47" w14:textId="46FB0F96" w:rsidR="0054435F" w:rsidRDefault="000C1768" w:rsidP="00F35FDC">
            <w:pPr>
              <w:pStyle w:val="ListParagraph"/>
              <w:widowControl w:val="0"/>
              <w:numPr>
                <w:ilvl w:val="0"/>
                <w:numId w:val="0"/>
              </w:numPr>
              <w:spacing w:after="0"/>
            </w:pPr>
            <w:r>
              <w:t>40.5</w:t>
            </w:r>
          </w:p>
        </w:tc>
        <w:tc>
          <w:tcPr>
            <w:tcW w:w="1161" w:type="dxa"/>
          </w:tcPr>
          <w:p w14:paraId="3585B90B" w14:textId="5FED309C" w:rsidR="0054435F" w:rsidRDefault="000C1768" w:rsidP="00F35FDC">
            <w:pPr>
              <w:pStyle w:val="ListParagraph"/>
              <w:widowControl w:val="0"/>
              <w:numPr>
                <w:ilvl w:val="0"/>
                <w:numId w:val="0"/>
              </w:numPr>
              <w:spacing w:after="0"/>
            </w:pPr>
            <w:r>
              <w:t>45.2</w:t>
            </w:r>
          </w:p>
        </w:tc>
        <w:tc>
          <w:tcPr>
            <w:tcW w:w="964" w:type="dxa"/>
          </w:tcPr>
          <w:p w14:paraId="6618A1F4" w14:textId="6DCC5477" w:rsidR="0054435F" w:rsidRDefault="000C1768" w:rsidP="00F35FDC">
            <w:pPr>
              <w:pStyle w:val="ListParagraph"/>
              <w:widowControl w:val="0"/>
              <w:numPr>
                <w:ilvl w:val="0"/>
                <w:numId w:val="0"/>
              </w:numPr>
              <w:spacing w:after="0"/>
            </w:pPr>
            <w:r>
              <w:t>35.3</w:t>
            </w:r>
          </w:p>
        </w:tc>
        <w:tc>
          <w:tcPr>
            <w:tcW w:w="842" w:type="dxa"/>
          </w:tcPr>
          <w:p w14:paraId="5A09E801" w14:textId="43F34EA5" w:rsidR="0054435F" w:rsidRDefault="000C1768" w:rsidP="00F35FDC">
            <w:pPr>
              <w:pStyle w:val="ListParagraph"/>
              <w:widowControl w:val="0"/>
              <w:numPr>
                <w:ilvl w:val="0"/>
                <w:numId w:val="0"/>
              </w:numPr>
              <w:spacing w:after="0"/>
            </w:pPr>
            <w:r>
              <w:t>26.7</w:t>
            </w:r>
          </w:p>
        </w:tc>
      </w:tr>
      <w:tr w:rsidR="002E08DF" w14:paraId="72A0A07B" w14:textId="77777777" w:rsidTr="002E08DF">
        <w:tc>
          <w:tcPr>
            <w:tcW w:w="2546" w:type="dxa"/>
          </w:tcPr>
          <w:p w14:paraId="773300AE" w14:textId="77B6A3ED" w:rsidR="0054435F" w:rsidRDefault="0054435F" w:rsidP="00F35FDC">
            <w:pPr>
              <w:pStyle w:val="ListParagraph"/>
              <w:widowControl w:val="0"/>
              <w:numPr>
                <w:ilvl w:val="0"/>
                <w:numId w:val="0"/>
              </w:numPr>
              <w:spacing w:after="0"/>
            </w:pPr>
            <w:r>
              <w:t>Uncomfortable</w:t>
            </w:r>
          </w:p>
        </w:tc>
        <w:tc>
          <w:tcPr>
            <w:tcW w:w="993" w:type="dxa"/>
          </w:tcPr>
          <w:p w14:paraId="7AAE0A6B" w14:textId="455D08F8" w:rsidR="0054435F" w:rsidRDefault="000C1768" w:rsidP="00F35FDC">
            <w:pPr>
              <w:pStyle w:val="ListParagraph"/>
              <w:widowControl w:val="0"/>
              <w:numPr>
                <w:ilvl w:val="0"/>
                <w:numId w:val="0"/>
              </w:numPr>
              <w:spacing w:after="0"/>
            </w:pPr>
            <w:r>
              <w:t>16.1</w:t>
            </w:r>
          </w:p>
        </w:tc>
        <w:tc>
          <w:tcPr>
            <w:tcW w:w="728" w:type="dxa"/>
          </w:tcPr>
          <w:p w14:paraId="01D2AAC7" w14:textId="5B6458BC" w:rsidR="0054435F" w:rsidRDefault="000C1768" w:rsidP="00F35FDC">
            <w:pPr>
              <w:pStyle w:val="ListParagraph"/>
              <w:widowControl w:val="0"/>
              <w:numPr>
                <w:ilvl w:val="0"/>
                <w:numId w:val="0"/>
              </w:numPr>
              <w:spacing w:after="0"/>
            </w:pPr>
            <w:r>
              <w:t>23.6</w:t>
            </w:r>
          </w:p>
        </w:tc>
        <w:tc>
          <w:tcPr>
            <w:tcW w:w="1124" w:type="dxa"/>
          </w:tcPr>
          <w:p w14:paraId="09EE4A2C" w14:textId="29AEA0E2" w:rsidR="0054435F" w:rsidRDefault="000C1768" w:rsidP="00F35FDC">
            <w:pPr>
              <w:pStyle w:val="ListParagraph"/>
              <w:widowControl w:val="0"/>
              <w:numPr>
                <w:ilvl w:val="0"/>
                <w:numId w:val="0"/>
              </w:numPr>
              <w:spacing w:after="0"/>
            </w:pPr>
            <w:r>
              <w:t>37.8</w:t>
            </w:r>
          </w:p>
        </w:tc>
        <w:tc>
          <w:tcPr>
            <w:tcW w:w="1161" w:type="dxa"/>
          </w:tcPr>
          <w:p w14:paraId="15A01E1B" w14:textId="5154A2CC" w:rsidR="0054435F" w:rsidRDefault="000C1768" w:rsidP="00F35FDC">
            <w:pPr>
              <w:pStyle w:val="ListParagraph"/>
              <w:widowControl w:val="0"/>
              <w:numPr>
                <w:ilvl w:val="0"/>
                <w:numId w:val="0"/>
              </w:numPr>
              <w:spacing w:after="0"/>
            </w:pPr>
            <w:r>
              <w:t>22.6</w:t>
            </w:r>
          </w:p>
        </w:tc>
        <w:tc>
          <w:tcPr>
            <w:tcW w:w="964" w:type="dxa"/>
          </w:tcPr>
          <w:p w14:paraId="3AAFAB0C" w14:textId="37CE739A" w:rsidR="0054435F" w:rsidRDefault="000C1768" w:rsidP="00F35FDC">
            <w:pPr>
              <w:pStyle w:val="ListParagraph"/>
              <w:widowControl w:val="0"/>
              <w:numPr>
                <w:ilvl w:val="0"/>
                <w:numId w:val="0"/>
              </w:numPr>
              <w:spacing w:after="0"/>
            </w:pPr>
            <w:r>
              <w:t>35.3</w:t>
            </w:r>
          </w:p>
        </w:tc>
        <w:tc>
          <w:tcPr>
            <w:tcW w:w="842" w:type="dxa"/>
          </w:tcPr>
          <w:p w14:paraId="0041AD43" w14:textId="46622068" w:rsidR="0054435F" w:rsidRDefault="000C1768" w:rsidP="00F35FDC">
            <w:pPr>
              <w:pStyle w:val="ListParagraph"/>
              <w:widowControl w:val="0"/>
              <w:numPr>
                <w:ilvl w:val="0"/>
                <w:numId w:val="0"/>
              </w:numPr>
              <w:spacing w:after="0"/>
            </w:pPr>
            <w:r>
              <w:t>20.0</w:t>
            </w:r>
          </w:p>
        </w:tc>
      </w:tr>
      <w:tr w:rsidR="002E08DF" w14:paraId="536A7F77" w14:textId="77777777" w:rsidTr="002E08DF">
        <w:tc>
          <w:tcPr>
            <w:tcW w:w="2546" w:type="dxa"/>
          </w:tcPr>
          <w:p w14:paraId="173970EB" w14:textId="270CFFD4" w:rsidR="0054435F" w:rsidRDefault="0054435F" w:rsidP="00F35FDC">
            <w:pPr>
              <w:pStyle w:val="ListParagraph"/>
              <w:widowControl w:val="0"/>
              <w:numPr>
                <w:ilvl w:val="0"/>
                <w:numId w:val="0"/>
              </w:numPr>
              <w:spacing w:after="0"/>
            </w:pPr>
            <w:r>
              <w:t>Very uncomfortable</w:t>
            </w:r>
          </w:p>
        </w:tc>
        <w:tc>
          <w:tcPr>
            <w:tcW w:w="993" w:type="dxa"/>
          </w:tcPr>
          <w:p w14:paraId="11ADAE55" w14:textId="3466367F" w:rsidR="0054435F" w:rsidRDefault="000C1768" w:rsidP="00F35FDC">
            <w:pPr>
              <w:pStyle w:val="ListParagraph"/>
              <w:widowControl w:val="0"/>
              <w:numPr>
                <w:ilvl w:val="0"/>
                <w:numId w:val="0"/>
              </w:numPr>
              <w:spacing w:after="0"/>
            </w:pPr>
            <w:r>
              <w:t>2.2</w:t>
            </w:r>
          </w:p>
        </w:tc>
        <w:tc>
          <w:tcPr>
            <w:tcW w:w="728" w:type="dxa"/>
          </w:tcPr>
          <w:p w14:paraId="4F05A6E1" w14:textId="5B56C29F" w:rsidR="0054435F" w:rsidRDefault="000C1768" w:rsidP="00F35FDC">
            <w:pPr>
              <w:pStyle w:val="ListParagraph"/>
              <w:widowControl w:val="0"/>
              <w:numPr>
                <w:ilvl w:val="0"/>
                <w:numId w:val="0"/>
              </w:numPr>
              <w:spacing w:after="0"/>
            </w:pPr>
            <w:r>
              <w:t>1.8</w:t>
            </w:r>
          </w:p>
        </w:tc>
        <w:tc>
          <w:tcPr>
            <w:tcW w:w="1124" w:type="dxa"/>
          </w:tcPr>
          <w:p w14:paraId="26DFE1D4" w14:textId="36B7094F" w:rsidR="0054435F" w:rsidRDefault="000C1768" w:rsidP="00F35FDC">
            <w:pPr>
              <w:pStyle w:val="ListParagraph"/>
              <w:widowControl w:val="0"/>
              <w:numPr>
                <w:ilvl w:val="0"/>
                <w:numId w:val="0"/>
              </w:numPr>
              <w:spacing w:after="0"/>
            </w:pPr>
            <w:r>
              <w:t>0</w:t>
            </w:r>
          </w:p>
        </w:tc>
        <w:tc>
          <w:tcPr>
            <w:tcW w:w="1161" w:type="dxa"/>
          </w:tcPr>
          <w:p w14:paraId="75E73E8E" w14:textId="2FE81E6C" w:rsidR="0054435F" w:rsidRDefault="000C1768" w:rsidP="00F35FDC">
            <w:pPr>
              <w:pStyle w:val="ListParagraph"/>
              <w:widowControl w:val="0"/>
              <w:numPr>
                <w:ilvl w:val="0"/>
                <w:numId w:val="0"/>
              </w:numPr>
              <w:spacing w:after="0"/>
            </w:pPr>
            <w:r>
              <w:t>3.2</w:t>
            </w:r>
          </w:p>
        </w:tc>
        <w:tc>
          <w:tcPr>
            <w:tcW w:w="964" w:type="dxa"/>
          </w:tcPr>
          <w:p w14:paraId="4357C4CC" w14:textId="71B6F237" w:rsidR="0054435F" w:rsidRDefault="000C1768" w:rsidP="00F35FDC">
            <w:pPr>
              <w:pStyle w:val="ListParagraph"/>
              <w:widowControl w:val="0"/>
              <w:numPr>
                <w:ilvl w:val="0"/>
                <w:numId w:val="0"/>
              </w:numPr>
              <w:spacing w:after="0"/>
            </w:pPr>
            <w:r>
              <w:t>0</w:t>
            </w:r>
          </w:p>
        </w:tc>
        <w:tc>
          <w:tcPr>
            <w:tcW w:w="842" w:type="dxa"/>
          </w:tcPr>
          <w:p w14:paraId="19259FA7" w14:textId="0C8671C9" w:rsidR="0054435F" w:rsidRDefault="000C1768" w:rsidP="00F35FDC">
            <w:pPr>
              <w:pStyle w:val="ListParagraph"/>
              <w:widowControl w:val="0"/>
              <w:numPr>
                <w:ilvl w:val="0"/>
                <w:numId w:val="0"/>
              </w:numPr>
              <w:spacing w:after="0"/>
            </w:pPr>
            <w:r>
              <w:t>6.7</w:t>
            </w:r>
          </w:p>
        </w:tc>
      </w:tr>
      <w:tr w:rsidR="002E08DF" w14:paraId="345024D5" w14:textId="77777777" w:rsidTr="002E08DF">
        <w:tc>
          <w:tcPr>
            <w:tcW w:w="2546" w:type="dxa"/>
          </w:tcPr>
          <w:p w14:paraId="37A8E21B" w14:textId="2B733DE7" w:rsidR="0054435F" w:rsidRDefault="00047B8C" w:rsidP="00F35FDC">
            <w:pPr>
              <w:pStyle w:val="ListParagraph"/>
              <w:widowControl w:val="0"/>
              <w:numPr>
                <w:ilvl w:val="0"/>
                <w:numId w:val="0"/>
              </w:numPr>
              <w:spacing w:after="0"/>
            </w:pPr>
            <w:r>
              <w:t>Refuse to answer/ don’t know</w:t>
            </w:r>
          </w:p>
        </w:tc>
        <w:tc>
          <w:tcPr>
            <w:tcW w:w="993" w:type="dxa"/>
          </w:tcPr>
          <w:p w14:paraId="64F6F289" w14:textId="5045757C" w:rsidR="0054435F" w:rsidRDefault="000C1768" w:rsidP="00F35FDC">
            <w:pPr>
              <w:pStyle w:val="ListParagraph"/>
              <w:widowControl w:val="0"/>
              <w:numPr>
                <w:ilvl w:val="0"/>
                <w:numId w:val="0"/>
              </w:numPr>
              <w:spacing w:after="0"/>
            </w:pPr>
            <w:r>
              <w:t>0</w:t>
            </w:r>
          </w:p>
        </w:tc>
        <w:tc>
          <w:tcPr>
            <w:tcW w:w="728" w:type="dxa"/>
          </w:tcPr>
          <w:p w14:paraId="70C34B9B" w14:textId="68B6BF74" w:rsidR="0054435F" w:rsidRDefault="000C1768" w:rsidP="00F35FDC">
            <w:pPr>
              <w:pStyle w:val="ListParagraph"/>
              <w:widowControl w:val="0"/>
              <w:numPr>
                <w:ilvl w:val="0"/>
                <w:numId w:val="0"/>
              </w:numPr>
              <w:spacing w:after="0"/>
            </w:pPr>
            <w:r>
              <w:t>1.8</w:t>
            </w:r>
          </w:p>
        </w:tc>
        <w:tc>
          <w:tcPr>
            <w:tcW w:w="1124" w:type="dxa"/>
          </w:tcPr>
          <w:p w14:paraId="0F387159" w14:textId="26ECEAC0" w:rsidR="0054435F" w:rsidRDefault="000C1768" w:rsidP="00F35FDC">
            <w:pPr>
              <w:pStyle w:val="ListParagraph"/>
              <w:widowControl w:val="0"/>
              <w:numPr>
                <w:ilvl w:val="0"/>
                <w:numId w:val="0"/>
              </w:numPr>
              <w:spacing w:after="0"/>
            </w:pPr>
            <w:r>
              <w:t>0</w:t>
            </w:r>
          </w:p>
        </w:tc>
        <w:tc>
          <w:tcPr>
            <w:tcW w:w="1161" w:type="dxa"/>
          </w:tcPr>
          <w:p w14:paraId="03611683" w14:textId="76E3E375" w:rsidR="0054435F" w:rsidRDefault="000C1768" w:rsidP="00F35FDC">
            <w:pPr>
              <w:pStyle w:val="ListParagraph"/>
              <w:widowControl w:val="0"/>
              <w:numPr>
                <w:ilvl w:val="0"/>
                <w:numId w:val="0"/>
              </w:numPr>
              <w:spacing w:after="0"/>
            </w:pPr>
            <w:r>
              <w:t>0</w:t>
            </w:r>
          </w:p>
        </w:tc>
        <w:tc>
          <w:tcPr>
            <w:tcW w:w="964" w:type="dxa"/>
          </w:tcPr>
          <w:p w14:paraId="3EA95564" w14:textId="501585D8" w:rsidR="0054435F" w:rsidRDefault="000C1768" w:rsidP="00F35FDC">
            <w:pPr>
              <w:pStyle w:val="ListParagraph"/>
              <w:widowControl w:val="0"/>
              <w:numPr>
                <w:ilvl w:val="0"/>
                <w:numId w:val="0"/>
              </w:numPr>
              <w:spacing w:after="0"/>
            </w:pPr>
            <w:r>
              <w:t>5.9</w:t>
            </w:r>
          </w:p>
        </w:tc>
        <w:tc>
          <w:tcPr>
            <w:tcW w:w="842" w:type="dxa"/>
          </w:tcPr>
          <w:p w14:paraId="013DA0D8" w14:textId="1CC7F05B" w:rsidR="0054435F" w:rsidRDefault="000C1768" w:rsidP="00F35FDC">
            <w:pPr>
              <w:pStyle w:val="ListParagraph"/>
              <w:widowControl w:val="0"/>
              <w:numPr>
                <w:ilvl w:val="0"/>
                <w:numId w:val="0"/>
              </w:numPr>
              <w:spacing w:after="0"/>
            </w:pPr>
            <w:r>
              <w:t>0</w:t>
            </w:r>
          </w:p>
        </w:tc>
      </w:tr>
      <w:tr w:rsidR="002E08DF" w14:paraId="441423DF" w14:textId="77777777" w:rsidTr="002E08DF">
        <w:tc>
          <w:tcPr>
            <w:tcW w:w="2546" w:type="dxa"/>
          </w:tcPr>
          <w:p w14:paraId="16380B51" w14:textId="30FAF272" w:rsidR="00047B8C" w:rsidRDefault="00047B8C" w:rsidP="00F35FDC">
            <w:pPr>
              <w:pStyle w:val="ListParagraph"/>
              <w:widowControl w:val="0"/>
              <w:numPr>
                <w:ilvl w:val="0"/>
                <w:numId w:val="0"/>
              </w:numPr>
              <w:spacing w:after="0"/>
            </w:pPr>
            <w:r>
              <w:t>Total</w:t>
            </w:r>
          </w:p>
        </w:tc>
        <w:tc>
          <w:tcPr>
            <w:tcW w:w="993" w:type="dxa"/>
          </w:tcPr>
          <w:p w14:paraId="7F16D440" w14:textId="5048A8EE" w:rsidR="00047B8C" w:rsidRDefault="00B95F26" w:rsidP="00F35FDC">
            <w:pPr>
              <w:pStyle w:val="ListParagraph"/>
              <w:widowControl w:val="0"/>
              <w:numPr>
                <w:ilvl w:val="0"/>
                <w:numId w:val="0"/>
              </w:numPr>
              <w:spacing w:after="0"/>
            </w:pPr>
            <w:r>
              <w:t>100.1</w:t>
            </w:r>
          </w:p>
        </w:tc>
        <w:tc>
          <w:tcPr>
            <w:tcW w:w="728" w:type="dxa"/>
          </w:tcPr>
          <w:p w14:paraId="29D99370" w14:textId="6C494C07" w:rsidR="00047B8C" w:rsidRDefault="00B95F26" w:rsidP="00F35FDC">
            <w:pPr>
              <w:pStyle w:val="ListParagraph"/>
              <w:widowControl w:val="0"/>
              <w:numPr>
                <w:ilvl w:val="0"/>
                <w:numId w:val="0"/>
              </w:numPr>
              <w:spacing w:after="0"/>
            </w:pPr>
            <w:r>
              <w:t>100</w:t>
            </w:r>
          </w:p>
        </w:tc>
        <w:tc>
          <w:tcPr>
            <w:tcW w:w="1124" w:type="dxa"/>
          </w:tcPr>
          <w:p w14:paraId="1AF9F0A7" w14:textId="55776521" w:rsidR="00047B8C" w:rsidRDefault="00B95F26" w:rsidP="00F35FDC">
            <w:pPr>
              <w:pStyle w:val="ListParagraph"/>
              <w:widowControl w:val="0"/>
              <w:numPr>
                <w:ilvl w:val="0"/>
                <w:numId w:val="0"/>
              </w:numPr>
              <w:spacing w:after="0"/>
            </w:pPr>
            <w:r>
              <w:t>99.9</w:t>
            </w:r>
          </w:p>
        </w:tc>
        <w:tc>
          <w:tcPr>
            <w:tcW w:w="1161" w:type="dxa"/>
          </w:tcPr>
          <w:p w14:paraId="0191FCA8" w14:textId="5F6AF174" w:rsidR="00047B8C" w:rsidRDefault="00B95F26" w:rsidP="00F35FDC">
            <w:pPr>
              <w:pStyle w:val="ListParagraph"/>
              <w:widowControl w:val="0"/>
              <w:numPr>
                <w:ilvl w:val="0"/>
                <w:numId w:val="0"/>
              </w:numPr>
              <w:spacing w:after="0"/>
            </w:pPr>
            <w:r>
              <w:t>100.1</w:t>
            </w:r>
          </w:p>
        </w:tc>
        <w:tc>
          <w:tcPr>
            <w:tcW w:w="964" w:type="dxa"/>
          </w:tcPr>
          <w:p w14:paraId="58965F2B" w14:textId="650DC27D" w:rsidR="00047B8C" w:rsidRDefault="00B95F26" w:rsidP="00F35FDC">
            <w:pPr>
              <w:pStyle w:val="ListParagraph"/>
              <w:widowControl w:val="0"/>
              <w:numPr>
                <w:ilvl w:val="0"/>
                <w:numId w:val="0"/>
              </w:numPr>
              <w:spacing w:after="0"/>
            </w:pPr>
            <w:r>
              <w:t>100</w:t>
            </w:r>
          </w:p>
        </w:tc>
        <w:tc>
          <w:tcPr>
            <w:tcW w:w="842" w:type="dxa"/>
          </w:tcPr>
          <w:p w14:paraId="1BCDDFEC" w14:textId="13D89664" w:rsidR="00047B8C" w:rsidRDefault="00B95F26" w:rsidP="00F35FDC">
            <w:pPr>
              <w:pStyle w:val="ListParagraph"/>
              <w:widowControl w:val="0"/>
              <w:numPr>
                <w:ilvl w:val="0"/>
                <w:numId w:val="0"/>
              </w:numPr>
              <w:spacing w:after="0"/>
            </w:pPr>
            <w:r>
              <w:t>100.1</w:t>
            </w:r>
          </w:p>
        </w:tc>
      </w:tr>
    </w:tbl>
    <w:p w14:paraId="3A642F09" w14:textId="0EFB0A1B" w:rsidR="00060EE5" w:rsidRDefault="00060EE5" w:rsidP="00F35FDC">
      <w:pPr>
        <w:pStyle w:val="ListParagraph"/>
        <w:widowControl w:val="0"/>
        <w:spacing w:before="120"/>
      </w:pPr>
      <w:r>
        <w:t>The EM</w:t>
      </w:r>
      <w:r w:rsidR="00522B04">
        <w:t>C</w:t>
      </w:r>
      <w:r>
        <w:t xml:space="preserve"> 2020 survey reported: </w:t>
      </w:r>
      <w:r w:rsidRPr="00981494">
        <w:t>W]</w:t>
      </w:r>
      <w:proofErr w:type="spellStart"/>
      <w:r w:rsidRPr="00981494">
        <w:t>hen</w:t>
      </w:r>
      <w:proofErr w:type="spellEnd"/>
      <w:r w:rsidRPr="00981494">
        <w:t xml:space="preserve"> asked how open they </w:t>
      </w:r>
      <w:r w:rsidR="004F39E4">
        <w:t xml:space="preserve">[LGB persons only] </w:t>
      </w:r>
      <w:r w:rsidRPr="00981494">
        <w:t>are about their own sexual orientation, 21.8% of respondents (n = 275) state that they are open to everyone about their own sexual orientation, 76.7% are partially open, and 1.5% are not at all open about their own sexual orientation to others.’</w:t>
      </w:r>
      <w:r w:rsidRPr="00981494">
        <w:rPr>
          <w:vertAlign w:val="superscript"/>
        </w:rPr>
        <w:footnoteReference w:id="133"/>
      </w:r>
      <w:r w:rsidR="004F39E4">
        <w:t xml:space="preserve"> The degree of openness </w:t>
      </w:r>
      <w:r w:rsidR="006B78BC">
        <w:t>wa</w:t>
      </w:r>
      <w:r w:rsidR="004F39E4">
        <w:t xml:space="preserve">s higher for transpersons. For transmen, 60% reported being completely open and 40% reported being partially open. The figures </w:t>
      </w:r>
      <w:r w:rsidR="006B78BC">
        <w:t>we</w:t>
      </w:r>
      <w:r w:rsidR="004F39E4">
        <w:t xml:space="preserve">re similar for transwomen (62.5% completely open and </w:t>
      </w:r>
      <w:r w:rsidR="006B78BC">
        <w:t>37.5% partially open)</w:t>
      </w:r>
      <w:r w:rsidR="006B78BC">
        <w:rPr>
          <w:rStyle w:val="FootnoteReference"/>
        </w:rPr>
        <w:footnoteReference w:id="134"/>
      </w:r>
      <w:r w:rsidR="006B78BC">
        <w:t>.</w:t>
      </w:r>
    </w:p>
    <w:p w14:paraId="306D3986" w14:textId="77777777" w:rsidR="00060EE5" w:rsidRPr="00981494" w:rsidRDefault="00060EE5" w:rsidP="001E1516">
      <w:pPr>
        <w:pStyle w:val="ListParagraph"/>
        <w:widowControl w:val="0"/>
      </w:pPr>
      <w:r>
        <w:t>The WISG 2022 report stated</w:t>
      </w:r>
      <w:r w:rsidRPr="00981494">
        <w:t>:</w:t>
      </w:r>
    </w:p>
    <w:p w14:paraId="69448791" w14:textId="390233F9" w:rsidR="00060EE5" w:rsidRPr="00981494" w:rsidRDefault="00060EE5" w:rsidP="001E1516">
      <w:pPr>
        <w:pStyle w:val="ListParagraph"/>
        <w:widowControl w:val="0"/>
        <w:numPr>
          <w:ilvl w:val="0"/>
          <w:numId w:val="0"/>
        </w:numPr>
        <w:ind w:left="851"/>
      </w:pPr>
      <w:r w:rsidRPr="00981494">
        <w:t>‘</w:t>
      </w:r>
      <w:r w:rsidR="00DB1B14">
        <w:t>The individual visibility of members of the LGBT(Q)</w:t>
      </w:r>
      <w:r w:rsidR="00CF5B00">
        <w:t>I</w:t>
      </w:r>
      <w:r w:rsidR="00DB1B14">
        <w:t xml:space="preserve"> community is higher in Tbilisi than in other urban areas and rural areas</w:t>
      </w:r>
      <w:r w:rsidR="008513FE">
        <w:t>:</w:t>
      </w:r>
      <w:r w:rsidR="00DB1B14">
        <w:t xml:space="preserve"> </w:t>
      </w:r>
      <w:r w:rsidRPr="00981494">
        <w:t xml:space="preserve">23.8% of respondents living in Tbilisi say they know at least one member of the LGBT(Q)I group, while the share of such respondents in urban and rural areas is respectively, 11.3%, and 5.1%. The peculiarity of the internal migration of the LGBT(Q)I group shows that young members of the group often try to choose a place to live that, on the one hand, allows them to be away from family, and relatives in order to avoid “control” over themselves. And on the other hand, in big cities where there is more diversity and less pressure on self-expression. Young people living in rural areas try to move to the city, move from one city </w:t>
      </w:r>
      <w:r w:rsidRPr="00981494">
        <w:lastRenderedPageBreak/>
        <w:t>to another, and so on. Consequently, in Tbilisi and other cities, the respondents are more likely to know a person who doesn’t hide his/her/their sexual identity.’</w:t>
      </w:r>
      <w:r w:rsidRPr="00981494">
        <w:rPr>
          <w:vertAlign w:val="superscript"/>
        </w:rPr>
        <w:footnoteReference w:id="135"/>
      </w:r>
    </w:p>
    <w:p w14:paraId="0511C73B" w14:textId="77777777" w:rsidR="00060EE5" w:rsidRPr="00981494" w:rsidRDefault="00060EE5" w:rsidP="001E1516">
      <w:pPr>
        <w:pStyle w:val="ListParagraph"/>
        <w:widowControl w:val="0"/>
      </w:pPr>
      <w:r>
        <w:t xml:space="preserve">An Economist article, dated 4 November 2021, reported ‘Success Bar is the only avowedly gay pub [in Georgia] (some other clubs in Georgia run occasional gay </w:t>
      </w:r>
      <w:proofErr w:type="gramStart"/>
      <w:r>
        <w:t>nights)…</w:t>
      </w:r>
      <w:proofErr w:type="gramEnd"/>
      <w:r>
        <w:t xml:space="preserve">partygoers hoping to attend a gay night at nearby club </w:t>
      </w:r>
      <w:proofErr w:type="spellStart"/>
      <w:r>
        <w:t>Bassiani</w:t>
      </w:r>
      <w:proofErr w:type="spellEnd"/>
      <w:r>
        <w:t xml:space="preserve"> </w:t>
      </w:r>
      <w:r w:rsidRPr="00106C94">
        <w:t>must submit their names, dates of birth, links to their Facebook profiles and even passport numbers days in advance. The party’s security team then screen for signs of prejudice before allowing anyone to hit the dance floor</w:t>
      </w:r>
      <w:r>
        <w:t xml:space="preserve">.’ </w:t>
      </w:r>
      <w:r>
        <w:rPr>
          <w:rStyle w:val="FootnoteReference"/>
        </w:rPr>
        <w:footnoteReference w:id="136"/>
      </w:r>
    </w:p>
    <w:p w14:paraId="1614D816" w14:textId="5A0130C5" w:rsidR="00060EE5" w:rsidRPr="00981494" w:rsidRDefault="00060EE5" w:rsidP="001E1516">
      <w:pPr>
        <w:pStyle w:val="ListParagraph"/>
        <w:widowControl w:val="0"/>
      </w:pPr>
      <w:r w:rsidRPr="00981494">
        <w:t xml:space="preserve">A </w:t>
      </w:r>
      <w:r w:rsidR="007D312E" w:rsidRPr="00981494">
        <w:t>January 2023</w:t>
      </w:r>
      <w:r w:rsidR="007D312E">
        <w:t xml:space="preserve"> </w:t>
      </w:r>
      <w:r w:rsidRPr="00981494">
        <w:t>BBC Culture article stated:</w:t>
      </w:r>
    </w:p>
    <w:p w14:paraId="38B27991" w14:textId="77777777" w:rsidR="00060EE5" w:rsidRPr="00981494" w:rsidRDefault="00060EE5" w:rsidP="001E1516">
      <w:pPr>
        <w:pStyle w:val="ListParagraph"/>
        <w:widowControl w:val="0"/>
        <w:numPr>
          <w:ilvl w:val="2"/>
          <w:numId w:val="0"/>
        </w:numPr>
        <w:ind w:left="851"/>
      </w:pPr>
      <w:r w:rsidRPr="00981494">
        <w:t xml:space="preserve">‘In socially conservative </w:t>
      </w:r>
      <w:r>
        <w:t>Tbilisi</w:t>
      </w:r>
      <w:r w:rsidRPr="00981494">
        <w:t xml:space="preserve"> there is a thriving LGBTQ+ scene, with comedy, clubbing and art at its core…[I]n in the Georgian capital </w:t>
      </w:r>
      <w:r>
        <w:t>Tbilisi</w:t>
      </w:r>
      <w:r w:rsidRPr="00981494">
        <w:t xml:space="preserve"> there is a thriving, tight-knit underground LGBTQ+ scene, spearheaded by techno clubs such as </w:t>
      </w:r>
      <w:proofErr w:type="spellStart"/>
      <w:r w:rsidRPr="00981494">
        <w:t>Bassiani</w:t>
      </w:r>
      <w:proofErr w:type="spellEnd"/>
      <w:r w:rsidRPr="00981494">
        <w:t xml:space="preserve"> but also spreading into cinemas and galleries and onto stages…</w:t>
      </w:r>
    </w:p>
    <w:p w14:paraId="31EE84A5" w14:textId="32A0158C" w:rsidR="00060EE5" w:rsidRPr="00981494" w:rsidRDefault="00060EE5" w:rsidP="001E1516">
      <w:pPr>
        <w:pStyle w:val="ListParagraph"/>
        <w:widowControl w:val="0"/>
        <w:numPr>
          <w:ilvl w:val="0"/>
          <w:numId w:val="0"/>
        </w:numPr>
        <w:ind w:left="851"/>
      </w:pPr>
      <w:r w:rsidRPr="00981494">
        <w:t xml:space="preserve">‘“Our original goal was not just a techno club,” says Giorgi </w:t>
      </w:r>
      <w:proofErr w:type="spellStart"/>
      <w:r w:rsidRPr="00981494">
        <w:t>Kikonishvili</w:t>
      </w:r>
      <w:proofErr w:type="spellEnd"/>
      <w:r w:rsidRPr="00981494">
        <w:t xml:space="preserve">, founder of Georgia's first LGBTQ+ event, </w:t>
      </w:r>
      <w:proofErr w:type="spellStart"/>
      <w:r w:rsidRPr="00981494">
        <w:t>Horoom</w:t>
      </w:r>
      <w:proofErr w:type="spellEnd"/>
      <w:r w:rsidRPr="00981494">
        <w:t xml:space="preserve"> Nights at </w:t>
      </w:r>
      <w:proofErr w:type="spellStart"/>
      <w:r w:rsidRPr="00981494">
        <w:t>Bassiani</w:t>
      </w:r>
      <w:proofErr w:type="spellEnd"/>
      <w:r w:rsidRPr="00981494">
        <w:t>, which started in 2016, “but a kind of underground base for all sorts of social movements in Georgia… those of queers, women, the left, the green movement. So the DNA of the club is not just music and techno, we see the club as a political place”</w:t>
      </w:r>
      <w:r w:rsidR="00D7189A">
        <w:t>…</w:t>
      </w:r>
    </w:p>
    <w:p w14:paraId="5340169F" w14:textId="77777777" w:rsidR="00060EE5" w:rsidRDefault="00060EE5" w:rsidP="001E1516">
      <w:pPr>
        <w:pStyle w:val="ListParagraph"/>
        <w:widowControl w:val="0"/>
        <w:numPr>
          <w:ilvl w:val="2"/>
          <w:numId w:val="0"/>
        </w:numPr>
        <w:ind w:left="851"/>
      </w:pPr>
      <w:r>
        <w:t>‘</w:t>
      </w:r>
      <w:r w:rsidRPr="00981494">
        <w:t xml:space="preserve">During the day, </w:t>
      </w:r>
      <w:proofErr w:type="spellStart"/>
      <w:r w:rsidRPr="00981494">
        <w:t>Kikonishvili</w:t>
      </w:r>
      <w:proofErr w:type="spellEnd"/>
      <w:r w:rsidRPr="00981494">
        <w:t xml:space="preserve"> works with artist and activist Tekla </w:t>
      </w:r>
      <w:proofErr w:type="spellStart"/>
      <w:r w:rsidRPr="00981494">
        <w:t>Tevdorashvili</w:t>
      </w:r>
      <w:proofErr w:type="spellEnd"/>
      <w:r w:rsidRPr="00981494">
        <w:t xml:space="preserve"> and others at the Fungus Gallery, an LGBTQ+ art collective and gallery in a quiet corner of Tbilisi that invites artists from across the Caucasus region. </w:t>
      </w:r>
      <w:proofErr w:type="spellStart"/>
      <w:r w:rsidRPr="00981494">
        <w:t>Tevdorashvili</w:t>
      </w:r>
      <w:proofErr w:type="spellEnd"/>
      <w:r w:rsidRPr="00981494">
        <w:t xml:space="preserve"> says it is hard to understate the importance of club culture in these social changes. “Nightlife changed the whole context of how Georgian society perceives queer people. Clubs were the first place to offer them a safe space, and now the attitude people have in the clubs is shifting to daylight.”’</w:t>
      </w:r>
      <w:r w:rsidRPr="00981494">
        <w:rPr>
          <w:vertAlign w:val="superscript"/>
        </w:rPr>
        <w:footnoteReference w:id="137"/>
      </w:r>
      <w:bookmarkStart w:id="189" w:name="_Treatment_by_family_1"/>
      <w:bookmarkEnd w:id="189"/>
    </w:p>
    <w:p w14:paraId="5BEC46BB" w14:textId="77777777" w:rsidR="005B1C7C" w:rsidRDefault="003677C1" w:rsidP="005B1C7C">
      <w:pPr>
        <w:widowControl w:val="0"/>
        <w:ind w:left="851" w:hanging="851"/>
      </w:pPr>
      <w:r>
        <w:t>13.1.7</w:t>
      </w:r>
      <w:r w:rsidR="00F5694D">
        <w:t xml:space="preserve"> </w:t>
      </w:r>
      <w:r>
        <w:t>The same article stated:</w:t>
      </w:r>
    </w:p>
    <w:p w14:paraId="129C6DF2" w14:textId="113FE977" w:rsidR="003677C1" w:rsidRPr="00981494" w:rsidRDefault="003677C1" w:rsidP="005B1C7C">
      <w:pPr>
        <w:widowControl w:val="0"/>
        <w:ind w:left="851"/>
      </w:pPr>
      <w:r>
        <w:t xml:space="preserve">‘For </w:t>
      </w:r>
      <w:proofErr w:type="spellStart"/>
      <w:r>
        <w:t>Tevdorashvili</w:t>
      </w:r>
      <w:proofErr w:type="spellEnd"/>
      <w:r>
        <w:t xml:space="preserve">, this need for safe spaces is all too real. A few years ago she put an art installation up in a public park days before the annual church-organised "day for family purity". The installation was a rainbow-coloured box entitled "Closet", with handwritten notes from the LGBTQ+ community, which played a speech and then the Diana Ross song Coming Out. She had only told a few trusted blogs about it in advance, but it was attacked by a far-right activist within just a few hours of being up. </w:t>
      </w:r>
      <w:proofErr w:type="spellStart"/>
      <w:r>
        <w:t>Tevdorashvili</w:t>
      </w:r>
      <w:proofErr w:type="spellEnd"/>
      <w:r>
        <w:t xml:space="preserve"> recognised him from demonstrations. The police came but they advised against putting the artwork back up. This was a setback, she says, but not a defeat: "What we artists and activists has gone through have only made us stronger.</w:t>
      </w:r>
      <w:r>
        <w:rPr>
          <w:i/>
          <w:iCs/>
        </w:rPr>
        <w:t>"</w:t>
      </w:r>
      <w:r>
        <w:t>’</w:t>
      </w:r>
      <w:r>
        <w:rPr>
          <w:rStyle w:val="FootnoteReference"/>
        </w:rPr>
        <w:footnoteReference w:id="138"/>
      </w:r>
    </w:p>
    <w:p w14:paraId="5CB0ADFF" w14:textId="77777777" w:rsidR="00060EE5" w:rsidRPr="005A32CF" w:rsidRDefault="00000000" w:rsidP="001E1516">
      <w:pPr>
        <w:pStyle w:val="Backtocontents"/>
        <w:widowControl w:val="0"/>
        <w:rPr>
          <w:b/>
          <w:bCs/>
          <w:u w:val="words"/>
        </w:rPr>
      </w:pPr>
      <w:hyperlink w:anchor="contents" w:history="1">
        <w:r w:rsidR="00060EE5" w:rsidRPr="00FE5400">
          <w:rPr>
            <w:color w:val="0000FF" w:themeColor="hyperlink"/>
          </w:rPr>
          <w:t>Back to Contents</w:t>
        </w:r>
      </w:hyperlink>
    </w:p>
    <w:p w14:paraId="0110007C" w14:textId="77777777" w:rsidR="00060EE5" w:rsidRPr="00981494" w:rsidRDefault="00060EE5" w:rsidP="001E1516">
      <w:pPr>
        <w:widowControl w:val="0"/>
        <w:numPr>
          <w:ilvl w:val="1"/>
          <w:numId w:val="2"/>
        </w:numPr>
        <w:ind w:left="851" w:hanging="851"/>
        <w:outlineLvl w:val="2"/>
        <w:rPr>
          <w:rFonts w:eastAsiaTheme="majorEastAsia" w:cstheme="majorBidi"/>
          <w:bCs/>
          <w:color w:val="7030A0"/>
          <w:szCs w:val="24"/>
        </w:rPr>
      </w:pPr>
      <w:bookmarkStart w:id="190" w:name="_Toc146698564"/>
      <w:bookmarkStart w:id="191" w:name="_Toc178601201"/>
      <w:r>
        <w:rPr>
          <w:rFonts w:eastAsiaTheme="majorEastAsia" w:cstheme="majorBidi"/>
          <w:bCs/>
          <w:color w:val="7030A0"/>
          <w:szCs w:val="24"/>
        </w:rPr>
        <w:lastRenderedPageBreak/>
        <w:t>Support organisations</w:t>
      </w:r>
      <w:bookmarkEnd w:id="190"/>
      <w:bookmarkEnd w:id="191"/>
    </w:p>
    <w:p w14:paraId="5DEF374A" w14:textId="77777777" w:rsidR="00060EE5" w:rsidRPr="00981494" w:rsidRDefault="00060EE5" w:rsidP="001E1516">
      <w:pPr>
        <w:pStyle w:val="ListParagraph"/>
        <w:widowControl w:val="0"/>
      </w:pPr>
      <w:r w:rsidRPr="00981494">
        <w:t>NGO Tbilisi Pride, in an undated page on its website, described its mission</w:t>
      </w:r>
      <w:r w:rsidRPr="00981494" w:rsidDel="00AF266D">
        <w:t xml:space="preserve"> </w:t>
      </w:r>
      <w:r w:rsidRPr="00981494">
        <w:t>to ‘create an equal and free environment for LGBT+ people.’</w:t>
      </w:r>
      <w:r w:rsidRPr="00981494">
        <w:rPr>
          <w:vertAlign w:val="superscript"/>
        </w:rPr>
        <w:footnoteReference w:id="139"/>
      </w:r>
    </w:p>
    <w:p w14:paraId="65F654B2" w14:textId="6917B584" w:rsidR="00060EE5" w:rsidRPr="00981494" w:rsidRDefault="00060EE5" w:rsidP="001E1516">
      <w:pPr>
        <w:pStyle w:val="ListParagraph"/>
        <w:widowControl w:val="0"/>
      </w:pPr>
      <w:r w:rsidRPr="00981494">
        <w:t>The Women’s Initiatives Supporting Group, in an undated page on its website, stated that it ‘… was and remains the first organization in Georgia focused on the empowerment of lesbian and bisexual women and trans persons…Today, the organization is a leading expert in LGBTI issues and enjoys a high level of credibility among both local and international state and non-state actors.’</w:t>
      </w:r>
      <w:r w:rsidRPr="00981494">
        <w:rPr>
          <w:vertAlign w:val="superscript"/>
        </w:rPr>
        <w:footnoteReference w:id="140"/>
      </w:r>
    </w:p>
    <w:p w14:paraId="361C13CC" w14:textId="2CD1319B" w:rsidR="00060EE5" w:rsidRDefault="00060EE5" w:rsidP="001E1516">
      <w:pPr>
        <w:pStyle w:val="ListParagraph"/>
        <w:widowControl w:val="0"/>
      </w:pPr>
      <w:r>
        <w:t xml:space="preserve">Equality Movement is a Georgian NGO which aims to ensure access to health care services, mobilise and support social integration and form a supportive environment to empower women and the LGBTQ community </w:t>
      </w:r>
      <w:r>
        <w:rPr>
          <w:rStyle w:val="FootnoteReference"/>
        </w:rPr>
        <w:footnoteReference w:id="141"/>
      </w:r>
      <w:r>
        <w:t xml:space="preserve">. </w:t>
      </w:r>
    </w:p>
    <w:p w14:paraId="6E30387F" w14:textId="41C035EA" w:rsidR="00060EE5" w:rsidRDefault="00060EE5" w:rsidP="001E1516">
      <w:pPr>
        <w:pStyle w:val="ListParagraph"/>
        <w:widowControl w:val="0"/>
      </w:pPr>
      <w:r>
        <w:t xml:space="preserve">Equality </w:t>
      </w:r>
      <w:proofErr w:type="spellStart"/>
      <w:r>
        <w:t>Movmement</w:t>
      </w:r>
      <w:proofErr w:type="spellEnd"/>
      <w:r>
        <w:t xml:space="preserve"> ‘provides social and legal services based on the needs</w:t>
      </w:r>
      <w:r w:rsidRPr="003A5816">
        <w:t xml:space="preserve"> of the beneficiaries, works towards mobilizing the community, and conducts interventions of policy advocacy and changing the social awareness</w:t>
      </w:r>
      <w:r>
        <w:t>.’ This includes providing free HIV testing</w:t>
      </w:r>
      <w:r w:rsidR="00A77927">
        <w:t xml:space="preserve"> and</w:t>
      </w:r>
      <w:r>
        <w:t xml:space="preserve"> free access to doctors and psychologists</w:t>
      </w:r>
      <w:r>
        <w:rPr>
          <w:rStyle w:val="FootnoteReference"/>
        </w:rPr>
        <w:footnoteReference w:id="142"/>
      </w:r>
      <w:r>
        <w:t xml:space="preserve"> (</w:t>
      </w:r>
      <w:r w:rsidR="00E21AAD">
        <w:t>s</w:t>
      </w:r>
      <w:r>
        <w:t xml:space="preserve">ee </w:t>
      </w:r>
      <w:hyperlink w:anchor="_Healthcare" w:history="1">
        <w:r w:rsidRPr="005D266F">
          <w:rPr>
            <w:rStyle w:val="Hyperlink"/>
          </w:rPr>
          <w:t>Healthcare</w:t>
        </w:r>
      </w:hyperlink>
      <w:r>
        <w:t>).</w:t>
      </w:r>
    </w:p>
    <w:p w14:paraId="4AF4539A" w14:textId="7BE6DF9D" w:rsidR="00060EE5" w:rsidRPr="00D67622" w:rsidRDefault="00060EE5" w:rsidP="001E1516">
      <w:pPr>
        <w:pStyle w:val="ListParagraph"/>
        <w:widowControl w:val="0"/>
      </w:pPr>
      <w:r>
        <w:t>Human Rights Centre (HRC) Georgia ‘</w:t>
      </w:r>
      <w:r w:rsidRPr="00F82906">
        <w:rPr>
          <w:rFonts w:ascii="roboto_reg" w:hAnsi="roboto_reg"/>
          <w:color w:val="1A1A1A"/>
        </w:rPr>
        <w:t>believes that everyone is entitled to exercise her/his civil, political, social, economic and cultural rights freely and without any discrimination as guaranteed by national and international law. We consider that protection and promotion of these rights and respect for rule of law are the key preconditions for building sustainable peace and democracy in Georgia.’</w:t>
      </w:r>
      <w:r>
        <w:rPr>
          <w:rFonts w:ascii="roboto_reg" w:hAnsi="roboto_reg"/>
          <w:color w:val="1A1A1A"/>
        </w:rPr>
        <w:t xml:space="preserve"> </w:t>
      </w:r>
      <w:r>
        <w:rPr>
          <w:rStyle w:val="FootnoteReference"/>
          <w:rFonts w:ascii="roboto_reg" w:hAnsi="roboto_reg"/>
          <w:color w:val="1A1A1A"/>
        </w:rPr>
        <w:footnoteReference w:id="143"/>
      </w:r>
      <w:r>
        <w:rPr>
          <w:rFonts w:ascii="roboto_reg" w:hAnsi="roboto_reg"/>
          <w:color w:val="1A1A1A"/>
        </w:rPr>
        <w:t xml:space="preserve"> HRC</w:t>
      </w:r>
      <w:r w:rsidR="00A77927">
        <w:rPr>
          <w:rFonts w:ascii="roboto_reg" w:hAnsi="roboto_reg"/>
          <w:color w:val="1A1A1A"/>
        </w:rPr>
        <w:t>’s</w:t>
      </w:r>
      <w:r>
        <w:rPr>
          <w:rFonts w:ascii="roboto_reg" w:hAnsi="roboto_reg"/>
          <w:color w:val="1A1A1A"/>
        </w:rPr>
        <w:t xml:space="preserve"> main activities include documenting and monitoring human rights violations, reporting to international bodies, advocacy of legislative and policy reforms and litigating cases on human rights violations through</w:t>
      </w:r>
      <w:r w:rsidR="00A77927">
        <w:rPr>
          <w:rFonts w:ascii="roboto_reg" w:hAnsi="roboto_reg"/>
          <w:color w:val="1A1A1A"/>
        </w:rPr>
        <w:t xml:space="preserve"> the</w:t>
      </w:r>
      <w:r>
        <w:rPr>
          <w:rFonts w:ascii="roboto_reg" w:hAnsi="roboto_reg"/>
          <w:color w:val="1A1A1A"/>
        </w:rPr>
        <w:t xml:space="preserve"> Legal Aid Centre pro-bono</w:t>
      </w:r>
      <w:r>
        <w:rPr>
          <w:rStyle w:val="FootnoteReference"/>
        </w:rPr>
        <w:footnoteReference w:id="144"/>
      </w:r>
      <w:r>
        <w:rPr>
          <w:rFonts w:ascii="roboto_reg" w:hAnsi="roboto_reg"/>
          <w:color w:val="1A1A1A"/>
        </w:rPr>
        <w:t xml:space="preserve">. </w:t>
      </w:r>
    </w:p>
    <w:p w14:paraId="47B180A6" w14:textId="77777777" w:rsidR="00D67622" w:rsidRPr="005A32CF" w:rsidRDefault="00000000" w:rsidP="001E1516">
      <w:pPr>
        <w:pStyle w:val="Backtocontents"/>
        <w:widowControl w:val="0"/>
        <w:rPr>
          <w:b/>
          <w:bCs/>
          <w:u w:val="words"/>
        </w:rPr>
      </w:pPr>
      <w:hyperlink w:anchor="contents" w:history="1">
        <w:r w:rsidR="00D67622" w:rsidRPr="00FE5400">
          <w:rPr>
            <w:color w:val="0000FF" w:themeColor="hyperlink"/>
          </w:rPr>
          <w:t>Back to Contents</w:t>
        </w:r>
      </w:hyperlink>
    </w:p>
    <w:p w14:paraId="7FA14155" w14:textId="4730E1E8" w:rsidR="00D67622" w:rsidRPr="00D67622" w:rsidRDefault="00D75274" w:rsidP="001E1516">
      <w:pPr>
        <w:pStyle w:val="Heading2"/>
        <w:keepNext w:val="0"/>
        <w:keepLines w:val="0"/>
        <w:widowControl w:val="0"/>
        <w:rPr>
          <w:szCs w:val="24"/>
        </w:rPr>
      </w:pPr>
      <w:bookmarkStart w:id="192" w:name="_Freedom_of_movement"/>
      <w:bookmarkStart w:id="193" w:name="_Toc146698565"/>
      <w:bookmarkStart w:id="194" w:name="_Toc178601202"/>
      <w:bookmarkEnd w:id="192"/>
      <w:r>
        <w:t>Freedom of movement</w:t>
      </w:r>
      <w:bookmarkEnd w:id="193"/>
      <w:bookmarkEnd w:id="194"/>
      <w:r>
        <w:t xml:space="preserve"> </w:t>
      </w:r>
    </w:p>
    <w:p w14:paraId="65895A5D" w14:textId="0D530D46" w:rsidR="009D7A77" w:rsidRDefault="009D7A77" w:rsidP="001E1516">
      <w:pPr>
        <w:pStyle w:val="ListParagraph"/>
        <w:widowControl w:val="0"/>
      </w:pPr>
      <w:r>
        <w:t xml:space="preserve">Georgia </w:t>
      </w:r>
      <w:r w:rsidR="007F65F4">
        <w:t xml:space="preserve">has a population of 3.6 million </w:t>
      </w:r>
      <w:r w:rsidR="002A38AE">
        <w:t xml:space="preserve">and is </w:t>
      </w:r>
      <w:r w:rsidR="002A38AE">
        <w:rPr>
          <w:rFonts w:ascii="Helvetica" w:hAnsi="Helvetica"/>
          <w:color w:val="141414"/>
          <w:shd w:val="clear" w:color="auto" w:fill="FFFFFF"/>
        </w:rPr>
        <w:t xml:space="preserve">69,700 </w:t>
      </w:r>
      <w:proofErr w:type="spellStart"/>
      <w:r w:rsidR="002A38AE">
        <w:rPr>
          <w:rFonts w:ascii="Helvetica" w:hAnsi="Helvetica"/>
          <w:color w:val="141414"/>
          <w:shd w:val="clear" w:color="auto" w:fill="FFFFFF"/>
        </w:rPr>
        <w:t>sq</w:t>
      </w:r>
      <w:proofErr w:type="spellEnd"/>
      <w:r w:rsidR="002A38AE">
        <w:rPr>
          <w:rFonts w:ascii="Helvetica" w:hAnsi="Helvetica"/>
          <w:color w:val="141414"/>
          <w:shd w:val="clear" w:color="auto" w:fill="FFFFFF"/>
        </w:rPr>
        <w:t xml:space="preserve"> km</w:t>
      </w:r>
      <w:r w:rsidR="002A38AE">
        <w:rPr>
          <w:rStyle w:val="FootnoteReference"/>
          <w:rFonts w:ascii="Helvetica" w:hAnsi="Helvetica"/>
          <w:color w:val="141414"/>
          <w:shd w:val="clear" w:color="auto" w:fill="FFFFFF"/>
        </w:rPr>
        <w:footnoteReference w:id="145"/>
      </w:r>
      <w:r w:rsidR="002A38AE">
        <w:rPr>
          <w:rFonts w:ascii="Helvetica" w:hAnsi="Helvetica"/>
          <w:color w:val="141414"/>
          <w:shd w:val="clear" w:color="auto" w:fill="FFFFFF"/>
        </w:rPr>
        <w:t>.</w:t>
      </w:r>
      <w:r w:rsidR="009975E6">
        <w:rPr>
          <w:rFonts w:ascii="Helvetica" w:hAnsi="Helvetica"/>
          <w:color w:val="141414"/>
          <w:shd w:val="clear" w:color="auto" w:fill="FFFFFF"/>
        </w:rPr>
        <w:t xml:space="preserve"> Approximately 1 million people live in the capital of Tbilisi</w:t>
      </w:r>
      <w:r w:rsidR="009975E6">
        <w:rPr>
          <w:rStyle w:val="FootnoteReference"/>
          <w:rFonts w:ascii="Helvetica" w:hAnsi="Helvetica"/>
          <w:color w:val="141414"/>
          <w:shd w:val="clear" w:color="auto" w:fill="FFFFFF"/>
        </w:rPr>
        <w:footnoteReference w:id="146"/>
      </w:r>
      <w:r w:rsidR="009975E6">
        <w:rPr>
          <w:rFonts w:ascii="Helvetica" w:hAnsi="Helvetica"/>
          <w:color w:val="141414"/>
          <w:shd w:val="clear" w:color="auto" w:fill="FFFFFF"/>
        </w:rPr>
        <w:t>.</w:t>
      </w:r>
    </w:p>
    <w:p w14:paraId="0947B481" w14:textId="39574F48" w:rsidR="00E663E6" w:rsidRPr="005A32CF" w:rsidRDefault="00D75274" w:rsidP="001E1516">
      <w:pPr>
        <w:pStyle w:val="ListParagraph"/>
        <w:widowControl w:val="0"/>
      </w:pPr>
      <w:r>
        <w:t xml:space="preserve">The Freedom House </w:t>
      </w:r>
      <w:r w:rsidR="00E663E6">
        <w:t>202</w:t>
      </w:r>
      <w:r w:rsidR="00D73958">
        <w:t>3</w:t>
      </w:r>
      <w:r w:rsidR="00E663E6">
        <w:t xml:space="preserve"> ‘Freedom in the World’ report noted that: ‘</w:t>
      </w:r>
      <w:r w:rsidR="00D73958" w:rsidRPr="00D73958">
        <w:t>There are ongoing restrictions on travel to and from the separatist territories of Abkhazia and South Ossetia, and individuals who approach their de facto borders can face detention, generally for short periods. Georgians are otherwise free to travel and change their place of residence, employment, and education without undue interference</w:t>
      </w:r>
      <w:r w:rsidR="00E663E6" w:rsidRPr="00E663E6">
        <w:t>.</w:t>
      </w:r>
      <w:r w:rsidR="00E663E6">
        <w:t>’</w:t>
      </w:r>
      <w:r w:rsidR="001A4B00">
        <w:rPr>
          <w:rStyle w:val="FootnoteReference"/>
        </w:rPr>
        <w:footnoteReference w:id="147"/>
      </w:r>
    </w:p>
    <w:p w14:paraId="3B94F5DF" w14:textId="40DCEAE0" w:rsidR="00D4175B" w:rsidRDefault="00000000" w:rsidP="00180252">
      <w:pPr>
        <w:widowControl w:val="0"/>
        <w:jc w:val="right"/>
        <w:rPr>
          <w:rFonts w:eastAsiaTheme="majorEastAsia" w:cstheme="majorBidi"/>
          <w:bCs/>
          <w:color w:val="7030A0"/>
          <w:sz w:val="52"/>
          <w:szCs w:val="28"/>
        </w:rPr>
      </w:pPr>
      <w:hyperlink w:anchor="contents" w:history="1">
        <w:r w:rsidR="00060EE5" w:rsidRPr="00981494">
          <w:rPr>
            <w:color w:val="0000FF" w:themeColor="hyperlink"/>
            <w:szCs w:val="24"/>
            <w:u w:val="single"/>
          </w:rPr>
          <w:t>Back to Contents</w:t>
        </w:r>
      </w:hyperlink>
      <w:bookmarkStart w:id="195" w:name="_Version_control_and"/>
      <w:bookmarkStart w:id="196" w:name="_Terms_of_Reference"/>
      <w:bookmarkEnd w:id="46"/>
      <w:bookmarkEnd w:id="52"/>
      <w:bookmarkEnd w:id="195"/>
      <w:bookmarkEnd w:id="196"/>
      <w:r w:rsidR="00D4175B">
        <w:br w:type="page"/>
      </w:r>
    </w:p>
    <w:p w14:paraId="4A208A5C" w14:textId="5BEB4AE0" w:rsidR="00022B30" w:rsidRPr="00DD7ED2" w:rsidRDefault="005D04B1" w:rsidP="001E1516">
      <w:pPr>
        <w:pStyle w:val="Heading1"/>
        <w:keepNext w:val="0"/>
        <w:keepLines w:val="0"/>
        <w:widowControl w:val="0"/>
      </w:pPr>
      <w:bookmarkStart w:id="197" w:name="_Research_methodology"/>
      <w:bookmarkStart w:id="198" w:name="_Toc146698566"/>
      <w:bookmarkStart w:id="199" w:name="_Toc178601203"/>
      <w:bookmarkEnd w:id="197"/>
      <w:r>
        <w:lastRenderedPageBreak/>
        <w:t>R</w:t>
      </w:r>
      <w:r w:rsidR="005A4D73">
        <w:t>esearch</w:t>
      </w:r>
      <w:r w:rsidR="00022B30">
        <w:t xml:space="preserve"> methodology</w:t>
      </w:r>
      <w:bookmarkEnd w:id="198"/>
      <w:bookmarkEnd w:id="199"/>
    </w:p>
    <w:p w14:paraId="42778C24" w14:textId="0CC06150" w:rsidR="00741FD9" w:rsidRDefault="00741FD9" w:rsidP="001E1516">
      <w:pPr>
        <w:widowControl w:val="0"/>
      </w:pPr>
      <w:r w:rsidRPr="00DD7ED2">
        <w:t>The country</w:t>
      </w:r>
      <w:r>
        <w:t xml:space="preserve"> of origin</w:t>
      </w:r>
      <w:r w:rsidRPr="00DD7ED2">
        <w:t xml:space="preserve"> information</w:t>
      </w:r>
      <w:r>
        <w:t xml:space="preserve"> (COI)</w:t>
      </w:r>
      <w:r w:rsidR="002A6787">
        <w:t xml:space="preserve"> in this note</w:t>
      </w:r>
      <w:r w:rsidRPr="00DD7ED2">
        <w:t xml:space="preserve"> has been carefully selected in accordance with the general principles of COI research as set out in the </w:t>
      </w:r>
      <w:hyperlink r:id="rId34" w:history="1">
        <w:r w:rsidRPr="00DD7ED2">
          <w:rPr>
            <w:rStyle w:val="Hyperlink"/>
          </w:rPr>
          <w:t>Common EU [European Union] Guidelines for Processing Country of Origin Information (COI)</w:t>
        </w:r>
      </w:hyperlink>
      <w:r w:rsidRPr="00DD7ED2">
        <w:t xml:space="preserve">, April 2008, and the Austrian Centre for Country of Origin and Asylum Research and Documentation’s (ACCORD), </w:t>
      </w:r>
      <w:hyperlink r:id="rId35" w:history="1">
        <w:r w:rsidRPr="00DD7ED2">
          <w:rPr>
            <w:rStyle w:val="Hyperlink"/>
          </w:rPr>
          <w:t>Researching Country Origin Information – Training Manual,</w:t>
        </w:r>
      </w:hyperlink>
      <w:r w:rsidRPr="00DD7ED2">
        <w:t xml:space="preserve"> 2013. Namely, taking into account the COI’s relevance, reliability, accuracy, balance, currency, transparency and traceability. </w:t>
      </w:r>
    </w:p>
    <w:p w14:paraId="7F48113F" w14:textId="402AD472" w:rsidR="00741FD9" w:rsidRPr="006E68F9" w:rsidRDefault="00741FD9" w:rsidP="001E1516">
      <w:pPr>
        <w:widowControl w:val="0"/>
      </w:pPr>
      <w:r w:rsidRPr="006E68F9">
        <w:t xml:space="preserve">All the COI included in the note was published or made publicly available on or before the ‘cut-off’ date(s). Any event taking place or report/article published after these date(s) is not included. </w:t>
      </w:r>
    </w:p>
    <w:p w14:paraId="0ACAABBB" w14:textId="6067CD8C" w:rsidR="00741FD9" w:rsidRDefault="00741FD9" w:rsidP="001E1516">
      <w:pPr>
        <w:widowControl w:val="0"/>
      </w:pPr>
      <w:r w:rsidRPr="00DD7ED2">
        <w:t xml:space="preserve">Sources and the information they provide are carefully considered before inclusion. Factors relevant to the assessment of the reliability of sources and information include: </w:t>
      </w:r>
    </w:p>
    <w:p w14:paraId="1C2AD291" w14:textId="77777777" w:rsidR="00741FD9" w:rsidRDefault="00741FD9" w:rsidP="001E1516">
      <w:pPr>
        <w:pStyle w:val="ListParagraph"/>
        <w:widowControl w:val="0"/>
        <w:numPr>
          <w:ilvl w:val="0"/>
          <w:numId w:val="28"/>
        </w:numPr>
      </w:pPr>
      <w:r w:rsidRPr="00DD7ED2">
        <w:t>the motivation, purpose, knowledge and experience of the source</w:t>
      </w:r>
    </w:p>
    <w:p w14:paraId="31DCCFE8" w14:textId="77777777" w:rsidR="00741FD9" w:rsidRDefault="00741FD9" w:rsidP="001E1516">
      <w:pPr>
        <w:pStyle w:val="ListParagraph"/>
        <w:widowControl w:val="0"/>
        <w:numPr>
          <w:ilvl w:val="0"/>
          <w:numId w:val="28"/>
        </w:numPr>
      </w:pPr>
      <w:r w:rsidRPr="00DD7ED2">
        <w:t>how the information was obtained, including specific methodologies used</w:t>
      </w:r>
    </w:p>
    <w:p w14:paraId="7F20B8D7" w14:textId="77777777" w:rsidR="00741FD9" w:rsidRDefault="00741FD9" w:rsidP="001E1516">
      <w:pPr>
        <w:pStyle w:val="ListParagraph"/>
        <w:widowControl w:val="0"/>
        <w:numPr>
          <w:ilvl w:val="0"/>
          <w:numId w:val="28"/>
        </w:numPr>
      </w:pPr>
      <w:r w:rsidRPr="00DD7ED2">
        <w:t>the currency and detail of information</w:t>
      </w:r>
    </w:p>
    <w:p w14:paraId="25600DD6" w14:textId="094558CB" w:rsidR="00741FD9" w:rsidRPr="00DD7ED2" w:rsidRDefault="00741FD9" w:rsidP="001E1516">
      <w:pPr>
        <w:pStyle w:val="ListParagraph"/>
        <w:widowControl w:val="0"/>
        <w:numPr>
          <w:ilvl w:val="0"/>
          <w:numId w:val="28"/>
        </w:numPr>
      </w:pPr>
      <w:r w:rsidRPr="00DD7ED2">
        <w:t>whether the COI is consistent with and/or corroborated by other sources</w:t>
      </w:r>
    </w:p>
    <w:p w14:paraId="70FF9CC9" w14:textId="1C1E1006" w:rsidR="00741FD9" w:rsidRPr="00DD7ED2" w:rsidRDefault="00896A2F" w:rsidP="001E1516">
      <w:pPr>
        <w:widowControl w:val="0"/>
      </w:pPr>
      <w:r>
        <w:t>Wherever possible, m</w:t>
      </w:r>
      <w:r w:rsidR="00741FD9" w:rsidRPr="00DD7ED2">
        <w:t xml:space="preserve">ultiple sourcing is </w:t>
      </w:r>
      <w:proofErr w:type="gramStart"/>
      <w:r w:rsidR="00741FD9" w:rsidRPr="00DD7ED2">
        <w:t>used</w:t>
      </w:r>
      <w:proofErr w:type="gramEnd"/>
      <w:r w:rsidR="00741FD9" w:rsidRPr="00DD7ED2">
        <w:t xml:space="preserve"> </w:t>
      </w:r>
      <w:r>
        <w:t>and the COI compared and contrasted</w:t>
      </w:r>
      <w:r w:rsidR="00741FD9" w:rsidRPr="00DD7ED2">
        <w:t xml:space="preserve"> to ensure that </w:t>
      </w:r>
      <w:r>
        <w:t>it</w:t>
      </w:r>
      <w:r w:rsidR="00741FD9" w:rsidRPr="00DD7ED2">
        <w:t xml:space="preserve"> is accurate and balanced, </w:t>
      </w:r>
      <w:r>
        <w:t>and</w:t>
      </w:r>
      <w:r w:rsidR="00741FD9" w:rsidRPr="00DD7ED2">
        <w:t xml:space="preserve"> </w:t>
      </w:r>
      <w:r>
        <w:t>provides</w:t>
      </w:r>
      <w:r w:rsidR="00741FD9" w:rsidRPr="00DD7ED2">
        <w:t xml:space="preserve"> a comprehensive and up-to-date picture of the issues relevant to this note at the time of publication. </w:t>
      </w:r>
    </w:p>
    <w:p w14:paraId="192EC741" w14:textId="77777777" w:rsidR="00741FD9" w:rsidRPr="00DD7ED2" w:rsidRDefault="00741FD9" w:rsidP="001E1516">
      <w:pPr>
        <w:widowControl w:val="0"/>
      </w:pPr>
      <w:r w:rsidRPr="00DD7ED2">
        <w:t xml:space="preserve">The inclusion of a source is not, however, an endorsement of it or any view(s) expressed. </w:t>
      </w:r>
    </w:p>
    <w:p w14:paraId="329EC262" w14:textId="77777777" w:rsidR="00741FD9" w:rsidRDefault="00741FD9" w:rsidP="001E1516">
      <w:pPr>
        <w:widowControl w:val="0"/>
      </w:pPr>
      <w:r w:rsidRPr="00DD7ED2">
        <w:t xml:space="preserve">Each piece of information is referenced in a footnote. </w:t>
      </w:r>
    </w:p>
    <w:p w14:paraId="0F94052B" w14:textId="4AF40BE6" w:rsidR="00741FD9" w:rsidRPr="00DD7ED2" w:rsidRDefault="00741FD9" w:rsidP="001E1516">
      <w:pPr>
        <w:widowControl w:val="0"/>
      </w:pPr>
      <w:r w:rsidRPr="00DD7ED2">
        <w:t xml:space="preserve">Full details of all sources cited and consulted in compiling the note are listed alphabetically in the </w:t>
      </w:r>
      <w:hyperlink w:anchor="_Bibliography" w:history="1">
        <w:r w:rsidRPr="00F57BDE">
          <w:rPr>
            <w:rStyle w:val="Hyperlink"/>
          </w:rPr>
          <w:t>bibliography</w:t>
        </w:r>
      </w:hyperlink>
      <w:r w:rsidRPr="00DD7ED2">
        <w:t xml:space="preserve">. </w:t>
      </w:r>
    </w:p>
    <w:p w14:paraId="426F4A05" w14:textId="77777777" w:rsidR="00741FD9" w:rsidRPr="00DD7ED2" w:rsidRDefault="00741FD9" w:rsidP="001E1516">
      <w:pPr>
        <w:widowControl w:val="0"/>
      </w:pPr>
    </w:p>
    <w:p w14:paraId="46A1449B" w14:textId="77777777" w:rsidR="00022B30" w:rsidRPr="00DD7ED2" w:rsidRDefault="00000000" w:rsidP="001E1516">
      <w:pPr>
        <w:pStyle w:val="ListParagraph"/>
        <w:widowControl w:val="0"/>
        <w:numPr>
          <w:ilvl w:val="0"/>
          <w:numId w:val="0"/>
        </w:numPr>
        <w:ind w:left="851"/>
        <w:jc w:val="right"/>
      </w:pPr>
      <w:hyperlink w:anchor="contents" w:history="1">
        <w:r w:rsidR="00022B30" w:rsidRPr="00DD7ED2">
          <w:rPr>
            <w:rStyle w:val="Hyperlink"/>
            <w:szCs w:val="24"/>
          </w:rPr>
          <w:t>Back to Contents</w:t>
        </w:r>
      </w:hyperlink>
    </w:p>
    <w:p w14:paraId="5A94B3F7" w14:textId="77777777" w:rsidR="00022B30" w:rsidRDefault="00022B30" w:rsidP="001E1516">
      <w:pPr>
        <w:widowControl w:val="0"/>
        <w:rPr>
          <w:rFonts w:eastAsiaTheme="majorEastAsia" w:cstheme="majorBidi"/>
          <w:bCs/>
          <w:color w:val="7030A0"/>
          <w:sz w:val="52"/>
          <w:szCs w:val="28"/>
        </w:rPr>
      </w:pPr>
      <w:r>
        <w:br w:type="page"/>
      </w:r>
    </w:p>
    <w:p w14:paraId="5743721E" w14:textId="77766071" w:rsidR="00EA3BC4" w:rsidRPr="00DD7ED2" w:rsidRDefault="00EA3BC4" w:rsidP="001E1516">
      <w:pPr>
        <w:pStyle w:val="Heading1"/>
        <w:keepNext w:val="0"/>
        <w:keepLines w:val="0"/>
        <w:widowControl w:val="0"/>
      </w:pPr>
      <w:bookmarkStart w:id="200" w:name="_Terms_of_Reference_1"/>
      <w:bookmarkStart w:id="201" w:name="_Toc146698567"/>
      <w:bookmarkStart w:id="202" w:name="_Toc178601204"/>
      <w:bookmarkEnd w:id="200"/>
      <w:r>
        <w:lastRenderedPageBreak/>
        <w:t>Terms of Reference</w:t>
      </w:r>
      <w:bookmarkEnd w:id="201"/>
      <w:bookmarkEnd w:id="202"/>
    </w:p>
    <w:p w14:paraId="4D640C86" w14:textId="5C5F327C" w:rsidR="00B220D6" w:rsidRDefault="00EA3BC4" w:rsidP="001E1516">
      <w:pPr>
        <w:widowControl w:val="0"/>
      </w:pPr>
      <w:r>
        <w:t xml:space="preserve">A ‘Terms of Reference’ (ToR) is a broad outline of </w:t>
      </w:r>
      <w:r w:rsidR="00B220D6">
        <w:t xml:space="preserve">the issues relevant to the </w:t>
      </w:r>
      <w:r w:rsidR="009D4302">
        <w:t>scope</w:t>
      </w:r>
      <w:r w:rsidR="00B220D6">
        <w:t xml:space="preserve"> of this note </w:t>
      </w:r>
      <w:r w:rsidR="00B220D6" w:rsidRPr="00BA03C4">
        <w:t>and</w:t>
      </w:r>
      <w:r w:rsidR="009D4302" w:rsidRPr="00BA03C4">
        <w:t xml:space="preserve"> </w:t>
      </w:r>
      <w:r w:rsidRPr="00BA03C4">
        <w:t>f</w:t>
      </w:r>
      <w:r>
        <w:t>orm</w:t>
      </w:r>
      <w:r w:rsidR="00B220D6">
        <w:t>s</w:t>
      </w:r>
      <w:r>
        <w:t xml:space="preserve"> the basis for the </w:t>
      </w:r>
      <w:hyperlink w:anchor="_Country_information_2">
        <w:r w:rsidRPr="066ACF2B">
          <w:rPr>
            <w:rStyle w:val="Hyperlink"/>
          </w:rPr>
          <w:t>country information</w:t>
        </w:r>
      </w:hyperlink>
      <w:r w:rsidRPr="00BA03C4">
        <w:t>.</w:t>
      </w:r>
      <w:r w:rsidRPr="00DD7ED2">
        <w:t xml:space="preserve"> </w:t>
      </w:r>
    </w:p>
    <w:p w14:paraId="517DDE4F" w14:textId="2D53C4BE" w:rsidR="00EA3BC4" w:rsidRPr="00DD7ED2" w:rsidRDefault="00EA3BC4" w:rsidP="001E1516">
      <w:pPr>
        <w:widowControl w:val="0"/>
      </w:pPr>
      <w:r>
        <w:t>The Home Office</w:t>
      </w:r>
      <w:r w:rsidR="0015187E">
        <w:t xml:space="preserve"> uses </w:t>
      </w:r>
      <w:r>
        <w:t>some standardised ToR, depending on the subject, and these are then adapted depending on the country concerned.</w:t>
      </w:r>
      <w:r w:rsidRPr="00DD7ED2">
        <w:t xml:space="preserve"> </w:t>
      </w:r>
    </w:p>
    <w:p w14:paraId="64C66EBD" w14:textId="5F5E605C" w:rsidR="00EA3BC4" w:rsidRPr="00DD7ED2" w:rsidRDefault="00EA3BC4" w:rsidP="001E1516">
      <w:pPr>
        <w:widowControl w:val="0"/>
      </w:pPr>
      <w:r>
        <w:t>For this particular CPIN, the following topics were identified prior to drafting as relevant and on which research was undertaken:</w:t>
      </w:r>
    </w:p>
    <w:p w14:paraId="2B933409" w14:textId="40A62465" w:rsidR="00EA3BC4" w:rsidRPr="00BA03C4" w:rsidRDefault="00B20107" w:rsidP="001E1516">
      <w:pPr>
        <w:pStyle w:val="ToRmaintopic"/>
        <w:widowControl w:val="0"/>
      </w:pPr>
      <w:r w:rsidRPr="00BA03C4">
        <w:t xml:space="preserve">Legal </w:t>
      </w:r>
      <w:r w:rsidR="006B454C" w:rsidRPr="00BA03C4">
        <w:t>context</w:t>
      </w:r>
    </w:p>
    <w:p w14:paraId="6A58A315" w14:textId="5A214C13" w:rsidR="00D54BF1" w:rsidRPr="00BA03C4" w:rsidRDefault="00D54BF1" w:rsidP="001E1516">
      <w:pPr>
        <w:pStyle w:val="ToRsubtopic"/>
        <w:widowControl w:val="0"/>
      </w:pPr>
      <w:r w:rsidRPr="00BA03C4">
        <w:t xml:space="preserve">General anti-discrimination provisions (and inclusion or absence </w:t>
      </w:r>
      <w:r w:rsidR="002461FF" w:rsidRPr="00BA03C4">
        <w:t>of reference to LGBTI persons)</w:t>
      </w:r>
    </w:p>
    <w:p w14:paraId="493FFBE9" w14:textId="158FB7B4" w:rsidR="00EA3BC4" w:rsidRPr="00BA03C4" w:rsidRDefault="002461FF" w:rsidP="001E1516">
      <w:pPr>
        <w:pStyle w:val="ToRsubtopic"/>
        <w:widowControl w:val="0"/>
      </w:pPr>
      <w:r w:rsidRPr="00BA03C4">
        <w:t xml:space="preserve">Same-sex sexual behaviour </w:t>
      </w:r>
    </w:p>
    <w:p w14:paraId="42F5E612" w14:textId="4DD96FB8" w:rsidR="002461FF" w:rsidRPr="00BA03C4" w:rsidRDefault="002461FF" w:rsidP="001E1516">
      <w:pPr>
        <w:pStyle w:val="ToRsubtopic"/>
        <w:widowControl w:val="0"/>
      </w:pPr>
      <w:r w:rsidRPr="00BA03C4">
        <w:t>Same-sex couples, including civil union and marriage</w:t>
      </w:r>
    </w:p>
    <w:p w14:paraId="05C9A8D2" w14:textId="6D51358D" w:rsidR="00312208" w:rsidRPr="00BA03C4" w:rsidRDefault="00312208" w:rsidP="001E1516">
      <w:pPr>
        <w:pStyle w:val="ToRsubtopic"/>
        <w:widowControl w:val="0"/>
      </w:pPr>
      <w:r w:rsidRPr="00BA03C4">
        <w:t xml:space="preserve">Legality of conversion therapy and prevalence </w:t>
      </w:r>
    </w:p>
    <w:p w14:paraId="4DA05A42" w14:textId="77777777" w:rsidR="00953D45" w:rsidRPr="00BA03C4" w:rsidRDefault="00953D45" w:rsidP="00953D45">
      <w:pPr>
        <w:pStyle w:val="ToRmaintopic"/>
        <w:widowControl w:val="0"/>
      </w:pPr>
      <w:r w:rsidRPr="00BA03C4">
        <w:t>State attitudes and treatment</w:t>
      </w:r>
    </w:p>
    <w:p w14:paraId="51171118" w14:textId="77777777" w:rsidR="00953D45" w:rsidRPr="00BA03C4" w:rsidRDefault="00953D45" w:rsidP="00953D45">
      <w:pPr>
        <w:pStyle w:val="ToRsubtopic"/>
        <w:widowControl w:val="0"/>
      </w:pPr>
      <w:r w:rsidRPr="00BA03C4">
        <w:t>government policies/programmes that assist or discriminate against LGBTI persons</w:t>
      </w:r>
    </w:p>
    <w:p w14:paraId="7CF79943" w14:textId="430178FD" w:rsidR="00953D45" w:rsidRPr="00BA03C4" w:rsidRDefault="00953D45" w:rsidP="00953D45">
      <w:pPr>
        <w:pStyle w:val="ToRsubtopic"/>
        <w:widowControl w:val="0"/>
      </w:pPr>
      <w:r w:rsidRPr="00BA03C4">
        <w:t xml:space="preserve">restrictions/enforcement of law against LGBTI </w:t>
      </w:r>
      <w:r w:rsidR="006619A7" w:rsidRPr="00BA03C4">
        <w:t>freedom of assembly, including Pride events</w:t>
      </w:r>
    </w:p>
    <w:p w14:paraId="61227FBD" w14:textId="26DE61DB" w:rsidR="002B6181" w:rsidRPr="00BA03C4" w:rsidRDefault="002B6181" w:rsidP="001E1516">
      <w:pPr>
        <w:pStyle w:val="ToRmaintopic"/>
        <w:widowControl w:val="0"/>
      </w:pPr>
      <w:r w:rsidRPr="00BA03C4">
        <w:t>State protection</w:t>
      </w:r>
    </w:p>
    <w:p w14:paraId="4464416B" w14:textId="6B049420" w:rsidR="009F2664" w:rsidRPr="00BA03C4" w:rsidRDefault="00A53F93" w:rsidP="009F2664">
      <w:pPr>
        <w:pStyle w:val="ToRsubtopic"/>
        <w:widowControl w:val="0"/>
      </w:pPr>
      <w:r w:rsidRPr="00BA03C4">
        <w:t>Function</w:t>
      </w:r>
      <w:r w:rsidR="00DC2430" w:rsidRPr="00BA03C4">
        <w:t>ality and effectiveness of the criminal justice system</w:t>
      </w:r>
      <w:r w:rsidR="00BF7C7B" w:rsidRPr="00BA03C4">
        <w:t>, including</w:t>
      </w:r>
      <w:r w:rsidR="008B30FC" w:rsidRPr="00BA03C4">
        <w:t xml:space="preserve"> effectiveness for LGBTI persons </w:t>
      </w:r>
    </w:p>
    <w:p w14:paraId="2DE40912" w14:textId="10DCF04D" w:rsidR="002B6181" w:rsidRPr="00BA03C4" w:rsidRDefault="008A5088" w:rsidP="008B30FC">
      <w:pPr>
        <w:pStyle w:val="ToRsubtopic"/>
        <w:widowControl w:val="0"/>
      </w:pPr>
      <w:r w:rsidRPr="00BA03C4">
        <w:t>R</w:t>
      </w:r>
      <w:r w:rsidR="008B30FC" w:rsidRPr="00BA03C4">
        <w:t>elevant significant court cases</w:t>
      </w:r>
    </w:p>
    <w:p w14:paraId="5D83801A" w14:textId="77777777" w:rsidR="00953D45" w:rsidRPr="00BA03C4" w:rsidRDefault="00953D45" w:rsidP="00953D45">
      <w:pPr>
        <w:pStyle w:val="ToRmaintopic"/>
        <w:widowControl w:val="0"/>
      </w:pPr>
      <w:r w:rsidRPr="00BA03C4">
        <w:t>Societal attitudes and treatment</w:t>
      </w:r>
    </w:p>
    <w:p w14:paraId="18D64462" w14:textId="37260061" w:rsidR="00953D45" w:rsidRPr="00BA03C4" w:rsidRDefault="00B14BF7" w:rsidP="00953D45">
      <w:pPr>
        <w:pStyle w:val="ToRsubtopic"/>
        <w:widowControl w:val="0"/>
      </w:pPr>
      <w:r w:rsidRPr="00BA03C4">
        <w:t>P</w:t>
      </w:r>
      <w:r w:rsidR="00953D45" w:rsidRPr="00BA03C4">
        <w:t>ublic opinion/views/surveys, including anti-LGBTI movements and public demonstrations</w:t>
      </w:r>
    </w:p>
    <w:p w14:paraId="6F0A1C65" w14:textId="316CDC50" w:rsidR="00953D45" w:rsidRPr="00BA03C4" w:rsidRDefault="00B14BF7" w:rsidP="00953D45">
      <w:pPr>
        <w:pStyle w:val="ToRsubtopic"/>
        <w:widowControl w:val="0"/>
      </w:pPr>
      <w:r w:rsidRPr="00BA03C4">
        <w:t>P</w:t>
      </w:r>
      <w:r w:rsidR="00953D45" w:rsidRPr="00BA03C4">
        <w:t>revailing cultural and family attitudes to male/female relationships, family and non-conforming behaviour</w:t>
      </w:r>
    </w:p>
    <w:p w14:paraId="6D397A46" w14:textId="126F6D24" w:rsidR="0012455A" w:rsidRPr="00BA03C4" w:rsidRDefault="00B14BF7" w:rsidP="00953D45">
      <w:pPr>
        <w:pStyle w:val="ToRsubtopic"/>
        <w:widowControl w:val="0"/>
      </w:pPr>
      <w:r w:rsidRPr="00BA03C4">
        <w:t>Vi</w:t>
      </w:r>
      <w:r w:rsidR="0012455A" w:rsidRPr="00BA03C4">
        <w:t xml:space="preserve">olence and hate crimes against LGBTI community </w:t>
      </w:r>
    </w:p>
    <w:p w14:paraId="0A3FC687" w14:textId="2F688FB3" w:rsidR="0012455A" w:rsidRPr="00BA03C4" w:rsidRDefault="00B14BF7" w:rsidP="00953D45">
      <w:pPr>
        <w:pStyle w:val="ToRsubtopic"/>
        <w:widowControl w:val="0"/>
      </w:pPr>
      <w:r w:rsidRPr="00BA03C4">
        <w:t>P</w:t>
      </w:r>
      <w:r w:rsidR="0012455A" w:rsidRPr="00BA03C4">
        <w:t xml:space="preserve">revalence of hate speech </w:t>
      </w:r>
    </w:p>
    <w:p w14:paraId="43106D55" w14:textId="76D0C492" w:rsidR="00953D45" w:rsidRPr="00BA03C4" w:rsidRDefault="00B14BF7" w:rsidP="00953D45">
      <w:pPr>
        <w:pStyle w:val="ToRsubtopic"/>
        <w:widowControl w:val="0"/>
      </w:pPr>
      <w:r w:rsidRPr="00BA03C4">
        <w:t>T</w:t>
      </w:r>
      <w:r w:rsidR="00953D45" w:rsidRPr="00BA03C4">
        <w:t>reatment by the public, including family members</w:t>
      </w:r>
    </w:p>
    <w:p w14:paraId="68F4C1C3" w14:textId="658F8875" w:rsidR="0012455A" w:rsidRPr="00BA03C4" w:rsidRDefault="0012455A" w:rsidP="00953D45">
      <w:pPr>
        <w:pStyle w:val="ToRsubtopic"/>
        <w:widowControl w:val="0"/>
      </w:pPr>
      <w:r w:rsidRPr="00BA03C4">
        <w:t xml:space="preserve">LGBTI organisations </w:t>
      </w:r>
      <w:r w:rsidR="00862861" w:rsidRPr="00BA03C4">
        <w:t xml:space="preserve">(including possibility to operate openly) </w:t>
      </w:r>
    </w:p>
    <w:p w14:paraId="356C9901" w14:textId="3FE88FF6" w:rsidR="008656CF" w:rsidRPr="00BA03C4" w:rsidRDefault="0012455A" w:rsidP="001E1516">
      <w:pPr>
        <w:pStyle w:val="ToRmaintopic"/>
        <w:widowControl w:val="0"/>
      </w:pPr>
      <w:r w:rsidRPr="00BA03C4">
        <w:t xml:space="preserve">Access to social rights </w:t>
      </w:r>
    </w:p>
    <w:p w14:paraId="27A0DD28" w14:textId="559FF807" w:rsidR="00D65134" w:rsidRPr="00BA03C4" w:rsidRDefault="004F33C6" w:rsidP="00D65134">
      <w:pPr>
        <w:pStyle w:val="ToRsubtopic"/>
        <w:widowControl w:val="0"/>
      </w:pPr>
      <w:r w:rsidRPr="00BA03C4">
        <w:t>Access to accommodation, including r</w:t>
      </w:r>
      <w:r w:rsidR="00D838A6" w:rsidRPr="00BA03C4">
        <w:t xml:space="preserve">ate of homelessness </w:t>
      </w:r>
      <w:r w:rsidRPr="00BA03C4">
        <w:t>in LGBTI community</w:t>
      </w:r>
    </w:p>
    <w:p w14:paraId="6AAB23A8" w14:textId="55C84B82" w:rsidR="00E24613" w:rsidRPr="00BA03C4" w:rsidRDefault="00DF34CE" w:rsidP="00D65134">
      <w:pPr>
        <w:pStyle w:val="ToRsubtopic"/>
        <w:widowControl w:val="0"/>
      </w:pPr>
      <w:r w:rsidRPr="00BA03C4">
        <w:t xml:space="preserve">Discrimination in healthcare </w:t>
      </w:r>
      <w:r w:rsidR="00C518B6" w:rsidRPr="00BA03C4">
        <w:t>access, including attitudes of healthcare staff</w:t>
      </w:r>
    </w:p>
    <w:p w14:paraId="3366B7D1" w14:textId="03F06A8D" w:rsidR="003C0D49" w:rsidRPr="00BA03C4" w:rsidRDefault="003C0D49" w:rsidP="00D65134">
      <w:pPr>
        <w:pStyle w:val="ToRsubtopic"/>
        <w:widowControl w:val="0"/>
      </w:pPr>
      <w:r w:rsidRPr="00BA03C4">
        <w:t>Barriers</w:t>
      </w:r>
      <w:r w:rsidR="00C518B6" w:rsidRPr="00BA03C4">
        <w:t xml:space="preserve">, </w:t>
      </w:r>
      <w:r w:rsidRPr="00BA03C4">
        <w:t xml:space="preserve">discrimination </w:t>
      </w:r>
      <w:r w:rsidR="00C518B6" w:rsidRPr="00BA03C4">
        <w:t xml:space="preserve">and treatment </w:t>
      </w:r>
      <w:r w:rsidRPr="00BA03C4">
        <w:t xml:space="preserve">in employment </w:t>
      </w:r>
    </w:p>
    <w:p w14:paraId="73DB146B" w14:textId="4C6B5CA2" w:rsidR="00EA3BC4" w:rsidRPr="00BA03C4" w:rsidRDefault="00F5694D" w:rsidP="001E1516">
      <w:pPr>
        <w:widowControl w:val="0"/>
      </w:pPr>
      <w:r>
        <w:t xml:space="preserve">                                                     </w:t>
      </w:r>
      <w:r w:rsidR="00072CDB">
        <w:t xml:space="preserve"> </w:t>
      </w:r>
      <w:hyperlink w:anchor="contents" w:history="1">
        <w:r w:rsidR="00BE0032" w:rsidRPr="008B30FC">
          <w:rPr>
            <w:rStyle w:val="Hyperlink"/>
            <w:szCs w:val="24"/>
          </w:rPr>
          <w:t>Back to Contents</w:t>
        </w:r>
      </w:hyperlink>
      <w:r w:rsidR="00EA3BC4" w:rsidRPr="00DD7ED2">
        <w:br w:type="page"/>
      </w:r>
    </w:p>
    <w:p w14:paraId="36AB4CC6" w14:textId="2B189BB1" w:rsidR="00EA3BC4" w:rsidRDefault="00EA3BC4" w:rsidP="001E1516">
      <w:pPr>
        <w:pStyle w:val="Heading1"/>
        <w:keepNext w:val="0"/>
        <w:keepLines w:val="0"/>
        <w:widowControl w:val="0"/>
      </w:pPr>
      <w:bookmarkStart w:id="203" w:name="_Bibliography"/>
      <w:bookmarkStart w:id="204" w:name="_Toc146698568"/>
      <w:bookmarkStart w:id="205" w:name="_Toc178601205"/>
      <w:bookmarkEnd w:id="203"/>
      <w:r w:rsidRPr="00DD7ED2">
        <w:lastRenderedPageBreak/>
        <w:t>Bibliography</w:t>
      </w:r>
      <w:bookmarkEnd w:id="204"/>
      <w:bookmarkEnd w:id="205"/>
    </w:p>
    <w:p w14:paraId="70144385" w14:textId="77777777" w:rsidR="00111B3E" w:rsidRPr="00DD7ED2" w:rsidRDefault="00111B3E" w:rsidP="00111B3E">
      <w:pPr>
        <w:pStyle w:val="Heading2"/>
        <w:numPr>
          <w:ilvl w:val="0"/>
          <w:numId w:val="0"/>
        </w:numPr>
        <w:ind w:left="851" w:hanging="851"/>
      </w:pPr>
      <w:bookmarkStart w:id="206" w:name="_Toc127352522"/>
      <w:bookmarkStart w:id="207" w:name="_Toc146698569"/>
      <w:bookmarkStart w:id="208" w:name="_Toc178601206"/>
      <w:r w:rsidRPr="00DD7ED2">
        <w:t>Sources cited</w:t>
      </w:r>
      <w:bookmarkEnd w:id="206"/>
      <w:bookmarkEnd w:id="207"/>
      <w:bookmarkEnd w:id="208"/>
      <w:r w:rsidRPr="00DD7ED2">
        <w:t xml:space="preserve"> </w:t>
      </w:r>
    </w:p>
    <w:p w14:paraId="14155C05" w14:textId="77777777" w:rsidR="004E72F7" w:rsidRPr="00263F0F" w:rsidRDefault="004E72F7" w:rsidP="001E1516">
      <w:pPr>
        <w:widowControl w:val="0"/>
        <w:rPr>
          <w:rStyle w:val="FootnoteTextChar"/>
          <w:sz w:val="24"/>
          <w:szCs w:val="19"/>
        </w:rPr>
      </w:pPr>
      <w:r w:rsidRPr="00263F0F">
        <w:rPr>
          <w:rStyle w:val="FootnoteTextChar"/>
          <w:sz w:val="24"/>
          <w:szCs w:val="19"/>
        </w:rPr>
        <w:t xml:space="preserve">Amnesty International, </w:t>
      </w:r>
      <w:r w:rsidRPr="00263F0F">
        <w:t>‘</w:t>
      </w:r>
      <w:hyperlink r:id="rId36" w:anchor=":~:text=Georgia%20%28no.%2073235%2F12%29%20handed%20down%20on%2012%20May,2012%20violated%20the%20European%20Convention%20on%20Human%20Rights." w:history="1">
        <w:r w:rsidRPr="00263F0F">
          <w:rPr>
            <w:rStyle w:val="Hyperlink"/>
          </w:rPr>
          <w:t xml:space="preserve">European Court’s ruling in </w:t>
        </w:r>
        <w:proofErr w:type="spellStart"/>
        <w:r w:rsidRPr="00263F0F">
          <w:rPr>
            <w:rStyle w:val="Hyperlink"/>
          </w:rPr>
          <w:t>Identoba</w:t>
        </w:r>
        <w:proofErr w:type="spellEnd"/>
        <w:r w:rsidRPr="00263F0F">
          <w:rPr>
            <w:rStyle w:val="Hyperlink"/>
          </w:rPr>
          <w:t xml:space="preserve"> and Others v. Georgia: An Important ...</w:t>
        </w:r>
      </w:hyperlink>
      <w:r w:rsidRPr="00263F0F">
        <w:t>’</w:t>
      </w:r>
      <w:r w:rsidRPr="00263F0F">
        <w:rPr>
          <w:rStyle w:val="FootnoteTextChar"/>
          <w:sz w:val="24"/>
          <w:szCs w:val="19"/>
        </w:rPr>
        <w:t>, 26 May 2015. Last accessed: 20 June 2023</w:t>
      </w:r>
    </w:p>
    <w:p w14:paraId="1277DE3F" w14:textId="77777777" w:rsidR="004E72F7" w:rsidRPr="00263F0F" w:rsidRDefault="004E72F7" w:rsidP="001E1516">
      <w:pPr>
        <w:widowControl w:val="0"/>
        <w:rPr>
          <w:rStyle w:val="FootnoteTextChar"/>
          <w:sz w:val="24"/>
          <w:szCs w:val="19"/>
        </w:rPr>
      </w:pPr>
      <w:r w:rsidRPr="00263F0F">
        <w:rPr>
          <w:rStyle w:val="FootnoteTextChar"/>
          <w:sz w:val="24"/>
          <w:szCs w:val="19"/>
        </w:rPr>
        <w:t>BBC Culture, ‘</w:t>
      </w:r>
      <w:hyperlink r:id="rId37" w:history="1">
        <w:r w:rsidRPr="00263F0F">
          <w:rPr>
            <w:rStyle w:val="Hyperlink"/>
          </w:rPr>
          <w:t>Georgia's surprising LGBTQ+ scene</w:t>
        </w:r>
      </w:hyperlink>
      <w:r w:rsidRPr="00263F0F">
        <w:t>’, 25</w:t>
      </w:r>
      <w:r w:rsidRPr="00263F0F">
        <w:rPr>
          <w:vertAlign w:val="superscript"/>
        </w:rPr>
        <w:t xml:space="preserve"> </w:t>
      </w:r>
      <w:r w:rsidRPr="00263F0F">
        <w:rPr>
          <w:rStyle w:val="FootnoteTextChar"/>
          <w:sz w:val="24"/>
          <w:szCs w:val="19"/>
        </w:rPr>
        <w:t>January 2023. Last accessed: 20 June 2023</w:t>
      </w:r>
    </w:p>
    <w:p w14:paraId="3C6E58FA" w14:textId="77777777" w:rsidR="00025E3A" w:rsidRDefault="004E72F7" w:rsidP="001E1516">
      <w:pPr>
        <w:widowControl w:val="0"/>
        <w:rPr>
          <w:rStyle w:val="FootnoteTextChar"/>
          <w:sz w:val="24"/>
          <w:szCs w:val="19"/>
        </w:rPr>
      </w:pPr>
      <w:r w:rsidRPr="00263F0F">
        <w:rPr>
          <w:rStyle w:val="FootnoteTextChar"/>
          <w:sz w:val="24"/>
          <w:szCs w:val="19"/>
        </w:rPr>
        <w:t>BBC News,</w:t>
      </w:r>
    </w:p>
    <w:p w14:paraId="1B95D3BB" w14:textId="70584B81" w:rsidR="004E72F7" w:rsidRDefault="004E72F7" w:rsidP="001E1516">
      <w:pPr>
        <w:widowControl w:val="0"/>
        <w:ind w:left="720" w:firstLine="70"/>
      </w:pPr>
      <w:r w:rsidRPr="00263F0F">
        <w:rPr>
          <w:rStyle w:val="FootnoteTextChar"/>
          <w:sz w:val="24"/>
          <w:szCs w:val="19"/>
        </w:rPr>
        <w:t>‘</w:t>
      </w:r>
      <w:hyperlink r:id="rId38" w:history="1">
        <w:r w:rsidRPr="00263F0F">
          <w:rPr>
            <w:rStyle w:val="Hyperlink"/>
          </w:rPr>
          <w:t>LGBT rights: The film about gay love shaking up Georgia</w:t>
        </w:r>
      </w:hyperlink>
      <w:r w:rsidRPr="00263F0F">
        <w:t>’, 23 December 2019. Last accessed: 20 June 2023</w:t>
      </w:r>
    </w:p>
    <w:p w14:paraId="1A55166A" w14:textId="3BC4EF3E" w:rsidR="00025E3A" w:rsidRPr="00263F0F" w:rsidRDefault="00025E3A" w:rsidP="001E1516">
      <w:pPr>
        <w:widowControl w:val="0"/>
        <w:ind w:left="720" w:firstLine="70"/>
        <w:rPr>
          <w:rStyle w:val="FootnoteTextChar"/>
          <w:sz w:val="24"/>
          <w:szCs w:val="22"/>
        </w:rPr>
      </w:pPr>
      <w:r>
        <w:t>‘</w:t>
      </w:r>
      <w:hyperlink r:id="rId39" w:history="1">
        <w:r w:rsidRPr="009E76E4">
          <w:rPr>
            <w:rStyle w:val="Hyperlink"/>
          </w:rPr>
          <w:t>Country profile: Georgia</w:t>
        </w:r>
      </w:hyperlink>
      <w:r>
        <w:t>’, 2 August 2023. Last accessed: 26 September 2023</w:t>
      </w:r>
    </w:p>
    <w:p w14:paraId="34649BA0" w14:textId="7AC01162" w:rsidR="00B86418" w:rsidRDefault="00B86418" w:rsidP="001E1516">
      <w:pPr>
        <w:widowControl w:val="0"/>
        <w:rPr>
          <w:szCs w:val="19"/>
        </w:rPr>
      </w:pPr>
      <w:r w:rsidRPr="00B86418">
        <w:rPr>
          <w:szCs w:val="19"/>
        </w:rPr>
        <w:t xml:space="preserve">Caucasus Research Resource Center </w:t>
      </w:r>
      <w:r>
        <w:rPr>
          <w:szCs w:val="19"/>
        </w:rPr>
        <w:t>(</w:t>
      </w:r>
      <w:r w:rsidRPr="00B86418">
        <w:rPr>
          <w:szCs w:val="19"/>
        </w:rPr>
        <w:t>CRRC</w:t>
      </w:r>
      <w:r>
        <w:rPr>
          <w:szCs w:val="19"/>
        </w:rPr>
        <w:t>)</w:t>
      </w:r>
      <w:r w:rsidRPr="00B86418">
        <w:rPr>
          <w:szCs w:val="19"/>
        </w:rPr>
        <w:t>, ‘</w:t>
      </w:r>
      <w:hyperlink r:id="rId40" w:history="1">
        <w:r w:rsidRPr="00B86418">
          <w:rPr>
            <w:rStyle w:val="Hyperlink"/>
            <w:szCs w:val="19"/>
          </w:rPr>
          <w:t>Caucasus Barometer 2021 Georgia</w:t>
        </w:r>
      </w:hyperlink>
      <w:r w:rsidRPr="00B86418">
        <w:rPr>
          <w:szCs w:val="19"/>
        </w:rPr>
        <w:t>’, no date</w:t>
      </w:r>
      <w:r>
        <w:rPr>
          <w:szCs w:val="19"/>
        </w:rPr>
        <w:t>. Last accessed: 14 September 2023</w:t>
      </w:r>
    </w:p>
    <w:p w14:paraId="42DEF29E" w14:textId="50FDB2B8" w:rsidR="0086141B" w:rsidRDefault="0086141B" w:rsidP="001E1516">
      <w:pPr>
        <w:widowControl w:val="0"/>
        <w:rPr>
          <w:rStyle w:val="FootnoteTextChar"/>
          <w:sz w:val="24"/>
          <w:szCs w:val="19"/>
        </w:rPr>
      </w:pPr>
      <w:r>
        <w:t>Civil.ge, ‘</w:t>
      </w:r>
      <w:hyperlink r:id="rId41" w:history="1">
        <w:r w:rsidRPr="004F7AC1">
          <w:rPr>
            <w:rStyle w:val="Hyperlink"/>
          </w:rPr>
          <w:t>Patriarchate of Georgia urges legislative action against “LGBT propaganda”</w:t>
        </w:r>
      </w:hyperlink>
      <w:r>
        <w:t>’, 2 July 2023. Last accessed: 14 October 2023</w:t>
      </w:r>
    </w:p>
    <w:p w14:paraId="25E9D379" w14:textId="6671BCCB" w:rsidR="002B6A6F" w:rsidRDefault="004E72F7" w:rsidP="001E1516">
      <w:pPr>
        <w:widowControl w:val="0"/>
        <w:rPr>
          <w:rStyle w:val="FootnoteTextChar"/>
          <w:sz w:val="24"/>
          <w:szCs w:val="19"/>
        </w:rPr>
      </w:pPr>
      <w:r w:rsidRPr="00263F0F">
        <w:rPr>
          <w:rStyle w:val="FootnoteTextChar"/>
          <w:sz w:val="24"/>
          <w:szCs w:val="19"/>
        </w:rPr>
        <w:t xml:space="preserve">Civil Georgia, </w:t>
      </w:r>
    </w:p>
    <w:p w14:paraId="5DE8734A" w14:textId="77B9972F" w:rsidR="004E72F7" w:rsidRDefault="004E72F7" w:rsidP="001E1516">
      <w:pPr>
        <w:widowControl w:val="0"/>
        <w:ind w:left="720"/>
      </w:pPr>
      <w:r w:rsidRPr="00263F0F">
        <w:t>‘</w:t>
      </w:r>
      <w:hyperlink r:id="rId42" w:history="1">
        <w:r w:rsidRPr="00263F0F">
          <w:rPr>
            <w:rStyle w:val="Hyperlink"/>
          </w:rPr>
          <w:t>Tbilisi Pride Events to Take Place Indoors on July 1-8 – Civil Georgia</w:t>
        </w:r>
      </w:hyperlink>
      <w:r w:rsidRPr="00263F0F">
        <w:t>’, 2 June 2023. Last accessed: 20 June 2023</w:t>
      </w:r>
    </w:p>
    <w:p w14:paraId="02E9D66F" w14:textId="7EDAC6F0" w:rsidR="00202589" w:rsidRPr="00263F0F" w:rsidRDefault="00202589" w:rsidP="001E1516">
      <w:pPr>
        <w:widowControl w:val="0"/>
        <w:ind w:left="720"/>
      </w:pPr>
      <w:r>
        <w:t>‘</w:t>
      </w:r>
      <w:hyperlink r:id="rId43" w:history="1">
        <w:r w:rsidRPr="00E175D3">
          <w:rPr>
            <w:rStyle w:val="Hyperlink"/>
          </w:rPr>
          <w:t>Court Lenient Towards July 5 Attackers on “Tbilisi Pride</w:t>
        </w:r>
      </w:hyperlink>
      <w:r w:rsidRPr="00E175D3">
        <w:t>”</w:t>
      </w:r>
      <w:r>
        <w:t>’, 4 May 2022. Last accessed</w:t>
      </w:r>
      <w:r w:rsidR="00AF5AF0">
        <w:t>:</w:t>
      </w:r>
      <w:r>
        <w:t xml:space="preserve"> </w:t>
      </w:r>
      <w:r w:rsidR="00B154BB">
        <w:t>20 August 2023</w:t>
      </w:r>
    </w:p>
    <w:p w14:paraId="07C846CE" w14:textId="53D71F5B" w:rsidR="00AF5AF0" w:rsidRDefault="00AF5AF0" w:rsidP="001E1516">
      <w:pPr>
        <w:widowControl w:val="0"/>
      </w:pPr>
      <w:r w:rsidRPr="00AF5AF0">
        <w:t>Clayton,</w:t>
      </w:r>
      <w:r>
        <w:t xml:space="preserve"> Mark,</w:t>
      </w:r>
      <w:r w:rsidRPr="00AF5AF0">
        <w:t xml:space="preserve"> </w:t>
      </w:r>
      <w:hyperlink r:id="rId44" w:history="1">
        <w:r w:rsidRPr="00AF5AF0">
          <w:rPr>
            <w:rStyle w:val="Hyperlink"/>
          </w:rPr>
          <w:t>‘@</w:t>
        </w:r>
        <w:proofErr w:type="spellStart"/>
        <w:r w:rsidRPr="00AF5AF0">
          <w:rPr>
            <w:rStyle w:val="Hyperlink"/>
          </w:rPr>
          <w:t>MarkClaytonFCDO</w:t>
        </w:r>
        <w:proofErr w:type="spellEnd"/>
        <w:r w:rsidRPr="00AF5AF0">
          <w:rPr>
            <w:rStyle w:val="Hyperlink"/>
          </w:rPr>
          <w:t>’ on Twitter</w:t>
        </w:r>
      </w:hyperlink>
      <w:r w:rsidRPr="00AF5AF0">
        <w:t>’, 8 July 2023</w:t>
      </w:r>
      <w:r>
        <w:t>. Last accessed: 18 September 2023</w:t>
      </w:r>
    </w:p>
    <w:p w14:paraId="399BCD3A" w14:textId="652CEE8B" w:rsidR="004E72F7" w:rsidRPr="00263F0F" w:rsidRDefault="004E72F7" w:rsidP="001E1516">
      <w:pPr>
        <w:widowControl w:val="0"/>
        <w:rPr>
          <w:rStyle w:val="FootnoteTextChar"/>
          <w:sz w:val="24"/>
          <w:szCs w:val="19"/>
        </w:rPr>
      </w:pPr>
      <w:r w:rsidRPr="00263F0F">
        <w:t>Coalition for Equality, ‘</w:t>
      </w:r>
      <w:hyperlink r:id="rId45" w:history="1">
        <w:r w:rsidRPr="00263F0F">
          <w:rPr>
            <w:rStyle w:val="Hyperlink"/>
          </w:rPr>
          <w:t>The main challenges of the social protection system for various vulnerable groups in Georgia</w:t>
        </w:r>
      </w:hyperlink>
      <w:r w:rsidRPr="00263F0F">
        <w:t>’, 17 March 2022. Last accessed: 20 June 2023</w:t>
      </w:r>
    </w:p>
    <w:p w14:paraId="291D00C4" w14:textId="77777777" w:rsidR="004E72F7" w:rsidRPr="00263F0F" w:rsidRDefault="004E72F7" w:rsidP="001E1516">
      <w:pPr>
        <w:widowControl w:val="0"/>
        <w:rPr>
          <w:rStyle w:val="FootnoteTextChar"/>
          <w:sz w:val="24"/>
          <w:szCs w:val="19"/>
        </w:rPr>
      </w:pPr>
      <w:r>
        <w:rPr>
          <w:rStyle w:val="FootnoteTextChar"/>
          <w:sz w:val="24"/>
          <w:szCs w:val="19"/>
        </w:rPr>
        <w:t xml:space="preserve">Council of Europe, </w:t>
      </w:r>
      <w:r w:rsidRPr="00263F0F">
        <w:rPr>
          <w:rStyle w:val="FootnoteTextChar"/>
          <w:sz w:val="24"/>
          <w:szCs w:val="19"/>
        </w:rPr>
        <w:t xml:space="preserve">Commissioner for Human Rights, </w:t>
      </w:r>
      <w:r w:rsidRPr="00263F0F">
        <w:t>‘</w:t>
      </w:r>
      <w:hyperlink r:id="rId46" w:history="1">
        <w:hyperlink r:id="rId47" w:history="1">
          <w:r w:rsidRPr="00263F0F">
            <w:rPr>
              <w:rStyle w:val="Hyperlink"/>
            </w:rPr>
            <w:t>Commissioner's report on the visit to Georgia’</w:t>
          </w:r>
        </w:hyperlink>
      </w:hyperlink>
      <w:r w:rsidRPr="00263F0F">
        <w:rPr>
          <w:rStyle w:val="Hyperlink"/>
        </w:rPr>
        <w:t>,</w:t>
      </w:r>
      <w:r w:rsidRPr="00263F0F">
        <w:rPr>
          <w:rStyle w:val="FootnoteTextChar"/>
        </w:rPr>
        <w:t xml:space="preserve"> </w:t>
      </w:r>
      <w:r w:rsidRPr="00263F0F">
        <w:t>15 July 2022</w:t>
      </w:r>
      <w:r w:rsidRPr="00263F0F">
        <w:rPr>
          <w:rStyle w:val="FootnoteTextChar"/>
          <w:sz w:val="24"/>
          <w:szCs w:val="19"/>
        </w:rPr>
        <w:t>. Last accessed: 20 June 2023. Accessed via ecoi.net</w:t>
      </w:r>
    </w:p>
    <w:p w14:paraId="57D4D7CE" w14:textId="17D19521" w:rsidR="004369FD" w:rsidRDefault="004369FD" w:rsidP="001E1516">
      <w:pPr>
        <w:widowControl w:val="0"/>
        <w:rPr>
          <w:rStyle w:val="FootnoteTextChar"/>
          <w:sz w:val="24"/>
          <w:szCs w:val="19"/>
        </w:rPr>
      </w:pPr>
      <w:r w:rsidRPr="004369FD">
        <w:rPr>
          <w:szCs w:val="19"/>
        </w:rPr>
        <w:t>Co</w:t>
      </w:r>
      <w:r>
        <w:rPr>
          <w:szCs w:val="19"/>
        </w:rPr>
        <w:t>uncil of Europe, Council of Europe Office in Georgia</w:t>
      </w:r>
      <w:r w:rsidRPr="004369FD">
        <w:rPr>
          <w:szCs w:val="19"/>
        </w:rPr>
        <w:t>, ‘</w:t>
      </w:r>
      <w:hyperlink r:id="rId48" w:history="1">
        <w:r w:rsidRPr="004369FD">
          <w:rPr>
            <w:rStyle w:val="Hyperlink"/>
            <w:szCs w:val="19"/>
          </w:rPr>
          <w:t>First ever Memorandum on Cooperation on Collection of Data on Hate Crime signed in Georgia</w:t>
        </w:r>
      </w:hyperlink>
      <w:r w:rsidRPr="004369FD">
        <w:rPr>
          <w:szCs w:val="19"/>
        </w:rPr>
        <w:t>’, 23 September 2020</w:t>
      </w:r>
      <w:r>
        <w:rPr>
          <w:szCs w:val="19"/>
        </w:rPr>
        <w:t>. Last accessed: 12 September 2023</w:t>
      </w:r>
    </w:p>
    <w:p w14:paraId="58B318BF" w14:textId="1EF98C10" w:rsidR="004E72F7" w:rsidRPr="00263F0F" w:rsidRDefault="00F97C6E" w:rsidP="001E1516">
      <w:pPr>
        <w:widowControl w:val="0"/>
        <w:rPr>
          <w:rStyle w:val="FootnoteTextChar"/>
          <w:sz w:val="24"/>
          <w:szCs w:val="19"/>
        </w:rPr>
      </w:pPr>
      <w:r w:rsidRPr="00F97C6E">
        <w:rPr>
          <w:rStyle w:val="FootnoteTextChar"/>
          <w:sz w:val="24"/>
          <w:szCs w:val="19"/>
        </w:rPr>
        <w:t>Eurasian Coalition for Health, Rights, Gender and Sexual Diversity</w:t>
      </w:r>
      <w:r w:rsidR="004E72F7" w:rsidRPr="00263F0F">
        <w:rPr>
          <w:rStyle w:val="FootnoteTextChar"/>
          <w:sz w:val="24"/>
          <w:szCs w:val="19"/>
        </w:rPr>
        <w:t xml:space="preserve">, </w:t>
      </w:r>
      <w:r w:rsidR="004E72F7" w:rsidRPr="00263F0F">
        <w:t>‘</w:t>
      </w:r>
      <w:hyperlink r:id="rId49" w:history="1">
        <w:r w:rsidR="004E72F7" w:rsidRPr="00263F0F">
          <w:rPr>
            <w:rStyle w:val="Hyperlink"/>
          </w:rPr>
          <w:t>Analysis of Georgian Legislation for 2022</w:t>
        </w:r>
      </w:hyperlink>
      <w:r w:rsidR="004E72F7" w:rsidRPr="00263F0F">
        <w:t>’</w:t>
      </w:r>
      <w:r w:rsidR="004E72F7" w:rsidRPr="00263F0F">
        <w:rPr>
          <w:rStyle w:val="FootnoteTextChar"/>
          <w:sz w:val="24"/>
          <w:szCs w:val="19"/>
        </w:rPr>
        <w:t>, 14 April 2023. Last accessed: 20 June 2023</w:t>
      </w:r>
    </w:p>
    <w:p w14:paraId="1A04C323" w14:textId="7E8C91D3" w:rsidR="005B3F60" w:rsidRPr="00263F0F" w:rsidRDefault="005B3F60" w:rsidP="001E1516">
      <w:pPr>
        <w:widowControl w:val="0"/>
        <w:rPr>
          <w:rStyle w:val="FootnoteTextChar"/>
          <w:sz w:val="24"/>
          <w:szCs w:val="19"/>
        </w:rPr>
      </w:pPr>
      <w:r>
        <w:t xml:space="preserve">The Economist, </w:t>
      </w:r>
      <w:hyperlink r:id="rId50" w:history="1">
        <w:r w:rsidRPr="00E26F6B">
          <w:rPr>
            <w:rStyle w:val="Hyperlink"/>
          </w:rPr>
          <w:t>Bouncers at gay clubs in Georgia screen patrons for bigotry</w:t>
        </w:r>
      </w:hyperlink>
      <w:r>
        <w:t>, 4 Nov 2021. Last accessed: 8 September 2023</w:t>
      </w:r>
    </w:p>
    <w:p w14:paraId="69C94468" w14:textId="42841E38" w:rsidR="004E72F7" w:rsidRDefault="004E72F7" w:rsidP="001E1516">
      <w:pPr>
        <w:widowControl w:val="0"/>
        <w:rPr>
          <w:rStyle w:val="FootnoteTextChar"/>
          <w:sz w:val="24"/>
          <w:szCs w:val="19"/>
        </w:rPr>
      </w:pPr>
      <w:r w:rsidRPr="00263F0F">
        <w:rPr>
          <w:rStyle w:val="FootnoteTextChar"/>
          <w:sz w:val="24"/>
          <w:szCs w:val="19"/>
        </w:rPr>
        <w:t>ECOM, Equality Movemen</w:t>
      </w:r>
      <w:r w:rsidR="005D4412">
        <w:rPr>
          <w:rStyle w:val="FootnoteTextChar"/>
          <w:sz w:val="24"/>
          <w:szCs w:val="19"/>
        </w:rPr>
        <w:t>t &amp;</w:t>
      </w:r>
      <w:r w:rsidRPr="00263F0F">
        <w:rPr>
          <w:rStyle w:val="FootnoteTextChar"/>
          <w:sz w:val="24"/>
          <w:szCs w:val="19"/>
        </w:rPr>
        <w:t xml:space="preserve"> Tbilisi Pride, ‘</w:t>
      </w:r>
      <w:hyperlink r:id="rId51" w:history="1">
        <w:r w:rsidRPr="001F69CD">
          <w:rPr>
            <w:rStyle w:val="Hyperlink"/>
            <w:szCs w:val="19"/>
          </w:rPr>
          <w:t>Human Rights Violations Based on Sexual Orientation and Gender Identity in Georgia</w:t>
        </w:r>
        <w:r w:rsidRPr="001F69CD">
          <w:rPr>
            <w:rStyle w:val="Hyperlink"/>
          </w:rPr>
          <w:t>’</w:t>
        </w:r>
      </w:hyperlink>
      <w:r w:rsidRPr="00263F0F">
        <w:rPr>
          <w:rStyle w:val="FootnoteTextChar"/>
          <w:sz w:val="24"/>
          <w:szCs w:val="19"/>
        </w:rPr>
        <w:t>, May 2022. Last accessed: 2</w:t>
      </w:r>
      <w:r w:rsidR="005378DF">
        <w:rPr>
          <w:rStyle w:val="FootnoteTextChar"/>
          <w:sz w:val="24"/>
          <w:szCs w:val="19"/>
        </w:rPr>
        <w:t xml:space="preserve">5 August 2023 </w:t>
      </w:r>
    </w:p>
    <w:p w14:paraId="63E89C22" w14:textId="4A12025A" w:rsidR="00D41030" w:rsidRDefault="00D41030" w:rsidP="001E1516">
      <w:pPr>
        <w:widowControl w:val="0"/>
        <w:rPr>
          <w:rStyle w:val="FootnoteTextChar"/>
          <w:sz w:val="24"/>
          <w:szCs w:val="19"/>
        </w:rPr>
      </w:pPr>
      <w:r>
        <w:rPr>
          <w:rStyle w:val="FootnoteTextChar"/>
          <w:sz w:val="24"/>
          <w:szCs w:val="19"/>
        </w:rPr>
        <w:t xml:space="preserve">Equality Movement, </w:t>
      </w:r>
    </w:p>
    <w:p w14:paraId="49AE5C0A" w14:textId="77777777" w:rsidR="00BA03C4" w:rsidRDefault="00000000" w:rsidP="001E1516">
      <w:pPr>
        <w:pStyle w:val="FootnoteText"/>
        <w:spacing w:after="120"/>
        <w:ind w:left="720"/>
        <w:rPr>
          <w:sz w:val="24"/>
          <w:szCs w:val="24"/>
        </w:rPr>
      </w:pPr>
      <w:hyperlink r:id="rId52" w:history="1">
        <w:r w:rsidR="0033786E" w:rsidRPr="000D38D8">
          <w:rPr>
            <w:rStyle w:val="Hyperlink"/>
            <w:sz w:val="24"/>
            <w:szCs w:val="24"/>
          </w:rPr>
          <w:t>Mission/Vision</w:t>
        </w:r>
      </w:hyperlink>
      <w:r w:rsidR="0033786E" w:rsidRPr="000D38D8">
        <w:rPr>
          <w:sz w:val="24"/>
          <w:szCs w:val="24"/>
        </w:rPr>
        <w:t>, no date</w:t>
      </w:r>
      <w:r w:rsidR="000D38D8">
        <w:rPr>
          <w:sz w:val="24"/>
          <w:szCs w:val="24"/>
        </w:rPr>
        <w:t>. Last accessed: 6 September 2023</w:t>
      </w:r>
    </w:p>
    <w:p w14:paraId="486BA154" w14:textId="0CD7B102" w:rsidR="000D38D8" w:rsidRPr="000D38D8" w:rsidRDefault="00000000" w:rsidP="001E1516">
      <w:pPr>
        <w:pStyle w:val="FootnoteText"/>
        <w:spacing w:after="120"/>
        <w:ind w:left="720"/>
        <w:rPr>
          <w:sz w:val="24"/>
          <w:szCs w:val="24"/>
        </w:rPr>
      </w:pPr>
      <w:hyperlink r:id="rId53" w:history="1">
        <w:r w:rsidR="000D38D8" w:rsidRPr="000D38D8">
          <w:rPr>
            <w:rStyle w:val="Hyperlink"/>
            <w:sz w:val="24"/>
            <w:szCs w:val="24"/>
          </w:rPr>
          <w:t>Doctor</w:t>
        </w:r>
      </w:hyperlink>
      <w:r w:rsidR="000D38D8" w:rsidRPr="000D38D8">
        <w:rPr>
          <w:sz w:val="24"/>
          <w:szCs w:val="24"/>
        </w:rPr>
        <w:t>, no date</w:t>
      </w:r>
      <w:r w:rsidR="000D38D8">
        <w:rPr>
          <w:sz w:val="24"/>
          <w:szCs w:val="24"/>
        </w:rPr>
        <w:t xml:space="preserve">. Last accessed: 6 September 2023 </w:t>
      </w:r>
    </w:p>
    <w:p w14:paraId="6418E603" w14:textId="4D0FA5CA" w:rsidR="000D38D8" w:rsidRPr="000D38D8" w:rsidRDefault="00000000" w:rsidP="001E1516">
      <w:pPr>
        <w:pStyle w:val="FootnoteText"/>
        <w:spacing w:after="120"/>
        <w:ind w:left="720"/>
        <w:rPr>
          <w:sz w:val="24"/>
          <w:szCs w:val="24"/>
        </w:rPr>
      </w:pPr>
      <w:hyperlink r:id="rId54" w:history="1">
        <w:r w:rsidR="000D38D8" w:rsidRPr="000D38D8">
          <w:rPr>
            <w:rStyle w:val="Hyperlink"/>
            <w:sz w:val="24"/>
            <w:szCs w:val="24"/>
          </w:rPr>
          <w:t>HIV Testing</w:t>
        </w:r>
      </w:hyperlink>
      <w:r w:rsidR="000D38D8" w:rsidRPr="000D38D8">
        <w:rPr>
          <w:sz w:val="24"/>
          <w:szCs w:val="24"/>
        </w:rPr>
        <w:t>, no date</w:t>
      </w:r>
      <w:r w:rsidR="000D38D8">
        <w:rPr>
          <w:sz w:val="24"/>
          <w:szCs w:val="24"/>
        </w:rPr>
        <w:t>. Last accessed: 6 September 2023</w:t>
      </w:r>
    </w:p>
    <w:p w14:paraId="1C962DE6" w14:textId="78EB62B3" w:rsidR="000D38D8" w:rsidRPr="000D38D8" w:rsidRDefault="00000000" w:rsidP="001E1516">
      <w:pPr>
        <w:pStyle w:val="FootnoteText"/>
        <w:tabs>
          <w:tab w:val="left" w:pos="3954"/>
        </w:tabs>
        <w:spacing w:after="120"/>
        <w:ind w:left="720"/>
        <w:rPr>
          <w:sz w:val="24"/>
          <w:szCs w:val="24"/>
        </w:rPr>
      </w:pPr>
      <w:hyperlink r:id="rId55" w:history="1">
        <w:r w:rsidR="000D38D8" w:rsidRPr="000D38D8">
          <w:rPr>
            <w:rStyle w:val="Hyperlink"/>
            <w:sz w:val="24"/>
            <w:szCs w:val="24"/>
          </w:rPr>
          <w:t>Psychologist</w:t>
        </w:r>
      </w:hyperlink>
      <w:r w:rsidR="000D38D8" w:rsidRPr="000D38D8">
        <w:rPr>
          <w:sz w:val="24"/>
          <w:szCs w:val="24"/>
        </w:rPr>
        <w:t>, no dat</w:t>
      </w:r>
      <w:r w:rsidR="000D38D8">
        <w:rPr>
          <w:sz w:val="24"/>
          <w:szCs w:val="24"/>
        </w:rPr>
        <w:t xml:space="preserve">e. Last accessed: 6 September 2023 </w:t>
      </w:r>
    </w:p>
    <w:p w14:paraId="523E90FD" w14:textId="71DB030D" w:rsidR="00313421" w:rsidRDefault="00313421" w:rsidP="001E1516">
      <w:pPr>
        <w:widowControl w:val="0"/>
        <w:rPr>
          <w:rStyle w:val="FootnoteTextChar"/>
          <w:sz w:val="24"/>
          <w:szCs w:val="19"/>
        </w:rPr>
      </w:pPr>
      <w:r>
        <w:t xml:space="preserve">European Commission, </w:t>
      </w:r>
      <w:hyperlink r:id="rId56" w:history="1">
        <w:r w:rsidRPr="0052358E">
          <w:rPr>
            <w:rStyle w:val="Hyperlink"/>
          </w:rPr>
          <w:t>Commission Opinion on Georgia's application for membership of the European Union</w:t>
        </w:r>
      </w:hyperlink>
      <w:r>
        <w:t>, 17 June 2022. Last accessed: 24 August 2023</w:t>
      </w:r>
    </w:p>
    <w:p w14:paraId="7F910972" w14:textId="67B92804" w:rsidR="00747010" w:rsidRDefault="00343F71" w:rsidP="001E1516">
      <w:pPr>
        <w:widowControl w:val="0"/>
      </w:pPr>
      <w:r>
        <w:t xml:space="preserve">European Court of Human Rights </w:t>
      </w:r>
      <w:r w:rsidR="00B16609">
        <w:t xml:space="preserve">(ECtHR), </w:t>
      </w:r>
    </w:p>
    <w:p w14:paraId="5476E33E" w14:textId="4E1221D3" w:rsidR="00343F71" w:rsidRDefault="00000000" w:rsidP="001E1516">
      <w:pPr>
        <w:widowControl w:val="0"/>
        <w:ind w:left="720"/>
        <w:rPr>
          <w:szCs w:val="24"/>
        </w:rPr>
      </w:pPr>
      <w:hyperlink r:id="rId57" w:anchor="{%22fulltext%22:[%2257864/17%22],%22itemid%22:[%22003-7507605-10303692%22]}" w:history="1">
        <w:r w:rsidR="00343F71" w:rsidRPr="00747010">
          <w:rPr>
            <w:rStyle w:val="Hyperlink"/>
            <w:szCs w:val="24"/>
          </w:rPr>
          <w:t>Judgement A.D. and Others v. Georgia - Imprecision of domestic legislation for gender changes in civil-status records in Georgia</w:t>
        </w:r>
      </w:hyperlink>
      <w:r w:rsidR="00343F71" w:rsidRPr="00747010">
        <w:rPr>
          <w:szCs w:val="24"/>
        </w:rPr>
        <w:t>, 1 Dec 2022</w:t>
      </w:r>
      <w:r w:rsidR="003E0614">
        <w:rPr>
          <w:szCs w:val="24"/>
        </w:rPr>
        <w:t>. La</w:t>
      </w:r>
      <w:r w:rsidR="001E16A6">
        <w:rPr>
          <w:szCs w:val="24"/>
        </w:rPr>
        <w:t xml:space="preserve">st accessed: 27 </w:t>
      </w:r>
      <w:r w:rsidR="000B7253">
        <w:rPr>
          <w:szCs w:val="24"/>
        </w:rPr>
        <w:t xml:space="preserve">August 2023 </w:t>
      </w:r>
    </w:p>
    <w:p w14:paraId="5F46FAEE" w14:textId="1F82F501" w:rsidR="004F3768" w:rsidRPr="00747010" w:rsidRDefault="00000000" w:rsidP="001E1516">
      <w:pPr>
        <w:widowControl w:val="0"/>
        <w:ind w:left="720"/>
        <w:rPr>
          <w:szCs w:val="24"/>
        </w:rPr>
      </w:pPr>
      <w:hyperlink r:id="rId58" w:anchor="{%22itemid%22:[%22001-154400%22]}" w:history="1">
        <w:r w:rsidR="003E0614" w:rsidRPr="001502B3">
          <w:rPr>
            <w:rStyle w:val="Hyperlink"/>
          </w:rPr>
          <w:t xml:space="preserve">Case of </w:t>
        </w:r>
        <w:proofErr w:type="spellStart"/>
        <w:r w:rsidR="003E0614" w:rsidRPr="001502B3">
          <w:rPr>
            <w:rStyle w:val="Hyperlink"/>
          </w:rPr>
          <w:t>Identoba</w:t>
        </w:r>
        <w:proofErr w:type="spellEnd"/>
        <w:r w:rsidR="003E0614" w:rsidRPr="001502B3">
          <w:rPr>
            <w:rStyle w:val="Hyperlink"/>
          </w:rPr>
          <w:t xml:space="preserve"> and Others V. Georgia</w:t>
        </w:r>
      </w:hyperlink>
      <w:r w:rsidR="003E0614">
        <w:t>, 12 May 2015</w:t>
      </w:r>
      <w:r w:rsidR="000B7253">
        <w:t xml:space="preserve">. Last accessed: </w:t>
      </w:r>
      <w:r w:rsidR="000A43B3">
        <w:t>24 August 2023</w:t>
      </w:r>
    </w:p>
    <w:p w14:paraId="72F1AC13" w14:textId="22E9795D" w:rsidR="00747010" w:rsidRDefault="00000000" w:rsidP="001E1516">
      <w:pPr>
        <w:pStyle w:val="FootnoteText"/>
        <w:spacing w:after="120"/>
        <w:ind w:left="720"/>
        <w:rPr>
          <w:sz w:val="24"/>
          <w:szCs w:val="24"/>
        </w:rPr>
      </w:pPr>
      <w:hyperlink r:id="rId59" w:anchor="{%22appno%22:[%2213073/22%22],%22itemid%22:[%22001-218528%22]}" w:history="1">
        <w:r w:rsidR="00747010" w:rsidRPr="00747010">
          <w:rPr>
            <w:rStyle w:val="Hyperlink"/>
            <w:sz w:val="24"/>
            <w:szCs w:val="24"/>
          </w:rPr>
          <w:t>Applications nos. 602/22 and 13073/22 ‘TBILISI PRAIDI’ and Others against Georgia</w:t>
        </w:r>
        <w:r w:rsidR="00747010">
          <w:rPr>
            <w:rStyle w:val="Hyperlink"/>
            <w:sz w:val="24"/>
            <w:szCs w:val="24"/>
          </w:rPr>
          <w:t xml:space="preserve"> </w:t>
        </w:r>
        <w:r w:rsidR="00747010" w:rsidRPr="00747010">
          <w:rPr>
            <w:rStyle w:val="Hyperlink"/>
            <w:sz w:val="24"/>
            <w:szCs w:val="24"/>
          </w:rPr>
          <w:t>and Salome NIKOLEISHVILI and Others against Georgia</w:t>
        </w:r>
      </w:hyperlink>
      <w:r w:rsidR="00747010" w:rsidRPr="00747010">
        <w:rPr>
          <w:sz w:val="24"/>
          <w:szCs w:val="24"/>
        </w:rPr>
        <w:t>, 11 July 2022</w:t>
      </w:r>
      <w:r w:rsidR="000A43B3">
        <w:rPr>
          <w:sz w:val="24"/>
          <w:szCs w:val="24"/>
        </w:rPr>
        <w:t xml:space="preserve">. Last accessed: </w:t>
      </w:r>
      <w:r w:rsidR="003D3B75">
        <w:rPr>
          <w:sz w:val="24"/>
          <w:szCs w:val="24"/>
        </w:rPr>
        <w:t xml:space="preserve">23 August 2023 </w:t>
      </w:r>
    </w:p>
    <w:p w14:paraId="69522EA2" w14:textId="77777777" w:rsidR="004E72F7" w:rsidRDefault="004E72F7" w:rsidP="001E1516">
      <w:pPr>
        <w:widowControl w:val="0"/>
      </w:pPr>
      <w:r w:rsidRPr="00263F0F">
        <w:rPr>
          <w:rStyle w:val="FootnoteTextChar"/>
          <w:sz w:val="24"/>
          <w:szCs w:val="19"/>
        </w:rPr>
        <w:t>Foreign Policy, ‘</w:t>
      </w:r>
      <w:hyperlink r:id="rId60" w:history="1">
        <w:r w:rsidRPr="00263F0F">
          <w:rPr>
            <w:rStyle w:val="Hyperlink"/>
          </w:rPr>
          <w:t>Attack on Tbilisi Pride Exposes Geopolitical Fault Line on LGBT Rights in Georgia</w:t>
        </w:r>
      </w:hyperlink>
      <w:r w:rsidRPr="00263F0F">
        <w:t>’, 7 July 2021. Last accessed: 20 June 2023</w:t>
      </w:r>
    </w:p>
    <w:p w14:paraId="0F2D62DE" w14:textId="3ABE433D" w:rsidR="00F34080" w:rsidRPr="00263F0F" w:rsidRDefault="00F34080" w:rsidP="001E1516">
      <w:pPr>
        <w:widowControl w:val="0"/>
      </w:pPr>
      <w:r>
        <w:t>Freedom House, ‘</w:t>
      </w:r>
      <w:hyperlink r:id="rId61" w:history="1">
        <w:r w:rsidRPr="00F34080">
          <w:rPr>
            <w:rStyle w:val="Hyperlink"/>
          </w:rPr>
          <w:t>Freedom in the World 2023 Georgia</w:t>
        </w:r>
      </w:hyperlink>
      <w:r>
        <w:t>’, section G1, 2023. Last accessed: 26 September 2023</w:t>
      </w:r>
    </w:p>
    <w:p w14:paraId="62812611" w14:textId="0986D6DD" w:rsidR="009376BD" w:rsidRDefault="009376BD" w:rsidP="001E1516">
      <w:pPr>
        <w:widowControl w:val="0"/>
      </w:pPr>
      <w:r>
        <w:t>GEOSTAT,</w:t>
      </w:r>
    </w:p>
    <w:p w14:paraId="6CF1F568" w14:textId="663C53A6" w:rsidR="009376BD" w:rsidRDefault="00000000" w:rsidP="001E1516">
      <w:pPr>
        <w:widowControl w:val="0"/>
        <w:ind w:left="720"/>
      </w:pPr>
      <w:hyperlink r:id="rId62" w:history="1">
        <w:r w:rsidR="009376BD" w:rsidRPr="002E6A72">
          <w:rPr>
            <w:rStyle w:val="Hyperlink"/>
          </w:rPr>
          <w:t>Joint Report of Data on Crimes Committed on Grounds of Intolerance with Discrimination Bias</w:t>
        </w:r>
      </w:hyperlink>
      <w:r w:rsidR="009376BD">
        <w:t>, Oct 2020</w:t>
      </w:r>
      <w:r w:rsidR="001C0B01">
        <w:t xml:space="preserve">. Last accessed: 4 September 2023 </w:t>
      </w:r>
    </w:p>
    <w:p w14:paraId="7B39122E" w14:textId="35057471" w:rsidR="001C0B01" w:rsidRPr="00263F0F" w:rsidRDefault="00000000" w:rsidP="001E1516">
      <w:pPr>
        <w:widowControl w:val="0"/>
        <w:ind w:left="720"/>
      </w:pPr>
      <w:hyperlink r:id="rId63" w:history="1">
        <w:r w:rsidR="001C0B01" w:rsidRPr="002E6A72">
          <w:rPr>
            <w:rStyle w:val="Hyperlink"/>
          </w:rPr>
          <w:t>Joint Report of Data on Crimes Committed on Grounds of Intolerance with Discrimination Bias</w:t>
        </w:r>
      </w:hyperlink>
      <w:r w:rsidR="001C0B01">
        <w:t xml:space="preserve">, 2021. Last accessed: 4 September 2023 </w:t>
      </w:r>
    </w:p>
    <w:p w14:paraId="39495878" w14:textId="2A5EB08F" w:rsidR="001C0B01" w:rsidRDefault="00000000" w:rsidP="001E1516">
      <w:pPr>
        <w:widowControl w:val="0"/>
        <w:ind w:left="720"/>
      </w:pPr>
      <w:hyperlink r:id="rId64" w:history="1">
        <w:r w:rsidR="001C0B01" w:rsidRPr="008925D8">
          <w:rPr>
            <w:rStyle w:val="Hyperlink"/>
          </w:rPr>
          <w:t>Joint Report of Data on Crimes Committed on Grounds of Intolerance with Discrimination Bias,</w:t>
        </w:r>
      </w:hyperlink>
      <w:r w:rsidR="001C0B01">
        <w:t xml:space="preserve"> 2022. Last accessed: 4 September 2023 </w:t>
      </w:r>
    </w:p>
    <w:p w14:paraId="0DA839D1" w14:textId="42D12D54" w:rsidR="00B974B9" w:rsidRDefault="00B974B9" w:rsidP="001E1516">
      <w:pPr>
        <w:widowControl w:val="0"/>
        <w:ind w:left="720"/>
      </w:pPr>
      <w:r w:rsidRPr="00B974B9">
        <w:t>‘</w:t>
      </w:r>
      <w:hyperlink r:id="rId65" w:history="1">
        <w:r w:rsidRPr="00B974B9">
          <w:rPr>
            <w:rStyle w:val="Hyperlink"/>
          </w:rPr>
          <w:t>Memorandum of cooperation on collection of data on crimes committed on grounds of intolerance with discrimination basis and publishing a joint report</w:t>
        </w:r>
      </w:hyperlink>
      <w:r w:rsidRPr="00B974B9">
        <w:t>’, 23 September 2020</w:t>
      </w:r>
      <w:r>
        <w:t>. Last accessed: 12 September 2023</w:t>
      </w:r>
    </w:p>
    <w:p w14:paraId="063841B7" w14:textId="5EF1DBB6" w:rsidR="000D38D8" w:rsidRDefault="000D38D8" w:rsidP="001E1516">
      <w:pPr>
        <w:widowControl w:val="0"/>
      </w:pPr>
      <w:r>
        <w:t>Georgia Today</w:t>
      </w:r>
      <w:hyperlink r:id="rId66" w:history="1">
        <w:r w:rsidRPr="00661739">
          <w:rPr>
            <w:rStyle w:val="Hyperlink"/>
          </w:rPr>
          <w:t>, Tbilisi Pride Week 2022 Reviewed</w:t>
        </w:r>
      </w:hyperlink>
      <w:r>
        <w:t xml:space="preserve">, 7 July 2022. Last accessed: 4 September 2023 </w:t>
      </w:r>
    </w:p>
    <w:p w14:paraId="2B2F4D73" w14:textId="77777777" w:rsidR="00BA03C4" w:rsidRPr="00BA03C4" w:rsidRDefault="0033786E" w:rsidP="001E1516">
      <w:pPr>
        <w:pStyle w:val="FootnoteText"/>
        <w:spacing w:after="120"/>
        <w:rPr>
          <w:sz w:val="24"/>
          <w:szCs w:val="24"/>
        </w:rPr>
      </w:pPr>
      <w:r w:rsidRPr="00BA03C4">
        <w:rPr>
          <w:sz w:val="24"/>
          <w:szCs w:val="24"/>
        </w:rPr>
        <w:t>Human Rights Centre (HRC),</w:t>
      </w:r>
    </w:p>
    <w:p w14:paraId="5D002861" w14:textId="77777777" w:rsidR="00BA03C4" w:rsidRPr="00BA03C4" w:rsidRDefault="00000000" w:rsidP="001E1516">
      <w:pPr>
        <w:pStyle w:val="FootnoteText"/>
        <w:spacing w:after="120"/>
        <w:ind w:left="851"/>
        <w:rPr>
          <w:sz w:val="24"/>
          <w:szCs w:val="24"/>
        </w:rPr>
      </w:pPr>
      <w:hyperlink r:id="rId67" w:history="1">
        <w:r w:rsidR="0033786E" w:rsidRPr="00BA03C4">
          <w:rPr>
            <w:rStyle w:val="Hyperlink"/>
            <w:sz w:val="24"/>
            <w:szCs w:val="24"/>
          </w:rPr>
          <w:t>Vision and Mission</w:t>
        </w:r>
      </w:hyperlink>
      <w:r w:rsidR="0033786E" w:rsidRPr="00BA03C4">
        <w:rPr>
          <w:sz w:val="24"/>
          <w:szCs w:val="24"/>
        </w:rPr>
        <w:t>, no date</w:t>
      </w:r>
      <w:r w:rsidR="00E46A54" w:rsidRPr="00BA03C4">
        <w:rPr>
          <w:sz w:val="24"/>
          <w:szCs w:val="24"/>
        </w:rPr>
        <w:t>. Last accessed:</w:t>
      </w:r>
      <w:r w:rsidR="00CD6F21" w:rsidRPr="00BA03C4">
        <w:rPr>
          <w:sz w:val="24"/>
          <w:szCs w:val="24"/>
        </w:rPr>
        <w:t xml:space="preserve"> 6 September 2023</w:t>
      </w:r>
    </w:p>
    <w:p w14:paraId="54A7BE37" w14:textId="6A19FCAF" w:rsidR="001C0B01" w:rsidRPr="00BA03C4" w:rsidRDefault="00000000" w:rsidP="001E1516">
      <w:pPr>
        <w:pStyle w:val="FootnoteText"/>
        <w:spacing w:after="120"/>
        <w:ind w:left="851"/>
        <w:rPr>
          <w:sz w:val="24"/>
          <w:szCs w:val="24"/>
        </w:rPr>
      </w:pPr>
      <w:hyperlink r:id="rId68" w:history="1">
        <w:r w:rsidR="0033786E" w:rsidRPr="00BA03C4">
          <w:rPr>
            <w:rStyle w:val="Hyperlink"/>
            <w:sz w:val="24"/>
            <w:szCs w:val="24"/>
          </w:rPr>
          <w:t>Priorities</w:t>
        </w:r>
      </w:hyperlink>
      <w:r w:rsidR="0033786E" w:rsidRPr="00BA03C4">
        <w:rPr>
          <w:sz w:val="24"/>
          <w:szCs w:val="24"/>
        </w:rPr>
        <w:t>, no date</w:t>
      </w:r>
      <w:r w:rsidR="00CD6F21" w:rsidRPr="00BA03C4">
        <w:rPr>
          <w:sz w:val="24"/>
          <w:szCs w:val="24"/>
        </w:rPr>
        <w:t xml:space="preserve">. Last accessed: 6 September 2023 </w:t>
      </w:r>
    </w:p>
    <w:p w14:paraId="526CB9C5" w14:textId="24E30DB9" w:rsidR="0033786E" w:rsidRPr="0033786E" w:rsidRDefault="004E72F7" w:rsidP="001E1516">
      <w:pPr>
        <w:widowControl w:val="0"/>
        <w:rPr>
          <w:rStyle w:val="FootnoteTextChar"/>
          <w:sz w:val="24"/>
          <w:szCs w:val="22"/>
        </w:rPr>
      </w:pPr>
      <w:r w:rsidRPr="00263F0F">
        <w:t xml:space="preserve">Human Rights Education and Monitoring Centre, </w:t>
      </w:r>
      <w:r>
        <w:t>‘</w:t>
      </w:r>
      <w:hyperlink r:id="rId69" w:history="1">
        <w:r w:rsidRPr="00263F0F">
          <w:rPr>
            <w:rStyle w:val="Hyperlink"/>
          </w:rPr>
          <w:t>Social Exclusion of LGBTQ Group in Georgia’</w:t>
        </w:r>
      </w:hyperlink>
      <w:r w:rsidRPr="00263F0F">
        <w:t>, 1 February 2021. Last accessed: 20 June 2023</w:t>
      </w:r>
    </w:p>
    <w:p w14:paraId="2CAEB5A5" w14:textId="77777777" w:rsidR="004E72F7" w:rsidRDefault="004E72F7" w:rsidP="001E1516">
      <w:pPr>
        <w:widowControl w:val="0"/>
      </w:pPr>
      <w:r>
        <w:t>Human Rights Watch, ‘</w:t>
      </w:r>
      <w:hyperlink r:id="rId70">
        <w:r w:rsidRPr="157AA914">
          <w:rPr>
            <w:rStyle w:val="Hyperlink"/>
          </w:rPr>
          <w:t>Georgia – Events of 2022’</w:t>
        </w:r>
      </w:hyperlink>
      <w:r>
        <w:t>, January 2023. Last accessed: 20 June 2023</w:t>
      </w:r>
    </w:p>
    <w:p w14:paraId="4B561932" w14:textId="165090FE" w:rsidR="5E5AC584" w:rsidRPr="00BA03C4" w:rsidRDefault="0BE7F571" w:rsidP="001E1516">
      <w:pPr>
        <w:widowControl w:val="0"/>
        <w:rPr>
          <w:szCs w:val="24"/>
        </w:rPr>
      </w:pPr>
      <w:r w:rsidRPr="6A15C672">
        <w:rPr>
          <w:rStyle w:val="FootnoteTextChar"/>
          <w:sz w:val="24"/>
          <w:szCs w:val="24"/>
        </w:rPr>
        <w:t>Institute for War and Peace Reporting, ‘</w:t>
      </w:r>
      <w:hyperlink r:id="rId71">
        <w:r w:rsidRPr="6A15C672">
          <w:rPr>
            <w:rStyle w:val="Hyperlink"/>
          </w:rPr>
          <w:t>Georgia: LGBTI Activists Fear Far-Right Alliances’</w:t>
        </w:r>
      </w:hyperlink>
      <w:r>
        <w:t>, 23 February 2022. Last accessed 20 June 2023</w:t>
      </w:r>
    </w:p>
    <w:p w14:paraId="1DAB8B33" w14:textId="38BCFF93" w:rsidR="004E72F7" w:rsidRPr="00263F0F" w:rsidRDefault="004E72F7" w:rsidP="001E1516">
      <w:pPr>
        <w:widowControl w:val="0"/>
        <w:rPr>
          <w:rStyle w:val="FootnoteTextChar"/>
          <w:sz w:val="24"/>
          <w:szCs w:val="24"/>
        </w:rPr>
      </w:pPr>
      <w:r w:rsidRPr="50D4FF3E">
        <w:rPr>
          <w:rStyle w:val="FootnoteTextChar"/>
          <w:sz w:val="24"/>
          <w:szCs w:val="24"/>
        </w:rPr>
        <w:t>International Lesbian, Gay, Bisexual, Trans and Intersex Association</w:t>
      </w:r>
      <w:r w:rsidR="5BE9B520" w:rsidRPr="50D4FF3E">
        <w:rPr>
          <w:rStyle w:val="FootnoteTextChar"/>
          <w:sz w:val="24"/>
          <w:szCs w:val="24"/>
        </w:rPr>
        <w:t xml:space="preserve"> </w:t>
      </w:r>
      <w:r w:rsidR="5BE9B520" w:rsidRPr="1C5BDF09">
        <w:rPr>
          <w:rStyle w:val="FootnoteTextChar"/>
          <w:sz w:val="24"/>
          <w:szCs w:val="24"/>
        </w:rPr>
        <w:t>(ILGA) World</w:t>
      </w:r>
      <w:r w:rsidRPr="50D4FF3E">
        <w:rPr>
          <w:rStyle w:val="FootnoteTextChar"/>
          <w:sz w:val="24"/>
          <w:szCs w:val="24"/>
        </w:rPr>
        <w:t xml:space="preserve">, </w:t>
      </w:r>
      <w:r>
        <w:t>‘</w:t>
      </w:r>
      <w:hyperlink r:id="rId72">
        <w:r w:rsidRPr="50D4FF3E">
          <w:rPr>
            <w:rStyle w:val="Hyperlink"/>
          </w:rPr>
          <w:t>State-Sponsored Homophobia 2020: Global Legislation</w:t>
        </w:r>
      </w:hyperlink>
      <w:r w:rsidRPr="50D4FF3E">
        <w:rPr>
          <w:rStyle w:val="Hyperlink"/>
        </w:rPr>
        <w:t>’,</w:t>
      </w:r>
      <w:r w:rsidRPr="50D4FF3E">
        <w:rPr>
          <w:rStyle w:val="FootnoteTextChar"/>
          <w:sz w:val="24"/>
          <w:szCs w:val="24"/>
        </w:rPr>
        <w:t xml:space="preserve"> 15 December 2020. Last accessed: 20 June 2023</w:t>
      </w:r>
    </w:p>
    <w:p w14:paraId="5907EFF4" w14:textId="77777777" w:rsidR="004E72F7" w:rsidRPr="00263F0F" w:rsidRDefault="004E72F7" w:rsidP="001E1516">
      <w:pPr>
        <w:widowControl w:val="0"/>
        <w:rPr>
          <w:rStyle w:val="FootnoteTextChar"/>
          <w:sz w:val="24"/>
          <w:szCs w:val="19"/>
        </w:rPr>
      </w:pPr>
      <w:r w:rsidRPr="00263F0F">
        <w:rPr>
          <w:rStyle w:val="FootnoteTextChar"/>
          <w:sz w:val="24"/>
          <w:szCs w:val="19"/>
        </w:rPr>
        <w:lastRenderedPageBreak/>
        <w:t xml:space="preserve">JAM News, </w:t>
      </w:r>
      <w:r>
        <w:rPr>
          <w:rStyle w:val="FootnoteTextChar"/>
          <w:sz w:val="24"/>
          <w:szCs w:val="19"/>
        </w:rPr>
        <w:t>‘</w:t>
      </w:r>
      <w:hyperlink r:id="rId73" w:history="1">
        <w:r w:rsidRPr="00263F0F">
          <w:rPr>
            <w:rStyle w:val="Hyperlink"/>
          </w:rPr>
          <w:t>Living surrounded by hate. LGBT individuals and their parents in Georgia</w:t>
        </w:r>
      </w:hyperlink>
      <w:r w:rsidRPr="00263F0F">
        <w:t>’, 24 June 2020. Last accessed: 20 June 2023</w:t>
      </w:r>
    </w:p>
    <w:p w14:paraId="245D0308" w14:textId="3E9EE1FC" w:rsidR="00B154BB" w:rsidRDefault="004E72F7" w:rsidP="001E1516">
      <w:pPr>
        <w:widowControl w:val="0"/>
        <w:rPr>
          <w:rStyle w:val="FootnoteTextChar"/>
          <w:sz w:val="24"/>
          <w:szCs w:val="19"/>
        </w:rPr>
      </w:pPr>
      <w:r w:rsidRPr="00263F0F">
        <w:rPr>
          <w:rStyle w:val="FootnoteTextChar"/>
          <w:sz w:val="24"/>
          <w:szCs w:val="19"/>
        </w:rPr>
        <w:t xml:space="preserve">Legislative Herald of Georgia, </w:t>
      </w:r>
      <w:r w:rsidRPr="00263F0F">
        <w:t>‘</w:t>
      </w:r>
      <w:hyperlink r:id="rId74" w:history="1">
        <w:r w:rsidRPr="00263F0F">
          <w:rPr>
            <w:rStyle w:val="Hyperlink"/>
          </w:rPr>
          <w:t>Constitution of Georgia’</w:t>
        </w:r>
      </w:hyperlink>
      <w:r w:rsidRPr="00263F0F">
        <w:rPr>
          <w:rStyle w:val="FootnoteTextChar"/>
          <w:sz w:val="24"/>
          <w:szCs w:val="19"/>
        </w:rPr>
        <w:t>, 29 June 2020. Last accessed 20 June 2023</w:t>
      </w:r>
    </w:p>
    <w:p w14:paraId="0F23BC4F" w14:textId="77777777" w:rsidR="001E1516" w:rsidRDefault="002D2A1C" w:rsidP="001E1516">
      <w:pPr>
        <w:widowControl w:val="0"/>
        <w:rPr>
          <w:szCs w:val="19"/>
        </w:rPr>
      </w:pPr>
      <w:r w:rsidRPr="002D2A1C">
        <w:rPr>
          <w:szCs w:val="19"/>
        </w:rPr>
        <w:t>OC</w:t>
      </w:r>
      <w:r>
        <w:rPr>
          <w:szCs w:val="19"/>
        </w:rPr>
        <w:t xml:space="preserve"> Media</w:t>
      </w:r>
      <w:r w:rsidRPr="002D2A1C">
        <w:rPr>
          <w:szCs w:val="19"/>
        </w:rPr>
        <w:t xml:space="preserve">, </w:t>
      </w:r>
    </w:p>
    <w:p w14:paraId="70504674" w14:textId="20DE670A" w:rsidR="002D2A1C" w:rsidRPr="00FD24E6" w:rsidRDefault="002D2A1C" w:rsidP="001E1516">
      <w:pPr>
        <w:widowControl w:val="0"/>
        <w:ind w:left="720"/>
        <w:rPr>
          <w:szCs w:val="19"/>
        </w:rPr>
      </w:pPr>
      <w:r w:rsidRPr="002D2A1C">
        <w:rPr>
          <w:szCs w:val="19"/>
        </w:rPr>
        <w:t>‘</w:t>
      </w:r>
      <w:hyperlink r:id="rId75" w:history="1">
        <w:r w:rsidRPr="002D2A1C">
          <w:rPr>
            <w:rStyle w:val="Hyperlink"/>
            <w:szCs w:val="19"/>
          </w:rPr>
          <w:t>Georgian Dream ramps up homophobic rhetoric as Pride Week approaches</w:t>
        </w:r>
      </w:hyperlink>
      <w:r w:rsidRPr="002D2A1C">
        <w:rPr>
          <w:szCs w:val="19"/>
        </w:rPr>
        <w:t>’, 27 June 2023</w:t>
      </w:r>
      <w:r>
        <w:rPr>
          <w:szCs w:val="19"/>
        </w:rPr>
        <w:t>. Last accessed: 12 September 2023</w:t>
      </w:r>
    </w:p>
    <w:p w14:paraId="2E2D3724" w14:textId="479B73DD" w:rsidR="00FD24E6" w:rsidRDefault="00FD24E6" w:rsidP="001E1516">
      <w:pPr>
        <w:widowControl w:val="0"/>
        <w:ind w:left="720"/>
        <w:rPr>
          <w:rStyle w:val="FootnoteTextChar"/>
          <w:sz w:val="24"/>
          <w:szCs w:val="24"/>
        </w:rPr>
      </w:pPr>
      <w:r w:rsidRPr="00FD24E6">
        <w:rPr>
          <w:szCs w:val="24"/>
        </w:rPr>
        <w:t>‘</w:t>
      </w:r>
      <w:hyperlink r:id="rId76" w:history="1">
        <w:r w:rsidRPr="00FD24E6">
          <w:rPr>
            <w:rStyle w:val="Hyperlink"/>
            <w:szCs w:val="24"/>
          </w:rPr>
          <w:t>Gharibashvili doubles down with homophobia and conspiracy theories</w:t>
        </w:r>
      </w:hyperlink>
      <w:r w:rsidRPr="00FD24E6">
        <w:rPr>
          <w:szCs w:val="24"/>
        </w:rPr>
        <w:t>’, 12 July 2021</w:t>
      </w:r>
      <w:r>
        <w:rPr>
          <w:szCs w:val="24"/>
        </w:rPr>
        <w:t>. Last accessed: 12 September 2023</w:t>
      </w:r>
    </w:p>
    <w:p w14:paraId="6A4CCF95" w14:textId="2CEA58D7" w:rsidR="2DCDE60A" w:rsidRDefault="2DCDE60A" w:rsidP="001E1516">
      <w:pPr>
        <w:widowControl w:val="0"/>
      </w:pPr>
      <w:r w:rsidRPr="70AC112B">
        <w:rPr>
          <w:rStyle w:val="FootnoteTextChar"/>
          <w:sz w:val="24"/>
          <w:szCs w:val="24"/>
        </w:rPr>
        <w:t>Overseas Security Advisory Council</w:t>
      </w:r>
      <w:r w:rsidR="003563DD">
        <w:rPr>
          <w:rStyle w:val="FootnoteTextChar"/>
          <w:sz w:val="24"/>
          <w:szCs w:val="24"/>
        </w:rPr>
        <w:t xml:space="preserve"> (OSAC)</w:t>
      </w:r>
      <w:r w:rsidRPr="70AC112B">
        <w:rPr>
          <w:rStyle w:val="FootnoteTextChar"/>
          <w:sz w:val="24"/>
          <w:szCs w:val="24"/>
        </w:rPr>
        <w:t>, ‘</w:t>
      </w:r>
      <w:hyperlink r:id="rId77">
        <w:r w:rsidRPr="70AC112B">
          <w:rPr>
            <w:rStyle w:val="Hyperlink"/>
          </w:rPr>
          <w:t>Georgia Country Security Report’</w:t>
        </w:r>
      </w:hyperlink>
      <w:r>
        <w:t>, 18 November 2021. Last accessed: 20 June 2023</w:t>
      </w:r>
    </w:p>
    <w:p w14:paraId="355F0573" w14:textId="08CFF352" w:rsidR="00FD24E6" w:rsidRDefault="00FD24E6" w:rsidP="001E1516">
      <w:pPr>
        <w:widowControl w:val="0"/>
        <w:rPr>
          <w:rStyle w:val="FootnoteTextChar"/>
          <w:sz w:val="24"/>
          <w:szCs w:val="24"/>
        </w:rPr>
      </w:pPr>
      <w:r w:rsidRPr="00FD24E6">
        <w:rPr>
          <w:szCs w:val="24"/>
        </w:rPr>
        <w:t xml:space="preserve">Politico, </w:t>
      </w:r>
      <w:hyperlink r:id="rId78" w:history="1">
        <w:r w:rsidRPr="00FD24E6">
          <w:rPr>
            <w:rStyle w:val="Hyperlink"/>
            <w:szCs w:val="24"/>
          </w:rPr>
          <w:t>Georgia's crackdown on queer rights contradicts its EU ambitions</w:t>
        </w:r>
      </w:hyperlink>
      <w:r w:rsidRPr="00FD24E6">
        <w:rPr>
          <w:szCs w:val="24"/>
        </w:rPr>
        <w:t>, 15 July 2023. Last accessed: 24 August 2023</w:t>
      </w:r>
    </w:p>
    <w:p w14:paraId="670ED73F" w14:textId="133E86B6" w:rsidR="004E72F7" w:rsidRPr="00263F0F" w:rsidRDefault="004E72F7" w:rsidP="001E1516">
      <w:pPr>
        <w:widowControl w:val="0"/>
      </w:pPr>
      <w:r w:rsidRPr="00263F0F">
        <w:t>Public Defender (Ombudsman) of Georgia</w:t>
      </w:r>
      <w:r w:rsidR="00F47714">
        <w:t xml:space="preserve"> (</w:t>
      </w:r>
      <w:r w:rsidR="004C08C5">
        <w:t>PDO)</w:t>
      </w:r>
      <w:r w:rsidRPr="00263F0F">
        <w:t>,</w:t>
      </w:r>
    </w:p>
    <w:p w14:paraId="3F648A24" w14:textId="77777777" w:rsidR="004E72F7" w:rsidRDefault="004E72F7" w:rsidP="001E1516">
      <w:pPr>
        <w:widowControl w:val="0"/>
        <w:ind w:left="851"/>
        <w:rPr>
          <w:rStyle w:val="FootnoteTextChar"/>
          <w:sz w:val="24"/>
          <w:szCs w:val="19"/>
        </w:rPr>
      </w:pPr>
      <w:r w:rsidRPr="00263F0F">
        <w:t>‘</w:t>
      </w:r>
      <w:hyperlink r:id="rId79" w:history="1">
        <w:r w:rsidRPr="00263F0F">
          <w:rPr>
            <w:rStyle w:val="Hyperlink"/>
          </w:rPr>
          <w:t>2022 Special Report on Combating and Preventing Discrimination and the Situation of Equality</w:t>
        </w:r>
      </w:hyperlink>
      <w:r w:rsidRPr="00263F0F">
        <w:t>’</w:t>
      </w:r>
      <w:r w:rsidRPr="00263F0F">
        <w:rPr>
          <w:rStyle w:val="FootnoteTextChar"/>
          <w:sz w:val="24"/>
          <w:szCs w:val="19"/>
        </w:rPr>
        <w:t>, 2023. Last accessed: 20 June 2023</w:t>
      </w:r>
    </w:p>
    <w:p w14:paraId="5C412972" w14:textId="21EABC04" w:rsidR="00887E1E" w:rsidRDefault="00000000" w:rsidP="001E1516">
      <w:pPr>
        <w:widowControl w:val="0"/>
        <w:ind w:left="851"/>
        <w:rPr>
          <w:rStyle w:val="FootnoteTextChar"/>
          <w:sz w:val="24"/>
          <w:szCs w:val="19"/>
        </w:rPr>
      </w:pPr>
      <w:hyperlink r:id="rId80" w:history="1">
        <w:r w:rsidR="00887E1E" w:rsidRPr="007F77FA">
          <w:rPr>
            <w:rStyle w:val="Hyperlink"/>
          </w:rPr>
          <w:t>Guide</w:t>
        </w:r>
      </w:hyperlink>
      <w:r w:rsidR="00887E1E">
        <w:t>, no date. Last accessed: 6 September 2023</w:t>
      </w:r>
    </w:p>
    <w:p w14:paraId="41D691C2" w14:textId="154C3580" w:rsidR="00B058F5" w:rsidRPr="009207A2" w:rsidRDefault="00000000" w:rsidP="001E1516">
      <w:pPr>
        <w:widowControl w:val="0"/>
        <w:ind w:left="851"/>
        <w:rPr>
          <w:szCs w:val="19"/>
        </w:rPr>
      </w:pPr>
      <w:hyperlink r:id="rId81" w:history="1">
        <w:r w:rsidR="00B058F5" w:rsidRPr="00B058F5">
          <w:rPr>
            <w:rStyle w:val="Hyperlink"/>
          </w:rPr>
          <w:t>Report of the Public Defender of Georgia On the Situation of Protection of Human Rights and Freedoms in Georgia</w:t>
        </w:r>
      </w:hyperlink>
      <w:r w:rsidR="00B058F5">
        <w:t>, 2021</w:t>
      </w:r>
      <w:r w:rsidR="00E50985">
        <w:t xml:space="preserve">. Last accessed: 24 August 2023 </w:t>
      </w:r>
    </w:p>
    <w:p w14:paraId="25FBD367" w14:textId="65AB0A4A" w:rsidR="002674C1" w:rsidRPr="00263F0F" w:rsidRDefault="004E72F7" w:rsidP="001E1516">
      <w:pPr>
        <w:widowControl w:val="0"/>
        <w:ind w:left="851"/>
        <w:rPr>
          <w:szCs w:val="19"/>
        </w:rPr>
      </w:pPr>
      <w:r w:rsidRPr="00263F0F">
        <w:t>‘</w:t>
      </w:r>
      <w:hyperlink r:id="rId82" w:anchor=":~:text=The%20study%E2%80%99s%20objective%20is%20to%20conduct%20an%20in-depth,the%20legislative%20framework%20and%20the%20de%20facto%20situation." w:history="1">
        <w:r w:rsidRPr="00263F0F">
          <w:rPr>
            <w:rStyle w:val="Hyperlink"/>
          </w:rPr>
          <w:t>The Rights of LGBT+ People in Georgia</w:t>
        </w:r>
      </w:hyperlink>
      <w:r w:rsidRPr="00263F0F">
        <w:t>’</w:t>
      </w:r>
      <w:r w:rsidRPr="00263F0F">
        <w:rPr>
          <w:rStyle w:val="FootnoteTextChar"/>
          <w:sz w:val="24"/>
          <w:szCs w:val="19"/>
        </w:rPr>
        <w:t>, 29 April 2022. Last accessed: 2</w:t>
      </w:r>
      <w:r w:rsidR="00A11725">
        <w:rPr>
          <w:rStyle w:val="FootnoteTextChar"/>
          <w:sz w:val="24"/>
          <w:szCs w:val="19"/>
        </w:rPr>
        <w:t>9 August 2023</w:t>
      </w:r>
    </w:p>
    <w:p w14:paraId="1158F6AB" w14:textId="1F18A437" w:rsidR="00FD24E6" w:rsidRDefault="00FD24E6" w:rsidP="001E1516">
      <w:pPr>
        <w:widowControl w:val="0"/>
      </w:pPr>
      <w:r w:rsidRPr="00FD24E6">
        <w:t>Reuters</w:t>
      </w:r>
      <w:hyperlink r:id="rId83" w:history="1">
        <w:r w:rsidRPr="00FD24E6">
          <w:rPr>
            <w:rStyle w:val="Hyperlink"/>
          </w:rPr>
          <w:t>, Anti-LGBT protesters break up Pride festival in Georgia</w:t>
        </w:r>
      </w:hyperlink>
      <w:r w:rsidRPr="00FD24E6">
        <w:t>, 8 July 2023. Last accessed: 17 August 2023</w:t>
      </w:r>
    </w:p>
    <w:p w14:paraId="55CACAC7" w14:textId="6D55D854" w:rsidR="004E72F7" w:rsidRPr="00263F0F" w:rsidRDefault="004E72F7" w:rsidP="001E1516">
      <w:pPr>
        <w:widowControl w:val="0"/>
      </w:pPr>
      <w:r w:rsidRPr="00263F0F">
        <w:t>Tbilisi Pride,</w:t>
      </w:r>
    </w:p>
    <w:p w14:paraId="5FD20EE1" w14:textId="6517CEF9" w:rsidR="004E72F7" w:rsidRPr="00263F0F" w:rsidRDefault="004E72F7" w:rsidP="001E1516">
      <w:pPr>
        <w:widowControl w:val="0"/>
        <w:ind w:left="851"/>
        <w:rPr>
          <w:szCs w:val="19"/>
        </w:rPr>
      </w:pPr>
      <w:r w:rsidRPr="00263F0F">
        <w:t>‘</w:t>
      </w:r>
      <w:hyperlink r:id="rId84" w:history="1">
        <w:r w:rsidRPr="00263F0F">
          <w:rPr>
            <w:rStyle w:val="Hyperlink"/>
          </w:rPr>
          <w:t>Human Rights Violations against Lesbian, Bisexual, and Transgender Women in Georgia</w:t>
        </w:r>
      </w:hyperlink>
      <w:r w:rsidRPr="00263F0F">
        <w:t>’</w:t>
      </w:r>
      <w:r w:rsidRPr="00263F0F">
        <w:rPr>
          <w:rStyle w:val="FootnoteTextChar"/>
          <w:sz w:val="24"/>
          <w:szCs w:val="19"/>
        </w:rPr>
        <w:t xml:space="preserve">, 15 August 2022. Last accessed: 20 June 2023. </w:t>
      </w:r>
    </w:p>
    <w:p w14:paraId="1891BEBC" w14:textId="5A7467AC" w:rsidR="004E72F7" w:rsidRDefault="004E72F7" w:rsidP="001E1516">
      <w:pPr>
        <w:widowControl w:val="0"/>
        <w:ind w:left="851"/>
        <w:rPr>
          <w:rStyle w:val="FootnoteTextChar"/>
          <w:sz w:val="24"/>
          <w:szCs w:val="19"/>
        </w:rPr>
      </w:pPr>
      <w:r w:rsidRPr="00263F0F">
        <w:t>‘</w:t>
      </w:r>
      <w:hyperlink r:id="rId85" w:history="1">
        <w:r w:rsidR="00BF5560">
          <w:rPr>
            <w:rStyle w:val="Hyperlink"/>
          </w:rPr>
          <w:t xml:space="preserve">Mission </w:t>
        </w:r>
      </w:hyperlink>
      <w:r w:rsidRPr="00263F0F">
        <w:t>’</w:t>
      </w:r>
      <w:r w:rsidRPr="00263F0F">
        <w:rPr>
          <w:rStyle w:val="FootnoteTextChar"/>
          <w:sz w:val="24"/>
          <w:szCs w:val="19"/>
        </w:rPr>
        <w:t>, no date. Last accessed: 20 June 2023</w:t>
      </w:r>
    </w:p>
    <w:p w14:paraId="2CC36B03" w14:textId="52A6664D" w:rsidR="00F56373" w:rsidRPr="00263F0F" w:rsidRDefault="009C7E81" w:rsidP="00F56373">
      <w:pPr>
        <w:widowControl w:val="0"/>
        <w:rPr>
          <w:rStyle w:val="FootnoteTextChar"/>
          <w:sz w:val="24"/>
          <w:szCs w:val="19"/>
        </w:rPr>
      </w:pPr>
      <w:r w:rsidRPr="009C7E81">
        <w:rPr>
          <w:szCs w:val="19"/>
        </w:rPr>
        <w:t>UN System in Georgia and others, ‘</w:t>
      </w:r>
      <w:hyperlink r:id="rId86" w:history="1">
        <w:r w:rsidRPr="009C7E81">
          <w:rPr>
            <w:rStyle w:val="Hyperlink"/>
            <w:szCs w:val="19"/>
          </w:rPr>
          <w:t>Take a stand for human rights for all: stop discrimination and violence against LGBTQI+ persons in Georgia’</w:t>
        </w:r>
      </w:hyperlink>
      <w:r w:rsidRPr="009C7E81">
        <w:rPr>
          <w:szCs w:val="19"/>
        </w:rPr>
        <w:t>, 17 May 2023</w:t>
      </w:r>
      <w:r>
        <w:rPr>
          <w:szCs w:val="19"/>
        </w:rPr>
        <w:t>. Last accessed: 19 August 2023</w:t>
      </w:r>
    </w:p>
    <w:p w14:paraId="2F53344B" w14:textId="4D84768F" w:rsidR="004E72F7" w:rsidRPr="00263F0F" w:rsidRDefault="004E72F7" w:rsidP="001E1516">
      <w:pPr>
        <w:widowControl w:val="0"/>
      </w:pPr>
      <w:r w:rsidRPr="00263F0F">
        <w:t>US State Department</w:t>
      </w:r>
      <w:r w:rsidR="00BE2DA5">
        <w:t xml:space="preserve"> (US</w:t>
      </w:r>
      <w:r w:rsidR="008D3ED2">
        <w:t>SD)</w:t>
      </w:r>
      <w:r w:rsidRPr="00263F0F">
        <w:t>,</w:t>
      </w:r>
    </w:p>
    <w:p w14:paraId="2609F026" w14:textId="477E17F3" w:rsidR="004E72F7" w:rsidRPr="00263F0F" w:rsidRDefault="004E72F7" w:rsidP="001E1516">
      <w:pPr>
        <w:widowControl w:val="0"/>
        <w:ind w:left="851"/>
      </w:pPr>
      <w:r>
        <w:t>‘</w:t>
      </w:r>
      <w:hyperlink r:id="rId87">
        <w:r w:rsidR="6EE93795" w:rsidRPr="2B371DE2">
          <w:rPr>
            <w:rStyle w:val="Hyperlink"/>
          </w:rPr>
          <w:t>2021 Country Reports on Human Rights Practices: Georgia’</w:t>
        </w:r>
      </w:hyperlink>
      <w:r>
        <w:t xml:space="preserve">, </w:t>
      </w:r>
      <w:r w:rsidRPr="2B371DE2">
        <w:rPr>
          <w:rStyle w:val="FootnoteTextChar"/>
          <w:sz w:val="24"/>
          <w:szCs w:val="24"/>
        </w:rPr>
        <w:t>12 April 2022. Last accessed: 20 June 2023</w:t>
      </w:r>
    </w:p>
    <w:p w14:paraId="664E9F8B" w14:textId="32C1F4E2" w:rsidR="004E72F7" w:rsidRPr="00263F0F" w:rsidRDefault="004E72F7" w:rsidP="001E1516">
      <w:pPr>
        <w:widowControl w:val="0"/>
        <w:ind w:left="851"/>
        <w:rPr>
          <w:rStyle w:val="FootnoteTextChar"/>
          <w:sz w:val="24"/>
          <w:szCs w:val="24"/>
        </w:rPr>
      </w:pPr>
      <w:r>
        <w:t>‘</w:t>
      </w:r>
      <w:hyperlink r:id="rId88">
        <w:r w:rsidR="05E685A2" w:rsidRPr="25BEBE46">
          <w:rPr>
            <w:rStyle w:val="Hyperlink"/>
          </w:rPr>
          <w:t>2022 Country Reports on Human Rights Practices: Georgia</w:t>
        </w:r>
      </w:hyperlink>
      <w:r>
        <w:t>’</w:t>
      </w:r>
      <w:r w:rsidRPr="25BEBE46">
        <w:rPr>
          <w:rStyle w:val="FootnoteTextChar"/>
          <w:sz w:val="24"/>
          <w:szCs w:val="24"/>
        </w:rPr>
        <w:t>, 20 March 2023. Last accessed: 2</w:t>
      </w:r>
      <w:r w:rsidR="0009386B">
        <w:rPr>
          <w:rStyle w:val="FootnoteTextChar"/>
          <w:sz w:val="24"/>
          <w:szCs w:val="24"/>
        </w:rPr>
        <w:t>5 August 2023</w:t>
      </w:r>
    </w:p>
    <w:p w14:paraId="7A24956C" w14:textId="77777777" w:rsidR="004E72F7" w:rsidRPr="00263F0F" w:rsidRDefault="004E72F7" w:rsidP="001E1516">
      <w:pPr>
        <w:widowControl w:val="0"/>
      </w:pPr>
      <w:r w:rsidRPr="00263F0F">
        <w:t>Women’s Initiatives Supporting Group (WISG),</w:t>
      </w:r>
    </w:p>
    <w:p w14:paraId="179BA2E5" w14:textId="77777777" w:rsidR="0009386B" w:rsidRDefault="004E72F7" w:rsidP="001E1516">
      <w:pPr>
        <w:widowControl w:val="0"/>
        <w:ind w:left="851"/>
        <w:rPr>
          <w:rStyle w:val="FootnoteTextChar"/>
          <w:sz w:val="24"/>
          <w:szCs w:val="19"/>
        </w:rPr>
      </w:pPr>
      <w:r w:rsidRPr="00263F0F">
        <w:t>‘</w:t>
      </w:r>
      <w:hyperlink r:id="rId89" w:history="1">
        <w:r w:rsidR="00AC0009">
          <w:rPr>
            <w:rStyle w:val="Hyperlink"/>
          </w:rPr>
          <w:t>About</w:t>
        </w:r>
      </w:hyperlink>
      <w:r w:rsidRPr="00263F0F">
        <w:rPr>
          <w:rStyle w:val="FootnoteTextChar"/>
          <w:sz w:val="24"/>
          <w:szCs w:val="19"/>
        </w:rPr>
        <w:t>, no date. Last accessed: 20 June 2023</w:t>
      </w:r>
    </w:p>
    <w:p w14:paraId="40F100CF" w14:textId="4069C9E0" w:rsidR="0009386B" w:rsidRDefault="00000000" w:rsidP="001E1516">
      <w:pPr>
        <w:widowControl w:val="0"/>
        <w:ind w:left="851"/>
      </w:pPr>
      <w:hyperlink r:id="rId90" w:history="1">
        <w:r w:rsidR="0009386B" w:rsidRPr="008F1607">
          <w:rPr>
            <w:rStyle w:val="Hyperlink"/>
          </w:rPr>
          <w:t>First time in Georgia transperson's gender has been legally recognised</w:t>
        </w:r>
      </w:hyperlink>
      <w:r w:rsidR="0009386B">
        <w:t xml:space="preserve">, 31 March 2021. Last accessed: 25 August 2023 </w:t>
      </w:r>
    </w:p>
    <w:p w14:paraId="46190A2B" w14:textId="627DAB10" w:rsidR="006D402D" w:rsidRPr="0009386B" w:rsidRDefault="006D402D" w:rsidP="001E1516">
      <w:pPr>
        <w:widowControl w:val="0"/>
        <w:ind w:left="851"/>
        <w:rPr>
          <w:szCs w:val="19"/>
        </w:rPr>
      </w:pPr>
      <w:r w:rsidRPr="00263F0F">
        <w:rPr>
          <w:rStyle w:val="FootnoteTextChar"/>
          <w:sz w:val="24"/>
          <w:szCs w:val="19"/>
        </w:rPr>
        <w:lastRenderedPageBreak/>
        <w:t>‘</w:t>
      </w:r>
      <w:hyperlink r:id="rId91" w:history="1">
        <w:r w:rsidR="007054DB">
          <w:rPr>
            <w:rStyle w:val="Hyperlink"/>
          </w:rPr>
          <w:t>From Prejudice to Equality: Study on Public Knowledge, Awareness and Attitudes Towards LGBT(Q)I Community and Legal Equality</w:t>
        </w:r>
      </w:hyperlink>
      <w:r w:rsidRPr="00263F0F">
        <w:t>, 2 May 2022. Last accessed:</w:t>
      </w:r>
      <w:r>
        <w:t xml:space="preserve"> 8 September 2023 </w:t>
      </w:r>
    </w:p>
    <w:p w14:paraId="427618C1" w14:textId="77777777" w:rsidR="00DE7690" w:rsidRDefault="00DE7690" w:rsidP="001E1516">
      <w:pPr>
        <w:widowControl w:val="0"/>
        <w:ind w:left="851"/>
        <w:rPr>
          <w:rStyle w:val="FootnoteTextChar"/>
          <w:sz w:val="24"/>
          <w:szCs w:val="19"/>
        </w:rPr>
      </w:pPr>
      <w:r w:rsidRPr="00263F0F">
        <w:t>‘</w:t>
      </w:r>
      <w:hyperlink r:id="rId92" w:history="1">
        <w:r w:rsidRPr="00263F0F">
          <w:rPr>
            <w:rStyle w:val="Hyperlink"/>
          </w:rPr>
          <w:t>Impact of COVID-19 Pandemic on LGBT(Q)I Community in Georgia</w:t>
        </w:r>
      </w:hyperlink>
      <w:r w:rsidRPr="00263F0F">
        <w:t xml:space="preserve">,’ </w:t>
      </w:r>
      <w:r w:rsidRPr="00263F0F">
        <w:rPr>
          <w:rStyle w:val="FootnoteTextChar"/>
          <w:sz w:val="24"/>
          <w:szCs w:val="19"/>
        </w:rPr>
        <w:t>1 February 2022. Last accessed: 20 June 2023</w:t>
      </w:r>
    </w:p>
    <w:p w14:paraId="2D3C2020" w14:textId="7A5A5C42" w:rsidR="005765E2" w:rsidRPr="00263F0F" w:rsidRDefault="005765E2" w:rsidP="001E1516">
      <w:pPr>
        <w:widowControl w:val="0"/>
        <w:rPr>
          <w:szCs w:val="19"/>
        </w:rPr>
      </w:pPr>
      <w:r>
        <w:t>World population review, ‘</w:t>
      </w:r>
      <w:hyperlink r:id="rId93" w:history="1">
        <w:r>
          <w:rPr>
            <w:rStyle w:val="Hyperlink"/>
          </w:rPr>
          <w:t>Tbilisi Population 2023</w:t>
        </w:r>
      </w:hyperlink>
      <w:r>
        <w:t>’, 2023. Last accessed: 26 September 2023</w:t>
      </w:r>
    </w:p>
    <w:p w14:paraId="442BFBBC" w14:textId="77777777" w:rsidR="004E72F7" w:rsidRDefault="00000000" w:rsidP="001E1516">
      <w:pPr>
        <w:pStyle w:val="ListParagraph"/>
        <w:widowControl w:val="0"/>
        <w:numPr>
          <w:ilvl w:val="0"/>
          <w:numId w:val="0"/>
        </w:numPr>
        <w:ind w:left="851"/>
        <w:jc w:val="right"/>
      </w:pPr>
      <w:hyperlink w:anchor="contents" w:history="1">
        <w:r w:rsidR="004E72F7" w:rsidRPr="006B4863">
          <w:rPr>
            <w:rStyle w:val="Hyperlink"/>
            <w:szCs w:val="24"/>
          </w:rPr>
          <w:t>Back to Contents</w:t>
        </w:r>
      </w:hyperlink>
    </w:p>
    <w:p w14:paraId="66652DB7" w14:textId="1071F4A5" w:rsidR="004E72F7" w:rsidRDefault="004E72F7" w:rsidP="001E1516">
      <w:pPr>
        <w:pStyle w:val="Heading2"/>
        <w:keepNext w:val="0"/>
        <w:keepLines w:val="0"/>
        <w:widowControl w:val="0"/>
        <w:numPr>
          <w:ilvl w:val="0"/>
          <w:numId w:val="0"/>
        </w:numPr>
        <w:ind w:left="851" w:hanging="851"/>
      </w:pPr>
      <w:bookmarkStart w:id="209" w:name="_Toc138175683"/>
      <w:bookmarkStart w:id="210" w:name="_Toc146698570"/>
      <w:bookmarkStart w:id="211" w:name="_Toc178601207"/>
      <w:r>
        <w:t>Sources consulted but not cited</w:t>
      </w:r>
      <w:bookmarkEnd w:id="209"/>
      <w:bookmarkEnd w:id="210"/>
      <w:bookmarkEnd w:id="211"/>
    </w:p>
    <w:p w14:paraId="5297BE30" w14:textId="77777777" w:rsidR="004E72F7" w:rsidRDefault="004E72F7" w:rsidP="001E1516">
      <w:pPr>
        <w:widowControl w:val="0"/>
      </w:pPr>
      <w:r>
        <w:t>Amnesty International, ‘</w:t>
      </w:r>
      <w:hyperlink r:id="rId94" w:history="1">
        <w:r>
          <w:rPr>
            <w:rStyle w:val="Hyperlink"/>
          </w:rPr>
          <w:t>Human rights in Georgia’</w:t>
        </w:r>
      </w:hyperlink>
      <w:r>
        <w:t>, 27 March 2023. Last accessed: 20 June 2023</w:t>
      </w:r>
    </w:p>
    <w:p w14:paraId="2268292E" w14:textId="77777777" w:rsidR="004E72F7" w:rsidRDefault="004E72F7" w:rsidP="001E1516">
      <w:pPr>
        <w:widowControl w:val="0"/>
      </w:pPr>
      <w:r>
        <w:t>BBC News, ‘</w:t>
      </w:r>
      <w:hyperlink r:id="rId95" w:history="1">
        <w:r>
          <w:rPr>
            <w:rStyle w:val="Hyperlink"/>
          </w:rPr>
          <w:t>Georgia: Tbilisi Pride cancelled amid violent protests’</w:t>
        </w:r>
      </w:hyperlink>
      <w:r>
        <w:t>, 5 July 2021. Last accessed: 20 June 2023</w:t>
      </w:r>
    </w:p>
    <w:p w14:paraId="11009937" w14:textId="77777777" w:rsidR="004E72F7" w:rsidRDefault="004E72F7" w:rsidP="001E1516">
      <w:pPr>
        <w:widowControl w:val="0"/>
      </w:pPr>
      <w:r>
        <w:t>Freedom House, ‘</w:t>
      </w:r>
      <w:hyperlink r:id="rId96" w:history="1">
        <w:r>
          <w:rPr>
            <w:rStyle w:val="Hyperlink"/>
          </w:rPr>
          <w:t>Georgia: Freedom in the World 2022 Country Report’</w:t>
        </w:r>
      </w:hyperlink>
      <w:r>
        <w:t>, 24 February 2022</w:t>
      </w:r>
    </w:p>
    <w:p w14:paraId="085575DD" w14:textId="35EF278C" w:rsidR="000A1408" w:rsidRDefault="000A1408" w:rsidP="001E1516">
      <w:pPr>
        <w:widowControl w:val="0"/>
      </w:pPr>
      <w:r>
        <w:t xml:space="preserve">Georgian Democracy Initiative, </w:t>
      </w:r>
      <w:hyperlink r:id="rId97" w:history="1">
        <w:r w:rsidRPr="00583BDD">
          <w:rPr>
            <w:rStyle w:val="Hyperlink"/>
          </w:rPr>
          <w:t>Human Rights in Georgia 2022</w:t>
        </w:r>
      </w:hyperlink>
      <w:r>
        <w:t>, December 2022. Last accessed: 7 September 2023</w:t>
      </w:r>
    </w:p>
    <w:p w14:paraId="3CB490F4" w14:textId="77777777" w:rsidR="00BA03C4" w:rsidRPr="00BA03C4" w:rsidRDefault="00BA03C4" w:rsidP="001E1516">
      <w:pPr>
        <w:widowControl w:val="0"/>
      </w:pPr>
      <w:r w:rsidRPr="00BA03C4">
        <w:t>International Lesbian, Gay, Bisexual, Trans and Intersex Association (ILGA) Europe,</w:t>
      </w:r>
    </w:p>
    <w:p w14:paraId="7629ADE4" w14:textId="77777777" w:rsidR="00BA03C4" w:rsidRPr="00BA03C4" w:rsidRDefault="00000000" w:rsidP="001E1516">
      <w:pPr>
        <w:widowControl w:val="0"/>
        <w:ind w:left="851"/>
      </w:pPr>
      <w:hyperlink r:id="rId98">
        <w:r w:rsidR="00BA03C4" w:rsidRPr="00BA03C4">
          <w:rPr>
            <w:rStyle w:val="Hyperlink"/>
          </w:rPr>
          <w:t>‘Annual Review of the Human Rights Situation of Lesbian, Gay, Bisexual, Trans, and Intersex People in Georgia Covering the Period of January to December 2021</w:t>
        </w:r>
      </w:hyperlink>
      <w:r w:rsidR="00BA03C4" w:rsidRPr="00BA03C4">
        <w:t>’, no date. Last accessed: 20 June 2023</w:t>
      </w:r>
    </w:p>
    <w:p w14:paraId="3800E815" w14:textId="77777777" w:rsidR="00BA03C4" w:rsidRPr="00BA03C4" w:rsidRDefault="00000000" w:rsidP="001E1516">
      <w:pPr>
        <w:widowControl w:val="0"/>
        <w:ind w:left="851"/>
      </w:pPr>
      <w:hyperlink r:id="rId99">
        <w:r w:rsidR="00BA03C4" w:rsidRPr="00BA03C4">
          <w:rPr>
            <w:rStyle w:val="Hyperlink"/>
          </w:rPr>
          <w:t>Country Ranking</w:t>
        </w:r>
      </w:hyperlink>
      <w:r w:rsidR="00BA03C4" w:rsidRPr="00BA03C4">
        <w:t xml:space="preserve">, 11 May 2023. Last accessed: 7 September 2023 </w:t>
      </w:r>
    </w:p>
    <w:p w14:paraId="15D448F8" w14:textId="77777777" w:rsidR="00BA03C4" w:rsidRPr="00BA03C4" w:rsidRDefault="00000000" w:rsidP="001E1516">
      <w:pPr>
        <w:widowControl w:val="0"/>
        <w:ind w:left="851"/>
      </w:pPr>
      <w:hyperlink r:id="rId100">
        <w:r w:rsidR="00BA03C4" w:rsidRPr="00BA03C4">
          <w:rPr>
            <w:rStyle w:val="Hyperlink"/>
          </w:rPr>
          <w:t xml:space="preserve">Rainbow Europe: About </w:t>
        </w:r>
      </w:hyperlink>
      <w:r w:rsidR="00BA03C4" w:rsidRPr="00BA03C4">
        <w:t xml:space="preserve">’, 11 May 2023. Last accessed: 7 September 2023 </w:t>
      </w:r>
    </w:p>
    <w:p w14:paraId="0C0015AF" w14:textId="77777777" w:rsidR="00BA03C4" w:rsidRPr="00BA03C4" w:rsidRDefault="00BA03C4" w:rsidP="001E1516">
      <w:pPr>
        <w:widowControl w:val="0"/>
        <w:ind w:left="851"/>
      </w:pPr>
      <w:r w:rsidRPr="00BA03C4">
        <w:t>‘</w:t>
      </w:r>
      <w:hyperlink r:id="rId101" w:anchor="8634/0/0">
        <w:r w:rsidRPr="00BA03C4">
          <w:rPr>
            <w:rStyle w:val="Hyperlink"/>
          </w:rPr>
          <w:t>Rainbow Europe - Georgia</w:t>
        </w:r>
      </w:hyperlink>
      <w:r w:rsidRPr="00BA03C4">
        <w:t xml:space="preserve">’, no date. Last accessed: 7 September 2023 </w:t>
      </w:r>
    </w:p>
    <w:p w14:paraId="7514DECF" w14:textId="7A4C87E7" w:rsidR="00BA03C4" w:rsidRDefault="00BA03C4" w:rsidP="001E1516">
      <w:pPr>
        <w:widowControl w:val="0"/>
        <w:ind w:left="851"/>
        <w:rPr>
          <w:rStyle w:val="Hyperlink"/>
          <w:color w:val="auto"/>
          <w:u w:val="none"/>
        </w:rPr>
      </w:pPr>
      <w:r w:rsidRPr="00BA03C4">
        <w:t>‘</w:t>
      </w:r>
      <w:hyperlink r:id="rId102">
        <w:r w:rsidRPr="00BA03C4">
          <w:rPr>
            <w:rStyle w:val="Hyperlink"/>
          </w:rPr>
          <w:t>Rainbow Europe Map and Index 2023</w:t>
        </w:r>
      </w:hyperlink>
      <w:r w:rsidRPr="00BA03C4">
        <w:t>’, 11 May 2023. Last accessed: 20 June 2023</w:t>
      </w:r>
    </w:p>
    <w:p w14:paraId="4D0A595F" w14:textId="77777777" w:rsidR="004E72F7" w:rsidRPr="00721181" w:rsidRDefault="004E72F7" w:rsidP="001E1516">
      <w:pPr>
        <w:widowControl w:val="0"/>
      </w:pPr>
      <w:r>
        <w:rPr>
          <w:rStyle w:val="Hyperlink"/>
          <w:color w:val="auto"/>
          <w:u w:val="none"/>
        </w:rPr>
        <w:t>OC Media, ‘</w:t>
      </w:r>
      <w:hyperlink r:id="rId103" w:history="1">
        <w:r>
          <w:rPr>
            <w:rStyle w:val="Hyperlink"/>
          </w:rPr>
          <w:t>Georgian politician fined $0.37 for homophobic slur’</w:t>
        </w:r>
      </w:hyperlink>
      <w:r>
        <w:t>, 6 December 2018. Last accessed: 20 June 2023</w:t>
      </w:r>
    </w:p>
    <w:p w14:paraId="2113770B" w14:textId="7634DBDF" w:rsidR="004E72F7" w:rsidRPr="008E1548" w:rsidRDefault="004E72F7" w:rsidP="001E1516">
      <w:pPr>
        <w:widowControl w:val="0"/>
      </w:pPr>
      <w:r>
        <w:t>Radio Free Europe</w:t>
      </w:r>
      <w:r w:rsidR="00F5694D">
        <w:t>/</w:t>
      </w:r>
      <w:r>
        <w:t>Radio Liberty, ‘</w:t>
      </w:r>
      <w:hyperlink r:id="rId104" w:history="1">
        <w:r>
          <w:rPr>
            <w:rStyle w:val="Hyperlink"/>
          </w:rPr>
          <w:t>In Conservative Georgia, A Trans Performer Turns Trauma Into Comedy’</w:t>
        </w:r>
      </w:hyperlink>
      <w:r>
        <w:t>, 14 February 2023. Last accessed: 20 June 2023</w:t>
      </w:r>
    </w:p>
    <w:p w14:paraId="2A72882B" w14:textId="18E4FBEE" w:rsidR="00EA3BC4" w:rsidRPr="00DD7ED2" w:rsidRDefault="00000000" w:rsidP="001E1516">
      <w:pPr>
        <w:pStyle w:val="ListParagraph"/>
        <w:widowControl w:val="0"/>
        <w:numPr>
          <w:ilvl w:val="0"/>
          <w:numId w:val="0"/>
        </w:numPr>
        <w:ind w:left="851"/>
        <w:jc w:val="right"/>
      </w:pPr>
      <w:hyperlink w:anchor="contents" w:history="1">
        <w:r w:rsidR="00BE0032" w:rsidRPr="00DD7ED2">
          <w:rPr>
            <w:rStyle w:val="Hyperlink"/>
            <w:szCs w:val="24"/>
          </w:rPr>
          <w:t>Back to Contents</w:t>
        </w:r>
      </w:hyperlink>
    </w:p>
    <w:p w14:paraId="06DEA860" w14:textId="77777777" w:rsidR="00EA3BC4" w:rsidRPr="00DD7ED2" w:rsidRDefault="00EA3BC4" w:rsidP="00EA3BC4">
      <w:pPr>
        <w:spacing w:after="200" w:line="276" w:lineRule="auto"/>
        <w:rPr>
          <w:rFonts w:eastAsiaTheme="majorEastAsia" w:cstheme="majorBidi"/>
          <w:bCs/>
          <w:color w:val="7030A0"/>
          <w:sz w:val="52"/>
          <w:szCs w:val="28"/>
        </w:rPr>
      </w:pPr>
    </w:p>
    <w:p w14:paraId="28EFEC74" w14:textId="77777777" w:rsidR="00987057" w:rsidRDefault="00987057">
      <w:pPr>
        <w:spacing w:after="200" w:line="276" w:lineRule="auto"/>
        <w:rPr>
          <w:rFonts w:eastAsiaTheme="majorEastAsia" w:cstheme="majorBidi"/>
          <w:bCs/>
          <w:color w:val="7030A0"/>
          <w:sz w:val="52"/>
          <w:szCs w:val="28"/>
          <w:highlight w:val="cyan"/>
        </w:rPr>
      </w:pPr>
      <w:r>
        <w:rPr>
          <w:highlight w:val="cyan"/>
        </w:rPr>
        <w:br w:type="page"/>
      </w:r>
    </w:p>
    <w:p w14:paraId="17825AB5" w14:textId="08B95F8F" w:rsidR="00EA3BC4" w:rsidRPr="00DD7ED2" w:rsidRDefault="00EA3BC4" w:rsidP="00EA3BC4">
      <w:pPr>
        <w:pStyle w:val="Heading1"/>
        <w:rPr>
          <w:rStyle w:val="CPITCOI-Link"/>
          <w:u w:val="none"/>
        </w:rPr>
      </w:pPr>
      <w:bookmarkStart w:id="212" w:name="_Toc146698571"/>
      <w:bookmarkStart w:id="213" w:name="_Toc178601208"/>
      <w:r w:rsidRPr="00DD7ED2">
        <w:lastRenderedPageBreak/>
        <w:t>Version control</w:t>
      </w:r>
      <w:r w:rsidR="009D318A">
        <w:t xml:space="preserve"> and feedback</w:t>
      </w:r>
      <w:bookmarkEnd w:id="212"/>
      <w:bookmarkEnd w:id="213"/>
    </w:p>
    <w:p w14:paraId="7EDE8EE4" w14:textId="77777777" w:rsidR="00EA3BC4" w:rsidRPr="00DD7ED2" w:rsidRDefault="00EA3BC4" w:rsidP="00EA3BC4">
      <w:pPr>
        <w:pStyle w:val="subheading2"/>
        <w:rPr>
          <w:sz w:val="24"/>
          <w:szCs w:val="24"/>
        </w:rPr>
      </w:pPr>
      <w:r w:rsidRPr="00DD7ED2">
        <w:rPr>
          <w:sz w:val="24"/>
          <w:szCs w:val="24"/>
        </w:rPr>
        <w:t>Clearance</w:t>
      </w:r>
    </w:p>
    <w:p w14:paraId="3B1CC96C" w14:textId="77777777" w:rsidR="00EA3BC4" w:rsidRPr="00DD7ED2" w:rsidRDefault="00EA3BC4" w:rsidP="00EA3BC4">
      <w:pPr>
        <w:ind w:left="851" w:hanging="851"/>
      </w:pPr>
      <w:r w:rsidRPr="00DD7ED2">
        <w:t>Below is information on when this note was cleared:</w:t>
      </w:r>
    </w:p>
    <w:p w14:paraId="5A68132B" w14:textId="45BCF4E1" w:rsidR="00EA3BC4" w:rsidRPr="00DD7ED2" w:rsidRDefault="00EA3BC4" w:rsidP="00EA3BC4">
      <w:pPr>
        <w:numPr>
          <w:ilvl w:val="0"/>
          <w:numId w:val="1"/>
        </w:numPr>
        <w:tabs>
          <w:tab w:val="clear" w:pos="567"/>
          <w:tab w:val="num" w:pos="283"/>
        </w:tabs>
        <w:spacing w:after="0"/>
        <w:ind w:left="283"/>
      </w:pPr>
      <w:r w:rsidRPr="00DD7ED2">
        <w:t xml:space="preserve">version </w:t>
      </w:r>
      <w:r w:rsidR="002E08DF">
        <w:rPr>
          <w:b/>
        </w:rPr>
        <w:t>1.0</w:t>
      </w:r>
    </w:p>
    <w:p w14:paraId="65B437C7" w14:textId="445DCA0C" w:rsidR="00EA3BC4" w:rsidRPr="00DD7ED2" w:rsidRDefault="00EA3BC4" w:rsidP="00EA3BC4">
      <w:pPr>
        <w:numPr>
          <w:ilvl w:val="0"/>
          <w:numId w:val="1"/>
        </w:numPr>
        <w:tabs>
          <w:tab w:val="clear" w:pos="567"/>
          <w:tab w:val="num" w:pos="283"/>
        </w:tabs>
        <w:spacing w:after="0"/>
        <w:ind w:left="283"/>
      </w:pPr>
      <w:r w:rsidRPr="00DD7ED2">
        <w:t xml:space="preserve">valid from </w:t>
      </w:r>
      <w:r w:rsidR="009F6E97" w:rsidRPr="009F6E97">
        <w:rPr>
          <w:b/>
          <w:bCs/>
        </w:rPr>
        <w:t>4 December</w:t>
      </w:r>
      <w:r w:rsidR="009F6E97">
        <w:rPr>
          <w:b/>
          <w:bCs/>
        </w:rPr>
        <w:t xml:space="preserve"> </w:t>
      </w:r>
      <w:r w:rsidR="009F6E97" w:rsidRPr="009F6E97">
        <w:rPr>
          <w:b/>
          <w:bCs/>
        </w:rPr>
        <w:t>2023</w:t>
      </w:r>
    </w:p>
    <w:p w14:paraId="03227E8E" w14:textId="77777777" w:rsidR="002371F0" w:rsidRPr="00402729" w:rsidRDefault="00000000" w:rsidP="002371F0">
      <w:pPr>
        <w:contextualSpacing/>
        <w:jc w:val="right"/>
      </w:pPr>
      <w:hyperlink w:anchor="contents" w:history="1">
        <w:r w:rsidR="002371F0" w:rsidRPr="00DD7ED2">
          <w:rPr>
            <w:rStyle w:val="Hyperlink"/>
            <w:szCs w:val="24"/>
          </w:rPr>
          <w:t>Back to Contents</w:t>
        </w:r>
      </w:hyperlink>
    </w:p>
    <w:p w14:paraId="3FA3B0A0" w14:textId="77777777" w:rsidR="00EA3BC4" w:rsidRPr="00DD7ED2" w:rsidRDefault="00EA3BC4" w:rsidP="00EA3BC4">
      <w:pPr>
        <w:pStyle w:val="subheading2"/>
        <w:rPr>
          <w:sz w:val="24"/>
          <w:szCs w:val="24"/>
        </w:rPr>
      </w:pPr>
      <w:r w:rsidRPr="00DD7ED2">
        <w:rPr>
          <w:sz w:val="24"/>
          <w:szCs w:val="24"/>
        </w:rPr>
        <w:t>Changes from last version of this note</w:t>
      </w:r>
    </w:p>
    <w:p w14:paraId="05BBCC49" w14:textId="3929BB62" w:rsidR="00EA3BC4" w:rsidRPr="004D6C9F" w:rsidRDefault="004D6C9F" w:rsidP="00EA3BC4">
      <w:r>
        <w:t xml:space="preserve">First version. </w:t>
      </w:r>
    </w:p>
    <w:p w14:paraId="1098BE0D" w14:textId="0E55F70B" w:rsidR="00EA3BC4" w:rsidRPr="004D6C9F" w:rsidRDefault="00000000" w:rsidP="00EA3BC4">
      <w:pPr>
        <w:contextualSpacing/>
        <w:jc w:val="right"/>
      </w:pPr>
      <w:hyperlink w:anchor="contents" w:history="1">
        <w:r w:rsidR="00BE0032" w:rsidRPr="004D6C9F">
          <w:rPr>
            <w:rStyle w:val="Hyperlink"/>
            <w:szCs w:val="24"/>
          </w:rPr>
          <w:t>Back to Contents</w:t>
        </w:r>
      </w:hyperlink>
    </w:p>
    <w:p w14:paraId="6CA0EC51" w14:textId="57412946" w:rsidR="009D318A" w:rsidRPr="004D6C9F" w:rsidRDefault="009D318A" w:rsidP="009D318A">
      <w:pPr>
        <w:pStyle w:val="Heading2"/>
        <w:numPr>
          <w:ilvl w:val="0"/>
          <w:numId w:val="0"/>
        </w:numPr>
        <w:ind w:left="851" w:hanging="851"/>
      </w:pPr>
      <w:bookmarkStart w:id="214" w:name="_Toc146698572"/>
      <w:bookmarkStart w:id="215" w:name="_Toc178601209"/>
      <w:r w:rsidRPr="004D6C9F">
        <w:t>Feedback to the Home Office</w:t>
      </w:r>
      <w:bookmarkEnd w:id="214"/>
      <w:bookmarkEnd w:id="215"/>
    </w:p>
    <w:p w14:paraId="7496E16C" w14:textId="77777777" w:rsidR="009D318A" w:rsidRPr="004D6C9F" w:rsidRDefault="009D318A" w:rsidP="009D318A">
      <w:pPr>
        <w:pStyle w:val="CPITPrefaceText"/>
      </w:pPr>
      <w:r w:rsidRPr="004D6C9F">
        <w:t xml:space="preserve">Our goal is to provide accurate, reliable and up-to-date COI and clear guidance. We welcome feedback on how to improve our products. If you would like to comment on this note, please email the </w:t>
      </w:r>
      <w:hyperlink r:id="rId105" w:history="1">
        <w:r w:rsidRPr="004D6C9F">
          <w:rPr>
            <w:rStyle w:val="Hyperlink"/>
          </w:rPr>
          <w:t>Country Policy and Information Team</w:t>
        </w:r>
      </w:hyperlink>
      <w:r w:rsidRPr="004D6C9F">
        <w:t>.</w:t>
      </w:r>
    </w:p>
    <w:p w14:paraId="5B52F221" w14:textId="77777777" w:rsidR="009D318A" w:rsidRPr="004D6C9F" w:rsidRDefault="00000000" w:rsidP="00356A76">
      <w:pPr>
        <w:pStyle w:val="Backtocontents"/>
      </w:pPr>
      <w:hyperlink w:anchor="contents" w:history="1">
        <w:r w:rsidR="009D318A" w:rsidRPr="004D6C9F">
          <w:rPr>
            <w:rStyle w:val="Hyperlink"/>
          </w:rPr>
          <w:t>Back to Contents</w:t>
        </w:r>
      </w:hyperlink>
    </w:p>
    <w:p w14:paraId="181FCC9C" w14:textId="0BDB6A5D" w:rsidR="009D318A" w:rsidRPr="004D6C9F" w:rsidRDefault="009D318A" w:rsidP="009D318A">
      <w:pPr>
        <w:pStyle w:val="Heading2"/>
        <w:numPr>
          <w:ilvl w:val="0"/>
          <w:numId w:val="0"/>
        </w:numPr>
        <w:ind w:left="851" w:hanging="851"/>
      </w:pPr>
      <w:bookmarkStart w:id="216" w:name="_Toc146698573"/>
      <w:bookmarkStart w:id="217" w:name="_Toc178601210"/>
      <w:r w:rsidRPr="004D6C9F">
        <w:t>Independent Advisory Group on Country Information</w:t>
      </w:r>
      <w:bookmarkEnd w:id="216"/>
      <w:bookmarkEnd w:id="217"/>
    </w:p>
    <w:p w14:paraId="16F93060" w14:textId="77777777" w:rsidR="009D318A" w:rsidRPr="004D6C9F" w:rsidRDefault="009D318A" w:rsidP="009D318A">
      <w:pPr>
        <w:pStyle w:val="CPITPrefaceText"/>
      </w:pPr>
      <w:r w:rsidRPr="004D6C9F">
        <w:t xml:space="preserve">The </w:t>
      </w:r>
      <w:hyperlink r:id="rId106" w:history="1">
        <w:r w:rsidRPr="004D6C9F">
          <w:rPr>
            <w:rStyle w:val="Hyperlink"/>
          </w:rPr>
          <w:t>Independent Advisory Group on Country Information</w:t>
        </w:r>
      </w:hyperlink>
      <w:r w:rsidRPr="004D6C9F">
        <w:t xml:space="preserve"> (IAGCI) was set up in March 2009 by the Independent Chief Inspector of Borders and Immigration to support him in reviewing the efficiency, effectiveness and consistency of approach of COI produced by the Home Office. </w:t>
      </w:r>
    </w:p>
    <w:p w14:paraId="70C19316" w14:textId="77777777" w:rsidR="009D318A" w:rsidRPr="004D6C9F" w:rsidRDefault="009D318A" w:rsidP="009D318A">
      <w:pPr>
        <w:pStyle w:val="CPITPrefaceText"/>
      </w:pPr>
      <w:r w:rsidRPr="004D6C9F">
        <w:t xml:space="preserve">The IAGCI welcomes feedback on the Home Office’s COI material. It is not the function of the IAGCI to endorse any Home Office material, procedures or policy. The IAGCI may be contacted at: </w:t>
      </w:r>
    </w:p>
    <w:p w14:paraId="4D34A662" w14:textId="77777777" w:rsidR="009D318A" w:rsidRPr="004D6C9F" w:rsidRDefault="009D318A" w:rsidP="009D318A">
      <w:pPr>
        <w:pStyle w:val="CPITPrefaceText"/>
        <w:spacing w:after="0"/>
        <w:ind w:left="720"/>
        <w:rPr>
          <w:rFonts w:cs="Arial"/>
          <w:b/>
        </w:rPr>
      </w:pPr>
      <w:r w:rsidRPr="004D6C9F">
        <w:rPr>
          <w:rFonts w:cs="Arial"/>
          <w:b/>
        </w:rPr>
        <w:t xml:space="preserve">Independent Advisory Group on Country Information </w:t>
      </w:r>
    </w:p>
    <w:p w14:paraId="77DFCCF3" w14:textId="77777777" w:rsidR="009D318A" w:rsidRPr="004D6C9F" w:rsidRDefault="009D318A" w:rsidP="009D318A">
      <w:pPr>
        <w:pStyle w:val="CPITPrefaceText"/>
        <w:spacing w:after="0"/>
        <w:ind w:left="720"/>
        <w:rPr>
          <w:rFonts w:cs="Arial"/>
        </w:rPr>
      </w:pPr>
      <w:r w:rsidRPr="004D6C9F">
        <w:rPr>
          <w:rFonts w:cs="Arial"/>
        </w:rPr>
        <w:t>Independent Chief Inspector of Borders and Immigration</w:t>
      </w:r>
    </w:p>
    <w:p w14:paraId="5FC66DD4" w14:textId="77777777" w:rsidR="009D318A" w:rsidRPr="004D6C9F" w:rsidRDefault="009D318A" w:rsidP="009D318A">
      <w:pPr>
        <w:pStyle w:val="CPITPrefaceText"/>
        <w:spacing w:after="0"/>
        <w:ind w:left="720"/>
        <w:rPr>
          <w:rFonts w:cs="Arial"/>
        </w:rPr>
      </w:pPr>
      <w:r w:rsidRPr="004D6C9F">
        <w:rPr>
          <w:rFonts w:cs="Arial"/>
        </w:rPr>
        <w:t xml:space="preserve">1st Floor </w:t>
      </w:r>
    </w:p>
    <w:p w14:paraId="5A70390D" w14:textId="77777777" w:rsidR="009D318A" w:rsidRPr="004D6C9F" w:rsidRDefault="009D318A" w:rsidP="009D318A">
      <w:pPr>
        <w:pStyle w:val="CPITPrefaceText"/>
        <w:spacing w:after="0"/>
        <w:ind w:left="720"/>
        <w:rPr>
          <w:rFonts w:cs="Arial"/>
        </w:rPr>
      </w:pPr>
      <w:r w:rsidRPr="004D6C9F">
        <w:rPr>
          <w:rFonts w:cs="Arial"/>
        </w:rPr>
        <w:t>Clive House</w:t>
      </w:r>
    </w:p>
    <w:p w14:paraId="1E499C2A" w14:textId="77777777" w:rsidR="009D318A" w:rsidRPr="004D6C9F" w:rsidRDefault="009D318A" w:rsidP="009D318A">
      <w:pPr>
        <w:pStyle w:val="CPITPrefaceText"/>
        <w:spacing w:after="0"/>
        <w:ind w:left="720"/>
        <w:rPr>
          <w:rFonts w:cs="Arial"/>
        </w:rPr>
      </w:pPr>
      <w:r w:rsidRPr="004D6C9F">
        <w:rPr>
          <w:rFonts w:cs="Arial"/>
        </w:rPr>
        <w:t>70 Petty France</w:t>
      </w:r>
    </w:p>
    <w:p w14:paraId="08F8B514" w14:textId="77777777" w:rsidR="009D318A" w:rsidRPr="004D6C9F" w:rsidRDefault="009D318A" w:rsidP="009D318A">
      <w:pPr>
        <w:pStyle w:val="CPITPrefaceText"/>
        <w:spacing w:after="0"/>
        <w:ind w:left="720"/>
        <w:rPr>
          <w:rFonts w:cs="Arial"/>
        </w:rPr>
      </w:pPr>
      <w:r w:rsidRPr="004D6C9F">
        <w:rPr>
          <w:rFonts w:cs="Arial"/>
        </w:rPr>
        <w:t xml:space="preserve">London </w:t>
      </w:r>
    </w:p>
    <w:p w14:paraId="48476E1F" w14:textId="77777777" w:rsidR="009D318A" w:rsidRPr="004D6C9F" w:rsidRDefault="009D318A" w:rsidP="009D318A">
      <w:pPr>
        <w:pStyle w:val="CPITPrefaceText"/>
        <w:spacing w:after="0"/>
        <w:ind w:left="720"/>
        <w:rPr>
          <w:rFonts w:cs="Arial"/>
        </w:rPr>
      </w:pPr>
      <w:r w:rsidRPr="004D6C9F">
        <w:rPr>
          <w:rFonts w:cs="Arial"/>
        </w:rPr>
        <w:t>SW1H 9EX</w:t>
      </w:r>
    </w:p>
    <w:p w14:paraId="77587B64" w14:textId="6DBF79EF" w:rsidR="009D318A" w:rsidRPr="004D6C9F" w:rsidRDefault="009D318A" w:rsidP="009D318A">
      <w:pPr>
        <w:pStyle w:val="CPITPrefaceText"/>
        <w:ind w:left="720"/>
      </w:pPr>
      <w:r w:rsidRPr="004D6C9F">
        <w:t xml:space="preserve">Email: </w:t>
      </w:r>
      <w:hyperlink r:id="rId107" w:history="1">
        <w:r w:rsidRPr="004D6C9F">
          <w:rPr>
            <w:rStyle w:val="Hyperlink"/>
            <w:lang w:val="en"/>
          </w:rPr>
          <w:t>chiefinspector@icibi.gov.uk</w:t>
        </w:r>
      </w:hyperlink>
      <w:r w:rsidR="00F5694D">
        <w:rPr>
          <w:rStyle w:val="Hyperlink"/>
          <w:lang w:val="en"/>
        </w:rPr>
        <w:t xml:space="preserve"> </w:t>
      </w:r>
      <w:r w:rsidR="00F5694D">
        <w:t xml:space="preserve">  </w:t>
      </w:r>
    </w:p>
    <w:p w14:paraId="1882AD42" w14:textId="08D133D9" w:rsidR="009D318A" w:rsidRPr="004D6C9F" w:rsidRDefault="009D318A" w:rsidP="009D318A">
      <w:r w:rsidRPr="004D6C9F">
        <w:t xml:space="preserve">Information about the IAGCI’s work and a list of the documents which have been reviewed by the IAGCI can be found on the Independent Chief Inspector’s pages of the </w:t>
      </w:r>
      <w:hyperlink r:id="rId108" w:anchor="reviews" w:history="1">
        <w:r w:rsidRPr="004D6C9F">
          <w:rPr>
            <w:rStyle w:val="Hyperlink"/>
          </w:rPr>
          <w:t>gov.uk website</w:t>
        </w:r>
      </w:hyperlink>
      <w:r w:rsidRPr="004D6C9F">
        <w:t>.</w:t>
      </w:r>
      <w:r w:rsidR="00F5694D">
        <w:t xml:space="preserve"> </w:t>
      </w:r>
    </w:p>
    <w:p w14:paraId="6ACF01D1" w14:textId="10443D55" w:rsidR="001824D8" w:rsidRPr="00EA3BC4" w:rsidRDefault="00000000" w:rsidP="009F09CE">
      <w:pPr>
        <w:pStyle w:val="Backtocontents"/>
      </w:pPr>
      <w:hyperlink w:anchor="contents" w:history="1">
        <w:r w:rsidR="009D318A" w:rsidRPr="00111B3E">
          <w:rPr>
            <w:rStyle w:val="Hyperlink"/>
          </w:rPr>
          <w:t>Back to Contents</w:t>
        </w:r>
      </w:hyperlink>
    </w:p>
    <w:sectPr w:rsidR="001824D8" w:rsidRPr="00EA3BC4" w:rsidSect="00D90E99">
      <w:headerReference w:type="even" r:id="rId109"/>
      <w:headerReference w:type="default" r:id="rId110"/>
      <w:footerReference w:type="even" r:id="rId111"/>
      <w:footerReference w:type="default" r:id="rId112"/>
      <w:headerReference w:type="first" r:id="rId113"/>
      <w:footerReference w:type="first" r:id="rId1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7506" w14:textId="77777777" w:rsidR="00802CCE" w:rsidRDefault="00802CCE" w:rsidP="00943D7D">
      <w:r>
        <w:separator/>
      </w:r>
    </w:p>
    <w:p w14:paraId="21A56476" w14:textId="77777777" w:rsidR="00802CCE" w:rsidRDefault="00802CCE"/>
  </w:endnote>
  <w:endnote w:type="continuationSeparator" w:id="0">
    <w:p w14:paraId="1D69F116" w14:textId="77777777" w:rsidR="00802CCE" w:rsidRDefault="00802CCE" w:rsidP="00943D7D">
      <w:r>
        <w:continuationSeparator/>
      </w:r>
    </w:p>
    <w:p w14:paraId="0452989C" w14:textId="77777777" w:rsidR="00802CCE" w:rsidRDefault="00802CCE"/>
  </w:endnote>
  <w:endnote w:type="continuationNotice" w:id="1">
    <w:p w14:paraId="1A707162" w14:textId="77777777" w:rsidR="00802CCE" w:rsidRDefault="00802C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roboto_reg">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156F" w14:textId="77777777" w:rsidR="007C7BD8" w:rsidRDefault="007C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Content>
      <w:sdt>
        <w:sdtPr>
          <w:id w:val="212808186"/>
          <w:docPartObj>
            <w:docPartGallery w:val="Page Numbers (Bottom of Page)"/>
            <w:docPartUnique/>
          </w:docPartObj>
        </w:sdtPr>
        <w:sdtContent>
          <w:sdt>
            <w:sdtPr>
              <w:id w:val="212808187"/>
              <w:docPartObj>
                <w:docPartGallery w:val="Page Numbers (Top of Page)"/>
                <w:docPartUnique/>
              </w:docPartObj>
            </w:sdtPr>
            <w:sdtContent>
              <w:sdt>
                <w:sdtPr>
                  <w:id w:val="229301752"/>
                  <w:docPartObj>
                    <w:docPartGallery w:val="Page Numbers (Top of Page)"/>
                    <w:docPartUnique/>
                  </w:docPartObj>
                </w:sdtPr>
                <w:sdtContent>
                  <w:p w14:paraId="6ACF01EB" w14:textId="4B8C81A1" w:rsidR="00FA6383" w:rsidRDefault="00527DAF" w:rsidP="00D90E99">
                    <w:pPr>
                      <w:pStyle w:val="Footer"/>
                      <w:widowControl w:val="0"/>
                      <w:tabs>
                        <w:tab w:val="left" w:pos="11199"/>
                        <w:tab w:val="right" w:pos="11340"/>
                      </w:tabs>
                      <w:spacing w:after="0"/>
                      <w:ind w:right="-142"/>
                      <w:rPr>
                        <w:color w:val="999999"/>
                        <w:sz w:val="16"/>
                        <w:szCs w:val="16"/>
                      </w:rPr>
                    </w:pPr>
                    <w:r>
                      <w:rPr>
                        <w:noProof/>
                        <w:color w:val="999999"/>
                        <w:sz w:val="16"/>
                        <w:szCs w:val="16"/>
                      </w:rPr>
                      <mc:AlternateContent>
                        <mc:Choice Requires="wps">
                          <w:drawing>
                            <wp:inline distT="0" distB="0" distL="0" distR="0" wp14:anchorId="6ACF0205" wp14:editId="33B2EBAD">
                              <wp:extent cx="5763260" cy="4445"/>
                              <wp:effectExtent l="29210" t="31750" r="29210" b="36830"/>
                              <wp:docPr id="5" name="Rectangle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5674360" cy="9525"/>
                                      </a:xfrm>
                                      <a:prstGeom prst="rect">
                                        <a:avLst/>
                                      </a:prstGeom>
                                      <a:solidFill>
                                        <a:srgbClr val="8F2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D0C9D" id="Rectangle 5" o:spid="_x0000_s1026" style="width:453.8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" fillcolor="#8f23b3" stroked="f">
                              <o:lock v:ext="edit" rotation="t" aspectratio="t" verticies="t" text="t" adjusthandles="t" grouping="t" shapetype="t"/>
                              <w10:anchorlock/>
                            </v:rect>
                          </w:pict>
                        </mc:Fallback>
                      </mc:AlternateContent>
                    </w:r>
                  </w:p>
                  <w:p w14:paraId="6ACF01EC" w14:textId="3BBCA47F" w:rsidR="00FA6383" w:rsidRDefault="00FA6383"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374CFD">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374CFD">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FA6383" w:rsidRDefault="00FA6383">
    <w:pPr>
      <w:pStyle w:val="Footer"/>
      <w:jc w:val="center"/>
    </w:pPr>
  </w:p>
  <w:p w14:paraId="6ACF0202" w14:textId="77777777" w:rsidR="00FA6383" w:rsidRDefault="00FA6383">
    <w:pPr>
      <w:pStyle w:val="Footer"/>
    </w:pPr>
  </w:p>
  <w:p w14:paraId="6ACF0203" w14:textId="77777777" w:rsidR="00FA6383" w:rsidRDefault="00FA63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EA4B" w14:textId="77777777" w:rsidR="00802CCE" w:rsidRPr="00975E6F" w:rsidRDefault="00802CCE" w:rsidP="00D90E99">
      <w:pPr>
        <w:widowControl w:val="0"/>
        <w:spacing w:after="0"/>
        <w:rPr>
          <w:sz w:val="19"/>
          <w:szCs w:val="19"/>
        </w:rPr>
      </w:pPr>
      <w:r w:rsidRPr="00975E6F">
        <w:rPr>
          <w:sz w:val="19"/>
          <w:szCs w:val="19"/>
        </w:rPr>
        <w:separator/>
      </w:r>
    </w:p>
  </w:footnote>
  <w:footnote w:type="continuationSeparator" w:id="0">
    <w:p w14:paraId="28D6BB59" w14:textId="77777777" w:rsidR="00802CCE" w:rsidRPr="00975E6F" w:rsidRDefault="00802CCE" w:rsidP="00975E6F">
      <w:pPr>
        <w:widowControl w:val="0"/>
        <w:spacing w:after="0"/>
        <w:rPr>
          <w:sz w:val="19"/>
          <w:szCs w:val="19"/>
        </w:rPr>
      </w:pPr>
      <w:r w:rsidRPr="00975E6F">
        <w:rPr>
          <w:sz w:val="19"/>
          <w:szCs w:val="19"/>
        </w:rPr>
        <w:continuationSeparator/>
      </w:r>
    </w:p>
  </w:footnote>
  <w:footnote w:type="continuationNotice" w:id="1">
    <w:p w14:paraId="70AFD713" w14:textId="77777777" w:rsidR="00802CCE" w:rsidRDefault="00802CCE">
      <w:pPr>
        <w:spacing w:after="0"/>
      </w:pPr>
    </w:p>
  </w:footnote>
  <w:footnote w:id="2">
    <w:p w14:paraId="7B5125C9" w14:textId="77777777" w:rsidR="00981494" w:rsidRPr="00975E6F" w:rsidRDefault="00981494" w:rsidP="00981494">
      <w:pPr>
        <w:pStyle w:val="FootnoteText"/>
      </w:pPr>
      <w:r w:rsidRPr="00975E6F">
        <w:rPr>
          <w:rStyle w:val="FootnoteReference"/>
          <w:sz w:val="19"/>
          <w:szCs w:val="19"/>
        </w:rPr>
        <w:footnoteRef/>
      </w:r>
      <w:r w:rsidRPr="00975E6F">
        <w:t xml:space="preserve"> </w:t>
      </w:r>
      <w:r w:rsidRPr="00F966CC">
        <w:t>ILGA, ‘</w:t>
      </w:r>
      <w:hyperlink r:id="rId1" w:history="1">
        <w:r w:rsidRPr="00F966CC">
          <w:rPr>
            <w:rStyle w:val="Hyperlink"/>
          </w:rPr>
          <w:t>State-Sponsored Homophobia 2020: Global Legislation…</w:t>
        </w:r>
      </w:hyperlink>
      <w:r w:rsidRPr="00F966CC">
        <w:t>’ (page 328), 15 December 2020</w:t>
      </w:r>
    </w:p>
  </w:footnote>
  <w:footnote w:id="3">
    <w:p w14:paraId="7323971D" w14:textId="77777777" w:rsidR="00981494" w:rsidRDefault="00981494" w:rsidP="00981494">
      <w:pPr>
        <w:pStyle w:val="FootnoteText"/>
      </w:pPr>
      <w:r>
        <w:rPr>
          <w:rStyle w:val="FootnoteReference"/>
        </w:rPr>
        <w:footnoteRef/>
      </w:r>
      <w:r>
        <w:t xml:space="preserve"> ILGA, ‘</w:t>
      </w:r>
      <w:hyperlink r:id="rId2" w:history="1">
        <w:r w:rsidRPr="00EA6AD4">
          <w:rPr>
            <w:rStyle w:val="Hyperlink"/>
          </w:rPr>
          <w:t>State-Sponsored Homophobia 2020: Global Legislation…</w:t>
        </w:r>
      </w:hyperlink>
      <w:r w:rsidRPr="003023D5">
        <w:t>’</w:t>
      </w:r>
      <w:r>
        <w:t xml:space="preserve"> (page 105)</w:t>
      </w:r>
      <w:r w:rsidRPr="003023D5">
        <w:t>, 15 December 2020</w:t>
      </w:r>
      <w:r>
        <w:t xml:space="preserve"> </w:t>
      </w:r>
    </w:p>
  </w:footnote>
  <w:footnote w:id="4">
    <w:p w14:paraId="3769208F" w14:textId="77777777" w:rsidR="00981494" w:rsidRDefault="00981494" w:rsidP="00981494">
      <w:pPr>
        <w:pStyle w:val="FootnoteText"/>
      </w:pPr>
      <w:r>
        <w:rPr>
          <w:rStyle w:val="FootnoteReference"/>
        </w:rPr>
        <w:footnoteRef/>
      </w:r>
      <w:r>
        <w:t xml:space="preserve"> </w:t>
      </w:r>
      <w:bookmarkStart w:id="63" w:name="_Hlk66979341"/>
      <w:r w:rsidRPr="0004597C">
        <w:t>ILGA, ‘</w:t>
      </w:r>
      <w:hyperlink r:id="rId3" w:history="1">
        <w:r w:rsidRPr="0004597C">
          <w:rPr>
            <w:rStyle w:val="Hyperlink"/>
          </w:rPr>
          <w:t>State-Sponsored Homophobia 2020: Global Legislation…</w:t>
        </w:r>
      </w:hyperlink>
      <w:r w:rsidRPr="0004597C">
        <w:t xml:space="preserve">’ (page </w:t>
      </w:r>
      <w:r>
        <w:t>246</w:t>
      </w:r>
      <w:r w:rsidRPr="0004597C">
        <w:t>), 15 December 2020</w:t>
      </w:r>
      <w:bookmarkEnd w:id="63"/>
    </w:p>
  </w:footnote>
  <w:footnote w:id="5">
    <w:p w14:paraId="5712CC83" w14:textId="7BBC7B83" w:rsidR="00981494" w:rsidRDefault="00981494" w:rsidP="00981494">
      <w:pPr>
        <w:pStyle w:val="FootnoteText"/>
      </w:pPr>
      <w:r>
        <w:rPr>
          <w:rStyle w:val="FootnoteReference"/>
        </w:rPr>
        <w:footnoteRef/>
      </w:r>
      <w:r>
        <w:t xml:space="preserve"> USSD, ‘</w:t>
      </w:r>
      <w:hyperlink r:id="rId4" w:history="1">
        <w:r w:rsidR="002319BF">
          <w:rPr>
            <w:rStyle w:val="Hyperlink"/>
          </w:rPr>
          <w:t>2022 Country Reports on Human Rights Practices: Georgia</w:t>
        </w:r>
      </w:hyperlink>
      <w:r>
        <w:t>’ (section 6), 20 March 2023</w:t>
      </w:r>
    </w:p>
  </w:footnote>
  <w:footnote w:id="6">
    <w:p w14:paraId="073CB122" w14:textId="77777777" w:rsidR="00981494" w:rsidRPr="00975E6F" w:rsidRDefault="00981494" w:rsidP="00981494">
      <w:pPr>
        <w:pStyle w:val="FootnoteText"/>
      </w:pPr>
      <w:r w:rsidRPr="00975E6F">
        <w:rPr>
          <w:rStyle w:val="FootnoteReference"/>
          <w:sz w:val="19"/>
          <w:szCs w:val="19"/>
        </w:rPr>
        <w:footnoteRef/>
      </w:r>
      <w:r w:rsidRPr="00975E6F">
        <w:t xml:space="preserve"> </w:t>
      </w:r>
      <w:r>
        <w:t>Commissioner for Human Rights</w:t>
      </w:r>
      <w:r w:rsidRPr="0049481E">
        <w:rPr>
          <w:rStyle w:val="FootnoteTextChar"/>
        </w:rPr>
        <w:t xml:space="preserve">, </w:t>
      </w:r>
      <w:r>
        <w:rPr>
          <w:rStyle w:val="FootnoteTextChar"/>
        </w:rPr>
        <w:t>‘</w:t>
      </w:r>
      <w:hyperlink r:id="rId5" w:history="1">
        <w:r>
          <w:rPr>
            <w:rStyle w:val="Hyperlink"/>
          </w:rPr>
          <w:t>Commissioner's report…’</w:t>
        </w:r>
      </w:hyperlink>
      <w:r>
        <w:rPr>
          <w:rStyle w:val="FootnoteTextChar"/>
        </w:rPr>
        <w:t xml:space="preserve"> (para 1.1.1), 15 July 2022</w:t>
      </w:r>
    </w:p>
  </w:footnote>
  <w:footnote w:id="7">
    <w:p w14:paraId="3E641C46" w14:textId="77777777" w:rsidR="00981494" w:rsidRDefault="00981494" w:rsidP="00981494">
      <w:pPr>
        <w:pStyle w:val="FootnoteText"/>
      </w:pPr>
      <w:r>
        <w:rPr>
          <w:rStyle w:val="FootnoteReference"/>
        </w:rPr>
        <w:footnoteRef/>
      </w:r>
      <w:r>
        <w:t xml:space="preserve"> </w:t>
      </w:r>
      <w:r w:rsidRPr="001E7608">
        <w:t>ILGA, ‘</w:t>
      </w:r>
      <w:hyperlink r:id="rId6" w:history="1">
        <w:r w:rsidRPr="001E7608">
          <w:rPr>
            <w:rStyle w:val="Hyperlink"/>
          </w:rPr>
          <w:t>State-Sponsored Homophobia 2020: Global Legislation…</w:t>
        </w:r>
      </w:hyperlink>
      <w:r w:rsidRPr="001E7608">
        <w:t xml:space="preserve">’ (page </w:t>
      </w:r>
      <w:r>
        <w:t>328</w:t>
      </w:r>
      <w:r w:rsidRPr="001E7608">
        <w:t>), 15 December 2020</w:t>
      </w:r>
    </w:p>
  </w:footnote>
  <w:footnote w:id="8">
    <w:p w14:paraId="1B13BD73" w14:textId="062D3E7D" w:rsidR="00AB517F" w:rsidRDefault="00AB517F">
      <w:pPr>
        <w:pStyle w:val="FootnoteText"/>
      </w:pPr>
      <w:r>
        <w:rPr>
          <w:rStyle w:val="FootnoteReference"/>
        </w:rPr>
        <w:footnoteRef/>
      </w:r>
      <w:r w:rsidR="0038510C">
        <w:t xml:space="preserve"> Constitution Net, ‘</w:t>
      </w:r>
      <w:hyperlink r:id="rId7" w:history="1">
        <w:r w:rsidR="006A44DF" w:rsidRPr="00165DFD">
          <w:rPr>
            <w:rStyle w:val="Hyperlink"/>
          </w:rPr>
          <w:t>The Constitution of Georgia</w:t>
        </w:r>
        <w:r w:rsidR="009300A1" w:rsidRPr="00165DFD">
          <w:rPr>
            <w:rStyle w:val="Hyperlink"/>
          </w:rPr>
          <w:t>, 1995 (as Amended to 2004)</w:t>
        </w:r>
      </w:hyperlink>
      <w:r w:rsidR="0038510C">
        <w:t xml:space="preserve">’, </w:t>
      </w:r>
      <w:r w:rsidR="00165DFD">
        <w:t>Article 36</w:t>
      </w:r>
    </w:p>
  </w:footnote>
  <w:footnote w:id="9">
    <w:p w14:paraId="219D88BE" w14:textId="77777777" w:rsidR="00981494" w:rsidRDefault="00981494" w:rsidP="00981494">
      <w:pPr>
        <w:pStyle w:val="FootnoteText"/>
      </w:pPr>
      <w:r>
        <w:rPr>
          <w:rStyle w:val="FootnoteReference"/>
        </w:rPr>
        <w:footnoteRef/>
      </w:r>
      <w:r>
        <w:t xml:space="preserve"> Legislative Herald of Georgia, ‘</w:t>
      </w:r>
      <w:hyperlink r:id="rId8" w:history="1">
        <w:r>
          <w:rPr>
            <w:rStyle w:val="Hyperlink"/>
          </w:rPr>
          <w:t>Constitution of Georgia…</w:t>
        </w:r>
      </w:hyperlink>
      <w:r>
        <w:t>’, 29 June 2020</w:t>
      </w:r>
    </w:p>
  </w:footnote>
  <w:footnote w:id="10">
    <w:p w14:paraId="1611C679" w14:textId="77777777" w:rsidR="0054654F" w:rsidRDefault="0054654F" w:rsidP="0054654F">
      <w:pPr>
        <w:pStyle w:val="FootnoteText"/>
      </w:pPr>
      <w:r>
        <w:rPr>
          <w:rStyle w:val="FootnoteReference"/>
        </w:rPr>
        <w:footnoteRef/>
      </w:r>
      <w:r>
        <w:t xml:space="preserve"> WISG, </w:t>
      </w:r>
      <w:hyperlink r:id="rId9" w:history="1">
        <w:r w:rsidRPr="008F1607">
          <w:rPr>
            <w:rStyle w:val="Hyperlink"/>
          </w:rPr>
          <w:t>First time in Georgia trans person's gender has been legally recognised</w:t>
        </w:r>
      </w:hyperlink>
      <w:r>
        <w:t xml:space="preserve">, 31 March 2021 </w:t>
      </w:r>
    </w:p>
  </w:footnote>
  <w:footnote w:id="11">
    <w:p w14:paraId="7F5C5A8C" w14:textId="43C95AB1" w:rsidR="00AF6C82" w:rsidRDefault="00AF6C82">
      <w:pPr>
        <w:pStyle w:val="FootnoteText"/>
      </w:pPr>
      <w:r>
        <w:rPr>
          <w:rStyle w:val="FootnoteReference"/>
        </w:rPr>
        <w:footnoteRef/>
      </w:r>
      <w:r>
        <w:t xml:space="preserve"> PDO, ‘</w:t>
      </w:r>
      <w:hyperlink r:id="rId10" w:anchor=":~:text=The%20study%E2%80%99s%20objective%20is%20to%20conduct%20an%20in-depth,the%20legislative%20framework%20and%20the%20de%20facto%20situation." w:history="1">
        <w:r>
          <w:rPr>
            <w:rStyle w:val="Hyperlink"/>
          </w:rPr>
          <w:t>The Rights of LGBT+ People in Georgia</w:t>
        </w:r>
      </w:hyperlink>
      <w:r>
        <w:t>’, (page 17), 29 April 2022</w:t>
      </w:r>
    </w:p>
  </w:footnote>
  <w:footnote w:id="12">
    <w:p w14:paraId="071A4972" w14:textId="6734EDB5" w:rsidR="00C1095F" w:rsidRDefault="00C1095F">
      <w:pPr>
        <w:pStyle w:val="FootnoteText"/>
      </w:pPr>
      <w:r>
        <w:rPr>
          <w:rStyle w:val="FootnoteReference"/>
        </w:rPr>
        <w:footnoteRef/>
      </w:r>
      <w:r>
        <w:t xml:space="preserve"> PDO, ‘</w:t>
      </w:r>
      <w:hyperlink r:id="rId11" w:anchor=":~:text=The%20study%E2%80%99s%20objective%20is%20to%20conduct%20an%20in-depth,the%20legislative%20framework%20and%20the%20de%20facto%20situation." w:history="1">
        <w:r>
          <w:rPr>
            <w:rStyle w:val="Hyperlink"/>
          </w:rPr>
          <w:t>The Rights of LGBT+ People in Georgia</w:t>
        </w:r>
      </w:hyperlink>
      <w:r>
        <w:t>’, (page 18), 29 April 2022</w:t>
      </w:r>
    </w:p>
  </w:footnote>
  <w:footnote w:id="13">
    <w:p w14:paraId="5AD05892" w14:textId="77777777" w:rsidR="00A84FBA" w:rsidRDefault="00A84FBA" w:rsidP="00A84FBA">
      <w:pPr>
        <w:pStyle w:val="FootnoteText"/>
      </w:pPr>
      <w:r>
        <w:rPr>
          <w:rStyle w:val="FootnoteReference"/>
        </w:rPr>
        <w:footnoteRef/>
      </w:r>
      <w:r>
        <w:t xml:space="preserve"> ECOM, ‘</w:t>
      </w:r>
      <w:hyperlink r:id="rId12" w:history="1">
        <w:r>
          <w:rPr>
            <w:rStyle w:val="Hyperlink"/>
          </w:rPr>
          <w:t>Analysis of Georgian Legislation for 2022…’</w:t>
        </w:r>
      </w:hyperlink>
      <w:r>
        <w:t>, (page 10), 14 April 2023</w:t>
      </w:r>
    </w:p>
  </w:footnote>
  <w:footnote w:id="14">
    <w:p w14:paraId="1639F1D5" w14:textId="77777777" w:rsidR="0057491E" w:rsidRDefault="0057491E" w:rsidP="0057491E">
      <w:pPr>
        <w:pStyle w:val="FootnoteText"/>
      </w:pPr>
      <w:r>
        <w:rPr>
          <w:rStyle w:val="FootnoteReference"/>
        </w:rPr>
        <w:footnoteRef/>
      </w:r>
      <w:r>
        <w:t xml:space="preserve"> USSD, ‘</w:t>
      </w:r>
      <w:hyperlink r:id="rId13" w:history="1">
        <w:r>
          <w:rPr>
            <w:rStyle w:val="Hyperlink"/>
          </w:rPr>
          <w:t>2022 Country Reports on Human Rights Practices: Georgia</w:t>
        </w:r>
      </w:hyperlink>
      <w:r>
        <w:t>’ (section 6), 20 March 2023</w:t>
      </w:r>
    </w:p>
  </w:footnote>
  <w:footnote w:id="15">
    <w:p w14:paraId="03450EE0" w14:textId="1CF96FED" w:rsidR="00F22A8D" w:rsidRDefault="00F22A8D" w:rsidP="00F22A8D">
      <w:pPr>
        <w:pStyle w:val="FootnoteText"/>
      </w:pPr>
      <w:r>
        <w:rPr>
          <w:rStyle w:val="FootnoteReference"/>
        </w:rPr>
        <w:footnoteRef/>
      </w:r>
      <w:r>
        <w:t xml:space="preserve"> ECtHR, </w:t>
      </w:r>
      <w:hyperlink r:id="rId14" w:anchor="{%22fulltext%22:[%2257864/17%22],%22itemid%22:[%22003-7507605-10303692%22]}" w:history="1">
        <w:r w:rsidR="003C06DF">
          <w:rPr>
            <w:rStyle w:val="Hyperlink"/>
          </w:rPr>
          <w:t>Judgement A.D. and Others v. Georgia...</w:t>
        </w:r>
      </w:hyperlink>
      <w:r>
        <w:t xml:space="preserve">, 1 Dec 2022 </w:t>
      </w:r>
    </w:p>
  </w:footnote>
  <w:footnote w:id="16">
    <w:p w14:paraId="6B7092BF" w14:textId="7E94753F" w:rsidR="00981494" w:rsidRDefault="00981494" w:rsidP="00981494">
      <w:pPr>
        <w:pStyle w:val="FootnoteText"/>
      </w:pPr>
      <w:r>
        <w:rPr>
          <w:rStyle w:val="FootnoteReference"/>
        </w:rPr>
        <w:footnoteRef/>
      </w:r>
      <w:r>
        <w:t xml:space="preserve"> USSD, ‘</w:t>
      </w:r>
      <w:hyperlink r:id="rId15" w:history="1">
        <w:r w:rsidR="002319BF">
          <w:rPr>
            <w:rStyle w:val="Hyperlink"/>
          </w:rPr>
          <w:t>2022 Country Reports on Human Rights Practices: Georgia</w:t>
        </w:r>
      </w:hyperlink>
      <w:r>
        <w:t>’ (section 6), 20 March 2023</w:t>
      </w:r>
    </w:p>
  </w:footnote>
  <w:footnote w:id="17">
    <w:p w14:paraId="25BD89BA" w14:textId="1ACC979D" w:rsidR="00FD24E6" w:rsidRDefault="00FD24E6">
      <w:pPr>
        <w:pStyle w:val="FootnoteText"/>
      </w:pPr>
      <w:r>
        <w:rPr>
          <w:rStyle w:val="FootnoteReference"/>
        </w:rPr>
        <w:footnoteRef/>
      </w:r>
      <w:r>
        <w:t xml:space="preserve"> </w:t>
      </w:r>
      <w:bookmarkStart w:id="90" w:name="_Hlk145408801"/>
      <w:r>
        <w:t>OC Media, ‘</w:t>
      </w:r>
      <w:hyperlink r:id="rId16" w:history="1">
        <w:r w:rsidRPr="00FD24E6">
          <w:rPr>
            <w:rStyle w:val="Hyperlink"/>
          </w:rPr>
          <w:t>Gharibashvili doubles down with homophobia and conspiracy theories</w:t>
        </w:r>
      </w:hyperlink>
      <w:r>
        <w:t>’, 12 July 2021</w:t>
      </w:r>
      <w:bookmarkEnd w:id="90"/>
    </w:p>
  </w:footnote>
  <w:footnote w:id="18">
    <w:p w14:paraId="4F4A945B" w14:textId="77777777" w:rsidR="009B12C7" w:rsidRDefault="009B12C7" w:rsidP="009B12C7">
      <w:pPr>
        <w:pStyle w:val="FootnoteText"/>
      </w:pPr>
      <w:r>
        <w:rPr>
          <w:rStyle w:val="FootnoteReference"/>
        </w:rPr>
        <w:footnoteRef/>
      </w:r>
      <w:r>
        <w:t xml:space="preserve"> Commissioner for Human Rights</w:t>
      </w:r>
      <w:r w:rsidRPr="0049481E">
        <w:rPr>
          <w:rStyle w:val="FootnoteTextChar"/>
        </w:rPr>
        <w:t xml:space="preserve">, </w:t>
      </w:r>
      <w:r>
        <w:rPr>
          <w:rStyle w:val="FootnoteTextChar"/>
        </w:rPr>
        <w:t>‘</w:t>
      </w:r>
      <w:hyperlink r:id="rId17" w:history="1">
        <w:r>
          <w:rPr>
            <w:rStyle w:val="Hyperlink"/>
          </w:rPr>
          <w:t>Commissioner's report…’</w:t>
        </w:r>
      </w:hyperlink>
      <w:r>
        <w:rPr>
          <w:rStyle w:val="FootnoteTextChar"/>
        </w:rPr>
        <w:t xml:space="preserve"> (para 1.1.2), 15 July 2022</w:t>
      </w:r>
    </w:p>
  </w:footnote>
  <w:footnote w:id="19">
    <w:p w14:paraId="42113EC6" w14:textId="77777777" w:rsidR="004F4675" w:rsidRDefault="004F4675" w:rsidP="004F4675">
      <w:pPr>
        <w:pStyle w:val="FootnoteText"/>
      </w:pPr>
      <w:r>
        <w:rPr>
          <w:rStyle w:val="FootnoteReference"/>
        </w:rPr>
        <w:footnoteRef/>
      </w:r>
      <w:r>
        <w:t xml:space="preserve"> Commissioner for Human Rights</w:t>
      </w:r>
      <w:r w:rsidRPr="0049481E">
        <w:rPr>
          <w:rStyle w:val="FootnoteTextChar"/>
        </w:rPr>
        <w:t xml:space="preserve">, </w:t>
      </w:r>
      <w:r>
        <w:rPr>
          <w:rStyle w:val="FootnoteTextChar"/>
        </w:rPr>
        <w:t>‘</w:t>
      </w:r>
      <w:hyperlink r:id="rId18" w:history="1">
        <w:r>
          <w:rPr>
            <w:rStyle w:val="Hyperlink"/>
          </w:rPr>
          <w:t>Commissioner's report…’</w:t>
        </w:r>
      </w:hyperlink>
      <w:r>
        <w:rPr>
          <w:rStyle w:val="FootnoteTextChar"/>
        </w:rPr>
        <w:t xml:space="preserve"> (para 1.1.1), 15 July 2022</w:t>
      </w:r>
    </w:p>
  </w:footnote>
  <w:footnote w:id="20">
    <w:p w14:paraId="39223769" w14:textId="77777777" w:rsidR="00A351E7" w:rsidRDefault="00A351E7" w:rsidP="00A351E7">
      <w:pPr>
        <w:pStyle w:val="FootnoteText"/>
      </w:pPr>
      <w:r>
        <w:rPr>
          <w:rStyle w:val="FootnoteReference"/>
        </w:rPr>
        <w:footnoteRef/>
      </w:r>
      <w:r>
        <w:t xml:space="preserve"> Institute for War &amp; Peace Reporting, ‘</w:t>
      </w:r>
      <w:hyperlink r:id="rId19" w:history="1">
        <w:r>
          <w:rPr>
            <w:rStyle w:val="Hyperlink"/>
          </w:rPr>
          <w:t>Georgia: LGBTI Activists…</w:t>
        </w:r>
      </w:hyperlink>
      <w:r>
        <w:t>’, 23 February 2022</w:t>
      </w:r>
    </w:p>
  </w:footnote>
  <w:footnote w:id="21">
    <w:p w14:paraId="4A2DBF74" w14:textId="77777777" w:rsidR="009B12C7" w:rsidRDefault="009B12C7" w:rsidP="009B12C7">
      <w:pPr>
        <w:pStyle w:val="FootnoteText"/>
      </w:pPr>
      <w:r>
        <w:rPr>
          <w:rStyle w:val="FootnoteReference"/>
        </w:rPr>
        <w:footnoteRef/>
      </w:r>
      <w:r>
        <w:t xml:space="preserve"> PDO, ‘</w:t>
      </w:r>
      <w:hyperlink r:id="rId20" w:anchor=":~:text=The%20study%E2%80%99s%20objective%20is%20to%20conduct%20an%20in-depth,the%20legislative%20framework%20and%20the%20de%20facto%20situation." w:history="1">
        <w:r>
          <w:rPr>
            <w:rStyle w:val="Hyperlink"/>
          </w:rPr>
          <w:t>The Rights of LGBT+ People in Georgia</w:t>
        </w:r>
      </w:hyperlink>
      <w:r>
        <w:t>’, (page 15), 29 April 2022</w:t>
      </w:r>
    </w:p>
  </w:footnote>
  <w:footnote w:id="22">
    <w:p w14:paraId="06F3F6FD" w14:textId="5558846C" w:rsidR="004C4B02" w:rsidRDefault="004C4B02">
      <w:pPr>
        <w:pStyle w:val="FootnoteText"/>
      </w:pPr>
      <w:r>
        <w:rPr>
          <w:rStyle w:val="FootnoteReference"/>
        </w:rPr>
        <w:footnoteRef/>
      </w:r>
      <w:r w:rsidR="5FB77D18">
        <w:t xml:space="preserve"> PDO, </w:t>
      </w:r>
      <w:hyperlink r:id="rId21" w:history="1">
        <w:r w:rsidR="5FB77D18">
          <w:rPr>
            <w:rStyle w:val="Hyperlink"/>
          </w:rPr>
          <w:t>2022 Special Report on Combating...</w:t>
        </w:r>
      </w:hyperlink>
      <w:r w:rsidR="5FB77D18">
        <w:t xml:space="preserve">,, (page 17), 11 April 2023 </w:t>
      </w:r>
    </w:p>
  </w:footnote>
  <w:footnote w:id="23">
    <w:p w14:paraId="427D7D9B" w14:textId="04757FC9" w:rsidR="00F81E29" w:rsidRPr="008A545C" w:rsidRDefault="00F81E29" w:rsidP="00F81E29">
      <w:pPr>
        <w:pStyle w:val="FootnoteText"/>
        <w:rPr>
          <w:b/>
          <w:bCs/>
        </w:rPr>
      </w:pPr>
      <w:r w:rsidRPr="008A545C">
        <w:rPr>
          <w:rStyle w:val="FootnoteReference"/>
        </w:rPr>
        <w:footnoteRef/>
      </w:r>
      <w:r w:rsidRPr="008A545C">
        <w:t xml:space="preserve"> UN Georgia and others, ‘</w:t>
      </w:r>
      <w:hyperlink r:id="rId22" w:history="1">
        <w:r w:rsidR="00F56373">
          <w:rPr>
            <w:rStyle w:val="Hyperlink"/>
          </w:rPr>
          <w:t>....discrimination and violence against LGBTQI+... Georgia’</w:t>
        </w:r>
      </w:hyperlink>
      <w:r w:rsidRPr="008A545C">
        <w:t>, 17 May 2023</w:t>
      </w:r>
    </w:p>
  </w:footnote>
  <w:footnote w:id="24">
    <w:p w14:paraId="42C23CCD" w14:textId="63C5B3F7" w:rsidR="002D2A1C" w:rsidRDefault="002D2A1C">
      <w:pPr>
        <w:pStyle w:val="FootnoteText"/>
      </w:pPr>
      <w:r>
        <w:rPr>
          <w:rStyle w:val="FootnoteReference"/>
        </w:rPr>
        <w:footnoteRef/>
      </w:r>
      <w:r>
        <w:t xml:space="preserve"> </w:t>
      </w:r>
      <w:bookmarkStart w:id="91" w:name="_Hlk145409953"/>
      <w:r>
        <w:t>OC, ‘</w:t>
      </w:r>
      <w:hyperlink r:id="rId23" w:history="1">
        <w:r w:rsidRPr="002D2A1C">
          <w:rPr>
            <w:rStyle w:val="Hyperlink"/>
          </w:rPr>
          <w:t>Georgian Dream ramps up homophobic rhetoric as Pride Week approaches</w:t>
        </w:r>
      </w:hyperlink>
      <w:r>
        <w:t>’, 27 June 2023</w:t>
      </w:r>
      <w:bookmarkEnd w:id="91"/>
    </w:p>
  </w:footnote>
  <w:footnote w:id="25">
    <w:p w14:paraId="60AE8E33" w14:textId="77777777" w:rsidR="005440E1" w:rsidRDefault="005440E1" w:rsidP="005440E1">
      <w:pPr>
        <w:pStyle w:val="FootnoteText"/>
      </w:pPr>
      <w:r>
        <w:rPr>
          <w:rStyle w:val="FootnoteReference"/>
        </w:rPr>
        <w:footnoteRef/>
      </w:r>
      <w:r>
        <w:t xml:space="preserve"> Politico, </w:t>
      </w:r>
      <w:hyperlink r:id="rId24" w:history="1">
        <w:r w:rsidRPr="007D53EB">
          <w:rPr>
            <w:rStyle w:val="Hyperlink"/>
          </w:rPr>
          <w:t>Georgia's crackdown on queer rights contradicts its EU ambitions</w:t>
        </w:r>
      </w:hyperlink>
      <w:r>
        <w:t>, 15 July 2023</w:t>
      </w:r>
    </w:p>
  </w:footnote>
  <w:footnote w:id="26">
    <w:p w14:paraId="0E5E0DC6" w14:textId="433F453C" w:rsidR="00B643BC" w:rsidRDefault="00B643BC">
      <w:pPr>
        <w:pStyle w:val="FootnoteText"/>
      </w:pPr>
      <w:r>
        <w:rPr>
          <w:rStyle w:val="FootnoteReference"/>
        </w:rPr>
        <w:footnoteRef/>
      </w:r>
      <w:r>
        <w:t xml:space="preserve"> Civil.ge, ‘</w:t>
      </w:r>
      <w:hyperlink r:id="rId25" w:history="1">
        <w:r w:rsidR="004F7AC1" w:rsidRPr="004F7AC1">
          <w:rPr>
            <w:rStyle w:val="Hyperlink"/>
          </w:rPr>
          <w:t>Patriarchate of Georgia urges legislative action against “LGBT propaganda”</w:t>
        </w:r>
      </w:hyperlink>
      <w:r w:rsidR="004F7AC1">
        <w:t>’, 2 July 2023</w:t>
      </w:r>
    </w:p>
  </w:footnote>
  <w:footnote w:id="27">
    <w:p w14:paraId="2CA3436A" w14:textId="77777777" w:rsidR="0028035E" w:rsidRDefault="0028035E" w:rsidP="0028035E">
      <w:pPr>
        <w:pStyle w:val="FootnoteText"/>
      </w:pPr>
      <w:r>
        <w:rPr>
          <w:rStyle w:val="FootnoteReference"/>
        </w:rPr>
        <w:footnoteRef/>
      </w:r>
      <w:r>
        <w:t xml:space="preserve"> PDO, ‘</w:t>
      </w:r>
      <w:hyperlink r:id="rId26" w:anchor=":~:text=The%20study%E2%80%99s%20objective%20is%20to%20conduct%20an%20in-depth,the%20legislative%20framework%20and%20the%20de%20facto%20situation." w:history="1">
        <w:r>
          <w:rPr>
            <w:rStyle w:val="Hyperlink"/>
          </w:rPr>
          <w:t>The Rights of LGBT+ People in Georgia</w:t>
        </w:r>
      </w:hyperlink>
      <w:r>
        <w:t>’, (page 12), 29 April 2022</w:t>
      </w:r>
    </w:p>
  </w:footnote>
  <w:footnote w:id="28">
    <w:p w14:paraId="0E5E0736" w14:textId="77777777" w:rsidR="0028035E" w:rsidRDefault="0028035E" w:rsidP="0028035E">
      <w:pPr>
        <w:pStyle w:val="FootnoteText"/>
      </w:pPr>
      <w:r>
        <w:rPr>
          <w:rStyle w:val="FootnoteReference"/>
        </w:rPr>
        <w:footnoteRef/>
      </w:r>
      <w:r>
        <w:t xml:space="preserve"> PDO, ‘</w:t>
      </w:r>
      <w:hyperlink r:id="rId27" w:anchor=":~:text=The%20study%E2%80%99s%20objective%20is%20to%20conduct%20an%20in-depth,the%20legislative%20framework%20and%20the%20de%20facto%20situation." w:history="1">
        <w:r>
          <w:rPr>
            <w:rStyle w:val="Hyperlink"/>
          </w:rPr>
          <w:t>The Rights of LGBT+ People in Georgia</w:t>
        </w:r>
      </w:hyperlink>
      <w:r>
        <w:t>’, (page 7), 29 April 2022</w:t>
      </w:r>
    </w:p>
  </w:footnote>
  <w:footnote w:id="29">
    <w:p w14:paraId="484763F4" w14:textId="77777777" w:rsidR="0028035E" w:rsidRDefault="0028035E" w:rsidP="0028035E">
      <w:pPr>
        <w:pStyle w:val="FootnoteText"/>
      </w:pPr>
      <w:r>
        <w:rPr>
          <w:rStyle w:val="FootnoteReference"/>
        </w:rPr>
        <w:footnoteRef/>
      </w:r>
      <w:r>
        <w:t xml:space="preserve"> PDO, ‘</w:t>
      </w:r>
      <w:hyperlink r:id="rId28" w:anchor=":~:text=The%20study%E2%80%99s%20objective%20is%20to%20conduct%20an%20in-depth,the%20legislative%20framework%20and%20the%20de%20facto%20situation." w:history="1">
        <w:r>
          <w:rPr>
            <w:rStyle w:val="Hyperlink"/>
          </w:rPr>
          <w:t>The Rights of LGBT+ People in Georgia</w:t>
        </w:r>
      </w:hyperlink>
      <w:r>
        <w:t>’, (page 12), 29 April 2022</w:t>
      </w:r>
    </w:p>
  </w:footnote>
  <w:footnote w:id="30">
    <w:p w14:paraId="6B61177D" w14:textId="23D6C4A4" w:rsidR="0028035E" w:rsidRDefault="0028035E">
      <w:pPr>
        <w:pStyle w:val="FootnoteText"/>
      </w:pPr>
      <w:r>
        <w:rPr>
          <w:rStyle w:val="FootnoteReference"/>
        </w:rPr>
        <w:footnoteRef/>
      </w:r>
      <w:r>
        <w:t xml:space="preserve"> </w:t>
      </w:r>
      <w:r w:rsidR="002674C1">
        <w:t xml:space="preserve">PDO, </w:t>
      </w:r>
      <w:hyperlink r:id="rId29" w:history="1">
        <w:r w:rsidR="002674C1">
          <w:rPr>
            <w:rStyle w:val="Hyperlink"/>
          </w:rPr>
          <w:t>2022 Special Report on Combating...</w:t>
        </w:r>
      </w:hyperlink>
      <w:r w:rsidR="002674C1">
        <w:t>,, (page 15), 11 April 2023</w:t>
      </w:r>
    </w:p>
  </w:footnote>
  <w:footnote w:id="31">
    <w:p w14:paraId="4E4EEA4D" w14:textId="03E0860C" w:rsidR="00981494" w:rsidRDefault="00981494" w:rsidP="00981494">
      <w:pPr>
        <w:pStyle w:val="FootnoteText"/>
      </w:pPr>
      <w:r>
        <w:rPr>
          <w:rStyle w:val="FootnoteReference"/>
        </w:rPr>
        <w:footnoteRef/>
      </w:r>
      <w:r>
        <w:t xml:space="preserve"> USSD, ‘</w:t>
      </w:r>
      <w:hyperlink r:id="rId30" w:history="1">
        <w:r w:rsidR="00A837B6">
          <w:rPr>
            <w:rStyle w:val="Hyperlink"/>
          </w:rPr>
          <w:t>2022 Country Reports on Human Rights Practices: Georgia</w:t>
        </w:r>
      </w:hyperlink>
      <w:r>
        <w:t>’ (Exec</w:t>
      </w:r>
      <w:r w:rsidR="006C651E">
        <w:t xml:space="preserve"> </w:t>
      </w:r>
      <w:r>
        <w:t>sum), 20 March 2023</w:t>
      </w:r>
    </w:p>
  </w:footnote>
  <w:footnote w:id="32">
    <w:p w14:paraId="7C1C88E9" w14:textId="34420202" w:rsidR="000658F6" w:rsidRDefault="000658F6" w:rsidP="000658F6">
      <w:pPr>
        <w:pStyle w:val="FootnoteText"/>
      </w:pPr>
      <w:r>
        <w:rPr>
          <w:rStyle w:val="FootnoteReference"/>
        </w:rPr>
        <w:footnoteRef/>
      </w:r>
      <w:r>
        <w:t xml:space="preserve"> </w:t>
      </w:r>
      <w:r>
        <w:rPr>
          <w:rStyle w:val="findhit"/>
          <w:color w:val="000000"/>
          <w:shd w:val="clear" w:color="auto" w:fill="FFFFFF"/>
        </w:rPr>
        <w:t>PDO</w:t>
      </w:r>
      <w:r>
        <w:rPr>
          <w:rStyle w:val="normaltextrun"/>
          <w:color w:val="000000"/>
          <w:shd w:val="clear" w:color="auto" w:fill="FFFFFF"/>
        </w:rPr>
        <w:t>, </w:t>
      </w:r>
      <w:hyperlink r:id="rId31" w:tgtFrame="_blank" w:history="1">
        <w:r>
          <w:rPr>
            <w:rStyle w:val="normaltextrun"/>
            <w:color w:val="0000FF"/>
            <w:u w:val="single"/>
            <w:shd w:val="clear" w:color="auto" w:fill="FFFFFF"/>
          </w:rPr>
          <w:t>2022 Special Report on Combating...</w:t>
        </w:r>
      </w:hyperlink>
      <w:r>
        <w:rPr>
          <w:rStyle w:val="normaltextrun"/>
          <w:color w:val="000000"/>
          <w:shd w:val="clear" w:color="auto" w:fill="FFFFFF"/>
        </w:rPr>
        <w:t>,, (page 21), 11 April 2023</w:t>
      </w:r>
      <w:r w:rsidR="00F5694D">
        <w:rPr>
          <w:rStyle w:val="normaltextrun"/>
          <w:color w:val="000000"/>
          <w:shd w:val="clear" w:color="auto" w:fill="FFFFFF"/>
        </w:rPr>
        <w:t xml:space="preserve"> </w:t>
      </w:r>
    </w:p>
  </w:footnote>
  <w:footnote w:id="33">
    <w:p w14:paraId="73FEE7CB" w14:textId="4DFC3B4A" w:rsidR="00522B04" w:rsidRDefault="00522B04">
      <w:pPr>
        <w:pStyle w:val="FootnoteText"/>
      </w:pPr>
      <w:r>
        <w:rPr>
          <w:rStyle w:val="FootnoteReference"/>
        </w:rPr>
        <w:footnoteRef/>
      </w:r>
      <w:r>
        <w:t xml:space="preserve"> </w:t>
      </w:r>
      <w:bookmarkStart w:id="108" w:name="_Hlk146013525"/>
      <w:r w:rsidRPr="00522B04">
        <w:t xml:space="preserve">EMC, </w:t>
      </w:r>
      <w:hyperlink r:id="rId32" w:history="1">
        <w:r w:rsidRPr="00522B04">
          <w:rPr>
            <w:rStyle w:val="Hyperlink"/>
          </w:rPr>
          <w:t>Social Exclusion of LGBTQ Group in Georgia</w:t>
        </w:r>
      </w:hyperlink>
      <w:r w:rsidRPr="00522B04">
        <w:t>, (p.</w:t>
      </w:r>
      <w:r>
        <w:t>59</w:t>
      </w:r>
      <w:r w:rsidRPr="00522B04">
        <w:t>), 2020</w:t>
      </w:r>
      <w:bookmarkEnd w:id="108"/>
    </w:p>
  </w:footnote>
  <w:footnote w:id="34">
    <w:p w14:paraId="523641B5" w14:textId="77777777" w:rsidR="004E001D" w:rsidRDefault="004E001D" w:rsidP="004E001D">
      <w:pPr>
        <w:pStyle w:val="FootnoteText"/>
        <w:rPr>
          <w:highlight w:val="yellow"/>
        </w:rPr>
      </w:pPr>
      <w:r>
        <w:rPr>
          <w:rStyle w:val="FootnoteReference"/>
        </w:rPr>
        <w:footnoteRef/>
      </w:r>
      <w:r>
        <w:t xml:space="preserve"> EMC, </w:t>
      </w:r>
      <w:hyperlink r:id="rId33" w:history="1">
        <w:r>
          <w:rPr>
            <w:rStyle w:val="Hyperlink"/>
          </w:rPr>
          <w:t>Social Exclusion of LGBTQ Group in Georgia</w:t>
        </w:r>
      </w:hyperlink>
      <w:r>
        <w:t>, (p.39 and p.41), 2020</w:t>
      </w:r>
    </w:p>
  </w:footnote>
  <w:footnote w:id="35">
    <w:p w14:paraId="0683AA01" w14:textId="77777777" w:rsidR="004E001D" w:rsidRDefault="004E001D" w:rsidP="004E001D">
      <w:pPr>
        <w:pStyle w:val="FootnoteText"/>
      </w:pPr>
      <w:r>
        <w:rPr>
          <w:rStyle w:val="FootnoteReference"/>
        </w:rPr>
        <w:footnoteRef/>
      </w:r>
      <w:r>
        <w:t xml:space="preserve"> EMC, </w:t>
      </w:r>
      <w:hyperlink r:id="rId34" w:history="1">
        <w:r>
          <w:rPr>
            <w:rStyle w:val="Hyperlink"/>
          </w:rPr>
          <w:t>Social Exclusion of LGBTQ Group in Georgia</w:t>
        </w:r>
      </w:hyperlink>
      <w:r>
        <w:t>, (p.41 and ), 2020</w:t>
      </w:r>
    </w:p>
  </w:footnote>
  <w:footnote w:id="36">
    <w:p w14:paraId="041D9566" w14:textId="77777777" w:rsidR="004E001D" w:rsidRDefault="004E001D" w:rsidP="004E001D">
      <w:pPr>
        <w:pStyle w:val="FootnoteText"/>
      </w:pPr>
      <w:r>
        <w:rPr>
          <w:rStyle w:val="FootnoteReference"/>
        </w:rPr>
        <w:footnoteRef/>
      </w:r>
      <w:r>
        <w:t xml:space="preserve"> EMC, </w:t>
      </w:r>
      <w:hyperlink r:id="rId35" w:history="1">
        <w:r>
          <w:rPr>
            <w:rStyle w:val="Hyperlink"/>
          </w:rPr>
          <w:t>Social Exclusion of LGBTQ Group in Georgia</w:t>
        </w:r>
      </w:hyperlink>
      <w:r>
        <w:t>, (p.41), 2020</w:t>
      </w:r>
    </w:p>
  </w:footnote>
  <w:footnote w:id="37">
    <w:p w14:paraId="06EB78F3" w14:textId="09E6A2AB" w:rsidR="00271D79" w:rsidRDefault="00271D79">
      <w:pPr>
        <w:pStyle w:val="FootnoteText"/>
      </w:pPr>
      <w:r>
        <w:rPr>
          <w:rStyle w:val="FootnoteReference"/>
        </w:rPr>
        <w:footnoteRef/>
      </w:r>
      <w:r>
        <w:t xml:space="preserve"> </w:t>
      </w:r>
      <w:r w:rsidRPr="00271D79">
        <w:t xml:space="preserve">EMC, </w:t>
      </w:r>
      <w:hyperlink r:id="rId36" w:history="1">
        <w:r w:rsidRPr="00271D79">
          <w:rPr>
            <w:rStyle w:val="Hyperlink"/>
          </w:rPr>
          <w:t>Social Exclusion of LGBTQ Group in Georgia</w:t>
        </w:r>
      </w:hyperlink>
      <w:r w:rsidRPr="00271D79">
        <w:t>, (p.</w:t>
      </w:r>
      <w:r>
        <w:t>7</w:t>
      </w:r>
      <w:r w:rsidRPr="00271D79">
        <w:t>9), 2020</w:t>
      </w:r>
    </w:p>
  </w:footnote>
  <w:footnote w:id="38">
    <w:p w14:paraId="42CF219C" w14:textId="09AC40B8" w:rsidR="00810CFD" w:rsidRDefault="00810CFD">
      <w:pPr>
        <w:pStyle w:val="FootnoteText"/>
      </w:pPr>
      <w:r>
        <w:rPr>
          <w:rStyle w:val="FootnoteReference"/>
        </w:rPr>
        <w:footnoteRef/>
      </w:r>
      <w:r>
        <w:t xml:space="preserve"> </w:t>
      </w:r>
      <w:r w:rsidRPr="00810CFD">
        <w:t xml:space="preserve">EMC, </w:t>
      </w:r>
      <w:hyperlink r:id="rId37" w:history="1">
        <w:r w:rsidRPr="00810CFD">
          <w:rPr>
            <w:rStyle w:val="Hyperlink"/>
          </w:rPr>
          <w:t>Social Exclusion of LGBTQ Group in Georgia</w:t>
        </w:r>
      </w:hyperlink>
      <w:r w:rsidRPr="00810CFD">
        <w:t>, (p.79), 2020</w:t>
      </w:r>
    </w:p>
  </w:footnote>
  <w:footnote w:id="39">
    <w:p w14:paraId="0D1AAC8E" w14:textId="77777777" w:rsidR="00595F1D" w:rsidRDefault="00595F1D" w:rsidP="00595F1D">
      <w:pPr>
        <w:pStyle w:val="FootnoteText"/>
      </w:pPr>
      <w:r>
        <w:rPr>
          <w:rStyle w:val="FootnoteReference"/>
        </w:rPr>
        <w:footnoteRef/>
      </w:r>
      <w:r>
        <w:t xml:space="preserve"> </w:t>
      </w:r>
      <w:r w:rsidRPr="00A61FC5">
        <w:t>USSD, ‘</w:t>
      </w:r>
      <w:hyperlink r:id="rId38" w:history="1">
        <w:r w:rsidRPr="00A61FC5">
          <w:rPr>
            <w:rStyle w:val="Hyperlink"/>
          </w:rPr>
          <w:t>2022 Country Reports on Human Rights Practices: Georgia</w:t>
        </w:r>
      </w:hyperlink>
      <w:r w:rsidRPr="00A61FC5">
        <w:t>’ (Sec 6) 20 March 2023</w:t>
      </w:r>
    </w:p>
  </w:footnote>
  <w:footnote w:id="40">
    <w:p w14:paraId="51262C04" w14:textId="06D37B31" w:rsidR="00595F1D" w:rsidRDefault="00595F1D" w:rsidP="00595F1D">
      <w:pPr>
        <w:pStyle w:val="FootnoteText"/>
      </w:pPr>
      <w:r>
        <w:rPr>
          <w:rStyle w:val="FootnoteReference"/>
        </w:rPr>
        <w:footnoteRef/>
      </w:r>
      <w:r>
        <w:t xml:space="preserve"> </w:t>
      </w:r>
      <w:r w:rsidRPr="004873B4">
        <w:t>Commissioner for Human Rights, ‘</w:t>
      </w:r>
      <w:hyperlink r:id="rId39" w:history="1">
        <w:r w:rsidRPr="004873B4">
          <w:rPr>
            <w:rStyle w:val="Hyperlink"/>
          </w:rPr>
          <w:t>Commissioner's report…’</w:t>
        </w:r>
      </w:hyperlink>
      <w:r w:rsidRPr="004873B4">
        <w:t xml:space="preserve"> (para</w:t>
      </w:r>
      <w:r>
        <w:t xml:space="preserve"> 1.1.2</w:t>
      </w:r>
      <w:r w:rsidRPr="004873B4">
        <w:t>), 15 July 2022</w:t>
      </w:r>
    </w:p>
  </w:footnote>
  <w:footnote w:id="41">
    <w:p w14:paraId="407386F8" w14:textId="77777777" w:rsidR="00595F1D" w:rsidRPr="008A545C" w:rsidRDefault="00595F1D" w:rsidP="00595F1D">
      <w:pPr>
        <w:pStyle w:val="FootnoteText"/>
      </w:pPr>
      <w:r w:rsidRPr="008A545C">
        <w:rPr>
          <w:rStyle w:val="FootnoteReference"/>
        </w:rPr>
        <w:footnoteRef/>
      </w:r>
      <w:r w:rsidRPr="008A545C">
        <w:t xml:space="preserve"> Commissioner for Human Rights, ‘</w:t>
      </w:r>
      <w:hyperlink r:id="rId40" w:history="1">
        <w:r w:rsidRPr="008A545C">
          <w:rPr>
            <w:rStyle w:val="Hyperlink"/>
          </w:rPr>
          <w:t>Commissioner's report…’</w:t>
        </w:r>
      </w:hyperlink>
      <w:r w:rsidRPr="008A545C">
        <w:t xml:space="preserve"> (para 1.1.2), 15 July 2022</w:t>
      </w:r>
    </w:p>
  </w:footnote>
  <w:footnote w:id="42">
    <w:p w14:paraId="2B0DB90D" w14:textId="77777777" w:rsidR="00595F1D" w:rsidRPr="008A545C" w:rsidRDefault="00595F1D" w:rsidP="00595F1D">
      <w:pPr>
        <w:pStyle w:val="FootnoteText"/>
      </w:pPr>
      <w:r w:rsidRPr="008A545C">
        <w:rPr>
          <w:rStyle w:val="FootnoteReference"/>
        </w:rPr>
        <w:footnoteRef/>
      </w:r>
      <w:r w:rsidRPr="008A545C">
        <w:t xml:space="preserve"> PDO, </w:t>
      </w:r>
      <w:hyperlink r:id="rId41" w:history="1">
        <w:r w:rsidRPr="008A545C">
          <w:rPr>
            <w:rStyle w:val="Hyperlink"/>
          </w:rPr>
          <w:t>Report of the Public Defender of Georgia...</w:t>
        </w:r>
      </w:hyperlink>
      <w:r w:rsidRPr="008A545C">
        <w:t>, (page 111), 2021</w:t>
      </w:r>
    </w:p>
  </w:footnote>
  <w:footnote w:id="43">
    <w:p w14:paraId="7BB35294" w14:textId="4C1F7175" w:rsidR="00981494" w:rsidRDefault="00981494" w:rsidP="00981494">
      <w:pPr>
        <w:pStyle w:val="FootnoteText"/>
      </w:pPr>
      <w:r>
        <w:rPr>
          <w:rStyle w:val="FootnoteReference"/>
        </w:rPr>
        <w:footnoteRef/>
      </w:r>
      <w:r>
        <w:t xml:space="preserve"> ECOM, Equality Movement, Tbilisi Pride, ‘</w:t>
      </w:r>
      <w:hyperlink r:id="rId42" w:history="1">
        <w:r>
          <w:rPr>
            <w:rStyle w:val="Hyperlink"/>
          </w:rPr>
          <w:t>Human Rights Violations…</w:t>
        </w:r>
      </w:hyperlink>
      <w:r>
        <w:t>’, May 2022</w:t>
      </w:r>
    </w:p>
  </w:footnote>
  <w:footnote w:id="44">
    <w:p w14:paraId="2973E071" w14:textId="279D2070" w:rsidR="00981494" w:rsidRDefault="00981494" w:rsidP="00981494">
      <w:pPr>
        <w:pStyle w:val="FootnoteText"/>
      </w:pPr>
      <w:r>
        <w:rPr>
          <w:rStyle w:val="FootnoteReference"/>
        </w:rPr>
        <w:footnoteRef/>
      </w:r>
      <w:r>
        <w:t xml:space="preserve"> Tbilisi Pride, ‘</w:t>
      </w:r>
      <w:hyperlink r:id="rId43" w:history="1">
        <w:r w:rsidRPr="00DB1BC7">
          <w:rPr>
            <w:rStyle w:val="Hyperlink"/>
          </w:rPr>
          <w:t>Human Rights Violations against…</w:t>
        </w:r>
      </w:hyperlink>
      <w:r>
        <w:t>’, 15 August 2022</w:t>
      </w:r>
    </w:p>
  </w:footnote>
  <w:footnote w:id="45">
    <w:p w14:paraId="5D761F73" w14:textId="1BA45E4B" w:rsidR="00981494" w:rsidRDefault="00981494" w:rsidP="005169BE">
      <w:pPr>
        <w:pStyle w:val="FootnoteText"/>
      </w:pPr>
      <w:r>
        <w:rPr>
          <w:rStyle w:val="FootnoteReference"/>
        </w:rPr>
        <w:footnoteRef/>
      </w:r>
      <w:r>
        <w:t xml:space="preserve"> USSD, ‘</w:t>
      </w:r>
      <w:hyperlink r:id="rId44" w:history="1">
        <w:r w:rsidR="004F6D04">
          <w:rPr>
            <w:rStyle w:val="Hyperlink"/>
          </w:rPr>
          <w:t>2022 Country Reports on Human Rights Practices: Georgia</w:t>
        </w:r>
      </w:hyperlink>
      <w:r>
        <w:t>’ (</w:t>
      </w:r>
      <w:r w:rsidR="006C651E">
        <w:t>S</w:t>
      </w:r>
      <w:r>
        <w:t>ec</w:t>
      </w:r>
      <w:r w:rsidR="00433A82">
        <w:t xml:space="preserve"> 6) 20 March 2023 </w:t>
      </w:r>
    </w:p>
  </w:footnote>
  <w:footnote w:id="46">
    <w:p w14:paraId="0CDA5771" w14:textId="77777777" w:rsidR="00090C4D" w:rsidRDefault="00090C4D" w:rsidP="00090C4D">
      <w:pPr>
        <w:pStyle w:val="FootnoteText"/>
      </w:pPr>
      <w:r>
        <w:rPr>
          <w:rStyle w:val="FootnoteReference"/>
        </w:rPr>
        <w:footnoteRef/>
      </w:r>
      <w:r>
        <w:t xml:space="preserve"> Commissioner for Human Rights</w:t>
      </w:r>
      <w:r w:rsidRPr="0049481E">
        <w:rPr>
          <w:rStyle w:val="FootnoteTextChar"/>
        </w:rPr>
        <w:t xml:space="preserve">, </w:t>
      </w:r>
      <w:r>
        <w:rPr>
          <w:rStyle w:val="FootnoteTextChar"/>
        </w:rPr>
        <w:t>‘</w:t>
      </w:r>
      <w:hyperlink r:id="rId45" w:history="1">
        <w:r>
          <w:rPr>
            <w:rStyle w:val="Hyperlink"/>
          </w:rPr>
          <w:t>Commissioner's report…’</w:t>
        </w:r>
      </w:hyperlink>
      <w:r>
        <w:rPr>
          <w:rStyle w:val="FootnoteTextChar"/>
        </w:rPr>
        <w:t xml:space="preserve"> (para 1.1.2), 15 July 2022</w:t>
      </w:r>
    </w:p>
  </w:footnote>
  <w:footnote w:id="47">
    <w:p w14:paraId="1EAF2557" w14:textId="5F7C821B" w:rsidR="000977ED" w:rsidRDefault="000977ED" w:rsidP="000977ED">
      <w:pPr>
        <w:pStyle w:val="FootnoteText"/>
      </w:pPr>
      <w:r>
        <w:rPr>
          <w:rStyle w:val="FootnoteReference"/>
        </w:rPr>
        <w:footnoteRef/>
      </w:r>
      <w:r>
        <w:t xml:space="preserve"> European Commission, </w:t>
      </w:r>
      <w:r w:rsidR="001B5CF6">
        <w:t>‘</w:t>
      </w:r>
      <w:hyperlink r:id="rId46" w:history="1">
        <w:r w:rsidRPr="001B5CF6">
          <w:rPr>
            <w:rStyle w:val="Hyperlink"/>
          </w:rPr>
          <w:t>Commission Opinion on Georgia's</w:t>
        </w:r>
        <w:r w:rsidR="00433A82" w:rsidRPr="001B5CF6">
          <w:rPr>
            <w:rStyle w:val="Hyperlink"/>
          </w:rPr>
          <w:t>…</w:t>
        </w:r>
      </w:hyperlink>
      <w:r w:rsidR="001B5CF6">
        <w:t>’</w:t>
      </w:r>
      <w:r w:rsidR="00433A82">
        <w:t xml:space="preserve">, </w:t>
      </w:r>
      <w:r>
        <w:t>17 June 2022</w:t>
      </w:r>
    </w:p>
  </w:footnote>
  <w:footnote w:id="48">
    <w:p w14:paraId="095911C8" w14:textId="77777777" w:rsidR="007B60A0" w:rsidRDefault="007B60A0" w:rsidP="007B60A0">
      <w:pPr>
        <w:pStyle w:val="FootnoteText"/>
      </w:pPr>
      <w:r>
        <w:rPr>
          <w:rStyle w:val="FootnoteReference"/>
        </w:rPr>
        <w:footnoteRef/>
      </w:r>
      <w:r>
        <w:t xml:space="preserve"> USSD, </w:t>
      </w:r>
      <w:hyperlink r:id="rId47" w:history="1">
        <w:r>
          <w:rPr>
            <w:rStyle w:val="Hyperlink"/>
          </w:rPr>
          <w:t>2021 Country Reports on Human Rights Practices: Georgia</w:t>
        </w:r>
      </w:hyperlink>
      <w:r>
        <w:t>’, (Section 2b), 12 April 2022</w:t>
      </w:r>
    </w:p>
  </w:footnote>
  <w:footnote w:id="49">
    <w:p w14:paraId="4438813D" w14:textId="77777777" w:rsidR="00DF17CA" w:rsidRDefault="00DF17CA" w:rsidP="00DF17CA">
      <w:pPr>
        <w:pStyle w:val="FootnoteText"/>
      </w:pPr>
      <w:r>
        <w:rPr>
          <w:rStyle w:val="FootnoteReference"/>
        </w:rPr>
        <w:footnoteRef/>
      </w:r>
      <w:r>
        <w:t xml:space="preserve"> USSD, ‘</w:t>
      </w:r>
      <w:hyperlink r:id="rId48" w:history="1">
        <w:r>
          <w:rPr>
            <w:rStyle w:val="Hyperlink"/>
          </w:rPr>
          <w:t>2022 Country Reports on Human Rights Practices: Georgia</w:t>
        </w:r>
      </w:hyperlink>
      <w:r>
        <w:t>’ (Exec sum), 20 March 2023</w:t>
      </w:r>
    </w:p>
  </w:footnote>
  <w:footnote w:id="50">
    <w:p w14:paraId="390BE19A" w14:textId="620D89E3" w:rsidR="007B60A0" w:rsidRDefault="007B60A0" w:rsidP="007B60A0">
      <w:pPr>
        <w:pStyle w:val="FootnoteText"/>
      </w:pPr>
      <w:r>
        <w:rPr>
          <w:rStyle w:val="FootnoteReference"/>
        </w:rPr>
        <w:footnoteRef/>
      </w:r>
      <w:r>
        <w:t xml:space="preserve"> PDO, </w:t>
      </w:r>
      <w:hyperlink r:id="rId49" w:history="1">
        <w:r w:rsidR="00433A82">
          <w:rPr>
            <w:rStyle w:val="Hyperlink"/>
          </w:rPr>
          <w:t>Report of the Public Defender of Georgia...</w:t>
        </w:r>
      </w:hyperlink>
      <w:r>
        <w:t>, (page 11), 2021</w:t>
      </w:r>
    </w:p>
  </w:footnote>
  <w:footnote w:id="51">
    <w:p w14:paraId="17DA906A" w14:textId="77777777" w:rsidR="007B60A0" w:rsidRDefault="007B60A0" w:rsidP="007B60A0">
      <w:pPr>
        <w:pStyle w:val="FootnoteText"/>
      </w:pPr>
      <w:r>
        <w:rPr>
          <w:rStyle w:val="FootnoteReference"/>
        </w:rPr>
        <w:footnoteRef/>
      </w:r>
      <w:r>
        <w:t xml:space="preserve"> Civil Georgia, </w:t>
      </w:r>
      <w:hyperlink r:id="rId50" w:history="1">
        <w:r w:rsidRPr="00E175D3">
          <w:rPr>
            <w:rStyle w:val="Hyperlink"/>
          </w:rPr>
          <w:t>Court Lenient Towards July 5 Attackers on “Tbilisi Pride</w:t>
        </w:r>
      </w:hyperlink>
      <w:r w:rsidRPr="00E175D3">
        <w:t>”</w:t>
      </w:r>
      <w:r>
        <w:t xml:space="preserve">, 4 May 2022 </w:t>
      </w:r>
    </w:p>
  </w:footnote>
  <w:footnote w:id="52">
    <w:p w14:paraId="606F7029" w14:textId="1FD8BA85" w:rsidR="00A22F4D" w:rsidRPr="008A545C" w:rsidRDefault="00A22F4D" w:rsidP="00A22F4D">
      <w:pPr>
        <w:pStyle w:val="FootnoteText"/>
      </w:pPr>
      <w:r w:rsidRPr="008A545C">
        <w:rPr>
          <w:rStyle w:val="FootnoteReference"/>
        </w:rPr>
        <w:footnoteRef/>
      </w:r>
      <w:r w:rsidRPr="008A545C">
        <w:t xml:space="preserve"> PDO, </w:t>
      </w:r>
      <w:hyperlink r:id="rId51" w:history="1">
        <w:r w:rsidRPr="008A545C">
          <w:rPr>
            <w:rStyle w:val="Hyperlink"/>
          </w:rPr>
          <w:t>2022 Special Report on Combating...</w:t>
        </w:r>
      </w:hyperlink>
      <w:r w:rsidRPr="008A545C">
        <w:t>, (page 16),</w:t>
      </w:r>
      <w:r w:rsidR="00F5694D">
        <w:t xml:space="preserve"> </w:t>
      </w:r>
      <w:r w:rsidRPr="008A545C">
        <w:t>April 2023 </w:t>
      </w:r>
    </w:p>
  </w:footnote>
  <w:footnote w:id="53">
    <w:p w14:paraId="2E2EC211" w14:textId="77777777" w:rsidR="00A22F4D" w:rsidRPr="008A545C" w:rsidRDefault="00A22F4D" w:rsidP="00A22F4D">
      <w:pPr>
        <w:pStyle w:val="FootnoteText"/>
      </w:pPr>
      <w:r w:rsidRPr="008A545C">
        <w:rPr>
          <w:rStyle w:val="FootnoteReference"/>
        </w:rPr>
        <w:footnoteRef/>
      </w:r>
      <w:r w:rsidRPr="008A545C">
        <w:t xml:space="preserve"> Commissioner for Human Rights, ‘</w:t>
      </w:r>
      <w:hyperlink r:id="rId52" w:history="1">
        <w:r w:rsidRPr="008A545C">
          <w:rPr>
            <w:rStyle w:val="Hyperlink"/>
          </w:rPr>
          <w:t>Commissioner's report…’</w:t>
        </w:r>
      </w:hyperlink>
      <w:r w:rsidRPr="008A545C">
        <w:t xml:space="preserve"> (para 1.1.5), 15 July 2022</w:t>
      </w:r>
    </w:p>
  </w:footnote>
  <w:footnote w:id="54">
    <w:p w14:paraId="6118ADEA" w14:textId="18590E0C" w:rsidR="004B561C" w:rsidRPr="008A545C" w:rsidRDefault="004B561C" w:rsidP="004B561C">
      <w:pPr>
        <w:pStyle w:val="FootnoteText"/>
      </w:pPr>
      <w:r w:rsidRPr="008A545C">
        <w:rPr>
          <w:rStyle w:val="FootnoteReference"/>
        </w:rPr>
        <w:footnoteRef/>
      </w:r>
      <w:r w:rsidRPr="008A545C">
        <w:t xml:space="preserve"> PDO, </w:t>
      </w:r>
      <w:hyperlink r:id="rId53" w:history="1">
        <w:r w:rsidRPr="008A545C">
          <w:rPr>
            <w:rStyle w:val="Hyperlink"/>
          </w:rPr>
          <w:t>2022 Special Report on Combating...</w:t>
        </w:r>
      </w:hyperlink>
      <w:r w:rsidRPr="008A545C">
        <w:t>, (page 16),</w:t>
      </w:r>
      <w:r w:rsidR="00F5694D">
        <w:t xml:space="preserve"> </w:t>
      </w:r>
      <w:r w:rsidRPr="008A545C">
        <w:t>April 2023 </w:t>
      </w:r>
    </w:p>
  </w:footnote>
  <w:footnote w:id="55">
    <w:p w14:paraId="0AD4DAEE" w14:textId="77777777" w:rsidR="004B561C" w:rsidRPr="008A545C" w:rsidRDefault="004B561C" w:rsidP="004B561C">
      <w:pPr>
        <w:pStyle w:val="FootnoteText"/>
      </w:pPr>
      <w:r w:rsidRPr="008A545C">
        <w:rPr>
          <w:rStyle w:val="FootnoteReference"/>
        </w:rPr>
        <w:footnoteRef/>
      </w:r>
      <w:r w:rsidRPr="008A545C">
        <w:t xml:space="preserve"> Commissioner for Human Rights, ‘</w:t>
      </w:r>
      <w:hyperlink r:id="rId54" w:history="1">
        <w:r w:rsidRPr="008A545C">
          <w:rPr>
            <w:rStyle w:val="Hyperlink"/>
          </w:rPr>
          <w:t>Commissioner's report…’</w:t>
        </w:r>
      </w:hyperlink>
      <w:r w:rsidRPr="008A545C">
        <w:t xml:space="preserve"> (para 1.1.5), 15 July 2022</w:t>
      </w:r>
    </w:p>
  </w:footnote>
  <w:footnote w:id="56">
    <w:p w14:paraId="38C0702D" w14:textId="685F46CF" w:rsidR="007B60A0" w:rsidRDefault="007B60A0" w:rsidP="007B60A0">
      <w:pPr>
        <w:pStyle w:val="FootnoteText"/>
      </w:pPr>
      <w:r>
        <w:rPr>
          <w:rStyle w:val="FootnoteReference"/>
        </w:rPr>
        <w:footnoteRef/>
      </w:r>
      <w:r>
        <w:t xml:space="preserve"> HRW, ‘</w:t>
      </w:r>
      <w:hyperlink r:id="rId55" w:history="1">
        <w:r w:rsidRPr="008F562A">
          <w:rPr>
            <w:rStyle w:val="Hyperlink"/>
          </w:rPr>
          <w:t>World Report 2023’</w:t>
        </w:r>
      </w:hyperlink>
      <w:r>
        <w:t xml:space="preserve"> (Ge</w:t>
      </w:r>
      <w:r w:rsidR="001B5CF6">
        <w:t>o</w:t>
      </w:r>
      <w:r>
        <w:t>rgia), January 2023</w:t>
      </w:r>
    </w:p>
  </w:footnote>
  <w:footnote w:id="57">
    <w:p w14:paraId="7DFAAD9C" w14:textId="77777777" w:rsidR="00D82FEB" w:rsidRDefault="00D82FEB" w:rsidP="00D82FEB">
      <w:pPr>
        <w:pStyle w:val="FootnoteText"/>
      </w:pPr>
      <w:r>
        <w:rPr>
          <w:rStyle w:val="FootnoteReference"/>
        </w:rPr>
        <w:footnoteRef/>
      </w:r>
      <w:r>
        <w:t xml:space="preserve"> Georgia Today</w:t>
      </w:r>
      <w:hyperlink r:id="rId56" w:history="1">
        <w:r w:rsidRPr="00661739">
          <w:rPr>
            <w:rStyle w:val="Hyperlink"/>
          </w:rPr>
          <w:t>, Tbilisi Pride Week 2022 Reviewed</w:t>
        </w:r>
      </w:hyperlink>
      <w:r>
        <w:t xml:space="preserve">, 7 July 2022 </w:t>
      </w:r>
    </w:p>
  </w:footnote>
  <w:footnote w:id="58">
    <w:p w14:paraId="14E323C6" w14:textId="77777777" w:rsidR="00D82FEB" w:rsidRDefault="00D82FEB" w:rsidP="00D82FEB">
      <w:pPr>
        <w:pStyle w:val="FootnoteText"/>
      </w:pPr>
      <w:r>
        <w:rPr>
          <w:rStyle w:val="FootnoteReference"/>
        </w:rPr>
        <w:footnoteRef/>
      </w:r>
      <w:r>
        <w:t xml:space="preserve"> Georgia Today, </w:t>
      </w:r>
      <w:hyperlink r:id="rId57" w:history="1">
        <w:r w:rsidRPr="00661739">
          <w:rPr>
            <w:rStyle w:val="Hyperlink"/>
          </w:rPr>
          <w:t>Tbilisi Pride Week 2022 Reviewed</w:t>
        </w:r>
      </w:hyperlink>
      <w:r>
        <w:t>, 7 July 2022</w:t>
      </w:r>
    </w:p>
  </w:footnote>
  <w:footnote w:id="59">
    <w:p w14:paraId="0D0879EA" w14:textId="67E009A4" w:rsidR="007B60A0" w:rsidRDefault="007B60A0" w:rsidP="007B60A0">
      <w:pPr>
        <w:pStyle w:val="FootnoteText"/>
      </w:pPr>
      <w:r>
        <w:rPr>
          <w:rStyle w:val="FootnoteReference"/>
        </w:rPr>
        <w:footnoteRef/>
      </w:r>
      <w:r>
        <w:t xml:space="preserve"> PDO, </w:t>
      </w:r>
      <w:hyperlink r:id="rId58" w:history="1">
        <w:r>
          <w:rPr>
            <w:rStyle w:val="Hyperlink"/>
          </w:rPr>
          <w:t>2022 Special Report on Combating...</w:t>
        </w:r>
      </w:hyperlink>
      <w:r>
        <w:t>, (page 16),</w:t>
      </w:r>
      <w:r w:rsidR="00F5694D">
        <w:t xml:space="preserve"> </w:t>
      </w:r>
      <w:r>
        <w:t>April 2023</w:t>
      </w:r>
      <w:r>
        <w:rPr>
          <w:rFonts w:ascii="Segoe UI" w:hAnsi="Segoe UI" w:cs="Segoe UI"/>
          <w:color w:val="212529"/>
          <w:sz w:val="21"/>
          <w:szCs w:val="21"/>
          <w:shd w:val="clear" w:color="auto" w:fill="FFFFFF"/>
        </w:rPr>
        <w:t> </w:t>
      </w:r>
    </w:p>
  </w:footnote>
  <w:footnote w:id="60">
    <w:p w14:paraId="7423A356" w14:textId="36C232C1" w:rsidR="00080A11" w:rsidRDefault="00080A11">
      <w:pPr>
        <w:pStyle w:val="FootnoteText"/>
      </w:pPr>
      <w:r>
        <w:rPr>
          <w:rStyle w:val="FootnoteReference"/>
        </w:rPr>
        <w:footnoteRef/>
      </w:r>
      <w:r>
        <w:t xml:space="preserve"> PDO, </w:t>
      </w:r>
      <w:hyperlink r:id="rId59" w:history="1">
        <w:r>
          <w:rPr>
            <w:rStyle w:val="Hyperlink"/>
          </w:rPr>
          <w:t>2022 Special Report on Combating...</w:t>
        </w:r>
      </w:hyperlink>
      <w:r>
        <w:t>, (page 16),</w:t>
      </w:r>
      <w:r w:rsidR="00F5694D">
        <w:t xml:space="preserve"> </w:t>
      </w:r>
      <w:r>
        <w:t>April 2023</w:t>
      </w:r>
      <w:r>
        <w:rPr>
          <w:rFonts w:ascii="Segoe UI" w:hAnsi="Segoe UI" w:cs="Segoe UI"/>
          <w:color w:val="212529"/>
          <w:sz w:val="21"/>
          <w:szCs w:val="21"/>
          <w:shd w:val="clear" w:color="auto" w:fill="FFFFFF"/>
        </w:rPr>
        <w:t> </w:t>
      </w:r>
    </w:p>
  </w:footnote>
  <w:footnote w:id="61">
    <w:p w14:paraId="298671F7" w14:textId="77777777" w:rsidR="007B60A0" w:rsidRDefault="007B60A0" w:rsidP="007B60A0">
      <w:pPr>
        <w:pStyle w:val="FootnoteText"/>
      </w:pPr>
      <w:r>
        <w:rPr>
          <w:rStyle w:val="FootnoteReference"/>
        </w:rPr>
        <w:footnoteRef/>
      </w:r>
      <w:r>
        <w:t xml:space="preserve"> Civil Georgia, ‘</w:t>
      </w:r>
      <w:hyperlink r:id="rId60" w:history="1">
        <w:r>
          <w:rPr>
            <w:rStyle w:val="Hyperlink"/>
          </w:rPr>
          <w:t>Tbilisi Pride Events to Take Place Indoors on July 1-8 – Civil Georgia</w:t>
        </w:r>
      </w:hyperlink>
      <w:r>
        <w:t>’, 2 June 2023</w:t>
      </w:r>
    </w:p>
  </w:footnote>
  <w:footnote w:id="62">
    <w:p w14:paraId="0974E97B" w14:textId="77777777" w:rsidR="007B60A0" w:rsidRDefault="007B60A0" w:rsidP="007B60A0">
      <w:pPr>
        <w:pStyle w:val="FootnoteText"/>
      </w:pPr>
      <w:r>
        <w:rPr>
          <w:rStyle w:val="FootnoteReference"/>
        </w:rPr>
        <w:footnoteRef/>
      </w:r>
      <w:r>
        <w:t xml:space="preserve"> </w:t>
      </w:r>
      <w:r w:rsidRPr="005E484A">
        <w:t>Reuters</w:t>
      </w:r>
      <w:hyperlink r:id="rId61" w:history="1">
        <w:r w:rsidRPr="005E484A">
          <w:rPr>
            <w:rStyle w:val="Hyperlink"/>
          </w:rPr>
          <w:t>, Anti-LGBT protesters break up Pride festival in Georgia</w:t>
        </w:r>
      </w:hyperlink>
      <w:r w:rsidRPr="005E484A">
        <w:t>, 8 July 2023</w:t>
      </w:r>
    </w:p>
  </w:footnote>
  <w:footnote w:id="63">
    <w:p w14:paraId="2D786596" w14:textId="15BFD667" w:rsidR="008A6D10" w:rsidRDefault="008A6D10">
      <w:pPr>
        <w:pStyle w:val="FootnoteText"/>
      </w:pPr>
      <w:r>
        <w:rPr>
          <w:rStyle w:val="FootnoteReference"/>
        </w:rPr>
        <w:footnoteRef/>
      </w:r>
      <w:r>
        <w:t xml:space="preserve"> CNN, ‘</w:t>
      </w:r>
      <w:hyperlink r:id="rId62" w:history="1">
        <w:r w:rsidRPr="008A6D10">
          <w:rPr>
            <w:rStyle w:val="Hyperlink"/>
          </w:rPr>
          <w:t>Tbilisi Pride festival canceled after violent anti-LGBTQ protests</w:t>
        </w:r>
      </w:hyperlink>
      <w:r>
        <w:t>’, 8 July 2023</w:t>
      </w:r>
    </w:p>
  </w:footnote>
  <w:footnote w:id="64">
    <w:p w14:paraId="07B63E33" w14:textId="15B70C11" w:rsidR="008A6D10" w:rsidRDefault="008A6D10">
      <w:pPr>
        <w:pStyle w:val="FootnoteText"/>
      </w:pPr>
      <w:r>
        <w:rPr>
          <w:rStyle w:val="FootnoteReference"/>
        </w:rPr>
        <w:footnoteRef/>
      </w:r>
      <w:r>
        <w:t xml:space="preserve"> </w:t>
      </w:r>
      <w:r w:rsidR="00AF5AF0">
        <w:t xml:space="preserve">Clayton, </w:t>
      </w:r>
      <w:hyperlink r:id="rId63" w:history="1">
        <w:r w:rsidR="00AF5AF0" w:rsidRPr="00AF5AF0">
          <w:rPr>
            <w:rStyle w:val="Hyperlink"/>
          </w:rPr>
          <w:t>‘@MarkClaytonFCDO’ on Twitter</w:t>
        </w:r>
      </w:hyperlink>
      <w:r w:rsidR="00AF5AF0">
        <w:t>’, 8 July 2023</w:t>
      </w:r>
    </w:p>
  </w:footnote>
  <w:footnote w:id="65">
    <w:p w14:paraId="117739D4" w14:textId="458C9235" w:rsidR="004369FD" w:rsidRDefault="004369FD">
      <w:pPr>
        <w:pStyle w:val="FootnoteText"/>
      </w:pPr>
      <w:r>
        <w:rPr>
          <w:rStyle w:val="FootnoteReference"/>
        </w:rPr>
        <w:footnoteRef/>
      </w:r>
      <w:r>
        <w:t xml:space="preserve"> CoE, ‘</w:t>
      </w:r>
      <w:hyperlink r:id="rId64" w:history="1">
        <w:r>
          <w:rPr>
            <w:rStyle w:val="Hyperlink"/>
          </w:rPr>
          <w:t>First ever Memorandum on Cooperation... Data on Hate Crime...</w:t>
        </w:r>
      </w:hyperlink>
      <w:r>
        <w:t>’, 23 Sept 2020</w:t>
      </w:r>
    </w:p>
  </w:footnote>
  <w:footnote w:id="66">
    <w:p w14:paraId="55C0D82D" w14:textId="77777777" w:rsidR="00F91F9A" w:rsidRDefault="00F91F9A" w:rsidP="00F91F9A">
      <w:pPr>
        <w:pStyle w:val="FootnoteText"/>
      </w:pPr>
      <w:r>
        <w:rPr>
          <w:rStyle w:val="FootnoteReference"/>
        </w:rPr>
        <w:footnoteRef/>
      </w:r>
      <w:r>
        <w:t xml:space="preserve"> GEOSTAT, </w:t>
      </w:r>
      <w:hyperlink r:id="rId65" w:history="1">
        <w:r w:rsidRPr="009376BD">
          <w:rPr>
            <w:rStyle w:val="Hyperlink"/>
          </w:rPr>
          <w:t>Joint Report of Data on Crimes Committed…</w:t>
        </w:r>
      </w:hyperlink>
      <w:r>
        <w:t>, Oct 2020</w:t>
      </w:r>
    </w:p>
  </w:footnote>
  <w:footnote w:id="67">
    <w:p w14:paraId="62322743" w14:textId="77777777" w:rsidR="00F91F9A" w:rsidRDefault="00F91F9A" w:rsidP="00F91F9A">
      <w:pPr>
        <w:pStyle w:val="FootnoteText"/>
      </w:pPr>
      <w:r>
        <w:rPr>
          <w:rStyle w:val="FootnoteReference"/>
        </w:rPr>
        <w:footnoteRef/>
      </w:r>
      <w:r>
        <w:t xml:space="preserve"> GEOSTAT, </w:t>
      </w:r>
      <w:hyperlink r:id="rId66" w:history="1">
        <w:r w:rsidRPr="00952894">
          <w:rPr>
            <w:rStyle w:val="Hyperlink"/>
          </w:rPr>
          <w:t>Joint Report of Data on Crimes Committed..,</w:t>
        </w:r>
      </w:hyperlink>
      <w:r>
        <w:t xml:space="preserve"> 2021</w:t>
      </w:r>
    </w:p>
  </w:footnote>
  <w:footnote w:id="68">
    <w:p w14:paraId="39192B47" w14:textId="77777777" w:rsidR="00F91F9A" w:rsidRDefault="00F91F9A" w:rsidP="00F91F9A">
      <w:pPr>
        <w:pStyle w:val="FootnoteText"/>
      </w:pPr>
      <w:r>
        <w:rPr>
          <w:rStyle w:val="FootnoteReference"/>
        </w:rPr>
        <w:footnoteRef/>
      </w:r>
      <w:r>
        <w:t xml:space="preserve"> GEOSTAT, </w:t>
      </w:r>
      <w:hyperlink r:id="rId67" w:history="1">
        <w:r w:rsidRPr="009376BD">
          <w:rPr>
            <w:rStyle w:val="Hyperlink"/>
          </w:rPr>
          <w:t>Joint Report of Data on Crimes Committed..,</w:t>
        </w:r>
      </w:hyperlink>
      <w:r>
        <w:t xml:space="preserve"> 2022 </w:t>
      </w:r>
    </w:p>
  </w:footnote>
  <w:footnote w:id="69">
    <w:p w14:paraId="159E18E3" w14:textId="77777777" w:rsidR="00F91F9A" w:rsidRDefault="00F91F9A" w:rsidP="00F91F9A">
      <w:pPr>
        <w:pStyle w:val="FootnoteText"/>
      </w:pPr>
      <w:r>
        <w:rPr>
          <w:rStyle w:val="FootnoteReference"/>
        </w:rPr>
        <w:footnoteRef/>
      </w:r>
      <w:r>
        <w:t xml:space="preserve"> GEOSTAT, ‘</w:t>
      </w:r>
      <w:hyperlink r:id="rId68" w:history="1">
        <w:r>
          <w:rPr>
            <w:rStyle w:val="Hyperlink"/>
          </w:rPr>
          <w:t>Memorandum of cooperation on collection of data on crimes...</w:t>
        </w:r>
      </w:hyperlink>
      <w:r>
        <w:t>’, 23 September 2020</w:t>
      </w:r>
    </w:p>
  </w:footnote>
  <w:footnote w:id="70">
    <w:p w14:paraId="29E24741" w14:textId="77777777" w:rsidR="00090C4D" w:rsidRDefault="00090C4D" w:rsidP="00090C4D">
      <w:pPr>
        <w:pStyle w:val="FootnoteText"/>
      </w:pPr>
      <w:r>
        <w:rPr>
          <w:rStyle w:val="FootnoteReference"/>
        </w:rPr>
        <w:footnoteRef/>
      </w:r>
      <w:r>
        <w:t xml:space="preserve"> ECOM, Equality Movement, Tbilisi Pride, ‘</w:t>
      </w:r>
      <w:hyperlink r:id="rId69" w:history="1">
        <w:r>
          <w:rPr>
            <w:rStyle w:val="Hyperlink"/>
          </w:rPr>
          <w:t>Human Rights Violations…</w:t>
        </w:r>
      </w:hyperlink>
      <w:r>
        <w:t>’, May 2022</w:t>
      </w:r>
    </w:p>
  </w:footnote>
  <w:footnote w:id="71">
    <w:p w14:paraId="39A96258" w14:textId="77777777" w:rsidR="00D2328B" w:rsidRPr="008A545C" w:rsidRDefault="00D2328B" w:rsidP="00D2328B">
      <w:pPr>
        <w:pStyle w:val="FootnoteText"/>
      </w:pPr>
      <w:r w:rsidRPr="008A545C">
        <w:rPr>
          <w:rStyle w:val="FootnoteReference"/>
        </w:rPr>
        <w:footnoteRef/>
      </w:r>
      <w:r w:rsidRPr="008A545C">
        <w:t xml:space="preserve"> Commissioner for Human Rights</w:t>
      </w:r>
      <w:r w:rsidRPr="008A545C">
        <w:rPr>
          <w:rStyle w:val="FootnoteTextChar"/>
        </w:rPr>
        <w:t>, ‘</w:t>
      </w:r>
      <w:hyperlink r:id="rId70" w:history="1">
        <w:r w:rsidRPr="008A545C">
          <w:rPr>
            <w:rStyle w:val="Hyperlink"/>
          </w:rPr>
          <w:t>Commissioner's report…’</w:t>
        </w:r>
      </w:hyperlink>
      <w:r w:rsidRPr="008A545C">
        <w:rPr>
          <w:rStyle w:val="FootnoteTextChar"/>
        </w:rPr>
        <w:t xml:space="preserve"> (para 1.1.2), 15 July 2022</w:t>
      </w:r>
    </w:p>
  </w:footnote>
  <w:footnote w:id="72">
    <w:p w14:paraId="322E8B15" w14:textId="77777777" w:rsidR="00D2328B" w:rsidRPr="008A545C" w:rsidRDefault="00D2328B" w:rsidP="00D2328B">
      <w:pPr>
        <w:pStyle w:val="FootnoteText"/>
      </w:pPr>
      <w:r w:rsidRPr="008A545C">
        <w:rPr>
          <w:rStyle w:val="FootnoteReference"/>
        </w:rPr>
        <w:footnoteRef/>
      </w:r>
      <w:r w:rsidRPr="008A545C">
        <w:t xml:space="preserve"> Commissioner for Human Rights, ‘</w:t>
      </w:r>
      <w:hyperlink r:id="rId71" w:history="1">
        <w:r w:rsidRPr="008A545C">
          <w:rPr>
            <w:rStyle w:val="Hyperlink"/>
          </w:rPr>
          <w:t>Commissioner's report…’</w:t>
        </w:r>
      </w:hyperlink>
      <w:r w:rsidRPr="008A545C">
        <w:t xml:space="preserve"> (para 1.1.2), 15 July 2022</w:t>
      </w:r>
    </w:p>
  </w:footnote>
  <w:footnote w:id="73">
    <w:p w14:paraId="00F03859" w14:textId="01B70054" w:rsidR="00887E1E" w:rsidRDefault="00887E1E">
      <w:pPr>
        <w:pStyle w:val="FootnoteText"/>
      </w:pPr>
      <w:r>
        <w:rPr>
          <w:rStyle w:val="FootnoteReference"/>
        </w:rPr>
        <w:footnoteRef/>
      </w:r>
      <w:r>
        <w:t xml:space="preserve"> PDO, </w:t>
      </w:r>
      <w:hyperlink r:id="rId72" w:history="1">
        <w:r w:rsidRPr="007F77FA">
          <w:rPr>
            <w:rStyle w:val="Hyperlink"/>
          </w:rPr>
          <w:t>Guide</w:t>
        </w:r>
      </w:hyperlink>
      <w:r>
        <w:t>, no date</w:t>
      </w:r>
    </w:p>
  </w:footnote>
  <w:footnote w:id="74">
    <w:p w14:paraId="322D972D" w14:textId="0CDDE918" w:rsidR="00B2281F" w:rsidRDefault="00B2281F">
      <w:pPr>
        <w:pStyle w:val="FootnoteText"/>
      </w:pPr>
      <w:r>
        <w:rPr>
          <w:rStyle w:val="FootnoteReference"/>
        </w:rPr>
        <w:footnoteRef/>
      </w:r>
      <w:r>
        <w:t xml:space="preserve"> PDO, </w:t>
      </w:r>
      <w:hyperlink r:id="rId73" w:history="1">
        <w:r w:rsidR="00865F23" w:rsidRPr="007F77FA">
          <w:rPr>
            <w:rStyle w:val="Hyperlink"/>
          </w:rPr>
          <w:t>Guide</w:t>
        </w:r>
      </w:hyperlink>
      <w:r w:rsidR="00865F23">
        <w:t>, no date</w:t>
      </w:r>
    </w:p>
  </w:footnote>
  <w:footnote w:id="75">
    <w:p w14:paraId="6C4B796A" w14:textId="55DFEDC1" w:rsidR="00836489" w:rsidRDefault="00836489" w:rsidP="00836489">
      <w:pPr>
        <w:pStyle w:val="FootnoteText"/>
      </w:pPr>
      <w:r>
        <w:rPr>
          <w:rStyle w:val="FootnoteReference"/>
        </w:rPr>
        <w:footnoteRef/>
      </w:r>
      <w:r>
        <w:t xml:space="preserve"> </w:t>
      </w:r>
      <w:r>
        <w:rPr>
          <w:rStyle w:val="findhit"/>
          <w:color w:val="000000"/>
          <w:shd w:val="clear" w:color="auto" w:fill="FFFFFF"/>
        </w:rPr>
        <w:t>PDO</w:t>
      </w:r>
      <w:r>
        <w:rPr>
          <w:rStyle w:val="normaltextrun"/>
          <w:color w:val="000000"/>
          <w:shd w:val="clear" w:color="auto" w:fill="FFFFFF"/>
        </w:rPr>
        <w:t>, </w:t>
      </w:r>
      <w:hyperlink r:id="rId74" w:tgtFrame="_blank" w:history="1">
        <w:r>
          <w:rPr>
            <w:rStyle w:val="normaltextrun"/>
            <w:color w:val="0000FF"/>
            <w:u w:val="single"/>
            <w:shd w:val="clear" w:color="auto" w:fill="FFFFFF"/>
          </w:rPr>
          <w:t>2022 Special Report on Combating...</w:t>
        </w:r>
      </w:hyperlink>
      <w:r>
        <w:rPr>
          <w:rStyle w:val="normaltextrun"/>
          <w:color w:val="000000"/>
          <w:shd w:val="clear" w:color="auto" w:fill="FFFFFF"/>
        </w:rPr>
        <w:t>,, (pages 23 to 24), 11 April 2023</w:t>
      </w:r>
      <w:r w:rsidR="00F5694D">
        <w:rPr>
          <w:rStyle w:val="normaltextrun"/>
          <w:color w:val="000000"/>
          <w:shd w:val="clear" w:color="auto" w:fill="FFFFFF"/>
        </w:rPr>
        <w:t xml:space="preserve"> </w:t>
      </w:r>
    </w:p>
  </w:footnote>
  <w:footnote w:id="76">
    <w:p w14:paraId="7C95F8CC" w14:textId="77777777" w:rsidR="00A048AA" w:rsidRPr="008A545C" w:rsidRDefault="00A048AA" w:rsidP="00A048AA">
      <w:pPr>
        <w:pStyle w:val="FootnoteText"/>
      </w:pPr>
      <w:r w:rsidRPr="008A545C">
        <w:rPr>
          <w:rStyle w:val="FootnoteReference"/>
        </w:rPr>
        <w:footnoteRef/>
      </w:r>
      <w:r w:rsidRPr="008A545C">
        <w:t xml:space="preserve"> ECOM, Equality Movement, Tbilisi Pride, ‘</w:t>
      </w:r>
      <w:hyperlink r:id="rId75" w:history="1">
        <w:r w:rsidRPr="008A545C">
          <w:rPr>
            <w:rStyle w:val="Hyperlink"/>
          </w:rPr>
          <w:t>Human Rights Violations…</w:t>
        </w:r>
      </w:hyperlink>
      <w:r w:rsidRPr="008A545C">
        <w:t>’, May 2022</w:t>
      </w:r>
    </w:p>
  </w:footnote>
  <w:footnote w:id="77">
    <w:p w14:paraId="20769CC0" w14:textId="77777777" w:rsidR="00A048AA" w:rsidRPr="006C4CDF" w:rsidRDefault="00A048AA" w:rsidP="00A048AA">
      <w:pPr>
        <w:pStyle w:val="FootnoteText"/>
        <w:rPr>
          <w:b/>
          <w:bCs/>
        </w:rPr>
      </w:pPr>
      <w:r w:rsidRPr="008A545C">
        <w:rPr>
          <w:rStyle w:val="FootnoteReference"/>
        </w:rPr>
        <w:footnoteRef/>
      </w:r>
      <w:r w:rsidRPr="008A545C">
        <w:t xml:space="preserve"> Penal Reform International, ‘</w:t>
      </w:r>
      <w:hyperlink r:id="rId76" w:anchor=":~:text=On%20a%20daily%20basis%2C%20under,would%20have%20more%20painful%20consequences." w:history="1">
        <w:r w:rsidRPr="008A545C">
          <w:rPr>
            <w:rStyle w:val="Hyperlink"/>
          </w:rPr>
          <w:t>Sexual Minorities in Georgian Prisons’</w:t>
        </w:r>
      </w:hyperlink>
      <w:r w:rsidRPr="008A545C">
        <w:t>, 14 April 2020</w:t>
      </w:r>
    </w:p>
  </w:footnote>
  <w:footnote w:id="78">
    <w:p w14:paraId="655E99C5" w14:textId="77777777" w:rsidR="005C0843" w:rsidRDefault="005C0843" w:rsidP="005C0843">
      <w:pPr>
        <w:pStyle w:val="FootnoteText"/>
      </w:pPr>
      <w:r>
        <w:rPr>
          <w:rStyle w:val="FootnoteReference"/>
        </w:rPr>
        <w:footnoteRef/>
      </w:r>
      <w:r>
        <w:t xml:space="preserve"> Commissioner for Human Rights, ‘</w:t>
      </w:r>
      <w:hyperlink r:id="rId77" w:history="1">
        <w:r>
          <w:rPr>
            <w:rStyle w:val="Hyperlink"/>
          </w:rPr>
          <w:t>Commissioner's report…’</w:t>
        </w:r>
      </w:hyperlink>
      <w:r>
        <w:t xml:space="preserve"> (para 1.1.7), 15 July 2022</w:t>
      </w:r>
    </w:p>
  </w:footnote>
  <w:footnote w:id="79">
    <w:p w14:paraId="0DD4AF15" w14:textId="77777777" w:rsidR="009B4BD2" w:rsidRDefault="009B4BD2" w:rsidP="009B4BD2">
      <w:pPr>
        <w:pStyle w:val="FootnoteText"/>
      </w:pPr>
      <w:r>
        <w:rPr>
          <w:rStyle w:val="FootnoteReference"/>
        </w:rPr>
        <w:footnoteRef/>
      </w:r>
      <w:r>
        <w:t xml:space="preserve"> Foreign Policy, ‘</w:t>
      </w:r>
      <w:hyperlink r:id="rId78" w:history="1">
        <w:r>
          <w:rPr>
            <w:rStyle w:val="Hyperlink"/>
          </w:rPr>
          <w:t>Attack on Tbilisi Pride Exposes Geopolitical Fault Line…</w:t>
        </w:r>
      </w:hyperlink>
      <w:r>
        <w:t>’ 7 July 2021</w:t>
      </w:r>
    </w:p>
  </w:footnote>
  <w:footnote w:id="80">
    <w:p w14:paraId="334D637D" w14:textId="77777777" w:rsidR="009B4BD2" w:rsidRDefault="009B4BD2" w:rsidP="009B4BD2">
      <w:pPr>
        <w:pStyle w:val="FootnoteText"/>
      </w:pPr>
      <w:r>
        <w:rPr>
          <w:rStyle w:val="FootnoteReference"/>
        </w:rPr>
        <w:footnoteRef/>
      </w:r>
      <w:r>
        <w:t xml:space="preserve"> Foreign Policy, ‘</w:t>
      </w:r>
      <w:hyperlink r:id="rId79" w:history="1">
        <w:r>
          <w:rPr>
            <w:rStyle w:val="Hyperlink"/>
          </w:rPr>
          <w:t>Attack on Tbilisi Pride Exposes Geopolitical Fault Line…</w:t>
        </w:r>
      </w:hyperlink>
      <w:r>
        <w:t>’ 7 July 2021</w:t>
      </w:r>
    </w:p>
  </w:footnote>
  <w:footnote w:id="81">
    <w:p w14:paraId="0B759587" w14:textId="77777777" w:rsidR="005B03C7" w:rsidRDefault="005B03C7" w:rsidP="005B03C7">
      <w:pPr>
        <w:pStyle w:val="FootnoteText"/>
      </w:pPr>
      <w:r>
        <w:rPr>
          <w:rStyle w:val="FootnoteReference"/>
        </w:rPr>
        <w:footnoteRef/>
      </w:r>
      <w:r>
        <w:t xml:space="preserve"> Foreign Policy, ‘</w:t>
      </w:r>
      <w:hyperlink r:id="rId80" w:history="1">
        <w:r>
          <w:rPr>
            <w:rStyle w:val="Hyperlink"/>
          </w:rPr>
          <w:t>Attack on Tbilisi Pride Exposes Geopolitical Fault Line…</w:t>
        </w:r>
      </w:hyperlink>
      <w:r>
        <w:t>’ 7 July 2021</w:t>
      </w:r>
    </w:p>
  </w:footnote>
  <w:footnote w:id="82">
    <w:p w14:paraId="42D1B11E" w14:textId="77777777" w:rsidR="00CE29CC" w:rsidRDefault="00CE29CC" w:rsidP="00CE29CC">
      <w:pPr>
        <w:pStyle w:val="FootnoteText"/>
      </w:pPr>
      <w:r>
        <w:rPr>
          <w:rStyle w:val="FootnoteReference"/>
        </w:rPr>
        <w:footnoteRef/>
      </w:r>
      <w:r>
        <w:t xml:space="preserve"> USSD, </w:t>
      </w:r>
      <w:hyperlink r:id="rId81" w:history="1">
        <w:r>
          <w:rPr>
            <w:rStyle w:val="Hyperlink"/>
          </w:rPr>
          <w:t>2021 Country Reports on Human Rights Practices: Georgia</w:t>
        </w:r>
      </w:hyperlink>
      <w:r>
        <w:t>’, (Section 3), 12 April 2022</w:t>
      </w:r>
    </w:p>
  </w:footnote>
  <w:footnote w:id="83">
    <w:p w14:paraId="68F453A1" w14:textId="45465E17" w:rsidR="00281807" w:rsidRDefault="00281807">
      <w:pPr>
        <w:pStyle w:val="FootnoteText"/>
      </w:pPr>
      <w:r>
        <w:rPr>
          <w:rStyle w:val="FootnoteReference"/>
        </w:rPr>
        <w:footnoteRef/>
      </w:r>
      <w:r>
        <w:t xml:space="preserve"> WISG, ‘</w:t>
      </w:r>
      <w:hyperlink r:id="rId82" w:history="1">
        <w:r>
          <w:rPr>
            <w:rStyle w:val="Hyperlink"/>
          </w:rPr>
          <w:t>From Prejudice to Equality...</w:t>
        </w:r>
      </w:hyperlink>
      <w:r>
        <w:t xml:space="preserve">’ (page </w:t>
      </w:r>
      <w:r w:rsidR="006C59DF">
        <w:t>16</w:t>
      </w:r>
      <w:r>
        <w:t>), 6 May 2022</w:t>
      </w:r>
    </w:p>
  </w:footnote>
  <w:footnote w:id="84">
    <w:p w14:paraId="2434D4DE" w14:textId="283BE4F0" w:rsidR="00407707" w:rsidRDefault="00407707">
      <w:pPr>
        <w:pStyle w:val="FootnoteText"/>
      </w:pPr>
      <w:r>
        <w:rPr>
          <w:rStyle w:val="FootnoteReference"/>
        </w:rPr>
        <w:footnoteRef/>
      </w:r>
      <w:r>
        <w:t xml:space="preserve"> WISG, ‘</w:t>
      </w:r>
      <w:hyperlink r:id="rId83" w:history="1">
        <w:r>
          <w:rPr>
            <w:rStyle w:val="Hyperlink"/>
          </w:rPr>
          <w:t>From Prejudice to Equality...</w:t>
        </w:r>
      </w:hyperlink>
      <w:r>
        <w:t>’ (page 1</w:t>
      </w:r>
      <w:r w:rsidR="007D0B0E">
        <w:t>41</w:t>
      </w:r>
      <w:r w:rsidR="0073673B">
        <w:t>)</w:t>
      </w:r>
      <w:r>
        <w:t>, 6 May 2022</w:t>
      </w:r>
    </w:p>
  </w:footnote>
  <w:footnote w:id="85">
    <w:p w14:paraId="5EA2213D" w14:textId="70EED70C" w:rsidR="0073673B" w:rsidRDefault="0073673B">
      <w:pPr>
        <w:pStyle w:val="FootnoteText"/>
      </w:pPr>
      <w:r>
        <w:rPr>
          <w:rStyle w:val="FootnoteReference"/>
        </w:rPr>
        <w:footnoteRef/>
      </w:r>
      <w:r>
        <w:t xml:space="preserve"> WISG, ‘</w:t>
      </w:r>
      <w:hyperlink r:id="rId84" w:history="1">
        <w:r>
          <w:rPr>
            <w:rStyle w:val="Hyperlink"/>
          </w:rPr>
          <w:t>From Prejudice to Equality...</w:t>
        </w:r>
      </w:hyperlink>
      <w:r>
        <w:t xml:space="preserve">’ (page </w:t>
      </w:r>
      <w:r w:rsidR="00D45B74">
        <w:t>88</w:t>
      </w:r>
      <w:r>
        <w:t>), 6 May 2022</w:t>
      </w:r>
    </w:p>
  </w:footnote>
  <w:footnote w:id="86">
    <w:p w14:paraId="7EEDCF9B" w14:textId="11D304F2" w:rsidR="00981494" w:rsidRDefault="00981494" w:rsidP="00981494">
      <w:pPr>
        <w:pStyle w:val="FootnoteText"/>
      </w:pPr>
      <w:r>
        <w:rPr>
          <w:rStyle w:val="FootnoteReference"/>
        </w:rPr>
        <w:footnoteRef/>
      </w:r>
      <w:r w:rsidR="007069C8">
        <w:t xml:space="preserve"> </w:t>
      </w:r>
      <w:r w:rsidR="00BD4A5F">
        <w:t>WISG</w:t>
      </w:r>
      <w:r>
        <w:t xml:space="preserve">, </w:t>
      </w:r>
      <w:r w:rsidR="009B75ED">
        <w:t>‘</w:t>
      </w:r>
      <w:hyperlink r:id="rId85" w:history="1">
        <w:r w:rsidR="009B75ED">
          <w:rPr>
            <w:rStyle w:val="Hyperlink"/>
          </w:rPr>
          <w:t>From Prejudice to Equality...</w:t>
        </w:r>
      </w:hyperlink>
      <w:r w:rsidR="009B75ED">
        <w:t xml:space="preserve">’ (page </w:t>
      </w:r>
      <w:r w:rsidR="00704CD0">
        <w:t>78</w:t>
      </w:r>
      <w:r w:rsidR="009B75ED">
        <w:t xml:space="preserve">), </w:t>
      </w:r>
      <w:r w:rsidR="00D16C2A">
        <w:t xml:space="preserve">6 </w:t>
      </w:r>
      <w:r w:rsidR="009B75ED">
        <w:t>May 2022</w:t>
      </w:r>
    </w:p>
  </w:footnote>
  <w:footnote w:id="87">
    <w:p w14:paraId="21426709" w14:textId="0916B3C6" w:rsidR="007069C8" w:rsidRDefault="007069C8">
      <w:pPr>
        <w:pStyle w:val="FootnoteText"/>
      </w:pPr>
      <w:r>
        <w:rPr>
          <w:rStyle w:val="FootnoteReference"/>
        </w:rPr>
        <w:footnoteRef/>
      </w:r>
      <w:r>
        <w:t xml:space="preserve"> </w:t>
      </w:r>
      <w:r w:rsidRPr="007069C8">
        <w:t>WISG, ‘</w:t>
      </w:r>
      <w:hyperlink r:id="rId86" w:history="1">
        <w:r w:rsidRPr="007069C8">
          <w:rPr>
            <w:rStyle w:val="Hyperlink"/>
          </w:rPr>
          <w:t>From Prejudice to Equality...</w:t>
        </w:r>
      </w:hyperlink>
      <w:r w:rsidRPr="007069C8">
        <w:t>’ (page 8</w:t>
      </w:r>
      <w:r>
        <w:t>2</w:t>
      </w:r>
      <w:r w:rsidRPr="007069C8">
        <w:t>), 6 May 2022</w:t>
      </w:r>
    </w:p>
  </w:footnote>
  <w:footnote w:id="88">
    <w:p w14:paraId="4BC731F7" w14:textId="51D60D1E" w:rsidR="00D76EAE" w:rsidRDefault="00D76EAE">
      <w:pPr>
        <w:pStyle w:val="FootnoteText"/>
      </w:pPr>
      <w:r>
        <w:rPr>
          <w:rStyle w:val="FootnoteReference"/>
        </w:rPr>
        <w:footnoteRef/>
      </w:r>
      <w:r>
        <w:t xml:space="preserve"> WISG, ‘</w:t>
      </w:r>
      <w:hyperlink r:id="rId87" w:history="1">
        <w:r>
          <w:rPr>
            <w:rStyle w:val="Hyperlink"/>
          </w:rPr>
          <w:t>From Prejudice to Equality...</w:t>
        </w:r>
      </w:hyperlink>
      <w:r>
        <w:t>’ (page 38), 6 May 2022</w:t>
      </w:r>
    </w:p>
  </w:footnote>
  <w:footnote w:id="89">
    <w:p w14:paraId="5D6299EB" w14:textId="30F5718B" w:rsidR="006E42F2" w:rsidRDefault="006E42F2">
      <w:pPr>
        <w:pStyle w:val="FootnoteText"/>
      </w:pPr>
      <w:r>
        <w:rPr>
          <w:rStyle w:val="FootnoteReference"/>
        </w:rPr>
        <w:footnoteRef/>
      </w:r>
      <w:r>
        <w:t xml:space="preserve"> WISG, ‘</w:t>
      </w:r>
      <w:hyperlink r:id="rId88" w:history="1">
        <w:r>
          <w:rPr>
            <w:rStyle w:val="Hyperlink"/>
          </w:rPr>
          <w:t>From Prejudice to Equality...</w:t>
        </w:r>
      </w:hyperlink>
      <w:r>
        <w:t xml:space="preserve">’ (page </w:t>
      </w:r>
      <w:r w:rsidR="000F160F">
        <w:t>102</w:t>
      </w:r>
      <w:r>
        <w:t>), 6 May 2022</w:t>
      </w:r>
    </w:p>
  </w:footnote>
  <w:footnote w:id="90">
    <w:p w14:paraId="4E97968E" w14:textId="1EF774E4" w:rsidR="00347596" w:rsidRDefault="00347596">
      <w:pPr>
        <w:pStyle w:val="FootnoteText"/>
      </w:pPr>
      <w:r>
        <w:rPr>
          <w:rStyle w:val="FootnoteReference"/>
        </w:rPr>
        <w:footnoteRef/>
      </w:r>
      <w:r>
        <w:t xml:space="preserve"> WISG, ‘</w:t>
      </w:r>
      <w:hyperlink r:id="rId89" w:history="1">
        <w:r>
          <w:rPr>
            <w:rStyle w:val="Hyperlink"/>
          </w:rPr>
          <w:t>From Prejudice to Equality...</w:t>
        </w:r>
      </w:hyperlink>
      <w:r>
        <w:t>’ (page 1</w:t>
      </w:r>
      <w:r w:rsidR="002C5ED8">
        <w:t>6</w:t>
      </w:r>
      <w:r>
        <w:t>), 6 May 2022</w:t>
      </w:r>
    </w:p>
  </w:footnote>
  <w:footnote w:id="91">
    <w:p w14:paraId="7432D577" w14:textId="77777777" w:rsidR="003E3A33" w:rsidRDefault="003E3A33" w:rsidP="003E3A33">
      <w:pPr>
        <w:pStyle w:val="FootnoteText"/>
      </w:pPr>
      <w:r>
        <w:rPr>
          <w:rStyle w:val="FootnoteReference"/>
        </w:rPr>
        <w:footnoteRef/>
      </w:r>
      <w:r>
        <w:t xml:space="preserve"> CRRC, ‘</w:t>
      </w:r>
      <w:hyperlink r:id="rId90" w:history="1">
        <w:r w:rsidRPr="00B86418">
          <w:rPr>
            <w:rStyle w:val="Hyperlink"/>
          </w:rPr>
          <w:t>Caucasus Barometer 2021 Georgia</w:t>
        </w:r>
      </w:hyperlink>
      <w:r>
        <w:t>’, no date</w:t>
      </w:r>
    </w:p>
  </w:footnote>
  <w:footnote w:id="92">
    <w:p w14:paraId="5CB0796C" w14:textId="35578D3E" w:rsidR="00A3149E" w:rsidRDefault="00A3149E">
      <w:pPr>
        <w:pStyle w:val="FootnoteText"/>
      </w:pPr>
      <w:r>
        <w:rPr>
          <w:rStyle w:val="FootnoteReference"/>
        </w:rPr>
        <w:footnoteRef/>
      </w:r>
      <w:r>
        <w:t xml:space="preserve"> Commissioner for Human Rights, ‘</w:t>
      </w:r>
      <w:hyperlink r:id="rId91" w:history="1">
        <w:r>
          <w:rPr>
            <w:rStyle w:val="Hyperlink"/>
          </w:rPr>
          <w:t>Commissioner's report…’</w:t>
        </w:r>
      </w:hyperlink>
      <w:r>
        <w:t xml:space="preserve"> (para 1.1.6), 15 July 2022</w:t>
      </w:r>
    </w:p>
  </w:footnote>
  <w:footnote w:id="93">
    <w:p w14:paraId="3F6C15BD" w14:textId="77777777" w:rsidR="00F43006" w:rsidRDefault="00F43006" w:rsidP="00F43006">
      <w:pPr>
        <w:pStyle w:val="FootnoteText"/>
      </w:pPr>
      <w:r>
        <w:rPr>
          <w:rStyle w:val="FootnoteReference"/>
        </w:rPr>
        <w:footnoteRef/>
      </w:r>
      <w:r>
        <w:t xml:space="preserve"> USSD, ‘</w:t>
      </w:r>
      <w:hyperlink r:id="rId92" w:history="1">
        <w:r>
          <w:rPr>
            <w:rStyle w:val="Hyperlink"/>
          </w:rPr>
          <w:t>2022 Country Reports on Human Rights Practices: Georgia</w:t>
        </w:r>
      </w:hyperlink>
      <w:r>
        <w:t>’ (section 6), 20 March 2023</w:t>
      </w:r>
    </w:p>
  </w:footnote>
  <w:footnote w:id="94">
    <w:p w14:paraId="308ACD80" w14:textId="77777777" w:rsidR="00F43006" w:rsidRDefault="00F43006" w:rsidP="00F43006">
      <w:pPr>
        <w:pStyle w:val="FootnoteText"/>
      </w:pPr>
      <w:r>
        <w:rPr>
          <w:rStyle w:val="FootnoteReference"/>
        </w:rPr>
        <w:footnoteRef/>
      </w:r>
      <w:r>
        <w:t xml:space="preserve"> USSD, ‘</w:t>
      </w:r>
      <w:hyperlink r:id="rId93" w:history="1">
        <w:r>
          <w:rPr>
            <w:rStyle w:val="Hyperlink"/>
          </w:rPr>
          <w:t>2022 Country Reports on Human Rights Practices: Georgia</w:t>
        </w:r>
      </w:hyperlink>
      <w:r>
        <w:t>’ (Section 6), 20 March 2023</w:t>
      </w:r>
    </w:p>
  </w:footnote>
  <w:footnote w:id="95">
    <w:p w14:paraId="57FA792C" w14:textId="4467A4CA" w:rsidR="00F43006" w:rsidRDefault="00F43006" w:rsidP="00F43006">
      <w:pPr>
        <w:pStyle w:val="FootnoteText"/>
      </w:pPr>
      <w:r>
        <w:rPr>
          <w:rStyle w:val="FootnoteReference"/>
        </w:rPr>
        <w:footnoteRef/>
      </w:r>
      <w:r>
        <w:t xml:space="preserve"> HRW, ‘</w:t>
      </w:r>
      <w:hyperlink r:id="rId94" w:history="1">
        <w:r>
          <w:rPr>
            <w:rStyle w:val="Hyperlink"/>
          </w:rPr>
          <w:t>World Report 2023’</w:t>
        </w:r>
      </w:hyperlink>
      <w:r>
        <w:t xml:space="preserve"> (Ge</w:t>
      </w:r>
      <w:r w:rsidR="00A3149E">
        <w:t>o</w:t>
      </w:r>
      <w:r>
        <w:t>rgia), January 2023</w:t>
      </w:r>
    </w:p>
  </w:footnote>
  <w:footnote w:id="96">
    <w:p w14:paraId="00581EE2" w14:textId="7DC97DCF" w:rsidR="00D354E9" w:rsidRDefault="00D354E9">
      <w:pPr>
        <w:pStyle w:val="FootnoteText"/>
      </w:pPr>
      <w:r>
        <w:rPr>
          <w:rStyle w:val="FootnoteReference"/>
        </w:rPr>
        <w:footnoteRef/>
      </w:r>
      <w:r>
        <w:t xml:space="preserve"> </w:t>
      </w:r>
      <w:r w:rsidRPr="00D354E9">
        <w:t xml:space="preserve">EMC, </w:t>
      </w:r>
      <w:hyperlink r:id="rId95" w:history="1">
        <w:r w:rsidRPr="00D354E9">
          <w:rPr>
            <w:rStyle w:val="Hyperlink"/>
          </w:rPr>
          <w:t>Social Exclusion of LGBTQ Group in Georgia</w:t>
        </w:r>
      </w:hyperlink>
      <w:r w:rsidRPr="00D354E9">
        <w:t>, (p.</w:t>
      </w:r>
      <w:r>
        <w:t>74</w:t>
      </w:r>
      <w:r w:rsidRPr="00D354E9">
        <w:t>), 2020</w:t>
      </w:r>
    </w:p>
  </w:footnote>
  <w:footnote w:id="97">
    <w:p w14:paraId="2E1586F3" w14:textId="1C87C392" w:rsidR="00190071" w:rsidRDefault="00190071">
      <w:pPr>
        <w:pStyle w:val="FootnoteText"/>
      </w:pPr>
      <w:r>
        <w:rPr>
          <w:rStyle w:val="FootnoteReference"/>
        </w:rPr>
        <w:footnoteRef/>
      </w:r>
      <w:r>
        <w:t xml:space="preserve"> </w:t>
      </w:r>
      <w:bookmarkStart w:id="151" w:name="_Hlk146012058"/>
      <w:r w:rsidRPr="00190071">
        <w:t xml:space="preserve">EMC, </w:t>
      </w:r>
      <w:hyperlink r:id="rId96" w:history="1">
        <w:r w:rsidRPr="00190071">
          <w:rPr>
            <w:rStyle w:val="Hyperlink"/>
          </w:rPr>
          <w:t>Social Exclusion of LGBTQ Group in Georgia</w:t>
        </w:r>
      </w:hyperlink>
      <w:r w:rsidRPr="00190071">
        <w:t>, (p.7</w:t>
      </w:r>
      <w:r>
        <w:t>6</w:t>
      </w:r>
      <w:r w:rsidRPr="00190071">
        <w:t>), 2020</w:t>
      </w:r>
      <w:bookmarkEnd w:id="151"/>
    </w:p>
  </w:footnote>
  <w:footnote w:id="98">
    <w:p w14:paraId="1F33844B" w14:textId="77777777" w:rsidR="007F583F" w:rsidRDefault="007F583F" w:rsidP="007F583F">
      <w:pPr>
        <w:pStyle w:val="FootnoteText"/>
      </w:pPr>
      <w:r>
        <w:rPr>
          <w:rStyle w:val="FootnoteReference"/>
        </w:rPr>
        <w:footnoteRef/>
      </w:r>
      <w:r>
        <w:t xml:space="preserve"> </w:t>
      </w:r>
      <w:r w:rsidRPr="003509EB">
        <w:t xml:space="preserve">EMC, </w:t>
      </w:r>
      <w:hyperlink r:id="rId97" w:history="1">
        <w:r w:rsidRPr="003509EB">
          <w:rPr>
            <w:rStyle w:val="Hyperlink"/>
          </w:rPr>
          <w:t>Social Exclusion of LGBTQ Group in Georgia</w:t>
        </w:r>
      </w:hyperlink>
      <w:r w:rsidRPr="003509EB">
        <w:t>, (</w:t>
      </w:r>
      <w:r>
        <w:t xml:space="preserve">chart 31, </w:t>
      </w:r>
      <w:r w:rsidRPr="003509EB">
        <w:t>p.7</w:t>
      </w:r>
      <w:r>
        <w:t>7</w:t>
      </w:r>
      <w:r w:rsidRPr="003509EB">
        <w:t>), 2020</w:t>
      </w:r>
    </w:p>
  </w:footnote>
  <w:footnote w:id="99">
    <w:p w14:paraId="79EB36F4" w14:textId="40108D13" w:rsidR="00271D79" w:rsidRDefault="00271D79">
      <w:pPr>
        <w:pStyle w:val="FootnoteText"/>
      </w:pPr>
      <w:r>
        <w:rPr>
          <w:rStyle w:val="FootnoteReference"/>
        </w:rPr>
        <w:footnoteRef/>
      </w:r>
      <w:r>
        <w:t xml:space="preserve"> </w:t>
      </w:r>
      <w:r w:rsidRPr="00271D79">
        <w:t xml:space="preserve">EMC, </w:t>
      </w:r>
      <w:hyperlink r:id="rId98" w:history="1">
        <w:r w:rsidRPr="00271D79">
          <w:rPr>
            <w:rStyle w:val="Hyperlink"/>
          </w:rPr>
          <w:t>Social Exclusion of LGBTQ Group in Georgia</w:t>
        </w:r>
      </w:hyperlink>
      <w:r w:rsidRPr="00271D79">
        <w:t>, (</w:t>
      </w:r>
      <w:r>
        <w:t xml:space="preserve">chart 33, </w:t>
      </w:r>
      <w:r w:rsidRPr="00271D79">
        <w:t>p.7</w:t>
      </w:r>
      <w:r>
        <w:t>9</w:t>
      </w:r>
      <w:r w:rsidRPr="00271D79">
        <w:t>), 2020</w:t>
      </w:r>
    </w:p>
  </w:footnote>
  <w:footnote w:id="100">
    <w:p w14:paraId="6FD5C112" w14:textId="112ABD03" w:rsidR="00B77516" w:rsidRDefault="00B77516">
      <w:pPr>
        <w:pStyle w:val="FootnoteText"/>
      </w:pPr>
      <w:r>
        <w:rPr>
          <w:rStyle w:val="FootnoteReference"/>
        </w:rPr>
        <w:footnoteRef/>
      </w:r>
      <w:r>
        <w:t xml:space="preserve"> </w:t>
      </w:r>
      <w:bookmarkStart w:id="152" w:name="_Hlk146020973"/>
      <w:r w:rsidRPr="00B77516">
        <w:t xml:space="preserve">EMC, </w:t>
      </w:r>
      <w:hyperlink r:id="rId99" w:history="1">
        <w:r w:rsidRPr="00B77516">
          <w:rPr>
            <w:rStyle w:val="Hyperlink"/>
          </w:rPr>
          <w:t>Social Exclusion of LGBTQ Group in Georgia</w:t>
        </w:r>
      </w:hyperlink>
      <w:r w:rsidRPr="00B77516">
        <w:t>, (p.</w:t>
      </w:r>
      <w:r>
        <w:t>84</w:t>
      </w:r>
      <w:r w:rsidRPr="00B77516">
        <w:t>), 2020</w:t>
      </w:r>
      <w:bookmarkEnd w:id="152"/>
    </w:p>
  </w:footnote>
  <w:footnote w:id="101">
    <w:p w14:paraId="011F6BCB" w14:textId="77777777" w:rsidR="00236641" w:rsidRDefault="00236641" w:rsidP="00236641">
      <w:pPr>
        <w:pStyle w:val="FootnoteText"/>
      </w:pPr>
      <w:r>
        <w:rPr>
          <w:rStyle w:val="FootnoteReference"/>
        </w:rPr>
        <w:footnoteRef/>
      </w:r>
      <w:r>
        <w:t xml:space="preserve"> </w:t>
      </w:r>
      <w:r w:rsidRPr="00F37DC6">
        <w:t xml:space="preserve">EMC, </w:t>
      </w:r>
      <w:hyperlink r:id="rId100" w:history="1">
        <w:r w:rsidRPr="00F37DC6">
          <w:rPr>
            <w:rStyle w:val="Hyperlink"/>
          </w:rPr>
          <w:t>Social Exclusion of LGBTQ Group in Georgia</w:t>
        </w:r>
      </w:hyperlink>
      <w:r w:rsidRPr="00F37DC6">
        <w:t>, (chart 3</w:t>
      </w:r>
      <w:r>
        <w:t>8</w:t>
      </w:r>
      <w:r w:rsidRPr="00F37DC6">
        <w:t>, p.</w:t>
      </w:r>
      <w:r>
        <w:t>86</w:t>
      </w:r>
      <w:r w:rsidRPr="00F37DC6">
        <w:t>), 2020</w:t>
      </w:r>
    </w:p>
  </w:footnote>
  <w:footnote w:id="102">
    <w:p w14:paraId="43DF416C" w14:textId="48A62181" w:rsidR="0000745E" w:rsidRDefault="0000745E">
      <w:pPr>
        <w:pStyle w:val="FootnoteText"/>
      </w:pPr>
      <w:r>
        <w:rPr>
          <w:rStyle w:val="FootnoteReference"/>
        </w:rPr>
        <w:footnoteRef/>
      </w:r>
      <w:r>
        <w:t xml:space="preserve"> </w:t>
      </w:r>
      <w:r w:rsidRPr="0000745E">
        <w:t xml:space="preserve">EMC, </w:t>
      </w:r>
      <w:hyperlink r:id="rId101" w:history="1">
        <w:r w:rsidRPr="0000745E">
          <w:rPr>
            <w:rStyle w:val="Hyperlink"/>
          </w:rPr>
          <w:t>Social Exclusion of LGBTQ Group in Georgia</w:t>
        </w:r>
      </w:hyperlink>
      <w:r w:rsidRPr="0000745E">
        <w:t>, (p.8</w:t>
      </w:r>
      <w:r>
        <w:t>7</w:t>
      </w:r>
      <w:r w:rsidRPr="0000745E">
        <w:t>), 2020</w:t>
      </w:r>
    </w:p>
  </w:footnote>
  <w:footnote w:id="103">
    <w:p w14:paraId="1CC3247E" w14:textId="77777777" w:rsidR="005A32CF" w:rsidRDefault="005A32CF" w:rsidP="005A32CF">
      <w:pPr>
        <w:pStyle w:val="FootnoteText"/>
      </w:pPr>
      <w:r>
        <w:rPr>
          <w:rStyle w:val="FootnoteReference"/>
        </w:rPr>
        <w:footnoteRef/>
      </w:r>
      <w:r>
        <w:t xml:space="preserve"> JAM News, ‘</w:t>
      </w:r>
      <w:hyperlink r:id="rId102" w:history="1">
        <w:r>
          <w:rPr>
            <w:rStyle w:val="Hyperlink"/>
          </w:rPr>
          <w:t>Living surrounded by hate. LGBT individuals and their parents</w:t>
        </w:r>
      </w:hyperlink>
      <w:r>
        <w:t>…’, 24 June 2020</w:t>
      </w:r>
    </w:p>
  </w:footnote>
  <w:footnote w:id="104">
    <w:p w14:paraId="4403DB03" w14:textId="77777777" w:rsidR="00981494" w:rsidRDefault="00981494" w:rsidP="00981494">
      <w:pPr>
        <w:pStyle w:val="FootnoteText"/>
      </w:pPr>
      <w:r>
        <w:rPr>
          <w:rStyle w:val="FootnoteReference"/>
        </w:rPr>
        <w:footnoteRef/>
      </w:r>
      <w:r>
        <w:t xml:space="preserve"> </w:t>
      </w:r>
      <w:r w:rsidR="004D0382">
        <w:t>WISG, ‘</w:t>
      </w:r>
      <w:hyperlink r:id="rId103" w:history="1">
        <w:r w:rsidR="004D0382">
          <w:rPr>
            <w:rStyle w:val="Hyperlink"/>
          </w:rPr>
          <w:t>From Prejudice to Equality...</w:t>
        </w:r>
      </w:hyperlink>
      <w:r w:rsidR="004D0382">
        <w:t>’ (page 25), 6 May 2022</w:t>
      </w:r>
    </w:p>
  </w:footnote>
  <w:footnote w:id="105">
    <w:p w14:paraId="46FF9B69" w14:textId="77777777" w:rsidR="005459AD" w:rsidRDefault="005459AD" w:rsidP="005459AD">
      <w:pPr>
        <w:pStyle w:val="FootnoteText"/>
      </w:pPr>
      <w:r>
        <w:rPr>
          <w:rStyle w:val="FootnoteReference"/>
        </w:rPr>
        <w:footnoteRef/>
      </w:r>
      <w:r>
        <w:t xml:space="preserve"> WISG, ‘</w:t>
      </w:r>
      <w:hyperlink r:id="rId104" w:history="1">
        <w:r>
          <w:rPr>
            <w:rStyle w:val="Hyperlink"/>
          </w:rPr>
          <w:t>From Prejudice to Equality...</w:t>
        </w:r>
      </w:hyperlink>
      <w:r>
        <w:t>’ (page 25), 6 May 20222</w:t>
      </w:r>
    </w:p>
  </w:footnote>
  <w:footnote w:id="106">
    <w:p w14:paraId="62F5E1FF" w14:textId="77777777" w:rsidR="00981494" w:rsidRDefault="00981494" w:rsidP="00981494">
      <w:pPr>
        <w:pStyle w:val="FootnoteText"/>
      </w:pPr>
      <w:r>
        <w:rPr>
          <w:rStyle w:val="FootnoteReference"/>
        </w:rPr>
        <w:footnoteRef/>
      </w:r>
      <w:r>
        <w:t xml:space="preserve"> </w:t>
      </w:r>
      <w:r w:rsidR="004D0382">
        <w:t>WISG, ‘</w:t>
      </w:r>
      <w:hyperlink r:id="rId105" w:history="1">
        <w:r w:rsidR="004D0382">
          <w:rPr>
            <w:rStyle w:val="Hyperlink"/>
          </w:rPr>
          <w:t>From Prejudice to Equality...</w:t>
        </w:r>
      </w:hyperlink>
      <w:r w:rsidR="004D0382">
        <w:t>’ (page 25), 6 May 2022</w:t>
      </w:r>
      <w:r>
        <w:t>2</w:t>
      </w:r>
    </w:p>
  </w:footnote>
  <w:footnote w:id="107">
    <w:p w14:paraId="3290947B" w14:textId="77777777" w:rsidR="005F7EC9" w:rsidRDefault="005F7EC9" w:rsidP="005F7EC9">
      <w:pPr>
        <w:pStyle w:val="FootnoteText"/>
      </w:pPr>
      <w:r>
        <w:rPr>
          <w:rStyle w:val="FootnoteReference"/>
        </w:rPr>
        <w:footnoteRef/>
      </w:r>
      <w:r>
        <w:t xml:space="preserve"> Legislative Herald of Georgia, ‘</w:t>
      </w:r>
      <w:hyperlink r:id="rId106" w:history="1">
        <w:r>
          <w:rPr>
            <w:rStyle w:val="Hyperlink"/>
          </w:rPr>
          <w:t>Constitution of Georgia…</w:t>
        </w:r>
      </w:hyperlink>
      <w:r>
        <w:t>’, 29 June 2020</w:t>
      </w:r>
    </w:p>
  </w:footnote>
  <w:footnote w:id="108">
    <w:p w14:paraId="7878C026" w14:textId="493127E3" w:rsidR="00764B8F" w:rsidRDefault="00764B8F">
      <w:pPr>
        <w:pStyle w:val="FootnoteText"/>
      </w:pPr>
      <w:r>
        <w:rPr>
          <w:rStyle w:val="FootnoteReference"/>
        </w:rPr>
        <w:footnoteRef/>
      </w:r>
      <w:r>
        <w:t xml:space="preserve"> </w:t>
      </w:r>
      <w:r w:rsidR="00376FA5">
        <w:t>Legislative Herald of Georgia, ‘</w:t>
      </w:r>
      <w:hyperlink r:id="rId107" w:history="1">
        <w:r w:rsidR="00376FA5">
          <w:rPr>
            <w:rStyle w:val="Hyperlink"/>
          </w:rPr>
          <w:t>Constitution of Georgia…</w:t>
        </w:r>
      </w:hyperlink>
      <w:r w:rsidR="00376FA5">
        <w:t>’, 29 June 2020</w:t>
      </w:r>
    </w:p>
  </w:footnote>
  <w:footnote w:id="109">
    <w:p w14:paraId="3B6F7A52" w14:textId="6928F8BE" w:rsidR="00981494" w:rsidRDefault="00981494" w:rsidP="00981494">
      <w:pPr>
        <w:pStyle w:val="FootnoteText"/>
      </w:pPr>
      <w:r>
        <w:rPr>
          <w:rStyle w:val="FootnoteReference"/>
        </w:rPr>
        <w:footnoteRef/>
      </w:r>
      <w:r>
        <w:t xml:space="preserve"> Coalition for Equality, ‘</w:t>
      </w:r>
      <w:hyperlink r:id="rId108" w:history="1">
        <w:r>
          <w:rPr>
            <w:rStyle w:val="Hyperlink"/>
          </w:rPr>
          <w:t>The main challenges of the social protection…</w:t>
        </w:r>
      </w:hyperlink>
      <w:r>
        <w:t xml:space="preserve">’ </w:t>
      </w:r>
      <w:r w:rsidR="00220E7D">
        <w:t>(</w:t>
      </w:r>
      <w:r>
        <w:t>page 61</w:t>
      </w:r>
      <w:r w:rsidR="00220E7D">
        <w:t>)</w:t>
      </w:r>
      <w:r>
        <w:t>, 17 March 2022</w:t>
      </w:r>
    </w:p>
  </w:footnote>
  <w:footnote w:id="110">
    <w:p w14:paraId="72376E19" w14:textId="6CB33346" w:rsidR="00B35B50" w:rsidRDefault="00B35B50">
      <w:pPr>
        <w:pStyle w:val="FootnoteText"/>
      </w:pPr>
      <w:r>
        <w:rPr>
          <w:rStyle w:val="FootnoteReference"/>
        </w:rPr>
        <w:footnoteRef/>
      </w:r>
      <w:r>
        <w:t xml:space="preserve"> PDO, ‘</w:t>
      </w:r>
      <w:hyperlink r:id="rId109" w:anchor=":~:text=The%20study%E2%80%99s%20objective%20is%20to%20conduct%20an%20in-depth,the%20legislative%20framework%20and%20the%20de%20facto%20situation." w:history="1">
        <w:r>
          <w:rPr>
            <w:rStyle w:val="Hyperlink"/>
          </w:rPr>
          <w:t>The Rights of LGBT+ People in Georgia</w:t>
        </w:r>
      </w:hyperlink>
      <w:r>
        <w:t>’, (page 7), 29 April 2022</w:t>
      </w:r>
    </w:p>
  </w:footnote>
  <w:footnote w:id="111">
    <w:p w14:paraId="5B1B439F" w14:textId="37CC8909" w:rsidR="00FC57B9" w:rsidRDefault="00FC57B9">
      <w:pPr>
        <w:pStyle w:val="FootnoteText"/>
      </w:pPr>
      <w:r>
        <w:rPr>
          <w:rStyle w:val="FootnoteReference"/>
        </w:rPr>
        <w:footnoteRef/>
      </w:r>
      <w:r>
        <w:t xml:space="preserve"> </w:t>
      </w:r>
      <w:r w:rsidRPr="00FC57B9">
        <w:t xml:space="preserve">EMC, </w:t>
      </w:r>
      <w:hyperlink r:id="rId110" w:history="1">
        <w:r w:rsidRPr="00FC57B9">
          <w:rPr>
            <w:rStyle w:val="Hyperlink"/>
          </w:rPr>
          <w:t>Social Exclusion of LGBTQ Group in Georgia</w:t>
        </w:r>
      </w:hyperlink>
      <w:r w:rsidRPr="00FC57B9">
        <w:t>, (page 149), 2020</w:t>
      </w:r>
    </w:p>
  </w:footnote>
  <w:footnote w:id="112">
    <w:p w14:paraId="5BB7BC79" w14:textId="2D7CC1FD" w:rsidR="00673162" w:rsidRDefault="00673162">
      <w:pPr>
        <w:pStyle w:val="FootnoteText"/>
      </w:pPr>
      <w:r>
        <w:rPr>
          <w:rStyle w:val="FootnoteReference"/>
        </w:rPr>
        <w:footnoteRef/>
      </w:r>
      <w:r>
        <w:t xml:space="preserve"> </w:t>
      </w:r>
      <w:r w:rsidRPr="00673162">
        <w:t xml:space="preserve">EMC, </w:t>
      </w:r>
      <w:hyperlink r:id="rId111" w:history="1">
        <w:r w:rsidRPr="00673162">
          <w:rPr>
            <w:rStyle w:val="Hyperlink"/>
          </w:rPr>
          <w:t>Social Exclusion of LGBTQ Group in Georgia</w:t>
        </w:r>
      </w:hyperlink>
      <w:r w:rsidRPr="00673162">
        <w:t>, (page 1</w:t>
      </w:r>
      <w:r>
        <w:t>50</w:t>
      </w:r>
      <w:r w:rsidRPr="00673162">
        <w:t>), 2020</w:t>
      </w:r>
    </w:p>
  </w:footnote>
  <w:footnote w:id="113">
    <w:p w14:paraId="3786A8F0" w14:textId="4012550B" w:rsidR="006448B5" w:rsidRDefault="006448B5" w:rsidP="006448B5">
      <w:pPr>
        <w:pStyle w:val="FootnoteText"/>
      </w:pPr>
      <w:r>
        <w:rPr>
          <w:rStyle w:val="FootnoteReference"/>
        </w:rPr>
        <w:footnoteRef/>
      </w:r>
      <w:r w:rsidR="00F5694D">
        <w:t xml:space="preserve"> </w:t>
      </w:r>
      <w:r>
        <w:t>PDO, ‘</w:t>
      </w:r>
      <w:hyperlink r:id="rId112" w:anchor=":~:text=The%20study%E2%80%99s%20objective%20is%20to%20conduct%20an%20in-depth,the%20legislative%20framework%20and%20the%20de%20facto%20situation." w:history="1">
        <w:r>
          <w:rPr>
            <w:rStyle w:val="Hyperlink"/>
          </w:rPr>
          <w:t>The Rights of LGBT+ People in Georgia</w:t>
        </w:r>
      </w:hyperlink>
      <w:r>
        <w:t>’, (page 44), 29 April 2022</w:t>
      </w:r>
    </w:p>
  </w:footnote>
  <w:footnote w:id="114">
    <w:p w14:paraId="3EB4684B" w14:textId="77777777" w:rsidR="00981494" w:rsidRDefault="00981494" w:rsidP="00981494">
      <w:pPr>
        <w:pStyle w:val="FootnoteText"/>
      </w:pPr>
      <w:r>
        <w:rPr>
          <w:rStyle w:val="FootnoteReference"/>
        </w:rPr>
        <w:footnoteRef/>
      </w:r>
      <w:r>
        <w:t xml:space="preserve"> Coalition for Equality, </w:t>
      </w:r>
      <w:hyperlink r:id="rId113" w:history="1">
        <w:r>
          <w:rPr>
            <w:rStyle w:val="Hyperlink"/>
          </w:rPr>
          <w:t>The main challenges of the social protection…</w:t>
        </w:r>
      </w:hyperlink>
      <w:r>
        <w:t>’, 17 March 2022</w:t>
      </w:r>
    </w:p>
  </w:footnote>
  <w:footnote w:id="115">
    <w:p w14:paraId="408E9893" w14:textId="3D0618DD" w:rsidR="00892747" w:rsidRDefault="00892747">
      <w:pPr>
        <w:pStyle w:val="FootnoteText"/>
      </w:pPr>
      <w:r>
        <w:rPr>
          <w:rStyle w:val="FootnoteReference"/>
        </w:rPr>
        <w:footnoteRef/>
      </w:r>
      <w:r>
        <w:t xml:space="preserve"> </w:t>
      </w:r>
      <w:r w:rsidR="00E41342" w:rsidRPr="00E41342">
        <w:t xml:space="preserve">EMC, </w:t>
      </w:r>
      <w:hyperlink r:id="rId114" w:history="1">
        <w:r w:rsidR="00E41342" w:rsidRPr="00E41342">
          <w:rPr>
            <w:rStyle w:val="Hyperlink"/>
          </w:rPr>
          <w:t>Social Exclusion of LGBTQ Group in Georgia</w:t>
        </w:r>
      </w:hyperlink>
      <w:r w:rsidR="00E41342" w:rsidRPr="00E41342">
        <w:t>, (page 1</w:t>
      </w:r>
      <w:r w:rsidR="00E41342">
        <w:t>37</w:t>
      </w:r>
      <w:r w:rsidR="00E41342" w:rsidRPr="00E41342">
        <w:t>), 2020</w:t>
      </w:r>
    </w:p>
  </w:footnote>
  <w:footnote w:id="116">
    <w:p w14:paraId="332194E0" w14:textId="77777777" w:rsidR="0054654F" w:rsidRDefault="0054654F" w:rsidP="0054654F">
      <w:pPr>
        <w:pStyle w:val="FootnoteText"/>
      </w:pPr>
      <w:r>
        <w:rPr>
          <w:rStyle w:val="FootnoteReference"/>
        </w:rPr>
        <w:footnoteRef/>
      </w:r>
      <w:r>
        <w:t xml:space="preserve"> PDO, </w:t>
      </w:r>
      <w:hyperlink r:id="rId115" w:history="1">
        <w:r>
          <w:rPr>
            <w:rStyle w:val="Hyperlink"/>
          </w:rPr>
          <w:t>Report of the Public Defender of Georgia....</w:t>
        </w:r>
      </w:hyperlink>
      <w:r>
        <w:t>, (page 110), 2021</w:t>
      </w:r>
    </w:p>
  </w:footnote>
  <w:footnote w:id="117">
    <w:p w14:paraId="078624C0" w14:textId="5856E494" w:rsidR="00981494" w:rsidRDefault="00981494" w:rsidP="00981494">
      <w:pPr>
        <w:pStyle w:val="FootnoteText"/>
      </w:pPr>
      <w:r>
        <w:rPr>
          <w:rStyle w:val="FootnoteReference"/>
        </w:rPr>
        <w:footnoteRef/>
      </w:r>
      <w:r w:rsidR="000E4334">
        <w:t>PDO</w:t>
      </w:r>
      <w:r>
        <w:t xml:space="preserve">, </w:t>
      </w:r>
      <w:hyperlink r:id="rId116" w:history="1">
        <w:r w:rsidR="00313355">
          <w:rPr>
            <w:rStyle w:val="Hyperlink"/>
          </w:rPr>
          <w:t>The Rights of LGBT+ People in Georgia</w:t>
        </w:r>
      </w:hyperlink>
      <w:r>
        <w:t>’,</w:t>
      </w:r>
      <w:r w:rsidR="00045547">
        <w:t xml:space="preserve"> (page </w:t>
      </w:r>
      <w:r w:rsidR="00C7707C">
        <w:t>40</w:t>
      </w:r>
      <w:r w:rsidR="00045547">
        <w:t>),</w:t>
      </w:r>
      <w:r w:rsidR="00F5694D">
        <w:t xml:space="preserve"> </w:t>
      </w:r>
      <w:r w:rsidR="00313355">
        <w:t xml:space="preserve">29 April </w:t>
      </w:r>
      <w:r>
        <w:t>202</w:t>
      </w:r>
      <w:r w:rsidR="00313355">
        <w:t>2</w:t>
      </w:r>
      <w:r>
        <w:rPr>
          <w:rFonts w:ascii="Segoe UI" w:hAnsi="Segoe UI" w:cs="Segoe UI"/>
          <w:color w:val="212529"/>
          <w:sz w:val="21"/>
          <w:szCs w:val="21"/>
          <w:shd w:val="clear" w:color="auto" w:fill="FFFFFF"/>
        </w:rPr>
        <w:t> </w:t>
      </w:r>
    </w:p>
  </w:footnote>
  <w:footnote w:id="118">
    <w:p w14:paraId="6DC65E75" w14:textId="02EFFFA2" w:rsidR="00981494" w:rsidRDefault="00981494" w:rsidP="00981494">
      <w:pPr>
        <w:pStyle w:val="FootnoteText"/>
      </w:pPr>
      <w:r>
        <w:rPr>
          <w:rStyle w:val="FootnoteReference"/>
        </w:rPr>
        <w:footnoteRef/>
      </w:r>
      <w:r>
        <w:t xml:space="preserve"> Coalition for Equality, </w:t>
      </w:r>
      <w:hyperlink r:id="rId117" w:history="1">
        <w:r>
          <w:rPr>
            <w:rStyle w:val="Hyperlink"/>
          </w:rPr>
          <w:t>The main challenges of the social protection…</w:t>
        </w:r>
      </w:hyperlink>
      <w:r>
        <w:t>’ page 65, 17 March 2022</w:t>
      </w:r>
    </w:p>
  </w:footnote>
  <w:footnote w:id="119">
    <w:p w14:paraId="08E4E830" w14:textId="7866B6AF" w:rsidR="004061AF" w:rsidRDefault="004061AF">
      <w:pPr>
        <w:pStyle w:val="FootnoteText"/>
      </w:pPr>
      <w:r>
        <w:rPr>
          <w:rStyle w:val="FootnoteReference"/>
        </w:rPr>
        <w:footnoteRef/>
      </w:r>
      <w:r>
        <w:t xml:space="preserve"> Equality Movement, </w:t>
      </w:r>
      <w:hyperlink r:id="rId118" w:history="1">
        <w:r w:rsidRPr="001E0CE2">
          <w:rPr>
            <w:rStyle w:val="Hyperlink"/>
          </w:rPr>
          <w:t>Doctor</w:t>
        </w:r>
      </w:hyperlink>
      <w:r>
        <w:t>, no date</w:t>
      </w:r>
    </w:p>
  </w:footnote>
  <w:footnote w:id="120">
    <w:p w14:paraId="521C515B" w14:textId="77777777" w:rsidR="00191052" w:rsidRDefault="00191052" w:rsidP="00191052">
      <w:pPr>
        <w:pStyle w:val="FootnoteText"/>
      </w:pPr>
      <w:r>
        <w:rPr>
          <w:rStyle w:val="FootnoteReference"/>
        </w:rPr>
        <w:footnoteRef/>
      </w:r>
      <w:r>
        <w:t xml:space="preserve"> Coalition for Equality, </w:t>
      </w:r>
      <w:hyperlink r:id="rId119" w:history="1">
        <w:r>
          <w:rPr>
            <w:rStyle w:val="Hyperlink"/>
          </w:rPr>
          <w:t>The main challenges of the social protection…</w:t>
        </w:r>
      </w:hyperlink>
      <w:r>
        <w:t>’ page 65, 17 March 2022</w:t>
      </w:r>
    </w:p>
  </w:footnote>
  <w:footnote w:id="121">
    <w:p w14:paraId="2369FEA8" w14:textId="77777777" w:rsidR="00191052" w:rsidRDefault="00191052" w:rsidP="00191052">
      <w:pPr>
        <w:pStyle w:val="FootnoteText"/>
      </w:pPr>
      <w:r>
        <w:rPr>
          <w:rStyle w:val="FootnoteReference"/>
        </w:rPr>
        <w:footnoteRef/>
      </w:r>
      <w:r>
        <w:t xml:space="preserve"> Coalition for Equality, </w:t>
      </w:r>
      <w:hyperlink r:id="rId120" w:history="1">
        <w:r>
          <w:rPr>
            <w:rStyle w:val="Hyperlink"/>
          </w:rPr>
          <w:t>The main challenges of the social protection…</w:t>
        </w:r>
      </w:hyperlink>
      <w:r>
        <w:t>’ page 68, 17 March 2022</w:t>
      </w:r>
    </w:p>
  </w:footnote>
  <w:footnote w:id="122">
    <w:p w14:paraId="345B2A68" w14:textId="77777777" w:rsidR="00191052" w:rsidRDefault="00191052" w:rsidP="00191052">
      <w:pPr>
        <w:pStyle w:val="FootnoteText"/>
      </w:pPr>
      <w:r>
        <w:rPr>
          <w:rStyle w:val="FootnoteReference"/>
        </w:rPr>
        <w:footnoteRef/>
      </w:r>
      <w:r>
        <w:t xml:space="preserve"> Coalition for Equality, </w:t>
      </w:r>
      <w:hyperlink r:id="rId121" w:history="1">
        <w:r>
          <w:rPr>
            <w:rStyle w:val="Hyperlink"/>
          </w:rPr>
          <w:t>The main challenges of the social protection…</w:t>
        </w:r>
      </w:hyperlink>
      <w:r>
        <w:t>’ page 66-67, 17 March 2022</w:t>
      </w:r>
    </w:p>
  </w:footnote>
  <w:footnote w:id="123">
    <w:p w14:paraId="6C3EB450" w14:textId="2986DA84" w:rsidR="00F62BD6" w:rsidRDefault="00F62BD6">
      <w:pPr>
        <w:pStyle w:val="FootnoteText"/>
      </w:pPr>
      <w:r>
        <w:rPr>
          <w:rStyle w:val="FootnoteReference"/>
        </w:rPr>
        <w:footnoteRef/>
      </w:r>
      <w:r>
        <w:t xml:space="preserve"> Equality Movement, </w:t>
      </w:r>
      <w:hyperlink r:id="rId122" w:history="1">
        <w:r w:rsidR="002417A2" w:rsidRPr="004509BF">
          <w:rPr>
            <w:rStyle w:val="Hyperlink"/>
          </w:rPr>
          <w:t>Psychologist</w:t>
        </w:r>
      </w:hyperlink>
      <w:r w:rsidR="002417A2">
        <w:t>, no date</w:t>
      </w:r>
    </w:p>
  </w:footnote>
  <w:footnote w:id="124">
    <w:p w14:paraId="0F6CB41A" w14:textId="77777777" w:rsidR="00811ADE" w:rsidRDefault="00811ADE" w:rsidP="00811ADE">
      <w:pPr>
        <w:pStyle w:val="FootnoteText"/>
      </w:pPr>
      <w:r>
        <w:rPr>
          <w:rStyle w:val="FootnoteReference"/>
        </w:rPr>
        <w:footnoteRef/>
      </w:r>
      <w:r>
        <w:t xml:space="preserve"> EMC, </w:t>
      </w:r>
      <w:hyperlink r:id="rId123" w:history="1">
        <w:r>
          <w:rPr>
            <w:rStyle w:val="Hyperlink"/>
          </w:rPr>
          <w:t>Social Exclusion of LGBTQ Group in Georgia</w:t>
        </w:r>
      </w:hyperlink>
      <w:r>
        <w:t>, (p.11), 2020</w:t>
      </w:r>
    </w:p>
  </w:footnote>
  <w:footnote w:id="125">
    <w:p w14:paraId="25E7DD4C" w14:textId="77777777" w:rsidR="008207D6" w:rsidRDefault="008207D6" w:rsidP="008207D6">
      <w:pPr>
        <w:pStyle w:val="FootnoteText"/>
      </w:pPr>
      <w:r>
        <w:rPr>
          <w:rStyle w:val="FootnoteReference"/>
        </w:rPr>
        <w:footnoteRef/>
      </w:r>
      <w:r>
        <w:t xml:space="preserve"> USSD, ‘</w:t>
      </w:r>
      <w:hyperlink r:id="rId124" w:history="1">
        <w:r>
          <w:rPr>
            <w:rStyle w:val="Hyperlink"/>
          </w:rPr>
          <w:t>2022 Country Reports on Human Rights Practices: Georgia</w:t>
        </w:r>
      </w:hyperlink>
      <w:r>
        <w:t>’ (Section 7), 20 March 2023</w:t>
      </w:r>
    </w:p>
  </w:footnote>
  <w:footnote w:id="126">
    <w:p w14:paraId="31CE99AE" w14:textId="2C9F1A4F" w:rsidR="00BB68E0" w:rsidRDefault="00BB68E0">
      <w:pPr>
        <w:pStyle w:val="FootnoteText"/>
      </w:pPr>
      <w:r>
        <w:rPr>
          <w:rStyle w:val="FootnoteReference"/>
        </w:rPr>
        <w:footnoteRef/>
      </w:r>
      <w:r>
        <w:t xml:space="preserve"> </w:t>
      </w:r>
      <w:bookmarkStart w:id="179" w:name="_Hlk145953688"/>
      <w:r w:rsidRPr="00BB68E0">
        <w:t xml:space="preserve">EMC, </w:t>
      </w:r>
      <w:hyperlink r:id="rId125" w:history="1">
        <w:r w:rsidRPr="00BB68E0">
          <w:rPr>
            <w:rStyle w:val="Hyperlink"/>
          </w:rPr>
          <w:t>Social Exclusion of LGBTQ Group in Georgia</w:t>
        </w:r>
      </w:hyperlink>
      <w:r w:rsidRPr="00BB68E0">
        <w:t xml:space="preserve">, (page </w:t>
      </w:r>
      <w:r>
        <w:t>65</w:t>
      </w:r>
      <w:r w:rsidRPr="00BB68E0">
        <w:t>), 2020</w:t>
      </w:r>
      <w:bookmarkEnd w:id="179"/>
    </w:p>
  </w:footnote>
  <w:footnote w:id="127">
    <w:p w14:paraId="181515C9" w14:textId="2345ADB8" w:rsidR="00BB68E0" w:rsidRDefault="00BB68E0">
      <w:pPr>
        <w:pStyle w:val="FootnoteText"/>
      </w:pPr>
      <w:r>
        <w:rPr>
          <w:rStyle w:val="FootnoteReference"/>
        </w:rPr>
        <w:footnoteRef/>
      </w:r>
      <w:r>
        <w:t xml:space="preserve"> </w:t>
      </w:r>
      <w:r w:rsidRPr="00BB68E0">
        <w:t xml:space="preserve">EMC, </w:t>
      </w:r>
      <w:hyperlink r:id="rId126" w:history="1">
        <w:r w:rsidRPr="00BB68E0">
          <w:rPr>
            <w:rStyle w:val="Hyperlink"/>
          </w:rPr>
          <w:t>Social Exclusion of LGBTQ Group in Georgia</w:t>
        </w:r>
      </w:hyperlink>
      <w:r w:rsidRPr="00BB68E0">
        <w:t xml:space="preserve">, (page </w:t>
      </w:r>
      <w:r>
        <w:t>11</w:t>
      </w:r>
      <w:r w:rsidRPr="00BB68E0">
        <w:t>5), 2020</w:t>
      </w:r>
    </w:p>
  </w:footnote>
  <w:footnote w:id="128">
    <w:p w14:paraId="6E2291B5" w14:textId="48327DF4" w:rsidR="00981494" w:rsidRPr="00092710" w:rsidRDefault="00981494" w:rsidP="00981494">
      <w:pPr>
        <w:pStyle w:val="FootnoteText"/>
      </w:pPr>
      <w:r w:rsidRPr="00092710">
        <w:rPr>
          <w:rStyle w:val="FootnoteReference"/>
        </w:rPr>
        <w:footnoteRef/>
      </w:r>
      <w:r w:rsidR="000E4334" w:rsidRPr="00092710">
        <w:t xml:space="preserve"> PDO</w:t>
      </w:r>
      <w:r w:rsidRPr="00092710">
        <w:t xml:space="preserve">, </w:t>
      </w:r>
      <w:hyperlink r:id="rId127" w:history="1">
        <w:r w:rsidR="00313355">
          <w:rPr>
            <w:rStyle w:val="Hyperlink"/>
          </w:rPr>
          <w:t>The Rights of LGBT+ People in Georgia</w:t>
        </w:r>
      </w:hyperlink>
      <w:r w:rsidRPr="00092710">
        <w:t>’</w:t>
      </w:r>
      <w:r w:rsidR="00F5694D">
        <w:t xml:space="preserve"> </w:t>
      </w:r>
      <w:r w:rsidR="00A640A1">
        <w:t>(page 35)</w:t>
      </w:r>
      <w:r w:rsidRPr="00092710">
        <w:t xml:space="preserve">, </w:t>
      </w:r>
      <w:r w:rsidR="00313355">
        <w:t xml:space="preserve">29 April 2022 </w:t>
      </w:r>
    </w:p>
  </w:footnote>
  <w:footnote w:id="129">
    <w:p w14:paraId="17A44661" w14:textId="77777777" w:rsidR="00981494" w:rsidRDefault="00981494" w:rsidP="00981494">
      <w:pPr>
        <w:pStyle w:val="FootnoteText"/>
      </w:pPr>
      <w:r>
        <w:rPr>
          <w:rStyle w:val="FootnoteReference"/>
        </w:rPr>
        <w:footnoteRef/>
      </w:r>
      <w:r>
        <w:t xml:space="preserve"> Coalition for Equality, ‘</w:t>
      </w:r>
      <w:hyperlink r:id="rId128" w:history="1">
        <w:r>
          <w:rPr>
            <w:rStyle w:val="Hyperlink"/>
          </w:rPr>
          <w:t>The main challenges of the social protection…</w:t>
        </w:r>
      </w:hyperlink>
      <w:r>
        <w:t>’ page 62-64, 17 March 2022</w:t>
      </w:r>
    </w:p>
  </w:footnote>
  <w:footnote w:id="130">
    <w:p w14:paraId="0868D6F9" w14:textId="77777777" w:rsidR="00811D56" w:rsidRDefault="00811D56" w:rsidP="00811D56">
      <w:pPr>
        <w:pStyle w:val="FootnoteText"/>
      </w:pPr>
      <w:r>
        <w:rPr>
          <w:rStyle w:val="FootnoteReference"/>
        </w:rPr>
        <w:footnoteRef/>
      </w:r>
      <w:r>
        <w:t xml:space="preserve"> EMC, </w:t>
      </w:r>
      <w:hyperlink r:id="rId129" w:history="1">
        <w:r>
          <w:rPr>
            <w:rStyle w:val="Hyperlink"/>
          </w:rPr>
          <w:t>Social Exclusion of LGBTQ Group in Georgia</w:t>
        </w:r>
      </w:hyperlink>
      <w:r>
        <w:t>, (p.10), 2020</w:t>
      </w:r>
    </w:p>
  </w:footnote>
  <w:footnote w:id="131">
    <w:p w14:paraId="4B9517CC" w14:textId="77777777" w:rsidR="007F583F" w:rsidRDefault="007F583F" w:rsidP="007F583F">
      <w:pPr>
        <w:pStyle w:val="FootnoteText"/>
      </w:pPr>
      <w:r>
        <w:rPr>
          <w:rStyle w:val="FootnoteReference"/>
        </w:rPr>
        <w:footnoteRef/>
      </w:r>
      <w:r>
        <w:t xml:space="preserve"> </w:t>
      </w:r>
      <w:r w:rsidRPr="000A2702">
        <w:t>EM</w:t>
      </w:r>
      <w:r>
        <w:t>C</w:t>
      </w:r>
      <w:r w:rsidRPr="000A2702">
        <w:t>, ‘</w:t>
      </w:r>
      <w:hyperlink r:id="rId130" w:history="1">
        <w:r w:rsidRPr="000A2702">
          <w:rPr>
            <w:rStyle w:val="Hyperlink"/>
          </w:rPr>
          <w:t>Social Exclusion of LGBTQ Group in Georgia</w:t>
        </w:r>
      </w:hyperlink>
      <w:r w:rsidRPr="000A2702">
        <w:t>’,</w:t>
      </w:r>
      <w:r>
        <w:t xml:space="preserve"> (pg.53),</w:t>
      </w:r>
      <w:r w:rsidRPr="000A2702">
        <w:t xml:space="preserve"> 2020</w:t>
      </w:r>
    </w:p>
  </w:footnote>
  <w:footnote w:id="132">
    <w:p w14:paraId="1E5FD211" w14:textId="77777777" w:rsidR="00F35FDC" w:rsidRDefault="00F35FDC" w:rsidP="00F35FDC">
      <w:pPr>
        <w:pStyle w:val="FootnoteText"/>
      </w:pPr>
      <w:r>
        <w:rPr>
          <w:rStyle w:val="FootnoteReference"/>
        </w:rPr>
        <w:footnoteRef/>
      </w:r>
      <w:r>
        <w:t xml:space="preserve"> EMC, </w:t>
      </w:r>
      <w:r w:rsidRPr="00047B8C">
        <w:t>‘</w:t>
      </w:r>
      <w:hyperlink r:id="rId131" w:history="1">
        <w:r w:rsidRPr="00047B8C">
          <w:rPr>
            <w:rStyle w:val="Hyperlink"/>
          </w:rPr>
          <w:t>Social Exclusion of LGBTQ Group in Georgia</w:t>
        </w:r>
      </w:hyperlink>
      <w:r w:rsidRPr="00047B8C">
        <w:t>’, (pg.</w:t>
      </w:r>
      <w:r>
        <w:t>44</w:t>
      </w:r>
      <w:r w:rsidRPr="00047B8C">
        <w:t>), 2020</w:t>
      </w:r>
    </w:p>
  </w:footnote>
  <w:footnote w:id="133">
    <w:p w14:paraId="73FDFAA3" w14:textId="1D1907E8" w:rsidR="00060EE5" w:rsidRDefault="00060EE5" w:rsidP="00060EE5">
      <w:pPr>
        <w:pStyle w:val="FootnoteText"/>
      </w:pPr>
      <w:r>
        <w:rPr>
          <w:rStyle w:val="FootnoteReference"/>
        </w:rPr>
        <w:footnoteRef/>
      </w:r>
      <w:r>
        <w:t xml:space="preserve"> </w:t>
      </w:r>
      <w:bookmarkStart w:id="188" w:name="_Hlk145939796"/>
      <w:r>
        <w:t>EM</w:t>
      </w:r>
      <w:r w:rsidR="00522B04">
        <w:t>C</w:t>
      </w:r>
      <w:r>
        <w:t>, ‘</w:t>
      </w:r>
      <w:hyperlink r:id="rId132" w:history="1">
        <w:r>
          <w:rPr>
            <w:rStyle w:val="Hyperlink"/>
          </w:rPr>
          <w:t>Social Exclusion of LGBTQ Group in Georgia</w:t>
        </w:r>
      </w:hyperlink>
      <w:r>
        <w:t xml:space="preserve">’, </w:t>
      </w:r>
      <w:r w:rsidR="004F39E4">
        <w:t xml:space="preserve">(pg. 63) </w:t>
      </w:r>
      <w:r>
        <w:t>2020</w:t>
      </w:r>
      <w:bookmarkEnd w:id="188"/>
    </w:p>
  </w:footnote>
  <w:footnote w:id="134">
    <w:p w14:paraId="4FBF670E" w14:textId="62AD0362" w:rsidR="006B78BC" w:rsidRDefault="006B78BC">
      <w:pPr>
        <w:pStyle w:val="FootnoteText"/>
      </w:pPr>
      <w:r>
        <w:rPr>
          <w:rStyle w:val="FootnoteReference"/>
        </w:rPr>
        <w:footnoteRef/>
      </w:r>
      <w:r>
        <w:t xml:space="preserve"> </w:t>
      </w:r>
      <w:r w:rsidRPr="006B78BC">
        <w:t>EMC, ‘</w:t>
      </w:r>
      <w:hyperlink r:id="rId133" w:history="1">
        <w:r w:rsidRPr="006B78BC">
          <w:rPr>
            <w:rStyle w:val="Hyperlink"/>
          </w:rPr>
          <w:t>Social Exclusion of LGBTQ Group in Georgia</w:t>
        </w:r>
      </w:hyperlink>
      <w:r w:rsidRPr="006B78BC">
        <w:t>’, (pg. 6</w:t>
      </w:r>
      <w:r>
        <w:t>9</w:t>
      </w:r>
      <w:r w:rsidRPr="006B78BC">
        <w:t>) 2020</w:t>
      </w:r>
    </w:p>
  </w:footnote>
  <w:footnote w:id="135">
    <w:p w14:paraId="71853CB8" w14:textId="77777777" w:rsidR="00060EE5" w:rsidRDefault="00060EE5" w:rsidP="00060EE5">
      <w:pPr>
        <w:pStyle w:val="FootnoteText"/>
      </w:pPr>
      <w:r>
        <w:rPr>
          <w:rStyle w:val="FootnoteReference"/>
        </w:rPr>
        <w:footnoteRef/>
      </w:r>
      <w:r>
        <w:t xml:space="preserve"> WISG, ‘</w:t>
      </w:r>
      <w:hyperlink r:id="rId134" w:history="1">
        <w:r>
          <w:rPr>
            <w:rStyle w:val="Hyperlink"/>
          </w:rPr>
          <w:t>From Prejudice to Equality...</w:t>
        </w:r>
      </w:hyperlink>
      <w:r>
        <w:t>’ (page 25), 6 May 2022</w:t>
      </w:r>
    </w:p>
  </w:footnote>
  <w:footnote w:id="136">
    <w:p w14:paraId="1F774247" w14:textId="77777777" w:rsidR="00060EE5" w:rsidRDefault="00060EE5" w:rsidP="00060EE5">
      <w:pPr>
        <w:pStyle w:val="FootnoteText"/>
      </w:pPr>
      <w:r>
        <w:rPr>
          <w:rStyle w:val="FootnoteReference"/>
        </w:rPr>
        <w:footnoteRef/>
      </w:r>
      <w:r>
        <w:t xml:space="preserve"> The Economist, </w:t>
      </w:r>
      <w:hyperlink r:id="rId135" w:history="1">
        <w:r w:rsidRPr="00E26F6B">
          <w:rPr>
            <w:rStyle w:val="Hyperlink"/>
          </w:rPr>
          <w:t>Bouncers at gay clubs in Georgia screen patrons for bigotry</w:t>
        </w:r>
      </w:hyperlink>
      <w:r>
        <w:t>, 4 Nov 2021</w:t>
      </w:r>
    </w:p>
  </w:footnote>
  <w:footnote w:id="137">
    <w:p w14:paraId="3D3652C5" w14:textId="77777777" w:rsidR="00060EE5" w:rsidRDefault="00060EE5" w:rsidP="00060EE5">
      <w:pPr>
        <w:pStyle w:val="FootnoteText"/>
      </w:pPr>
      <w:r>
        <w:rPr>
          <w:rStyle w:val="FootnoteReference"/>
        </w:rPr>
        <w:footnoteRef/>
      </w:r>
      <w:r>
        <w:t xml:space="preserve"> BBC Culture, ‘</w:t>
      </w:r>
      <w:hyperlink r:id="rId136" w:history="1">
        <w:r>
          <w:rPr>
            <w:rStyle w:val="Hyperlink"/>
          </w:rPr>
          <w:t>Georgia's surprising LGBTQ+ scene</w:t>
        </w:r>
      </w:hyperlink>
      <w:r>
        <w:t>’, 25 January 2023</w:t>
      </w:r>
    </w:p>
  </w:footnote>
  <w:footnote w:id="138">
    <w:p w14:paraId="109A556A" w14:textId="77777777" w:rsidR="003677C1" w:rsidRDefault="003677C1" w:rsidP="003677C1">
      <w:pPr>
        <w:pStyle w:val="FootnoteText"/>
      </w:pPr>
      <w:r>
        <w:rPr>
          <w:rStyle w:val="FootnoteReference"/>
        </w:rPr>
        <w:footnoteRef/>
      </w:r>
      <w:r>
        <w:t xml:space="preserve"> BBC Culture, ‘</w:t>
      </w:r>
      <w:hyperlink r:id="rId137" w:history="1">
        <w:r>
          <w:rPr>
            <w:rStyle w:val="Hyperlink"/>
          </w:rPr>
          <w:t>Georgia's surprising LGBTQ+ scene</w:t>
        </w:r>
      </w:hyperlink>
      <w:r>
        <w:t>’, 25 January 2023</w:t>
      </w:r>
    </w:p>
  </w:footnote>
  <w:footnote w:id="139">
    <w:p w14:paraId="68121326" w14:textId="77777777" w:rsidR="00060EE5" w:rsidRDefault="00060EE5" w:rsidP="00060EE5">
      <w:pPr>
        <w:pStyle w:val="FootnoteText"/>
      </w:pPr>
      <w:r>
        <w:rPr>
          <w:rStyle w:val="FootnoteReference"/>
        </w:rPr>
        <w:footnoteRef/>
      </w:r>
      <w:r>
        <w:t xml:space="preserve"> Tbilisi Pride, ‘</w:t>
      </w:r>
      <w:hyperlink r:id="rId138" w:history="1">
        <w:r>
          <w:rPr>
            <w:rStyle w:val="Hyperlink"/>
          </w:rPr>
          <w:t>Mission</w:t>
        </w:r>
      </w:hyperlink>
      <w:r>
        <w:t>’, no date</w:t>
      </w:r>
    </w:p>
  </w:footnote>
  <w:footnote w:id="140">
    <w:p w14:paraId="187592DE" w14:textId="77777777" w:rsidR="00060EE5" w:rsidRDefault="00060EE5" w:rsidP="00060EE5">
      <w:pPr>
        <w:pStyle w:val="FootnoteText"/>
      </w:pPr>
      <w:r>
        <w:rPr>
          <w:rStyle w:val="FootnoteReference"/>
        </w:rPr>
        <w:footnoteRef/>
      </w:r>
      <w:r>
        <w:t xml:space="preserve"> WISG, ‘</w:t>
      </w:r>
      <w:hyperlink r:id="rId139" w:history="1">
        <w:r>
          <w:rPr>
            <w:rStyle w:val="Hyperlink"/>
          </w:rPr>
          <w:t>About</w:t>
        </w:r>
      </w:hyperlink>
      <w:r>
        <w:t>’, no date</w:t>
      </w:r>
    </w:p>
  </w:footnote>
  <w:footnote w:id="141">
    <w:p w14:paraId="718FFE00" w14:textId="77777777" w:rsidR="00060EE5" w:rsidRDefault="00060EE5" w:rsidP="00060EE5">
      <w:pPr>
        <w:pStyle w:val="FootnoteText"/>
      </w:pPr>
      <w:r>
        <w:rPr>
          <w:rStyle w:val="FootnoteReference"/>
        </w:rPr>
        <w:footnoteRef/>
      </w:r>
      <w:r>
        <w:t xml:space="preserve"> Equality Movement, </w:t>
      </w:r>
      <w:hyperlink r:id="rId140" w:history="1">
        <w:r w:rsidRPr="0033786E">
          <w:rPr>
            <w:rStyle w:val="Hyperlink"/>
          </w:rPr>
          <w:t>Mission/Vision</w:t>
        </w:r>
      </w:hyperlink>
      <w:r>
        <w:t>, no date</w:t>
      </w:r>
    </w:p>
  </w:footnote>
  <w:footnote w:id="142">
    <w:p w14:paraId="3C103E69" w14:textId="77777777" w:rsidR="00060EE5" w:rsidRDefault="00060EE5" w:rsidP="00060EE5">
      <w:pPr>
        <w:pStyle w:val="FootnoteText"/>
      </w:pPr>
      <w:r>
        <w:rPr>
          <w:rStyle w:val="FootnoteReference"/>
        </w:rPr>
        <w:footnoteRef/>
      </w:r>
      <w:r>
        <w:t xml:space="preserve"> Equality Movement, </w:t>
      </w:r>
      <w:hyperlink r:id="rId141" w:history="1">
        <w:r w:rsidRPr="0033786E">
          <w:rPr>
            <w:rStyle w:val="Hyperlink"/>
          </w:rPr>
          <w:t>Mission/Vision</w:t>
        </w:r>
      </w:hyperlink>
      <w:r>
        <w:t>, no date</w:t>
      </w:r>
    </w:p>
  </w:footnote>
  <w:footnote w:id="143">
    <w:p w14:paraId="56371816" w14:textId="77777777" w:rsidR="00060EE5" w:rsidRDefault="00060EE5" w:rsidP="00060EE5">
      <w:pPr>
        <w:pStyle w:val="FootnoteText"/>
      </w:pPr>
      <w:r>
        <w:rPr>
          <w:rStyle w:val="FootnoteReference"/>
        </w:rPr>
        <w:footnoteRef/>
      </w:r>
      <w:r>
        <w:t xml:space="preserve"> HRC, </w:t>
      </w:r>
      <w:hyperlink r:id="rId142" w:history="1">
        <w:r w:rsidRPr="00A84920">
          <w:rPr>
            <w:rStyle w:val="Hyperlink"/>
          </w:rPr>
          <w:t>Vision and Mission</w:t>
        </w:r>
      </w:hyperlink>
      <w:r>
        <w:t xml:space="preserve">, no date </w:t>
      </w:r>
    </w:p>
  </w:footnote>
  <w:footnote w:id="144">
    <w:p w14:paraId="1AA3EAF2" w14:textId="77777777" w:rsidR="00060EE5" w:rsidRDefault="00060EE5" w:rsidP="00060EE5">
      <w:pPr>
        <w:pStyle w:val="FootnoteText"/>
      </w:pPr>
      <w:r>
        <w:rPr>
          <w:rStyle w:val="FootnoteReference"/>
        </w:rPr>
        <w:footnoteRef/>
      </w:r>
      <w:r>
        <w:t xml:space="preserve"> HRC, </w:t>
      </w:r>
      <w:hyperlink r:id="rId143" w:history="1">
        <w:r w:rsidRPr="007D30C2">
          <w:rPr>
            <w:rStyle w:val="Hyperlink"/>
          </w:rPr>
          <w:t>Priorities</w:t>
        </w:r>
      </w:hyperlink>
      <w:r>
        <w:t xml:space="preserve">, no date </w:t>
      </w:r>
    </w:p>
  </w:footnote>
  <w:footnote w:id="145">
    <w:p w14:paraId="25CACBEF" w14:textId="016DC67C" w:rsidR="002A38AE" w:rsidRDefault="002A38AE">
      <w:pPr>
        <w:pStyle w:val="FootnoteText"/>
      </w:pPr>
      <w:r>
        <w:rPr>
          <w:rStyle w:val="FootnoteReference"/>
        </w:rPr>
        <w:footnoteRef/>
      </w:r>
      <w:r>
        <w:t xml:space="preserve"> BBC, ‘</w:t>
      </w:r>
      <w:hyperlink r:id="rId144" w:history="1">
        <w:r w:rsidRPr="009E76E4">
          <w:rPr>
            <w:rStyle w:val="Hyperlink"/>
          </w:rPr>
          <w:t>Country profile: Georgia</w:t>
        </w:r>
      </w:hyperlink>
      <w:r>
        <w:t xml:space="preserve">’, </w:t>
      </w:r>
      <w:r w:rsidR="009E76E4">
        <w:t>2 August 2023</w:t>
      </w:r>
    </w:p>
  </w:footnote>
  <w:footnote w:id="146">
    <w:p w14:paraId="4630E9D5" w14:textId="7A425D3F" w:rsidR="009975E6" w:rsidRDefault="009975E6">
      <w:pPr>
        <w:pStyle w:val="FootnoteText"/>
      </w:pPr>
      <w:r>
        <w:rPr>
          <w:rStyle w:val="FootnoteReference"/>
        </w:rPr>
        <w:footnoteRef/>
      </w:r>
      <w:r>
        <w:t xml:space="preserve"> World population review, ‘</w:t>
      </w:r>
      <w:hyperlink r:id="rId145" w:history="1">
        <w:r>
          <w:rPr>
            <w:rStyle w:val="Hyperlink"/>
          </w:rPr>
          <w:t>Tbilisi Population 2023</w:t>
        </w:r>
      </w:hyperlink>
      <w:r>
        <w:t xml:space="preserve">’, </w:t>
      </w:r>
      <w:r w:rsidR="005765E2">
        <w:t>2023</w:t>
      </w:r>
    </w:p>
  </w:footnote>
  <w:footnote w:id="147">
    <w:p w14:paraId="763B72F1" w14:textId="6F29296A" w:rsidR="001A4B00" w:rsidRDefault="001A4B00">
      <w:pPr>
        <w:pStyle w:val="FootnoteText"/>
      </w:pPr>
      <w:r>
        <w:rPr>
          <w:rStyle w:val="FootnoteReference"/>
        </w:rPr>
        <w:footnoteRef/>
      </w:r>
      <w:r>
        <w:t xml:space="preserve"> Freedom House, ‘</w:t>
      </w:r>
      <w:hyperlink r:id="rId146" w:history="1">
        <w:r w:rsidRPr="00F34080">
          <w:rPr>
            <w:rStyle w:val="Hyperlink"/>
          </w:rPr>
          <w:t>Freedom in the World</w:t>
        </w:r>
        <w:r w:rsidR="007225B1" w:rsidRPr="00F34080">
          <w:rPr>
            <w:rStyle w:val="Hyperlink"/>
          </w:rPr>
          <w:t xml:space="preserve"> 202</w:t>
        </w:r>
        <w:r w:rsidR="00D73958" w:rsidRPr="00F34080">
          <w:rPr>
            <w:rStyle w:val="Hyperlink"/>
          </w:rPr>
          <w:t>3</w:t>
        </w:r>
        <w:r w:rsidR="007225B1" w:rsidRPr="00F34080">
          <w:rPr>
            <w:rStyle w:val="Hyperlink"/>
          </w:rPr>
          <w:t xml:space="preserve"> Georgia</w:t>
        </w:r>
      </w:hyperlink>
      <w:r w:rsidR="007225B1">
        <w:t>’, section G</w:t>
      </w:r>
      <w:r w:rsidR="00F34080">
        <w:t>1</w:t>
      </w:r>
      <w:r w:rsidR="007225B1">
        <w:t>,</w:t>
      </w:r>
      <w:r w:rsidR="00F34080">
        <w:t xml:space="preserve"> 2023</w:t>
      </w:r>
      <w:r w:rsidR="007225B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3A93" w14:textId="2562C532" w:rsidR="007C7BD8" w:rsidRDefault="00000000">
    <w:pPr>
      <w:pStyle w:val="Header"/>
    </w:pPr>
    <w:r>
      <w:rPr>
        <w:noProof/>
      </w:rPr>
      <w:pict w14:anchorId="7967F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001" o:spid="_x0000_s1027" type="#_x0000_t136" style="position:absolute;margin-left:0;margin-top:0;width:509pt;height:127.25pt;rotation:315;z-index:-251654143;mso-position-horizontal:center;mso-position-horizontal-relative:margin;mso-position-vertical:center;mso-position-vertical-relative:margin" o:allowincell="f" fillcolor="silver" stroked="f">
          <v:fill opacity=".5"/>
          <v:textpath style="font-family:&quot;Arial&quot;;font-size:1pt" string="ARCHI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20F73938" w:rsidR="00FA6383" w:rsidRDefault="00000000">
    <w:pPr>
      <w:pStyle w:val="Header"/>
    </w:pPr>
    <w:r>
      <w:rPr>
        <w:noProof/>
      </w:rPr>
      <w:pict w14:anchorId="66CB5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002" o:spid="_x0000_s1028" type="#_x0000_t136" style="position:absolute;margin-left:0;margin-top:0;width:509pt;height:127.25pt;rotation:315;z-index:-251652095;mso-position-horizontal:center;mso-position-horizontal-relative:margin;mso-position-vertical:center;mso-position-vertical-relative:margin" o:allowincell="f" fillcolor="silver" stroked="f">
          <v:fill opacity=".5"/>
          <v:textpath style="font-family:&quot;Arial&quot;;font-size:1pt" string="ARCHIVED"/>
          <w10:wrap anchorx="margin" anchory="margin"/>
        </v:shape>
      </w:pict>
    </w:r>
    <w:r w:rsidR="00F0541B">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A9CD9"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FA6383" w:rsidRDefault="00FA63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3C3A44E8" w:rsidR="00FA6383" w:rsidRDefault="00000000">
    <w:pPr>
      <w:pStyle w:val="Header"/>
    </w:pPr>
    <w:r>
      <w:rPr>
        <w:noProof/>
      </w:rPr>
      <w:pict w14:anchorId="5975C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000" o:spid="_x0000_s1026" type="#_x0000_t136" style="position:absolute;margin-left:0;margin-top:0;width:509pt;height:127.25pt;rotation:315;z-index:-251656191;mso-position-horizontal:center;mso-position-horizontal-relative:margin;mso-position-vertical:center;mso-position-vertical-relative:margin" o:allowincell="f" fillcolor="silver" stroked="f">
          <v:fill opacity=".5"/>
          <v:textpath style="font-family:&quot;Arial&quot;;font-size:1pt" string="ARCHIVED"/>
          <w10:wrap anchorx="margin" anchory="margin"/>
        </v:shape>
      </w:pict>
    </w:r>
  </w:p>
  <w:p w14:paraId="6ACF01EE" w14:textId="77777777" w:rsidR="00FA6383" w:rsidRDefault="00FA6383">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2"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FA6383" w:rsidRDefault="00FA6383">
    <w:pPr>
      <w:pStyle w:val="Header"/>
    </w:pPr>
  </w:p>
  <w:p w14:paraId="6ACF01F0" w14:textId="77777777" w:rsidR="00FA6383" w:rsidRDefault="00FA6383">
    <w:pPr>
      <w:pStyle w:val="Header"/>
    </w:pPr>
  </w:p>
  <w:p w14:paraId="6ACF01F1" w14:textId="77777777" w:rsidR="00FA6383" w:rsidRDefault="00FA6383">
    <w:pPr>
      <w:pStyle w:val="Header"/>
    </w:pPr>
  </w:p>
  <w:p w14:paraId="6ACF01F2" w14:textId="77777777" w:rsidR="00FA6383" w:rsidRDefault="00FA6383">
    <w:pPr>
      <w:pStyle w:val="Header"/>
    </w:pPr>
  </w:p>
  <w:p w14:paraId="6ACF01F3" w14:textId="77777777" w:rsidR="00FA6383" w:rsidRDefault="00FA6383">
    <w:pPr>
      <w:pStyle w:val="Header"/>
    </w:pPr>
  </w:p>
  <w:p w14:paraId="6ACF01F4" w14:textId="77777777" w:rsidR="00FA6383" w:rsidRDefault="00FA6383">
    <w:pPr>
      <w:pStyle w:val="Header"/>
    </w:pPr>
  </w:p>
  <w:p w14:paraId="6ACF01F5" w14:textId="77777777" w:rsidR="00FA6383" w:rsidRDefault="00FA6383">
    <w:pPr>
      <w:pStyle w:val="Header"/>
    </w:pPr>
  </w:p>
  <w:p w14:paraId="6ACF01F6" w14:textId="77777777" w:rsidR="00FA6383" w:rsidRDefault="00FA6383">
    <w:pPr>
      <w:pStyle w:val="Header"/>
    </w:pPr>
  </w:p>
  <w:p w14:paraId="6ACF01F7" w14:textId="77777777" w:rsidR="00FA6383" w:rsidRDefault="00FA6383">
    <w:pPr>
      <w:pStyle w:val="Header"/>
    </w:pPr>
  </w:p>
  <w:p w14:paraId="6ACF01F8" w14:textId="77777777" w:rsidR="00FA6383" w:rsidRDefault="00FA6383">
    <w:pPr>
      <w:pStyle w:val="Header"/>
    </w:pPr>
  </w:p>
  <w:p w14:paraId="6ACF01F9" w14:textId="77777777" w:rsidR="00FA6383" w:rsidRDefault="00FA6383">
    <w:pPr>
      <w:pStyle w:val="Header"/>
    </w:pPr>
  </w:p>
  <w:p w14:paraId="6ACF01FA" w14:textId="77777777" w:rsidR="00FA6383" w:rsidRDefault="00FA6383">
    <w:pPr>
      <w:pStyle w:val="Header"/>
    </w:pPr>
  </w:p>
  <w:p w14:paraId="6ACF01FB" w14:textId="77777777" w:rsidR="00FA6383" w:rsidRDefault="00FA6383">
    <w:pPr>
      <w:pStyle w:val="Header"/>
    </w:pPr>
  </w:p>
  <w:p w14:paraId="6ACF01FC" w14:textId="77777777" w:rsidR="00FA6383" w:rsidRDefault="00FA6383">
    <w:pPr>
      <w:pStyle w:val="Header"/>
    </w:pPr>
  </w:p>
  <w:p w14:paraId="6ACF01FD" w14:textId="77777777" w:rsidR="00FA6383" w:rsidRDefault="00FA6383">
    <w:pPr>
      <w:pStyle w:val="Header"/>
    </w:pPr>
  </w:p>
  <w:p w14:paraId="6ACF01FE" w14:textId="77777777" w:rsidR="00FA6383" w:rsidRDefault="00FA6383">
    <w:pPr>
      <w:pStyle w:val="Header"/>
    </w:pPr>
  </w:p>
  <w:p w14:paraId="6ACF01FF" w14:textId="77777777" w:rsidR="00FA6383" w:rsidRDefault="00FA6383">
    <w:pPr>
      <w:pStyle w:val="Header"/>
    </w:pPr>
  </w:p>
  <w:p w14:paraId="6ACF0200" w14:textId="77777777" w:rsidR="00FA6383" w:rsidRDefault="00FA6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D75"/>
    <w:multiLevelType w:val="hybridMultilevel"/>
    <w:tmpl w:val="94562F56"/>
    <w:lvl w:ilvl="0" w:tplc="08090001">
      <w:start w:val="1"/>
      <w:numFmt w:val="bullet"/>
      <w:lvlText w:val=""/>
      <w:lvlJc w:val="left"/>
      <w:pPr>
        <w:ind w:left="2651" w:hanging="360"/>
      </w:pPr>
      <w:rPr>
        <w:rFonts w:ascii="Symbol" w:hAnsi="Symbol" w:hint="default"/>
      </w:rPr>
    </w:lvl>
    <w:lvl w:ilvl="1" w:tplc="08090003" w:tentative="1">
      <w:start w:val="1"/>
      <w:numFmt w:val="bullet"/>
      <w:lvlText w:val="o"/>
      <w:lvlJc w:val="left"/>
      <w:pPr>
        <w:ind w:left="3371" w:hanging="360"/>
      </w:pPr>
      <w:rPr>
        <w:rFonts w:ascii="Courier New" w:hAnsi="Courier New" w:cs="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2" w15:restartNumberingAfterBreak="0">
    <w:nsid w:val="052C2220"/>
    <w:multiLevelType w:val="hybridMultilevel"/>
    <w:tmpl w:val="D20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F184037"/>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A3C2BFD"/>
    <w:multiLevelType w:val="hybridMultilevel"/>
    <w:tmpl w:val="17C4FDC2"/>
    <w:lvl w:ilvl="0" w:tplc="86447B2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C907608"/>
    <w:multiLevelType w:val="hybridMultilevel"/>
    <w:tmpl w:val="B418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0BD2D88"/>
    <w:multiLevelType w:val="hybridMultilevel"/>
    <w:tmpl w:val="F0FC7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B7026"/>
    <w:multiLevelType w:val="hybridMultilevel"/>
    <w:tmpl w:val="20A4BA76"/>
    <w:lvl w:ilvl="0" w:tplc="AC48C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0F01FD"/>
    <w:multiLevelType w:val="hybridMultilevel"/>
    <w:tmpl w:val="D7C4F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247F02"/>
    <w:multiLevelType w:val="multilevel"/>
    <w:tmpl w:val="921CE6CA"/>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4122"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21C0935"/>
    <w:multiLevelType w:val="hybridMultilevel"/>
    <w:tmpl w:val="661A76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25183A"/>
    <w:multiLevelType w:val="hybridMultilevel"/>
    <w:tmpl w:val="72A2522A"/>
    <w:lvl w:ilvl="0" w:tplc="5F0CC36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4F787E81"/>
    <w:multiLevelType w:val="hybridMultilevel"/>
    <w:tmpl w:val="07583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5D972662"/>
    <w:multiLevelType w:val="hybridMultilevel"/>
    <w:tmpl w:val="C61CB12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5C657A"/>
    <w:multiLevelType w:val="hybridMultilevel"/>
    <w:tmpl w:val="7010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4" w15:restartNumberingAfterBreak="0">
    <w:nsid w:val="68CC33DA"/>
    <w:multiLevelType w:val="hybridMultilevel"/>
    <w:tmpl w:val="EEFAAF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8D3965"/>
    <w:multiLevelType w:val="hybridMultilevel"/>
    <w:tmpl w:val="71A8A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323C24"/>
    <w:multiLevelType w:val="hybridMultilevel"/>
    <w:tmpl w:val="D3CEFC30"/>
    <w:lvl w:ilvl="0" w:tplc="5BA061BC">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9685130">
    <w:abstractNumId w:val="23"/>
  </w:num>
  <w:num w:numId="2" w16cid:durableId="594486246">
    <w:abstractNumId w:val="13"/>
  </w:num>
  <w:num w:numId="3" w16cid:durableId="1640762741">
    <w:abstractNumId w:val="8"/>
  </w:num>
  <w:num w:numId="4" w16cid:durableId="1107313076">
    <w:abstractNumId w:val="17"/>
  </w:num>
  <w:num w:numId="5" w16cid:durableId="411975121">
    <w:abstractNumId w:val="21"/>
  </w:num>
  <w:num w:numId="6" w16cid:durableId="2048135550">
    <w:abstractNumId w:val="7"/>
  </w:num>
  <w:num w:numId="7" w16cid:durableId="378549364">
    <w:abstractNumId w:val="25"/>
  </w:num>
  <w:num w:numId="8" w16cid:durableId="1829900508">
    <w:abstractNumId w:val="19"/>
  </w:num>
  <w:num w:numId="9" w16cid:durableId="585462933">
    <w:abstractNumId w:val="11"/>
  </w:num>
  <w:num w:numId="10" w16cid:durableId="1315375519">
    <w:abstractNumId w:val="30"/>
  </w:num>
  <w:num w:numId="11" w16cid:durableId="882525990">
    <w:abstractNumId w:val="28"/>
  </w:num>
  <w:num w:numId="12" w16cid:durableId="41369208">
    <w:abstractNumId w:val="1"/>
  </w:num>
  <w:num w:numId="13" w16cid:durableId="1204247091">
    <w:abstractNumId w:val="20"/>
  </w:num>
  <w:num w:numId="14" w16cid:durableId="52902966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1222204">
    <w:abstractNumId w:val="13"/>
  </w:num>
  <w:num w:numId="16" w16cid:durableId="1480804786">
    <w:abstractNumId w:val="0"/>
  </w:num>
  <w:num w:numId="17" w16cid:durableId="1971594302">
    <w:abstractNumId w:val="18"/>
  </w:num>
  <w:num w:numId="18" w16cid:durableId="2514845">
    <w:abstractNumId w:val="27"/>
  </w:num>
  <w:num w:numId="19" w16cid:durableId="2060592017">
    <w:abstractNumId w:val="1"/>
  </w:num>
  <w:num w:numId="20" w16cid:durableId="521745037">
    <w:abstractNumId w:val="30"/>
  </w:num>
  <w:num w:numId="21" w16cid:durableId="1904021835">
    <w:abstractNumId w:val="14"/>
  </w:num>
  <w:num w:numId="22" w16cid:durableId="371151073">
    <w:abstractNumId w:val="4"/>
  </w:num>
  <w:num w:numId="23" w16cid:durableId="47918632">
    <w:abstractNumId w:val="2"/>
  </w:num>
  <w:num w:numId="24" w16cid:durableId="1560282379">
    <w:abstractNumId w:val="5"/>
  </w:num>
  <w:num w:numId="25" w16cid:durableId="1787652199">
    <w:abstractNumId w:val="13"/>
  </w:num>
  <w:num w:numId="26" w16cid:durableId="1660386252">
    <w:abstractNumId w:val="13"/>
  </w:num>
  <w:num w:numId="27" w16cid:durableId="1556820813">
    <w:abstractNumId w:val="22"/>
  </w:num>
  <w:num w:numId="28" w16cid:durableId="1697660463">
    <w:abstractNumId w:val="12"/>
  </w:num>
  <w:num w:numId="29" w16cid:durableId="178272977">
    <w:abstractNumId w:val="10"/>
  </w:num>
  <w:num w:numId="30" w16cid:durableId="541479487">
    <w:abstractNumId w:val="6"/>
  </w:num>
  <w:num w:numId="31" w16cid:durableId="1686709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6169476">
    <w:abstractNumId w:val="26"/>
  </w:num>
  <w:num w:numId="33" w16cid:durableId="1117792197">
    <w:abstractNumId w:val="9"/>
  </w:num>
  <w:num w:numId="34" w16cid:durableId="1816750515">
    <w:abstractNumId w:val="29"/>
  </w:num>
  <w:num w:numId="35" w16cid:durableId="348722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1208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9035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5990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0406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4853472">
    <w:abstractNumId w:val="15"/>
  </w:num>
  <w:num w:numId="41" w16cid:durableId="596402925">
    <w:abstractNumId w:val="24"/>
  </w:num>
  <w:num w:numId="42" w16cid:durableId="1886211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0A"/>
    <w:rsid w:val="000006B0"/>
    <w:rsid w:val="00001B22"/>
    <w:rsid w:val="00001DD7"/>
    <w:rsid w:val="00002013"/>
    <w:rsid w:val="00002135"/>
    <w:rsid w:val="00002458"/>
    <w:rsid w:val="0000331C"/>
    <w:rsid w:val="000039C5"/>
    <w:rsid w:val="00003BC0"/>
    <w:rsid w:val="00003C45"/>
    <w:rsid w:val="000047AA"/>
    <w:rsid w:val="0000532E"/>
    <w:rsid w:val="00005370"/>
    <w:rsid w:val="0000559A"/>
    <w:rsid w:val="00005714"/>
    <w:rsid w:val="00005A31"/>
    <w:rsid w:val="00005F0A"/>
    <w:rsid w:val="0000676E"/>
    <w:rsid w:val="0000683A"/>
    <w:rsid w:val="00006FE0"/>
    <w:rsid w:val="0000703E"/>
    <w:rsid w:val="0000745E"/>
    <w:rsid w:val="00007A59"/>
    <w:rsid w:val="00007B18"/>
    <w:rsid w:val="00010618"/>
    <w:rsid w:val="00010E2D"/>
    <w:rsid w:val="00011769"/>
    <w:rsid w:val="00011F5A"/>
    <w:rsid w:val="00012291"/>
    <w:rsid w:val="000127F9"/>
    <w:rsid w:val="00012811"/>
    <w:rsid w:val="000132E8"/>
    <w:rsid w:val="0001334A"/>
    <w:rsid w:val="00013B13"/>
    <w:rsid w:val="00013BB1"/>
    <w:rsid w:val="00013F4F"/>
    <w:rsid w:val="000142A8"/>
    <w:rsid w:val="0001555C"/>
    <w:rsid w:val="00015E46"/>
    <w:rsid w:val="00015F2E"/>
    <w:rsid w:val="00016063"/>
    <w:rsid w:val="00016793"/>
    <w:rsid w:val="00017F38"/>
    <w:rsid w:val="00020008"/>
    <w:rsid w:val="000202EC"/>
    <w:rsid w:val="00020598"/>
    <w:rsid w:val="00020E14"/>
    <w:rsid w:val="00021046"/>
    <w:rsid w:val="000211B5"/>
    <w:rsid w:val="000219B4"/>
    <w:rsid w:val="00021B45"/>
    <w:rsid w:val="00021BB3"/>
    <w:rsid w:val="000222E6"/>
    <w:rsid w:val="000228B2"/>
    <w:rsid w:val="00022B30"/>
    <w:rsid w:val="00022DF3"/>
    <w:rsid w:val="000237F7"/>
    <w:rsid w:val="000239D7"/>
    <w:rsid w:val="00023A34"/>
    <w:rsid w:val="00023EEA"/>
    <w:rsid w:val="00025567"/>
    <w:rsid w:val="00025D4B"/>
    <w:rsid w:val="00025E3A"/>
    <w:rsid w:val="00026617"/>
    <w:rsid w:val="00026972"/>
    <w:rsid w:val="00026CE3"/>
    <w:rsid w:val="0002750A"/>
    <w:rsid w:val="00027BEB"/>
    <w:rsid w:val="00027FCF"/>
    <w:rsid w:val="00030A29"/>
    <w:rsid w:val="00030ADD"/>
    <w:rsid w:val="0003105E"/>
    <w:rsid w:val="00031743"/>
    <w:rsid w:val="0003206E"/>
    <w:rsid w:val="000328CE"/>
    <w:rsid w:val="00032E75"/>
    <w:rsid w:val="00033499"/>
    <w:rsid w:val="000339F1"/>
    <w:rsid w:val="00033E53"/>
    <w:rsid w:val="0003423E"/>
    <w:rsid w:val="00034259"/>
    <w:rsid w:val="000343BA"/>
    <w:rsid w:val="00034DB7"/>
    <w:rsid w:val="00035525"/>
    <w:rsid w:val="00035B1E"/>
    <w:rsid w:val="0003699C"/>
    <w:rsid w:val="00036AB3"/>
    <w:rsid w:val="000374BC"/>
    <w:rsid w:val="00037E43"/>
    <w:rsid w:val="00037EC5"/>
    <w:rsid w:val="000428FB"/>
    <w:rsid w:val="00042BF4"/>
    <w:rsid w:val="00042EBC"/>
    <w:rsid w:val="00043BB8"/>
    <w:rsid w:val="0004409C"/>
    <w:rsid w:val="0004421E"/>
    <w:rsid w:val="000442AB"/>
    <w:rsid w:val="00045406"/>
    <w:rsid w:val="00045547"/>
    <w:rsid w:val="000456C1"/>
    <w:rsid w:val="0004577D"/>
    <w:rsid w:val="00045F06"/>
    <w:rsid w:val="000465FB"/>
    <w:rsid w:val="00046AFF"/>
    <w:rsid w:val="00046C21"/>
    <w:rsid w:val="00046D75"/>
    <w:rsid w:val="0004731A"/>
    <w:rsid w:val="00047513"/>
    <w:rsid w:val="00047B8C"/>
    <w:rsid w:val="00050794"/>
    <w:rsid w:val="00050A9B"/>
    <w:rsid w:val="00050EB5"/>
    <w:rsid w:val="00051DCC"/>
    <w:rsid w:val="000525FA"/>
    <w:rsid w:val="00052607"/>
    <w:rsid w:val="00053193"/>
    <w:rsid w:val="000537BB"/>
    <w:rsid w:val="00053ABB"/>
    <w:rsid w:val="00053EA5"/>
    <w:rsid w:val="00054945"/>
    <w:rsid w:val="000549F2"/>
    <w:rsid w:val="00055336"/>
    <w:rsid w:val="00055506"/>
    <w:rsid w:val="00055CC1"/>
    <w:rsid w:val="00055EF1"/>
    <w:rsid w:val="00056191"/>
    <w:rsid w:val="000566CA"/>
    <w:rsid w:val="00056B58"/>
    <w:rsid w:val="00056B82"/>
    <w:rsid w:val="00056C6E"/>
    <w:rsid w:val="00057529"/>
    <w:rsid w:val="000577DF"/>
    <w:rsid w:val="00057B67"/>
    <w:rsid w:val="0006027F"/>
    <w:rsid w:val="00060468"/>
    <w:rsid w:val="00060EE5"/>
    <w:rsid w:val="000610D6"/>
    <w:rsid w:val="000615F1"/>
    <w:rsid w:val="00061F6F"/>
    <w:rsid w:val="00062745"/>
    <w:rsid w:val="00062D8C"/>
    <w:rsid w:val="00063172"/>
    <w:rsid w:val="00063283"/>
    <w:rsid w:val="000635E7"/>
    <w:rsid w:val="000636B1"/>
    <w:rsid w:val="00063709"/>
    <w:rsid w:val="00063AA8"/>
    <w:rsid w:val="00064639"/>
    <w:rsid w:val="00064D32"/>
    <w:rsid w:val="000658F6"/>
    <w:rsid w:val="0006609F"/>
    <w:rsid w:val="00066FD7"/>
    <w:rsid w:val="000677CA"/>
    <w:rsid w:val="00067A27"/>
    <w:rsid w:val="00067DB7"/>
    <w:rsid w:val="000705EB"/>
    <w:rsid w:val="00070977"/>
    <w:rsid w:val="00071292"/>
    <w:rsid w:val="000720AA"/>
    <w:rsid w:val="00072CDB"/>
    <w:rsid w:val="00072EFE"/>
    <w:rsid w:val="000732DE"/>
    <w:rsid w:val="000734E3"/>
    <w:rsid w:val="00073FB4"/>
    <w:rsid w:val="00074D86"/>
    <w:rsid w:val="00074FD6"/>
    <w:rsid w:val="000755E1"/>
    <w:rsid w:val="00075988"/>
    <w:rsid w:val="00075E92"/>
    <w:rsid w:val="000766F0"/>
    <w:rsid w:val="00076B48"/>
    <w:rsid w:val="00076B81"/>
    <w:rsid w:val="00076EC3"/>
    <w:rsid w:val="00076EEC"/>
    <w:rsid w:val="00077022"/>
    <w:rsid w:val="000774E5"/>
    <w:rsid w:val="000779F4"/>
    <w:rsid w:val="00077C10"/>
    <w:rsid w:val="00077CEF"/>
    <w:rsid w:val="00077DD1"/>
    <w:rsid w:val="0008040D"/>
    <w:rsid w:val="00080A11"/>
    <w:rsid w:val="00080C6C"/>
    <w:rsid w:val="00080FB4"/>
    <w:rsid w:val="000813DA"/>
    <w:rsid w:val="000815C7"/>
    <w:rsid w:val="00081B98"/>
    <w:rsid w:val="00081C73"/>
    <w:rsid w:val="00081E04"/>
    <w:rsid w:val="0008261D"/>
    <w:rsid w:val="000827EB"/>
    <w:rsid w:val="00082CF0"/>
    <w:rsid w:val="00083068"/>
    <w:rsid w:val="00083A37"/>
    <w:rsid w:val="0008452E"/>
    <w:rsid w:val="00085D2A"/>
    <w:rsid w:val="00085D4A"/>
    <w:rsid w:val="00087B9E"/>
    <w:rsid w:val="00087C5B"/>
    <w:rsid w:val="00087E14"/>
    <w:rsid w:val="00090177"/>
    <w:rsid w:val="0009030E"/>
    <w:rsid w:val="000906EB"/>
    <w:rsid w:val="00090B43"/>
    <w:rsid w:val="00090C4D"/>
    <w:rsid w:val="00091093"/>
    <w:rsid w:val="0009143C"/>
    <w:rsid w:val="0009177B"/>
    <w:rsid w:val="00092710"/>
    <w:rsid w:val="00092895"/>
    <w:rsid w:val="00092D03"/>
    <w:rsid w:val="0009386B"/>
    <w:rsid w:val="00093A28"/>
    <w:rsid w:val="00093C55"/>
    <w:rsid w:val="00093CD2"/>
    <w:rsid w:val="00094546"/>
    <w:rsid w:val="00094875"/>
    <w:rsid w:val="00095AB9"/>
    <w:rsid w:val="00096869"/>
    <w:rsid w:val="00097149"/>
    <w:rsid w:val="000977ED"/>
    <w:rsid w:val="000979F8"/>
    <w:rsid w:val="000A0148"/>
    <w:rsid w:val="000A0D2C"/>
    <w:rsid w:val="000A1408"/>
    <w:rsid w:val="000A258D"/>
    <w:rsid w:val="000A2702"/>
    <w:rsid w:val="000A2B01"/>
    <w:rsid w:val="000A2CA9"/>
    <w:rsid w:val="000A2EEB"/>
    <w:rsid w:val="000A2F62"/>
    <w:rsid w:val="000A33C5"/>
    <w:rsid w:val="000A3E03"/>
    <w:rsid w:val="000A4297"/>
    <w:rsid w:val="000A43B3"/>
    <w:rsid w:val="000A4906"/>
    <w:rsid w:val="000A4A2B"/>
    <w:rsid w:val="000A4F56"/>
    <w:rsid w:val="000A5490"/>
    <w:rsid w:val="000A6300"/>
    <w:rsid w:val="000A655F"/>
    <w:rsid w:val="000A6CAC"/>
    <w:rsid w:val="000A6FA2"/>
    <w:rsid w:val="000A79B6"/>
    <w:rsid w:val="000A7A41"/>
    <w:rsid w:val="000A7D53"/>
    <w:rsid w:val="000B001A"/>
    <w:rsid w:val="000B03E6"/>
    <w:rsid w:val="000B1359"/>
    <w:rsid w:val="000B1A8B"/>
    <w:rsid w:val="000B1D90"/>
    <w:rsid w:val="000B2524"/>
    <w:rsid w:val="000B2AA2"/>
    <w:rsid w:val="000B31FA"/>
    <w:rsid w:val="000B3688"/>
    <w:rsid w:val="000B4656"/>
    <w:rsid w:val="000B4C8B"/>
    <w:rsid w:val="000B513C"/>
    <w:rsid w:val="000B63C1"/>
    <w:rsid w:val="000B6595"/>
    <w:rsid w:val="000B6635"/>
    <w:rsid w:val="000B6E07"/>
    <w:rsid w:val="000B7253"/>
    <w:rsid w:val="000B73DF"/>
    <w:rsid w:val="000B79D5"/>
    <w:rsid w:val="000C0687"/>
    <w:rsid w:val="000C0809"/>
    <w:rsid w:val="000C1011"/>
    <w:rsid w:val="000C1446"/>
    <w:rsid w:val="000C1519"/>
    <w:rsid w:val="000C1768"/>
    <w:rsid w:val="000C196C"/>
    <w:rsid w:val="000C1A3F"/>
    <w:rsid w:val="000C2866"/>
    <w:rsid w:val="000C310A"/>
    <w:rsid w:val="000C39CD"/>
    <w:rsid w:val="000C3C03"/>
    <w:rsid w:val="000C3D00"/>
    <w:rsid w:val="000C3DA7"/>
    <w:rsid w:val="000C3EB6"/>
    <w:rsid w:val="000C3F17"/>
    <w:rsid w:val="000C4028"/>
    <w:rsid w:val="000C499B"/>
    <w:rsid w:val="000C4A66"/>
    <w:rsid w:val="000C4ABB"/>
    <w:rsid w:val="000C4BBB"/>
    <w:rsid w:val="000C554C"/>
    <w:rsid w:val="000C56AF"/>
    <w:rsid w:val="000C5B30"/>
    <w:rsid w:val="000C62F1"/>
    <w:rsid w:val="000C7163"/>
    <w:rsid w:val="000C7FAF"/>
    <w:rsid w:val="000D012D"/>
    <w:rsid w:val="000D0821"/>
    <w:rsid w:val="000D0AE2"/>
    <w:rsid w:val="000D12BD"/>
    <w:rsid w:val="000D14C9"/>
    <w:rsid w:val="000D1ABE"/>
    <w:rsid w:val="000D1B0A"/>
    <w:rsid w:val="000D26B9"/>
    <w:rsid w:val="000D34C0"/>
    <w:rsid w:val="000D38D8"/>
    <w:rsid w:val="000D3C28"/>
    <w:rsid w:val="000D3C6C"/>
    <w:rsid w:val="000D3F65"/>
    <w:rsid w:val="000D4F81"/>
    <w:rsid w:val="000D5011"/>
    <w:rsid w:val="000D5897"/>
    <w:rsid w:val="000D66FB"/>
    <w:rsid w:val="000D682B"/>
    <w:rsid w:val="000D697B"/>
    <w:rsid w:val="000D6E1B"/>
    <w:rsid w:val="000D703D"/>
    <w:rsid w:val="000D752D"/>
    <w:rsid w:val="000D7ABF"/>
    <w:rsid w:val="000E0991"/>
    <w:rsid w:val="000E09C9"/>
    <w:rsid w:val="000E13F2"/>
    <w:rsid w:val="000E1B3E"/>
    <w:rsid w:val="000E1E79"/>
    <w:rsid w:val="000E2503"/>
    <w:rsid w:val="000E28F7"/>
    <w:rsid w:val="000E2E1F"/>
    <w:rsid w:val="000E2E3F"/>
    <w:rsid w:val="000E3132"/>
    <w:rsid w:val="000E328A"/>
    <w:rsid w:val="000E3981"/>
    <w:rsid w:val="000E39F2"/>
    <w:rsid w:val="000E40D1"/>
    <w:rsid w:val="000E4334"/>
    <w:rsid w:val="000E4421"/>
    <w:rsid w:val="000E4576"/>
    <w:rsid w:val="000E5329"/>
    <w:rsid w:val="000E5754"/>
    <w:rsid w:val="000E5AFC"/>
    <w:rsid w:val="000E5DF5"/>
    <w:rsid w:val="000E5E8F"/>
    <w:rsid w:val="000E6566"/>
    <w:rsid w:val="000E7069"/>
    <w:rsid w:val="000E7182"/>
    <w:rsid w:val="000F0246"/>
    <w:rsid w:val="000F02B0"/>
    <w:rsid w:val="000F02D4"/>
    <w:rsid w:val="000F03B2"/>
    <w:rsid w:val="000F04D5"/>
    <w:rsid w:val="000F0686"/>
    <w:rsid w:val="000F0A54"/>
    <w:rsid w:val="000F0C92"/>
    <w:rsid w:val="000F134B"/>
    <w:rsid w:val="000F13EF"/>
    <w:rsid w:val="000F15FA"/>
    <w:rsid w:val="000F160F"/>
    <w:rsid w:val="000F1625"/>
    <w:rsid w:val="000F19B2"/>
    <w:rsid w:val="000F1CC5"/>
    <w:rsid w:val="000F2548"/>
    <w:rsid w:val="000F2BC3"/>
    <w:rsid w:val="000F34A9"/>
    <w:rsid w:val="000F3BAD"/>
    <w:rsid w:val="000F3E55"/>
    <w:rsid w:val="000F40EF"/>
    <w:rsid w:val="000F4D4B"/>
    <w:rsid w:val="000F4DCF"/>
    <w:rsid w:val="000F5151"/>
    <w:rsid w:val="000F5565"/>
    <w:rsid w:val="000F5A77"/>
    <w:rsid w:val="000F6EF2"/>
    <w:rsid w:val="000F71A9"/>
    <w:rsid w:val="000F75F5"/>
    <w:rsid w:val="000F78E0"/>
    <w:rsid w:val="00100156"/>
    <w:rsid w:val="00100AFF"/>
    <w:rsid w:val="00100E23"/>
    <w:rsid w:val="0010133E"/>
    <w:rsid w:val="00101B44"/>
    <w:rsid w:val="00101EED"/>
    <w:rsid w:val="00101FE4"/>
    <w:rsid w:val="00102282"/>
    <w:rsid w:val="00102B99"/>
    <w:rsid w:val="00103CE0"/>
    <w:rsid w:val="001041B0"/>
    <w:rsid w:val="001047B2"/>
    <w:rsid w:val="001049DD"/>
    <w:rsid w:val="001050F2"/>
    <w:rsid w:val="0010510C"/>
    <w:rsid w:val="00105DAD"/>
    <w:rsid w:val="001063DF"/>
    <w:rsid w:val="0010658C"/>
    <w:rsid w:val="00106C94"/>
    <w:rsid w:val="001077E5"/>
    <w:rsid w:val="00107964"/>
    <w:rsid w:val="00107AEE"/>
    <w:rsid w:val="00107B28"/>
    <w:rsid w:val="00107C03"/>
    <w:rsid w:val="00107F0F"/>
    <w:rsid w:val="00107F67"/>
    <w:rsid w:val="00110D12"/>
    <w:rsid w:val="001118F1"/>
    <w:rsid w:val="00111B3E"/>
    <w:rsid w:val="00111CE4"/>
    <w:rsid w:val="00111D98"/>
    <w:rsid w:val="0011229C"/>
    <w:rsid w:val="00112EA2"/>
    <w:rsid w:val="00113D1B"/>
    <w:rsid w:val="001141E2"/>
    <w:rsid w:val="001146BB"/>
    <w:rsid w:val="00114827"/>
    <w:rsid w:val="00114ABE"/>
    <w:rsid w:val="00114AF8"/>
    <w:rsid w:val="00114FA0"/>
    <w:rsid w:val="00115977"/>
    <w:rsid w:val="00115AF0"/>
    <w:rsid w:val="00115D0D"/>
    <w:rsid w:val="0011601A"/>
    <w:rsid w:val="0011677D"/>
    <w:rsid w:val="001170BA"/>
    <w:rsid w:val="00117CEE"/>
    <w:rsid w:val="00117DB2"/>
    <w:rsid w:val="00120738"/>
    <w:rsid w:val="00120826"/>
    <w:rsid w:val="00120BB5"/>
    <w:rsid w:val="00120C57"/>
    <w:rsid w:val="001219DC"/>
    <w:rsid w:val="00121ACF"/>
    <w:rsid w:val="00121F3F"/>
    <w:rsid w:val="001225EF"/>
    <w:rsid w:val="0012275A"/>
    <w:rsid w:val="00123552"/>
    <w:rsid w:val="00123B8F"/>
    <w:rsid w:val="00124482"/>
    <w:rsid w:val="0012455A"/>
    <w:rsid w:val="00124627"/>
    <w:rsid w:val="001248CA"/>
    <w:rsid w:val="00125606"/>
    <w:rsid w:val="0012581A"/>
    <w:rsid w:val="00125B1E"/>
    <w:rsid w:val="00125D2D"/>
    <w:rsid w:val="0012607F"/>
    <w:rsid w:val="00126423"/>
    <w:rsid w:val="00126621"/>
    <w:rsid w:val="00126BB4"/>
    <w:rsid w:val="0012733E"/>
    <w:rsid w:val="001273F1"/>
    <w:rsid w:val="00127554"/>
    <w:rsid w:val="00127887"/>
    <w:rsid w:val="00127E6D"/>
    <w:rsid w:val="00127ECE"/>
    <w:rsid w:val="0013013F"/>
    <w:rsid w:val="0013050A"/>
    <w:rsid w:val="00131511"/>
    <w:rsid w:val="00131879"/>
    <w:rsid w:val="00131BEC"/>
    <w:rsid w:val="00131DDC"/>
    <w:rsid w:val="0013210B"/>
    <w:rsid w:val="00132423"/>
    <w:rsid w:val="00132912"/>
    <w:rsid w:val="00132963"/>
    <w:rsid w:val="00132B39"/>
    <w:rsid w:val="00132B47"/>
    <w:rsid w:val="00132F65"/>
    <w:rsid w:val="00133024"/>
    <w:rsid w:val="0013309D"/>
    <w:rsid w:val="0013326A"/>
    <w:rsid w:val="001337CE"/>
    <w:rsid w:val="00133D07"/>
    <w:rsid w:val="00133F2E"/>
    <w:rsid w:val="00134143"/>
    <w:rsid w:val="00134461"/>
    <w:rsid w:val="001346CB"/>
    <w:rsid w:val="00134738"/>
    <w:rsid w:val="001356B5"/>
    <w:rsid w:val="00135CA9"/>
    <w:rsid w:val="00135CCC"/>
    <w:rsid w:val="001366C8"/>
    <w:rsid w:val="001368FA"/>
    <w:rsid w:val="00136B5C"/>
    <w:rsid w:val="00136DD3"/>
    <w:rsid w:val="00136ED3"/>
    <w:rsid w:val="001372B6"/>
    <w:rsid w:val="00137D7A"/>
    <w:rsid w:val="00137DA9"/>
    <w:rsid w:val="00140487"/>
    <w:rsid w:val="0014076C"/>
    <w:rsid w:val="0014096B"/>
    <w:rsid w:val="00140AE7"/>
    <w:rsid w:val="00140C52"/>
    <w:rsid w:val="001413FE"/>
    <w:rsid w:val="001415B0"/>
    <w:rsid w:val="0014172D"/>
    <w:rsid w:val="00141896"/>
    <w:rsid w:val="00142AA0"/>
    <w:rsid w:val="00142E8F"/>
    <w:rsid w:val="001441B3"/>
    <w:rsid w:val="00144E1B"/>
    <w:rsid w:val="00144EAD"/>
    <w:rsid w:val="00145435"/>
    <w:rsid w:val="00145461"/>
    <w:rsid w:val="001456EA"/>
    <w:rsid w:val="00145F12"/>
    <w:rsid w:val="0014601B"/>
    <w:rsid w:val="001464B7"/>
    <w:rsid w:val="001466B9"/>
    <w:rsid w:val="00146C3D"/>
    <w:rsid w:val="00147330"/>
    <w:rsid w:val="001474AA"/>
    <w:rsid w:val="001479FE"/>
    <w:rsid w:val="00147C39"/>
    <w:rsid w:val="001502B3"/>
    <w:rsid w:val="00150875"/>
    <w:rsid w:val="001511AB"/>
    <w:rsid w:val="0015187E"/>
    <w:rsid w:val="00151CFF"/>
    <w:rsid w:val="00151EE7"/>
    <w:rsid w:val="001527F5"/>
    <w:rsid w:val="00152AAB"/>
    <w:rsid w:val="001535DF"/>
    <w:rsid w:val="00153D63"/>
    <w:rsid w:val="00153ED2"/>
    <w:rsid w:val="00154008"/>
    <w:rsid w:val="00154223"/>
    <w:rsid w:val="001551A5"/>
    <w:rsid w:val="001556B3"/>
    <w:rsid w:val="00155D57"/>
    <w:rsid w:val="0015622D"/>
    <w:rsid w:val="0015622E"/>
    <w:rsid w:val="00156342"/>
    <w:rsid w:val="0015664A"/>
    <w:rsid w:val="001569C1"/>
    <w:rsid w:val="00156AF8"/>
    <w:rsid w:val="00156C0E"/>
    <w:rsid w:val="001576C8"/>
    <w:rsid w:val="001577D7"/>
    <w:rsid w:val="00160009"/>
    <w:rsid w:val="00160520"/>
    <w:rsid w:val="00160BFC"/>
    <w:rsid w:val="0016128E"/>
    <w:rsid w:val="00161FF7"/>
    <w:rsid w:val="001627CB"/>
    <w:rsid w:val="00163F57"/>
    <w:rsid w:val="001644CD"/>
    <w:rsid w:val="0016460D"/>
    <w:rsid w:val="001650CC"/>
    <w:rsid w:val="00165435"/>
    <w:rsid w:val="00165B39"/>
    <w:rsid w:val="00165DC0"/>
    <w:rsid w:val="00165DFD"/>
    <w:rsid w:val="00165E93"/>
    <w:rsid w:val="00165F74"/>
    <w:rsid w:val="0016617D"/>
    <w:rsid w:val="00166907"/>
    <w:rsid w:val="00167212"/>
    <w:rsid w:val="001673C9"/>
    <w:rsid w:val="00167716"/>
    <w:rsid w:val="00167794"/>
    <w:rsid w:val="00167B58"/>
    <w:rsid w:val="00167F78"/>
    <w:rsid w:val="001702D6"/>
    <w:rsid w:val="001708B7"/>
    <w:rsid w:val="001708F4"/>
    <w:rsid w:val="00170A31"/>
    <w:rsid w:val="00171EDB"/>
    <w:rsid w:val="00172480"/>
    <w:rsid w:val="00173731"/>
    <w:rsid w:val="00173A07"/>
    <w:rsid w:val="00173A5C"/>
    <w:rsid w:val="00173A9D"/>
    <w:rsid w:val="00174714"/>
    <w:rsid w:val="00174CEA"/>
    <w:rsid w:val="00174DAD"/>
    <w:rsid w:val="00176074"/>
    <w:rsid w:val="00176185"/>
    <w:rsid w:val="001761B6"/>
    <w:rsid w:val="00176959"/>
    <w:rsid w:val="00176D73"/>
    <w:rsid w:val="00177562"/>
    <w:rsid w:val="0017768B"/>
    <w:rsid w:val="00177EDA"/>
    <w:rsid w:val="00177EDC"/>
    <w:rsid w:val="00180079"/>
    <w:rsid w:val="00180252"/>
    <w:rsid w:val="001807F8"/>
    <w:rsid w:val="00180C98"/>
    <w:rsid w:val="00180CB0"/>
    <w:rsid w:val="001813E5"/>
    <w:rsid w:val="0018213D"/>
    <w:rsid w:val="001824D8"/>
    <w:rsid w:val="00182726"/>
    <w:rsid w:val="00182E4E"/>
    <w:rsid w:val="00183194"/>
    <w:rsid w:val="001832AB"/>
    <w:rsid w:val="00183425"/>
    <w:rsid w:val="00184D08"/>
    <w:rsid w:val="001855D0"/>
    <w:rsid w:val="001856A6"/>
    <w:rsid w:val="00185B74"/>
    <w:rsid w:val="001864F0"/>
    <w:rsid w:val="00186A84"/>
    <w:rsid w:val="001871D2"/>
    <w:rsid w:val="00190071"/>
    <w:rsid w:val="00190074"/>
    <w:rsid w:val="0019053A"/>
    <w:rsid w:val="0019077F"/>
    <w:rsid w:val="0019102B"/>
    <w:rsid w:val="00191052"/>
    <w:rsid w:val="001914FF"/>
    <w:rsid w:val="00192E6F"/>
    <w:rsid w:val="00193BC2"/>
    <w:rsid w:val="0019439B"/>
    <w:rsid w:val="00194CDB"/>
    <w:rsid w:val="00194F07"/>
    <w:rsid w:val="00194F3C"/>
    <w:rsid w:val="001952A9"/>
    <w:rsid w:val="00196642"/>
    <w:rsid w:val="0019711C"/>
    <w:rsid w:val="00197231"/>
    <w:rsid w:val="00197E25"/>
    <w:rsid w:val="001A0C9A"/>
    <w:rsid w:val="001A0E1F"/>
    <w:rsid w:val="001A13BA"/>
    <w:rsid w:val="001A1B50"/>
    <w:rsid w:val="001A2039"/>
    <w:rsid w:val="001A2153"/>
    <w:rsid w:val="001A218E"/>
    <w:rsid w:val="001A232D"/>
    <w:rsid w:val="001A24B3"/>
    <w:rsid w:val="001A2602"/>
    <w:rsid w:val="001A28C4"/>
    <w:rsid w:val="001A2913"/>
    <w:rsid w:val="001A2D3E"/>
    <w:rsid w:val="001A2D5A"/>
    <w:rsid w:val="001A32DA"/>
    <w:rsid w:val="001A36B4"/>
    <w:rsid w:val="001A378E"/>
    <w:rsid w:val="001A37C3"/>
    <w:rsid w:val="001A411A"/>
    <w:rsid w:val="001A4231"/>
    <w:rsid w:val="001A43BB"/>
    <w:rsid w:val="001A46EA"/>
    <w:rsid w:val="001A4B00"/>
    <w:rsid w:val="001A5854"/>
    <w:rsid w:val="001A5AE5"/>
    <w:rsid w:val="001A6D32"/>
    <w:rsid w:val="001A6E17"/>
    <w:rsid w:val="001A6EFD"/>
    <w:rsid w:val="001A702F"/>
    <w:rsid w:val="001A78D6"/>
    <w:rsid w:val="001B0434"/>
    <w:rsid w:val="001B1CD3"/>
    <w:rsid w:val="001B29BB"/>
    <w:rsid w:val="001B3516"/>
    <w:rsid w:val="001B3F25"/>
    <w:rsid w:val="001B427E"/>
    <w:rsid w:val="001B46AD"/>
    <w:rsid w:val="001B4A63"/>
    <w:rsid w:val="001B4CC3"/>
    <w:rsid w:val="001B507C"/>
    <w:rsid w:val="001B526C"/>
    <w:rsid w:val="001B54A9"/>
    <w:rsid w:val="001B5C47"/>
    <w:rsid w:val="001B5CF6"/>
    <w:rsid w:val="001B5E5B"/>
    <w:rsid w:val="001B7014"/>
    <w:rsid w:val="001B7305"/>
    <w:rsid w:val="001B7322"/>
    <w:rsid w:val="001B76EC"/>
    <w:rsid w:val="001B78CF"/>
    <w:rsid w:val="001B78F4"/>
    <w:rsid w:val="001B79B8"/>
    <w:rsid w:val="001B7A41"/>
    <w:rsid w:val="001C029C"/>
    <w:rsid w:val="001C0AA5"/>
    <w:rsid w:val="001C0B01"/>
    <w:rsid w:val="001C11C1"/>
    <w:rsid w:val="001C19B5"/>
    <w:rsid w:val="001C2419"/>
    <w:rsid w:val="001C2434"/>
    <w:rsid w:val="001C2796"/>
    <w:rsid w:val="001C313F"/>
    <w:rsid w:val="001C3289"/>
    <w:rsid w:val="001C337D"/>
    <w:rsid w:val="001C3439"/>
    <w:rsid w:val="001C34B6"/>
    <w:rsid w:val="001C3A27"/>
    <w:rsid w:val="001C3E4F"/>
    <w:rsid w:val="001C414A"/>
    <w:rsid w:val="001C435F"/>
    <w:rsid w:val="001C4483"/>
    <w:rsid w:val="001C4600"/>
    <w:rsid w:val="001C4ACE"/>
    <w:rsid w:val="001C4CD0"/>
    <w:rsid w:val="001C4F30"/>
    <w:rsid w:val="001C59F3"/>
    <w:rsid w:val="001C5CD5"/>
    <w:rsid w:val="001C729C"/>
    <w:rsid w:val="001C72DD"/>
    <w:rsid w:val="001C7841"/>
    <w:rsid w:val="001C790C"/>
    <w:rsid w:val="001D0C10"/>
    <w:rsid w:val="001D0E4D"/>
    <w:rsid w:val="001D1048"/>
    <w:rsid w:val="001D1303"/>
    <w:rsid w:val="001D1907"/>
    <w:rsid w:val="001D197A"/>
    <w:rsid w:val="001D19AA"/>
    <w:rsid w:val="001D1BB5"/>
    <w:rsid w:val="001D221F"/>
    <w:rsid w:val="001D22A2"/>
    <w:rsid w:val="001D2409"/>
    <w:rsid w:val="001D2989"/>
    <w:rsid w:val="001D2C9B"/>
    <w:rsid w:val="001D2D17"/>
    <w:rsid w:val="001D30BA"/>
    <w:rsid w:val="001D316B"/>
    <w:rsid w:val="001D38D4"/>
    <w:rsid w:val="001D3C8D"/>
    <w:rsid w:val="001D3CD6"/>
    <w:rsid w:val="001D3D3D"/>
    <w:rsid w:val="001D4027"/>
    <w:rsid w:val="001D40DA"/>
    <w:rsid w:val="001D51F6"/>
    <w:rsid w:val="001D5282"/>
    <w:rsid w:val="001D5385"/>
    <w:rsid w:val="001D5D98"/>
    <w:rsid w:val="001D5F42"/>
    <w:rsid w:val="001D5FDF"/>
    <w:rsid w:val="001D6632"/>
    <w:rsid w:val="001D66E8"/>
    <w:rsid w:val="001D6BD1"/>
    <w:rsid w:val="001D705D"/>
    <w:rsid w:val="001D706D"/>
    <w:rsid w:val="001D712B"/>
    <w:rsid w:val="001D7809"/>
    <w:rsid w:val="001D7B53"/>
    <w:rsid w:val="001E07B7"/>
    <w:rsid w:val="001E0CE2"/>
    <w:rsid w:val="001E128A"/>
    <w:rsid w:val="001E1516"/>
    <w:rsid w:val="001E16A6"/>
    <w:rsid w:val="001E1A26"/>
    <w:rsid w:val="001E22D7"/>
    <w:rsid w:val="001E2A24"/>
    <w:rsid w:val="001E30BB"/>
    <w:rsid w:val="001E3138"/>
    <w:rsid w:val="001E32F4"/>
    <w:rsid w:val="001E354A"/>
    <w:rsid w:val="001E365D"/>
    <w:rsid w:val="001E43F2"/>
    <w:rsid w:val="001E475C"/>
    <w:rsid w:val="001E4AB1"/>
    <w:rsid w:val="001E5050"/>
    <w:rsid w:val="001E53EE"/>
    <w:rsid w:val="001E57A6"/>
    <w:rsid w:val="001E5ED7"/>
    <w:rsid w:val="001E6EAD"/>
    <w:rsid w:val="001E70DD"/>
    <w:rsid w:val="001E71E3"/>
    <w:rsid w:val="001E7880"/>
    <w:rsid w:val="001E7FF1"/>
    <w:rsid w:val="001F0AE4"/>
    <w:rsid w:val="001F112C"/>
    <w:rsid w:val="001F161A"/>
    <w:rsid w:val="001F22F9"/>
    <w:rsid w:val="001F2730"/>
    <w:rsid w:val="001F3954"/>
    <w:rsid w:val="001F4552"/>
    <w:rsid w:val="001F4DA7"/>
    <w:rsid w:val="001F5057"/>
    <w:rsid w:val="001F5871"/>
    <w:rsid w:val="001F5FAA"/>
    <w:rsid w:val="001F617D"/>
    <w:rsid w:val="001F64D0"/>
    <w:rsid w:val="001F69CD"/>
    <w:rsid w:val="001F6CAD"/>
    <w:rsid w:val="001F6CD9"/>
    <w:rsid w:val="001F7410"/>
    <w:rsid w:val="001F7720"/>
    <w:rsid w:val="001F7872"/>
    <w:rsid w:val="001F7DB5"/>
    <w:rsid w:val="0020053E"/>
    <w:rsid w:val="00200941"/>
    <w:rsid w:val="00200975"/>
    <w:rsid w:val="00200CD0"/>
    <w:rsid w:val="00201549"/>
    <w:rsid w:val="002016D2"/>
    <w:rsid w:val="00201A7F"/>
    <w:rsid w:val="00202589"/>
    <w:rsid w:val="00202834"/>
    <w:rsid w:val="00202BD1"/>
    <w:rsid w:val="00202C1A"/>
    <w:rsid w:val="002039E7"/>
    <w:rsid w:val="00203E2B"/>
    <w:rsid w:val="002040D0"/>
    <w:rsid w:val="00204101"/>
    <w:rsid w:val="0020465E"/>
    <w:rsid w:val="002047C4"/>
    <w:rsid w:val="00204836"/>
    <w:rsid w:val="00205181"/>
    <w:rsid w:val="002053F4"/>
    <w:rsid w:val="00205709"/>
    <w:rsid w:val="00206028"/>
    <w:rsid w:val="002060C6"/>
    <w:rsid w:val="002067B5"/>
    <w:rsid w:val="00207494"/>
    <w:rsid w:val="00207597"/>
    <w:rsid w:val="00207D92"/>
    <w:rsid w:val="00207E93"/>
    <w:rsid w:val="002108AC"/>
    <w:rsid w:val="00211CEB"/>
    <w:rsid w:val="0021227D"/>
    <w:rsid w:val="002128BB"/>
    <w:rsid w:val="00212C99"/>
    <w:rsid w:val="00214AAD"/>
    <w:rsid w:val="002153F7"/>
    <w:rsid w:val="002155B7"/>
    <w:rsid w:val="00215BEE"/>
    <w:rsid w:val="00215EA0"/>
    <w:rsid w:val="002160E8"/>
    <w:rsid w:val="00216889"/>
    <w:rsid w:val="00217E18"/>
    <w:rsid w:val="00220371"/>
    <w:rsid w:val="00220B0B"/>
    <w:rsid w:val="00220E7D"/>
    <w:rsid w:val="00221316"/>
    <w:rsid w:val="002213EA"/>
    <w:rsid w:val="00222664"/>
    <w:rsid w:val="00222974"/>
    <w:rsid w:val="00223839"/>
    <w:rsid w:val="00224429"/>
    <w:rsid w:val="00224904"/>
    <w:rsid w:val="00224B62"/>
    <w:rsid w:val="00225E62"/>
    <w:rsid w:val="00226320"/>
    <w:rsid w:val="00226757"/>
    <w:rsid w:val="00226B4E"/>
    <w:rsid w:val="00226E85"/>
    <w:rsid w:val="00227CA7"/>
    <w:rsid w:val="00227DE3"/>
    <w:rsid w:val="002318E7"/>
    <w:rsid w:val="002319BF"/>
    <w:rsid w:val="002319FF"/>
    <w:rsid w:val="00231AF4"/>
    <w:rsid w:val="00232269"/>
    <w:rsid w:val="00232EBF"/>
    <w:rsid w:val="0023385A"/>
    <w:rsid w:val="00233FB4"/>
    <w:rsid w:val="00234B08"/>
    <w:rsid w:val="00234F68"/>
    <w:rsid w:val="0023575A"/>
    <w:rsid w:val="00235DD0"/>
    <w:rsid w:val="00236641"/>
    <w:rsid w:val="00236B6B"/>
    <w:rsid w:val="002371F0"/>
    <w:rsid w:val="00237224"/>
    <w:rsid w:val="002375CA"/>
    <w:rsid w:val="002404C2"/>
    <w:rsid w:val="00240654"/>
    <w:rsid w:val="00240733"/>
    <w:rsid w:val="00240840"/>
    <w:rsid w:val="002408AC"/>
    <w:rsid w:val="00240A01"/>
    <w:rsid w:val="00240AE6"/>
    <w:rsid w:val="00240C46"/>
    <w:rsid w:val="00241295"/>
    <w:rsid w:val="002414CB"/>
    <w:rsid w:val="002417A2"/>
    <w:rsid w:val="00242710"/>
    <w:rsid w:val="00242A50"/>
    <w:rsid w:val="00242DE2"/>
    <w:rsid w:val="002430FC"/>
    <w:rsid w:val="00243382"/>
    <w:rsid w:val="002433B4"/>
    <w:rsid w:val="00243A8F"/>
    <w:rsid w:val="00244A2C"/>
    <w:rsid w:val="00244DAE"/>
    <w:rsid w:val="002461FF"/>
    <w:rsid w:val="00246214"/>
    <w:rsid w:val="00246299"/>
    <w:rsid w:val="002462D3"/>
    <w:rsid w:val="002466CF"/>
    <w:rsid w:val="0024683F"/>
    <w:rsid w:val="00247258"/>
    <w:rsid w:val="0024792B"/>
    <w:rsid w:val="002479D7"/>
    <w:rsid w:val="00247A36"/>
    <w:rsid w:val="00247BB7"/>
    <w:rsid w:val="0025000E"/>
    <w:rsid w:val="0025009A"/>
    <w:rsid w:val="0025027C"/>
    <w:rsid w:val="00250723"/>
    <w:rsid w:val="002508D1"/>
    <w:rsid w:val="00250D81"/>
    <w:rsid w:val="00250E57"/>
    <w:rsid w:val="0025114C"/>
    <w:rsid w:val="002514B6"/>
    <w:rsid w:val="00251A52"/>
    <w:rsid w:val="0025239D"/>
    <w:rsid w:val="00252B91"/>
    <w:rsid w:val="00252D50"/>
    <w:rsid w:val="00252F93"/>
    <w:rsid w:val="00253493"/>
    <w:rsid w:val="00253536"/>
    <w:rsid w:val="002538D4"/>
    <w:rsid w:val="002539A4"/>
    <w:rsid w:val="00253E0F"/>
    <w:rsid w:val="002541E3"/>
    <w:rsid w:val="00254603"/>
    <w:rsid w:val="0025470A"/>
    <w:rsid w:val="00254D35"/>
    <w:rsid w:val="0025516C"/>
    <w:rsid w:val="00255760"/>
    <w:rsid w:val="002558C7"/>
    <w:rsid w:val="00255A1C"/>
    <w:rsid w:val="00255C0C"/>
    <w:rsid w:val="00255EAA"/>
    <w:rsid w:val="00256446"/>
    <w:rsid w:val="002565F0"/>
    <w:rsid w:val="00256A6E"/>
    <w:rsid w:val="00256CA5"/>
    <w:rsid w:val="002571AD"/>
    <w:rsid w:val="00257472"/>
    <w:rsid w:val="002576E2"/>
    <w:rsid w:val="002579BE"/>
    <w:rsid w:val="00257CDB"/>
    <w:rsid w:val="00260799"/>
    <w:rsid w:val="00260F01"/>
    <w:rsid w:val="00261770"/>
    <w:rsid w:val="00261A6F"/>
    <w:rsid w:val="00261ACC"/>
    <w:rsid w:val="0026222D"/>
    <w:rsid w:val="002623A2"/>
    <w:rsid w:val="00262DA9"/>
    <w:rsid w:val="002632E5"/>
    <w:rsid w:val="00263346"/>
    <w:rsid w:val="00263C12"/>
    <w:rsid w:val="00263DD6"/>
    <w:rsid w:val="00264649"/>
    <w:rsid w:val="00264A4F"/>
    <w:rsid w:val="00265019"/>
    <w:rsid w:val="00266018"/>
    <w:rsid w:val="00266463"/>
    <w:rsid w:val="002665C4"/>
    <w:rsid w:val="00266956"/>
    <w:rsid w:val="00266A7A"/>
    <w:rsid w:val="00266E8B"/>
    <w:rsid w:val="00266EAD"/>
    <w:rsid w:val="00267195"/>
    <w:rsid w:val="002674C1"/>
    <w:rsid w:val="002675AC"/>
    <w:rsid w:val="0026780B"/>
    <w:rsid w:val="002679DA"/>
    <w:rsid w:val="0027036B"/>
    <w:rsid w:val="002707CD"/>
    <w:rsid w:val="002709BC"/>
    <w:rsid w:val="00270BF3"/>
    <w:rsid w:val="00270C8D"/>
    <w:rsid w:val="00270CB0"/>
    <w:rsid w:val="00270CF9"/>
    <w:rsid w:val="00270FB4"/>
    <w:rsid w:val="00271D79"/>
    <w:rsid w:val="00271F45"/>
    <w:rsid w:val="0027216D"/>
    <w:rsid w:val="002725B0"/>
    <w:rsid w:val="002728DC"/>
    <w:rsid w:val="00272C5F"/>
    <w:rsid w:val="00272DA7"/>
    <w:rsid w:val="002730B2"/>
    <w:rsid w:val="0027311F"/>
    <w:rsid w:val="0027372E"/>
    <w:rsid w:val="00274685"/>
    <w:rsid w:val="00274FB7"/>
    <w:rsid w:val="00275D29"/>
    <w:rsid w:val="002760AF"/>
    <w:rsid w:val="0027615C"/>
    <w:rsid w:val="0027667E"/>
    <w:rsid w:val="00276701"/>
    <w:rsid w:val="00276765"/>
    <w:rsid w:val="002772B5"/>
    <w:rsid w:val="0028035E"/>
    <w:rsid w:val="00280B6E"/>
    <w:rsid w:val="00280CC2"/>
    <w:rsid w:val="0028175F"/>
    <w:rsid w:val="00281807"/>
    <w:rsid w:val="0028191E"/>
    <w:rsid w:val="00281E06"/>
    <w:rsid w:val="00281FB0"/>
    <w:rsid w:val="00282829"/>
    <w:rsid w:val="00282BA4"/>
    <w:rsid w:val="00283227"/>
    <w:rsid w:val="0028339D"/>
    <w:rsid w:val="0028395C"/>
    <w:rsid w:val="00283BA0"/>
    <w:rsid w:val="00283E08"/>
    <w:rsid w:val="00284269"/>
    <w:rsid w:val="00284874"/>
    <w:rsid w:val="00284C39"/>
    <w:rsid w:val="00284E92"/>
    <w:rsid w:val="00285321"/>
    <w:rsid w:val="0028550C"/>
    <w:rsid w:val="00285C51"/>
    <w:rsid w:val="00286157"/>
    <w:rsid w:val="002865A9"/>
    <w:rsid w:val="00286A30"/>
    <w:rsid w:val="00286A55"/>
    <w:rsid w:val="00286B6F"/>
    <w:rsid w:val="00286BA7"/>
    <w:rsid w:val="00287250"/>
    <w:rsid w:val="00287265"/>
    <w:rsid w:val="00287342"/>
    <w:rsid w:val="002876C8"/>
    <w:rsid w:val="0028788C"/>
    <w:rsid w:val="00287CA3"/>
    <w:rsid w:val="00287ECE"/>
    <w:rsid w:val="00287F0B"/>
    <w:rsid w:val="002903DD"/>
    <w:rsid w:val="002907E1"/>
    <w:rsid w:val="002908BA"/>
    <w:rsid w:val="00290BE4"/>
    <w:rsid w:val="00290F56"/>
    <w:rsid w:val="002911DC"/>
    <w:rsid w:val="00291428"/>
    <w:rsid w:val="00291685"/>
    <w:rsid w:val="0029170A"/>
    <w:rsid w:val="0029188F"/>
    <w:rsid w:val="002918DB"/>
    <w:rsid w:val="00291B90"/>
    <w:rsid w:val="00291D84"/>
    <w:rsid w:val="00292FD4"/>
    <w:rsid w:val="002930D5"/>
    <w:rsid w:val="00293BE0"/>
    <w:rsid w:val="0029435C"/>
    <w:rsid w:val="0029472E"/>
    <w:rsid w:val="00294A23"/>
    <w:rsid w:val="00294CEE"/>
    <w:rsid w:val="00295211"/>
    <w:rsid w:val="0029586E"/>
    <w:rsid w:val="00295B2B"/>
    <w:rsid w:val="00295E66"/>
    <w:rsid w:val="00296312"/>
    <w:rsid w:val="002963AF"/>
    <w:rsid w:val="00296429"/>
    <w:rsid w:val="00296B98"/>
    <w:rsid w:val="002971ED"/>
    <w:rsid w:val="0029746D"/>
    <w:rsid w:val="00297745"/>
    <w:rsid w:val="002A0FD7"/>
    <w:rsid w:val="002A114B"/>
    <w:rsid w:val="002A1F13"/>
    <w:rsid w:val="002A2291"/>
    <w:rsid w:val="002A22F8"/>
    <w:rsid w:val="002A2FBC"/>
    <w:rsid w:val="002A38AE"/>
    <w:rsid w:val="002A3E59"/>
    <w:rsid w:val="002A463E"/>
    <w:rsid w:val="002A4793"/>
    <w:rsid w:val="002A48C6"/>
    <w:rsid w:val="002A4D4E"/>
    <w:rsid w:val="002A507C"/>
    <w:rsid w:val="002A5EB1"/>
    <w:rsid w:val="002A6787"/>
    <w:rsid w:val="002A686E"/>
    <w:rsid w:val="002A6906"/>
    <w:rsid w:val="002A7520"/>
    <w:rsid w:val="002B0A63"/>
    <w:rsid w:val="002B2239"/>
    <w:rsid w:val="002B2C82"/>
    <w:rsid w:val="002B3784"/>
    <w:rsid w:val="002B3F23"/>
    <w:rsid w:val="002B4064"/>
    <w:rsid w:val="002B4537"/>
    <w:rsid w:val="002B4822"/>
    <w:rsid w:val="002B48E8"/>
    <w:rsid w:val="002B5B7D"/>
    <w:rsid w:val="002B5F73"/>
    <w:rsid w:val="002B6052"/>
    <w:rsid w:val="002B6181"/>
    <w:rsid w:val="002B63E6"/>
    <w:rsid w:val="002B640E"/>
    <w:rsid w:val="002B65DE"/>
    <w:rsid w:val="002B672C"/>
    <w:rsid w:val="002B6A6F"/>
    <w:rsid w:val="002B6A8C"/>
    <w:rsid w:val="002B6C97"/>
    <w:rsid w:val="002B6D66"/>
    <w:rsid w:val="002B7138"/>
    <w:rsid w:val="002C0B88"/>
    <w:rsid w:val="002C1461"/>
    <w:rsid w:val="002C1637"/>
    <w:rsid w:val="002C20C2"/>
    <w:rsid w:val="002C33A0"/>
    <w:rsid w:val="002C34F1"/>
    <w:rsid w:val="002C4737"/>
    <w:rsid w:val="002C4796"/>
    <w:rsid w:val="002C49C6"/>
    <w:rsid w:val="002C4A99"/>
    <w:rsid w:val="002C536B"/>
    <w:rsid w:val="002C5ED8"/>
    <w:rsid w:val="002C6648"/>
    <w:rsid w:val="002C737D"/>
    <w:rsid w:val="002C74CA"/>
    <w:rsid w:val="002C74ED"/>
    <w:rsid w:val="002C7925"/>
    <w:rsid w:val="002C7D03"/>
    <w:rsid w:val="002C7E99"/>
    <w:rsid w:val="002D0133"/>
    <w:rsid w:val="002D0248"/>
    <w:rsid w:val="002D2053"/>
    <w:rsid w:val="002D221D"/>
    <w:rsid w:val="002D22B6"/>
    <w:rsid w:val="002D2A1C"/>
    <w:rsid w:val="002D3007"/>
    <w:rsid w:val="002D30A8"/>
    <w:rsid w:val="002D43A7"/>
    <w:rsid w:val="002D43F6"/>
    <w:rsid w:val="002D4732"/>
    <w:rsid w:val="002D4D3B"/>
    <w:rsid w:val="002D4FE0"/>
    <w:rsid w:val="002D552F"/>
    <w:rsid w:val="002D5800"/>
    <w:rsid w:val="002D598B"/>
    <w:rsid w:val="002D6323"/>
    <w:rsid w:val="002D6338"/>
    <w:rsid w:val="002D6386"/>
    <w:rsid w:val="002D6548"/>
    <w:rsid w:val="002D6AB0"/>
    <w:rsid w:val="002D6F58"/>
    <w:rsid w:val="002D7DC2"/>
    <w:rsid w:val="002E02DA"/>
    <w:rsid w:val="002E050D"/>
    <w:rsid w:val="002E08DF"/>
    <w:rsid w:val="002E0C2A"/>
    <w:rsid w:val="002E0EFC"/>
    <w:rsid w:val="002E12AE"/>
    <w:rsid w:val="002E1981"/>
    <w:rsid w:val="002E1A81"/>
    <w:rsid w:val="002E29D7"/>
    <w:rsid w:val="002E2C75"/>
    <w:rsid w:val="002E2CC5"/>
    <w:rsid w:val="002E30F7"/>
    <w:rsid w:val="002E325D"/>
    <w:rsid w:val="002E3AA8"/>
    <w:rsid w:val="002E3E01"/>
    <w:rsid w:val="002E3FAE"/>
    <w:rsid w:val="002E44A7"/>
    <w:rsid w:val="002E59E4"/>
    <w:rsid w:val="002E6963"/>
    <w:rsid w:val="002E6A72"/>
    <w:rsid w:val="002E6ABE"/>
    <w:rsid w:val="002E7157"/>
    <w:rsid w:val="002E78D3"/>
    <w:rsid w:val="002E7D37"/>
    <w:rsid w:val="002F0252"/>
    <w:rsid w:val="002F088B"/>
    <w:rsid w:val="002F08B3"/>
    <w:rsid w:val="002F121A"/>
    <w:rsid w:val="002F1242"/>
    <w:rsid w:val="002F136D"/>
    <w:rsid w:val="002F21ED"/>
    <w:rsid w:val="002F251D"/>
    <w:rsid w:val="002F2CFF"/>
    <w:rsid w:val="002F2D9C"/>
    <w:rsid w:val="002F395C"/>
    <w:rsid w:val="002F4122"/>
    <w:rsid w:val="002F416D"/>
    <w:rsid w:val="002F4A04"/>
    <w:rsid w:val="002F4D38"/>
    <w:rsid w:val="002F4DF3"/>
    <w:rsid w:val="002F5715"/>
    <w:rsid w:val="002F5949"/>
    <w:rsid w:val="002F5A08"/>
    <w:rsid w:val="002F6C6C"/>
    <w:rsid w:val="002F76F4"/>
    <w:rsid w:val="002F790F"/>
    <w:rsid w:val="002F7B3C"/>
    <w:rsid w:val="00300705"/>
    <w:rsid w:val="00300D0C"/>
    <w:rsid w:val="00301561"/>
    <w:rsid w:val="00301677"/>
    <w:rsid w:val="00301688"/>
    <w:rsid w:val="00301ABF"/>
    <w:rsid w:val="00301F03"/>
    <w:rsid w:val="003027F9"/>
    <w:rsid w:val="00302B35"/>
    <w:rsid w:val="00302CE3"/>
    <w:rsid w:val="00302F97"/>
    <w:rsid w:val="00303DFE"/>
    <w:rsid w:val="003047F9"/>
    <w:rsid w:val="00304C2B"/>
    <w:rsid w:val="00305D2D"/>
    <w:rsid w:val="00305DA8"/>
    <w:rsid w:val="00306093"/>
    <w:rsid w:val="00306387"/>
    <w:rsid w:val="00306806"/>
    <w:rsid w:val="003069B7"/>
    <w:rsid w:val="00306EEE"/>
    <w:rsid w:val="003072BA"/>
    <w:rsid w:val="003074FE"/>
    <w:rsid w:val="00307AC0"/>
    <w:rsid w:val="00307F9B"/>
    <w:rsid w:val="003101D7"/>
    <w:rsid w:val="0031026C"/>
    <w:rsid w:val="00311292"/>
    <w:rsid w:val="00311748"/>
    <w:rsid w:val="00312208"/>
    <w:rsid w:val="0031252A"/>
    <w:rsid w:val="00313355"/>
    <w:rsid w:val="00313421"/>
    <w:rsid w:val="00313C38"/>
    <w:rsid w:val="00313EB7"/>
    <w:rsid w:val="0031498B"/>
    <w:rsid w:val="00314C18"/>
    <w:rsid w:val="00314C2C"/>
    <w:rsid w:val="00314EC7"/>
    <w:rsid w:val="00314FA3"/>
    <w:rsid w:val="00315767"/>
    <w:rsid w:val="0031596B"/>
    <w:rsid w:val="00316657"/>
    <w:rsid w:val="00316755"/>
    <w:rsid w:val="00316917"/>
    <w:rsid w:val="00316C84"/>
    <w:rsid w:val="00316C88"/>
    <w:rsid w:val="00317269"/>
    <w:rsid w:val="003172EB"/>
    <w:rsid w:val="0031740E"/>
    <w:rsid w:val="003177F8"/>
    <w:rsid w:val="00317912"/>
    <w:rsid w:val="003179D3"/>
    <w:rsid w:val="00317A24"/>
    <w:rsid w:val="00320037"/>
    <w:rsid w:val="003200CE"/>
    <w:rsid w:val="0032093E"/>
    <w:rsid w:val="00320B9D"/>
    <w:rsid w:val="00320DC7"/>
    <w:rsid w:val="003211EF"/>
    <w:rsid w:val="00321353"/>
    <w:rsid w:val="00321960"/>
    <w:rsid w:val="00321E71"/>
    <w:rsid w:val="0032216D"/>
    <w:rsid w:val="00322B94"/>
    <w:rsid w:val="00322F48"/>
    <w:rsid w:val="00323588"/>
    <w:rsid w:val="00323783"/>
    <w:rsid w:val="00323D0B"/>
    <w:rsid w:val="00323E64"/>
    <w:rsid w:val="00323F82"/>
    <w:rsid w:val="00324EB7"/>
    <w:rsid w:val="00325550"/>
    <w:rsid w:val="003255E9"/>
    <w:rsid w:val="00325B64"/>
    <w:rsid w:val="00325FC4"/>
    <w:rsid w:val="003266D6"/>
    <w:rsid w:val="00326A0D"/>
    <w:rsid w:val="00326A51"/>
    <w:rsid w:val="003273D5"/>
    <w:rsid w:val="00327408"/>
    <w:rsid w:val="0032750C"/>
    <w:rsid w:val="00330554"/>
    <w:rsid w:val="003305B7"/>
    <w:rsid w:val="003311FA"/>
    <w:rsid w:val="00331433"/>
    <w:rsid w:val="003316D6"/>
    <w:rsid w:val="00331E0A"/>
    <w:rsid w:val="00332344"/>
    <w:rsid w:val="00332519"/>
    <w:rsid w:val="00332775"/>
    <w:rsid w:val="00332940"/>
    <w:rsid w:val="00332F90"/>
    <w:rsid w:val="00333FF6"/>
    <w:rsid w:val="0033423C"/>
    <w:rsid w:val="00334619"/>
    <w:rsid w:val="00334661"/>
    <w:rsid w:val="00334B94"/>
    <w:rsid w:val="0033563F"/>
    <w:rsid w:val="00335C4F"/>
    <w:rsid w:val="00335E3F"/>
    <w:rsid w:val="00335E46"/>
    <w:rsid w:val="003363F6"/>
    <w:rsid w:val="00336501"/>
    <w:rsid w:val="00336BEB"/>
    <w:rsid w:val="00336CED"/>
    <w:rsid w:val="003375F9"/>
    <w:rsid w:val="003377D7"/>
    <w:rsid w:val="0033786E"/>
    <w:rsid w:val="0033799B"/>
    <w:rsid w:val="003404E8"/>
    <w:rsid w:val="003409C8"/>
    <w:rsid w:val="00340BF6"/>
    <w:rsid w:val="00341264"/>
    <w:rsid w:val="00341988"/>
    <w:rsid w:val="00341BD8"/>
    <w:rsid w:val="00342266"/>
    <w:rsid w:val="0034243B"/>
    <w:rsid w:val="00342C5E"/>
    <w:rsid w:val="00343514"/>
    <w:rsid w:val="00343F71"/>
    <w:rsid w:val="00344A41"/>
    <w:rsid w:val="00344C88"/>
    <w:rsid w:val="00344F3D"/>
    <w:rsid w:val="003457F1"/>
    <w:rsid w:val="00345CE8"/>
    <w:rsid w:val="00345E77"/>
    <w:rsid w:val="003469B7"/>
    <w:rsid w:val="00346ABA"/>
    <w:rsid w:val="00346C10"/>
    <w:rsid w:val="00347596"/>
    <w:rsid w:val="00347617"/>
    <w:rsid w:val="003477EB"/>
    <w:rsid w:val="00347821"/>
    <w:rsid w:val="003509EB"/>
    <w:rsid w:val="00350F4E"/>
    <w:rsid w:val="003516AA"/>
    <w:rsid w:val="0035198A"/>
    <w:rsid w:val="00351C94"/>
    <w:rsid w:val="00351D5A"/>
    <w:rsid w:val="00352808"/>
    <w:rsid w:val="00352A62"/>
    <w:rsid w:val="00353103"/>
    <w:rsid w:val="00353772"/>
    <w:rsid w:val="00353850"/>
    <w:rsid w:val="003539BA"/>
    <w:rsid w:val="0035447D"/>
    <w:rsid w:val="00354888"/>
    <w:rsid w:val="0035499B"/>
    <w:rsid w:val="00354DA8"/>
    <w:rsid w:val="00355297"/>
    <w:rsid w:val="003556E8"/>
    <w:rsid w:val="003559AD"/>
    <w:rsid w:val="00355C85"/>
    <w:rsid w:val="0035629B"/>
    <w:rsid w:val="003563DD"/>
    <w:rsid w:val="00356A76"/>
    <w:rsid w:val="00356CFD"/>
    <w:rsid w:val="00356DA7"/>
    <w:rsid w:val="00356FFD"/>
    <w:rsid w:val="003571BF"/>
    <w:rsid w:val="00357234"/>
    <w:rsid w:val="00357E05"/>
    <w:rsid w:val="0036009B"/>
    <w:rsid w:val="0036023B"/>
    <w:rsid w:val="0036029D"/>
    <w:rsid w:val="00360CF0"/>
    <w:rsid w:val="00360E60"/>
    <w:rsid w:val="00360F85"/>
    <w:rsid w:val="0036152A"/>
    <w:rsid w:val="00362473"/>
    <w:rsid w:val="003625D8"/>
    <w:rsid w:val="00363089"/>
    <w:rsid w:val="003633FA"/>
    <w:rsid w:val="003637CB"/>
    <w:rsid w:val="00363830"/>
    <w:rsid w:val="003639FF"/>
    <w:rsid w:val="00364018"/>
    <w:rsid w:val="00364326"/>
    <w:rsid w:val="00364AB1"/>
    <w:rsid w:val="00364D47"/>
    <w:rsid w:val="00364E06"/>
    <w:rsid w:val="00364EC3"/>
    <w:rsid w:val="003656FD"/>
    <w:rsid w:val="00365769"/>
    <w:rsid w:val="00365AA7"/>
    <w:rsid w:val="003665AB"/>
    <w:rsid w:val="0036685D"/>
    <w:rsid w:val="0036696D"/>
    <w:rsid w:val="00366A81"/>
    <w:rsid w:val="003677C1"/>
    <w:rsid w:val="0036789A"/>
    <w:rsid w:val="00367BFC"/>
    <w:rsid w:val="00367C02"/>
    <w:rsid w:val="00367D31"/>
    <w:rsid w:val="00367DD3"/>
    <w:rsid w:val="00367F01"/>
    <w:rsid w:val="003703F3"/>
    <w:rsid w:val="0037057F"/>
    <w:rsid w:val="003709AF"/>
    <w:rsid w:val="00370AC0"/>
    <w:rsid w:val="00370F95"/>
    <w:rsid w:val="00370FF6"/>
    <w:rsid w:val="0037142C"/>
    <w:rsid w:val="00371E0C"/>
    <w:rsid w:val="00371F8B"/>
    <w:rsid w:val="00373182"/>
    <w:rsid w:val="00373F7C"/>
    <w:rsid w:val="003743A4"/>
    <w:rsid w:val="0037461E"/>
    <w:rsid w:val="00374CFD"/>
    <w:rsid w:val="00374F28"/>
    <w:rsid w:val="00375337"/>
    <w:rsid w:val="0037567F"/>
    <w:rsid w:val="003756FC"/>
    <w:rsid w:val="003760A4"/>
    <w:rsid w:val="00376197"/>
    <w:rsid w:val="003765A9"/>
    <w:rsid w:val="00376D17"/>
    <w:rsid w:val="00376FA5"/>
    <w:rsid w:val="003774D9"/>
    <w:rsid w:val="00377AD2"/>
    <w:rsid w:val="0037B8BF"/>
    <w:rsid w:val="00380610"/>
    <w:rsid w:val="00380639"/>
    <w:rsid w:val="00380644"/>
    <w:rsid w:val="0038072F"/>
    <w:rsid w:val="00380CD2"/>
    <w:rsid w:val="00380D8D"/>
    <w:rsid w:val="00382048"/>
    <w:rsid w:val="003824E3"/>
    <w:rsid w:val="00382B2E"/>
    <w:rsid w:val="00382BBC"/>
    <w:rsid w:val="00382F89"/>
    <w:rsid w:val="0038302C"/>
    <w:rsid w:val="003834A9"/>
    <w:rsid w:val="003834EF"/>
    <w:rsid w:val="0038355F"/>
    <w:rsid w:val="003837AF"/>
    <w:rsid w:val="00384080"/>
    <w:rsid w:val="0038416C"/>
    <w:rsid w:val="0038430F"/>
    <w:rsid w:val="00384475"/>
    <w:rsid w:val="0038471A"/>
    <w:rsid w:val="003849C4"/>
    <w:rsid w:val="00384AFC"/>
    <w:rsid w:val="00384D21"/>
    <w:rsid w:val="0038510C"/>
    <w:rsid w:val="00386749"/>
    <w:rsid w:val="00386A58"/>
    <w:rsid w:val="00386DB7"/>
    <w:rsid w:val="003876FE"/>
    <w:rsid w:val="00387DC9"/>
    <w:rsid w:val="00387EBB"/>
    <w:rsid w:val="00390083"/>
    <w:rsid w:val="0039042E"/>
    <w:rsid w:val="00390593"/>
    <w:rsid w:val="00390ABE"/>
    <w:rsid w:val="00391354"/>
    <w:rsid w:val="0039135C"/>
    <w:rsid w:val="00391AFB"/>
    <w:rsid w:val="00391BFC"/>
    <w:rsid w:val="003922DF"/>
    <w:rsid w:val="003923A5"/>
    <w:rsid w:val="00393146"/>
    <w:rsid w:val="003935D7"/>
    <w:rsid w:val="00393D4C"/>
    <w:rsid w:val="00394589"/>
    <w:rsid w:val="003945BD"/>
    <w:rsid w:val="00394DC4"/>
    <w:rsid w:val="00395079"/>
    <w:rsid w:val="00395C6E"/>
    <w:rsid w:val="00395D3F"/>
    <w:rsid w:val="00396542"/>
    <w:rsid w:val="00396B2E"/>
    <w:rsid w:val="00396D8F"/>
    <w:rsid w:val="00396DE4"/>
    <w:rsid w:val="003973BA"/>
    <w:rsid w:val="00397875"/>
    <w:rsid w:val="003A076F"/>
    <w:rsid w:val="003A0780"/>
    <w:rsid w:val="003A163A"/>
    <w:rsid w:val="003A1861"/>
    <w:rsid w:val="003A1BBE"/>
    <w:rsid w:val="003A1E12"/>
    <w:rsid w:val="003A240D"/>
    <w:rsid w:val="003A2C46"/>
    <w:rsid w:val="003A2E7B"/>
    <w:rsid w:val="003A34A6"/>
    <w:rsid w:val="003A3894"/>
    <w:rsid w:val="003A398C"/>
    <w:rsid w:val="003A5181"/>
    <w:rsid w:val="003A5551"/>
    <w:rsid w:val="003A5816"/>
    <w:rsid w:val="003A593B"/>
    <w:rsid w:val="003A6110"/>
    <w:rsid w:val="003A651B"/>
    <w:rsid w:val="003A69F6"/>
    <w:rsid w:val="003A6AE9"/>
    <w:rsid w:val="003A7782"/>
    <w:rsid w:val="003B0153"/>
    <w:rsid w:val="003B0331"/>
    <w:rsid w:val="003B0984"/>
    <w:rsid w:val="003B0B23"/>
    <w:rsid w:val="003B1082"/>
    <w:rsid w:val="003B193F"/>
    <w:rsid w:val="003B1B20"/>
    <w:rsid w:val="003B1BC6"/>
    <w:rsid w:val="003B219A"/>
    <w:rsid w:val="003B2A7E"/>
    <w:rsid w:val="003B3378"/>
    <w:rsid w:val="003B36AF"/>
    <w:rsid w:val="003B3FBB"/>
    <w:rsid w:val="003B4317"/>
    <w:rsid w:val="003B4CF6"/>
    <w:rsid w:val="003B4D6A"/>
    <w:rsid w:val="003B523D"/>
    <w:rsid w:val="003B54AA"/>
    <w:rsid w:val="003B575D"/>
    <w:rsid w:val="003B5D66"/>
    <w:rsid w:val="003B5E21"/>
    <w:rsid w:val="003B5F6D"/>
    <w:rsid w:val="003B60D5"/>
    <w:rsid w:val="003B6827"/>
    <w:rsid w:val="003B6AE4"/>
    <w:rsid w:val="003B729F"/>
    <w:rsid w:val="003B75D8"/>
    <w:rsid w:val="003B7CE3"/>
    <w:rsid w:val="003C01D3"/>
    <w:rsid w:val="003C06DF"/>
    <w:rsid w:val="003C0835"/>
    <w:rsid w:val="003C0D49"/>
    <w:rsid w:val="003C1130"/>
    <w:rsid w:val="003C1202"/>
    <w:rsid w:val="003C1E2D"/>
    <w:rsid w:val="003C2094"/>
    <w:rsid w:val="003C2791"/>
    <w:rsid w:val="003C2BD6"/>
    <w:rsid w:val="003C2C64"/>
    <w:rsid w:val="003C3B35"/>
    <w:rsid w:val="003C3BE4"/>
    <w:rsid w:val="003C3C77"/>
    <w:rsid w:val="003C4D9E"/>
    <w:rsid w:val="003C5495"/>
    <w:rsid w:val="003C6118"/>
    <w:rsid w:val="003C62CA"/>
    <w:rsid w:val="003C69D2"/>
    <w:rsid w:val="003C7163"/>
    <w:rsid w:val="003C73C6"/>
    <w:rsid w:val="003D05D9"/>
    <w:rsid w:val="003D1493"/>
    <w:rsid w:val="003D1498"/>
    <w:rsid w:val="003D18CE"/>
    <w:rsid w:val="003D1B0E"/>
    <w:rsid w:val="003D2397"/>
    <w:rsid w:val="003D26D6"/>
    <w:rsid w:val="003D313F"/>
    <w:rsid w:val="003D31DE"/>
    <w:rsid w:val="003D3536"/>
    <w:rsid w:val="003D3AC5"/>
    <w:rsid w:val="003D3B26"/>
    <w:rsid w:val="003D3B75"/>
    <w:rsid w:val="003D41D5"/>
    <w:rsid w:val="003D458B"/>
    <w:rsid w:val="003D5838"/>
    <w:rsid w:val="003D5994"/>
    <w:rsid w:val="003D6CA0"/>
    <w:rsid w:val="003D6D2C"/>
    <w:rsid w:val="003D6F42"/>
    <w:rsid w:val="003D6F50"/>
    <w:rsid w:val="003D707A"/>
    <w:rsid w:val="003E0614"/>
    <w:rsid w:val="003E10AD"/>
    <w:rsid w:val="003E132F"/>
    <w:rsid w:val="003E1343"/>
    <w:rsid w:val="003E1376"/>
    <w:rsid w:val="003E1651"/>
    <w:rsid w:val="003E2C2C"/>
    <w:rsid w:val="003E2C9F"/>
    <w:rsid w:val="003E2D92"/>
    <w:rsid w:val="003E2ECA"/>
    <w:rsid w:val="003E3601"/>
    <w:rsid w:val="003E3A33"/>
    <w:rsid w:val="003E3F65"/>
    <w:rsid w:val="003E457B"/>
    <w:rsid w:val="003E4668"/>
    <w:rsid w:val="003E4A8A"/>
    <w:rsid w:val="003E5898"/>
    <w:rsid w:val="003E5A4F"/>
    <w:rsid w:val="003E5AE4"/>
    <w:rsid w:val="003E6195"/>
    <w:rsid w:val="003E79AC"/>
    <w:rsid w:val="003F07B9"/>
    <w:rsid w:val="003F0A69"/>
    <w:rsid w:val="003F0C12"/>
    <w:rsid w:val="003F130D"/>
    <w:rsid w:val="003F1E58"/>
    <w:rsid w:val="003F2786"/>
    <w:rsid w:val="003F2E5F"/>
    <w:rsid w:val="003F2F2D"/>
    <w:rsid w:val="003F35AD"/>
    <w:rsid w:val="003F3A03"/>
    <w:rsid w:val="003F44C9"/>
    <w:rsid w:val="003F4724"/>
    <w:rsid w:val="003F4A29"/>
    <w:rsid w:val="003F4F9E"/>
    <w:rsid w:val="003F5697"/>
    <w:rsid w:val="003F58AB"/>
    <w:rsid w:val="003F5982"/>
    <w:rsid w:val="003F5AC5"/>
    <w:rsid w:val="003F6A00"/>
    <w:rsid w:val="003F6A95"/>
    <w:rsid w:val="003F73CE"/>
    <w:rsid w:val="003F7EA7"/>
    <w:rsid w:val="003F7ED8"/>
    <w:rsid w:val="00400112"/>
    <w:rsid w:val="004005A2"/>
    <w:rsid w:val="00400BBC"/>
    <w:rsid w:val="00401166"/>
    <w:rsid w:val="00401490"/>
    <w:rsid w:val="00401606"/>
    <w:rsid w:val="00401DCB"/>
    <w:rsid w:val="00401E34"/>
    <w:rsid w:val="00401FA1"/>
    <w:rsid w:val="00402F36"/>
    <w:rsid w:val="0040315F"/>
    <w:rsid w:val="004039E9"/>
    <w:rsid w:val="00403A9A"/>
    <w:rsid w:val="00403B2C"/>
    <w:rsid w:val="00403C0A"/>
    <w:rsid w:val="00403CDE"/>
    <w:rsid w:val="004047D4"/>
    <w:rsid w:val="00404920"/>
    <w:rsid w:val="004049BD"/>
    <w:rsid w:val="004051E3"/>
    <w:rsid w:val="00405356"/>
    <w:rsid w:val="004054C3"/>
    <w:rsid w:val="00405B88"/>
    <w:rsid w:val="004061AF"/>
    <w:rsid w:val="0040690E"/>
    <w:rsid w:val="004072B9"/>
    <w:rsid w:val="0040732F"/>
    <w:rsid w:val="00407707"/>
    <w:rsid w:val="004078E8"/>
    <w:rsid w:val="00407CEB"/>
    <w:rsid w:val="00407F4E"/>
    <w:rsid w:val="00410536"/>
    <w:rsid w:val="004108B0"/>
    <w:rsid w:val="004110BB"/>
    <w:rsid w:val="00411586"/>
    <w:rsid w:val="00411C54"/>
    <w:rsid w:val="004122A2"/>
    <w:rsid w:val="0041244D"/>
    <w:rsid w:val="00412AB1"/>
    <w:rsid w:val="00413F69"/>
    <w:rsid w:val="00414157"/>
    <w:rsid w:val="004141F4"/>
    <w:rsid w:val="00414220"/>
    <w:rsid w:val="004142F9"/>
    <w:rsid w:val="00414540"/>
    <w:rsid w:val="0041587F"/>
    <w:rsid w:val="00416398"/>
    <w:rsid w:val="0041660F"/>
    <w:rsid w:val="004166A6"/>
    <w:rsid w:val="00416FBF"/>
    <w:rsid w:val="004173EB"/>
    <w:rsid w:val="00420597"/>
    <w:rsid w:val="00420631"/>
    <w:rsid w:val="0042089D"/>
    <w:rsid w:val="00420F62"/>
    <w:rsid w:val="004211D9"/>
    <w:rsid w:val="004215B0"/>
    <w:rsid w:val="0042189E"/>
    <w:rsid w:val="00422053"/>
    <w:rsid w:val="004224E9"/>
    <w:rsid w:val="004225AB"/>
    <w:rsid w:val="004231E5"/>
    <w:rsid w:val="004234FC"/>
    <w:rsid w:val="00423919"/>
    <w:rsid w:val="00423A10"/>
    <w:rsid w:val="004240C1"/>
    <w:rsid w:val="00424B55"/>
    <w:rsid w:val="00424F6E"/>
    <w:rsid w:val="00424F7C"/>
    <w:rsid w:val="00425202"/>
    <w:rsid w:val="0042528D"/>
    <w:rsid w:val="004252F2"/>
    <w:rsid w:val="0042665E"/>
    <w:rsid w:val="00426B10"/>
    <w:rsid w:val="00426BB3"/>
    <w:rsid w:val="00426ECA"/>
    <w:rsid w:val="00427951"/>
    <w:rsid w:val="004302E6"/>
    <w:rsid w:val="00430D9E"/>
    <w:rsid w:val="00430EC8"/>
    <w:rsid w:val="004312F2"/>
    <w:rsid w:val="00431694"/>
    <w:rsid w:val="00431B2A"/>
    <w:rsid w:val="00431F1B"/>
    <w:rsid w:val="0043249F"/>
    <w:rsid w:val="00432B3E"/>
    <w:rsid w:val="00433A82"/>
    <w:rsid w:val="00433AB6"/>
    <w:rsid w:val="00434421"/>
    <w:rsid w:val="00434546"/>
    <w:rsid w:val="004345F2"/>
    <w:rsid w:val="00434FAC"/>
    <w:rsid w:val="00435251"/>
    <w:rsid w:val="00435BF1"/>
    <w:rsid w:val="00435FE5"/>
    <w:rsid w:val="00436125"/>
    <w:rsid w:val="004367A6"/>
    <w:rsid w:val="004369FD"/>
    <w:rsid w:val="0043717A"/>
    <w:rsid w:val="004379DE"/>
    <w:rsid w:val="00437A4A"/>
    <w:rsid w:val="00437ABE"/>
    <w:rsid w:val="00437FCE"/>
    <w:rsid w:val="00440622"/>
    <w:rsid w:val="004410EF"/>
    <w:rsid w:val="00441192"/>
    <w:rsid w:val="00441907"/>
    <w:rsid w:val="0044193F"/>
    <w:rsid w:val="00441B06"/>
    <w:rsid w:val="00442898"/>
    <w:rsid w:val="00443500"/>
    <w:rsid w:val="0044366C"/>
    <w:rsid w:val="00443A10"/>
    <w:rsid w:val="00443BE3"/>
    <w:rsid w:val="00444518"/>
    <w:rsid w:val="00444DA6"/>
    <w:rsid w:val="00444E4A"/>
    <w:rsid w:val="00445093"/>
    <w:rsid w:val="00445FE5"/>
    <w:rsid w:val="004468B2"/>
    <w:rsid w:val="00446F02"/>
    <w:rsid w:val="00446FA7"/>
    <w:rsid w:val="004472B4"/>
    <w:rsid w:val="00447632"/>
    <w:rsid w:val="0045006C"/>
    <w:rsid w:val="0045032D"/>
    <w:rsid w:val="0045099D"/>
    <w:rsid w:val="004509BF"/>
    <w:rsid w:val="00450DC0"/>
    <w:rsid w:val="00451153"/>
    <w:rsid w:val="0045163C"/>
    <w:rsid w:val="004524E3"/>
    <w:rsid w:val="0045264E"/>
    <w:rsid w:val="004529E8"/>
    <w:rsid w:val="00452F30"/>
    <w:rsid w:val="0045301B"/>
    <w:rsid w:val="004532C5"/>
    <w:rsid w:val="00453479"/>
    <w:rsid w:val="00453A0A"/>
    <w:rsid w:val="00453F0E"/>
    <w:rsid w:val="0045434B"/>
    <w:rsid w:val="00454A3D"/>
    <w:rsid w:val="00454F1F"/>
    <w:rsid w:val="00455F32"/>
    <w:rsid w:val="004566EE"/>
    <w:rsid w:val="004569D3"/>
    <w:rsid w:val="00457939"/>
    <w:rsid w:val="00460555"/>
    <w:rsid w:val="00460A02"/>
    <w:rsid w:val="00460CC4"/>
    <w:rsid w:val="00460F0B"/>
    <w:rsid w:val="00461A2F"/>
    <w:rsid w:val="00461C60"/>
    <w:rsid w:val="00461FC8"/>
    <w:rsid w:val="00461FE2"/>
    <w:rsid w:val="00462059"/>
    <w:rsid w:val="00462307"/>
    <w:rsid w:val="00462904"/>
    <w:rsid w:val="00462B9F"/>
    <w:rsid w:val="004638B3"/>
    <w:rsid w:val="00463C90"/>
    <w:rsid w:val="00463E74"/>
    <w:rsid w:val="00463F2B"/>
    <w:rsid w:val="00464284"/>
    <w:rsid w:val="004646E3"/>
    <w:rsid w:val="00464799"/>
    <w:rsid w:val="00464B42"/>
    <w:rsid w:val="00464C5D"/>
    <w:rsid w:val="004652ED"/>
    <w:rsid w:val="004653F5"/>
    <w:rsid w:val="00465872"/>
    <w:rsid w:val="004673AC"/>
    <w:rsid w:val="0046788D"/>
    <w:rsid w:val="00467F06"/>
    <w:rsid w:val="004701C3"/>
    <w:rsid w:val="004702ED"/>
    <w:rsid w:val="0047030F"/>
    <w:rsid w:val="004703E5"/>
    <w:rsid w:val="00470963"/>
    <w:rsid w:val="00470C62"/>
    <w:rsid w:val="00471095"/>
    <w:rsid w:val="004710AA"/>
    <w:rsid w:val="0047147E"/>
    <w:rsid w:val="00471B00"/>
    <w:rsid w:val="00472463"/>
    <w:rsid w:val="00472D6E"/>
    <w:rsid w:val="00472F69"/>
    <w:rsid w:val="0047339C"/>
    <w:rsid w:val="00473589"/>
    <w:rsid w:val="00473FEE"/>
    <w:rsid w:val="00474325"/>
    <w:rsid w:val="00474D74"/>
    <w:rsid w:val="00474F1C"/>
    <w:rsid w:val="004757AF"/>
    <w:rsid w:val="00475E0E"/>
    <w:rsid w:val="0047611E"/>
    <w:rsid w:val="00476A38"/>
    <w:rsid w:val="004772C9"/>
    <w:rsid w:val="004776FA"/>
    <w:rsid w:val="00477B74"/>
    <w:rsid w:val="00480017"/>
    <w:rsid w:val="00480025"/>
    <w:rsid w:val="004803C6"/>
    <w:rsid w:val="00480847"/>
    <w:rsid w:val="00480A2A"/>
    <w:rsid w:val="00481667"/>
    <w:rsid w:val="0048198B"/>
    <w:rsid w:val="00482090"/>
    <w:rsid w:val="0048231F"/>
    <w:rsid w:val="004829FF"/>
    <w:rsid w:val="00482A74"/>
    <w:rsid w:val="00482C6E"/>
    <w:rsid w:val="004830B5"/>
    <w:rsid w:val="0048342C"/>
    <w:rsid w:val="00483669"/>
    <w:rsid w:val="00483A37"/>
    <w:rsid w:val="004842BF"/>
    <w:rsid w:val="00484687"/>
    <w:rsid w:val="00484CC0"/>
    <w:rsid w:val="00485360"/>
    <w:rsid w:val="00485F2D"/>
    <w:rsid w:val="004866CF"/>
    <w:rsid w:val="00486801"/>
    <w:rsid w:val="00486B7C"/>
    <w:rsid w:val="00487363"/>
    <w:rsid w:val="00487384"/>
    <w:rsid w:val="0048757C"/>
    <w:rsid w:val="00487A56"/>
    <w:rsid w:val="00487F59"/>
    <w:rsid w:val="00490386"/>
    <w:rsid w:val="00490663"/>
    <w:rsid w:val="00490B80"/>
    <w:rsid w:val="00490C0A"/>
    <w:rsid w:val="00490C4B"/>
    <w:rsid w:val="00491553"/>
    <w:rsid w:val="00491647"/>
    <w:rsid w:val="0049176F"/>
    <w:rsid w:val="00491FD9"/>
    <w:rsid w:val="0049220B"/>
    <w:rsid w:val="004923A4"/>
    <w:rsid w:val="00492E4D"/>
    <w:rsid w:val="004935AA"/>
    <w:rsid w:val="004938D9"/>
    <w:rsid w:val="00493CD9"/>
    <w:rsid w:val="004941CD"/>
    <w:rsid w:val="004945F2"/>
    <w:rsid w:val="0049481E"/>
    <w:rsid w:val="00494D08"/>
    <w:rsid w:val="004953E6"/>
    <w:rsid w:val="0049573F"/>
    <w:rsid w:val="00495821"/>
    <w:rsid w:val="00495B13"/>
    <w:rsid w:val="00496BF6"/>
    <w:rsid w:val="00497193"/>
    <w:rsid w:val="00497605"/>
    <w:rsid w:val="004977C8"/>
    <w:rsid w:val="004979EB"/>
    <w:rsid w:val="004979F2"/>
    <w:rsid w:val="00497A38"/>
    <w:rsid w:val="004A04C6"/>
    <w:rsid w:val="004A0EAE"/>
    <w:rsid w:val="004A1643"/>
    <w:rsid w:val="004A1BFA"/>
    <w:rsid w:val="004A2EF6"/>
    <w:rsid w:val="004A306C"/>
    <w:rsid w:val="004A31B7"/>
    <w:rsid w:val="004A32ED"/>
    <w:rsid w:val="004A3587"/>
    <w:rsid w:val="004A419C"/>
    <w:rsid w:val="004A456F"/>
    <w:rsid w:val="004A4C39"/>
    <w:rsid w:val="004A5048"/>
    <w:rsid w:val="004A5C8D"/>
    <w:rsid w:val="004A61D3"/>
    <w:rsid w:val="004A75D3"/>
    <w:rsid w:val="004A7771"/>
    <w:rsid w:val="004A7995"/>
    <w:rsid w:val="004A7DE8"/>
    <w:rsid w:val="004B01C5"/>
    <w:rsid w:val="004B0657"/>
    <w:rsid w:val="004B0824"/>
    <w:rsid w:val="004B0B6B"/>
    <w:rsid w:val="004B0D73"/>
    <w:rsid w:val="004B11E5"/>
    <w:rsid w:val="004B196D"/>
    <w:rsid w:val="004B1CA6"/>
    <w:rsid w:val="004B2BF0"/>
    <w:rsid w:val="004B2EE2"/>
    <w:rsid w:val="004B47BD"/>
    <w:rsid w:val="004B4E6F"/>
    <w:rsid w:val="004B5541"/>
    <w:rsid w:val="004B561C"/>
    <w:rsid w:val="004B72F2"/>
    <w:rsid w:val="004B7B13"/>
    <w:rsid w:val="004B7CD4"/>
    <w:rsid w:val="004C08C5"/>
    <w:rsid w:val="004C0FF4"/>
    <w:rsid w:val="004C141E"/>
    <w:rsid w:val="004C1AB1"/>
    <w:rsid w:val="004C1BDA"/>
    <w:rsid w:val="004C25C9"/>
    <w:rsid w:val="004C2873"/>
    <w:rsid w:val="004C2E94"/>
    <w:rsid w:val="004C3A41"/>
    <w:rsid w:val="004C3C44"/>
    <w:rsid w:val="004C3E5E"/>
    <w:rsid w:val="004C3F62"/>
    <w:rsid w:val="004C4B02"/>
    <w:rsid w:val="004C4EEC"/>
    <w:rsid w:val="004C505F"/>
    <w:rsid w:val="004C527D"/>
    <w:rsid w:val="004C56F8"/>
    <w:rsid w:val="004C58D9"/>
    <w:rsid w:val="004C5EE7"/>
    <w:rsid w:val="004C6074"/>
    <w:rsid w:val="004C6591"/>
    <w:rsid w:val="004C68B3"/>
    <w:rsid w:val="004C6A2A"/>
    <w:rsid w:val="004C6A95"/>
    <w:rsid w:val="004C6E90"/>
    <w:rsid w:val="004C77A8"/>
    <w:rsid w:val="004D0084"/>
    <w:rsid w:val="004D01DE"/>
    <w:rsid w:val="004D0382"/>
    <w:rsid w:val="004D04BA"/>
    <w:rsid w:val="004D0760"/>
    <w:rsid w:val="004D0CB5"/>
    <w:rsid w:val="004D0D2A"/>
    <w:rsid w:val="004D0E01"/>
    <w:rsid w:val="004D0FB3"/>
    <w:rsid w:val="004D1483"/>
    <w:rsid w:val="004D2992"/>
    <w:rsid w:val="004D2C76"/>
    <w:rsid w:val="004D340D"/>
    <w:rsid w:val="004D3ABC"/>
    <w:rsid w:val="004D3E35"/>
    <w:rsid w:val="004D4184"/>
    <w:rsid w:val="004D4280"/>
    <w:rsid w:val="004D4831"/>
    <w:rsid w:val="004D5C84"/>
    <w:rsid w:val="004D5CDD"/>
    <w:rsid w:val="004D61BA"/>
    <w:rsid w:val="004D6317"/>
    <w:rsid w:val="004D67AC"/>
    <w:rsid w:val="004D68DD"/>
    <w:rsid w:val="004D69AA"/>
    <w:rsid w:val="004D6C9F"/>
    <w:rsid w:val="004D6E0D"/>
    <w:rsid w:val="004E001D"/>
    <w:rsid w:val="004E0524"/>
    <w:rsid w:val="004E098C"/>
    <w:rsid w:val="004E0DE2"/>
    <w:rsid w:val="004E175D"/>
    <w:rsid w:val="004E1BF4"/>
    <w:rsid w:val="004E1D35"/>
    <w:rsid w:val="004E26DA"/>
    <w:rsid w:val="004E2871"/>
    <w:rsid w:val="004E2B81"/>
    <w:rsid w:val="004E39DF"/>
    <w:rsid w:val="004E4283"/>
    <w:rsid w:val="004E47FB"/>
    <w:rsid w:val="004E4D2C"/>
    <w:rsid w:val="004E51CB"/>
    <w:rsid w:val="004E55A6"/>
    <w:rsid w:val="004E5BAB"/>
    <w:rsid w:val="004E6127"/>
    <w:rsid w:val="004E6376"/>
    <w:rsid w:val="004E6AF4"/>
    <w:rsid w:val="004E6D5F"/>
    <w:rsid w:val="004E71F6"/>
    <w:rsid w:val="004E72E7"/>
    <w:rsid w:val="004E72F7"/>
    <w:rsid w:val="004E7684"/>
    <w:rsid w:val="004E76D4"/>
    <w:rsid w:val="004E7C38"/>
    <w:rsid w:val="004E7F78"/>
    <w:rsid w:val="004F0620"/>
    <w:rsid w:val="004F0FCC"/>
    <w:rsid w:val="004F1594"/>
    <w:rsid w:val="004F17F3"/>
    <w:rsid w:val="004F1829"/>
    <w:rsid w:val="004F1958"/>
    <w:rsid w:val="004F1EE4"/>
    <w:rsid w:val="004F2129"/>
    <w:rsid w:val="004F33C6"/>
    <w:rsid w:val="004F359E"/>
    <w:rsid w:val="004F3768"/>
    <w:rsid w:val="004F39E4"/>
    <w:rsid w:val="004F43D8"/>
    <w:rsid w:val="004F4675"/>
    <w:rsid w:val="004F557E"/>
    <w:rsid w:val="004F5943"/>
    <w:rsid w:val="004F5C93"/>
    <w:rsid w:val="004F6C4A"/>
    <w:rsid w:val="004F6D04"/>
    <w:rsid w:val="004F75AA"/>
    <w:rsid w:val="004F7AC1"/>
    <w:rsid w:val="00500626"/>
    <w:rsid w:val="0050084A"/>
    <w:rsid w:val="0050099B"/>
    <w:rsid w:val="005014C1"/>
    <w:rsid w:val="00501CA5"/>
    <w:rsid w:val="0050202C"/>
    <w:rsid w:val="00502915"/>
    <w:rsid w:val="00502F08"/>
    <w:rsid w:val="00503BF2"/>
    <w:rsid w:val="00503C60"/>
    <w:rsid w:val="00503CA0"/>
    <w:rsid w:val="00504325"/>
    <w:rsid w:val="005044A1"/>
    <w:rsid w:val="00504828"/>
    <w:rsid w:val="0050482C"/>
    <w:rsid w:val="005048F7"/>
    <w:rsid w:val="00504F06"/>
    <w:rsid w:val="00504F76"/>
    <w:rsid w:val="00505412"/>
    <w:rsid w:val="0050558C"/>
    <w:rsid w:val="005056BC"/>
    <w:rsid w:val="00505DF4"/>
    <w:rsid w:val="005065EC"/>
    <w:rsid w:val="00506F7F"/>
    <w:rsid w:val="005073AC"/>
    <w:rsid w:val="00507A84"/>
    <w:rsid w:val="00507D44"/>
    <w:rsid w:val="00507F31"/>
    <w:rsid w:val="005100E3"/>
    <w:rsid w:val="0051067A"/>
    <w:rsid w:val="005107C8"/>
    <w:rsid w:val="00510DAB"/>
    <w:rsid w:val="00510DBA"/>
    <w:rsid w:val="0051165B"/>
    <w:rsid w:val="005118D8"/>
    <w:rsid w:val="00511F3F"/>
    <w:rsid w:val="0051202D"/>
    <w:rsid w:val="0051232B"/>
    <w:rsid w:val="00512355"/>
    <w:rsid w:val="0051257D"/>
    <w:rsid w:val="005138F2"/>
    <w:rsid w:val="00513D27"/>
    <w:rsid w:val="00513DD8"/>
    <w:rsid w:val="00513E9E"/>
    <w:rsid w:val="00514683"/>
    <w:rsid w:val="0051476F"/>
    <w:rsid w:val="005150A1"/>
    <w:rsid w:val="00516503"/>
    <w:rsid w:val="005169BE"/>
    <w:rsid w:val="0051710B"/>
    <w:rsid w:val="0051749D"/>
    <w:rsid w:val="00520F7D"/>
    <w:rsid w:val="00521B1F"/>
    <w:rsid w:val="00521B52"/>
    <w:rsid w:val="00521FDA"/>
    <w:rsid w:val="00522200"/>
    <w:rsid w:val="005222FE"/>
    <w:rsid w:val="00522423"/>
    <w:rsid w:val="00522506"/>
    <w:rsid w:val="00522B04"/>
    <w:rsid w:val="00522B96"/>
    <w:rsid w:val="0052358E"/>
    <w:rsid w:val="005239E7"/>
    <w:rsid w:val="00523B87"/>
    <w:rsid w:val="005242E0"/>
    <w:rsid w:val="00524304"/>
    <w:rsid w:val="00524721"/>
    <w:rsid w:val="005248E6"/>
    <w:rsid w:val="00524AE1"/>
    <w:rsid w:val="00524C97"/>
    <w:rsid w:val="00524D33"/>
    <w:rsid w:val="00524DDD"/>
    <w:rsid w:val="00525253"/>
    <w:rsid w:val="005252C0"/>
    <w:rsid w:val="0052572A"/>
    <w:rsid w:val="00525A18"/>
    <w:rsid w:val="00525A67"/>
    <w:rsid w:val="00526298"/>
    <w:rsid w:val="005262A8"/>
    <w:rsid w:val="005265E0"/>
    <w:rsid w:val="005267A5"/>
    <w:rsid w:val="00527A58"/>
    <w:rsid w:val="00527DAF"/>
    <w:rsid w:val="00530A41"/>
    <w:rsid w:val="00530C51"/>
    <w:rsid w:val="00530D9D"/>
    <w:rsid w:val="00530E0F"/>
    <w:rsid w:val="005312F3"/>
    <w:rsid w:val="00531469"/>
    <w:rsid w:val="00531958"/>
    <w:rsid w:val="00531B18"/>
    <w:rsid w:val="00531DD0"/>
    <w:rsid w:val="00531ED8"/>
    <w:rsid w:val="00531F94"/>
    <w:rsid w:val="0053228D"/>
    <w:rsid w:val="005327F8"/>
    <w:rsid w:val="00532CE1"/>
    <w:rsid w:val="00533108"/>
    <w:rsid w:val="00533895"/>
    <w:rsid w:val="00533CB2"/>
    <w:rsid w:val="00533FD2"/>
    <w:rsid w:val="00534866"/>
    <w:rsid w:val="00534BEA"/>
    <w:rsid w:val="0053562C"/>
    <w:rsid w:val="00535A24"/>
    <w:rsid w:val="00535ABF"/>
    <w:rsid w:val="0053616A"/>
    <w:rsid w:val="005363EF"/>
    <w:rsid w:val="00536A77"/>
    <w:rsid w:val="00536F8E"/>
    <w:rsid w:val="005374BF"/>
    <w:rsid w:val="00537567"/>
    <w:rsid w:val="00537778"/>
    <w:rsid w:val="005378DF"/>
    <w:rsid w:val="00537956"/>
    <w:rsid w:val="00537A98"/>
    <w:rsid w:val="0054007A"/>
    <w:rsid w:val="00540E4C"/>
    <w:rsid w:val="00541AFE"/>
    <w:rsid w:val="00541F23"/>
    <w:rsid w:val="00542827"/>
    <w:rsid w:val="00542AF3"/>
    <w:rsid w:val="00542B67"/>
    <w:rsid w:val="00542EB0"/>
    <w:rsid w:val="005431EB"/>
    <w:rsid w:val="0054327F"/>
    <w:rsid w:val="0054377A"/>
    <w:rsid w:val="00543993"/>
    <w:rsid w:val="00543DC5"/>
    <w:rsid w:val="00543F2A"/>
    <w:rsid w:val="005440E1"/>
    <w:rsid w:val="0054425D"/>
    <w:rsid w:val="0054435F"/>
    <w:rsid w:val="0054483C"/>
    <w:rsid w:val="00544B05"/>
    <w:rsid w:val="005451DA"/>
    <w:rsid w:val="00545728"/>
    <w:rsid w:val="0054582A"/>
    <w:rsid w:val="005459AD"/>
    <w:rsid w:val="00546444"/>
    <w:rsid w:val="00546458"/>
    <w:rsid w:val="0054654F"/>
    <w:rsid w:val="005465CC"/>
    <w:rsid w:val="005466A2"/>
    <w:rsid w:val="00546C05"/>
    <w:rsid w:val="00546C16"/>
    <w:rsid w:val="00546C95"/>
    <w:rsid w:val="0054734E"/>
    <w:rsid w:val="00547829"/>
    <w:rsid w:val="00547AC2"/>
    <w:rsid w:val="0055063D"/>
    <w:rsid w:val="00550C28"/>
    <w:rsid w:val="0055288C"/>
    <w:rsid w:val="00554185"/>
    <w:rsid w:val="005549BB"/>
    <w:rsid w:val="00554DCB"/>
    <w:rsid w:val="00554E34"/>
    <w:rsid w:val="00555245"/>
    <w:rsid w:val="0055524B"/>
    <w:rsid w:val="00555A73"/>
    <w:rsid w:val="00555DAC"/>
    <w:rsid w:val="005566FC"/>
    <w:rsid w:val="005570D5"/>
    <w:rsid w:val="0055736C"/>
    <w:rsid w:val="005578D1"/>
    <w:rsid w:val="00557C8A"/>
    <w:rsid w:val="005604DD"/>
    <w:rsid w:val="005607C7"/>
    <w:rsid w:val="00560FD1"/>
    <w:rsid w:val="00561221"/>
    <w:rsid w:val="005613E4"/>
    <w:rsid w:val="00561421"/>
    <w:rsid w:val="00561892"/>
    <w:rsid w:val="005618C5"/>
    <w:rsid w:val="005618EB"/>
    <w:rsid w:val="00561BD9"/>
    <w:rsid w:val="005624FE"/>
    <w:rsid w:val="00563907"/>
    <w:rsid w:val="00563AD0"/>
    <w:rsid w:val="00563B38"/>
    <w:rsid w:val="005648C6"/>
    <w:rsid w:val="005654C9"/>
    <w:rsid w:val="00566A5A"/>
    <w:rsid w:val="00566EA8"/>
    <w:rsid w:val="00567340"/>
    <w:rsid w:val="00567CEA"/>
    <w:rsid w:val="00567DF2"/>
    <w:rsid w:val="00567E24"/>
    <w:rsid w:val="0057018A"/>
    <w:rsid w:val="005704AD"/>
    <w:rsid w:val="00570E60"/>
    <w:rsid w:val="00571695"/>
    <w:rsid w:val="00571A40"/>
    <w:rsid w:val="00571DC7"/>
    <w:rsid w:val="00571F48"/>
    <w:rsid w:val="00573175"/>
    <w:rsid w:val="005732D2"/>
    <w:rsid w:val="0057352B"/>
    <w:rsid w:val="00573F1F"/>
    <w:rsid w:val="00573F7A"/>
    <w:rsid w:val="00574162"/>
    <w:rsid w:val="0057491E"/>
    <w:rsid w:val="00575BC5"/>
    <w:rsid w:val="00575BD8"/>
    <w:rsid w:val="005765E2"/>
    <w:rsid w:val="00577200"/>
    <w:rsid w:val="0057730C"/>
    <w:rsid w:val="0057741B"/>
    <w:rsid w:val="00577458"/>
    <w:rsid w:val="00577A01"/>
    <w:rsid w:val="00577D63"/>
    <w:rsid w:val="00577F9A"/>
    <w:rsid w:val="00580136"/>
    <w:rsid w:val="00580192"/>
    <w:rsid w:val="00580248"/>
    <w:rsid w:val="005808FE"/>
    <w:rsid w:val="005810DB"/>
    <w:rsid w:val="005814F7"/>
    <w:rsid w:val="00581528"/>
    <w:rsid w:val="00581B3C"/>
    <w:rsid w:val="00581D0E"/>
    <w:rsid w:val="0058233C"/>
    <w:rsid w:val="005825A1"/>
    <w:rsid w:val="00582765"/>
    <w:rsid w:val="005827AB"/>
    <w:rsid w:val="0058304F"/>
    <w:rsid w:val="00583240"/>
    <w:rsid w:val="005837A5"/>
    <w:rsid w:val="00583BDD"/>
    <w:rsid w:val="005849E1"/>
    <w:rsid w:val="00584E29"/>
    <w:rsid w:val="0058505F"/>
    <w:rsid w:val="005853CF"/>
    <w:rsid w:val="005858A3"/>
    <w:rsid w:val="00585B4C"/>
    <w:rsid w:val="0058605A"/>
    <w:rsid w:val="0058766B"/>
    <w:rsid w:val="00587810"/>
    <w:rsid w:val="00590AA7"/>
    <w:rsid w:val="00590C57"/>
    <w:rsid w:val="0059137D"/>
    <w:rsid w:val="005915A9"/>
    <w:rsid w:val="00591903"/>
    <w:rsid w:val="00591A65"/>
    <w:rsid w:val="0059214C"/>
    <w:rsid w:val="0059256B"/>
    <w:rsid w:val="00592B96"/>
    <w:rsid w:val="00592C27"/>
    <w:rsid w:val="00593D68"/>
    <w:rsid w:val="0059417F"/>
    <w:rsid w:val="005942D2"/>
    <w:rsid w:val="0059482F"/>
    <w:rsid w:val="00594847"/>
    <w:rsid w:val="00594FFF"/>
    <w:rsid w:val="00595D09"/>
    <w:rsid w:val="00595D7F"/>
    <w:rsid w:val="00595F1D"/>
    <w:rsid w:val="005965E8"/>
    <w:rsid w:val="0059665A"/>
    <w:rsid w:val="005968F9"/>
    <w:rsid w:val="00597206"/>
    <w:rsid w:val="00597229"/>
    <w:rsid w:val="00597696"/>
    <w:rsid w:val="005978D5"/>
    <w:rsid w:val="00597B54"/>
    <w:rsid w:val="00597FEA"/>
    <w:rsid w:val="005A13FB"/>
    <w:rsid w:val="005A1B6B"/>
    <w:rsid w:val="005A1E5E"/>
    <w:rsid w:val="005A260D"/>
    <w:rsid w:val="005A30B2"/>
    <w:rsid w:val="005A32CF"/>
    <w:rsid w:val="005A40FC"/>
    <w:rsid w:val="005A455A"/>
    <w:rsid w:val="005A4B2D"/>
    <w:rsid w:val="005A4D06"/>
    <w:rsid w:val="005A4D73"/>
    <w:rsid w:val="005A528E"/>
    <w:rsid w:val="005A57FB"/>
    <w:rsid w:val="005A583B"/>
    <w:rsid w:val="005A6724"/>
    <w:rsid w:val="005A6B2B"/>
    <w:rsid w:val="005A6FAB"/>
    <w:rsid w:val="005A72FA"/>
    <w:rsid w:val="005A776C"/>
    <w:rsid w:val="005A7CF9"/>
    <w:rsid w:val="005A7D8C"/>
    <w:rsid w:val="005B03C7"/>
    <w:rsid w:val="005B072F"/>
    <w:rsid w:val="005B0BB8"/>
    <w:rsid w:val="005B0F42"/>
    <w:rsid w:val="005B1294"/>
    <w:rsid w:val="005B1538"/>
    <w:rsid w:val="005B185D"/>
    <w:rsid w:val="005B18E5"/>
    <w:rsid w:val="005B1C7C"/>
    <w:rsid w:val="005B1CE3"/>
    <w:rsid w:val="005B296F"/>
    <w:rsid w:val="005B29C7"/>
    <w:rsid w:val="005B3102"/>
    <w:rsid w:val="005B347D"/>
    <w:rsid w:val="005B348E"/>
    <w:rsid w:val="005B3655"/>
    <w:rsid w:val="005B3789"/>
    <w:rsid w:val="005B3F60"/>
    <w:rsid w:val="005B4264"/>
    <w:rsid w:val="005B42D6"/>
    <w:rsid w:val="005B43A0"/>
    <w:rsid w:val="005B4EE1"/>
    <w:rsid w:val="005B5812"/>
    <w:rsid w:val="005B5C4D"/>
    <w:rsid w:val="005B5F9F"/>
    <w:rsid w:val="005B75E2"/>
    <w:rsid w:val="005B7956"/>
    <w:rsid w:val="005B7C08"/>
    <w:rsid w:val="005B7D29"/>
    <w:rsid w:val="005C04D1"/>
    <w:rsid w:val="005C0843"/>
    <w:rsid w:val="005C0F6F"/>
    <w:rsid w:val="005C10A9"/>
    <w:rsid w:val="005C10C2"/>
    <w:rsid w:val="005C1412"/>
    <w:rsid w:val="005C1A14"/>
    <w:rsid w:val="005C1D80"/>
    <w:rsid w:val="005C2681"/>
    <w:rsid w:val="005C2D5F"/>
    <w:rsid w:val="005C2E8B"/>
    <w:rsid w:val="005C3478"/>
    <w:rsid w:val="005C3488"/>
    <w:rsid w:val="005C3C87"/>
    <w:rsid w:val="005C4248"/>
    <w:rsid w:val="005C45E8"/>
    <w:rsid w:val="005C4718"/>
    <w:rsid w:val="005C4931"/>
    <w:rsid w:val="005C4E21"/>
    <w:rsid w:val="005C5266"/>
    <w:rsid w:val="005C6091"/>
    <w:rsid w:val="005C6395"/>
    <w:rsid w:val="005C6496"/>
    <w:rsid w:val="005C67FE"/>
    <w:rsid w:val="005C6FF6"/>
    <w:rsid w:val="005C718C"/>
    <w:rsid w:val="005C7324"/>
    <w:rsid w:val="005C74A7"/>
    <w:rsid w:val="005C760C"/>
    <w:rsid w:val="005C7B1F"/>
    <w:rsid w:val="005D0150"/>
    <w:rsid w:val="005D02F1"/>
    <w:rsid w:val="005D046A"/>
    <w:rsid w:val="005D04B1"/>
    <w:rsid w:val="005D1091"/>
    <w:rsid w:val="005D129D"/>
    <w:rsid w:val="005D175B"/>
    <w:rsid w:val="005D18C2"/>
    <w:rsid w:val="005D25E0"/>
    <w:rsid w:val="005D266F"/>
    <w:rsid w:val="005D2855"/>
    <w:rsid w:val="005D3112"/>
    <w:rsid w:val="005D31E8"/>
    <w:rsid w:val="005D34C1"/>
    <w:rsid w:val="005D34D6"/>
    <w:rsid w:val="005D4173"/>
    <w:rsid w:val="005D4412"/>
    <w:rsid w:val="005D46B1"/>
    <w:rsid w:val="005D4750"/>
    <w:rsid w:val="005D4F13"/>
    <w:rsid w:val="005D5332"/>
    <w:rsid w:val="005D578B"/>
    <w:rsid w:val="005D6104"/>
    <w:rsid w:val="005D6518"/>
    <w:rsid w:val="005D6701"/>
    <w:rsid w:val="005D7494"/>
    <w:rsid w:val="005D7E42"/>
    <w:rsid w:val="005E0039"/>
    <w:rsid w:val="005E02A6"/>
    <w:rsid w:val="005E095C"/>
    <w:rsid w:val="005E09A2"/>
    <w:rsid w:val="005E0BA4"/>
    <w:rsid w:val="005E0BF3"/>
    <w:rsid w:val="005E0FF6"/>
    <w:rsid w:val="005E2089"/>
    <w:rsid w:val="005E22D6"/>
    <w:rsid w:val="005E2949"/>
    <w:rsid w:val="005E2F03"/>
    <w:rsid w:val="005E2F30"/>
    <w:rsid w:val="005E37CB"/>
    <w:rsid w:val="005E3AA0"/>
    <w:rsid w:val="005E4520"/>
    <w:rsid w:val="005E46CB"/>
    <w:rsid w:val="005E484A"/>
    <w:rsid w:val="005E4AC3"/>
    <w:rsid w:val="005E4E74"/>
    <w:rsid w:val="005E510A"/>
    <w:rsid w:val="005E53CB"/>
    <w:rsid w:val="005E599A"/>
    <w:rsid w:val="005E5A54"/>
    <w:rsid w:val="005E5B09"/>
    <w:rsid w:val="005E614A"/>
    <w:rsid w:val="005E642C"/>
    <w:rsid w:val="005E68F7"/>
    <w:rsid w:val="005E6F65"/>
    <w:rsid w:val="005E735C"/>
    <w:rsid w:val="005E7517"/>
    <w:rsid w:val="005E755D"/>
    <w:rsid w:val="005F135D"/>
    <w:rsid w:val="005F17A2"/>
    <w:rsid w:val="005F2012"/>
    <w:rsid w:val="005F2113"/>
    <w:rsid w:val="005F2424"/>
    <w:rsid w:val="005F2807"/>
    <w:rsid w:val="005F2AAF"/>
    <w:rsid w:val="005F37D5"/>
    <w:rsid w:val="005F3C9A"/>
    <w:rsid w:val="005F412C"/>
    <w:rsid w:val="005F4158"/>
    <w:rsid w:val="005F448C"/>
    <w:rsid w:val="005F4D2B"/>
    <w:rsid w:val="005F4EEC"/>
    <w:rsid w:val="005F5989"/>
    <w:rsid w:val="005F5AFB"/>
    <w:rsid w:val="005F5B6C"/>
    <w:rsid w:val="005F5E0E"/>
    <w:rsid w:val="005F6025"/>
    <w:rsid w:val="005F6C23"/>
    <w:rsid w:val="005F705A"/>
    <w:rsid w:val="005F7288"/>
    <w:rsid w:val="005F771D"/>
    <w:rsid w:val="005F7A1D"/>
    <w:rsid w:val="005F7AD0"/>
    <w:rsid w:val="005F7C9E"/>
    <w:rsid w:val="005F7EC9"/>
    <w:rsid w:val="005F7ED3"/>
    <w:rsid w:val="00600990"/>
    <w:rsid w:val="00601AB3"/>
    <w:rsid w:val="00601CE6"/>
    <w:rsid w:val="00601FC0"/>
    <w:rsid w:val="00603139"/>
    <w:rsid w:val="006037A5"/>
    <w:rsid w:val="00603B7B"/>
    <w:rsid w:val="00603CD9"/>
    <w:rsid w:val="00604344"/>
    <w:rsid w:val="00604C16"/>
    <w:rsid w:val="00604E14"/>
    <w:rsid w:val="00604F1C"/>
    <w:rsid w:val="00604F2E"/>
    <w:rsid w:val="00605034"/>
    <w:rsid w:val="0060530E"/>
    <w:rsid w:val="00605C65"/>
    <w:rsid w:val="00605FCD"/>
    <w:rsid w:val="00606410"/>
    <w:rsid w:val="00606929"/>
    <w:rsid w:val="00606F1A"/>
    <w:rsid w:val="006070A1"/>
    <w:rsid w:val="0060785E"/>
    <w:rsid w:val="0060798F"/>
    <w:rsid w:val="00607AB3"/>
    <w:rsid w:val="00607CEE"/>
    <w:rsid w:val="00607F9C"/>
    <w:rsid w:val="00610590"/>
    <w:rsid w:val="006112C2"/>
    <w:rsid w:val="0061156A"/>
    <w:rsid w:val="0061193A"/>
    <w:rsid w:val="00611E6E"/>
    <w:rsid w:val="0061262E"/>
    <w:rsid w:val="006129AE"/>
    <w:rsid w:val="00612D9C"/>
    <w:rsid w:val="00613572"/>
    <w:rsid w:val="006139B7"/>
    <w:rsid w:val="00613FD5"/>
    <w:rsid w:val="006140C0"/>
    <w:rsid w:val="006142CB"/>
    <w:rsid w:val="0061448B"/>
    <w:rsid w:val="006145A5"/>
    <w:rsid w:val="00614D16"/>
    <w:rsid w:val="00614D53"/>
    <w:rsid w:val="00615183"/>
    <w:rsid w:val="006151EC"/>
    <w:rsid w:val="006155C0"/>
    <w:rsid w:val="006156D2"/>
    <w:rsid w:val="00615F55"/>
    <w:rsid w:val="00615F60"/>
    <w:rsid w:val="0061622D"/>
    <w:rsid w:val="00616659"/>
    <w:rsid w:val="006166C2"/>
    <w:rsid w:val="00617382"/>
    <w:rsid w:val="00617713"/>
    <w:rsid w:val="0061778D"/>
    <w:rsid w:val="006178AA"/>
    <w:rsid w:val="00617E47"/>
    <w:rsid w:val="0062065D"/>
    <w:rsid w:val="006215B7"/>
    <w:rsid w:val="00622180"/>
    <w:rsid w:val="0062238C"/>
    <w:rsid w:val="00622565"/>
    <w:rsid w:val="00622BAD"/>
    <w:rsid w:val="00622EDD"/>
    <w:rsid w:val="00622F5D"/>
    <w:rsid w:val="006239BF"/>
    <w:rsid w:val="00624865"/>
    <w:rsid w:val="00624D5B"/>
    <w:rsid w:val="00624D77"/>
    <w:rsid w:val="00624F54"/>
    <w:rsid w:val="00625ABF"/>
    <w:rsid w:val="006260D5"/>
    <w:rsid w:val="00626574"/>
    <w:rsid w:val="00626EA4"/>
    <w:rsid w:val="006271B7"/>
    <w:rsid w:val="00627696"/>
    <w:rsid w:val="006276EE"/>
    <w:rsid w:val="00627F6F"/>
    <w:rsid w:val="00630747"/>
    <w:rsid w:val="00630B02"/>
    <w:rsid w:val="00631486"/>
    <w:rsid w:val="006315A3"/>
    <w:rsid w:val="00631AD4"/>
    <w:rsid w:val="00631BA7"/>
    <w:rsid w:val="006320AD"/>
    <w:rsid w:val="006321ED"/>
    <w:rsid w:val="00632226"/>
    <w:rsid w:val="006325FD"/>
    <w:rsid w:val="006326F2"/>
    <w:rsid w:val="00633210"/>
    <w:rsid w:val="00634D54"/>
    <w:rsid w:val="00635443"/>
    <w:rsid w:val="0063552E"/>
    <w:rsid w:val="00635F68"/>
    <w:rsid w:val="006363B7"/>
    <w:rsid w:val="00636F67"/>
    <w:rsid w:val="00636FD2"/>
    <w:rsid w:val="00637B2B"/>
    <w:rsid w:val="006400D2"/>
    <w:rsid w:val="00640295"/>
    <w:rsid w:val="00640657"/>
    <w:rsid w:val="006413F9"/>
    <w:rsid w:val="00641438"/>
    <w:rsid w:val="00641541"/>
    <w:rsid w:val="00641596"/>
    <w:rsid w:val="006415E0"/>
    <w:rsid w:val="0064186D"/>
    <w:rsid w:val="0064207E"/>
    <w:rsid w:val="0064270F"/>
    <w:rsid w:val="00642A0E"/>
    <w:rsid w:val="00643298"/>
    <w:rsid w:val="006434C7"/>
    <w:rsid w:val="006434D4"/>
    <w:rsid w:val="00644682"/>
    <w:rsid w:val="006446B1"/>
    <w:rsid w:val="006448B5"/>
    <w:rsid w:val="00644C3F"/>
    <w:rsid w:val="00644D57"/>
    <w:rsid w:val="00644DCF"/>
    <w:rsid w:val="0064505E"/>
    <w:rsid w:val="006452EB"/>
    <w:rsid w:val="0064535E"/>
    <w:rsid w:val="00645513"/>
    <w:rsid w:val="0064555F"/>
    <w:rsid w:val="006456A8"/>
    <w:rsid w:val="0064571E"/>
    <w:rsid w:val="00645D56"/>
    <w:rsid w:val="00646184"/>
    <w:rsid w:val="006465EB"/>
    <w:rsid w:val="00646B38"/>
    <w:rsid w:val="0064728C"/>
    <w:rsid w:val="00647539"/>
    <w:rsid w:val="006475F5"/>
    <w:rsid w:val="00647EBD"/>
    <w:rsid w:val="0065030A"/>
    <w:rsid w:val="0065066D"/>
    <w:rsid w:val="006519C6"/>
    <w:rsid w:val="00651F65"/>
    <w:rsid w:val="00651F6F"/>
    <w:rsid w:val="0065226C"/>
    <w:rsid w:val="006524C2"/>
    <w:rsid w:val="006529E2"/>
    <w:rsid w:val="006530F2"/>
    <w:rsid w:val="006533C5"/>
    <w:rsid w:val="00653531"/>
    <w:rsid w:val="00653646"/>
    <w:rsid w:val="006537AD"/>
    <w:rsid w:val="00653AC7"/>
    <w:rsid w:val="00654026"/>
    <w:rsid w:val="00654129"/>
    <w:rsid w:val="006546F9"/>
    <w:rsid w:val="00654EDC"/>
    <w:rsid w:val="006550C1"/>
    <w:rsid w:val="0065567D"/>
    <w:rsid w:val="006558C1"/>
    <w:rsid w:val="006558CE"/>
    <w:rsid w:val="00655D26"/>
    <w:rsid w:val="006560EA"/>
    <w:rsid w:val="0065628C"/>
    <w:rsid w:val="006567EF"/>
    <w:rsid w:val="00656F93"/>
    <w:rsid w:val="00657C11"/>
    <w:rsid w:val="00657FA9"/>
    <w:rsid w:val="00660803"/>
    <w:rsid w:val="006609CF"/>
    <w:rsid w:val="00660F57"/>
    <w:rsid w:val="00661739"/>
    <w:rsid w:val="006619A7"/>
    <w:rsid w:val="00661A01"/>
    <w:rsid w:val="006620BF"/>
    <w:rsid w:val="0066224E"/>
    <w:rsid w:val="0066295A"/>
    <w:rsid w:val="006649DB"/>
    <w:rsid w:val="00664A13"/>
    <w:rsid w:val="00664B49"/>
    <w:rsid w:val="00664BFE"/>
    <w:rsid w:val="00664DC5"/>
    <w:rsid w:val="006654BD"/>
    <w:rsid w:val="00665B27"/>
    <w:rsid w:val="00665F18"/>
    <w:rsid w:val="006660AD"/>
    <w:rsid w:val="00666C04"/>
    <w:rsid w:val="00666F68"/>
    <w:rsid w:val="00667665"/>
    <w:rsid w:val="00667697"/>
    <w:rsid w:val="00670052"/>
    <w:rsid w:val="00670453"/>
    <w:rsid w:val="00670776"/>
    <w:rsid w:val="006708BE"/>
    <w:rsid w:val="00670C87"/>
    <w:rsid w:val="00670EA1"/>
    <w:rsid w:val="006716EE"/>
    <w:rsid w:val="00671CBE"/>
    <w:rsid w:val="00671F98"/>
    <w:rsid w:val="00672174"/>
    <w:rsid w:val="0067264B"/>
    <w:rsid w:val="006726C9"/>
    <w:rsid w:val="00672799"/>
    <w:rsid w:val="00673138"/>
    <w:rsid w:val="00673162"/>
    <w:rsid w:val="0067416A"/>
    <w:rsid w:val="0067458D"/>
    <w:rsid w:val="0067495C"/>
    <w:rsid w:val="00674A18"/>
    <w:rsid w:val="00674B3C"/>
    <w:rsid w:val="00674D63"/>
    <w:rsid w:val="00675C2D"/>
    <w:rsid w:val="00676599"/>
    <w:rsid w:val="006768DD"/>
    <w:rsid w:val="00676FA9"/>
    <w:rsid w:val="006772F3"/>
    <w:rsid w:val="00677B01"/>
    <w:rsid w:val="00677B1A"/>
    <w:rsid w:val="00680079"/>
    <w:rsid w:val="00680600"/>
    <w:rsid w:val="00680781"/>
    <w:rsid w:val="006807E9"/>
    <w:rsid w:val="006811EE"/>
    <w:rsid w:val="006819D3"/>
    <w:rsid w:val="00681A26"/>
    <w:rsid w:val="00681DB2"/>
    <w:rsid w:val="00681DF8"/>
    <w:rsid w:val="0068267A"/>
    <w:rsid w:val="00682871"/>
    <w:rsid w:val="0068360A"/>
    <w:rsid w:val="00683B58"/>
    <w:rsid w:val="00684A40"/>
    <w:rsid w:val="00684AC0"/>
    <w:rsid w:val="00684BB9"/>
    <w:rsid w:val="0068558A"/>
    <w:rsid w:val="00685A25"/>
    <w:rsid w:val="0068647C"/>
    <w:rsid w:val="00686538"/>
    <w:rsid w:val="006865AE"/>
    <w:rsid w:val="00686787"/>
    <w:rsid w:val="00686C0A"/>
    <w:rsid w:val="00686CBD"/>
    <w:rsid w:val="00686D69"/>
    <w:rsid w:val="006872CD"/>
    <w:rsid w:val="006872FD"/>
    <w:rsid w:val="00687463"/>
    <w:rsid w:val="0068780D"/>
    <w:rsid w:val="00687FE4"/>
    <w:rsid w:val="0069009A"/>
    <w:rsid w:val="006907CF"/>
    <w:rsid w:val="00691001"/>
    <w:rsid w:val="00691B2D"/>
    <w:rsid w:val="00692888"/>
    <w:rsid w:val="006929F8"/>
    <w:rsid w:val="00692ECD"/>
    <w:rsid w:val="00692F96"/>
    <w:rsid w:val="00693382"/>
    <w:rsid w:val="00693518"/>
    <w:rsid w:val="006943C8"/>
    <w:rsid w:val="00694814"/>
    <w:rsid w:val="006948CD"/>
    <w:rsid w:val="00694B51"/>
    <w:rsid w:val="0069515F"/>
    <w:rsid w:val="00695307"/>
    <w:rsid w:val="00695651"/>
    <w:rsid w:val="00695723"/>
    <w:rsid w:val="006961B1"/>
    <w:rsid w:val="00696289"/>
    <w:rsid w:val="00696DD2"/>
    <w:rsid w:val="00697441"/>
    <w:rsid w:val="0069751D"/>
    <w:rsid w:val="006A07C0"/>
    <w:rsid w:val="006A0FA9"/>
    <w:rsid w:val="006A10FA"/>
    <w:rsid w:val="006A118E"/>
    <w:rsid w:val="006A16FF"/>
    <w:rsid w:val="006A1872"/>
    <w:rsid w:val="006A232C"/>
    <w:rsid w:val="006A27B9"/>
    <w:rsid w:val="006A2A32"/>
    <w:rsid w:val="006A2E01"/>
    <w:rsid w:val="006A362B"/>
    <w:rsid w:val="006A37AF"/>
    <w:rsid w:val="006A3AA6"/>
    <w:rsid w:val="006A41B0"/>
    <w:rsid w:val="006A4288"/>
    <w:rsid w:val="006A44DF"/>
    <w:rsid w:val="006A4589"/>
    <w:rsid w:val="006A45F1"/>
    <w:rsid w:val="006A62F0"/>
    <w:rsid w:val="006A631F"/>
    <w:rsid w:val="006A6943"/>
    <w:rsid w:val="006A6B5F"/>
    <w:rsid w:val="006A73FC"/>
    <w:rsid w:val="006A74BB"/>
    <w:rsid w:val="006B0636"/>
    <w:rsid w:val="006B0DDC"/>
    <w:rsid w:val="006B14C6"/>
    <w:rsid w:val="006B161E"/>
    <w:rsid w:val="006B1C63"/>
    <w:rsid w:val="006B1CC2"/>
    <w:rsid w:val="006B2823"/>
    <w:rsid w:val="006B2B44"/>
    <w:rsid w:val="006B2EC8"/>
    <w:rsid w:val="006B3474"/>
    <w:rsid w:val="006B3676"/>
    <w:rsid w:val="006B3714"/>
    <w:rsid w:val="006B379E"/>
    <w:rsid w:val="006B454C"/>
    <w:rsid w:val="006B4689"/>
    <w:rsid w:val="006B4863"/>
    <w:rsid w:val="006B4B35"/>
    <w:rsid w:val="006B5393"/>
    <w:rsid w:val="006B572A"/>
    <w:rsid w:val="006B6165"/>
    <w:rsid w:val="006B64D5"/>
    <w:rsid w:val="006B6B84"/>
    <w:rsid w:val="006B7011"/>
    <w:rsid w:val="006B78BC"/>
    <w:rsid w:val="006B7908"/>
    <w:rsid w:val="006B7DED"/>
    <w:rsid w:val="006C0EFF"/>
    <w:rsid w:val="006C0FFC"/>
    <w:rsid w:val="006C1BC3"/>
    <w:rsid w:val="006C1C1E"/>
    <w:rsid w:val="006C227A"/>
    <w:rsid w:val="006C2C36"/>
    <w:rsid w:val="006C2F31"/>
    <w:rsid w:val="006C318D"/>
    <w:rsid w:val="006C3448"/>
    <w:rsid w:val="006C3795"/>
    <w:rsid w:val="006C3C1D"/>
    <w:rsid w:val="006C4241"/>
    <w:rsid w:val="006C4337"/>
    <w:rsid w:val="006C4A4E"/>
    <w:rsid w:val="006C4A90"/>
    <w:rsid w:val="006C4BB0"/>
    <w:rsid w:val="006C5080"/>
    <w:rsid w:val="006C5763"/>
    <w:rsid w:val="006C59DF"/>
    <w:rsid w:val="006C5E3A"/>
    <w:rsid w:val="006C5E67"/>
    <w:rsid w:val="006C641C"/>
    <w:rsid w:val="006C651E"/>
    <w:rsid w:val="006C67A2"/>
    <w:rsid w:val="006C6B71"/>
    <w:rsid w:val="006C707B"/>
    <w:rsid w:val="006C7CA6"/>
    <w:rsid w:val="006D003E"/>
    <w:rsid w:val="006D02DE"/>
    <w:rsid w:val="006D0580"/>
    <w:rsid w:val="006D2EE7"/>
    <w:rsid w:val="006D309A"/>
    <w:rsid w:val="006D330F"/>
    <w:rsid w:val="006D402D"/>
    <w:rsid w:val="006D414C"/>
    <w:rsid w:val="006D4634"/>
    <w:rsid w:val="006D4CCD"/>
    <w:rsid w:val="006D4CF2"/>
    <w:rsid w:val="006D4DA5"/>
    <w:rsid w:val="006D5364"/>
    <w:rsid w:val="006D590C"/>
    <w:rsid w:val="006D7274"/>
    <w:rsid w:val="006D73A2"/>
    <w:rsid w:val="006D74F7"/>
    <w:rsid w:val="006D7B4C"/>
    <w:rsid w:val="006D7DC3"/>
    <w:rsid w:val="006E0247"/>
    <w:rsid w:val="006E05BA"/>
    <w:rsid w:val="006E0ED4"/>
    <w:rsid w:val="006E163D"/>
    <w:rsid w:val="006E163F"/>
    <w:rsid w:val="006E189A"/>
    <w:rsid w:val="006E1E6D"/>
    <w:rsid w:val="006E23D5"/>
    <w:rsid w:val="006E242D"/>
    <w:rsid w:val="006E2611"/>
    <w:rsid w:val="006E2B3A"/>
    <w:rsid w:val="006E4023"/>
    <w:rsid w:val="006E403A"/>
    <w:rsid w:val="006E4074"/>
    <w:rsid w:val="006E42F2"/>
    <w:rsid w:val="006E482F"/>
    <w:rsid w:val="006E525C"/>
    <w:rsid w:val="006E560C"/>
    <w:rsid w:val="006E5D03"/>
    <w:rsid w:val="006E6676"/>
    <w:rsid w:val="006E686B"/>
    <w:rsid w:val="006E686E"/>
    <w:rsid w:val="006E68F9"/>
    <w:rsid w:val="006E69FC"/>
    <w:rsid w:val="006E70A0"/>
    <w:rsid w:val="006F011D"/>
    <w:rsid w:val="006F06F2"/>
    <w:rsid w:val="006F0AB1"/>
    <w:rsid w:val="006F0AFE"/>
    <w:rsid w:val="006F0F9E"/>
    <w:rsid w:val="006F114B"/>
    <w:rsid w:val="006F1164"/>
    <w:rsid w:val="006F15E4"/>
    <w:rsid w:val="006F2078"/>
    <w:rsid w:val="006F26DB"/>
    <w:rsid w:val="006F2703"/>
    <w:rsid w:val="006F296F"/>
    <w:rsid w:val="006F2F79"/>
    <w:rsid w:val="006F399C"/>
    <w:rsid w:val="006F484A"/>
    <w:rsid w:val="006F48DA"/>
    <w:rsid w:val="006F575C"/>
    <w:rsid w:val="006F5C1B"/>
    <w:rsid w:val="006F5C97"/>
    <w:rsid w:val="006F635B"/>
    <w:rsid w:val="006F6963"/>
    <w:rsid w:val="006F6DC7"/>
    <w:rsid w:val="006F7338"/>
    <w:rsid w:val="006F73EB"/>
    <w:rsid w:val="00700156"/>
    <w:rsid w:val="00700496"/>
    <w:rsid w:val="00700585"/>
    <w:rsid w:val="0070070F"/>
    <w:rsid w:val="007007B2"/>
    <w:rsid w:val="00700D07"/>
    <w:rsid w:val="00700D18"/>
    <w:rsid w:val="00700D5D"/>
    <w:rsid w:val="00700E82"/>
    <w:rsid w:val="0070174A"/>
    <w:rsid w:val="007018E6"/>
    <w:rsid w:val="0070200B"/>
    <w:rsid w:val="007026E4"/>
    <w:rsid w:val="00702F94"/>
    <w:rsid w:val="00703007"/>
    <w:rsid w:val="00703358"/>
    <w:rsid w:val="007035F8"/>
    <w:rsid w:val="00704016"/>
    <w:rsid w:val="00704462"/>
    <w:rsid w:val="00704A28"/>
    <w:rsid w:val="00704CD0"/>
    <w:rsid w:val="00705245"/>
    <w:rsid w:val="007054DB"/>
    <w:rsid w:val="00705B2E"/>
    <w:rsid w:val="00706480"/>
    <w:rsid w:val="00706902"/>
    <w:rsid w:val="007069C8"/>
    <w:rsid w:val="00706B0F"/>
    <w:rsid w:val="00706BED"/>
    <w:rsid w:val="00706C58"/>
    <w:rsid w:val="0070716D"/>
    <w:rsid w:val="007072D9"/>
    <w:rsid w:val="007074F3"/>
    <w:rsid w:val="00710462"/>
    <w:rsid w:val="00710D1E"/>
    <w:rsid w:val="00710DB4"/>
    <w:rsid w:val="007110C4"/>
    <w:rsid w:val="00711893"/>
    <w:rsid w:val="00712723"/>
    <w:rsid w:val="0071332B"/>
    <w:rsid w:val="00713959"/>
    <w:rsid w:val="00713B23"/>
    <w:rsid w:val="00713BAD"/>
    <w:rsid w:val="007145FA"/>
    <w:rsid w:val="00714B08"/>
    <w:rsid w:val="00714BF5"/>
    <w:rsid w:val="00714C18"/>
    <w:rsid w:val="00715085"/>
    <w:rsid w:val="00715D2E"/>
    <w:rsid w:val="007162F4"/>
    <w:rsid w:val="00716517"/>
    <w:rsid w:val="00716A6C"/>
    <w:rsid w:val="0071722F"/>
    <w:rsid w:val="007172F2"/>
    <w:rsid w:val="00717BE2"/>
    <w:rsid w:val="0072112C"/>
    <w:rsid w:val="007214F5"/>
    <w:rsid w:val="00722425"/>
    <w:rsid w:val="007225B1"/>
    <w:rsid w:val="0072391F"/>
    <w:rsid w:val="00723CC0"/>
    <w:rsid w:val="00723CEB"/>
    <w:rsid w:val="00723DC0"/>
    <w:rsid w:val="00723F79"/>
    <w:rsid w:val="007242E8"/>
    <w:rsid w:val="00724713"/>
    <w:rsid w:val="00724D08"/>
    <w:rsid w:val="00724D0D"/>
    <w:rsid w:val="00725113"/>
    <w:rsid w:val="0072597A"/>
    <w:rsid w:val="00725B95"/>
    <w:rsid w:val="00725C52"/>
    <w:rsid w:val="00725D5E"/>
    <w:rsid w:val="00725EC5"/>
    <w:rsid w:val="00726600"/>
    <w:rsid w:val="007270AE"/>
    <w:rsid w:val="00727208"/>
    <w:rsid w:val="007279D3"/>
    <w:rsid w:val="00727B5A"/>
    <w:rsid w:val="00727D63"/>
    <w:rsid w:val="0073035E"/>
    <w:rsid w:val="007315DB"/>
    <w:rsid w:val="0073160B"/>
    <w:rsid w:val="00731634"/>
    <w:rsid w:val="00731950"/>
    <w:rsid w:val="007319C6"/>
    <w:rsid w:val="00732172"/>
    <w:rsid w:val="007329CD"/>
    <w:rsid w:val="00732F33"/>
    <w:rsid w:val="00732F82"/>
    <w:rsid w:val="0073321D"/>
    <w:rsid w:val="007333F5"/>
    <w:rsid w:val="00733651"/>
    <w:rsid w:val="0073369F"/>
    <w:rsid w:val="00733BE5"/>
    <w:rsid w:val="00734110"/>
    <w:rsid w:val="00734B80"/>
    <w:rsid w:val="007352B2"/>
    <w:rsid w:val="0073576D"/>
    <w:rsid w:val="00735779"/>
    <w:rsid w:val="007363EC"/>
    <w:rsid w:val="00736689"/>
    <w:rsid w:val="0073673B"/>
    <w:rsid w:val="00736DCC"/>
    <w:rsid w:val="0073712D"/>
    <w:rsid w:val="007374D0"/>
    <w:rsid w:val="00740A1A"/>
    <w:rsid w:val="007415C3"/>
    <w:rsid w:val="00741A01"/>
    <w:rsid w:val="00741FD9"/>
    <w:rsid w:val="007428EC"/>
    <w:rsid w:val="00742F7E"/>
    <w:rsid w:val="00743196"/>
    <w:rsid w:val="00743555"/>
    <w:rsid w:val="007438FA"/>
    <w:rsid w:val="007439AC"/>
    <w:rsid w:val="00743F9A"/>
    <w:rsid w:val="0074431D"/>
    <w:rsid w:val="007444FA"/>
    <w:rsid w:val="0074491B"/>
    <w:rsid w:val="00744AA1"/>
    <w:rsid w:val="00744ADD"/>
    <w:rsid w:val="00745062"/>
    <w:rsid w:val="00745691"/>
    <w:rsid w:val="007457CB"/>
    <w:rsid w:val="00745CC3"/>
    <w:rsid w:val="00745EE7"/>
    <w:rsid w:val="0074632C"/>
    <w:rsid w:val="00746440"/>
    <w:rsid w:val="00747010"/>
    <w:rsid w:val="00747204"/>
    <w:rsid w:val="007473A2"/>
    <w:rsid w:val="00747753"/>
    <w:rsid w:val="00747AAA"/>
    <w:rsid w:val="00747F9C"/>
    <w:rsid w:val="0075044A"/>
    <w:rsid w:val="00750648"/>
    <w:rsid w:val="007507F5"/>
    <w:rsid w:val="00750E94"/>
    <w:rsid w:val="00751414"/>
    <w:rsid w:val="00751422"/>
    <w:rsid w:val="00751537"/>
    <w:rsid w:val="007529B8"/>
    <w:rsid w:val="00752CED"/>
    <w:rsid w:val="00752EC5"/>
    <w:rsid w:val="0075416B"/>
    <w:rsid w:val="00754884"/>
    <w:rsid w:val="007551C1"/>
    <w:rsid w:val="0075525F"/>
    <w:rsid w:val="00755705"/>
    <w:rsid w:val="00756F76"/>
    <w:rsid w:val="0075717A"/>
    <w:rsid w:val="00757B0F"/>
    <w:rsid w:val="00760092"/>
    <w:rsid w:val="007603B2"/>
    <w:rsid w:val="007606A1"/>
    <w:rsid w:val="007609DA"/>
    <w:rsid w:val="00760B19"/>
    <w:rsid w:val="00760EAF"/>
    <w:rsid w:val="0076185D"/>
    <w:rsid w:val="00761FBD"/>
    <w:rsid w:val="0076339A"/>
    <w:rsid w:val="00763CED"/>
    <w:rsid w:val="00763D3C"/>
    <w:rsid w:val="00763EC7"/>
    <w:rsid w:val="0076444F"/>
    <w:rsid w:val="00764AAD"/>
    <w:rsid w:val="00764B8F"/>
    <w:rsid w:val="00764DEF"/>
    <w:rsid w:val="00764E86"/>
    <w:rsid w:val="0076565F"/>
    <w:rsid w:val="00765A4B"/>
    <w:rsid w:val="00766166"/>
    <w:rsid w:val="00766940"/>
    <w:rsid w:val="00766A84"/>
    <w:rsid w:val="007673BD"/>
    <w:rsid w:val="00767508"/>
    <w:rsid w:val="00767E4B"/>
    <w:rsid w:val="007707BF"/>
    <w:rsid w:val="00770C6E"/>
    <w:rsid w:val="00770F47"/>
    <w:rsid w:val="00771039"/>
    <w:rsid w:val="00771423"/>
    <w:rsid w:val="00771F2F"/>
    <w:rsid w:val="00771FE7"/>
    <w:rsid w:val="00772128"/>
    <w:rsid w:val="00772158"/>
    <w:rsid w:val="007725F4"/>
    <w:rsid w:val="0077260A"/>
    <w:rsid w:val="00772815"/>
    <w:rsid w:val="007728FA"/>
    <w:rsid w:val="00772B9A"/>
    <w:rsid w:val="007738FE"/>
    <w:rsid w:val="00773DD3"/>
    <w:rsid w:val="00773FA6"/>
    <w:rsid w:val="00773FB1"/>
    <w:rsid w:val="00774272"/>
    <w:rsid w:val="007745A2"/>
    <w:rsid w:val="00774693"/>
    <w:rsid w:val="00774F34"/>
    <w:rsid w:val="00774F6C"/>
    <w:rsid w:val="00776526"/>
    <w:rsid w:val="00776EA8"/>
    <w:rsid w:val="007772ED"/>
    <w:rsid w:val="007776C4"/>
    <w:rsid w:val="00777AD3"/>
    <w:rsid w:val="007804F5"/>
    <w:rsid w:val="00780DB3"/>
    <w:rsid w:val="007810BA"/>
    <w:rsid w:val="007812FB"/>
    <w:rsid w:val="0078149B"/>
    <w:rsid w:val="007815A4"/>
    <w:rsid w:val="007816D4"/>
    <w:rsid w:val="007816F0"/>
    <w:rsid w:val="00781A70"/>
    <w:rsid w:val="00781AAB"/>
    <w:rsid w:val="00781FED"/>
    <w:rsid w:val="0078240E"/>
    <w:rsid w:val="007824BC"/>
    <w:rsid w:val="00782AD4"/>
    <w:rsid w:val="00782C7D"/>
    <w:rsid w:val="00782E50"/>
    <w:rsid w:val="00782F5D"/>
    <w:rsid w:val="007831BB"/>
    <w:rsid w:val="00783BCA"/>
    <w:rsid w:val="00783C18"/>
    <w:rsid w:val="00783F13"/>
    <w:rsid w:val="00784494"/>
    <w:rsid w:val="00784670"/>
    <w:rsid w:val="00784C53"/>
    <w:rsid w:val="00785592"/>
    <w:rsid w:val="00785EBB"/>
    <w:rsid w:val="0078655D"/>
    <w:rsid w:val="0078658E"/>
    <w:rsid w:val="00786FCA"/>
    <w:rsid w:val="007879C0"/>
    <w:rsid w:val="00787AE1"/>
    <w:rsid w:val="00787CB7"/>
    <w:rsid w:val="00787D38"/>
    <w:rsid w:val="00787FA6"/>
    <w:rsid w:val="00790357"/>
    <w:rsid w:val="0079038F"/>
    <w:rsid w:val="0079102F"/>
    <w:rsid w:val="00791044"/>
    <w:rsid w:val="00791349"/>
    <w:rsid w:val="0079167B"/>
    <w:rsid w:val="0079189E"/>
    <w:rsid w:val="00791A7E"/>
    <w:rsid w:val="00792331"/>
    <w:rsid w:val="007930B2"/>
    <w:rsid w:val="00793888"/>
    <w:rsid w:val="00793D29"/>
    <w:rsid w:val="007944C8"/>
    <w:rsid w:val="00794823"/>
    <w:rsid w:val="00794885"/>
    <w:rsid w:val="00794920"/>
    <w:rsid w:val="00794C03"/>
    <w:rsid w:val="0079588C"/>
    <w:rsid w:val="00795B4F"/>
    <w:rsid w:val="0079646D"/>
    <w:rsid w:val="00797645"/>
    <w:rsid w:val="007976A9"/>
    <w:rsid w:val="007A0039"/>
    <w:rsid w:val="007A01F6"/>
    <w:rsid w:val="007A0545"/>
    <w:rsid w:val="007A2106"/>
    <w:rsid w:val="007A24FF"/>
    <w:rsid w:val="007A28DD"/>
    <w:rsid w:val="007A2979"/>
    <w:rsid w:val="007A29F5"/>
    <w:rsid w:val="007A2CF3"/>
    <w:rsid w:val="007A3509"/>
    <w:rsid w:val="007A36CF"/>
    <w:rsid w:val="007A43B2"/>
    <w:rsid w:val="007A5323"/>
    <w:rsid w:val="007A5472"/>
    <w:rsid w:val="007A57D7"/>
    <w:rsid w:val="007A5AB2"/>
    <w:rsid w:val="007A5B02"/>
    <w:rsid w:val="007A5E32"/>
    <w:rsid w:val="007A5E60"/>
    <w:rsid w:val="007A6970"/>
    <w:rsid w:val="007A6D1D"/>
    <w:rsid w:val="007A6F42"/>
    <w:rsid w:val="007A715D"/>
    <w:rsid w:val="007B0140"/>
    <w:rsid w:val="007B050E"/>
    <w:rsid w:val="007B0863"/>
    <w:rsid w:val="007B08FB"/>
    <w:rsid w:val="007B0E01"/>
    <w:rsid w:val="007B0ED5"/>
    <w:rsid w:val="007B0FA5"/>
    <w:rsid w:val="007B12D6"/>
    <w:rsid w:val="007B1318"/>
    <w:rsid w:val="007B1841"/>
    <w:rsid w:val="007B187B"/>
    <w:rsid w:val="007B21D4"/>
    <w:rsid w:val="007B2245"/>
    <w:rsid w:val="007B240A"/>
    <w:rsid w:val="007B2578"/>
    <w:rsid w:val="007B27D3"/>
    <w:rsid w:val="007B3664"/>
    <w:rsid w:val="007B36F0"/>
    <w:rsid w:val="007B3712"/>
    <w:rsid w:val="007B3A6A"/>
    <w:rsid w:val="007B3C6B"/>
    <w:rsid w:val="007B5B79"/>
    <w:rsid w:val="007B5D4C"/>
    <w:rsid w:val="007B5EC2"/>
    <w:rsid w:val="007B60A0"/>
    <w:rsid w:val="007B663C"/>
    <w:rsid w:val="007B6C9F"/>
    <w:rsid w:val="007B77DE"/>
    <w:rsid w:val="007B785F"/>
    <w:rsid w:val="007B78BA"/>
    <w:rsid w:val="007B7BD0"/>
    <w:rsid w:val="007B7C60"/>
    <w:rsid w:val="007C0800"/>
    <w:rsid w:val="007C0DE6"/>
    <w:rsid w:val="007C0ED6"/>
    <w:rsid w:val="007C13E3"/>
    <w:rsid w:val="007C26FA"/>
    <w:rsid w:val="007C28AD"/>
    <w:rsid w:val="007C28CE"/>
    <w:rsid w:val="007C29AF"/>
    <w:rsid w:val="007C2FE7"/>
    <w:rsid w:val="007C305E"/>
    <w:rsid w:val="007C3A2E"/>
    <w:rsid w:val="007C3AAF"/>
    <w:rsid w:val="007C3E69"/>
    <w:rsid w:val="007C3EFD"/>
    <w:rsid w:val="007C40A1"/>
    <w:rsid w:val="007C442A"/>
    <w:rsid w:val="007C498C"/>
    <w:rsid w:val="007C6F4B"/>
    <w:rsid w:val="007C7BD8"/>
    <w:rsid w:val="007D0592"/>
    <w:rsid w:val="007D0596"/>
    <w:rsid w:val="007D0B0E"/>
    <w:rsid w:val="007D13E2"/>
    <w:rsid w:val="007D191F"/>
    <w:rsid w:val="007D1C60"/>
    <w:rsid w:val="007D2DF1"/>
    <w:rsid w:val="007D302D"/>
    <w:rsid w:val="007D30C2"/>
    <w:rsid w:val="007D312E"/>
    <w:rsid w:val="007D3375"/>
    <w:rsid w:val="007D34A3"/>
    <w:rsid w:val="007D3E78"/>
    <w:rsid w:val="007D41ED"/>
    <w:rsid w:val="007D42B9"/>
    <w:rsid w:val="007D4A86"/>
    <w:rsid w:val="007D518F"/>
    <w:rsid w:val="007D53EB"/>
    <w:rsid w:val="007D5662"/>
    <w:rsid w:val="007D5A2D"/>
    <w:rsid w:val="007D5A7F"/>
    <w:rsid w:val="007D5EDE"/>
    <w:rsid w:val="007D5FD7"/>
    <w:rsid w:val="007D6B45"/>
    <w:rsid w:val="007D6C9F"/>
    <w:rsid w:val="007D6F3D"/>
    <w:rsid w:val="007D6F65"/>
    <w:rsid w:val="007D7179"/>
    <w:rsid w:val="007D719A"/>
    <w:rsid w:val="007E01B2"/>
    <w:rsid w:val="007E0FB4"/>
    <w:rsid w:val="007E1CCC"/>
    <w:rsid w:val="007E22B5"/>
    <w:rsid w:val="007E25C4"/>
    <w:rsid w:val="007E26EC"/>
    <w:rsid w:val="007E28C5"/>
    <w:rsid w:val="007E2942"/>
    <w:rsid w:val="007E29F0"/>
    <w:rsid w:val="007E3370"/>
    <w:rsid w:val="007E347F"/>
    <w:rsid w:val="007E3C76"/>
    <w:rsid w:val="007E3D6E"/>
    <w:rsid w:val="007E4560"/>
    <w:rsid w:val="007E48BA"/>
    <w:rsid w:val="007E4B9E"/>
    <w:rsid w:val="007E626C"/>
    <w:rsid w:val="007E6775"/>
    <w:rsid w:val="007E6A2F"/>
    <w:rsid w:val="007E6FB7"/>
    <w:rsid w:val="007E71F4"/>
    <w:rsid w:val="007E7234"/>
    <w:rsid w:val="007E7320"/>
    <w:rsid w:val="007E7B67"/>
    <w:rsid w:val="007E7FEE"/>
    <w:rsid w:val="007F04AB"/>
    <w:rsid w:val="007F0796"/>
    <w:rsid w:val="007F0E49"/>
    <w:rsid w:val="007F0E4D"/>
    <w:rsid w:val="007F2546"/>
    <w:rsid w:val="007F2811"/>
    <w:rsid w:val="007F2FA8"/>
    <w:rsid w:val="007F2FD4"/>
    <w:rsid w:val="007F3373"/>
    <w:rsid w:val="007F3A95"/>
    <w:rsid w:val="007F4254"/>
    <w:rsid w:val="007F46C9"/>
    <w:rsid w:val="007F4940"/>
    <w:rsid w:val="007F4A38"/>
    <w:rsid w:val="007F4A63"/>
    <w:rsid w:val="007F4D8B"/>
    <w:rsid w:val="007F4EB0"/>
    <w:rsid w:val="007F52E1"/>
    <w:rsid w:val="007F5711"/>
    <w:rsid w:val="007F583F"/>
    <w:rsid w:val="007F6382"/>
    <w:rsid w:val="007F65F4"/>
    <w:rsid w:val="007F6743"/>
    <w:rsid w:val="007F6AA1"/>
    <w:rsid w:val="007F6B9D"/>
    <w:rsid w:val="007F7014"/>
    <w:rsid w:val="007F77FA"/>
    <w:rsid w:val="007F7AE4"/>
    <w:rsid w:val="007F7E1F"/>
    <w:rsid w:val="00800359"/>
    <w:rsid w:val="008005CC"/>
    <w:rsid w:val="00800BEE"/>
    <w:rsid w:val="00801658"/>
    <w:rsid w:val="008018B3"/>
    <w:rsid w:val="0080191E"/>
    <w:rsid w:val="00801ABE"/>
    <w:rsid w:val="00801E4C"/>
    <w:rsid w:val="008024A1"/>
    <w:rsid w:val="0080251E"/>
    <w:rsid w:val="0080294F"/>
    <w:rsid w:val="00802C7B"/>
    <w:rsid w:val="00802CCE"/>
    <w:rsid w:val="008031DC"/>
    <w:rsid w:val="008048B0"/>
    <w:rsid w:val="00804FB2"/>
    <w:rsid w:val="008051F4"/>
    <w:rsid w:val="00805F32"/>
    <w:rsid w:val="00806116"/>
    <w:rsid w:val="008065B4"/>
    <w:rsid w:val="0080691E"/>
    <w:rsid w:val="00806E76"/>
    <w:rsid w:val="0080752E"/>
    <w:rsid w:val="00807949"/>
    <w:rsid w:val="008105E7"/>
    <w:rsid w:val="008106AA"/>
    <w:rsid w:val="008107B7"/>
    <w:rsid w:val="00810B7E"/>
    <w:rsid w:val="00810BE9"/>
    <w:rsid w:val="00810CFD"/>
    <w:rsid w:val="00810D86"/>
    <w:rsid w:val="0081169A"/>
    <w:rsid w:val="00811711"/>
    <w:rsid w:val="00811ADE"/>
    <w:rsid w:val="00811D56"/>
    <w:rsid w:val="00811F71"/>
    <w:rsid w:val="008120DE"/>
    <w:rsid w:val="00812188"/>
    <w:rsid w:val="008128EE"/>
    <w:rsid w:val="00812BC9"/>
    <w:rsid w:val="00812EC7"/>
    <w:rsid w:val="00812ED0"/>
    <w:rsid w:val="00813F1D"/>
    <w:rsid w:val="00813FAD"/>
    <w:rsid w:val="00814D80"/>
    <w:rsid w:val="00814DED"/>
    <w:rsid w:val="0081526B"/>
    <w:rsid w:val="008154F7"/>
    <w:rsid w:val="00815691"/>
    <w:rsid w:val="00816163"/>
    <w:rsid w:val="008163EB"/>
    <w:rsid w:val="00816517"/>
    <w:rsid w:val="00816D37"/>
    <w:rsid w:val="00816DB6"/>
    <w:rsid w:val="008175F2"/>
    <w:rsid w:val="00817D2A"/>
    <w:rsid w:val="00817D91"/>
    <w:rsid w:val="008200A2"/>
    <w:rsid w:val="0082029A"/>
    <w:rsid w:val="008207A5"/>
    <w:rsid w:val="008207D6"/>
    <w:rsid w:val="00820818"/>
    <w:rsid w:val="0082088D"/>
    <w:rsid w:val="008208A5"/>
    <w:rsid w:val="00820AB7"/>
    <w:rsid w:val="00820AE3"/>
    <w:rsid w:val="00820BE9"/>
    <w:rsid w:val="00821106"/>
    <w:rsid w:val="0082152F"/>
    <w:rsid w:val="00822CAB"/>
    <w:rsid w:val="00822DF6"/>
    <w:rsid w:val="008231BD"/>
    <w:rsid w:val="00823949"/>
    <w:rsid w:val="00823FEC"/>
    <w:rsid w:val="00824353"/>
    <w:rsid w:val="00824A72"/>
    <w:rsid w:val="00824C5F"/>
    <w:rsid w:val="00824CF5"/>
    <w:rsid w:val="0082560C"/>
    <w:rsid w:val="008259D4"/>
    <w:rsid w:val="008260EA"/>
    <w:rsid w:val="008270CB"/>
    <w:rsid w:val="008275D8"/>
    <w:rsid w:val="00827FF2"/>
    <w:rsid w:val="00830204"/>
    <w:rsid w:val="008304DB"/>
    <w:rsid w:val="008309A3"/>
    <w:rsid w:val="00830A25"/>
    <w:rsid w:val="008311B1"/>
    <w:rsid w:val="008314C9"/>
    <w:rsid w:val="008318BE"/>
    <w:rsid w:val="00831D2F"/>
    <w:rsid w:val="00831DB1"/>
    <w:rsid w:val="00832507"/>
    <w:rsid w:val="00832BB5"/>
    <w:rsid w:val="00833A0D"/>
    <w:rsid w:val="00833A0E"/>
    <w:rsid w:val="00834AF2"/>
    <w:rsid w:val="0083600A"/>
    <w:rsid w:val="00836260"/>
    <w:rsid w:val="00836489"/>
    <w:rsid w:val="008364F7"/>
    <w:rsid w:val="00837501"/>
    <w:rsid w:val="0083754D"/>
    <w:rsid w:val="0083A01A"/>
    <w:rsid w:val="0084075A"/>
    <w:rsid w:val="0084076B"/>
    <w:rsid w:val="00840A59"/>
    <w:rsid w:val="0084141F"/>
    <w:rsid w:val="008415C1"/>
    <w:rsid w:val="008418FE"/>
    <w:rsid w:val="008419BA"/>
    <w:rsid w:val="0084274B"/>
    <w:rsid w:val="008427E5"/>
    <w:rsid w:val="0084358A"/>
    <w:rsid w:val="00843689"/>
    <w:rsid w:val="00843C31"/>
    <w:rsid w:val="00843E25"/>
    <w:rsid w:val="00843F39"/>
    <w:rsid w:val="008443D4"/>
    <w:rsid w:val="00844B7F"/>
    <w:rsid w:val="00844BCE"/>
    <w:rsid w:val="00844EDE"/>
    <w:rsid w:val="00845045"/>
    <w:rsid w:val="00845664"/>
    <w:rsid w:val="00845AA9"/>
    <w:rsid w:val="00845B7A"/>
    <w:rsid w:val="00846BC2"/>
    <w:rsid w:val="00846BFF"/>
    <w:rsid w:val="00847506"/>
    <w:rsid w:val="00847737"/>
    <w:rsid w:val="00847CE6"/>
    <w:rsid w:val="00850100"/>
    <w:rsid w:val="00850382"/>
    <w:rsid w:val="00850C8D"/>
    <w:rsid w:val="00850FB7"/>
    <w:rsid w:val="008513FE"/>
    <w:rsid w:val="00851BDA"/>
    <w:rsid w:val="00852D1C"/>
    <w:rsid w:val="00852E6D"/>
    <w:rsid w:val="008536C5"/>
    <w:rsid w:val="00854351"/>
    <w:rsid w:val="00854C91"/>
    <w:rsid w:val="00854E9D"/>
    <w:rsid w:val="00855526"/>
    <w:rsid w:val="00855533"/>
    <w:rsid w:val="008558FD"/>
    <w:rsid w:val="0085618C"/>
    <w:rsid w:val="00856B16"/>
    <w:rsid w:val="008574E9"/>
    <w:rsid w:val="008604BE"/>
    <w:rsid w:val="0086079E"/>
    <w:rsid w:val="00860BE5"/>
    <w:rsid w:val="00861038"/>
    <w:rsid w:val="0086134F"/>
    <w:rsid w:val="0086141B"/>
    <w:rsid w:val="00861539"/>
    <w:rsid w:val="008619ED"/>
    <w:rsid w:val="00861B6E"/>
    <w:rsid w:val="00861EB9"/>
    <w:rsid w:val="00862231"/>
    <w:rsid w:val="00862861"/>
    <w:rsid w:val="00862F2C"/>
    <w:rsid w:val="0086343A"/>
    <w:rsid w:val="00863678"/>
    <w:rsid w:val="00863822"/>
    <w:rsid w:val="00864144"/>
    <w:rsid w:val="00864293"/>
    <w:rsid w:val="00864FCB"/>
    <w:rsid w:val="0086535A"/>
    <w:rsid w:val="008656CF"/>
    <w:rsid w:val="00865879"/>
    <w:rsid w:val="00865F23"/>
    <w:rsid w:val="00866B50"/>
    <w:rsid w:val="00867316"/>
    <w:rsid w:val="00867AFB"/>
    <w:rsid w:val="00870400"/>
    <w:rsid w:val="008712CB"/>
    <w:rsid w:val="00871F19"/>
    <w:rsid w:val="00872A95"/>
    <w:rsid w:val="0087316E"/>
    <w:rsid w:val="00873440"/>
    <w:rsid w:val="008737DF"/>
    <w:rsid w:val="008751C9"/>
    <w:rsid w:val="008761FD"/>
    <w:rsid w:val="0087641B"/>
    <w:rsid w:val="00876A08"/>
    <w:rsid w:val="00876A1C"/>
    <w:rsid w:val="00876E57"/>
    <w:rsid w:val="008778DF"/>
    <w:rsid w:val="00877B57"/>
    <w:rsid w:val="00880791"/>
    <w:rsid w:val="00880797"/>
    <w:rsid w:val="008809B4"/>
    <w:rsid w:val="00881748"/>
    <w:rsid w:val="00881821"/>
    <w:rsid w:val="0088196F"/>
    <w:rsid w:val="00882C5D"/>
    <w:rsid w:val="008836A9"/>
    <w:rsid w:val="00883BAE"/>
    <w:rsid w:val="00883FE4"/>
    <w:rsid w:val="0088419B"/>
    <w:rsid w:val="00884560"/>
    <w:rsid w:val="008856D1"/>
    <w:rsid w:val="00885B06"/>
    <w:rsid w:val="00885C9E"/>
    <w:rsid w:val="008876C7"/>
    <w:rsid w:val="00887924"/>
    <w:rsid w:val="00887E1E"/>
    <w:rsid w:val="00890246"/>
    <w:rsid w:val="00890FC5"/>
    <w:rsid w:val="0089176C"/>
    <w:rsid w:val="00891F39"/>
    <w:rsid w:val="0089241E"/>
    <w:rsid w:val="008925D8"/>
    <w:rsid w:val="00892747"/>
    <w:rsid w:val="00892A1B"/>
    <w:rsid w:val="008937E9"/>
    <w:rsid w:val="00893967"/>
    <w:rsid w:val="00893F52"/>
    <w:rsid w:val="00895147"/>
    <w:rsid w:val="0089520B"/>
    <w:rsid w:val="00895555"/>
    <w:rsid w:val="0089576E"/>
    <w:rsid w:val="0089588A"/>
    <w:rsid w:val="00895B02"/>
    <w:rsid w:val="00895B46"/>
    <w:rsid w:val="0089606B"/>
    <w:rsid w:val="00896669"/>
    <w:rsid w:val="00896A2F"/>
    <w:rsid w:val="00896A57"/>
    <w:rsid w:val="00896C31"/>
    <w:rsid w:val="00896CFA"/>
    <w:rsid w:val="00896E30"/>
    <w:rsid w:val="0089705D"/>
    <w:rsid w:val="00897110"/>
    <w:rsid w:val="00897410"/>
    <w:rsid w:val="008976DD"/>
    <w:rsid w:val="00897E3A"/>
    <w:rsid w:val="008A0242"/>
    <w:rsid w:val="008A0422"/>
    <w:rsid w:val="008A054C"/>
    <w:rsid w:val="008A1263"/>
    <w:rsid w:val="008A1484"/>
    <w:rsid w:val="008A165D"/>
    <w:rsid w:val="008A183D"/>
    <w:rsid w:val="008A1FD4"/>
    <w:rsid w:val="008A2887"/>
    <w:rsid w:val="008A3675"/>
    <w:rsid w:val="008A4403"/>
    <w:rsid w:val="008A4CC9"/>
    <w:rsid w:val="008A5088"/>
    <w:rsid w:val="008A6191"/>
    <w:rsid w:val="008A629F"/>
    <w:rsid w:val="008A632C"/>
    <w:rsid w:val="008A65B4"/>
    <w:rsid w:val="008A69FF"/>
    <w:rsid w:val="008A6D10"/>
    <w:rsid w:val="008A7071"/>
    <w:rsid w:val="008A7361"/>
    <w:rsid w:val="008A7A6A"/>
    <w:rsid w:val="008A7B6D"/>
    <w:rsid w:val="008A7E32"/>
    <w:rsid w:val="008B02FA"/>
    <w:rsid w:val="008B083E"/>
    <w:rsid w:val="008B0B73"/>
    <w:rsid w:val="008B131B"/>
    <w:rsid w:val="008B1A4F"/>
    <w:rsid w:val="008B1D71"/>
    <w:rsid w:val="008B227F"/>
    <w:rsid w:val="008B2D10"/>
    <w:rsid w:val="008B3042"/>
    <w:rsid w:val="008B30FC"/>
    <w:rsid w:val="008B394C"/>
    <w:rsid w:val="008B46CA"/>
    <w:rsid w:val="008B6396"/>
    <w:rsid w:val="008B6487"/>
    <w:rsid w:val="008B7A2E"/>
    <w:rsid w:val="008C0387"/>
    <w:rsid w:val="008C06DA"/>
    <w:rsid w:val="008C0F99"/>
    <w:rsid w:val="008C10E1"/>
    <w:rsid w:val="008C162E"/>
    <w:rsid w:val="008C1B24"/>
    <w:rsid w:val="008C26E0"/>
    <w:rsid w:val="008C2B2C"/>
    <w:rsid w:val="008C2CFC"/>
    <w:rsid w:val="008C3486"/>
    <w:rsid w:val="008C3F32"/>
    <w:rsid w:val="008C442D"/>
    <w:rsid w:val="008C4580"/>
    <w:rsid w:val="008C4F4F"/>
    <w:rsid w:val="008C55AD"/>
    <w:rsid w:val="008C61CC"/>
    <w:rsid w:val="008C61EF"/>
    <w:rsid w:val="008C7398"/>
    <w:rsid w:val="008C7F35"/>
    <w:rsid w:val="008D03FE"/>
    <w:rsid w:val="008D0572"/>
    <w:rsid w:val="008D0E16"/>
    <w:rsid w:val="008D1075"/>
    <w:rsid w:val="008D1638"/>
    <w:rsid w:val="008D1D96"/>
    <w:rsid w:val="008D257D"/>
    <w:rsid w:val="008D27C7"/>
    <w:rsid w:val="008D2A8C"/>
    <w:rsid w:val="008D2DFE"/>
    <w:rsid w:val="008D3AB7"/>
    <w:rsid w:val="008D3ACD"/>
    <w:rsid w:val="008D3C4F"/>
    <w:rsid w:val="008D3EBA"/>
    <w:rsid w:val="008D3ED2"/>
    <w:rsid w:val="008D4761"/>
    <w:rsid w:val="008D50AF"/>
    <w:rsid w:val="008D51E1"/>
    <w:rsid w:val="008D5382"/>
    <w:rsid w:val="008D5C5B"/>
    <w:rsid w:val="008D61D3"/>
    <w:rsid w:val="008D6652"/>
    <w:rsid w:val="008D68C5"/>
    <w:rsid w:val="008D69BF"/>
    <w:rsid w:val="008D6AC8"/>
    <w:rsid w:val="008D792C"/>
    <w:rsid w:val="008D7B1E"/>
    <w:rsid w:val="008D7C0E"/>
    <w:rsid w:val="008D7D34"/>
    <w:rsid w:val="008E0103"/>
    <w:rsid w:val="008E022A"/>
    <w:rsid w:val="008E09D9"/>
    <w:rsid w:val="008E0ABF"/>
    <w:rsid w:val="008E0D98"/>
    <w:rsid w:val="008E0E13"/>
    <w:rsid w:val="008E16BC"/>
    <w:rsid w:val="008E1B67"/>
    <w:rsid w:val="008E27FA"/>
    <w:rsid w:val="008E2B18"/>
    <w:rsid w:val="008E2B64"/>
    <w:rsid w:val="008E2FEA"/>
    <w:rsid w:val="008E31BE"/>
    <w:rsid w:val="008E3747"/>
    <w:rsid w:val="008E37E5"/>
    <w:rsid w:val="008E389C"/>
    <w:rsid w:val="008E3D43"/>
    <w:rsid w:val="008E46EB"/>
    <w:rsid w:val="008E4848"/>
    <w:rsid w:val="008E4ACD"/>
    <w:rsid w:val="008E5135"/>
    <w:rsid w:val="008E56FD"/>
    <w:rsid w:val="008E6E88"/>
    <w:rsid w:val="008E71F0"/>
    <w:rsid w:val="008E7510"/>
    <w:rsid w:val="008E7799"/>
    <w:rsid w:val="008E7841"/>
    <w:rsid w:val="008F0244"/>
    <w:rsid w:val="008F0435"/>
    <w:rsid w:val="008F0B8E"/>
    <w:rsid w:val="008F0BB0"/>
    <w:rsid w:val="008F1040"/>
    <w:rsid w:val="008F12E8"/>
    <w:rsid w:val="008F1607"/>
    <w:rsid w:val="008F1CDB"/>
    <w:rsid w:val="008F23BD"/>
    <w:rsid w:val="008F276D"/>
    <w:rsid w:val="008F2871"/>
    <w:rsid w:val="008F2975"/>
    <w:rsid w:val="008F338C"/>
    <w:rsid w:val="008F38E0"/>
    <w:rsid w:val="008F3E94"/>
    <w:rsid w:val="008F5537"/>
    <w:rsid w:val="008F55ED"/>
    <w:rsid w:val="008F5B73"/>
    <w:rsid w:val="008F5CCA"/>
    <w:rsid w:val="008F610D"/>
    <w:rsid w:val="008F6D2F"/>
    <w:rsid w:val="008F799D"/>
    <w:rsid w:val="00901015"/>
    <w:rsid w:val="00901024"/>
    <w:rsid w:val="00901599"/>
    <w:rsid w:val="009015BF"/>
    <w:rsid w:val="009016E0"/>
    <w:rsid w:val="009017F2"/>
    <w:rsid w:val="00901C20"/>
    <w:rsid w:val="00902145"/>
    <w:rsid w:val="009022D9"/>
    <w:rsid w:val="00902462"/>
    <w:rsid w:val="009029F4"/>
    <w:rsid w:val="009032EB"/>
    <w:rsid w:val="0090355E"/>
    <w:rsid w:val="00903FDC"/>
    <w:rsid w:val="00904A20"/>
    <w:rsid w:val="009059F2"/>
    <w:rsid w:val="00906260"/>
    <w:rsid w:val="00907C11"/>
    <w:rsid w:val="00907D69"/>
    <w:rsid w:val="00907DF8"/>
    <w:rsid w:val="00907FFD"/>
    <w:rsid w:val="009102CD"/>
    <w:rsid w:val="00910727"/>
    <w:rsid w:val="0091075F"/>
    <w:rsid w:val="00910C84"/>
    <w:rsid w:val="00910E65"/>
    <w:rsid w:val="0091118E"/>
    <w:rsid w:val="009118C2"/>
    <w:rsid w:val="00911951"/>
    <w:rsid w:val="009119A5"/>
    <w:rsid w:val="00911F52"/>
    <w:rsid w:val="00911FEE"/>
    <w:rsid w:val="00913066"/>
    <w:rsid w:val="00913399"/>
    <w:rsid w:val="009137BA"/>
    <w:rsid w:val="00913C0B"/>
    <w:rsid w:val="00914618"/>
    <w:rsid w:val="00915212"/>
    <w:rsid w:val="0091611C"/>
    <w:rsid w:val="00916520"/>
    <w:rsid w:val="00916D38"/>
    <w:rsid w:val="009170A0"/>
    <w:rsid w:val="009177CD"/>
    <w:rsid w:val="00917CB8"/>
    <w:rsid w:val="00917E65"/>
    <w:rsid w:val="00920250"/>
    <w:rsid w:val="0092091C"/>
    <w:rsid w:val="00920BB9"/>
    <w:rsid w:val="00921937"/>
    <w:rsid w:val="00922871"/>
    <w:rsid w:val="00922AD1"/>
    <w:rsid w:val="009232AC"/>
    <w:rsid w:val="009232D1"/>
    <w:rsid w:val="0092350B"/>
    <w:rsid w:val="00923A86"/>
    <w:rsid w:val="00923E92"/>
    <w:rsid w:val="00923F57"/>
    <w:rsid w:val="00924671"/>
    <w:rsid w:val="00924BDB"/>
    <w:rsid w:val="0092503F"/>
    <w:rsid w:val="00926295"/>
    <w:rsid w:val="009267ED"/>
    <w:rsid w:val="00926899"/>
    <w:rsid w:val="00926F0C"/>
    <w:rsid w:val="00926F1B"/>
    <w:rsid w:val="0092745E"/>
    <w:rsid w:val="009277F5"/>
    <w:rsid w:val="00927817"/>
    <w:rsid w:val="0092795B"/>
    <w:rsid w:val="00927C94"/>
    <w:rsid w:val="009300A1"/>
    <w:rsid w:val="00930F0A"/>
    <w:rsid w:val="00931134"/>
    <w:rsid w:val="009317C3"/>
    <w:rsid w:val="00931900"/>
    <w:rsid w:val="009323DC"/>
    <w:rsid w:val="0093282C"/>
    <w:rsid w:val="00932857"/>
    <w:rsid w:val="00933048"/>
    <w:rsid w:val="00933694"/>
    <w:rsid w:val="00933855"/>
    <w:rsid w:val="00933A44"/>
    <w:rsid w:val="00933FEA"/>
    <w:rsid w:val="0093468F"/>
    <w:rsid w:val="00934802"/>
    <w:rsid w:val="00934D3F"/>
    <w:rsid w:val="00934D66"/>
    <w:rsid w:val="00934E0C"/>
    <w:rsid w:val="0093520B"/>
    <w:rsid w:val="00936301"/>
    <w:rsid w:val="00936404"/>
    <w:rsid w:val="009364DE"/>
    <w:rsid w:val="00936A43"/>
    <w:rsid w:val="009372BF"/>
    <w:rsid w:val="009376BD"/>
    <w:rsid w:val="0093779F"/>
    <w:rsid w:val="00937DF0"/>
    <w:rsid w:val="00937E8B"/>
    <w:rsid w:val="00940474"/>
    <w:rsid w:val="00940484"/>
    <w:rsid w:val="009406A0"/>
    <w:rsid w:val="009408ED"/>
    <w:rsid w:val="00940FB3"/>
    <w:rsid w:val="0094104E"/>
    <w:rsid w:val="009415DC"/>
    <w:rsid w:val="00941AC4"/>
    <w:rsid w:val="0094211E"/>
    <w:rsid w:val="0094219E"/>
    <w:rsid w:val="009421CD"/>
    <w:rsid w:val="0094231A"/>
    <w:rsid w:val="00943D7D"/>
    <w:rsid w:val="009448D3"/>
    <w:rsid w:val="00944B1E"/>
    <w:rsid w:val="00944F70"/>
    <w:rsid w:val="009451FE"/>
    <w:rsid w:val="00945A3E"/>
    <w:rsid w:val="00946686"/>
    <w:rsid w:val="00946B8A"/>
    <w:rsid w:val="0094759B"/>
    <w:rsid w:val="009506D7"/>
    <w:rsid w:val="00952894"/>
    <w:rsid w:val="009528E7"/>
    <w:rsid w:val="00952BDF"/>
    <w:rsid w:val="0095379B"/>
    <w:rsid w:val="00953ABC"/>
    <w:rsid w:val="00953D45"/>
    <w:rsid w:val="00954449"/>
    <w:rsid w:val="009544D4"/>
    <w:rsid w:val="009546A2"/>
    <w:rsid w:val="009547F4"/>
    <w:rsid w:val="00954E6B"/>
    <w:rsid w:val="00954F14"/>
    <w:rsid w:val="009550AE"/>
    <w:rsid w:val="009553DC"/>
    <w:rsid w:val="009559CE"/>
    <w:rsid w:val="00955CC8"/>
    <w:rsid w:val="00955EA3"/>
    <w:rsid w:val="0095603F"/>
    <w:rsid w:val="00956090"/>
    <w:rsid w:val="00956360"/>
    <w:rsid w:val="00956CCE"/>
    <w:rsid w:val="00956FB3"/>
    <w:rsid w:val="00957631"/>
    <w:rsid w:val="00957670"/>
    <w:rsid w:val="00957AE0"/>
    <w:rsid w:val="00957CEA"/>
    <w:rsid w:val="00960137"/>
    <w:rsid w:val="00960606"/>
    <w:rsid w:val="00960776"/>
    <w:rsid w:val="00960818"/>
    <w:rsid w:val="009609F1"/>
    <w:rsid w:val="00960CAB"/>
    <w:rsid w:val="00961075"/>
    <w:rsid w:val="009610E7"/>
    <w:rsid w:val="00961254"/>
    <w:rsid w:val="0096242A"/>
    <w:rsid w:val="00962AF3"/>
    <w:rsid w:val="00962B78"/>
    <w:rsid w:val="00962F07"/>
    <w:rsid w:val="009639D6"/>
    <w:rsid w:val="00964122"/>
    <w:rsid w:val="009649DC"/>
    <w:rsid w:val="00964DD2"/>
    <w:rsid w:val="009650A9"/>
    <w:rsid w:val="00965341"/>
    <w:rsid w:val="00965CCF"/>
    <w:rsid w:val="00966989"/>
    <w:rsid w:val="00967447"/>
    <w:rsid w:val="00967ABC"/>
    <w:rsid w:val="00967AF5"/>
    <w:rsid w:val="00967B65"/>
    <w:rsid w:val="00967DE7"/>
    <w:rsid w:val="00967F52"/>
    <w:rsid w:val="00970063"/>
    <w:rsid w:val="00970404"/>
    <w:rsid w:val="009704A3"/>
    <w:rsid w:val="00970C33"/>
    <w:rsid w:val="00971077"/>
    <w:rsid w:val="009714AE"/>
    <w:rsid w:val="00971AF6"/>
    <w:rsid w:val="00971C18"/>
    <w:rsid w:val="00971CF2"/>
    <w:rsid w:val="00972BC6"/>
    <w:rsid w:val="00972EDF"/>
    <w:rsid w:val="0097322C"/>
    <w:rsid w:val="009735E4"/>
    <w:rsid w:val="0097376C"/>
    <w:rsid w:val="00973BD0"/>
    <w:rsid w:val="0097400F"/>
    <w:rsid w:val="00974187"/>
    <w:rsid w:val="009743C6"/>
    <w:rsid w:val="00974495"/>
    <w:rsid w:val="009746B9"/>
    <w:rsid w:val="00974803"/>
    <w:rsid w:val="00974923"/>
    <w:rsid w:val="00974C94"/>
    <w:rsid w:val="00974CEB"/>
    <w:rsid w:val="00975936"/>
    <w:rsid w:val="00975E6F"/>
    <w:rsid w:val="0097648D"/>
    <w:rsid w:val="009764AF"/>
    <w:rsid w:val="00976A25"/>
    <w:rsid w:val="0097720C"/>
    <w:rsid w:val="009773F2"/>
    <w:rsid w:val="00977AFA"/>
    <w:rsid w:val="00977FEB"/>
    <w:rsid w:val="00980FE0"/>
    <w:rsid w:val="00981494"/>
    <w:rsid w:val="00981920"/>
    <w:rsid w:val="00981B1F"/>
    <w:rsid w:val="00982010"/>
    <w:rsid w:val="009820D3"/>
    <w:rsid w:val="0098238C"/>
    <w:rsid w:val="009825CE"/>
    <w:rsid w:val="009829A8"/>
    <w:rsid w:val="00982F69"/>
    <w:rsid w:val="00983021"/>
    <w:rsid w:val="009838E2"/>
    <w:rsid w:val="00983B48"/>
    <w:rsid w:val="009847A1"/>
    <w:rsid w:val="009847E2"/>
    <w:rsid w:val="00984900"/>
    <w:rsid w:val="0098498C"/>
    <w:rsid w:val="00985002"/>
    <w:rsid w:val="009854D1"/>
    <w:rsid w:val="00986682"/>
    <w:rsid w:val="00987057"/>
    <w:rsid w:val="009871FB"/>
    <w:rsid w:val="00987218"/>
    <w:rsid w:val="00990832"/>
    <w:rsid w:val="00990A81"/>
    <w:rsid w:val="00990B76"/>
    <w:rsid w:val="00990DF7"/>
    <w:rsid w:val="009922D9"/>
    <w:rsid w:val="00992504"/>
    <w:rsid w:val="009931C8"/>
    <w:rsid w:val="009932BE"/>
    <w:rsid w:val="0099344F"/>
    <w:rsid w:val="00993A65"/>
    <w:rsid w:val="00993BF6"/>
    <w:rsid w:val="00994645"/>
    <w:rsid w:val="00994B6D"/>
    <w:rsid w:val="00995144"/>
    <w:rsid w:val="00996918"/>
    <w:rsid w:val="00996EFC"/>
    <w:rsid w:val="0099715A"/>
    <w:rsid w:val="0099733D"/>
    <w:rsid w:val="009975E6"/>
    <w:rsid w:val="009979A9"/>
    <w:rsid w:val="00997D72"/>
    <w:rsid w:val="009A0112"/>
    <w:rsid w:val="009A066C"/>
    <w:rsid w:val="009A068F"/>
    <w:rsid w:val="009A0C18"/>
    <w:rsid w:val="009A0C4F"/>
    <w:rsid w:val="009A1800"/>
    <w:rsid w:val="009A1D11"/>
    <w:rsid w:val="009A1EE7"/>
    <w:rsid w:val="009A2049"/>
    <w:rsid w:val="009A28F3"/>
    <w:rsid w:val="009A331B"/>
    <w:rsid w:val="009A3AD5"/>
    <w:rsid w:val="009A3EBA"/>
    <w:rsid w:val="009A4272"/>
    <w:rsid w:val="009A449E"/>
    <w:rsid w:val="009A484F"/>
    <w:rsid w:val="009A4D6A"/>
    <w:rsid w:val="009A5568"/>
    <w:rsid w:val="009A5D12"/>
    <w:rsid w:val="009A61DB"/>
    <w:rsid w:val="009A64C9"/>
    <w:rsid w:val="009A6716"/>
    <w:rsid w:val="009A6CDA"/>
    <w:rsid w:val="009A71EA"/>
    <w:rsid w:val="009A728A"/>
    <w:rsid w:val="009A7F53"/>
    <w:rsid w:val="009B046F"/>
    <w:rsid w:val="009B0502"/>
    <w:rsid w:val="009B05B2"/>
    <w:rsid w:val="009B09E6"/>
    <w:rsid w:val="009B0C48"/>
    <w:rsid w:val="009B0C7C"/>
    <w:rsid w:val="009B12C7"/>
    <w:rsid w:val="009B1537"/>
    <w:rsid w:val="009B17C2"/>
    <w:rsid w:val="009B183B"/>
    <w:rsid w:val="009B1C67"/>
    <w:rsid w:val="009B2831"/>
    <w:rsid w:val="009B293E"/>
    <w:rsid w:val="009B32E6"/>
    <w:rsid w:val="009B3659"/>
    <w:rsid w:val="009B3EE7"/>
    <w:rsid w:val="009B4160"/>
    <w:rsid w:val="009B4479"/>
    <w:rsid w:val="009B4605"/>
    <w:rsid w:val="009B487D"/>
    <w:rsid w:val="009B4BD2"/>
    <w:rsid w:val="009B4FB1"/>
    <w:rsid w:val="009B514E"/>
    <w:rsid w:val="009B5A2E"/>
    <w:rsid w:val="009B6385"/>
    <w:rsid w:val="009B6616"/>
    <w:rsid w:val="009B6812"/>
    <w:rsid w:val="009B6C8D"/>
    <w:rsid w:val="009B71FF"/>
    <w:rsid w:val="009B75ED"/>
    <w:rsid w:val="009B7C2F"/>
    <w:rsid w:val="009C0896"/>
    <w:rsid w:val="009C0938"/>
    <w:rsid w:val="009C0D67"/>
    <w:rsid w:val="009C0F50"/>
    <w:rsid w:val="009C0F72"/>
    <w:rsid w:val="009C13E6"/>
    <w:rsid w:val="009C1431"/>
    <w:rsid w:val="009C16E5"/>
    <w:rsid w:val="009C1A34"/>
    <w:rsid w:val="009C1B6C"/>
    <w:rsid w:val="009C22D3"/>
    <w:rsid w:val="009C24CB"/>
    <w:rsid w:val="009C25C6"/>
    <w:rsid w:val="009C2E97"/>
    <w:rsid w:val="009C34BD"/>
    <w:rsid w:val="009C38B4"/>
    <w:rsid w:val="009C4145"/>
    <w:rsid w:val="009C5301"/>
    <w:rsid w:val="009C544D"/>
    <w:rsid w:val="009C5644"/>
    <w:rsid w:val="009C64F8"/>
    <w:rsid w:val="009C6A7E"/>
    <w:rsid w:val="009C6FAF"/>
    <w:rsid w:val="009C7010"/>
    <w:rsid w:val="009C71F3"/>
    <w:rsid w:val="009C73AE"/>
    <w:rsid w:val="009C78B8"/>
    <w:rsid w:val="009C7986"/>
    <w:rsid w:val="009C7AAA"/>
    <w:rsid w:val="009C7E81"/>
    <w:rsid w:val="009D02D1"/>
    <w:rsid w:val="009D0317"/>
    <w:rsid w:val="009D03D6"/>
    <w:rsid w:val="009D1463"/>
    <w:rsid w:val="009D1617"/>
    <w:rsid w:val="009D195B"/>
    <w:rsid w:val="009D22E4"/>
    <w:rsid w:val="009D3149"/>
    <w:rsid w:val="009D318A"/>
    <w:rsid w:val="009D4302"/>
    <w:rsid w:val="009D4600"/>
    <w:rsid w:val="009D465D"/>
    <w:rsid w:val="009D4758"/>
    <w:rsid w:val="009D4B09"/>
    <w:rsid w:val="009D5396"/>
    <w:rsid w:val="009D5792"/>
    <w:rsid w:val="009D6CAD"/>
    <w:rsid w:val="009D6D63"/>
    <w:rsid w:val="009D737C"/>
    <w:rsid w:val="009D78D0"/>
    <w:rsid w:val="009D7A77"/>
    <w:rsid w:val="009E0080"/>
    <w:rsid w:val="009E0914"/>
    <w:rsid w:val="009E0B73"/>
    <w:rsid w:val="009E0BA8"/>
    <w:rsid w:val="009E15AB"/>
    <w:rsid w:val="009E164D"/>
    <w:rsid w:val="009E1B50"/>
    <w:rsid w:val="009E1E0A"/>
    <w:rsid w:val="009E2B04"/>
    <w:rsid w:val="009E358F"/>
    <w:rsid w:val="009E37F9"/>
    <w:rsid w:val="009E38B3"/>
    <w:rsid w:val="009E3DEC"/>
    <w:rsid w:val="009E3E91"/>
    <w:rsid w:val="009E449E"/>
    <w:rsid w:val="009E4807"/>
    <w:rsid w:val="009E4AA6"/>
    <w:rsid w:val="009E4AC3"/>
    <w:rsid w:val="009E4C46"/>
    <w:rsid w:val="009E4FD1"/>
    <w:rsid w:val="009E539E"/>
    <w:rsid w:val="009E56E6"/>
    <w:rsid w:val="009E5B45"/>
    <w:rsid w:val="009E616F"/>
    <w:rsid w:val="009E6338"/>
    <w:rsid w:val="009E63BE"/>
    <w:rsid w:val="009E63EC"/>
    <w:rsid w:val="009E65C6"/>
    <w:rsid w:val="009E690C"/>
    <w:rsid w:val="009E70B7"/>
    <w:rsid w:val="009E76E4"/>
    <w:rsid w:val="009F01A2"/>
    <w:rsid w:val="009F099D"/>
    <w:rsid w:val="009F09CE"/>
    <w:rsid w:val="009F0E71"/>
    <w:rsid w:val="009F11E4"/>
    <w:rsid w:val="009F156D"/>
    <w:rsid w:val="009F2505"/>
    <w:rsid w:val="009F2664"/>
    <w:rsid w:val="009F2677"/>
    <w:rsid w:val="009F27B0"/>
    <w:rsid w:val="009F2D49"/>
    <w:rsid w:val="009F344F"/>
    <w:rsid w:val="009F3C3E"/>
    <w:rsid w:val="009F3D9E"/>
    <w:rsid w:val="009F4B66"/>
    <w:rsid w:val="009F4CDC"/>
    <w:rsid w:val="009F5158"/>
    <w:rsid w:val="009F5AB2"/>
    <w:rsid w:val="009F5F5C"/>
    <w:rsid w:val="009F6E97"/>
    <w:rsid w:val="009F7C37"/>
    <w:rsid w:val="009F7C76"/>
    <w:rsid w:val="00A0029D"/>
    <w:rsid w:val="00A00F46"/>
    <w:rsid w:val="00A01211"/>
    <w:rsid w:val="00A01316"/>
    <w:rsid w:val="00A013D1"/>
    <w:rsid w:val="00A018D6"/>
    <w:rsid w:val="00A01E97"/>
    <w:rsid w:val="00A01FCE"/>
    <w:rsid w:val="00A023DD"/>
    <w:rsid w:val="00A02F07"/>
    <w:rsid w:val="00A03274"/>
    <w:rsid w:val="00A0381A"/>
    <w:rsid w:val="00A0396F"/>
    <w:rsid w:val="00A0481E"/>
    <w:rsid w:val="00A048AA"/>
    <w:rsid w:val="00A0497A"/>
    <w:rsid w:val="00A04E1B"/>
    <w:rsid w:val="00A051C9"/>
    <w:rsid w:val="00A05274"/>
    <w:rsid w:val="00A056B9"/>
    <w:rsid w:val="00A05D67"/>
    <w:rsid w:val="00A05E1E"/>
    <w:rsid w:val="00A06547"/>
    <w:rsid w:val="00A06AA9"/>
    <w:rsid w:val="00A06F9D"/>
    <w:rsid w:val="00A07581"/>
    <w:rsid w:val="00A075D1"/>
    <w:rsid w:val="00A076EF"/>
    <w:rsid w:val="00A0778A"/>
    <w:rsid w:val="00A07C9E"/>
    <w:rsid w:val="00A10DE8"/>
    <w:rsid w:val="00A10E95"/>
    <w:rsid w:val="00A10FA7"/>
    <w:rsid w:val="00A110AA"/>
    <w:rsid w:val="00A11725"/>
    <w:rsid w:val="00A11980"/>
    <w:rsid w:val="00A11A26"/>
    <w:rsid w:val="00A11C1B"/>
    <w:rsid w:val="00A11C1F"/>
    <w:rsid w:val="00A122F4"/>
    <w:rsid w:val="00A1267D"/>
    <w:rsid w:val="00A13667"/>
    <w:rsid w:val="00A136A8"/>
    <w:rsid w:val="00A1410A"/>
    <w:rsid w:val="00A14203"/>
    <w:rsid w:val="00A14395"/>
    <w:rsid w:val="00A144BA"/>
    <w:rsid w:val="00A1453D"/>
    <w:rsid w:val="00A14655"/>
    <w:rsid w:val="00A1483C"/>
    <w:rsid w:val="00A14E08"/>
    <w:rsid w:val="00A15061"/>
    <w:rsid w:val="00A1534F"/>
    <w:rsid w:val="00A156AD"/>
    <w:rsid w:val="00A1571E"/>
    <w:rsid w:val="00A15E48"/>
    <w:rsid w:val="00A15F82"/>
    <w:rsid w:val="00A160D1"/>
    <w:rsid w:val="00A16F32"/>
    <w:rsid w:val="00A17287"/>
    <w:rsid w:val="00A172CD"/>
    <w:rsid w:val="00A176BE"/>
    <w:rsid w:val="00A17790"/>
    <w:rsid w:val="00A178C4"/>
    <w:rsid w:val="00A17DA5"/>
    <w:rsid w:val="00A2068A"/>
    <w:rsid w:val="00A20BBB"/>
    <w:rsid w:val="00A20C1B"/>
    <w:rsid w:val="00A21BF2"/>
    <w:rsid w:val="00A22F4D"/>
    <w:rsid w:val="00A2383B"/>
    <w:rsid w:val="00A23CDA"/>
    <w:rsid w:val="00A24420"/>
    <w:rsid w:val="00A248EF"/>
    <w:rsid w:val="00A24932"/>
    <w:rsid w:val="00A24DBA"/>
    <w:rsid w:val="00A24DEC"/>
    <w:rsid w:val="00A2511D"/>
    <w:rsid w:val="00A2530E"/>
    <w:rsid w:val="00A253CD"/>
    <w:rsid w:val="00A25941"/>
    <w:rsid w:val="00A259E3"/>
    <w:rsid w:val="00A26049"/>
    <w:rsid w:val="00A2628F"/>
    <w:rsid w:val="00A26510"/>
    <w:rsid w:val="00A3068D"/>
    <w:rsid w:val="00A30A7F"/>
    <w:rsid w:val="00A30BFE"/>
    <w:rsid w:val="00A30D9F"/>
    <w:rsid w:val="00A3149E"/>
    <w:rsid w:val="00A31928"/>
    <w:rsid w:val="00A31C29"/>
    <w:rsid w:val="00A31FBA"/>
    <w:rsid w:val="00A32D08"/>
    <w:rsid w:val="00A32E76"/>
    <w:rsid w:val="00A33369"/>
    <w:rsid w:val="00A333BF"/>
    <w:rsid w:val="00A33AFE"/>
    <w:rsid w:val="00A33F33"/>
    <w:rsid w:val="00A340FE"/>
    <w:rsid w:val="00A342D3"/>
    <w:rsid w:val="00A34BE9"/>
    <w:rsid w:val="00A351E7"/>
    <w:rsid w:val="00A35676"/>
    <w:rsid w:val="00A3601F"/>
    <w:rsid w:val="00A36A69"/>
    <w:rsid w:val="00A36CFE"/>
    <w:rsid w:val="00A3742D"/>
    <w:rsid w:val="00A37460"/>
    <w:rsid w:val="00A37472"/>
    <w:rsid w:val="00A375C2"/>
    <w:rsid w:val="00A40058"/>
    <w:rsid w:val="00A40451"/>
    <w:rsid w:val="00A406F5"/>
    <w:rsid w:val="00A40832"/>
    <w:rsid w:val="00A40BE6"/>
    <w:rsid w:val="00A40D57"/>
    <w:rsid w:val="00A411F5"/>
    <w:rsid w:val="00A41255"/>
    <w:rsid w:val="00A41576"/>
    <w:rsid w:val="00A417C3"/>
    <w:rsid w:val="00A41B7E"/>
    <w:rsid w:val="00A42762"/>
    <w:rsid w:val="00A429EF"/>
    <w:rsid w:val="00A43247"/>
    <w:rsid w:val="00A4342B"/>
    <w:rsid w:val="00A441C4"/>
    <w:rsid w:val="00A456EE"/>
    <w:rsid w:val="00A45BD5"/>
    <w:rsid w:val="00A464A4"/>
    <w:rsid w:val="00A46604"/>
    <w:rsid w:val="00A467BE"/>
    <w:rsid w:val="00A469A6"/>
    <w:rsid w:val="00A46D86"/>
    <w:rsid w:val="00A47CF6"/>
    <w:rsid w:val="00A507DD"/>
    <w:rsid w:val="00A50D7F"/>
    <w:rsid w:val="00A5200E"/>
    <w:rsid w:val="00A52194"/>
    <w:rsid w:val="00A524BF"/>
    <w:rsid w:val="00A526A6"/>
    <w:rsid w:val="00A52DC8"/>
    <w:rsid w:val="00A52E0B"/>
    <w:rsid w:val="00A52E52"/>
    <w:rsid w:val="00A531AB"/>
    <w:rsid w:val="00A5333F"/>
    <w:rsid w:val="00A533D0"/>
    <w:rsid w:val="00A53DA2"/>
    <w:rsid w:val="00A53F93"/>
    <w:rsid w:val="00A54396"/>
    <w:rsid w:val="00A54462"/>
    <w:rsid w:val="00A54A65"/>
    <w:rsid w:val="00A54D2C"/>
    <w:rsid w:val="00A551F7"/>
    <w:rsid w:val="00A5520B"/>
    <w:rsid w:val="00A55637"/>
    <w:rsid w:val="00A55A88"/>
    <w:rsid w:val="00A55BDD"/>
    <w:rsid w:val="00A55F2F"/>
    <w:rsid w:val="00A56573"/>
    <w:rsid w:val="00A569F6"/>
    <w:rsid w:val="00A56C97"/>
    <w:rsid w:val="00A56EBB"/>
    <w:rsid w:val="00A5753F"/>
    <w:rsid w:val="00A57574"/>
    <w:rsid w:val="00A577B9"/>
    <w:rsid w:val="00A57837"/>
    <w:rsid w:val="00A5792C"/>
    <w:rsid w:val="00A60586"/>
    <w:rsid w:val="00A608FE"/>
    <w:rsid w:val="00A60F8E"/>
    <w:rsid w:val="00A6156F"/>
    <w:rsid w:val="00A61B85"/>
    <w:rsid w:val="00A63116"/>
    <w:rsid w:val="00A6343B"/>
    <w:rsid w:val="00A63FBE"/>
    <w:rsid w:val="00A640A1"/>
    <w:rsid w:val="00A6434A"/>
    <w:rsid w:val="00A657EF"/>
    <w:rsid w:val="00A658F2"/>
    <w:rsid w:val="00A65CEB"/>
    <w:rsid w:val="00A65D68"/>
    <w:rsid w:val="00A65F7C"/>
    <w:rsid w:val="00A66228"/>
    <w:rsid w:val="00A669A1"/>
    <w:rsid w:val="00A670AB"/>
    <w:rsid w:val="00A67166"/>
    <w:rsid w:val="00A674D5"/>
    <w:rsid w:val="00A6780B"/>
    <w:rsid w:val="00A70022"/>
    <w:rsid w:val="00A703F5"/>
    <w:rsid w:val="00A70477"/>
    <w:rsid w:val="00A70778"/>
    <w:rsid w:val="00A7113C"/>
    <w:rsid w:val="00A711B2"/>
    <w:rsid w:val="00A71BF9"/>
    <w:rsid w:val="00A72499"/>
    <w:rsid w:val="00A72A61"/>
    <w:rsid w:val="00A72F3D"/>
    <w:rsid w:val="00A737A3"/>
    <w:rsid w:val="00A7465C"/>
    <w:rsid w:val="00A751CE"/>
    <w:rsid w:val="00A7556D"/>
    <w:rsid w:val="00A759E2"/>
    <w:rsid w:val="00A765E1"/>
    <w:rsid w:val="00A76896"/>
    <w:rsid w:val="00A76FB8"/>
    <w:rsid w:val="00A77026"/>
    <w:rsid w:val="00A77538"/>
    <w:rsid w:val="00A77927"/>
    <w:rsid w:val="00A8068E"/>
    <w:rsid w:val="00A809B3"/>
    <w:rsid w:val="00A80A4C"/>
    <w:rsid w:val="00A8106E"/>
    <w:rsid w:val="00A81297"/>
    <w:rsid w:val="00A81457"/>
    <w:rsid w:val="00A8246D"/>
    <w:rsid w:val="00A82940"/>
    <w:rsid w:val="00A8296B"/>
    <w:rsid w:val="00A837B6"/>
    <w:rsid w:val="00A83E70"/>
    <w:rsid w:val="00A84167"/>
    <w:rsid w:val="00A84920"/>
    <w:rsid w:val="00A84FBA"/>
    <w:rsid w:val="00A8504D"/>
    <w:rsid w:val="00A854B8"/>
    <w:rsid w:val="00A862FD"/>
    <w:rsid w:val="00A86710"/>
    <w:rsid w:val="00A86850"/>
    <w:rsid w:val="00A87DE1"/>
    <w:rsid w:val="00A87F64"/>
    <w:rsid w:val="00A900F4"/>
    <w:rsid w:val="00A90378"/>
    <w:rsid w:val="00A90A8F"/>
    <w:rsid w:val="00A91330"/>
    <w:rsid w:val="00A917BD"/>
    <w:rsid w:val="00A91E57"/>
    <w:rsid w:val="00A91FBE"/>
    <w:rsid w:val="00A928F9"/>
    <w:rsid w:val="00A92D37"/>
    <w:rsid w:val="00A93066"/>
    <w:rsid w:val="00A93722"/>
    <w:rsid w:val="00A940EE"/>
    <w:rsid w:val="00A949B8"/>
    <w:rsid w:val="00A94B4A"/>
    <w:rsid w:val="00A94CCB"/>
    <w:rsid w:val="00A94F13"/>
    <w:rsid w:val="00A94FA0"/>
    <w:rsid w:val="00A951EC"/>
    <w:rsid w:val="00A9561A"/>
    <w:rsid w:val="00A956DC"/>
    <w:rsid w:val="00A9570C"/>
    <w:rsid w:val="00A95CD7"/>
    <w:rsid w:val="00A96228"/>
    <w:rsid w:val="00A9630B"/>
    <w:rsid w:val="00A9642F"/>
    <w:rsid w:val="00A964A8"/>
    <w:rsid w:val="00A965F5"/>
    <w:rsid w:val="00A969E9"/>
    <w:rsid w:val="00A97EC2"/>
    <w:rsid w:val="00AA03FC"/>
    <w:rsid w:val="00AA086B"/>
    <w:rsid w:val="00AA0971"/>
    <w:rsid w:val="00AA0D35"/>
    <w:rsid w:val="00AA0F23"/>
    <w:rsid w:val="00AA1763"/>
    <w:rsid w:val="00AA1B34"/>
    <w:rsid w:val="00AA1BD5"/>
    <w:rsid w:val="00AA1FFA"/>
    <w:rsid w:val="00AA3E40"/>
    <w:rsid w:val="00AA3E72"/>
    <w:rsid w:val="00AA40E7"/>
    <w:rsid w:val="00AA4C60"/>
    <w:rsid w:val="00AA5FCC"/>
    <w:rsid w:val="00AA60A4"/>
    <w:rsid w:val="00AA66D5"/>
    <w:rsid w:val="00AA6B92"/>
    <w:rsid w:val="00AA6DD1"/>
    <w:rsid w:val="00AA7190"/>
    <w:rsid w:val="00AA7331"/>
    <w:rsid w:val="00AA73E6"/>
    <w:rsid w:val="00AA744C"/>
    <w:rsid w:val="00AA75CB"/>
    <w:rsid w:val="00AA7ABF"/>
    <w:rsid w:val="00AB0408"/>
    <w:rsid w:val="00AB0A50"/>
    <w:rsid w:val="00AB0D05"/>
    <w:rsid w:val="00AB0DC6"/>
    <w:rsid w:val="00AB116B"/>
    <w:rsid w:val="00AB1E89"/>
    <w:rsid w:val="00AB2509"/>
    <w:rsid w:val="00AB274F"/>
    <w:rsid w:val="00AB2D63"/>
    <w:rsid w:val="00AB2E0C"/>
    <w:rsid w:val="00AB2F20"/>
    <w:rsid w:val="00AB39A9"/>
    <w:rsid w:val="00AB3D47"/>
    <w:rsid w:val="00AB4563"/>
    <w:rsid w:val="00AB50D9"/>
    <w:rsid w:val="00AB517F"/>
    <w:rsid w:val="00AB568B"/>
    <w:rsid w:val="00AB58EB"/>
    <w:rsid w:val="00AB6AE8"/>
    <w:rsid w:val="00AB6DF3"/>
    <w:rsid w:val="00AB76A5"/>
    <w:rsid w:val="00AB7788"/>
    <w:rsid w:val="00AB7929"/>
    <w:rsid w:val="00AB7C98"/>
    <w:rsid w:val="00AC0009"/>
    <w:rsid w:val="00AC0A90"/>
    <w:rsid w:val="00AC12C5"/>
    <w:rsid w:val="00AC1B2C"/>
    <w:rsid w:val="00AC21D6"/>
    <w:rsid w:val="00AC27F1"/>
    <w:rsid w:val="00AC2A99"/>
    <w:rsid w:val="00AC30B6"/>
    <w:rsid w:val="00AC3B98"/>
    <w:rsid w:val="00AC461E"/>
    <w:rsid w:val="00AC497C"/>
    <w:rsid w:val="00AC4C32"/>
    <w:rsid w:val="00AC4D02"/>
    <w:rsid w:val="00AC4D29"/>
    <w:rsid w:val="00AC50B7"/>
    <w:rsid w:val="00AC52D9"/>
    <w:rsid w:val="00AC545E"/>
    <w:rsid w:val="00AC548E"/>
    <w:rsid w:val="00AC5600"/>
    <w:rsid w:val="00AC5A37"/>
    <w:rsid w:val="00AC69B3"/>
    <w:rsid w:val="00AC69F4"/>
    <w:rsid w:val="00AC6B2E"/>
    <w:rsid w:val="00AC7309"/>
    <w:rsid w:val="00AC7447"/>
    <w:rsid w:val="00AC7C4B"/>
    <w:rsid w:val="00AC7EDC"/>
    <w:rsid w:val="00AD01B7"/>
    <w:rsid w:val="00AD04E1"/>
    <w:rsid w:val="00AD0E1B"/>
    <w:rsid w:val="00AD0E39"/>
    <w:rsid w:val="00AD0FBA"/>
    <w:rsid w:val="00AD1346"/>
    <w:rsid w:val="00AD147A"/>
    <w:rsid w:val="00AD1BA3"/>
    <w:rsid w:val="00AD22EB"/>
    <w:rsid w:val="00AD257F"/>
    <w:rsid w:val="00AD2789"/>
    <w:rsid w:val="00AD3061"/>
    <w:rsid w:val="00AD306C"/>
    <w:rsid w:val="00AD3C34"/>
    <w:rsid w:val="00AD44B6"/>
    <w:rsid w:val="00AD519F"/>
    <w:rsid w:val="00AD5F99"/>
    <w:rsid w:val="00AD5FA3"/>
    <w:rsid w:val="00AD7345"/>
    <w:rsid w:val="00AD738C"/>
    <w:rsid w:val="00AD778A"/>
    <w:rsid w:val="00AE0CBF"/>
    <w:rsid w:val="00AE148E"/>
    <w:rsid w:val="00AE14AD"/>
    <w:rsid w:val="00AE14E3"/>
    <w:rsid w:val="00AE15FD"/>
    <w:rsid w:val="00AE17B7"/>
    <w:rsid w:val="00AE1813"/>
    <w:rsid w:val="00AE1FFC"/>
    <w:rsid w:val="00AE2535"/>
    <w:rsid w:val="00AE28D3"/>
    <w:rsid w:val="00AE2966"/>
    <w:rsid w:val="00AE2973"/>
    <w:rsid w:val="00AE2F54"/>
    <w:rsid w:val="00AE30A6"/>
    <w:rsid w:val="00AE3E27"/>
    <w:rsid w:val="00AE4362"/>
    <w:rsid w:val="00AE5066"/>
    <w:rsid w:val="00AE5E1E"/>
    <w:rsid w:val="00AE5F6A"/>
    <w:rsid w:val="00AE6100"/>
    <w:rsid w:val="00AE69B8"/>
    <w:rsid w:val="00AE74B3"/>
    <w:rsid w:val="00AE753C"/>
    <w:rsid w:val="00AE776B"/>
    <w:rsid w:val="00AF106F"/>
    <w:rsid w:val="00AF109A"/>
    <w:rsid w:val="00AF1343"/>
    <w:rsid w:val="00AF1742"/>
    <w:rsid w:val="00AF1745"/>
    <w:rsid w:val="00AF17DF"/>
    <w:rsid w:val="00AF1E60"/>
    <w:rsid w:val="00AF266D"/>
    <w:rsid w:val="00AF2DA5"/>
    <w:rsid w:val="00AF2E27"/>
    <w:rsid w:val="00AF47C0"/>
    <w:rsid w:val="00AF4967"/>
    <w:rsid w:val="00AF4BCF"/>
    <w:rsid w:val="00AF4D69"/>
    <w:rsid w:val="00AF55EA"/>
    <w:rsid w:val="00AF5AF0"/>
    <w:rsid w:val="00AF5B58"/>
    <w:rsid w:val="00AF5E6B"/>
    <w:rsid w:val="00AF5F73"/>
    <w:rsid w:val="00AF6548"/>
    <w:rsid w:val="00AF6838"/>
    <w:rsid w:val="00AF6A10"/>
    <w:rsid w:val="00AF6C82"/>
    <w:rsid w:val="00AF6C92"/>
    <w:rsid w:val="00AF6E96"/>
    <w:rsid w:val="00AF7538"/>
    <w:rsid w:val="00AF7CEE"/>
    <w:rsid w:val="00AF7E45"/>
    <w:rsid w:val="00B01049"/>
    <w:rsid w:val="00B010A5"/>
    <w:rsid w:val="00B0112C"/>
    <w:rsid w:val="00B01437"/>
    <w:rsid w:val="00B017F1"/>
    <w:rsid w:val="00B01977"/>
    <w:rsid w:val="00B01B02"/>
    <w:rsid w:val="00B01CF7"/>
    <w:rsid w:val="00B02AA1"/>
    <w:rsid w:val="00B02ADF"/>
    <w:rsid w:val="00B02B63"/>
    <w:rsid w:val="00B02F0A"/>
    <w:rsid w:val="00B02F71"/>
    <w:rsid w:val="00B03216"/>
    <w:rsid w:val="00B03BBB"/>
    <w:rsid w:val="00B03CA7"/>
    <w:rsid w:val="00B0405F"/>
    <w:rsid w:val="00B04A12"/>
    <w:rsid w:val="00B04BD6"/>
    <w:rsid w:val="00B04C49"/>
    <w:rsid w:val="00B04C84"/>
    <w:rsid w:val="00B051E1"/>
    <w:rsid w:val="00B0523A"/>
    <w:rsid w:val="00B052E5"/>
    <w:rsid w:val="00B0535F"/>
    <w:rsid w:val="00B058F5"/>
    <w:rsid w:val="00B05F1D"/>
    <w:rsid w:val="00B0613A"/>
    <w:rsid w:val="00B064CD"/>
    <w:rsid w:val="00B06CA9"/>
    <w:rsid w:val="00B06CEC"/>
    <w:rsid w:val="00B077E1"/>
    <w:rsid w:val="00B0785B"/>
    <w:rsid w:val="00B1029D"/>
    <w:rsid w:val="00B10646"/>
    <w:rsid w:val="00B1075C"/>
    <w:rsid w:val="00B10EB5"/>
    <w:rsid w:val="00B10FFE"/>
    <w:rsid w:val="00B11059"/>
    <w:rsid w:val="00B1150E"/>
    <w:rsid w:val="00B11F20"/>
    <w:rsid w:val="00B12595"/>
    <w:rsid w:val="00B125C8"/>
    <w:rsid w:val="00B12802"/>
    <w:rsid w:val="00B13630"/>
    <w:rsid w:val="00B138A3"/>
    <w:rsid w:val="00B13A0C"/>
    <w:rsid w:val="00B13F78"/>
    <w:rsid w:val="00B14581"/>
    <w:rsid w:val="00B145F6"/>
    <w:rsid w:val="00B1466A"/>
    <w:rsid w:val="00B147AF"/>
    <w:rsid w:val="00B14BF7"/>
    <w:rsid w:val="00B14FF6"/>
    <w:rsid w:val="00B152E5"/>
    <w:rsid w:val="00B154BB"/>
    <w:rsid w:val="00B156C4"/>
    <w:rsid w:val="00B15804"/>
    <w:rsid w:val="00B16609"/>
    <w:rsid w:val="00B16CE8"/>
    <w:rsid w:val="00B1718D"/>
    <w:rsid w:val="00B175D7"/>
    <w:rsid w:val="00B1780D"/>
    <w:rsid w:val="00B178D0"/>
    <w:rsid w:val="00B17B45"/>
    <w:rsid w:val="00B17D30"/>
    <w:rsid w:val="00B17D36"/>
    <w:rsid w:val="00B20107"/>
    <w:rsid w:val="00B20D48"/>
    <w:rsid w:val="00B21219"/>
    <w:rsid w:val="00B2151E"/>
    <w:rsid w:val="00B21D4F"/>
    <w:rsid w:val="00B220D6"/>
    <w:rsid w:val="00B2281F"/>
    <w:rsid w:val="00B22886"/>
    <w:rsid w:val="00B23676"/>
    <w:rsid w:val="00B236D9"/>
    <w:rsid w:val="00B23B56"/>
    <w:rsid w:val="00B23BF2"/>
    <w:rsid w:val="00B23C9C"/>
    <w:rsid w:val="00B23FFF"/>
    <w:rsid w:val="00B244EB"/>
    <w:rsid w:val="00B24CF1"/>
    <w:rsid w:val="00B25C95"/>
    <w:rsid w:val="00B25D3D"/>
    <w:rsid w:val="00B267E0"/>
    <w:rsid w:val="00B26F10"/>
    <w:rsid w:val="00B27742"/>
    <w:rsid w:val="00B27B17"/>
    <w:rsid w:val="00B27DE8"/>
    <w:rsid w:val="00B306DA"/>
    <w:rsid w:val="00B306FD"/>
    <w:rsid w:val="00B30BA4"/>
    <w:rsid w:val="00B3115F"/>
    <w:rsid w:val="00B312B1"/>
    <w:rsid w:val="00B323A9"/>
    <w:rsid w:val="00B32617"/>
    <w:rsid w:val="00B32770"/>
    <w:rsid w:val="00B3290B"/>
    <w:rsid w:val="00B32924"/>
    <w:rsid w:val="00B34031"/>
    <w:rsid w:val="00B34550"/>
    <w:rsid w:val="00B3482A"/>
    <w:rsid w:val="00B348E2"/>
    <w:rsid w:val="00B34DA0"/>
    <w:rsid w:val="00B355A3"/>
    <w:rsid w:val="00B35AD3"/>
    <w:rsid w:val="00B35ADD"/>
    <w:rsid w:val="00B35B50"/>
    <w:rsid w:val="00B35B56"/>
    <w:rsid w:val="00B35DB2"/>
    <w:rsid w:val="00B35E95"/>
    <w:rsid w:val="00B36290"/>
    <w:rsid w:val="00B3646A"/>
    <w:rsid w:val="00B36583"/>
    <w:rsid w:val="00B37C39"/>
    <w:rsid w:val="00B37D99"/>
    <w:rsid w:val="00B402DE"/>
    <w:rsid w:val="00B40621"/>
    <w:rsid w:val="00B40C17"/>
    <w:rsid w:val="00B40ED3"/>
    <w:rsid w:val="00B40FD6"/>
    <w:rsid w:val="00B41575"/>
    <w:rsid w:val="00B41D14"/>
    <w:rsid w:val="00B42735"/>
    <w:rsid w:val="00B4277D"/>
    <w:rsid w:val="00B43846"/>
    <w:rsid w:val="00B44170"/>
    <w:rsid w:val="00B44F2B"/>
    <w:rsid w:val="00B45A37"/>
    <w:rsid w:val="00B461B8"/>
    <w:rsid w:val="00B46A56"/>
    <w:rsid w:val="00B46FC8"/>
    <w:rsid w:val="00B47227"/>
    <w:rsid w:val="00B503CE"/>
    <w:rsid w:val="00B5049D"/>
    <w:rsid w:val="00B50A07"/>
    <w:rsid w:val="00B5177C"/>
    <w:rsid w:val="00B51CA3"/>
    <w:rsid w:val="00B51FAF"/>
    <w:rsid w:val="00B5222A"/>
    <w:rsid w:val="00B52957"/>
    <w:rsid w:val="00B52A51"/>
    <w:rsid w:val="00B52E56"/>
    <w:rsid w:val="00B5305B"/>
    <w:rsid w:val="00B53637"/>
    <w:rsid w:val="00B538AA"/>
    <w:rsid w:val="00B53AEE"/>
    <w:rsid w:val="00B5430D"/>
    <w:rsid w:val="00B5434B"/>
    <w:rsid w:val="00B54A7D"/>
    <w:rsid w:val="00B54E6D"/>
    <w:rsid w:val="00B579E2"/>
    <w:rsid w:val="00B57A1B"/>
    <w:rsid w:val="00B60220"/>
    <w:rsid w:val="00B603DB"/>
    <w:rsid w:val="00B605E0"/>
    <w:rsid w:val="00B60641"/>
    <w:rsid w:val="00B60D90"/>
    <w:rsid w:val="00B60E5B"/>
    <w:rsid w:val="00B6186A"/>
    <w:rsid w:val="00B62C44"/>
    <w:rsid w:val="00B62F90"/>
    <w:rsid w:val="00B635F9"/>
    <w:rsid w:val="00B6369C"/>
    <w:rsid w:val="00B6376B"/>
    <w:rsid w:val="00B6392E"/>
    <w:rsid w:val="00B643BC"/>
    <w:rsid w:val="00B64682"/>
    <w:rsid w:val="00B64732"/>
    <w:rsid w:val="00B64D73"/>
    <w:rsid w:val="00B65287"/>
    <w:rsid w:val="00B657EE"/>
    <w:rsid w:val="00B65BC5"/>
    <w:rsid w:val="00B65C9D"/>
    <w:rsid w:val="00B65D30"/>
    <w:rsid w:val="00B6654D"/>
    <w:rsid w:val="00B666ED"/>
    <w:rsid w:val="00B6761E"/>
    <w:rsid w:val="00B67972"/>
    <w:rsid w:val="00B67A94"/>
    <w:rsid w:val="00B701AD"/>
    <w:rsid w:val="00B7021C"/>
    <w:rsid w:val="00B70424"/>
    <w:rsid w:val="00B71741"/>
    <w:rsid w:val="00B71BAF"/>
    <w:rsid w:val="00B71CD5"/>
    <w:rsid w:val="00B71D14"/>
    <w:rsid w:val="00B723CF"/>
    <w:rsid w:val="00B72836"/>
    <w:rsid w:val="00B72D5B"/>
    <w:rsid w:val="00B73018"/>
    <w:rsid w:val="00B73B36"/>
    <w:rsid w:val="00B74E1C"/>
    <w:rsid w:val="00B75055"/>
    <w:rsid w:val="00B75182"/>
    <w:rsid w:val="00B7524C"/>
    <w:rsid w:val="00B752B3"/>
    <w:rsid w:val="00B75C79"/>
    <w:rsid w:val="00B76185"/>
    <w:rsid w:val="00B766CB"/>
    <w:rsid w:val="00B76D79"/>
    <w:rsid w:val="00B770E7"/>
    <w:rsid w:val="00B77516"/>
    <w:rsid w:val="00B812C8"/>
    <w:rsid w:val="00B815E1"/>
    <w:rsid w:val="00B81651"/>
    <w:rsid w:val="00B81B28"/>
    <w:rsid w:val="00B82398"/>
    <w:rsid w:val="00B82435"/>
    <w:rsid w:val="00B82DB8"/>
    <w:rsid w:val="00B8336C"/>
    <w:rsid w:val="00B8356F"/>
    <w:rsid w:val="00B83D30"/>
    <w:rsid w:val="00B83D4E"/>
    <w:rsid w:val="00B84B41"/>
    <w:rsid w:val="00B85152"/>
    <w:rsid w:val="00B854C6"/>
    <w:rsid w:val="00B85C57"/>
    <w:rsid w:val="00B86280"/>
    <w:rsid w:val="00B86418"/>
    <w:rsid w:val="00B869E2"/>
    <w:rsid w:val="00B86F44"/>
    <w:rsid w:val="00B87408"/>
    <w:rsid w:val="00B875F9"/>
    <w:rsid w:val="00B8783D"/>
    <w:rsid w:val="00B87D7B"/>
    <w:rsid w:val="00B900BB"/>
    <w:rsid w:val="00B901A8"/>
    <w:rsid w:val="00B90212"/>
    <w:rsid w:val="00B908C2"/>
    <w:rsid w:val="00B90BDF"/>
    <w:rsid w:val="00B90DC8"/>
    <w:rsid w:val="00B90F07"/>
    <w:rsid w:val="00B9168B"/>
    <w:rsid w:val="00B91692"/>
    <w:rsid w:val="00B91761"/>
    <w:rsid w:val="00B917B1"/>
    <w:rsid w:val="00B91815"/>
    <w:rsid w:val="00B91A97"/>
    <w:rsid w:val="00B91DC9"/>
    <w:rsid w:val="00B91E83"/>
    <w:rsid w:val="00B91F16"/>
    <w:rsid w:val="00B91FE9"/>
    <w:rsid w:val="00B9231F"/>
    <w:rsid w:val="00B92BF3"/>
    <w:rsid w:val="00B93234"/>
    <w:rsid w:val="00B93821"/>
    <w:rsid w:val="00B93B9C"/>
    <w:rsid w:val="00B93CF4"/>
    <w:rsid w:val="00B93EF3"/>
    <w:rsid w:val="00B94046"/>
    <w:rsid w:val="00B9412B"/>
    <w:rsid w:val="00B9443B"/>
    <w:rsid w:val="00B94505"/>
    <w:rsid w:val="00B9510A"/>
    <w:rsid w:val="00B95821"/>
    <w:rsid w:val="00B959F0"/>
    <w:rsid w:val="00B95C43"/>
    <w:rsid w:val="00B95F26"/>
    <w:rsid w:val="00B97071"/>
    <w:rsid w:val="00B974B9"/>
    <w:rsid w:val="00B97539"/>
    <w:rsid w:val="00B977F3"/>
    <w:rsid w:val="00B97A1B"/>
    <w:rsid w:val="00B97C1F"/>
    <w:rsid w:val="00B97CC9"/>
    <w:rsid w:val="00BA03C4"/>
    <w:rsid w:val="00BA044E"/>
    <w:rsid w:val="00BA1276"/>
    <w:rsid w:val="00BA178F"/>
    <w:rsid w:val="00BA1FE7"/>
    <w:rsid w:val="00BA213C"/>
    <w:rsid w:val="00BA24DA"/>
    <w:rsid w:val="00BA2738"/>
    <w:rsid w:val="00BA2789"/>
    <w:rsid w:val="00BA281A"/>
    <w:rsid w:val="00BA2C8A"/>
    <w:rsid w:val="00BA2CE6"/>
    <w:rsid w:val="00BA3EDA"/>
    <w:rsid w:val="00BA44EB"/>
    <w:rsid w:val="00BA492C"/>
    <w:rsid w:val="00BA4C96"/>
    <w:rsid w:val="00BA57AE"/>
    <w:rsid w:val="00BA57DB"/>
    <w:rsid w:val="00BA5979"/>
    <w:rsid w:val="00BA5FB2"/>
    <w:rsid w:val="00BA71DE"/>
    <w:rsid w:val="00BA7469"/>
    <w:rsid w:val="00BA7555"/>
    <w:rsid w:val="00BA78B1"/>
    <w:rsid w:val="00BA7D41"/>
    <w:rsid w:val="00BA7D58"/>
    <w:rsid w:val="00BB0602"/>
    <w:rsid w:val="00BB0AF3"/>
    <w:rsid w:val="00BB1E39"/>
    <w:rsid w:val="00BB211A"/>
    <w:rsid w:val="00BB233B"/>
    <w:rsid w:val="00BB37C4"/>
    <w:rsid w:val="00BB4122"/>
    <w:rsid w:val="00BB46C3"/>
    <w:rsid w:val="00BB4C59"/>
    <w:rsid w:val="00BB5136"/>
    <w:rsid w:val="00BB5168"/>
    <w:rsid w:val="00BB68E0"/>
    <w:rsid w:val="00BB6BAB"/>
    <w:rsid w:val="00BB6E55"/>
    <w:rsid w:val="00BB6F56"/>
    <w:rsid w:val="00BB725E"/>
    <w:rsid w:val="00BB725F"/>
    <w:rsid w:val="00BB7577"/>
    <w:rsid w:val="00BB780D"/>
    <w:rsid w:val="00BB7BBA"/>
    <w:rsid w:val="00BB7C35"/>
    <w:rsid w:val="00BB7FA6"/>
    <w:rsid w:val="00BB7FD4"/>
    <w:rsid w:val="00BC07C8"/>
    <w:rsid w:val="00BC1566"/>
    <w:rsid w:val="00BC2586"/>
    <w:rsid w:val="00BC2890"/>
    <w:rsid w:val="00BC2AA1"/>
    <w:rsid w:val="00BC2ABC"/>
    <w:rsid w:val="00BC36A5"/>
    <w:rsid w:val="00BC3839"/>
    <w:rsid w:val="00BC3B18"/>
    <w:rsid w:val="00BC3F13"/>
    <w:rsid w:val="00BC408A"/>
    <w:rsid w:val="00BC4903"/>
    <w:rsid w:val="00BC57F0"/>
    <w:rsid w:val="00BC62EB"/>
    <w:rsid w:val="00BC637F"/>
    <w:rsid w:val="00BC6B2C"/>
    <w:rsid w:val="00BC6CCC"/>
    <w:rsid w:val="00BC7010"/>
    <w:rsid w:val="00BC7051"/>
    <w:rsid w:val="00BC7209"/>
    <w:rsid w:val="00BC7DD4"/>
    <w:rsid w:val="00BC7E41"/>
    <w:rsid w:val="00BD0646"/>
    <w:rsid w:val="00BD09F4"/>
    <w:rsid w:val="00BD0CF1"/>
    <w:rsid w:val="00BD104F"/>
    <w:rsid w:val="00BD14F4"/>
    <w:rsid w:val="00BD1A34"/>
    <w:rsid w:val="00BD1D96"/>
    <w:rsid w:val="00BD2581"/>
    <w:rsid w:val="00BD25CD"/>
    <w:rsid w:val="00BD2DB7"/>
    <w:rsid w:val="00BD30D0"/>
    <w:rsid w:val="00BD31A5"/>
    <w:rsid w:val="00BD32D2"/>
    <w:rsid w:val="00BD38D7"/>
    <w:rsid w:val="00BD40D8"/>
    <w:rsid w:val="00BD418F"/>
    <w:rsid w:val="00BD42BE"/>
    <w:rsid w:val="00BD452A"/>
    <w:rsid w:val="00BD477E"/>
    <w:rsid w:val="00BD4A5F"/>
    <w:rsid w:val="00BD4BB1"/>
    <w:rsid w:val="00BD4DC7"/>
    <w:rsid w:val="00BD4F93"/>
    <w:rsid w:val="00BD5174"/>
    <w:rsid w:val="00BD5595"/>
    <w:rsid w:val="00BD692E"/>
    <w:rsid w:val="00BD6FCB"/>
    <w:rsid w:val="00BD7562"/>
    <w:rsid w:val="00BD770B"/>
    <w:rsid w:val="00BD7BEA"/>
    <w:rsid w:val="00BE0032"/>
    <w:rsid w:val="00BE07C3"/>
    <w:rsid w:val="00BE08BC"/>
    <w:rsid w:val="00BE1567"/>
    <w:rsid w:val="00BE1E6F"/>
    <w:rsid w:val="00BE2C7E"/>
    <w:rsid w:val="00BE2DA5"/>
    <w:rsid w:val="00BE2F3A"/>
    <w:rsid w:val="00BE3266"/>
    <w:rsid w:val="00BE39D8"/>
    <w:rsid w:val="00BE3D83"/>
    <w:rsid w:val="00BE4590"/>
    <w:rsid w:val="00BE4CFC"/>
    <w:rsid w:val="00BE5148"/>
    <w:rsid w:val="00BE5379"/>
    <w:rsid w:val="00BE58E5"/>
    <w:rsid w:val="00BE66B9"/>
    <w:rsid w:val="00BE6D16"/>
    <w:rsid w:val="00BE6D53"/>
    <w:rsid w:val="00BE7777"/>
    <w:rsid w:val="00BE78E1"/>
    <w:rsid w:val="00BE7AC7"/>
    <w:rsid w:val="00BE7F4A"/>
    <w:rsid w:val="00BF029C"/>
    <w:rsid w:val="00BF059D"/>
    <w:rsid w:val="00BF0622"/>
    <w:rsid w:val="00BF06CF"/>
    <w:rsid w:val="00BF0D89"/>
    <w:rsid w:val="00BF177D"/>
    <w:rsid w:val="00BF1837"/>
    <w:rsid w:val="00BF1B09"/>
    <w:rsid w:val="00BF1E6A"/>
    <w:rsid w:val="00BF1E8C"/>
    <w:rsid w:val="00BF2238"/>
    <w:rsid w:val="00BF3174"/>
    <w:rsid w:val="00BF319E"/>
    <w:rsid w:val="00BF31D7"/>
    <w:rsid w:val="00BF3AAE"/>
    <w:rsid w:val="00BF4556"/>
    <w:rsid w:val="00BF460C"/>
    <w:rsid w:val="00BF46CC"/>
    <w:rsid w:val="00BF4833"/>
    <w:rsid w:val="00BF524B"/>
    <w:rsid w:val="00BF5560"/>
    <w:rsid w:val="00BF56F8"/>
    <w:rsid w:val="00BF5D1C"/>
    <w:rsid w:val="00BF632A"/>
    <w:rsid w:val="00BF6B28"/>
    <w:rsid w:val="00BF6B55"/>
    <w:rsid w:val="00BF72DD"/>
    <w:rsid w:val="00BF74BE"/>
    <w:rsid w:val="00BF7582"/>
    <w:rsid w:val="00BF7C1A"/>
    <w:rsid w:val="00BF7C3C"/>
    <w:rsid w:val="00BF7C7B"/>
    <w:rsid w:val="00BF7C8A"/>
    <w:rsid w:val="00C00220"/>
    <w:rsid w:val="00C005F5"/>
    <w:rsid w:val="00C00AF3"/>
    <w:rsid w:val="00C01034"/>
    <w:rsid w:val="00C0108C"/>
    <w:rsid w:val="00C01EFF"/>
    <w:rsid w:val="00C02943"/>
    <w:rsid w:val="00C02B26"/>
    <w:rsid w:val="00C03224"/>
    <w:rsid w:val="00C0354F"/>
    <w:rsid w:val="00C03CED"/>
    <w:rsid w:val="00C03E00"/>
    <w:rsid w:val="00C04145"/>
    <w:rsid w:val="00C04DD0"/>
    <w:rsid w:val="00C055C1"/>
    <w:rsid w:val="00C05AD5"/>
    <w:rsid w:val="00C05CB9"/>
    <w:rsid w:val="00C06397"/>
    <w:rsid w:val="00C066D4"/>
    <w:rsid w:val="00C06FC4"/>
    <w:rsid w:val="00C07094"/>
    <w:rsid w:val="00C071FE"/>
    <w:rsid w:val="00C074F3"/>
    <w:rsid w:val="00C07E85"/>
    <w:rsid w:val="00C1005B"/>
    <w:rsid w:val="00C1095F"/>
    <w:rsid w:val="00C10A53"/>
    <w:rsid w:val="00C11224"/>
    <w:rsid w:val="00C11320"/>
    <w:rsid w:val="00C1208E"/>
    <w:rsid w:val="00C123B3"/>
    <w:rsid w:val="00C12457"/>
    <w:rsid w:val="00C12599"/>
    <w:rsid w:val="00C12658"/>
    <w:rsid w:val="00C12A6C"/>
    <w:rsid w:val="00C133A5"/>
    <w:rsid w:val="00C13DEC"/>
    <w:rsid w:val="00C14070"/>
    <w:rsid w:val="00C144C3"/>
    <w:rsid w:val="00C14A9E"/>
    <w:rsid w:val="00C14AC2"/>
    <w:rsid w:val="00C154EF"/>
    <w:rsid w:val="00C15AB8"/>
    <w:rsid w:val="00C15B1F"/>
    <w:rsid w:val="00C16014"/>
    <w:rsid w:val="00C16A2B"/>
    <w:rsid w:val="00C174DB"/>
    <w:rsid w:val="00C17715"/>
    <w:rsid w:val="00C1789F"/>
    <w:rsid w:val="00C205C1"/>
    <w:rsid w:val="00C2062E"/>
    <w:rsid w:val="00C20B29"/>
    <w:rsid w:val="00C20B3F"/>
    <w:rsid w:val="00C20E63"/>
    <w:rsid w:val="00C211C8"/>
    <w:rsid w:val="00C2232E"/>
    <w:rsid w:val="00C231EE"/>
    <w:rsid w:val="00C2362A"/>
    <w:rsid w:val="00C23AB0"/>
    <w:rsid w:val="00C23DC4"/>
    <w:rsid w:val="00C242D6"/>
    <w:rsid w:val="00C24326"/>
    <w:rsid w:val="00C24378"/>
    <w:rsid w:val="00C24DFC"/>
    <w:rsid w:val="00C25292"/>
    <w:rsid w:val="00C25353"/>
    <w:rsid w:val="00C259A5"/>
    <w:rsid w:val="00C259C1"/>
    <w:rsid w:val="00C25ED3"/>
    <w:rsid w:val="00C2606F"/>
    <w:rsid w:val="00C2628B"/>
    <w:rsid w:val="00C2646B"/>
    <w:rsid w:val="00C26D19"/>
    <w:rsid w:val="00C273D5"/>
    <w:rsid w:val="00C305D8"/>
    <w:rsid w:val="00C3072A"/>
    <w:rsid w:val="00C31151"/>
    <w:rsid w:val="00C31521"/>
    <w:rsid w:val="00C324B4"/>
    <w:rsid w:val="00C32F9D"/>
    <w:rsid w:val="00C352CB"/>
    <w:rsid w:val="00C35381"/>
    <w:rsid w:val="00C35F0D"/>
    <w:rsid w:val="00C3625B"/>
    <w:rsid w:val="00C3672D"/>
    <w:rsid w:val="00C36991"/>
    <w:rsid w:val="00C36F71"/>
    <w:rsid w:val="00C37EEB"/>
    <w:rsid w:val="00C40320"/>
    <w:rsid w:val="00C40F01"/>
    <w:rsid w:val="00C4112C"/>
    <w:rsid w:val="00C41AC0"/>
    <w:rsid w:val="00C420D5"/>
    <w:rsid w:val="00C42DCD"/>
    <w:rsid w:val="00C43312"/>
    <w:rsid w:val="00C43D3D"/>
    <w:rsid w:val="00C4479E"/>
    <w:rsid w:val="00C44E39"/>
    <w:rsid w:val="00C45935"/>
    <w:rsid w:val="00C45CA4"/>
    <w:rsid w:val="00C45EF9"/>
    <w:rsid w:val="00C46116"/>
    <w:rsid w:val="00C46415"/>
    <w:rsid w:val="00C46BF4"/>
    <w:rsid w:val="00C50006"/>
    <w:rsid w:val="00C500AE"/>
    <w:rsid w:val="00C500F8"/>
    <w:rsid w:val="00C50EE2"/>
    <w:rsid w:val="00C51719"/>
    <w:rsid w:val="00C518B6"/>
    <w:rsid w:val="00C51996"/>
    <w:rsid w:val="00C52ACD"/>
    <w:rsid w:val="00C52D57"/>
    <w:rsid w:val="00C531A0"/>
    <w:rsid w:val="00C5393E"/>
    <w:rsid w:val="00C53973"/>
    <w:rsid w:val="00C53B8B"/>
    <w:rsid w:val="00C54085"/>
    <w:rsid w:val="00C5435E"/>
    <w:rsid w:val="00C5441A"/>
    <w:rsid w:val="00C54A28"/>
    <w:rsid w:val="00C550DA"/>
    <w:rsid w:val="00C55134"/>
    <w:rsid w:val="00C55252"/>
    <w:rsid w:val="00C554B7"/>
    <w:rsid w:val="00C55B06"/>
    <w:rsid w:val="00C562BA"/>
    <w:rsid w:val="00C56816"/>
    <w:rsid w:val="00C56A6A"/>
    <w:rsid w:val="00C56B31"/>
    <w:rsid w:val="00C57089"/>
    <w:rsid w:val="00C57260"/>
    <w:rsid w:val="00C574E4"/>
    <w:rsid w:val="00C5787C"/>
    <w:rsid w:val="00C57FC5"/>
    <w:rsid w:val="00C60854"/>
    <w:rsid w:val="00C60A89"/>
    <w:rsid w:val="00C614BA"/>
    <w:rsid w:val="00C61558"/>
    <w:rsid w:val="00C61FB1"/>
    <w:rsid w:val="00C61FF3"/>
    <w:rsid w:val="00C62D73"/>
    <w:rsid w:val="00C6305F"/>
    <w:rsid w:val="00C6531D"/>
    <w:rsid w:val="00C65553"/>
    <w:rsid w:val="00C65C94"/>
    <w:rsid w:val="00C65E47"/>
    <w:rsid w:val="00C65E54"/>
    <w:rsid w:val="00C66032"/>
    <w:rsid w:val="00C66185"/>
    <w:rsid w:val="00C66852"/>
    <w:rsid w:val="00C66E32"/>
    <w:rsid w:val="00C67548"/>
    <w:rsid w:val="00C67713"/>
    <w:rsid w:val="00C70267"/>
    <w:rsid w:val="00C70601"/>
    <w:rsid w:val="00C70A93"/>
    <w:rsid w:val="00C70D18"/>
    <w:rsid w:val="00C71406"/>
    <w:rsid w:val="00C71536"/>
    <w:rsid w:val="00C715DD"/>
    <w:rsid w:val="00C72220"/>
    <w:rsid w:val="00C72400"/>
    <w:rsid w:val="00C72919"/>
    <w:rsid w:val="00C72A09"/>
    <w:rsid w:val="00C73C3C"/>
    <w:rsid w:val="00C73E8E"/>
    <w:rsid w:val="00C73FED"/>
    <w:rsid w:val="00C74FEA"/>
    <w:rsid w:val="00C75A01"/>
    <w:rsid w:val="00C75D55"/>
    <w:rsid w:val="00C75E8C"/>
    <w:rsid w:val="00C7707C"/>
    <w:rsid w:val="00C777C1"/>
    <w:rsid w:val="00C77B1D"/>
    <w:rsid w:val="00C77FCB"/>
    <w:rsid w:val="00C8079F"/>
    <w:rsid w:val="00C80AE6"/>
    <w:rsid w:val="00C8195B"/>
    <w:rsid w:val="00C826E8"/>
    <w:rsid w:val="00C829E3"/>
    <w:rsid w:val="00C82B6D"/>
    <w:rsid w:val="00C8396B"/>
    <w:rsid w:val="00C8403B"/>
    <w:rsid w:val="00C843EE"/>
    <w:rsid w:val="00C85284"/>
    <w:rsid w:val="00C86173"/>
    <w:rsid w:val="00C865FC"/>
    <w:rsid w:val="00C86E1B"/>
    <w:rsid w:val="00C86FA2"/>
    <w:rsid w:val="00C8778E"/>
    <w:rsid w:val="00C87F44"/>
    <w:rsid w:val="00C903A6"/>
    <w:rsid w:val="00C90D30"/>
    <w:rsid w:val="00C90E00"/>
    <w:rsid w:val="00C9107E"/>
    <w:rsid w:val="00C917F4"/>
    <w:rsid w:val="00C926EA"/>
    <w:rsid w:val="00C93249"/>
    <w:rsid w:val="00C93CDB"/>
    <w:rsid w:val="00C94660"/>
    <w:rsid w:val="00C94850"/>
    <w:rsid w:val="00C94F72"/>
    <w:rsid w:val="00C9545E"/>
    <w:rsid w:val="00C95490"/>
    <w:rsid w:val="00C959B2"/>
    <w:rsid w:val="00C959F3"/>
    <w:rsid w:val="00C95E1F"/>
    <w:rsid w:val="00C95EB6"/>
    <w:rsid w:val="00C962BA"/>
    <w:rsid w:val="00C96B62"/>
    <w:rsid w:val="00C97115"/>
    <w:rsid w:val="00C974AD"/>
    <w:rsid w:val="00C97C2F"/>
    <w:rsid w:val="00CA0310"/>
    <w:rsid w:val="00CA0986"/>
    <w:rsid w:val="00CA0B7B"/>
    <w:rsid w:val="00CA0F31"/>
    <w:rsid w:val="00CA1D1F"/>
    <w:rsid w:val="00CA2165"/>
    <w:rsid w:val="00CA22C3"/>
    <w:rsid w:val="00CA22CC"/>
    <w:rsid w:val="00CA268B"/>
    <w:rsid w:val="00CA2A27"/>
    <w:rsid w:val="00CA2D58"/>
    <w:rsid w:val="00CA36B8"/>
    <w:rsid w:val="00CA376E"/>
    <w:rsid w:val="00CA3E3A"/>
    <w:rsid w:val="00CA3EE2"/>
    <w:rsid w:val="00CA48D0"/>
    <w:rsid w:val="00CA5154"/>
    <w:rsid w:val="00CA5445"/>
    <w:rsid w:val="00CA5664"/>
    <w:rsid w:val="00CA5FA8"/>
    <w:rsid w:val="00CA6195"/>
    <w:rsid w:val="00CA6A41"/>
    <w:rsid w:val="00CA7658"/>
    <w:rsid w:val="00CA7932"/>
    <w:rsid w:val="00CA7D71"/>
    <w:rsid w:val="00CB0D02"/>
    <w:rsid w:val="00CB19C3"/>
    <w:rsid w:val="00CB1B9E"/>
    <w:rsid w:val="00CB1EBE"/>
    <w:rsid w:val="00CB372B"/>
    <w:rsid w:val="00CB3ABF"/>
    <w:rsid w:val="00CB45AF"/>
    <w:rsid w:val="00CB4BB9"/>
    <w:rsid w:val="00CB5E3B"/>
    <w:rsid w:val="00CB63B2"/>
    <w:rsid w:val="00CB6632"/>
    <w:rsid w:val="00CB6799"/>
    <w:rsid w:val="00CB6997"/>
    <w:rsid w:val="00CB6C1A"/>
    <w:rsid w:val="00CB6C5B"/>
    <w:rsid w:val="00CB74B3"/>
    <w:rsid w:val="00CB76E7"/>
    <w:rsid w:val="00CB7CC9"/>
    <w:rsid w:val="00CC0872"/>
    <w:rsid w:val="00CC08E5"/>
    <w:rsid w:val="00CC0ADF"/>
    <w:rsid w:val="00CC0DB1"/>
    <w:rsid w:val="00CC119D"/>
    <w:rsid w:val="00CC1253"/>
    <w:rsid w:val="00CC17B6"/>
    <w:rsid w:val="00CC21FF"/>
    <w:rsid w:val="00CC2744"/>
    <w:rsid w:val="00CC2804"/>
    <w:rsid w:val="00CC338B"/>
    <w:rsid w:val="00CC3682"/>
    <w:rsid w:val="00CC370F"/>
    <w:rsid w:val="00CC389F"/>
    <w:rsid w:val="00CC3BBA"/>
    <w:rsid w:val="00CC5282"/>
    <w:rsid w:val="00CC5451"/>
    <w:rsid w:val="00CC57AB"/>
    <w:rsid w:val="00CC59D2"/>
    <w:rsid w:val="00CC5CC7"/>
    <w:rsid w:val="00CC640D"/>
    <w:rsid w:val="00CC6871"/>
    <w:rsid w:val="00CC6D70"/>
    <w:rsid w:val="00CC77D9"/>
    <w:rsid w:val="00CC77E3"/>
    <w:rsid w:val="00CC7E44"/>
    <w:rsid w:val="00CD05DE"/>
    <w:rsid w:val="00CD0C11"/>
    <w:rsid w:val="00CD0E1F"/>
    <w:rsid w:val="00CD1709"/>
    <w:rsid w:val="00CD227A"/>
    <w:rsid w:val="00CD264C"/>
    <w:rsid w:val="00CD290A"/>
    <w:rsid w:val="00CD29AB"/>
    <w:rsid w:val="00CD365F"/>
    <w:rsid w:val="00CD3920"/>
    <w:rsid w:val="00CD3D4F"/>
    <w:rsid w:val="00CD40E5"/>
    <w:rsid w:val="00CD455D"/>
    <w:rsid w:val="00CD4C08"/>
    <w:rsid w:val="00CD4FCC"/>
    <w:rsid w:val="00CD5608"/>
    <w:rsid w:val="00CD57E9"/>
    <w:rsid w:val="00CD5D30"/>
    <w:rsid w:val="00CD5E50"/>
    <w:rsid w:val="00CD6350"/>
    <w:rsid w:val="00CD6F21"/>
    <w:rsid w:val="00CD77AA"/>
    <w:rsid w:val="00CD7B8C"/>
    <w:rsid w:val="00CD7F75"/>
    <w:rsid w:val="00CE012A"/>
    <w:rsid w:val="00CE0717"/>
    <w:rsid w:val="00CE0811"/>
    <w:rsid w:val="00CE098B"/>
    <w:rsid w:val="00CE0A0D"/>
    <w:rsid w:val="00CE0B54"/>
    <w:rsid w:val="00CE14E1"/>
    <w:rsid w:val="00CE1787"/>
    <w:rsid w:val="00CE22FA"/>
    <w:rsid w:val="00CE2464"/>
    <w:rsid w:val="00CE29CC"/>
    <w:rsid w:val="00CE2DFE"/>
    <w:rsid w:val="00CE31D3"/>
    <w:rsid w:val="00CE343B"/>
    <w:rsid w:val="00CE3899"/>
    <w:rsid w:val="00CE44A3"/>
    <w:rsid w:val="00CE459D"/>
    <w:rsid w:val="00CE4EAB"/>
    <w:rsid w:val="00CE5106"/>
    <w:rsid w:val="00CE5D84"/>
    <w:rsid w:val="00CE6528"/>
    <w:rsid w:val="00CE6B5B"/>
    <w:rsid w:val="00CE7534"/>
    <w:rsid w:val="00CE79A3"/>
    <w:rsid w:val="00CF02F7"/>
    <w:rsid w:val="00CF0E77"/>
    <w:rsid w:val="00CF1129"/>
    <w:rsid w:val="00CF122E"/>
    <w:rsid w:val="00CF156C"/>
    <w:rsid w:val="00CF1966"/>
    <w:rsid w:val="00CF1A3F"/>
    <w:rsid w:val="00CF1AF2"/>
    <w:rsid w:val="00CF1BBA"/>
    <w:rsid w:val="00CF1C73"/>
    <w:rsid w:val="00CF1E27"/>
    <w:rsid w:val="00CF1EF1"/>
    <w:rsid w:val="00CF1F2D"/>
    <w:rsid w:val="00CF1FA1"/>
    <w:rsid w:val="00CF2037"/>
    <w:rsid w:val="00CF3222"/>
    <w:rsid w:val="00CF38B7"/>
    <w:rsid w:val="00CF3A6A"/>
    <w:rsid w:val="00CF3E3E"/>
    <w:rsid w:val="00CF4606"/>
    <w:rsid w:val="00CF49B9"/>
    <w:rsid w:val="00CF4A61"/>
    <w:rsid w:val="00CF54CA"/>
    <w:rsid w:val="00CF5945"/>
    <w:rsid w:val="00CF5B00"/>
    <w:rsid w:val="00CF626E"/>
    <w:rsid w:val="00CF712E"/>
    <w:rsid w:val="00CF732E"/>
    <w:rsid w:val="00D002BA"/>
    <w:rsid w:val="00D002F3"/>
    <w:rsid w:val="00D00555"/>
    <w:rsid w:val="00D006B5"/>
    <w:rsid w:val="00D00CED"/>
    <w:rsid w:val="00D00F48"/>
    <w:rsid w:val="00D01B73"/>
    <w:rsid w:val="00D01FC9"/>
    <w:rsid w:val="00D02374"/>
    <w:rsid w:val="00D03A63"/>
    <w:rsid w:val="00D03BB5"/>
    <w:rsid w:val="00D03DEF"/>
    <w:rsid w:val="00D047A8"/>
    <w:rsid w:val="00D04B47"/>
    <w:rsid w:val="00D04B71"/>
    <w:rsid w:val="00D04D93"/>
    <w:rsid w:val="00D0523B"/>
    <w:rsid w:val="00D05857"/>
    <w:rsid w:val="00D05BF0"/>
    <w:rsid w:val="00D05DAF"/>
    <w:rsid w:val="00D066AE"/>
    <w:rsid w:val="00D0691E"/>
    <w:rsid w:val="00D06B19"/>
    <w:rsid w:val="00D07274"/>
    <w:rsid w:val="00D07332"/>
    <w:rsid w:val="00D07B71"/>
    <w:rsid w:val="00D07CBC"/>
    <w:rsid w:val="00D106A2"/>
    <w:rsid w:val="00D107E5"/>
    <w:rsid w:val="00D10EDC"/>
    <w:rsid w:val="00D114EA"/>
    <w:rsid w:val="00D117F5"/>
    <w:rsid w:val="00D121BD"/>
    <w:rsid w:val="00D129C2"/>
    <w:rsid w:val="00D13FE7"/>
    <w:rsid w:val="00D14AEB"/>
    <w:rsid w:val="00D159CC"/>
    <w:rsid w:val="00D1623A"/>
    <w:rsid w:val="00D163FB"/>
    <w:rsid w:val="00D16849"/>
    <w:rsid w:val="00D16C2A"/>
    <w:rsid w:val="00D170C0"/>
    <w:rsid w:val="00D170E7"/>
    <w:rsid w:val="00D173F9"/>
    <w:rsid w:val="00D177F4"/>
    <w:rsid w:val="00D17960"/>
    <w:rsid w:val="00D17F1D"/>
    <w:rsid w:val="00D20082"/>
    <w:rsid w:val="00D204E6"/>
    <w:rsid w:val="00D20A0E"/>
    <w:rsid w:val="00D20C09"/>
    <w:rsid w:val="00D212DC"/>
    <w:rsid w:val="00D2141D"/>
    <w:rsid w:val="00D21845"/>
    <w:rsid w:val="00D21C1E"/>
    <w:rsid w:val="00D21D49"/>
    <w:rsid w:val="00D222D2"/>
    <w:rsid w:val="00D228F5"/>
    <w:rsid w:val="00D22A52"/>
    <w:rsid w:val="00D22B36"/>
    <w:rsid w:val="00D22BB2"/>
    <w:rsid w:val="00D22DBD"/>
    <w:rsid w:val="00D2328B"/>
    <w:rsid w:val="00D23A39"/>
    <w:rsid w:val="00D23D79"/>
    <w:rsid w:val="00D240EB"/>
    <w:rsid w:val="00D24262"/>
    <w:rsid w:val="00D24B76"/>
    <w:rsid w:val="00D24C80"/>
    <w:rsid w:val="00D24D65"/>
    <w:rsid w:val="00D24DE7"/>
    <w:rsid w:val="00D250AB"/>
    <w:rsid w:val="00D25952"/>
    <w:rsid w:val="00D25D51"/>
    <w:rsid w:val="00D25DF5"/>
    <w:rsid w:val="00D25FF6"/>
    <w:rsid w:val="00D2611A"/>
    <w:rsid w:val="00D26869"/>
    <w:rsid w:val="00D275B7"/>
    <w:rsid w:val="00D27894"/>
    <w:rsid w:val="00D2798D"/>
    <w:rsid w:val="00D30E27"/>
    <w:rsid w:val="00D30FA2"/>
    <w:rsid w:val="00D310F3"/>
    <w:rsid w:val="00D314E2"/>
    <w:rsid w:val="00D31C82"/>
    <w:rsid w:val="00D3215F"/>
    <w:rsid w:val="00D3234B"/>
    <w:rsid w:val="00D32351"/>
    <w:rsid w:val="00D329EC"/>
    <w:rsid w:val="00D32B78"/>
    <w:rsid w:val="00D32FBB"/>
    <w:rsid w:val="00D33DC8"/>
    <w:rsid w:val="00D3495A"/>
    <w:rsid w:val="00D3515A"/>
    <w:rsid w:val="00D3516E"/>
    <w:rsid w:val="00D354E9"/>
    <w:rsid w:val="00D355C0"/>
    <w:rsid w:val="00D3613D"/>
    <w:rsid w:val="00D36648"/>
    <w:rsid w:val="00D36C76"/>
    <w:rsid w:val="00D36FFE"/>
    <w:rsid w:val="00D376D6"/>
    <w:rsid w:val="00D40215"/>
    <w:rsid w:val="00D40242"/>
    <w:rsid w:val="00D405E5"/>
    <w:rsid w:val="00D407F6"/>
    <w:rsid w:val="00D40D83"/>
    <w:rsid w:val="00D41030"/>
    <w:rsid w:val="00D4175B"/>
    <w:rsid w:val="00D41946"/>
    <w:rsid w:val="00D41E21"/>
    <w:rsid w:val="00D41E26"/>
    <w:rsid w:val="00D41EA6"/>
    <w:rsid w:val="00D41F15"/>
    <w:rsid w:val="00D440CF"/>
    <w:rsid w:val="00D442B2"/>
    <w:rsid w:val="00D44A29"/>
    <w:rsid w:val="00D45032"/>
    <w:rsid w:val="00D4572C"/>
    <w:rsid w:val="00D458D0"/>
    <w:rsid w:val="00D45B74"/>
    <w:rsid w:val="00D46364"/>
    <w:rsid w:val="00D4638B"/>
    <w:rsid w:val="00D46610"/>
    <w:rsid w:val="00D46785"/>
    <w:rsid w:val="00D47B7F"/>
    <w:rsid w:val="00D47E5A"/>
    <w:rsid w:val="00D506C5"/>
    <w:rsid w:val="00D51237"/>
    <w:rsid w:val="00D51E68"/>
    <w:rsid w:val="00D52075"/>
    <w:rsid w:val="00D520F9"/>
    <w:rsid w:val="00D52111"/>
    <w:rsid w:val="00D5296D"/>
    <w:rsid w:val="00D529C4"/>
    <w:rsid w:val="00D52CFC"/>
    <w:rsid w:val="00D5421A"/>
    <w:rsid w:val="00D5423A"/>
    <w:rsid w:val="00D542B2"/>
    <w:rsid w:val="00D5474A"/>
    <w:rsid w:val="00D54B64"/>
    <w:rsid w:val="00D54BF1"/>
    <w:rsid w:val="00D55196"/>
    <w:rsid w:val="00D55966"/>
    <w:rsid w:val="00D55D9C"/>
    <w:rsid w:val="00D55DFB"/>
    <w:rsid w:val="00D563DB"/>
    <w:rsid w:val="00D56791"/>
    <w:rsid w:val="00D5696B"/>
    <w:rsid w:val="00D56BF5"/>
    <w:rsid w:val="00D56C2B"/>
    <w:rsid w:val="00D570E6"/>
    <w:rsid w:val="00D574BF"/>
    <w:rsid w:val="00D57706"/>
    <w:rsid w:val="00D57CE7"/>
    <w:rsid w:val="00D57D60"/>
    <w:rsid w:val="00D57E87"/>
    <w:rsid w:val="00D60D19"/>
    <w:rsid w:val="00D60FDB"/>
    <w:rsid w:val="00D612B8"/>
    <w:rsid w:val="00D61AD9"/>
    <w:rsid w:val="00D62A84"/>
    <w:rsid w:val="00D6310D"/>
    <w:rsid w:val="00D6334C"/>
    <w:rsid w:val="00D6345D"/>
    <w:rsid w:val="00D63BD4"/>
    <w:rsid w:val="00D64008"/>
    <w:rsid w:val="00D6408F"/>
    <w:rsid w:val="00D64699"/>
    <w:rsid w:val="00D64905"/>
    <w:rsid w:val="00D64965"/>
    <w:rsid w:val="00D64FD7"/>
    <w:rsid w:val="00D65134"/>
    <w:rsid w:val="00D653CF"/>
    <w:rsid w:val="00D6564C"/>
    <w:rsid w:val="00D662E7"/>
    <w:rsid w:val="00D6642E"/>
    <w:rsid w:val="00D667A4"/>
    <w:rsid w:val="00D67559"/>
    <w:rsid w:val="00D675A1"/>
    <w:rsid w:val="00D67602"/>
    <w:rsid w:val="00D67622"/>
    <w:rsid w:val="00D6774F"/>
    <w:rsid w:val="00D7004C"/>
    <w:rsid w:val="00D70365"/>
    <w:rsid w:val="00D7189A"/>
    <w:rsid w:val="00D71C33"/>
    <w:rsid w:val="00D728BE"/>
    <w:rsid w:val="00D72E75"/>
    <w:rsid w:val="00D731E5"/>
    <w:rsid w:val="00D73958"/>
    <w:rsid w:val="00D740E1"/>
    <w:rsid w:val="00D7475E"/>
    <w:rsid w:val="00D7498C"/>
    <w:rsid w:val="00D75274"/>
    <w:rsid w:val="00D75328"/>
    <w:rsid w:val="00D7539A"/>
    <w:rsid w:val="00D75838"/>
    <w:rsid w:val="00D75AB3"/>
    <w:rsid w:val="00D75C40"/>
    <w:rsid w:val="00D75CD9"/>
    <w:rsid w:val="00D75EC9"/>
    <w:rsid w:val="00D76C6F"/>
    <w:rsid w:val="00D76D8D"/>
    <w:rsid w:val="00D76EAE"/>
    <w:rsid w:val="00D76F38"/>
    <w:rsid w:val="00D77F21"/>
    <w:rsid w:val="00D803DA"/>
    <w:rsid w:val="00D81D60"/>
    <w:rsid w:val="00D8206A"/>
    <w:rsid w:val="00D822D4"/>
    <w:rsid w:val="00D82CD7"/>
    <w:rsid w:val="00D82FEB"/>
    <w:rsid w:val="00D832AD"/>
    <w:rsid w:val="00D83423"/>
    <w:rsid w:val="00D838A6"/>
    <w:rsid w:val="00D84874"/>
    <w:rsid w:val="00D8553A"/>
    <w:rsid w:val="00D856FD"/>
    <w:rsid w:val="00D85C9A"/>
    <w:rsid w:val="00D866D9"/>
    <w:rsid w:val="00D86707"/>
    <w:rsid w:val="00D86B7E"/>
    <w:rsid w:val="00D86EB8"/>
    <w:rsid w:val="00D87133"/>
    <w:rsid w:val="00D871B5"/>
    <w:rsid w:val="00D8729D"/>
    <w:rsid w:val="00D87C1D"/>
    <w:rsid w:val="00D87FC9"/>
    <w:rsid w:val="00D90794"/>
    <w:rsid w:val="00D9094E"/>
    <w:rsid w:val="00D90B72"/>
    <w:rsid w:val="00D90E99"/>
    <w:rsid w:val="00D9143F"/>
    <w:rsid w:val="00D917AC"/>
    <w:rsid w:val="00D91E7D"/>
    <w:rsid w:val="00D91F7D"/>
    <w:rsid w:val="00D92346"/>
    <w:rsid w:val="00D924B5"/>
    <w:rsid w:val="00D92955"/>
    <w:rsid w:val="00D92AA7"/>
    <w:rsid w:val="00D92EAB"/>
    <w:rsid w:val="00D9309B"/>
    <w:rsid w:val="00D93425"/>
    <w:rsid w:val="00D93B3B"/>
    <w:rsid w:val="00D94943"/>
    <w:rsid w:val="00D94B95"/>
    <w:rsid w:val="00D954D6"/>
    <w:rsid w:val="00D9570B"/>
    <w:rsid w:val="00D95722"/>
    <w:rsid w:val="00D95F46"/>
    <w:rsid w:val="00D960C2"/>
    <w:rsid w:val="00D969FE"/>
    <w:rsid w:val="00D96B27"/>
    <w:rsid w:val="00D9709A"/>
    <w:rsid w:val="00D972D9"/>
    <w:rsid w:val="00D97943"/>
    <w:rsid w:val="00D97A31"/>
    <w:rsid w:val="00DA0B54"/>
    <w:rsid w:val="00DA0D09"/>
    <w:rsid w:val="00DA0F06"/>
    <w:rsid w:val="00DA1223"/>
    <w:rsid w:val="00DA1397"/>
    <w:rsid w:val="00DA13B3"/>
    <w:rsid w:val="00DA1583"/>
    <w:rsid w:val="00DA15CD"/>
    <w:rsid w:val="00DA18CF"/>
    <w:rsid w:val="00DA1A08"/>
    <w:rsid w:val="00DA1CAF"/>
    <w:rsid w:val="00DA1DE5"/>
    <w:rsid w:val="00DA1F88"/>
    <w:rsid w:val="00DA26EA"/>
    <w:rsid w:val="00DA29EF"/>
    <w:rsid w:val="00DA2AAA"/>
    <w:rsid w:val="00DA2DE3"/>
    <w:rsid w:val="00DA3B2A"/>
    <w:rsid w:val="00DA4E92"/>
    <w:rsid w:val="00DA4EC4"/>
    <w:rsid w:val="00DA5094"/>
    <w:rsid w:val="00DA5299"/>
    <w:rsid w:val="00DA5440"/>
    <w:rsid w:val="00DA555F"/>
    <w:rsid w:val="00DA6019"/>
    <w:rsid w:val="00DA6413"/>
    <w:rsid w:val="00DA66BA"/>
    <w:rsid w:val="00DA6E28"/>
    <w:rsid w:val="00DA70B1"/>
    <w:rsid w:val="00DA74AB"/>
    <w:rsid w:val="00DA76DD"/>
    <w:rsid w:val="00DA7A51"/>
    <w:rsid w:val="00DB0647"/>
    <w:rsid w:val="00DB0673"/>
    <w:rsid w:val="00DB07F8"/>
    <w:rsid w:val="00DB0BCA"/>
    <w:rsid w:val="00DB0C28"/>
    <w:rsid w:val="00DB159B"/>
    <w:rsid w:val="00DB1A00"/>
    <w:rsid w:val="00DB1B14"/>
    <w:rsid w:val="00DB1BC7"/>
    <w:rsid w:val="00DB1E1F"/>
    <w:rsid w:val="00DB31CE"/>
    <w:rsid w:val="00DB5013"/>
    <w:rsid w:val="00DB55F2"/>
    <w:rsid w:val="00DB5A67"/>
    <w:rsid w:val="00DB5A91"/>
    <w:rsid w:val="00DB64F5"/>
    <w:rsid w:val="00DB6D2F"/>
    <w:rsid w:val="00DB6D38"/>
    <w:rsid w:val="00DB6F02"/>
    <w:rsid w:val="00DB6F03"/>
    <w:rsid w:val="00DB7491"/>
    <w:rsid w:val="00DB75CC"/>
    <w:rsid w:val="00DB7B2D"/>
    <w:rsid w:val="00DC0C7B"/>
    <w:rsid w:val="00DC1281"/>
    <w:rsid w:val="00DC1D27"/>
    <w:rsid w:val="00DC2430"/>
    <w:rsid w:val="00DC293F"/>
    <w:rsid w:val="00DC3A3E"/>
    <w:rsid w:val="00DC3F62"/>
    <w:rsid w:val="00DC421C"/>
    <w:rsid w:val="00DC4424"/>
    <w:rsid w:val="00DC44B9"/>
    <w:rsid w:val="00DC52D8"/>
    <w:rsid w:val="00DC5EC8"/>
    <w:rsid w:val="00DC6061"/>
    <w:rsid w:val="00DC6443"/>
    <w:rsid w:val="00DC6DC1"/>
    <w:rsid w:val="00DC70A4"/>
    <w:rsid w:val="00DC7901"/>
    <w:rsid w:val="00DC7B9B"/>
    <w:rsid w:val="00DD0974"/>
    <w:rsid w:val="00DD169F"/>
    <w:rsid w:val="00DD16EB"/>
    <w:rsid w:val="00DD179D"/>
    <w:rsid w:val="00DD1879"/>
    <w:rsid w:val="00DD1CE3"/>
    <w:rsid w:val="00DD2306"/>
    <w:rsid w:val="00DD299E"/>
    <w:rsid w:val="00DD3387"/>
    <w:rsid w:val="00DD37AD"/>
    <w:rsid w:val="00DD3CFA"/>
    <w:rsid w:val="00DD4F96"/>
    <w:rsid w:val="00DD536B"/>
    <w:rsid w:val="00DD55D5"/>
    <w:rsid w:val="00DD5905"/>
    <w:rsid w:val="00DD60F4"/>
    <w:rsid w:val="00DD610E"/>
    <w:rsid w:val="00DD68E3"/>
    <w:rsid w:val="00DD7589"/>
    <w:rsid w:val="00DD7690"/>
    <w:rsid w:val="00DD775C"/>
    <w:rsid w:val="00DD7D5A"/>
    <w:rsid w:val="00DD7ED2"/>
    <w:rsid w:val="00DE0294"/>
    <w:rsid w:val="00DE0597"/>
    <w:rsid w:val="00DE1137"/>
    <w:rsid w:val="00DE1166"/>
    <w:rsid w:val="00DE18A7"/>
    <w:rsid w:val="00DE1BB9"/>
    <w:rsid w:val="00DE1E6C"/>
    <w:rsid w:val="00DE2477"/>
    <w:rsid w:val="00DE2917"/>
    <w:rsid w:val="00DE2AB5"/>
    <w:rsid w:val="00DE2ABA"/>
    <w:rsid w:val="00DE2BBB"/>
    <w:rsid w:val="00DE2C60"/>
    <w:rsid w:val="00DE2D15"/>
    <w:rsid w:val="00DE2F91"/>
    <w:rsid w:val="00DE3158"/>
    <w:rsid w:val="00DE33D7"/>
    <w:rsid w:val="00DE35CB"/>
    <w:rsid w:val="00DE3CBB"/>
    <w:rsid w:val="00DE41A4"/>
    <w:rsid w:val="00DE4FAA"/>
    <w:rsid w:val="00DE5066"/>
    <w:rsid w:val="00DE5A5C"/>
    <w:rsid w:val="00DE5B12"/>
    <w:rsid w:val="00DE6939"/>
    <w:rsid w:val="00DE6B07"/>
    <w:rsid w:val="00DE6BAB"/>
    <w:rsid w:val="00DE6FE4"/>
    <w:rsid w:val="00DE734C"/>
    <w:rsid w:val="00DE7690"/>
    <w:rsid w:val="00DF01D4"/>
    <w:rsid w:val="00DF06F1"/>
    <w:rsid w:val="00DF0891"/>
    <w:rsid w:val="00DF0B31"/>
    <w:rsid w:val="00DF1532"/>
    <w:rsid w:val="00DF16FB"/>
    <w:rsid w:val="00DF17CA"/>
    <w:rsid w:val="00DF1D5C"/>
    <w:rsid w:val="00DF20F8"/>
    <w:rsid w:val="00DF245B"/>
    <w:rsid w:val="00DF2B74"/>
    <w:rsid w:val="00DF2DED"/>
    <w:rsid w:val="00DF2ED5"/>
    <w:rsid w:val="00DF34CE"/>
    <w:rsid w:val="00DF38F6"/>
    <w:rsid w:val="00DF3999"/>
    <w:rsid w:val="00DF3DB7"/>
    <w:rsid w:val="00DF4726"/>
    <w:rsid w:val="00DF47F5"/>
    <w:rsid w:val="00DF4F19"/>
    <w:rsid w:val="00DF5196"/>
    <w:rsid w:val="00DF533C"/>
    <w:rsid w:val="00DF58F6"/>
    <w:rsid w:val="00DF5A5B"/>
    <w:rsid w:val="00DF5CD5"/>
    <w:rsid w:val="00DF615C"/>
    <w:rsid w:val="00DF63E5"/>
    <w:rsid w:val="00DF6EDD"/>
    <w:rsid w:val="00DF78D1"/>
    <w:rsid w:val="00DF7F0C"/>
    <w:rsid w:val="00E0046A"/>
    <w:rsid w:val="00E00E90"/>
    <w:rsid w:val="00E00F98"/>
    <w:rsid w:val="00E01008"/>
    <w:rsid w:val="00E01098"/>
    <w:rsid w:val="00E01191"/>
    <w:rsid w:val="00E01AD0"/>
    <w:rsid w:val="00E01B73"/>
    <w:rsid w:val="00E01BCB"/>
    <w:rsid w:val="00E020FF"/>
    <w:rsid w:val="00E02D00"/>
    <w:rsid w:val="00E03090"/>
    <w:rsid w:val="00E031F9"/>
    <w:rsid w:val="00E0346E"/>
    <w:rsid w:val="00E03992"/>
    <w:rsid w:val="00E03AC2"/>
    <w:rsid w:val="00E03D59"/>
    <w:rsid w:val="00E04222"/>
    <w:rsid w:val="00E04998"/>
    <w:rsid w:val="00E04DE9"/>
    <w:rsid w:val="00E05324"/>
    <w:rsid w:val="00E05AFC"/>
    <w:rsid w:val="00E05F94"/>
    <w:rsid w:val="00E0605C"/>
    <w:rsid w:val="00E0606C"/>
    <w:rsid w:val="00E06BC2"/>
    <w:rsid w:val="00E06C4B"/>
    <w:rsid w:val="00E06EF1"/>
    <w:rsid w:val="00E074FB"/>
    <w:rsid w:val="00E076C9"/>
    <w:rsid w:val="00E0776E"/>
    <w:rsid w:val="00E07F94"/>
    <w:rsid w:val="00E10EA1"/>
    <w:rsid w:val="00E1123A"/>
    <w:rsid w:val="00E116D1"/>
    <w:rsid w:val="00E1173E"/>
    <w:rsid w:val="00E11B32"/>
    <w:rsid w:val="00E11B51"/>
    <w:rsid w:val="00E1290F"/>
    <w:rsid w:val="00E129A7"/>
    <w:rsid w:val="00E135B0"/>
    <w:rsid w:val="00E13ACC"/>
    <w:rsid w:val="00E14014"/>
    <w:rsid w:val="00E14678"/>
    <w:rsid w:val="00E14A40"/>
    <w:rsid w:val="00E14C95"/>
    <w:rsid w:val="00E150C0"/>
    <w:rsid w:val="00E15E6C"/>
    <w:rsid w:val="00E15ED4"/>
    <w:rsid w:val="00E15EDB"/>
    <w:rsid w:val="00E17200"/>
    <w:rsid w:val="00E175D3"/>
    <w:rsid w:val="00E17A3D"/>
    <w:rsid w:val="00E17E05"/>
    <w:rsid w:val="00E2079B"/>
    <w:rsid w:val="00E21AAD"/>
    <w:rsid w:val="00E21AFE"/>
    <w:rsid w:val="00E21E8C"/>
    <w:rsid w:val="00E2253F"/>
    <w:rsid w:val="00E2256E"/>
    <w:rsid w:val="00E229E9"/>
    <w:rsid w:val="00E229EA"/>
    <w:rsid w:val="00E22D31"/>
    <w:rsid w:val="00E22E19"/>
    <w:rsid w:val="00E230DA"/>
    <w:rsid w:val="00E2378B"/>
    <w:rsid w:val="00E23799"/>
    <w:rsid w:val="00E237E0"/>
    <w:rsid w:val="00E238AA"/>
    <w:rsid w:val="00E24450"/>
    <w:rsid w:val="00E24613"/>
    <w:rsid w:val="00E253C5"/>
    <w:rsid w:val="00E25732"/>
    <w:rsid w:val="00E25E80"/>
    <w:rsid w:val="00E26083"/>
    <w:rsid w:val="00E26624"/>
    <w:rsid w:val="00E269C0"/>
    <w:rsid w:val="00E269DA"/>
    <w:rsid w:val="00E26C64"/>
    <w:rsid w:val="00E26F6B"/>
    <w:rsid w:val="00E26FB2"/>
    <w:rsid w:val="00E26FCB"/>
    <w:rsid w:val="00E26FD2"/>
    <w:rsid w:val="00E26FD5"/>
    <w:rsid w:val="00E2789E"/>
    <w:rsid w:val="00E27C20"/>
    <w:rsid w:val="00E27CD1"/>
    <w:rsid w:val="00E30B61"/>
    <w:rsid w:val="00E30F42"/>
    <w:rsid w:val="00E312B7"/>
    <w:rsid w:val="00E31491"/>
    <w:rsid w:val="00E314EC"/>
    <w:rsid w:val="00E315CC"/>
    <w:rsid w:val="00E315E5"/>
    <w:rsid w:val="00E3163D"/>
    <w:rsid w:val="00E31750"/>
    <w:rsid w:val="00E3175A"/>
    <w:rsid w:val="00E31BA1"/>
    <w:rsid w:val="00E323FA"/>
    <w:rsid w:val="00E32F28"/>
    <w:rsid w:val="00E32F70"/>
    <w:rsid w:val="00E33237"/>
    <w:rsid w:val="00E335EC"/>
    <w:rsid w:val="00E33D4D"/>
    <w:rsid w:val="00E34134"/>
    <w:rsid w:val="00E341EA"/>
    <w:rsid w:val="00E345F2"/>
    <w:rsid w:val="00E3485E"/>
    <w:rsid w:val="00E34991"/>
    <w:rsid w:val="00E34C13"/>
    <w:rsid w:val="00E34E98"/>
    <w:rsid w:val="00E35B07"/>
    <w:rsid w:val="00E35F37"/>
    <w:rsid w:val="00E36C74"/>
    <w:rsid w:val="00E409B4"/>
    <w:rsid w:val="00E40C7E"/>
    <w:rsid w:val="00E4107E"/>
    <w:rsid w:val="00E41342"/>
    <w:rsid w:val="00E41733"/>
    <w:rsid w:val="00E4173D"/>
    <w:rsid w:val="00E43010"/>
    <w:rsid w:val="00E4398C"/>
    <w:rsid w:val="00E43B64"/>
    <w:rsid w:val="00E43C90"/>
    <w:rsid w:val="00E43CD0"/>
    <w:rsid w:val="00E43D84"/>
    <w:rsid w:val="00E43EC0"/>
    <w:rsid w:val="00E441B8"/>
    <w:rsid w:val="00E443D6"/>
    <w:rsid w:val="00E44A9D"/>
    <w:rsid w:val="00E44CB3"/>
    <w:rsid w:val="00E45934"/>
    <w:rsid w:val="00E46375"/>
    <w:rsid w:val="00E464C7"/>
    <w:rsid w:val="00E46548"/>
    <w:rsid w:val="00E46A54"/>
    <w:rsid w:val="00E47148"/>
    <w:rsid w:val="00E4723D"/>
    <w:rsid w:val="00E476C9"/>
    <w:rsid w:val="00E47BA9"/>
    <w:rsid w:val="00E47D57"/>
    <w:rsid w:val="00E5014B"/>
    <w:rsid w:val="00E50985"/>
    <w:rsid w:val="00E5178D"/>
    <w:rsid w:val="00E5221F"/>
    <w:rsid w:val="00E5249A"/>
    <w:rsid w:val="00E53102"/>
    <w:rsid w:val="00E53454"/>
    <w:rsid w:val="00E544A1"/>
    <w:rsid w:val="00E552D8"/>
    <w:rsid w:val="00E552E1"/>
    <w:rsid w:val="00E5619A"/>
    <w:rsid w:val="00E56486"/>
    <w:rsid w:val="00E574A6"/>
    <w:rsid w:val="00E57E3F"/>
    <w:rsid w:val="00E601D1"/>
    <w:rsid w:val="00E602BF"/>
    <w:rsid w:val="00E6045C"/>
    <w:rsid w:val="00E60C6B"/>
    <w:rsid w:val="00E60CBA"/>
    <w:rsid w:val="00E611BC"/>
    <w:rsid w:val="00E614A4"/>
    <w:rsid w:val="00E61D6E"/>
    <w:rsid w:val="00E61E4E"/>
    <w:rsid w:val="00E61EB8"/>
    <w:rsid w:val="00E62D49"/>
    <w:rsid w:val="00E631F8"/>
    <w:rsid w:val="00E63301"/>
    <w:rsid w:val="00E63420"/>
    <w:rsid w:val="00E63AD2"/>
    <w:rsid w:val="00E6451E"/>
    <w:rsid w:val="00E64BD6"/>
    <w:rsid w:val="00E6533D"/>
    <w:rsid w:val="00E663E6"/>
    <w:rsid w:val="00E6645F"/>
    <w:rsid w:val="00E66A42"/>
    <w:rsid w:val="00E66C8B"/>
    <w:rsid w:val="00E66E69"/>
    <w:rsid w:val="00E66FCE"/>
    <w:rsid w:val="00E6773E"/>
    <w:rsid w:val="00E6782E"/>
    <w:rsid w:val="00E67B36"/>
    <w:rsid w:val="00E70885"/>
    <w:rsid w:val="00E70906"/>
    <w:rsid w:val="00E7141A"/>
    <w:rsid w:val="00E71805"/>
    <w:rsid w:val="00E7189A"/>
    <w:rsid w:val="00E7293E"/>
    <w:rsid w:val="00E72D51"/>
    <w:rsid w:val="00E73A75"/>
    <w:rsid w:val="00E7400C"/>
    <w:rsid w:val="00E7406E"/>
    <w:rsid w:val="00E7442B"/>
    <w:rsid w:val="00E746FA"/>
    <w:rsid w:val="00E749F7"/>
    <w:rsid w:val="00E74B56"/>
    <w:rsid w:val="00E750AB"/>
    <w:rsid w:val="00E7551F"/>
    <w:rsid w:val="00E75BB7"/>
    <w:rsid w:val="00E765FF"/>
    <w:rsid w:val="00E77058"/>
    <w:rsid w:val="00E7775C"/>
    <w:rsid w:val="00E77E7B"/>
    <w:rsid w:val="00E8071F"/>
    <w:rsid w:val="00E8080A"/>
    <w:rsid w:val="00E81325"/>
    <w:rsid w:val="00E81370"/>
    <w:rsid w:val="00E81479"/>
    <w:rsid w:val="00E81D0E"/>
    <w:rsid w:val="00E81E8B"/>
    <w:rsid w:val="00E81FB6"/>
    <w:rsid w:val="00E820CA"/>
    <w:rsid w:val="00E822AA"/>
    <w:rsid w:val="00E837FA"/>
    <w:rsid w:val="00E83877"/>
    <w:rsid w:val="00E83C50"/>
    <w:rsid w:val="00E83D4E"/>
    <w:rsid w:val="00E83E71"/>
    <w:rsid w:val="00E84436"/>
    <w:rsid w:val="00E847B5"/>
    <w:rsid w:val="00E848CB"/>
    <w:rsid w:val="00E84926"/>
    <w:rsid w:val="00E84F36"/>
    <w:rsid w:val="00E85C6B"/>
    <w:rsid w:val="00E85EB7"/>
    <w:rsid w:val="00E860F3"/>
    <w:rsid w:val="00E86508"/>
    <w:rsid w:val="00E873CB"/>
    <w:rsid w:val="00E875D2"/>
    <w:rsid w:val="00E87E7F"/>
    <w:rsid w:val="00E90692"/>
    <w:rsid w:val="00E908AE"/>
    <w:rsid w:val="00E90B5E"/>
    <w:rsid w:val="00E91097"/>
    <w:rsid w:val="00E917B6"/>
    <w:rsid w:val="00E91C3B"/>
    <w:rsid w:val="00E938BC"/>
    <w:rsid w:val="00E93A6D"/>
    <w:rsid w:val="00E93C11"/>
    <w:rsid w:val="00E94705"/>
    <w:rsid w:val="00E94A37"/>
    <w:rsid w:val="00E94E2A"/>
    <w:rsid w:val="00E95158"/>
    <w:rsid w:val="00E95FB6"/>
    <w:rsid w:val="00E960F1"/>
    <w:rsid w:val="00E9650B"/>
    <w:rsid w:val="00E96840"/>
    <w:rsid w:val="00E96CE3"/>
    <w:rsid w:val="00EA0998"/>
    <w:rsid w:val="00EA0A6C"/>
    <w:rsid w:val="00EA176C"/>
    <w:rsid w:val="00EA18AD"/>
    <w:rsid w:val="00EA1E3B"/>
    <w:rsid w:val="00EA1E6F"/>
    <w:rsid w:val="00EA2882"/>
    <w:rsid w:val="00EA2A21"/>
    <w:rsid w:val="00EA2D7C"/>
    <w:rsid w:val="00EA2F5C"/>
    <w:rsid w:val="00EA3A24"/>
    <w:rsid w:val="00EA3BC4"/>
    <w:rsid w:val="00EA48BD"/>
    <w:rsid w:val="00EA4938"/>
    <w:rsid w:val="00EA4C76"/>
    <w:rsid w:val="00EA4D17"/>
    <w:rsid w:val="00EA59A3"/>
    <w:rsid w:val="00EA5AF3"/>
    <w:rsid w:val="00EA5CCB"/>
    <w:rsid w:val="00EA5CFE"/>
    <w:rsid w:val="00EA5E24"/>
    <w:rsid w:val="00EA695C"/>
    <w:rsid w:val="00EA69E9"/>
    <w:rsid w:val="00EA6D71"/>
    <w:rsid w:val="00EA7022"/>
    <w:rsid w:val="00EA7121"/>
    <w:rsid w:val="00EA72B6"/>
    <w:rsid w:val="00EA76C2"/>
    <w:rsid w:val="00EA778B"/>
    <w:rsid w:val="00EA7ABD"/>
    <w:rsid w:val="00EA7C0D"/>
    <w:rsid w:val="00EA7EE8"/>
    <w:rsid w:val="00EB012B"/>
    <w:rsid w:val="00EB023F"/>
    <w:rsid w:val="00EB02DE"/>
    <w:rsid w:val="00EB0B02"/>
    <w:rsid w:val="00EB118E"/>
    <w:rsid w:val="00EB1265"/>
    <w:rsid w:val="00EB1B35"/>
    <w:rsid w:val="00EB22C9"/>
    <w:rsid w:val="00EB230C"/>
    <w:rsid w:val="00EB23A0"/>
    <w:rsid w:val="00EB2EAD"/>
    <w:rsid w:val="00EB37C2"/>
    <w:rsid w:val="00EB3857"/>
    <w:rsid w:val="00EB3CC9"/>
    <w:rsid w:val="00EB3F27"/>
    <w:rsid w:val="00EB40D4"/>
    <w:rsid w:val="00EB417D"/>
    <w:rsid w:val="00EB436B"/>
    <w:rsid w:val="00EB4A08"/>
    <w:rsid w:val="00EB4BC7"/>
    <w:rsid w:val="00EB4D20"/>
    <w:rsid w:val="00EB5544"/>
    <w:rsid w:val="00EB55B8"/>
    <w:rsid w:val="00EB5913"/>
    <w:rsid w:val="00EB5A27"/>
    <w:rsid w:val="00EB6472"/>
    <w:rsid w:val="00EB666B"/>
    <w:rsid w:val="00EB669E"/>
    <w:rsid w:val="00EB680B"/>
    <w:rsid w:val="00EB7138"/>
    <w:rsid w:val="00EB7210"/>
    <w:rsid w:val="00EB7B62"/>
    <w:rsid w:val="00EB7CD0"/>
    <w:rsid w:val="00EC07A0"/>
    <w:rsid w:val="00EC2814"/>
    <w:rsid w:val="00EC298A"/>
    <w:rsid w:val="00EC2CA6"/>
    <w:rsid w:val="00EC35C7"/>
    <w:rsid w:val="00EC3AB7"/>
    <w:rsid w:val="00EC3C9C"/>
    <w:rsid w:val="00EC40A1"/>
    <w:rsid w:val="00EC40EE"/>
    <w:rsid w:val="00EC480A"/>
    <w:rsid w:val="00EC4969"/>
    <w:rsid w:val="00EC5DC2"/>
    <w:rsid w:val="00EC6516"/>
    <w:rsid w:val="00EC70F3"/>
    <w:rsid w:val="00EC76F6"/>
    <w:rsid w:val="00EC7712"/>
    <w:rsid w:val="00EC7DF2"/>
    <w:rsid w:val="00ED0134"/>
    <w:rsid w:val="00ED0689"/>
    <w:rsid w:val="00ED0E1D"/>
    <w:rsid w:val="00ED1015"/>
    <w:rsid w:val="00ED1555"/>
    <w:rsid w:val="00ED175A"/>
    <w:rsid w:val="00ED17AF"/>
    <w:rsid w:val="00ED1A4D"/>
    <w:rsid w:val="00ED1B82"/>
    <w:rsid w:val="00ED222C"/>
    <w:rsid w:val="00ED2446"/>
    <w:rsid w:val="00ED2799"/>
    <w:rsid w:val="00ED287B"/>
    <w:rsid w:val="00ED2C88"/>
    <w:rsid w:val="00ED3EDA"/>
    <w:rsid w:val="00ED4156"/>
    <w:rsid w:val="00ED433C"/>
    <w:rsid w:val="00ED4DB4"/>
    <w:rsid w:val="00ED547D"/>
    <w:rsid w:val="00ED54AD"/>
    <w:rsid w:val="00ED57B7"/>
    <w:rsid w:val="00ED5E2A"/>
    <w:rsid w:val="00ED5E73"/>
    <w:rsid w:val="00ED5EDA"/>
    <w:rsid w:val="00ED61CC"/>
    <w:rsid w:val="00ED6257"/>
    <w:rsid w:val="00ED6669"/>
    <w:rsid w:val="00ED668F"/>
    <w:rsid w:val="00ED67A7"/>
    <w:rsid w:val="00ED7155"/>
    <w:rsid w:val="00ED74D2"/>
    <w:rsid w:val="00ED74EA"/>
    <w:rsid w:val="00ED77A9"/>
    <w:rsid w:val="00ED7FCB"/>
    <w:rsid w:val="00EE03BA"/>
    <w:rsid w:val="00EE0891"/>
    <w:rsid w:val="00EE0AF9"/>
    <w:rsid w:val="00EE0DD7"/>
    <w:rsid w:val="00EE0EFE"/>
    <w:rsid w:val="00EE227E"/>
    <w:rsid w:val="00EE24AF"/>
    <w:rsid w:val="00EE2E55"/>
    <w:rsid w:val="00EE37B5"/>
    <w:rsid w:val="00EE380C"/>
    <w:rsid w:val="00EE3F90"/>
    <w:rsid w:val="00EE40C7"/>
    <w:rsid w:val="00EE48EB"/>
    <w:rsid w:val="00EE4AC8"/>
    <w:rsid w:val="00EE50A7"/>
    <w:rsid w:val="00EE5242"/>
    <w:rsid w:val="00EE5C0B"/>
    <w:rsid w:val="00EE641E"/>
    <w:rsid w:val="00EE6BA2"/>
    <w:rsid w:val="00EE6CA3"/>
    <w:rsid w:val="00EE753A"/>
    <w:rsid w:val="00EE7A15"/>
    <w:rsid w:val="00EF0154"/>
    <w:rsid w:val="00EF0519"/>
    <w:rsid w:val="00EF055F"/>
    <w:rsid w:val="00EF130D"/>
    <w:rsid w:val="00EF1819"/>
    <w:rsid w:val="00EF1B27"/>
    <w:rsid w:val="00EF2079"/>
    <w:rsid w:val="00EF2223"/>
    <w:rsid w:val="00EF24FC"/>
    <w:rsid w:val="00EF2B46"/>
    <w:rsid w:val="00EF2D06"/>
    <w:rsid w:val="00EF3267"/>
    <w:rsid w:val="00EF34F9"/>
    <w:rsid w:val="00EF353A"/>
    <w:rsid w:val="00EF3DBB"/>
    <w:rsid w:val="00EF44DB"/>
    <w:rsid w:val="00EF4A42"/>
    <w:rsid w:val="00EF4CE1"/>
    <w:rsid w:val="00EF502E"/>
    <w:rsid w:val="00EF5C93"/>
    <w:rsid w:val="00EF5D2A"/>
    <w:rsid w:val="00EF65DD"/>
    <w:rsid w:val="00EF67BF"/>
    <w:rsid w:val="00EF6A80"/>
    <w:rsid w:val="00EF6C26"/>
    <w:rsid w:val="00EF6F25"/>
    <w:rsid w:val="00EF70A4"/>
    <w:rsid w:val="00EF7466"/>
    <w:rsid w:val="00EF7A9C"/>
    <w:rsid w:val="00F009B3"/>
    <w:rsid w:val="00F0117B"/>
    <w:rsid w:val="00F018DA"/>
    <w:rsid w:val="00F02402"/>
    <w:rsid w:val="00F02ED8"/>
    <w:rsid w:val="00F0305D"/>
    <w:rsid w:val="00F03549"/>
    <w:rsid w:val="00F03751"/>
    <w:rsid w:val="00F03831"/>
    <w:rsid w:val="00F0388D"/>
    <w:rsid w:val="00F03B91"/>
    <w:rsid w:val="00F03CC3"/>
    <w:rsid w:val="00F03FC2"/>
    <w:rsid w:val="00F0405E"/>
    <w:rsid w:val="00F04CBC"/>
    <w:rsid w:val="00F051E7"/>
    <w:rsid w:val="00F0541B"/>
    <w:rsid w:val="00F05FB2"/>
    <w:rsid w:val="00F064CD"/>
    <w:rsid w:val="00F078C1"/>
    <w:rsid w:val="00F10214"/>
    <w:rsid w:val="00F1081F"/>
    <w:rsid w:val="00F10BF6"/>
    <w:rsid w:val="00F110B4"/>
    <w:rsid w:val="00F11169"/>
    <w:rsid w:val="00F11797"/>
    <w:rsid w:val="00F11FAB"/>
    <w:rsid w:val="00F12AEF"/>
    <w:rsid w:val="00F12E20"/>
    <w:rsid w:val="00F12E8F"/>
    <w:rsid w:val="00F12E92"/>
    <w:rsid w:val="00F13627"/>
    <w:rsid w:val="00F13C88"/>
    <w:rsid w:val="00F14789"/>
    <w:rsid w:val="00F14C09"/>
    <w:rsid w:val="00F151A8"/>
    <w:rsid w:val="00F15421"/>
    <w:rsid w:val="00F15CD8"/>
    <w:rsid w:val="00F15D8E"/>
    <w:rsid w:val="00F1642E"/>
    <w:rsid w:val="00F16485"/>
    <w:rsid w:val="00F16A74"/>
    <w:rsid w:val="00F172C8"/>
    <w:rsid w:val="00F174C3"/>
    <w:rsid w:val="00F176EE"/>
    <w:rsid w:val="00F20361"/>
    <w:rsid w:val="00F2038C"/>
    <w:rsid w:val="00F20ADE"/>
    <w:rsid w:val="00F20B74"/>
    <w:rsid w:val="00F20BD8"/>
    <w:rsid w:val="00F20CC2"/>
    <w:rsid w:val="00F20D68"/>
    <w:rsid w:val="00F20E66"/>
    <w:rsid w:val="00F21713"/>
    <w:rsid w:val="00F21B91"/>
    <w:rsid w:val="00F22A8D"/>
    <w:rsid w:val="00F22BC7"/>
    <w:rsid w:val="00F24526"/>
    <w:rsid w:val="00F25065"/>
    <w:rsid w:val="00F2529B"/>
    <w:rsid w:val="00F257D4"/>
    <w:rsid w:val="00F26367"/>
    <w:rsid w:val="00F26D25"/>
    <w:rsid w:val="00F26F9A"/>
    <w:rsid w:val="00F27842"/>
    <w:rsid w:val="00F27BBF"/>
    <w:rsid w:val="00F27CAE"/>
    <w:rsid w:val="00F27FD1"/>
    <w:rsid w:val="00F303AE"/>
    <w:rsid w:val="00F3041A"/>
    <w:rsid w:val="00F304AF"/>
    <w:rsid w:val="00F30ADD"/>
    <w:rsid w:val="00F30F61"/>
    <w:rsid w:val="00F31769"/>
    <w:rsid w:val="00F31F0B"/>
    <w:rsid w:val="00F32257"/>
    <w:rsid w:val="00F3282B"/>
    <w:rsid w:val="00F32AE7"/>
    <w:rsid w:val="00F32EDC"/>
    <w:rsid w:val="00F33366"/>
    <w:rsid w:val="00F34080"/>
    <w:rsid w:val="00F34F86"/>
    <w:rsid w:val="00F35971"/>
    <w:rsid w:val="00F35D50"/>
    <w:rsid w:val="00F35F54"/>
    <w:rsid w:val="00F35FDC"/>
    <w:rsid w:val="00F36635"/>
    <w:rsid w:val="00F36CB9"/>
    <w:rsid w:val="00F36FD7"/>
    <w:rsid w:val="00F3777B"/>
    <w:rsid w:val="00F37AE5"/>
    <w:rsid w:val="00F37DC6"/>
    <w:rsid w:val="00F40234"/>
    <w:rsid w:val="00F40DEF"/>
    <w:rsid w:val="00F415D4"/>
    <w:rsid w:val="00F41E5D"/>
    <w:rsid w:val="00F4210C"/>
    <w:rsid w:val="00F42420"/>
    <w:rsid w:val="00F4251F"/>
    <w:rsid w:val="00F42688"/>
    <w:rsid w:val="00F4284D"/>
    <w:rsid w:val="00F42A6C"/>
    <w:rsid w:val="00F42A79"/>
    <w:rsid w:val="00F42CD1"/>
    <w:rsid w:val="00F43006"/>
    <w:rsid w:val="00F432F5"/>
    <w:rsid w:val="00F43358"/>
    <w:rsid w:val="00F4363B"/>
    <w:rsid w:val="00F436F9"/>
    <w:rsid w:val="00F437DD"/>
    <w:rsid w:val="00F43961"/>
    <w:rsid w:val="00F43E31"/>
    <w:rsid w:val="00F44DB8"/>
    <w:rsid w:val="00F44E1E"/>
    <w:rsid w:val="00F455F2"/>
    <w:rsid w:val="00F45846"/>
    <w:rsid w:val="00F458F9"/>
    <w:rsid w:val="00F45A71"/>
    <w:rsid w:val="00F462ED"/>
    <w:rsid w:val="00F4660C"/>
    <w:rsid w:val="00F46AB9"/>
    <w:rsid w:val="00F471C2"/>
    <w:rsid w:val="00F4729C"/>
    <w:rsid w:val="00F47714"/>
    <w:rsid w:val="00F4781A"/>
    <w:rsid w:val="00F47A79"/>
    <w:rsid w:val="00F47BA1"/>
    <w:rsid w:val="00F5038B"/>
    <w:rsid w:val="00F50483"/>
    <w:rsid w:val="00F50663"/>
    <w:rsid w:val="00F5087C"/>
    <w:rsid w:val="00F5098F"/>
    <w:rsid w:val="00F509D2"/>
    <w:rsid w:val="00F50A39"/>
    <w:rsid w:val="00F510C3"/>
    <w:rsid w:val="00F511A9"/>
    <w:rsid w:val="00F513CC"/>
    <w:rsid w:val="00F51A5B"/>
    <w:rsid w:val="00F52474"/>
    <w:rsid w:val="00F52497"/>
    <w:rsid w:val="00F52AB0"/>
    <w:rsid w:val="00F52D39"/>
    <w:rsid w:val="00F5312F"/>
    <w:rsid w:val="00F53CA8"/>
    <w:rsid w:val="00F540DB"/>
    <w:rsid w:val="00F54837"/>
    <w:rsid w:val="00F549B0"/>
    <w:rsid w:val="00F5506F"/>
    <w:rsid w:val="00F551F1"/>
    <w:rsid w:val="00F55C8A"/>
    <w:rsid w:val="00F55ED1"/>
    <w:rsid w:val="00F56373"/>
    <w:rsid w:val="00F565A7"/>
    <w:rsid w:val="00F567E2"/>
    <w:rsid w:val="00F5694D"/>
    <w:rsid w:val="00F56EFD"/>
    <w:rsid w:val="00F574D6"/>
    <w:rsid w:val="00F57BDE"/>
    <w:rsid w:val="00F60612"/>
    <w:rsid w:val="00F6066E"/>
    <w:rsid w:val="00F60A09"/>
    <w:rsid w:val="00F60BBA"/>
    <w:rsid w:val="00F61001"/>
    <w:rsid w:val="00F6120A"/>
    <w:rsid w:val="00F6181B"/>
    <w:rsid w:val="00F619F9"/>
    <w:rsid w:val="00F624ED"/>
    <w:rsid w:val="00F628F7"/>
    <w:rsid w:val="00F6298A"/>
    <w:rsid w:val="00F62BD6"/>
    <w:rsid w:val="00F62D68"/>
    <w:rsid w:val="00F62DB7"/>
    <w:rsid w:val="00F62E99"/>
    <w:rsid w:val="00F6311E"/>
    <w:rsid w:val="00F63B09"/>
    <w:rsid w:val="00F63F73"/>
    <w:rsid w:val="00F640B5"/>
    <w:rsid w:val="00F643D6"/>
    <w:rsid w:val="00F64583"/>
    <w:rsid w:val="00F64DA4"/>
    <w:rsid w:val="00F66674"/>
    <w:rsid w:val="00F66DEE"/>
    <w:rsid w:val="00F66EAE"/>
    <w:rsid w:val="00F67524"/>
    <w:rsid w:val="00F7016F"/>
    <w:rsid w:val="00F7043B"/>
    <w:rsid w:val="00F704DE"/>
    <w:rsid w:val="00F707D9"/>
    <w:rsid w:val="00F70855"/>
    <w:rsid w:val="00F70C8E"/>
    <w:rsid w:val="00F70E02"/>
    <w:rsid w:val="00F711D4"/>
    <w:rsid w:val="00F71B6B"/>
    <w:rsid w:val="00F72975"/>
    <w:rsid w:val="00F72B9F"/>
    <w:rsid w:val="00F72D19"/>
    <w:rsid w:val="00F73455"/>
    <w:rsid w:val="00F7399A"/>
    <w:rsid w:val="00F73D85"/>
    <w:rsid w:val="00F74435"/>
    <w:rsid w:val="00F74A25"/>
    <w:rsid w:val="00F75F43"/>
    <w:rsid w:val="00F7635A"/>
    <w:rsid w:val="00F76F41"/>
    <w:rsid w:val="00F77198"/>
    <w:rsid w:val="00F776BC"/>
    <w:rsid w:val="00F77E66"/>
    <w:rsid w:val="00F802DC"/>
    <w:rsid w:val="00F80F12"/>
    <w:rsid w:val="00F814C2"/>
    <w:rsid w:val="00F816FC"/>
    <w:rsid w:val="00F818DD"/>
    <w:rsid w:val="00F81C76"/>
    <w:rsid w:val="00F81E29"/>
    <w:rsid w:val="00F81F62"/>
    <w:rsid w:val="00F81FFB"/>
    <w:rsid w:val="00F82393"/>
    <w:rsid w:val="00F8250B"/>
    <w:rsid w:val="00F826A2"/>
    <w:rsid w:val="00F82906"/>
    <w:rsid w:val="00F82A35"/>
    <w:rsid w:val="00F834BA"/>
    <w:rsid w:val="00F8354B"/>
    <w:rsid w:val="00F83EBE"/>
    <w:rsid w:val="00F83EE3"/>
    <w:rsid w:val="00F84156"/>
    <w:rsid w:val="00F84DE6"/>
    <w:rsid w:val="00F84F6C"/>
    <w:rsid w:val="00F85291"/>
    <w:rsid w:val="00F85559"/>
    <w:rsid w:val="00F855E0"/>
    <w:rsid w:val="00F86007"/>
    <w:rsid w:val="00F86230"/>
    <w:rsid w:val="00F8662C"/>
    <w:rsid w:val="00F86C18"/>
    <w:rsid w:val="00F86CC8"/>
    <w:rsid w:val="00F8718C"/>
    <w:rsid w:val="00F87EFC"/>
    <w:rsid w:val="00F87F3E"/>
    <w:rsid w:val="00F9056E"/>
    <w:rsid w:val="00F91023"/>
    <w:rsid w:val="00F912CB"/>
    <w:rsid w:val="00F91417"/>
    <w:rsid w:val="00F91ACA"/>
    <w:rsid w:val="00F91D53"/>
    <w:rsid w:val="00F91F9A"/>
    <w:rsid w:val="00F923A5"/>
    <w:rsid w:val="00F93A6A"/>
    <w:rsid w:val="00F93CB3"/>
    <w:rsid w:val="00F9558D"/>
    <w:rsid w:val="00F95643"/>
    <w:rsid w:val="00F95936"/>
    <w:rsid w:val="00F95C3C"/>
    <w:rsid w:val="00F97C6E"/>
    <w:rsid w:val="00F97EC8"/>
    <w:rsid w:val="00FA0AF8"/>
    <w:rsid w:val="00FA0D8F"/>
    <w:rsid w:val="00FA124B"/>
    <w:rsid w:val="00FA12B1"/>
    <w:rsid w:val="00FA1524"/>
    <w:rsid w:val="00FA1762"/>
    <w:rsid w:val="00FA1CCA"/>
    <w:rsid w:val="00FA24A2"/>
    <w:rsid w:val="00FA2DE5"/>
    <w:rsid w:val="00FA305F"/>
    <w:rsid w:val="00FA30CA"/>
    <w:rsid w:val="00FA35A5"/>
    <w:rsid w:val="00FA36BC"/>
    <w:rsid w:val="00FA40CD"/>
    <w:rsid w:val="00FA457D"/>
    <w:rsid w:val="00FA5102"/>
    <w:rsid w:val="00FA58CF"/>
    <w:rsid w:val="00FA5A94"/>
    <w:rsid w:val="00FA5ED3"/>
    <w:rsid w:val="00FA6383"/>
    <w:rsid w:val="00FA63AE"/>
    <w:rsid w:val="00FA661C"/>
    <w:rsid w:val="00FA7659"/>
    <w:rsid w:val="00FA782A"/>
    <w:rsid w:val="00FA7BF5"/>
    <w:rsid w:val="00FA7F70"/>
    <w:rsid w:val="00FB0C20"/>
    <w:rsid w:val="00FB0FD7"/>
    <w:rsid w:val="00FB24C4"/>
    <w:rsid w:val="00FB2F8A"/>
    <w:rsid w:val="00FB345E"/>
    <w:rsid w:val="00FB3578"/>
    <w:rsid w:val="00FB36D1"/>
    <w:rsid w:val="00FB3B76"/>
    <w:rsid w:val="00FB3DB5"/>
    <w:rsid w:val="00FB3FAB"/>
    <w:rsid w:val="00FB3FB3"/>
    <w:rsid w:val="00FB4055"/>
    <w:rsid w:val="00FB43D1"/>
    <w:rsid w:val="00FB4446"/>
    <w:rsid w:val="00FB4830"/>
    <w:rsid w:val="00FB4C50"/>
    <w:rsid w:val="00FB4EB7"/>
    <w:rsid w:val="00FB5007"/>
    <w:rsid w:val="00FB5244"/>
    <w:rsid w:val="00FB5340"/>
    <w:rsid w:val="00FB53DA"/>
    <w:rsid w:val="00FB5D46"/>
    <w:rsid w:val="00FB6646"/>
    <w:rsid w:val="00FB6CFC"/>
    <w:rsid w:val="00FB763A"/>
    <w:rsid w:val="00FB7B77"/>
    <w:rsid w:val="00FC024B"/>
    <w:rsid w:val="00FC0354"/>
    <w:rsid w:val="00FC0BE8"/>
    <w:rsid w:val="00FC0D62"/>
    <w:rsid w:val="00FC1063"/>
    <w:rsid w:val="00FC177C"/>
    <w:rsid w:val="00FC2406"/>
    <w:rsid w:val="00FC29F4"/>
    <w:rsid w:val="00FC2FBD"/>
    <w:rsid w:val="00FC3651"/>
    <w:rsid w:val="00FC3E7D"/>
    <w:rsid w:val="00FC46CE"/>
    <w:rsid w:val="00FC4BC5"/>
    <w:rsid w:val="00FC57B9"/>
    <w:rsid w:val="00FC58C3"/>
    <w:rsid w:val="00FC652C"/>
    <w:rsid w:val="00FC6948"/>
    <w:rsid w:val="00FC6D85"/>
    <w:rsid w:val="00FC6FE9"/>
    <w:rsid w:val="00FC7710"/>
    <w:rsid w:val="00FC7891"/>
    <w:rsid w:val="00FD0446"/>
    <w:rsid w:val="00FD0F72"/>
    <w:rsid w:val="00FD1900"/>
    <w:rsid w:val="00FD1E6F"/>
    <w:rsid w:val="00FD21D8"/>
    <w:rsid w:val="00FD2336"/>
    <w:rsid w:val="00FD2493"/>
    <w:rsid w:val="00FD24E6"/>
    <w:rsid w:val="00FD2C2A"/>
    <w:rsid w:val="00FD2CFF"/>
    <w:rsid w:val="00FD306A"/>
    <w:rsid w:val="00FD4405"/>
    <w:rsid w:val="00FD4A57"/>
    <w:rsid w:val="00FD4E5B"/>
    <w:rsid w:val="00FD5283"/>
    <w:rsid w:val="00FD5397"/>
    <w:rsid w:val="00FD56C9"/>
    <w:rsid w:val="00FD582F"/>
    <w:rsid w:val="00FD5CD5"/>
    <w:rsid w:val="00FD5E26"/>
    <w:rsid w:val="00FD5EA9"/>
    <w:rsid w:val="00FD669A"/>
    <w:rsid w:val="00FD6931"/>
    <w:rsid w:val="00FD749C"/>
    <w:rsid w:val="00FD7595"/>
    <w:rsid w:val="00FD799C"/>
    <w:rsid w:val="00FE07B4"/>
    <w:rsid w:val="00FE0896"/>
    <w:rsid w:val="00FE0C08"/>
    <w:rsid w:val="00FE12B3"/>
    <w:rsid w:val="00FE1818"/>
    <w:rsid w:val="00FE1AE8"/>
    <w:rsid w:val="00FE1B2A"/>
    <w:rsid w:val="00FE1CB6"/>
    <w:rsid w:val="00FE1EC3"/>
    <w:rsid w:val="00FE2875"/>
    <w:rsid w:val="00FE2A44"/>
    <w:rsid w:val="00FE2D05"/>
    <w:rsid w:val="00FE3494"/>
    <w:rsid w:val="00FE3E58"/>
    <w:rsid w:val="00FE4FA9"/>
    <w:rsid w:val="00FE52D9"/>
    <w:rsid w:val="00FE53A0"/>
    <w:rsid w:val="00FE5400"/>
    <w:rsid w:val="00FE59F2"/>
    <w:rsid w:val="00FE5D84"/>
    <w:rsid w:val="00FE7293"/>
    <w:rsid w:val="00FE76CC"/>
    <w:rsid w:val="00FE7E75"/>
    <w:rsid w:val="00FF067C"/>
    <w:rsid w:val="00FF1E83"/>
    <w:rsid w:val="00FF2443"/>
    <w:rsid w:val="00FF25DF"/>
    <w:rsid w:val="00FF2CF0"/>
    <w:rsid w:val="00FF2DA9"/>
    <w:rsid w:val="00FF2E2B"/>
    <w:rsid w:val="00FF302B"/>
    <w:rsid w:val="00FF4095"/>
    <w:rsid w:val="00FF46C2"/>
    <w:rsid w:val="00FF4AAC"/>
    <w:rsid w:val="00FF4F9C"/>
    <w:rsid w:val="00FF5621"/>
    <w:rsid w:val="00FF6138"/>
    <w:rsid w:val="00FF62A4"/>
    <w:rsid w:val="00FF7E2B"/>
    <w:rsid w:val="01A67573"/>
    <w:rsid w:val="01CDB179"/>
    <w:rsid w:val="020C0A95"/>
    <w:rsid w:val="0222D512"/>
    <w:rsid w:val="0276A9F3"/>
    <w:rsid w:val="046A7187"/>
    <w:rsid w:val="05372B45"/>
    <w:rsid w:val="05D97737"/>
    <w:rsid w:val="05E685A2"/>
    <w:rsid w:val="063067E0"/>
    <w:rsid w:val="064E1061"/>
    <w:rsid w:val="066ACF2B"/>
    <w:rsid w:val="06E87A38"/>
    <w:rsid w:val="08E4AD18"/>
    <w:rsid w:val="098A7C8B"/>
    <w:rsid w:val="09984350"/>
    <w:rsid w:val="0B1D6338"/>
    <w:rsid w:val="0B490EA7"/>
    <w:rsid w:val="0BAD3E04"/>
    <w:rsid w:val="0BB7B333"/>
    <w:rsid w:val="0BE7F571"/>
    <w:rsid w:val="0C3AA921"/>
    <w:rsid w:val="0D557BD2"/>
    <w:rsid w:val="0E3EDD21"/>
    <w:rsid w:val="0EAD5163"/>
    <w:rsid w:val="0ECD2093"/>
    <w:rsid w:val="0ED556B7"/>
    <w:rsid w:val="0EDE2E61"/>
    <w:rsid w:val="0EEEBC7D"/>
    <w:rsid w:val="0F5773A1"/>
    <w:rsid w:val="1004FFFF"/>
    <w:rsid w:val="102F94C0"/>
    <w:rsid w:val="109C5E05"/>
    <w:rsid w:val="10FE798D"/>
    <w:rsid w:val="1184942C"/>
    <w:rsid w:val="11A0C57F"/>
    <w:rsid w:val="12B1146B"/>
    <w:rsid w:val="12F79EF1"/>
    <w:rsid w:val="13623D54"/>
    <w:rsid w:val="138F6DA7"/>
    <w:rsid w:val="13E09E39"/>
    <w:rsid w:val="13F8DE15"/>
    <w:rsid w:val="14B09D2E"/>
    <w:rsid w:val="1572108F"/>
    <w:rsid w:val="157AA914"/>
    <w:rsid w:val="1604079E"/>
    <w:rsid w:val="1800887A"/>
    <w:rsid w:val="18939E78"/>
    <w:rsid w:val="18DA0E57"/>
    <w:rsid w:val="19488E14"/>
    <w:rsid w:val="19709368"/>
    <w:rsid w:val="19C00B3B"/>
    <w:rsid w:val="1A2B1535"/>
    <w:rsid w:val="1A63B4E2"/>
    <w:rsid w:val="1B037A24"/>
    <w:rsid w:val="1C0C2AD4"/>
    <w:rsid w:val="1C116193"/>
    <w:rsid w:val="1C11FB07"/>
    <w:rsid w:val="1C5BDF09"/>
    <w:rsid w:val="1CBA6623"/>
    <w:rsid w:val="1CFDD910"/>
    <w:rsid w:val="1DC15AC0"/>
    <w:rsid w:val="1DCAECDD"/>
    <w:rsid w:val="1E2B73A6"/>
    <w:rsid w:val="1F077819"/>
    <w:rsid w:val="1F103C01"/>
    <w:rsid w:val="209E2B8A"/>
    <w:rsid w:val="213E73AB"/>
    <w:rsid w:val="225DB0DB"/>
    <w:rsid w:val="242791C9"/>
    <w:rsid w:val="245B1C0B"/>
    <w:rsid w:val="24945C36"/>
    <w:rsid w:val="24BDFFB9"/>
    <w:rsid w:val="24E969A4"/>
    <w:rsid w:val="25BEBE46"/>
    <w:rsid w:val="26859BF5"/>
    <w:rsid w:val="27BC878E"/>
    <w:rsid w:val="29AB78B2"/>
    <w:rsid w:val="29AF9167"/>
    <w:rsid w:val="29EB5AA3"/>
    <w:rsid w:val="2ACE4E0B"/>
    <w:rsid w:val="2B371DE2"/>
    <w:rsid w:val="2C505F92"/>
    <w:rsid w:val="2C808442"/>
    <w:rsid w:val="2C87D04F"/>
    <w:rsid w:val="2C9C46ED"/>
    <w:rsid w:val="2CB53278"/>
    <w:rsid w:val="2CE42933"/>
    <w:rsid w:val="2D1AA086"/>
    <w:rsid w:val="2DA240D6"/>
    <w:rsid w:val="2DCDE60A"/>
    <w:rsid w:val="2E5C8FA5"/>
    <w:rsid w:val="2E822ED6"/>
    <w:rsid w:val="2E9F1F44"/>
    <w:rsid w:val="2ED0B04D"/>
    <w:rsid w:val="2F1E08E4"/>
    <w:rsid w:val="2F8270AE"/>
    <w:rsid w:val="2FE1FB58"/>
    <w:rsid w:val="311F3D2E"/>
    <w:rsid w:val="318B1909"/>
    <w:rsid w:val="31ADAFD6"/>
    <w:rsid w:val="322FF0C1"/>
    <w:rsid w:val="323B42DE"/>
    <w:rsid w:val="327DD155"/>
    <w:rsid w:val="32BE9D94"/>
    <w:rsid w:val="33699DBC"/>
    <w:rsid w:val="33B8C0DE"/>
    <w:rsid w:val="33F233DA"/>
    <w:rsid w:val="3433D0CA"/>
    <w:rsid w:val="358A4595"/>
    <w:rsid w:val="3650A564"/>
    <w:rsid w:val="365B8747"/>
    <w:rsid w:val="36A87BAD"/>
    <w:rsid w:val="370B783A"/>
    <w:rsid w:val="38D2250F"/>
    <w:rsid w:val="392004A8"/>
    <w:rsid w:val="399E792B"/>
    <w:rsid w:val="39B3BF21"/>
    <w:rsid w:val="3A1B1CAE"/>
    <w:rsid w:val="3A320801"/>
    <w:rsid w:val="3A683BB4"/>
    <w:rsid w:val="3A9729B4"/>
    <w:rsid w:val="3C38AAC6"/>
    <w:rsid w:val="3C50ABDF"/>
    <w:rsid w:val="3C886AFE"/>
    <w:rsid w:val="3C9E62C1"/>
    <w:rsid w:val="3CF2D8B7"/>
    <w:rsid w:val="3CF85DC5"/>
    <w:rsid w:val="3D581A18"/>
    <w:rsid w:val="3D5BA715"/>
    <w:rsid w:val="3DA46742"/>
    <w:rsid w:val="3E5A9F90"/>
    <w:rsid w:val="3F17BB54"/>
    <w:rsid w:val="3F186425"/>
    <w:rsid w:val="404BC132"/>
    <w:rsid w:val="40EF0943"/>
    <w:rsid w:val="417F5015"/>
    <w:rsid w:val="4376E822"/>
    <w:rsid w:val="43FB7D83"/>
    <w:rsid w:val="442571F6"/>
    <w:rsid w:val="442C6B81"/>
    <w:rsid w:val="44583000"/>
    <w:rsid w:val="44B33231"/>
    <w:rsid w:val="459C301C"/>
    <w:rsid w:val="4605AAED"/>
    <w:rsid w:val="47FEA913"/>
    <w:rsid w:val="48C26D99"/>
    <w:rsid w:val="491808E2"/>
    <w:rsid w:val="4A1A4425"/>
    <w:rsid w:val="4A378626"/>
    <w:rsid w:val="4A3EEF7A"/>
    <w:rsid w:val="4A742D2E"/>
    <w:rsid w:val="4AB42BEF"/>
    <w:rsid w:val="4ABE2F2E"/>
    <w:rsid w:val="4B14F784"/>
    <w:rsid w:val="4C7454F9"/>
    <w:rsid w:val="4CE6C43C"/>
    <w:rsid w:val="4D48EC80"/>
    <w:rsid w:val="4E4F7A68"/>
    <w:rsid w:val="50D4FF3E"/>
    <w:rsid w:val="517C88EB"/>
    <w:rsid w:val="52A7F872"/>
    <w:rsid w:val="53DC519E"/>
    <w:rsid w:val="55977052"/>
    <w:rsid w:val="55C84D7D"/>
    <w:rsid w:val="5602A65A"/>
    <w:rsid w:val="56449129"/>
    <w:rsid w:val="57373257"/>
    <w:rsid w:val="578200ED"/>
    <w:rsid w:val="583D03DA"/>
    <w:rsid w:val="58B95683"/>
    <w:rsid w:val="58E960D2"/>
    <w:rsid w:val="595D92A6"/>
    <w:rsid w:val="5A6C4268"/>
    <w:rsid w:val="5A975E5D"/>
    <w:rsid w:val="5B4A9B32"/>
    <w:rsid w:val="5BE9B520"/>
    <w:rsid w:val="5E5AC584"/>
    <w:rsid w:val="5E62BC10"/>
    <w:rsid w:val="5F54EA71"/>
    <w:rsid w:val="5FB77D18"/>
    <w:rsid w:val="60EE0464"/>
    <w:rsid w:val="61B002F7"/>
    <w:rsid w:val="61DCC310"/>
    <w:rsid w:val="638904FA"/>
    <w:rsid w:val="641AD65D"/>
    <w:rsid w:val="64E76650"/>
    <w:rsid w:val="65499450"/>
    <w:rsid w:val="65E8A547"/>
    <w:rsid w:val="66E83D63"/>
    <w:rsid w:val="680D6955"/>
    <w:rsid w:val="68D233CC"/>
    <w:rsid w:val="69140BA9"/>
    <w:rsid w:val="69B5339D"/>
    <w:rsid w:val="6A15C672"/>
    <w:rsid w:val="6A22B44A"/>
    <w:rsid w:val="6AB8802A"/>
    <w:rsid w:val="6B87E898"/>
    <w:rsid w:val="6C6825B0"/>
    <w:rsid w:val="6CBB1665"/>
    <w:rsid w:val="6D298E4C"/>
    <w:rsid w:val="6D4582CA"/>
    <w:rsid w:val="6D48137B"/>
    <w:rsid w:val="6E4948A1"/>
    <w:rsid w:val="6E865C0B"/>
    <w:rsid w:val="6E87D406"/>
    <w:rsid w:val="6EE93795"/>
    <w:rsid w:val="6F8AADC4"/>
    <w:rsid w:val="703EEB09"/>
    <w:rsid w:val="706586D2"/>
    <w:rsid w:val="70AC112B"/>
    <w:rsid w:val="71199037"/>
    <w:rsid w:val="731E1290"/>
    <w:rsid w:val="735A28CF"/>
    <w:rsid w:val="74C4BAAF"/>
    <w:rsid w:val="74F420A9"/>
    <w:rsid w:val="75506D47"/>
    <w:rsid w:val="768193DF"/>
    <w:rsid w:val="76A61452"/>
    <w:rsid w:val="77D31B14"/>
    <w:rsid w:val="78751DDD"/>
    <w:rsid w:val="79D58EC4"/>
    <w:rsid w:val="7A6ACDC4"/>
    <w:rsid w:val="7B1F50AC"/>
    <w:rsid w:val="7B251323"/>
    <w:rsid w:val="7B4D1877"/>
    <w:rsid w:val="7B7CD880"/>
    <w:rsid w:val="7BA8A70F"/>
    <w:rsid w:val="7BE7A903"/>
    <w:rsid w:val="7BED6B30"/>
    <w:rsid w:val="7BFD7812"/>
    <w:rsid w:val="7D8577E5"/>
    <w:rsid w:val="7EA43CF9"/>
    <w:rsid w:val="7EC0E191"/>
    <w:rsid w:val="7FC52C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F0174"/>
  <w15:docId w15:val="{43BDAAB3-E026-4FB1-B903-C2FD7DD7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CF1C73"/>
    <w:pPr>
      <w:keepNext/>
      <w:keepLines/>
      <w:numPr>
        <w:numId w:val="31"/>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CF1C73"/>
    <w:pPr>
      <w:keepNext/>
      <w:keepLines/>
      <w:numPr>
        <w:ilvl w:val="1"/>
        <w:numId w:val="31"/>
      </w:numPr>
      <w:ind w:left="851" w:hanging="851"/>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18"/>
      </w:numPr>
      <w:ind w:left="851" w:firstLine="0"/>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Heading1"/>
    <w:next w:val="Normal"/>
    <w:link w:val="Heading8Char"/>
    <w:uiPriority w:val="9"/>
    <w:unhideWhenUsed/>
    <w:qFormat/>
    <w:rsid w:val="00BA3EDA"/>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3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CF1C73"/>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5837A5"/>
    <w:pPr>
      <w:tabs>
        <w:tab w:val="right" w:leader="dot" w:pos="9016"/>
      </w:tabs>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CF1C73"/>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BA3EDA"/>
    <w:rPr>
      <w:rFonts w:eastAsiaTheme="majorEastAsia" w:cstheme="majorBidi"/>
      <w:bCs/>
      <w:color w:val="7030A0"/>
      <w:sz w:val="52"/>
      <w:szCs w:val="28"/>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F1C73"/>
    <w:pPr>
      <w:numPr>
        <w:ilvl w:val="2"/>
        <w:numId w:val="31"/>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qFormat/>
    <w:rsid w:val="000E40D1"/>
    <w:rPr>
      <w:sz w:val="20"/>
      <w:szCs w:val="20"/>
    </w:rPr>
  </w:style>
  <w:style w:type="character" w:styleId="FootnoteReference">
    <w:name w:val="footnote reference"/>
    <w:aliases w:val="4_G,ftref,Fußnotenzeichen DISS,16 Point,Superscript 6 Point,callout,Footnote Refernece,Footnote Reference Number,Fußnotenzeichen_Raxen,BVI fnr,Fago Fußnotenzeichen,4_G Char Char,Footnote Char Char,callout Char Char,Footnote Reference1"/>
    <w:basedOn w:val="DefaultParagraphFont"/>
    <w:link w:val="Char2"/>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qFormat/>
    <w:rsid w:val="00CF1C73"/>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0B80"/>
    <w:pPr>
      <w:numPr>
        <w:ilvl w:val="0"/>
        <w:numId w:val="12"/>
      </w:numPr>
      <w:ind w:left="1208" w:hanging="357"/>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0B80"/>
  </w:style>
  <w:style w:type="paragraph" w:customStyle="1" w:styleId="Heading3a">
    <w:name w:val="Heading 3a"/>
    <w:basedOn w:val="Normal"/>
    <w:link w:val="Heading3aChar"/>
    <w:qFormat/>
    <w:rsid w:val="001D706D"/>
    <w:pPr>
      <w:numPr>
        <w:numId w:val="13"/>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 w:type="paragraph" w:customStyle="1" w:styleId="Char2">
    <w:name w:val="Char2"/>
    <w:basedOn w:val="Normal"/>
    <w:link w:val="FootnoteReference"/>
    <w:uiPriority w:val="99"/>
    <w:rsid w:val="00981494"/>
    <w:pPr>
      <w:spacing w:after="160" w:line="240" w:lineRule="exact"/>
      <w:jc w:val="both"/>
    </w:pPr>
    <w:rPr>
      <w:vertAlign w:val="superscript"/>
    </w:rPr>
  </w:style>
  <w:style w:type="paragraph" w:customStyle="1" w:styleId="ssrcss-1q0x1qg-paragraph">
    <w:name w:val="ssrcss-1q0x1qg-paragraph"/>
    <w:basedOn w:val="Normal"/>
    <w:rsid w:val="002675AC"/>
    <w:pPr>
      <w:spacing w:before="100" w:beforeAutospacing="1" w:after="100" w:afterAutospacing="1"/>
    </w:pPr>
    <w:rPr>
      <w:rFonts w:ascii="Times New Roman" w:eastAsia="Times New Roman" w:hAnsi="Times New Roman" w:cs="Times New Roman"/>
      <w:szCs w:val="24"/>
      <w:lang w:eastAsia="en-GB"/>
    </w:rPr>
  </w:style>
  <w:style w:type="paragraph" w:styleId="EndnoteText">
    <w:name w:val="endnote text"/>
    <w:basedOn w:val="Normal"/>
    <w:link w:val="EndnoteTextChar"/>
    <w:uiPriority w:val="99"/>
    <w:semiHidden/>
    <w:unhideWhenUsed/>
    <w:rsid w:val="000E3132"/>
    <w:pPr>
      <w:spacing w:after="0"/>
    </w:pPr>
    <w:rPr>
      <w:sz w:val="20"/>
      <w:szCs w:val="20"/>
    </w:rPr>
  </w:style>
  <w:style w:type="character" w:customStyle="1" w:styleId="EndnoteTextChar">
    <w:name w:val="Endnote Text Char"/>
    <w:basedOn w:val="DefaultParagraphFont"/>
    <w:link w:val="EndnoteText"/>
    <w:uiPriority w:val="99"/>
    <w:semiHidden/>
    <w:rsid w:val="000E3132"/>
    <w:rPr>
      <w:sz w:val="20"/>
      <w:szCs w:val="20"/>
    </w:rPr>
  </w:style>
  <w:style w:type="character" w:styleId="EndnoteReference">
    <w:name w:val="endnote reference"/>
    <w:basedOn w:val="DefaultParagraphFont"/>
    <w:uiPriority w:val="99"/>
    <w:semiHidden/>
    <w:unhideWhenUsed/>
    <w:rsid w:val="000E3132"/>
    <w:rPr>
      <w:vertAlign w:val="superscript"/>
    </w:rPr>
  </w:style>
  <w:style w:type="character" w:customStyle="1" w:styleId="normaltextrun">
    <w:name w:val="normaltextrun"/>
    <w:basedOn w:val="DefaultParagraphFont"/>
    <w:rsid w:val="00EA5CFE"/>
  </w:style>
  <w:style w:type="character" w:customStyle="1" w:styleId="findhit">
    <w:name w:val="findhit"/>
    <w:basedOn w:val="DefaultParagraphFont"/>
    <w:rsid w:val="00B45A37"/>
  </w:style>
  <w:style w:type="character" w:customStyle="1" w:styleId="sbb9ee52a">
    <w:name w:val="sbb9ee52a"/>
    <w:basedOn w:val="DefaultParagraphFont"/>
    <w:rsid w:val="00D529C4"/>
  </w:style>
  <w:style w:type="character" w:customStyle="1" w:styleId="eop">
    <w:name w:val="eop"/>
    <w:basedOn w:val="DefaultParagraphFont"/>
    <w:rsid w:val="00C917F4"/>
  </w:style>
  <w:style w:type="paragraph" w:styleId="NormalWeb">
    <w:name w:val="Normal (Web)"/>
    <w:basedOn w:val="Normal"/>
    <w:uiPriority w:val="99"/>
    <w:semiHidden/>
    <w:unhideWhenUsed/>
    <w:rsid w:val="002A4D4E"/>
    <w:rPr>
      <w:rFonts w:ascii="Times New Roman" w:hAnsi="Times New Roman" w:cs="Times New Roman"/>
      <w:szCs w:val="24"/>
    </w:rPr>
  </w:style>
  <w:style w:type="character" w:customStyle="1" w:styleId="cf01">
    <w:name w:val="cf01"/>
    <w:basedOn w:val="DefaultParagraphFont"/>
    <w:rsid w:val="00D9570B"/>
    <w:rPr>
      <w:rFonts w:ascii="Segoe UI" w:hAnsi="Segoe UI" w:cs="Segoe UI" w:hint="default"/>
      <w:sz w:val="18"/>
      <w:szCs w:val="18"/>
    </w:rPr>
  </w:style>
  <w:style w:type="character" w:customStyle="1" w:styleId="cf11">
    <w:name w:val="cf11"/>
    <w:basedOn w:val="DefaultParagraphFont"/>
    <w:rsid w:val="00DB75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2868">
      <w:bodyDiv w:val="1"/>
      <w:marLeft w:val="0"/>
      <w:marRight w:val="0"/>
      <w:marTop w:val="0"/>
      <w:marBottom w:val="0"/>
      <w:divBdr>
        <w:top w:val="none" w:sz="0" w:space="0" w:color="auto"/>
        <w:left w:val="none" w:sz="0" w:space="0" w:color="auto"/>
        <w:bottom w:val="none" w:sz="0" w:space="0" w:color="auto"/>
        <w:right w:val="none" w:sz="0" w:space="0" w:color="auto"/>
      </w:divBdr>
      <w:divsChild>
        <w:div w:id="1075782127">
          <w:marLeft w:val="0"/>
          <w:marRight w:val="0"/>
          <w:marTop w:val="0"/>
          <w:marBottom w:val="0"/>
          <w:divBdr>
            <w:top w:val="none" w:sz="0" w:space="0" w:color="auto"/>
            <w:left w:val="none" w:sz="0" w:space="0" w:color="auto"/>
            <w:bottom w:val="none" w:sz="0" w:space="0" w:color="auto"/>
            <w:right w:val="none" w:sz="0" w:space="0" w:color="auto"/>
          </w:divBdr>
          <w:divsChild>
            <w:div w:id="7616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7874">
      <w:bodyDiv w:val="1"/>
      <w:marLeft w:val="0"/>
      <w:marRight w:val="0"/>
      <w:marTop w:val="0"/>
      <w:marBottom w:val="0"/>
      <w:divBdr>
        <w:top w:val="none" w:sz="0" w:space="0" w:color="auto"/>
        <w:left w:val="none" w:sz="0" w:space="0" w:color="auto"/>
        <w:bottom w:val="none" w:sz="0" w:space="0" w:color="auto"/>
        <w:right w:val="none" w:sz="0" w:space="0" w:color="auto"/>
      </w:divBdr>
    </w:div>
    <w:div w:id="204563908">
      <w:bodyDiv w:val="1"/>
      <w:marLeft w:val="0"/>
      <w:marRight w:val="0"/>
      <w:marTop w:val="0"/>
      <w:marBottom w:val="0"/>
      <w:divBdr>
        <w:top w:val="none" w:sz="0" w:space="0" w:color="auto"/>
        <w:left w:val="none" w:sz="0" w:space="0" w:color="auto"/>
        <w:bottom w:val="none" w:sz="0" w:space="0" w:color="auto"/>
        <w:right w:val="none" w:sz="0" w:space="0" w:color="auto"/>
      </w:divBdr>
    </w:div>
    <w:div w:id="301816722">
      <w:bodyDiv w:val="1"/>
      <w:marLeft w:val="0"/>
      <w:marRight w:val="0"/>
      <w:marTop w:val="0"/>
      <w:marBottom w:val="0"/>
      <w:divBdr>
        <w:top w:val="none" w:sz="0" w:space="0" w:color="auto"/>
        <w:left w:val="none" w:sz="0" w:space="0" w:color="auto"/>
        <w:bottom w:val="none" w:sz="0" w:space="0" w:color="auto"/>
        <w:right w:val="none" w:sz="0" w:space="0" w:color="auto"/>
      </w:divBdr>
    </w:div>
    <w:div w:id="335771788">
      <w:bodyDiv w:val="1"/>
      <w:marLeft w:val="0"/>
      <w:marRight w:val="0"/>
      <w:marTop w:val="0"/>
      <w:marBottom w:val="0"/>
      <w:divBdr>
        <w:top w:val="none" w:sz="0" w:space="0" w:color="auto"/>
        <w:left w:val="none" w:sz="0" w:space="0" w:color="auto"/>
        <w:bottom w:val="none" w:sz="0" w:space="0" w:color="auto"/>
        <w:right w:val="none" w:sz="0" w:space="0" w:color="auto"/>
      </w:divBdr>
    </w:div>
    <w:div w:id="356350904">
      <w:bodyDiv w:val="1"/>
      <w:marLeft w:val="0"/>
      <w:marRight w:val="0"/>
      <w:marTop w:val="0"/>
      <w:marBottom w:val="0"/>
      <w:divBdr>
        <w:top w:val="none" w:sz="0" w:space="0" w:color="auto"/>
        <w:left w:val="none" w:sz="0" w:space="0" w:color="auto"/>
        <w:bottom w:val="none" w:sz="0" w:space="0" w:color="auto"/>
        <w:right w:val="none" w:sz="0" w:space="0" w:color="auto"/>
      </w:divBdr>
    </w:div>
    <w:div w:id="386337288">
      <w:bodyDiv w:val="1"/>
      <w:marLeft w:val="0"/>
      <w:marRight w:val="0"/>
      <w:marTop w:val="0"/>
      <w:marBottom w:val="0"/>
      <w:divBdr>
        <w:top w:val="none" w:sz="0" w:space="0" w:color="auto"/>
        <w:left w:val="none" w:sz="0" w:space="0" w:color="auto"/>
        <w:bottom w:val="none" w:sz="0" w:space="0" w:color="auto"/>
        <w:right w:val="none" w:sz="0" w:space="0" w:color="auto"/>
      </w:divBdr>
    </w:div>
    <w:div w:id="410663429">
      <w:bodyDiv w:val="1"/>
      <w:marLeft w:val="0"/>
      <w:marRight w:val="0"/>
      <w:marTop w:val="0"/>
      <w:marBottom w:val="0"/>
      <w:divBdr>
        <w:top w:val="none" w:sz="0" w:space="0" w:color="auto"/>
        <w:left w:val="none" w:sz="0" w:space="0" w:color="auto"/>
        <w:bottom w:val="none" w:sz="0" w:space="0" w:color="auto"/>
        <w:right w:val="none" w:sz="0" w:space="0" w:color="auto"/>
      </w:divBdr>
    </w:div>
    <w:div w:id="519126766">
      <w:bodyDiv w:val="1"/>
      <w:marLeft w:val="0"/>
      <w:marRight w:val="0"/>
      <w:marTop w:val="0"/>
      <w:marBottom w:val="0"/>
      <w:divBdr>
        <w:top w:val="none" w:sz="0" w:space="0" w:color="auto"/>
        <w:left w:val="none" w:sz="0" w:space="0" w:color="auto"/>
        <w:bottom w:val="none" w:sz="0" w:space="0" w:color="auto"/>
        <w:right w:val="none" w:sz="0" w:space="0" w:color="auto"/>
      </w:divBdr>
    </w:div>
    <w:div w:id="570315325">
      <w:bodyDiv w:val="1"/>
      <w:marLeft w:val="0"/>
      <w:marRight w:val="0"/>
      <w:marTop w:val="0"/>
      <w:marBottom w:val="0"/>
      <w:divBdr>
        <w:top w:val="none" w:sz="0" w:space="0" w:color="auto"/>
        <w:left w:val="none" w:sz="0" w:space="0" w:color="auto"/>
        <w:bottom w:val="none" w:sz="0" w:space="0" w:color="auto"/>
        <w:right w:val="none" w:sz="0" w:space="0" w:color="auto"/>
      </w:divBdr>
    </w:div>
    <w:div w:id="591937817">
      <w:bodyDiv w:val="1"/>
      <w:marLeft w:val="0"/>
      <w:marRight w:val="0"/>
      <w:marTop w:val="0"/>
      <w:marBottom w:val="0"/>
      <w:divBdr>
        <w:top w:val="none" w:sz="0" w:space="0" w:color="auto"/>
        <w:left w:val="none" w:sz="0" w:space="0" w:color="auto"/>
        <w:bottom w:val="none" w:sz="0" w:space="0" w:color="auto"/>
        <w:right w:val="none" w:sz="0" w:space="0" w:color="auto"/>
      </w:divBdr>
    </w:div>
    <w:div w:id="617179957">
      <w:bodyDiv w:val="1"/>
      <w:marLeft w:val="0"/>
      <w:marRight w:val="0"/>
      <w:marTop w:val="0"/>
      <w:marBottom w:val="0"/>
      <w:divBdr>
        <w:top w:val="none" w:sz="0" w:space="0" w:color="auto"/>
        <w:left w:val="none" w:sz="0" w:space="0" w:color="auto"/>
        <w:bottom w:val="none" w:sz="0" w:space="0" w:color="auto"/>
        <w:right w:val="none" w:sz="0" w:space="0" w:color="auto"/>
      </w:divBdr>
    </w:div>
    <w:div w:id="655690995">
      <w:bodyDiv w:val="1"/>
      <w:marLeft w:val="0"/>
      <w:marRight w:val="0"/>
      <w:marTop w:val="0"/>
      <w:marBottom w:val="0"/>
      <w:divBdr>
        <w:top w:val="none" w:sz="0" w:space="0" w:color="auto"/>
        <w:left w:val="none" w:sz="0" w:space="0" w:color="auto"/>
        <w:bottom w:val="none" w:sz="0" w:space="0" w:color="auto"/>
        <w:right w:val="none" w:sz="0" w:space="0" w:color="auto"/>
      </w:divBdr>
    </w:div>
    <w:div w:id="692926510">
      <w:bodyDiv w:val="1"/>
      <w:marLeft w:val="0"/>
      <w:marRight w:val="0"/>
      <w:marTop w:val="0"/>
      <w:marBottom w:val="0"/>
      <w:divBdr>
        <w:top w:val="none" w:sz="0" w:space="0" w:color="auto"/>
        <w:left w:val="none" w:sz="0" w:space="0" w:color="auto"/>
        <w:bottom w:val="none" w:sz="0" w:space="0" w:color="auto"/>
        <w:right w:val="none" w:sz="0" w:space="0" w:color="auto"/>
      </w:divBdr>
    </w:div>
    <w:div w:id="736633425">
      <w:bodyDiv w:val="1"/>
      <w:marLeft w:val="0"/>
      <w:marRight w:val="0"/>
      <w:marTop w:val="0"/>
      <w:marBottom w:val="0"/>
      <w:divBdr>
        <w:top w:val="none" w:sz="0" w:space="0" w:color="auto"/>
        <w:left w:val="none" w:sz="0" w:space="0" w:color="auto"/>
        <w:bottom w:val="none" w:sz="0" w:space="0" w:color="auto"/>
        <w:right w:val="none" w:sz="0" w:space="0" w:color="auto"/>
      </w:divBdr>
    </w:div>
    <w:div w:id="922759840">
      <w:bodyDiv w:val="1"/>
      <w:marLeft w:val="0"/>
      <w:marRight w:val="0"/>
      <w:marTop w:val="0"/>
      <w:marBottom w:val="0"/>
      <w:divBdr>
        <w:top w:val="none" w:sz="0" w:space="0" w:color="auto"/>
        <w:left w:val="none" w:sz="0" w:space="0" w:color="auto"/>
        <w:bottom w:val="none" w:sz="0" w:space="0" w:color="auto"/>
        <w:right w:val="none" w:sz="0" w:space="0" w:color="auto"/>
      </w:divBdr>
    </w:div>
    <w:div w:id="937248509">
      <w:bodyDiv w:val="1"/>
      <w:marLeft w:val="0"/>
      <w:marRight w:val="0"/>
      <w:marTop w:val="0"/>
      <w:marBottom w:val="0"/>
      <w:divBdr>
        <w:top w:val="none" w:sz="0" w:space="0" w:color="auto"/>
        <w:left w:val="none" w:sz="0" w:space="0" w:color="auto"/>
        <w:bottom w:val="none" w:sz="0" w:space="0" w:color="auto"/>
        <w:right w:val="none" w:sz="0" w:space="0" w:color="auto"/>
      </w:divBdr>
      <w:divsChild>
        <w:div w:id="630678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9181805">
      <w:bodyDiv w:val="1"/>
      <w:marLeft w:val="0"/>
      <w:marRight w:val="0"/>
      <w:marTop w:val="0"/>
      <w:marBottom w:val="0"/>
      <w:divBdr>
        <w:top w:val="none" w:sz="0" w:space="0" w:color="auto"/>
        <w:left w:val="none" w:sz="0" w:space="0" w:color="auto"/>
        <w:bottom w:val="none" w:sz="0" w:space="0" w:color="auto"/>
        <w:right w:val="none" w:sz="0" w:space="0" w:color="auto"/>
      </w:divBdr>
    </w:div>
    <w:div w:id="1215586323">
      <w:bodyDiv w:val="1"/>
      <w:marLeft w:val="0"/>
      <w:marRight w:val="0"/>
      <w:marTop w:val="0"/>
      <w:marBottom w:val="0"/>
      <w:divBdr>
        <w:top w:val="none" w:sz="0" w:space="0" w:color="auto"/>
        <w:left w:val="none" w:sz="0" w:space="0" w:color="auto"/>
        <w:bottom w:val="none" w:sz="0" w:space="0" w:color="auto"/>
        <w:right w:val="none" w:sz="0" w:space="0" w:color="auto"/>
      </w:divBdr>
    </w:div>
    <w:div w:id="1368869141">
      <w:bodyDiv w:val="1"/>
      <w:marLeft w:val="0"/>
      <w:marRight w:val="0"/>
      <w:marTop w:val="0"/>
      <w:marBottom w:val="0"/>
      <w:divBdr>
        <w:top w:val="none" w:sz="0" w:space="0" w:color="auto"/>
        <w:left w:val="none" w:sz="0" w:space="0" w:color="auto"/>
        <w:bottom w:val="none" w:sz="0" w:space="0" w:color="auto"/>
        <w:right w:val="none" w:sz="0" w:space="0" w:color="auto"/>
      </w:divBdr>
    </w:div>
    <w:div w:id="1409570129">
      <w:bodyDiv w:val="1"/>
      <w:marLeft w:val="0"/>
      <w:marRight w:val="0"/>
      <w:marTop w:val="0"/>
      <w:marBottom w:val="0"/>
      <w:divBdr>
        <w:top w:val="none" w:sz="0" w:space="0" w:color="auto"/>
        <w:left w:val="none" w:sz="0" w:space="0" w:color="auto"/>
        <w:bottom w:val="none" w:sz="0" w:space="0" w:color="auto"/>
        <w:right w:val="none" w:sz="0" w:space="0" w:color="auto"/>
      </w:divBdr>
    </w:div>
    <w:div w:id="1430546632">
      <w:bodyDiv w:val="1"/>
      <w:marLeft w:val="0"/>
      <w:marRight w:val="0"/>
      <w:marTop w:val="0"/>
      <w:marBottom w:val="0"/>
      <w:divBdr>
        <w:top w:val="none" w:sz="0" w:space="0" w:color="auto"/>
        <w:left w:val="none" w:sz="0" w:space="0" w:color="auto"/>
        <w:bottom w:val="none" w:sz="0" w:space="0" w:color="auto"/>
        <w:right w:val="none" w:sz="0" w:space="0" w:color="auto"/>
      </w:divBdr>
    </w:div>
    <w:div w:id="1456019081">
      <w:bodyDiv w:val="1"/>
      <w:marLeft w:val="0"/>
      <w:marRight w:val="0"/>
      <w:marTop w:val="0"/>
      <w:marBottom w:val="0"/>
      <w:divBdr>
        <w:top w:val="none" w:sz="0" w:space="0" w:color="auto"/>
        <w:left w:val="none" w:sz="0" w:space="0" w:color="auto"/>
        <w:bottom w:val="none" w:sz="0" w:space="0" w:color="auto"/>
        <w:right w:val="none" w:sz="0" w:space="0" w:color="auto"/>
      </w:divBdr>
    </w:div>
    <w:div w:id="1532768047">
      <w:bodyDiv w:val="1"/>
      <w:marLeft w:val="0"/>
      <w:marRight w:val="0"/>
      <w:marTop w:val="0"/>
      <w:marBottom w:val="0"/>
      <w:divBdr>
        <w:top w:val="none" w:sz="0" w:space="0" w:color="auto"/>
        <w:left w:val="none" w:sz="0" w:space="0" w:color="auto"/>
        <w:bottom w:val="none" w:sz="0" w:space="0" w:color="auto"/>
        <w:right w:val="none" w:sz="0" w:space="0" w:color="auto"/>
      </w:divBdr>
    </w:div>
    <w:div w:id="1533837037">
      <w:bodyDiv w:val="1"/>
      <w:marLeft w:val="0"/>
      <w:marRight w:val="0"/>
      <w:marTop w:val="0"/>
      <w:marBottom w:val="0"/>
      <w:divBdr>
        <w:top w:val="none" w:sz="0" w:space="0" w:color="auto"/>
        <w:left w:val="none" w:sz="0" w:space="0" w:color="auto"/>
        <w:bottom w:val="none" w:sz="0" w:space="0" w:color="auto"/>
        <w:right w:val="none" w:sz="0" w:space="0" w:color="auto"/>
      </w:divBdr>
    </w:div>
    <w:div w:id="1542011679">
      <w:bodyDiv w:val="1"/>
      <w:marLeft w:val="0"/>
      <w:marRight w:val="0"/>
      <w:marTop w:val="0"/>
      <w:marBottom w:val="0"/>
      <w:divBdr>
        <w:top w:val="none" w:sz="0" w:space="0" w:color="auto"/>
        <w:left w:val="none" w:sz="0" w:space="0" w:color="auto"/>
        <w:bottom w:val="none" w:sz="0" w:space="0" w:color="auto"/>
        <w:right w:val="none" w:sz="0" w:space="0" w:color="auto"/>
      </w:divBdr>
      <w:divsChild>
        <w:div w:id="843937168">
          <w:marLeft w:val="0"/>
          <w:marRight w:val="0"/>
          <w:marTop w:val="0"/>
          <w:marBottom w:val="0"/>
          <w:divBdr>
            <w:top w:val="none" w:sz="0" w:space="0" w:color="auto"/>
            <w:left w:val="none" w:sz="0" w:space="0" w:color="auto"/>
            <w:bottom w:val="none" w:sz="0" w:space="0" w:color="auto"/>
            <w:right w:val="none" w:sz="0" w:space="0" w:color="auto"/>
          </w:divBdr>
          <w:divsChild>
            <w:div w:id="718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889">
      <w:bodyDiv w:val="1"/>
      <w:marLeft w:val="0"/>
      <w:marRight w:val="0"/>
      <w:marTop w:val="0"/>
      <w:marBottom w:val="0"/>
      <w:divBdr>
        <w:top w:val="none" w:sz="0" w:space="0" w:color="auto"/>
        <w:left w:val="none" w:sz="0" w:space="0" w:color="auto"/>
        <w:bottom w:val="none" w:sz="0" w:space="0" w:color="auto"/>
        <w:right w:val="none" w:sz="0" w:space="0" w:color="auto"/>
      </w:divBdr>
    </w:div>
    <w:div w:id="1625770086">
      <w:bodyDiv w:val="1"/>
      <w:marLeft w:val="0"/>
      <w:marRight w:val="0"/>
      <w:marTop w:val="0"/>
      <w:marBottom w:val="0"/>
      <w:divBdr>
        <w:top w:val="none" w:sz="0" w:space="0" w:color="auto"/>
        <w:left w:val="none" w:sz="0" w:space="0" w:color="auto"/>
        <w:bottom w:val="none" w:sz="0" w:space="0" w:color="auto"/>
        <w:right w:val="none" w:sz="0" w:space="0" w:color="auto"/>
      </w:divBdr>
    </w:div>
    <w:div w:id="1645692746">
      <w:bodyDiv w:val="1"/>
      <w:marLeft w:val="0"/>
      <w:marRight w:val="0"/>
      <w:marTop w:val="0"/>
      <w:marBottom w:val="0"/>
      <w:divBdr>
        <w:top w:val="none" w:sz="0" w:space="0" w:color="auto"/>
        <w:left w:val="none" w:sz="0" w:space="0" w:color="auto"/>
        <w:bottom w:val="none" w:sz="0" w:space="0" w:color="auto"/>
        <w:right w:val="none" w:sz="0" w:space="0" w:color="auto"/>
      </w:divBdr>
    </w:div>
    <w:div w:id="1664043758">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 w:id="1766805668">
      <w:bodyDiv w:val="1"/>
      <w:marLeft w:val="0"/>
      <w:marRight w:val="0"/>
      <w:marTop w:val="0"/>
      <w:marBottom w:val="0"/>
      <w:divBdr>
        <w:top w:val="none" w:sz="0" w:space="0" w:color="auto"/>
        <w:left w:val="none" w:sz="0" w:space="0" w:color="auto"/>
        <w:bottom w:val="none" w:sz="0" w:space="0" w:color="auto"/>
        <w:right w:val="none" w:sz="0" w:space="0" w:color="auto"/>
      </w:divBdr>
    </w:div>
    <w:div w:id="1817188022">
      <w:bodyDiv w:val="1"/>
      <w:marLeft w:val="0"/>
      <w:marRight w:val="0"/>
      <w:marTop w:val="0"/>
      <w:marBottom w:val="0"/>
      <w:divBdr>
        <w:top w:val="none" w:sz="0" w:space="0" w:color="auto"/>
        <w:left w:val="none" w:sz="0" w:space="0" w:color="auto"/>
        <w:bottom w:val="none" w:sz="0" w:space="0" w:color="auto"/>
        <w:right w:val="none" w:sz="0" w:space="0" w:color="auto"/>
      </w:divBdr>
      <w:divsChild>
        <w:div w:id="312874340">
          <w:marLeft w:val="0"/>
          <w:marRight w:val="0"/>
          <w:marTop w:val="0"/>
          <w:marBottom w:val="0"/>
          <w:divBdr>
            <w:top w:val="none" w:sz="0" w:space="0" w:color="auto"/>
            <w:left w:val="none" w:sz="0" w:space="0" w:color="auto"/>
            <w:bottom w:val="none" w:sz="0" w:space="0" w:color="auto"/>
            <w:right w:val="none" w:sz="0" w:space="0" w:color="auto"/>
          </w:divBdr>
          <w:divsChild>
            <w:div w:id="1628051768">
              <w:marLeft w:val="-225"/>
              <w:marRight w:val="-225"/>
              <w:marTop w:val="0"/>
              <w:marBottom w:val="0"/>
              <w:divBdr>
                <w:top w:val="none" w:sz="0" w:space="0" w:color="auto"/>
                <w:left w:val="none" w:sz="0" w:space="0" w:color="auto"/>
                <w:bottom w:val="none" w:sz="0" w:space="0" w:color="auto"/>
                <w:right w:val="none" w:sz="0" w:space="0" w:color="auto"/>
              </w:divBdr>
              <w:divsChild>
                <w:div w:id="635378112">
                  <w:marLeft w:val="0"/>
                  <w:marRight w:val="0"/>
                  <w:marTop w:val="0"/>
                  <w:marBottom w:val="0"/>
                  <w:divBdr>
                    <w:top w:val="none" w:sz="0" w:space="0" w:color="auto"/>
                    <w:left w:val="none" w:sz="0" w:space="0" w:color="auto"/>
                    <w:bottom w:val="none" w:sz="0" w:space="0" w:color="auto"/>
                    <w:right w:val="none" w:sz="0" w:space="0" w:color="auto"/>
                  </w:divBdr>
                  <w:divsChild>
                    <w:div w:id="6663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216575">
      <w:bodyDiv w:val="1"/>
      <w:marLeft w:val="0"/>
      <w:marRight w:val="0"/>
      <w:marTop w:val="0"/>
      <w:marBottom w:val="0"/>
      <w:divBdr>
        <w:top w:val="none" w:sz="0" w:space="0" w:color="auto"/>
        <w:left w:val="none" w:sz="0" w:space="0" w:color="auto"/>
        <w:bottom w:val="none" w:sz="0" w:space="0" w:color="auto"/>
        <w:right w:val="none" w:sz="0" w:space="0" w:color="auto"/>
      </w:divBdr>
    </w:div>
    <w:div w:id="1895920005">
      <w:bodyDiv w:val="1"/>
      <w:marLeft w:val="0"/>
      <w:marRight w:val="0"/>
      <w:marTop w:val="0"/>
      <w:marBottom w:val="0"/>
      <w:divBdr>
        <w:top w:val="none" w:sz="0" w:space="0" w:color="auto"/>
        <w:left w:val="none" w:sz="0" w:space="0" w:color="auto"/>
        <w:bottom w:val="none" w:sz="0" w:space="0" w:color="auto"/>
        <w:right w:val="none" w:sz="0" w:space="0" w:color="auto"/>
      </w:divBdr>
    </w:div>
    <w:div w:id="1911694667">
      <w:bodyDiv w:val="1"/>
      <w:marLeft w:val="0"/>
      <w:marRight w:val="0"/>
      <w:marTop w:val="0"/>
      <w:marBottom w:val="0"/>
      <w:divBdr>
        <w:top w:val="none" w:sz="0" w:space="0" w:color="auto"/>
        <w:left w:val="none" w:sz="0" w:space="0" w:color="auto"/>
        <w:bottom w:val="none" w:sz="0" w:space="0" w:color="auto"/>
        <w:right w:val="none" w:sz="0" w:space="0" w:color="auto"/>
      </w:divBdr>
    </w:div>
    <w:div w:id="1929079085">
      <w:bodyDiv w:val="1"/>
      <w:marLeft w:val="0"/>
      <w:marRight w:val="0"/>
      <w:marTop w:val="0"/>
      <w:marBottom w:val="0"/>
      <w:divBdr>
        <w:top w:val="none" w:sz="0" w:space="0" w:color="auto"/>
        <w:left w:val="none" w:sz="0" w:space="0" w:color="auto"/>
        <w:bottom w:val="none" w:sz="0" w:space="0" w:color="auto"/>
        <w:right w:val="none" w:sz="0" w:space="0" w:color="auto"/>
      </w:divBdr>
    </w:div>
    <w:div w:id="1978337079">
      <w:bodyDiv w:val="1"/>
      <w:marLeft w:val="0"/>
      <w:marRight w:val="0"/>
      <w:marTop w:val="0"/>
      <w:marBottom w:val="0"/>
      <w:divBdr>
        <w:top w:val="none" w:sz="0" w:space="0" w:color="auto"/>
        <w:left w:val="none" w:sz="0" w:space="0" w:color="auto"/>
        <w:bottom w:val="none" w:sz="0" w:space="0" w:color="auto"/>
        <w:right w:val="none" w:sz="0" w:space="0" w:color="auto"/>
      </w:divBdr>
    </w:div>
    <w:div w:id="2008826572">
      <w:bodyDiv w:val="1"/>
      <w:marLeft w:val="0"/>
      <w:marRight w:val="0"/>
      <w:marTop w:val="0"/>
      <w:marBottom w:val="0"/>
      <w:divBdr>
        <w:top w:val="none" w:sz="0" w:space="0" w:color="auto"/>
        <w:left w:val="none" w:sz="0" w:space="0" w:color="auto"/>
        <w:bottom w:val="none" w:sz="0" w:space="0" w:color="auto"/>
        <w:right w:val="none" w:sz="0" w:space="0" w:color="auto"/>
      </w:divBdr>
    </w:div>
    <w:div w:id="2143451029">
      <w:bodyDiv w:val="1"/>
      <w:marLeft w:val="0"/>
      <w:marRight w:val="0"/>
      <w:marTop w:val="0"/>
      <w:marBottom w:val="0"/>
      <w:divBdr>
        <w:top w:val="none" w:sz="0" w:space="0" w:color="auto"/>
        <w:left w:val="none" w:sz="0" w:space="0" w:color="auto"/>
        <w:bottom w:val="none" w:sz="0" w:space="0" w:color="auto"/>
        <w:right w:val="none" w:sz="0" w:space="0" w:color="auto"/>
      </w:divBdr>
      <w:divsChild>
        <w:div w:id="1310859646">
          <w:marLeft w:val="0"/>
          <w:marRight w:val="0"/>
          <w:marTop w:val="0"/>
          <w:marBottom w:val="0"/>
          <w:divBdr>
            <w:top w:val="none" w:sz="0" w:space="0" w:color="auto"/>
            <w:left w:val="none" w:sz="0" w:space="0" w:color="auto"/>
            <w:bottom w:val="none" w:sz="0" w:space="0" w:color="auto"/>
            <w:right w:val="none" w:sz="0" w:space="0" w:color="auto"/>
          </w:divBdr>
          <w:divsChild>
            <w:div w:id="13097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xual-identity-issues-in-the-asylum-claim" TargetMode="External"/><Relationship Id="rId21" Type="http://schemas.openxmlformats.org/officeDocument/2006/relationships/hyperlink" Target="https://www.gov.uk/government/publications/restricted-leave-asylum-casework-instruction" TargetMode="External"/><Relationship Id="rId42" Type="http://schemas.openxmlformats.org/officeDocument/2006/relationships/hyperlink" Target="https://civil.ge/archives/546156" TargetMode="External"/><Relationship Id="rId47" Type="http://schemas.openxmlformats.org/officeDocument/2006/relationships/hyperlink" Target="https://www.ecoi.net/en/file/local/2075545/CommDH%282022%2917_Report+on+the+visit+to+Georgia_EN.docx.pdf" TargetMode="External"/><Relationship Id="rId63" Type="http://schemas.openxmlformats.org/officeDocument/2006/relationships/hyperlink" Target="https://www.geostat.ge/media/43559/Hate-crimes-2021.pdf" TargetMode="External"/><Relationship Id="rId68" Type="http://schemas.openxmlformats.org/officeDocument/2006/relationships/hyperlink" Target="https://www.hrc.ge/137/eng/" TargetMode="External"/><Relationship Id="rId84" Type="http://schemas.openxmlformats.org/officeDocument/2006/relationships/hyperlink" Target="https://tbinternet.ohchr.org/_layouts/15/treatybodyexternal/Download.aspx?symbolno=INT%2fCEDAW%2fCSS%2fGEO%2f50569&amp;Lang=en" TargetMode="External"/><Relationship Id="rId89" Type="http://schemas.openxmlformats.org/officeDocument/2006/relationships/hyperlink" Target="https://www.wisg.org/en/about" TargetMode="External"/><Relationship Id="rId112" Type="http://schemas.openxmlformats.org/officeDocument/2006/relationships/footer" Target="footer2.xml"/><Relationship Id="rId16" Type="http://schemas.openxmlformats.org/officeDocument/2006/relationships/hyperlink" Target="https://www.gov.uk/government/publications/visa-matches-handling-asylum-claims-from-uk-visa-applicants-instruction" TargetMode="External"/><Relationship Id="rId107" Type="http://schemas.openxmlformats.org/officeDocument/2006/relationships/hyperlink" Target="mailto:chiefinspector@icibi.gov.uk" TargetMode="External"/><Relationship Id="rId11" Type="http://schemas.openxmlformats.org/officeDocument/2006/relationships/endnotes" Target="endnotes.xm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image" Target="media/image2.png"/><Relationship Id="rId37" Type="http://schemas.openxmlformats.org/officeDocument/2006/relationships/hyperlink" Target="https://www.bbc.co.uk/culture/article/20230124-the-comedian-fighting-prejudice-with-laughter-in-georgia" TargetMode="External"/><Relationship Id="rId40" Type="http://schemas.openxmlformats.org/officeDocument/2006/relationships/hyperlink" Target="https://caucasusbarometer.org/en/cb2021ge/NEIGHBOR/" TargetMode="External"/><Relationship Id="rId45" Type="http://schemas.openxmlformats.org/officeDocument/2006/relationships/hyperlink" Target="https://osgf.ge/en/publication/the-main-challenges-of-the-social-protection-system-for-various-vulnerable-groups-in-georgia/" TargetMode="External"/><Relationship Id="rId53" Type="http://schemas.openxmlformats.org/officeDocument/2006/relationships/hyperlink" Target="https://equality.ge/en/doctor" TargetMode="External"/><Relationship Id="rId58" Type="http://schemas.openxmlformats.org/officeDocument/2006/relationships/hyperlink" Target="https://hudoc.echr.coe.int/eng" TargetMode="External"/><Relationship Id="rId66" Type="http://schemas.openxmlformats.org/officeDocument/2006/relationships/hyperlink" Target="https://georgiatoday.ge/tbilisi-pride-week-2022-reviewed/" TargetMode="External"/><Relationship Id="rId74" Type="http://schemas.openxmlformats.org/officeDocument/2006/relationships/hyperlink" Target="https://matsne.gov.ge/en/document/view/30346?publication=36" TargetMode="External"/><Relationship Id="rId79" Type="http://schemas.openxmlformats.org/officeDocument/2006/relationships/hyperlink" Target="https://ombudsman.ge/res/docs/2023041011140537314.pdf" TargetMode="External"/><Relationship Id="rId87" Type="http://schemas.openxmlformats.org/officeDocument/2006/relationships/hyperlink" Target="https://www.state.gov/reports/2021-country-reports-on-human-rights-practices/georgia/" TargetMode="External"/><Relationship Id="rId102" Type="http://schemas.openxmlformats.org/officeDocument/2006/relationships/hyperlink" Target="https://www.ilga-europe.org/report/rainbow-europe-2023/" TargetMode="Externa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freedomhouse.org/country/georgia/freedom-world/2023" TargetMode="External"/><Relationship Id="rId82" Type="http://schemas.openxmlformats.org/officeDocument/2006/relationships/hyperlink" Target="https://ombudsman.ge/eng/spetsialuri-angarishebi/lgbt-jgufis-uflebrivi-mdgomareobis-shefaseba-sakartveloshi" TargetMode="External"/><Relationship Id="rId90" Type="http://schemas.openxmlformats.org/officeDocument/2006/relationships/hyperlink" Target="https://wisg.org/en/news/detail/324" TargetMode="External"/><Relationship Id="rId95" Type="http://schemas.openxmlformats.org/officeDocument/2006/relationships/hyperlink" Target="https://www.bbc.co.uk/news/world-europe-57720366" TargetMode="External"/><Relationship Id="rId19" Type="http://schemas.openxmlformats.org/officeDocument/2006/relationships/hyperlink" Target="https://www.gov.uk/government/publications/asylum-instruction-exclusion-article-1f-of-the-refugee-convention" TargetMode="External"/><Relationship Id="rId14" Type="http://schemas.openxmlformats.org/officeDocument/2006/relationships/hyperlink" Target="https://www.gov.uk/government/publications/dealing-with-gender-identity-issues-in-the-asylum-claim-process"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dealing-with-gender-identity-issues-in-the-asylum-claim-process" TargetMode="External"/><Relationship Id="rId30" Type="http://schemas.openxmlformats.org/officeDocument/2006/relationships/hyperlink" Target="https://hudoc.echr.coe.int/eng" TargetMode="External"/><Relationship Id="rId35" Type="http://schemas.openxmlformats.org/officeDocument/2006/relationships/hyperlink" Target="https://www.coi-training.net/researching-coi/" TargetMode="External"/><Relationship Id="rId43" Type="http://schemas.openxmlformats.org/officeDocument/2006/relationships/hyperlink" Target="https://civil.ge/archives/499449" TargetMode="External"/><Relationship Id="rId48" Type="http://schemas.openxmlformats.org/officeDocument/2006/relationships/hyperlink" Target="https://www.coe.int/en/web/tbilisi/-/first-ever-memorandum-on-cooperation-on-collection-of-data-on-hate-crime" TargetMode="External"/><Relationship Id="rId56" Type="http://schemas.openxmlformats.org/officeDocument/2006/relationships/hyperlink" Target="https://neighbourhood-enlargement.ec.europa.eu/system/files/2022-06/Georgia%20opinion%20and%20Annex.pdf" TargetMode="External"/><Relationship Id="rId64" Type="http://schemas.openxmlformats.org/officeDocument/2006/relationships/hyperlink" Target="https://www.geostat.ge/media/51738/Hate_2022.pdf" TargetMode="External"/><Relationship Id="rId69" Type="http://schemas.openxmlformats.org/officeDocument/2006/relationships/hyperlink" Target="https://socialjustice.org.ge/en/products/lgbtk-jgufis-sotsialuri-ekskluziis-kvleva-sakartveloshi" TargetMode="External"/><Relationship Id="rId77" Type="http://schemas.openxmlformats.org/officeDocument/2006/relationships/hyperlink" Target="https://www.osac.gov/Content/Report/fa87e38f-15ab-45fc-b791-1d145986975e" TargetMode="External"/><Relationship Id="rId100" Type="http://schemas.openxmlformats.org/officeDocument/2006/relationships/hyperlink" Target="https://www.rainbow-europe.org/about" TargetMode="External"/><Relationship Id="rId105" Type="http://schemas.openxmlformats.org/officeDocument/2006/relationships/hyperlink" Target="mailto:cipu@homeoffice.gov.uk" TargetMode="External"/><Relationship Id="rId113"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equality.ge/wp-content/uploads/2022/07/INT_CCPR_CSS_GEO_48904_E.pdf" TargetMode="External"/><Relationship Id="rId72" Type="http://schemas.openxmlformats.org/officeDocument/2006/relationships/hyperlink" Target="https://ilga.org/state-sponsored-homophobia-report-2020-global-legislation-overview" TargetMode="External"/><Relationship Id="rId80" Type="http://schemas.openxmlformats.org/officeDocument/2006/relationships/hyperlink" Target="https://www.ombudsman.ge/eng/gzamkvlevi" TargetMode="External"/><Relationship Id="rId85" Type="http://schemas.openxmlformats.org/officeDocument/2006/relationships/hyperlink" Target="https://tbilisipride.ge/en/misia/" TargetMode="External"/><Relationship Id="rId93" Type="http://schemas.openxmlformats.org/officeDocument/2006/relationships/hyperlink" Target="https://worldpopulationreview.com/world-cities/tbilisi-population" TargetMode="External"/><Relationship Id="rId98" Type="http://schemas.openxmlformats.org/officeDocument/2006/relationships/hyperlink" Target="https://www.ilga-europe.org/sites/default/files/2022/georgia.pdf" TargetMode="External"/><Relationship Id="rId3" Type="http://schemas.openxmlformats.org/officeDocument/2006/relationships/customXml" Target="../customXml/item3.xml"/><Relationship Id="rId12" Type="http://schemas.openxmlformats.org/officeDocument/2006/relationships/hyperlink" Target="https://www.legislation.gov.uk/ukpga/2002/41/section/94" TargetMode="External"/><Relationship Id="rId17" Type="http://schemas.openxmlformats.org/officeDocument/2006/relationships/hyperlink" Target="https://www.gov.uk/government/publications/language-analysis-instruction"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image" Target="media/image3.png"/><Relationship Id="rId38" Type="http://schemas.openxmlformats.org/officeDocument/2006/relationships/hyperlink" Target="https://www.bbc.co.uk/news/world-europe-50821544" TargetMode="External"/><Relationship Id="rId46" Type="http://schemas.openxmlformats.org/officeDocument/2006/relationships/hyperlink" Target="https://www.ecoi.net/en/file/local/2075545/CommDH%282022%2917_Report+on+the+visit+to+Georgia_EN.docx.pdf" TargetMode="External"/><Relationship Id="rId59" Type="http://schemas.openxmlformats.org/officeDocument/2006/relationships/hyperlink" Target="https://hudoc.echr.coe.int/eng" TargetMode="External"/><Relationship Id="rId67" Type="http://schemas.openxmlformats.org/officeDocument/2006/relationships/hyperlink" Target="https://www.hrc.ge/mission/eng/" TargetMode="External"/><Relationship Id="rId103" Type="http://schemas.openxmlformats.org/officeDocument/2006/relationships/hyperlink" Target="https://oc-media.org/georgian-politician-fined-0-37-for-homophobic-slur/" TargetMode="External"/><Relationship Id="rId108" Type="http://schemas.openxmlformats.org/officeDocument/2006/relationships/hyperlink" Target="https://www.gov.uk/government/organisations/independent-chief-inspector-of-borders-and-immigration/about/research" TargetMode="External"/><Relationship Id="rId116" Type="http://schemas.openxmlformats.org/officeDocument/2006/relationships/theme" Target="theme/theme1.xml"/><Relationship Id="rId20" Type="http://schemas.openxmlformats.org/officeDocument/2006/relationships/hyperlink" Target="https://www.gov.uk/government/publications/humanitarian-protection-instruction" TargetMode="External"/><Relationship Id="rId41" Type="http://schemas.openxmlformats.org/officeDocument/2006/relationships/hyperlink" Target="https://civil.ge/archives/550337" TargetMode="External"/><Relationship Id="rId54" Type="http://schemas.openxmlformats.org/officeDocument/2006/relationships/hyperlink" Target="https://equality.ge/en/hiv-testing" TargetMode="External"/><Relationship Id="rId62" Type="http://schemas.openxmlformats.org/officeDocument/2006/relationships/hyperlink" Target="https://www.geostat.ge/media/36776/Hate-crimes_2020_IV.pdf" TargetMode="External"/><Relationship Id="rId70" Type="http://schemas.openxmlformats.org/officeDocument/2006/relationships/hyperlink" Target="https://www.hrw.org/world-report/2023/country-chapters/georgia" TargetMode="External"/><Relationship Id="rId75" Type="http://schemas.openxmlformats.org/officeDocument/2006/relationships/hyperlink" Target="https://oc-media.org/features/georgian-dream-ramps-up-homophobic-rhetoric-as-pride-week-approaches/" TargetMode="External"/><Relationship Id="rId83" Type="http://schemas.openxmlformats.org/officeDocument/2006/relationships/hyperlink" Target="https://www.reuters.com/world/europe/anti-lgbt-protesters-break-up-pride-festival-georgia-2023-07-08/" TargetMode="External"/><Relationship Id="rId88" Type="http://schemas.openxmlformats.org/officeDocument/2006/relationships/hyperlink" Target="https://www.state.gov/reports/2022-country-reports-on-human-rights-practices/georgia/" TargetMode="External"/><Relationship Id="rId91" Type="http://schemas.openxmlformats.org/officeDocument/2006/relationships/hyperlink" Target="https://wisg.org/Data/docs/publications/research-study/WISG-From-Projudice-to-Equality-2022-EN.pdf" TargetMode="External"/><Relationship Id="rId96" Type="http://schemas.openxmlformats.org/officeDocument/2006/relationships/hyperlink" Target="https://freedomhouse.org/country/georgia/freedom-world/2022"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considering-asylum-claims-and-assessing-credibility-instruction"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s://www.gov.uk/government/publications/non-suspensive-appeals-certification-under-section-94-of-the-nia-act-2002-process" TargetMode="External"/><Relationship Id="rId36" Type="http://schemas.openxmlformats.org/officeDocument/2006/relationships/hyperlink" Target="https://www.amnesty.eu/news/european-courts-ruling-in-identoba-and-others-v-georgia-an-important/" TargetMode="External"/><Relationship Id="rId49" Type="http://schemas.openxmlformats.org/officeDocument/2006/relationships/hyperlink" Target="https://ecom.ngo/news-ecom/analysis-of-georgian-legislation-2022" TargetMode="External"/><Relationship Id="rId57" Type="http://schemas.openxmlformats.org/officeDocument/2006/relationships/hyperlink" Target="https://hudoc.echr.coe.int/eng-press" TargetMode="External"/><Relationship Id="rId106" Type="http://schemas.openxmlformats.org/officeDocument/2006/relationships/hyperlink" Target="https://www.gov.uk/government/organisations/independent-chief-inspector-of-borders-and-immigration/about/research" TargetMode="External"/><Relationship Id="rId114"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image" Target="media/image1.png"/><Relationship Id="rId44" Type="http://schemas.openxmlformats.org/officeDocument/2006/relationships/hyperlink" Target="https://twitter.com/MarkClaytonFCDO/status/1677643178730553344" TargetMode="External"/><Relationship Id="rId52" Type="http://schemas.openxmlformats.org/officeDocument/2006/relationships/hyperlink" Target="https://equality.ge/en/mission-vision" TargetMode="External"/><Relationship Id="rId60" Type="http://schemas.openxmlformats.org/officeDocument/2006/relationships/hyperlink" Target="https://foreignpolicy.com/2021/07/07/tblisi-pride-attack-lgbt-rights-georgia/" TargetMode="External"/><Relationship Id="rId65" Type="http://schemas.openxmlformats.org/officeDocument/2006/relationships/hyperlink" Target="https://www.geostat.ge/media/35291/Memorandum--ENG.pdf" TargetMode="External"/><Relationship Id="rId73" Type="http://schemas.openxmlformats.org/officeDocument/2006/relationships/hyperlink" Target="https://jam-news.net/living-surrounded-by-hate-lgbt-individuals-and-their-parents-in-georgia/" TargetMode="External"/><Relationship Id="rId78" Type="http://schemas.openxmlformats.org/officeDocument/2006/relationships/hyperlink" Target="https://www.politico.eu/article/georgia-crackdown-queer-lgbtq-rights-say-about-eu-ambitions-european-union-membership/" TargetMode="External"/><Relationship Id="rId81" Type="http://schemas.openxmlformats.org/officeDocument/2006/relationships/hyperlink" Target="https://www.ombudsman.ge/res/docs/2022070612391254904.pdf" TargetMode="External"/><Relationship Id="rId86" Type="http://schemas.openxmlformats.org/officeDocument/2006/relationships/hyperlink" Target="https://www.eeas.europa.eu/delegations/georgia/take-stand-human-rights-all-stop-discrimination-and-violence-against-lgbtqi-persons-georgia_en" TargetMode="External"/><Relationship Id="rId94" Type="http://schemas.openxmlformats.org/officeDocument/2006/relationships/hyperlink" Target="https://www.amnesty.org/en/location/europe-and-central-asia/georgia/report-georgia/" TargetMode="External"/><Relationship Id="rId99" Type="http://schemas.openxmlformats.org/officeDocument/2006/relationships/hyperlink" Target="https://www.rainbow-europe.org/country-ranking" TargetMode="External"/><Relationship Id="rId101" Type="http://schemas.openxmlformats.org/officeDocument/2006/relationships/hyperlink" Target="http://www.rainbow-europe.org/"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sexual-identity-issues-in-the-asylum-claim" TargetMode="External"/><Relationship Id="rId18" Type="http://schemas.openxmlformats.org/officeDocument/2006/relationships/hyperlink" Target="https://www.gov.uk/government/publications/conducting-the-asylum-interview-process" TargetMode="External"/><Relationship Id="rId39" Type="http://schemas.openxmlformats.org/officeDocument/2006/relationships/hyperlink" Target="https://www.bbc.co.uk/news/world-europe-17301647" TargetMode="External"/><Relationship Id="rId109" Type="http://schemas.openxmlformats.org/officeDocument/2006/relationships/header" Target="header1.xml"/><Relationship Id="rId34" Type="http://schemas.openxmlformats.org/officeDocument/2006/relationships/hyperlink" Target="http://www.refworld.org/docid/48493f7f2.html" TargetMode="External"/><Relationship Id="rId50" Type="http://schemas.openxmlformats.org/officeDocument/2006/relationships/hyperlink" Target="https://www.economist.com/europe/2021/11/04/bouncers-at-gay-clubs-in-georgia-screen-patrons-for-bigotry" TargetMode="External"/><Relationship Id="rId55" Type="http://schemas.openxmlformats.org/officeDocument/2006/relationships/hyperlink" Target="https://equality.ge/en/psychologist" TargetMode="External"/><Relationship Id="rId76" Type="http://schemas.openxmlformats.org/officeDocument/2006/relationships/hyperlink" Target="https://oc-media.org/gharibashvili-doubles-down-with-homophobia-and-conspiracy-theories/" TargetMode="External"/><Relationship Id="rId97" Type="http://schemas.openxmlformats.org/officeDocument/2006/relationships/hyperlink" Target="https://gdi.ge/storage/files/doc/Annual%20report%202022.pdf" TargetMode="External"/><Relationship Id="rId104" Type="http://schemas.openxmlformats.org/officeDocument/2006/relationships/hyperlink" Target="https://www.rferl.org/a/gergia-trans-comedian-lgbt/32271536.html" TargetMode="External"/><Relationship Id="rId7" Type="http://schemas.openxmlformats.org/officeDocument/2006/relationships/styles" Target="styles.xml"/><Relationship Id="rId71" Type="http://schemas.openxmlformats.org/officeDocument/2006/relationships/hyperlink" Target="https://iwpr.net/global-voices/georgia-lgbti-activists-fear-far-right-alliances" TargetMode="External"/><Relationship Id="rId92" Type="http://schemas.openxmlformats.org/officeDocument/2006/relationships/hyperlink" Target="https://wisg.org/en/publication/296" TargetMode="External"/><Relationship Id="rId2" Type="http://schemas.openxmlformats.org/officeDocument/2006/relationships/customXml" Target="../customXml/item2.xml"/><Relationship Id="rId29" Type="http://schemas.openxmlformats.org/officeDocument/2006/relationships/hyperlink" Target="https://matsne.gov.ge/en/document/download/16426/157/en/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ombudsman.ge/eng/spetsialuri-angarishebi/lgbt-jgufis-uflebrivi-mdgomareobis-shefaseba-sakartveloshi" TargetMode="External"/><Relationship Id="rId117" Type="http://schemas.openxmlformats.org/officeDocument/2006/relationships/hyperlink" Target="https://osgf.ge/en/publication/the-main-challenges-of-the-social-protection-system-for-various-vulnerable-groups-in-georgia/" TargetMode="External"/><Relationship Id="rId21" Type="http://schemas.openxmlformats.org/officeDocument/2006/relationships/hyperlink" Target="https://ombudsman.ge/res/docs/2023041011140537314.pdf" TargetMode="External"/><Relationship Id="rId42" Type="http://schemas.openxmlformats.org/officeDocument/2006/relationships/hyperlink" Target="https://equality.ge/wp-content/uploads/2022/07/INT_CCPR_CSS_GEO_48904_E.pdf" TargetMode="External"/><Relationship Id="rId47" Type="http://schemas.openxmlformats.org/officeDocument/2006/relationships/hyperlink" Target="https://www.state.gov/reports/2021-country-reports-on-human-rights-practices/georgia/" TargetMode="External"/><Relationship Id="rId63" Type="http://schemas.openxmlformats.org/officeDocument/2006/relationships/hyperlink" Target="https://twitter.com/MarkClaytonFCDO/status/1677643178730553344" TargetMode="External"/><Relationship Id="rId68" Type="http://schemas.openxmlformats.org/officeDocument/2006/relationships/hyperlink" Target="https://www.geostat.ge/media/35291/Memorandum--ENG.pdf" TargetMode="External"/><Relationship Id="rId84" Type="http://schemas.openxmlformats.org/officeDocument/2006/relationships/hyperlink" Target="https://wisg.org/Data/docs/publications/research-study/WISG-From-Projudice-to-Equality-2022-EN.pdf" TargetMode="External"/><Relationship Id="rId89" Type="http://schemas.openxmlformats.org/officeDocument/2006/relationships/hyperlink" Target="https://wisg.org/Data/docs/publications/research-study/WISG-From-Projudice-to-Equality-2022-EN.pdf" TargetMode="External"/><Relationship Id="rId112" Type="http://schemas.openxmlformats.org/officeDocument/2006/relationships/hyperlink" Target="https://ombudsman.ge/eng/spetsialuri-angarishebi/lgbt-jgufis-uflebrivi-mdgomareobis-shefaseba-sakartveloshi" TargetMode="External"/><Relationship Id="rId133" Type="http://schemas.openxmlformats.org/officeDocument/2006/relationships/hyperlink" Target="https://socialjustice.org.ge/en/products/lgbtk-jgufis-sotsialuri-ekskluziis-kvleva-sakartveloshi" TargetMode="External"/><Relationship Id="rId138" Type="http://schemas.openxmlformats.org/officeDocument/2006/relationships/hyperlink" Target="https://tbilisipride.ge/en/misia/" TargetMode="External"/><Relationship Id="rId16" Type="http://schemas.openxmlformats.org/officeDocument/2006/relationships/hyperlink" Target="https://oc-media.org/gharibashvili-doubles-down-with-homophobia-and-conspiracy-theories/" TargetMode="External"/><Relationship Id="rId107" Type="http://schemas.openxmlformats.org/officeDocument/2006/relationships/hyperlink" Target="https://matsne.gov.ge/en/document/view/30346?publication=36" TargetMode="External"/><Relationship Id="rId11" Type="http://schemas.openxmlformats.org/officeDocument/2006/relationships/hyperlink" Target="https://ombudsman.ge/eng/spetsialuri-angarishebi/lgbt-jgufis-uflebrivi-mdgomareobis-shefaseba-sakartveloshi" TargetMode="External"/><Relationship Id="rId32" Type="http://schemas.openxmlformats.org/officeDocument/2006/relationships/hyperlink" Target="https://socialjustice.org.ge/uploads/products/pdf/Social_Exclusion_of_LGBTQ_Group_1612128635.pdf" TargetMode="External"/><Relationship Id="rId37" Type="http://schemas.openxmlformats.org/officeDocument/2006/relationships/hyperlink" Target="https://socialjustice.org.ge/uploads/products/pdf/Social_Exclusion_of_LGBTQ_Group_1612128635.pdf" TargetMode="External"/><Relationship Id="rId53" Type="http://schemas.openxmlformats.org/officeDocument/2006/relationships/hyperlink" Target="https://ombudsman.ge/res/docs/2023041011140537314.pdf" TargetMode="External"/><Relationship Id="rId58" Type="http://schemas.openxmlformats.org/officeDocument/2006/relationships/hyperlink" Target="https://ombudsman.ge/res/docs/2023041011140537314.pdf" TargetMode="External"/><Relationship Id="rId74" Type="http://schemas.openxmlformats.org/officeDocument/2006/relationships/hyperlink" Target="https://ombudsman.ge/res/docs/2023041011140537314.pdf" TargetMode="External"/><Relationship Id="rId79" Type="http://schemas.openxmlformats.org/officeDocument/2006/relationships/hyperlink" Target="https://foreignpolicy.com/2021/07/07/tblisi-pride-attack-lgbt-rights-georgia/" TargetMode="External"/><Relationship Id="rId102" Type="http://schemas.openxmlformats.org/officeDocument/2006/relationships/hyperlink" Target="https://jam-news.net/living-surrounded-by-hate-lgbt-individuals-and-their-parents-in-georgia/" TargetMode="External"/><Relationship Id="rId123" Type="http://schemas.openxmlformats.org/officeDocument/2006/relationships/hyperlink" Target="https://socialjustice.org.ge/uploads/products/pdf/Social_Exclusion_of_LGBTQ_Group_1612128635.pdf" TargetMode="External"/><Relationship Id="rId128" Type="http://schemas.openxmlformats.org/officeDocument/2006/relationships/hyperlink" Target="https://osgf.ge/en/publication/the-main-challenges-of-the-social-protection-system-for-various-vulnerable-groups-in-georgia/" TargetMode="External"/><Relationship Id="rId144" Type="http://schemas.openxmlformats.org/officeDocument/2006/relationships/hyperlink" Target="https://www.bbc.co.uk/news/world-europe-17301647" TargetMode="External"/><Relationship Id="rId5" Type="http://schemas.openxmlformats.org/officeDocument/2006/relationships/hyperlink" Target="https://www.ecoi.net/en/file/local/2075545/CommDH%282022%2917_Report+on+the+visit+to+Georgia_EN.docx.pdf" TargetMode="External"/><Relationship Id="rId90" Type="http://schemas.openxmlformats.org/officeDocument/2006/relationships/hyperlink" Target="https://caucasusbarometer.org/en/cb2021ge/NEIGHBOR/" TargetMode="External"/><Relationship Id="rId95" Type="http://schemas.openxmlformats.org/officeDocument/2006/relationships/hyperlink" Target="https://socialjustice.org.ge/uploads/products/pdf/Social_Exclusion_of_LGBTQ_Group_1612128635.pdf" TargetMode="External"/><Relationship Id="rId22" Type="http://schemas.openxmlformats.org/officeDocument/2006/relationships/hyperlink" Target="https://www.eeas.europa.eu/delegations/georgia/take-stand-human-rights-all-stop-discrimination-and-violence-against-lgbtqi-persons-georgia_en" TargetMode="External"/><Relationship Id="rId27" Type="http://schemas.openxmlformats.org/officeDocument/2006/relationships/hyperlink" Target="https://ombudsman.ge/eng/spetsialuri-angarishebi/lgbt-jgufis-uflebrivi-mdgomareobis-shefaseba-sakartveloshi" TargetMode="External"/><Relationship Id="rId43" Type="http://schemas.openxmlformats.org/officeDocument/2006/relationships/hyperlink" Target="https://tbinternet.ohchr.org/_layouts/15/treatybodyexternal/Download.aspx?symbolno=INT%2fCEDAW%2fCSS%2fGEO%2f50569&amp;Lang=en" TargetMode="External"/><Relationship Id="rId48" Type="http://schemas.openxmlformats.org/officeDocument/2006/relationships/hyperlink" Target="https://www.state.gov/reports/2022-country-reports-on-human-rights-practices/georgia/" TargetMode="External"/><Relationship Id="rId64" Type="http://schemas.openxmlformats.org/officeDocument/2006/relationships/hyperlink" Target="https://www.coe.int/en/web/tbilisi/-/first-ever-memorandum-on-cooperation-on-collection-of-data-on-hate-crime" TargetMode="External"/><Relationship Id="rId69" Type="http://schemas.openxmlformats.org/officeDocument/2006/relationships/hyperlink" Target="https://equality.ge/wp-content/uploads/2022/07/INT_CCPR_CSS_GEO_48904_E.pdf" TargetMode="External"/><Relationship Id="rId113" Type="http://schemas.openxmlformats.org/officeDocument/2006/relationships/hyperlink" Target="https://osgf.ge/en/publication/the-main-challenges-of-the-social-protection-system-for-various-vulnerable-groups-in-georgia/" TargetMode="External"/><Relationship Id="rId118" Type="http://schemas.openxmlformats.org/officeDocument/2006/relationships/hyperlink" Target="https://equality.ge/en/doctor" TargetMode="External"/><Relationship Id="rId134" Type="http://schemas.openxmlformats.org/officeDocument/2006/relationships/hyperlink" Target="https://wisg.org/Data/docs/publications/research-study/WISG-From-Projudice-to-Equality-2022-EN.pdf" TargetMode="External"/><Relationship Id="rId139" Type="http://schemas.openxmlformats.org/officeDocument/2006/relationships/hyperlink" Target="https://www.wisg.org/en/about" TargetMode="External"/><Relationship Id="rId80" Type="http://schemas.openxmlformats.org/officeDocument/2006/relationships/hyperlink" Target="https://foreignpolicy.com/2021/07/07/tblisi-pride-attack-lgbt-rights-georgia/" TargetMode="External"/><Relationship Id="rId85" Type="http://schemas.openxmlformats.org/officeDocument/2006/relationships/hyperlink" Target="https://wisg.org/Data/docs/publications/research-study/WISG-From-Projudice-to-Equality-2022-EN.pdf" TargetMode="External"/><Relationship Id="rId3" Type="http://schemas.openxmlformats.org/officeDocument/2006/relationships/hyperlink" Target="https://ilga.org/state-sponsored-homophobia-report-2020-global-legislation-overview" TargetMode="External"/><Relationship Id="rId12" Type="http://schemas.openxmlformats.org/officeDocument/2006/relationships/hyperlink" Target="https://ecom.ngo/news-ecom/analysis-of-georgian-legislation-2022" TargetMode="External"/><Relationship Id="rId17" Type="http://schemas.openxmlformats.org/officeDocument/2006/relationships/hyperlink" Target="https://www.ecoi.net/en/file/local/2075545/CommDH%282022%2917_Report+on+the+visit+to+Georgia_EN.docx.pdf" TargetMode="External"/><Relationship Id="rId25" Type="http://schemas.openxmlformats.org/officeDocument/2006/relationships/hyperlink" Target="https://civil.ge/archives/550337" TargetMode="External"/><Relationship Id="rId33" Type="http://schemas.openxmlformats.org/officeDocument/2006/relationships/hyperlink" Target="https://socialjustice.org.ge/uploads/products/pdf/Social_Exclusion_of_LGBTQ_Group_1612128635.pdf" TargetMode="External"/><Relationship Id="rId38" Type="http://schemas.openxmlformats.org/officeDocument/2006/relationships/hyperlink" Target="https://www.state.gov/reports/2022-country-reports-on-human-rights-practices/georgia/" TargetMode="External"/><Relationship Id="rId46" Type="http://schemas.openxmlformats.org/officeDocument/2006/relationships/hyperlink" Target="https://neighbourhood-enlargement.ec.europa.eu/opinion-georgias-application-membership-european-union_en" TargetMode="External"/><Relationship Id="rId59" Type="http://schemas.openxmlformats.org/officeDocument/2006/relationships/hyperlink" Target="https://ombudsman.ge/res/docs/2023041011140537314.pdf" TargetMode="External"/><Relationship Id="rId67" Type="http://schemas.openxmlformats.org/officeDocument/2006/relationships/hyperlink" Target="https://www.geostat.ge/media/51738/Hate_2022.pdf" TargetMode="External"/><Relationship Id="rId103" Type="http://schemas.openxmlformats.org/officeDocument/2006/relationships/hyperlink" Target="https://wisg.org/Data/docs/publications/research-study/WISG-From-Projudice-to-Equality-2022-EN.pdf" TargetMode="External"/><Relationship Id="rId108" Type="http://schemas.openxmlformats.org/officeDocument/2006/relationships/hyperlink" Target="https://osgf.ge/en/publication/the-main-challenges-of-the-social-protection-system-for-various-vulnerable-groups-in-georgia/" TargetMode="External"/><Relationship Id="rId116" Type="http://schemas.openxmlformats.org/officeDocument/2006/relationships/hyperlink" Target="https://ombudsman.ge/res/docs/2023041011140537314.pdf" TargetMode="External"/><Relationship Id="rId124" Type="http://schemas.openxmlformats.org/officeDocument/2006/relationships/hyperlink" Target="https://www.state.gov/reports/2022-country-reports-on-human-rights-practices/georgia/" TargetMode="External"/><Relationship Id="rId129" Type="http://schemas.openxmlformats.org/officeDocument/2006/relationships/hyperlink" Target="https://socialjustice.org.ge/uploads/products/pdf/Social_Exclusion_of_LGBTQ_Group_1612128635.pdf" TargetMode="External"/><Relationship Id="rId137" Type="http://schemas.openxmlformats.org/officeDocument/2006/relationships/hyperlink" Target="https://www.bbc.co.uk/culture/article/20230124-the-comedian-fighting-prejudice-with-laughter-in-georgia" TargetMode="External"/><Relationship Id="rId20" Type="http://schemas.openxmlformats.org/officeDocument/2006/relationships/hyperlink" Target="https://ombudsman.ge/eng/spetsialuri-angarishebi/lgbt-jgufis-uflebrivi-mdgomareobis-shefaseba-sakartveloshi" TargetMode="External"/><Relationship Id="rId41" Type="http://schemas.openxmlformats.org/officeDocument/2006/relationships/hyperlink" Target="https://www.ombudsman.ge/res/docs/2022070612391254904.pdf" TargetMode="External"/><Relationship Id="rId54" Type="http://schemas.openxmlformats.org/officeDocument/2006/relationships/hyperlink" Target="https://www.ecoi.net/en/file/local/2075545/CommDH%282022%2917_Report+on+the+visit+to+Georgia_EN.docx.pdf" TargetMode="External"/><Relationship Id="rId62" Type="http://schemas.openxmlformats.org/officeDocument/2006/relationships/hyperlink" Target="https://edition.cnn.com/2023/07/08/europe/tbilisi-georgia-anti-lgbtq-pride-festival-intl/index.html" TargetMode="External"/><Relationship Id="rId70" Type="http://schemas.openxmlformats.org/officeDocument/2006/relationships/hyperlink" Target="https://www.ecoi.net/en/file/local/2075545/CommDH%282022%2917_Report+on+the+visit+to+Georgia_EN.docx.pdf" TargetMode="External"/><Relationship Id="rId75" Type="http://schemas.openxmlformats.org/officeDocument/2006/relationships/hyperlink" Target="https://equality.ge/wp-content/uploads/2022/07/INT_CCPR_CSS_GEO_48904_E.pdf" TargetMode="External"/><Relationship Id="rId83" Type="http://schemas.openxmlformats.org/officeDocument/2006/relationships/hyperlink" Target="https://wisg.org/Data/docs/publications/research-study/WISG-From-Projudice-to-Equality-2022-EN.pdf" TargetMode="External"/><Relationship Id="rId88" Type="http://schemas.openxmlformats.org/officeDocument/2006/relationships/hyperlink" Target="https://wisg.org/Data/docs/publications/research-study/WISG-From-Projudice-to-Equality-2022-EN.pdf" TargetMode="External"/><Relationship Id="rId91" Type="http://schemas.openxmlformats.org/officeDocument/2006/relationships/hyperlink" Target="https://www.ecoi.net/en/file/local/2075545/CommDH%282022%2917_Report+on+the+visit+to+Georgia_EN.docx.pdf" TargetMode="External"/><Relationship Id="rId96" Type="http://schemas.openxmlformats.org/officeDocument/2006/relationships/hyperlink" Target="https://socialjustice.org.ge/uploads/products/pdf/Social_Exclusion_of_LGBTQ_Group_1612128635.pdf" TargetMode="External"/><Relationship Id="rId111" Type="http://schemas.openxmlformats.org/officeDocument/2006/relationships/hyperlink" Target="https://socialjustice.org.ge/uploads/products/pdf/Social_Exclusion_of_LGBTQ_Group_1612128635.pdf" TargetMode="External"/><Relationship Id="rId132" Type="http://schemas.openxmlformats.org/officeDocument/2006/relationships/hyperlink" Target="https://socialjustice.org.ge/en/products/lgbtk-jgufis-sotsialuri-ekskluziis-kvleva-sakartveloshi" TargetMode="External"/><Relationship Id="rId140" Type="http://schemas.openxmlformats.org/officeDocument/2006/relationships/hyperlink" Target="https://equality.ge/en/mission-vision" TargetMode="External"/><Relationship Id="rId145" Type="http://schemas.openxmlformats.org/officeDocument/2006/relationships/hyperlink" Target="https://worldpopulationreview.com/world-cities/tbilisi-population" TargetMode="External"/><Relationship Id="rId1" Type="http://schemas.openxmlformats.org/officeDocument/2006/relationships/hyperlink" Target="https://ilga.org/state-sponsored-homophobia-report-2020-global-legislation-overview" TargetMode="External"/><Relationship Id="rId6" Type="http://schemas.openxmlformats.org/officeDocument/2006/relationships/hyperlink" Target="https://ilga.org/state-sponsored-homophobia-report-2020-global-legislation-overview" TargetMode="External"/><Relationship Id="rId15" Type="http://schemas.openxmlformats.org/officeDocument/2006/relationships/hyperlink" Target="https://www.state.gov/reports/2022-country-reports-on-human-rights-practices/georgia/" TargetMode="External"/><Relationship Id="rId23" Type="http://schemas.openxmlformats.org/officeDocument/2006/relationships/hyperlink" Target="https://oc-media.org/features/georgian-dream-ramps-up-homophobic-rhetoric-as-pride-week-approaches/" TargetMode="External"/><Relationship Id="rId28" Type="http://schemas.openxmlformats.org/officeDocument/2006/relationships/hyperlink" Target="https://ombudsman.ge/eng/spetsialuri-angarishebi/lgbt-jgufis-uflebrivi-mdgomareobis-shefaseba-sakartveloshi" TargetMode="External"/><Relationship Id="rId36" Type="http://schemas.openxmlformats.org/officeDocument/2006/relationships/hyperlink" Target="https://socialjustice.org.ge/uploads/products/pdf/Social_Exclusion_of_LGBTQ_Group_1612128635.pdf" TargetMode="External"/><Relationship Id="rId49" Type="http://schemas.openxmlformats.org/officeDocument/2006/relationships/hyperlink" Target="https://www.ombudsman.ge/res/docs/2022070612391254904.pdf" TargetMode="External"/><Relationship Id="rId57" Type="http://schemas.openxmlformats.org/officeDocument/2006/relationships/hyperlink" Target="https://georgiatoday.ge/tbilisi-pride-week-2022-reviewed/" TargetMode="External"/><Relationship Id="rId106" Type="http://schemas.openxmlformats.org/officeDocument/2006/relationships/hyperlink" Target="https://matsne.gov.ge/en/document/view/30346?publication=36" TargetMode="External"/><Relationship Id="rId114" Type="http://schemas.openxmlformats.org/officeDocument/2006/relationships/hyperlink" Target="https://socialjustice.org.ge/uploads/products/pdf/Social_Exclusion_of_LGBTQ_Group_1612128635.pdf" TargetMode="External"/><Relationship Id="rId119" Type="http://schemas.openxmlformats.org/officeDocument/2006/relationships/hyperlink" Target="https://osgf.ge/en/publication/the-main-challenges-of-the-social-protection-system-for-various-vulnerable-groups-in-georgia/" TargetMode="External"/><Relationship Id="rId127" Type="http://schemas.openxmlformats.org/officeDocument/2006/relationships/hyperlink" Target="https://ombudsman.ge/res/docs/2023041011140537314.pdf" TargetMode="External"/><Relationship Id="rId10" Type="http://schemas.openxmlformats.org/officeDocument/2006/relationships/hyperlink" Target="https://ombudsman.ge/eng/spetsialuri-angarishebi/lgbt-jgufis-uflebrivi-mdgomareobis-shefaseba-sakartveloshi" TargetMode="External"/><Relationship Id="rId31" Type="http://schemas.openxmlformats.org/officeDocument/2006/relationships/hyperlink" Target="https://ombudsman.ge/res/docs/2023041011140537314.pdf" TargetMode="External"/><Relationship Id="rId44" Type="http://schemas.openxmlformats.org/officeDocument/2006/relationships/hyperlink" Target="https://www.state.gov/reports/2022-country-reports-on-human-rights-practices/georgia/" TargetMode="External"/><Relationship Id="rId52" Type="http://schemas.openxmlformats.org/officeDocument/2006/relationships/hyperlink" Target="https://www.ecoi.net/en/file/local/2075545/CommDH%282022%2917_Report+on+the+visit+to+Georgia_EN.docx.pdf" TargetMode="External"/><Relationship Id="rId60" Type="http://schemas.openxmlformats.org/officeDocument/2006/relationships/hyperlink" Target="https://civil.ge/archives/546156" TargetMode="External"/><Relationship Id="rId65" Type="http://schemas.openxmlformats.org/officeDocument/2006/relationships/hyperlink" Target="https://www.geostat.ge/media/36776/Hate-crimes_2020_IV.pdf" TargetMode="External"/><Relationship Id="rId73" Type="http://schemas.openxmlformats.org/officeDocument/2006/relationships/hyperlink" Target="https://www.ombudsman.ge/eng/gzamkvlevi" TargetMode="External"/><Relationship Id="rId78" Type="http://schemas.openxmlformats.org/officeDocument/2006/relationships/hyperlink" Target="https://foreignpolicy.com/2021/07/07/tblisi-pride-attack-lgbt-rights-georgia/" TargetMode="External"/><Relationship Id="rId81" Type="http://schemas.openxmlformats.org/officeDocument/2006/relationships/hyperlink" Target="https://www.state.gov/reports/2021-country-reports-on-human-rights-practices/georgia/" TargetMode="External"/><Relationship Id="rId86" Type="http://schemas.openxmlformats.org/officeDocument/2006/relationships/hyperlink" Target="https://wisg.org/Data/docs/publications/research-study/WISG-From-Projudice-to-Equality-2022-EN.pdf" TargetMode="External"/><Relationship Id="rId94" Type="http://schemas.openxmlformats.org/officeDocument/2006/relationships/hyperlink" Target="https://www.hrw.org/world-report/2023/country-chapters/georgia" TargetMode="External"/><Relationship Id="rId99" Type="http://schemas.openxmlformats.org/officeDocument/2006/relationships/hyperlink" Target="https://socialjustice.org.ge/uploads/products/pdf/Social_Exclusion_of_LGBTQ_Group_1612128635.pdf" TargetMode="External"/><Relationship Id="rId101" Type="http://schemas.openxmlformats.org/officeDocument/2006/relationships/hyperlink" Target="https://socialjustice.org.ge/uploads/products/pdf/Social_Exclusion_of_LGBTQ_Group_1612128635.pdf" TargetMode="External"/><Relationship Id="rId122" Type="http://schemas.openxmlformats.org/officeDocument/2006/relationships/hyperlink" Target="https://equality.ge/en/psychologist" TargetMode="External"/><Relationship Id="rId130" Type="http://schemas.openxmlformats.org/officeDocument/2006/relationships/hyperlink" Target="https://socialjustice.org.ge/en/products/lgbtk-jgufis-sotsialuri-ekskluziis-kvleva-sakartveloshi" TargetMode="External"/><Relationship Id="rId135" Type="http://schemas.openxmlformats.org/officeDocument/2006/relationships/hyperlink" Target="https://www.economist.com/europe/2021/11/04/bouncers-at-gay-clubs-in-georgia-screen-patrons-for-bigotry" TargetMode="External"/><Relationship Id="rId143" Type="http://schemas.openxmlformats.org/officeDocument/2006/relationships/hyperlink" Target="https://www.hrc.ge/137/eng/" TargetMode="External"/><Relationship Id="rId4" Type="http://schemas.openxmlformats.org/officeDocument/2006/relationships/hyperlink" Target="https://www.state.gov/reports/2022-country-reports-on-human-rights-practices/georgia/" TargetMode="External"/><Relationship Id="rId9" Type="http://schemas.openxmlformats.org/officeDocument/2006/relationships/hyperlink" Target="https://wisg.org/en/news/detail/324" TargetMode="External"/><Relationship Id="rId13" Type="http://schemas.openxmlformats.org/officeDocument/2006/relationships/hyperlink" Target="https://www.state.gov/reports/2022-country-reports-on-human-rights-practices/georgia/" TargetMode="External"/><Relationship Id="rId18" Type="http://schemas.openxmlformats.org/officeDocument/2006/relationships/hyperlink" Target="https://www.ecoi.net/en/file/local/2075545/CommDH%282022%2917_Report+on+the+visit+to+Georgia_EN.docx.pdf" TargetMode="External"/><Relationship Id="rId39" Type="http://schemas.openxmlformats.org/officeDocument/2006/relationships/hyperlink" Target="https://www.ecoi.net/en/file/local/2075545/CommDH%282022%2917_Report+on+the+visit+to+Georgia_EN.docx.pdf" TargetMode="External"/><Relationship Id="rId109" Type="http://schemas.openxmlformats.org/officeDocument/2006/relationships/hyperlink" Target="https://ombudsman.ge/eng/spetsialuri-angarishebi/lgbt-jgufis-uflebrivi-mdgomareobis-shefaseba-sakartveloshi" TargetMode="External"/><Relationship Id="rId34" Type="http://schemas.openxmlformats.org/officeDocument/2006/relationships/hyperlink" Target="https://socialjustice.org.ge/uploads/products/pdf/Social_Exclusion_of_LGBTQ_Group_1612128635.pdf" TargetMode="External"/><Relationship Id="rId50" Type="http://schemas.openxmlformats.org/officeDocument/2006/relationships/hyperlink" Target="https://civil.ge/archives/499449" TargetMode="External"/><Relationship Id="rId55" Type="http://schemas.openxmlformats.org/officeDocument/2006/relationships/hyperlink" Target="https://www.hrw.org/world-report/2023/country-chapters/georgia" TargetMode="External"/><Relationship Id="rId76" Type="http://schemas.openxmlformats.org/officeDocument/2006/relationships/hyperlink" Target="https://www.penalreform.org/blog/sexual-minorities-in-georgian-prisons/" TargetMode="External"/><Relationship Id="rId97" Type="http://schemas.openxmlformats.org/officeDocument/2006/relationships/hyperlink" Target="https://socialjustice.org.ge/uploads/products/pdf/Social_Exclusion_of_LGBTQ_Group_1612128635.pdf" TargetMode="External"/><Relationship Id="rId104" Type="http://schemas.openxmlformats.org/officeDocument/2006/relationships/hyperlink" Target="https://wisg.org/Data/docs/publications/research-study/WISG-From-Projudice-to-Equality-2022-EN.pdf" TargetMode="External"/><Relationship Id="rId120" Type="http://schemas.openxmlformats.org/officeDocument/2006/relationships/hyperlink" Target="https://osgf.ge/en/publication/the-main-challenges-of-the-social-protection-system-for-various-vulnerable-groups-in-georgia/" TargetMode="External"/><Relationship Id="rId125" Type="http://schemas.openxmlformats.org/officeDocument/2006/relationships/hyperlink" Target="https://socialjustice.org.ge/uploads/products/pdf/Social_Exclusion_of_LGBTQ_Group_1612128635.pdf" TargetMode="External"/><Relationship Id="rId141" Type="http://schemas.openxmlformats.org/officeDocument/2006/relationships/hyperlink" Target="https://equality.ge/en/mission-vision" TargetMode="External"/><Relationship Id="rId146" Type="http://schemas.openxmlformats.org/officeDocument/2006/relationships/hyperlink" Target="https://freedomhouse.org/country/georgia/freedom-world/2023" TargetMode="External"/><Relationship Id="rId7" Type="http://schemas.openxmlformats.org/officeDocument/2006/relationships/hyperlink" Target="https://ukhohttps:/constitutionnet.org/sites/default/files/Georgia%20Constitution.pdfmeoffice.sharepoint.com/sites/PROC975/SharedDocuments/Countries/Georgia/CPINs/Archive" TargetMode="External"/><Relationship Id="rId71" Type="http://schemas.openxmlformats.org/officeDocument/2006/relationships/hyperlink" Target="https://www.ecoi.net/en/file/local/2075545/CommDH%282022%2917_Report+on+the+visit+to+Georgia_EN.docx.pdf" TargetMode="External"/><Relationship Id="rId92" Type="http://schemas.openxmlformats.org/officeDocument/2006/relationships/hyperlink" Target="https://www.state.gov/reports/2022-country-reports-on-human-rights-practices/georgia/" TargetMode="External"/><Relationship Id="rId2" Type="http://schemas.openxmlformats.org/officeDocument/2006/relationships/hyperlink" Target="https://ilga.org/state-sponsored-homophobia-report-2020-global-legislation-overview" TargetMode="External"/><Relationship Id="rId29" Type="http://schemas.openxmlformats.org/officeDocument/2006/relationships/hyperlink" Target="https://ombudsman.ge/res/docs/2023041011140537314.pdf" TargetMode="External"/><Relationship Id="rId24" Type="http://schemas.openxmlformats.org/officeDocument/2006/relationships/hyperlink" Target="https://www.politico.eu/article/georgia-crackdown-queer-lgbtq-rights-say-about-eu-ambitions-european-union-membership/" TargetMode="External"/><Relationship Id="rId40" Type="http://schemas.openxmlformats.org/officeDocument/2006/relationships/hyperlink" Target="https://www.ecoi.net/en/file/local/2075545/CommDH%282022%2917_Report+on+the+visit+to+Georgia_EN.docx.pdf" TargetMode="External"/><Relationship Id="rId45" Type="http://schemas.openxmlformats.org/officeDocument/2006/relationships/hyperlink" Target="https://www.ecoi.net/en/file/local/2075545/CommDH%282022%2917_Report+on+the+visit+to+Georgia_EN.docx.pdf" TargetMode="External"/><Relationship Id="rId66" Type="http://schemas.openxmlformats.org/officeDocument/2006/relationships/hyperlink" Target="https://www.geostat.ge/media/43559/Hate-crimes-2021.pdf" TargetMode="External"/><Relationship Id="rId87" Type="http://schemas.openxmlformats.org/officeDocument/2006/relationships/hyperlink" Target="https://wisg.org/Data/docs/publications/research-study/WISG-From-Projudice-to-Equality-2022-EN.pdf" TargetMode="External"/><Relationship Id="rId110" Type="http://schemas.openxmlformats.org/officeDocument/2006/relationships/hyperlink" Target="https://socialjustice.org.ge/uploads/products/pdf/Social_Exclusion_of_LGBTQ_Group_1612128635.pdf" TargetMode="External"/><Relationship Id="rId115" Type="http://schemas.openxmlformats.org/officeDocument/2006/relationships/hyperlink" Target="https://www.ombudsman.ge/res/docs/2022070612391254904.pdf" TargetMode="External"/><Relationship Id="rId131" Type="http://schemas.openxmlformats.org/officeDocument/2006/relationships/hyperlink" Target="https://socialjustice.org.ge/en/products/lgbtk-jgufis-sotsialuri-ekskluziis-kvleva-sakartveloshi" TargetMode="External"/><Relationship Id="rId136" Type="http://schemas.openxmlformats.org/officeDocument/2006/relationships/hyperlink" Target="https://www.bbc.co.uk/culture/article/20230124-the-comedian-fighting-prejudice-with-laughter-in-georgia" TargetMode="External"/><Relationship Id="rId61" Type="http://schemas.openxmlformats.org/officeDocument/2006/relationships/hyperlink" Target="https://www.reuters.com/world/europe/anti-lgbt-protesters-break-up-pride-festival-georgia-2023-07-08/" TargetMode="External"/><Relationship Id="rId82" Type="http://schemas.openxmlformats.org/officeDocument/2006/relationships/hyperlink" Target="https://wisg.org/Data/docs/publications/research-study/WISG-From-Projudice-to-Equality-2022-EN.pdf" TargetMode="External"/><Relationship Id="rId19" Type="http://schemas.openxmlformats.org/officeDocument/2006/relationships/hyperlink" Target="https://iwpr.net/global-voices/georgia-lgbti-activists-fear-far-right-alliances" TargetMode="External"/><Relationship Id="rId14" Type="http://schemas.openxmlformats.org/officeDocument/2006/relationships/hyperlink" Target="https://hudoc.echr.coe.int/eng-press" TargetMode="External"/><Relationship Id="rId30" Type="http://schemas.openxmlformats.org/officeDocument/2006/relationships/hyperlink" Target="https://www.state.gov/reports/2022-country-reports-on-human-rights-practices/georgia/" TargetMode="External"/><Relationship Id="rId35" Type="http://schemas.openxmlformats.org/officeDocument/2006/relationships/hyperlink" Target="https://socialjustice.org.ge/uploads/products/pdf/Social_Exclusion_of_LGBTQ_Group_1612128635.pdf" TargetMode="External"/><Relationship Id="rId56" Type="http://schemas.openxmlformats.org/officeDocument/2006/relationships/hyperlink" Target="https://georgiatoday.ge/tbilisi-pride-week-2022-reviewed/" TargetMode="External"/><Relationship Id="rId77" Type="http://schemas.openxmlformats.org/officeDocument/2006/relationships/hyperlink" Target="https://www.ecoi.net/en/file/local/2075545/CommDH%282022%2917_Report+on+the+visit+to+Georgia_EN.docx.pdf" TargetMode="External"/><Relationship Id="rId100" Type="http://schemas.openxmlformats.org/officeDocument/2006/relationships/hyperlink" Target="https://socialjustice.org.ge/uploads/products/pdf/Social_Exclusion_of_LGBTQ_Group_1612128635.pdf" TargetMode="External"/><Relationship Id="rId105" Type="http://schemas.openxmlformats.org/officeDocument/2006/relationships/hyperlink" Target="https://wisg.org/Data/docs/publications/research-study/WISG-From-Projudice-to-Equality-2022-EN.pdf" TargetMode="External"/><Relationship Id="rId126" Type="http://schemas.openxmlformats.org/officeDocument/2006/relationships/hyperlink" Target="https://socialjustice.org.ge/uploads/products/pdf/Social_Exclusion_of_LGBTQ_Group_1612128635.pdf" TargetMode="External"/><Relationship Id="rId8" Type="http://schemas.openxmlformats.org/officeDocument/2006/relationships/hyperlink" Target="https://matsne.gov.ge/en/document/view/30346?publication=36" TargetMode="External"/><Relationship Id="rId51" Type="http://schemas.openxmlformats.org/officeDocument/2006/relationships/hyperlink" Target="https://ombudsman.ge/res/docs/2023041011140537314.pdf" TargetMode="External"/><Relationship Id="rId72" Type="http://schemas.openxmlformats.org/officeDocument/2006/relationships/hyperlink" Target="https://www.ombudsman.ge/eng/gzamkvlevi" TargetMode="External"/><Relationship Id="rId93" Type="http://schemas.openxmlformats.org/officeDocument/2006/relationships/hyperlink" Target="https://www.state.gov/reports/2022-country-reports-on-human-rights-practices/georgia/" TargetMode="External"/><Relationship Id="rId98" Type="http://schemas.openxmlformats.org/officeDocument/2006/relationships/hyperlink" Target="https://socialjustice.org.ge/uploads/products/pdf/Social_Exclusion_of_LGBTQ_Group_1612128635.pdf" TargetMode="External"/><Relationship Id="rId121" Type="http://schemas.openxmlformats.org/officeDocument/2006/relationships/hyperlink" Target="https://osgf.ge/en/publication/the-main-challenges-of-the-social-protection-system-for-various-vulnerable-groups-in-georgia/" TargetMode="External"/><Relationship Id="rId142" Type="http://schemas.openxmlformats.org/officeDocument/2006/relationships/hyperlink" Target="https://www.hrc.ge/mission/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SharedWithUsers xmlns="cead7266-2d30-40ba-9b05-25eb0561d86a">
      <UserInfo>
        <DisplayName>Stacey-Ann Armantrading (HOLA)</DisplayName>
        <AccountId>492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1" ma:contentTypeDescription="Create a new document." ma:contentTypeScope="" ma:versionID="afb8d1f9bb3c21078c6b7509a7f743a3">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c1c996cc2391e06a8bc8d792150f478b"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ISC Civil Service Team (P)|27d43104-25da-4ce5-a40c-4b1dde3cc0b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E06B6-4912-4EB1-9C4D-B6D3133DB85C}">
  <ds:schemaRefs>
    <ds:schemaRef ds:uri="Microsoft.SharePoint.Taxonomy.ContentTypeSync"/>
  </ds:schemaRefs>
</ds:datastoreItem>
</file>

<file path=customXml/itemProps2.xml><?xml version="1.0" encoding="utf-8"?>
<ds:datastoreItem xmlns:ds="http://schemas.openxmlformats.org/officeDocument/2006/customXml" ds:itemID="{E64285ED-4456-4D03-96BA-5C6A5DB25877}">
  <ds:schemaRefs>
    <ds:schemaRef ds:uri="http://schemas.openxmlformats.org/officeDocument/2006/bibliography"/>
  </ds:schemaRefs>
</ds:datastoreItem>
</file>

<file path=customXml/itemProps3.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 ds:uri="e53deb5b-328f-428d-9c73-d307b6dc79c5"/>
    <ds:schemaRef ds:uri="cead7266-2d30-40ba-9b05-25eb0561d86a"/>
  </ds:schemaRefs>
</ds:datastoreItem>
</file>

<file path=customXml/itemProps4.xml><?xml version="1.0" encoding="utf-8"?>
<ds:datastoreItem xmlns:ds="http://schemas.openxmlformats.org/officeDocument/2006/customXml" ds:itemID="{5DFBA3CD-71AE-4CF0-87CA-3742A6A6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18944</Words>
  <Characters>107984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 Policy &amp; Information Team</dc:creator>
  <cp:keywords/>
  <dc:description/>
  <cp:lastModifiedBy>Ralph Clarkson</cp:lastModifiedBy>
  <cp:revision>4</cp:revision>
  <dcterms:created xsi:type="dcterms:W3CDTF">2024-09-30T13:50:00Z</dcterms:created>
  <dcterms:modified xsi:type="dcterms:W3CDTF">2024-09-30T14:05:00Z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ies>
</file>