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5C6B6" w14:textId="77777777" w:rsidR="00E84F3D" w:rsidRDefault="00E84F3D" w:rsidP="00536B42">
      <w:pPr>
        <w:spacing w:line="240" w:lineRule="auto"/>
        <w:jc w:val="center"/>
        <w:rPr>
          <w:b/>
          <w:bCs/>
        </w:rPr>
      </w:pPr>
    </w:p>
    <w:p w14:paraId="2C078E63" w14:textId="009F9922" w:rsidR="00AB16B3" w:rsidRPr="00292715" w:rsidRDefault="00DD1E12" w:rsidP="00536B42">
      <w:pPr>
        <w:spacing w:line="240" w:lineRule="auto"/>
        <w:jc w:val="center"/>
      </w:pPr>
      <w:r>
        <w:rPr>
          <w:b/>
          <w:bCs/>
        </w:rPr>
        <w:t xml:space="preserve">Submission </w:t>
      </w:r>
      <w:r w:rsidR="278EA299" w:rsidRPr="00292715">
        <w:rPr>
          <w:b/>
          <w:bCs/>
        </w:rPr>
        <w:t>by the Global Initiative for Economic, Social and Cultural Rights (GI-ESCR)</w:t>
      </w:r>
      <w:r w:rsidR="00583F1A" w:rsidRPr="00EE0130">
        <w:rPr>
          <w:b/>
          <w:bCs/>
        </w:rPr>
        <w:t xml:space="preserve">, </w:t>
      </w:r>
      <w:r w:rsidR="278EA299" w:rsidRPr="00292715">
        <w:rPr>
          <w:b/>
          <w:bCs/>
        </w:rPr>
        <w:t>the Interamerican Association for Environmental Defense (AIDA)</w:t>
      </w:r>
      <w:r w:rsidR="00032571" w:rsidRPr="00292715">
        <w:rPr>
          <w:b/>
          <w:bCs/>
        </w:rPr>
        <w:t>,</w:t>
      </w:r>
      <w:r w:rsidR="00583F1A" w:rsidRPr="00292715">
        <w:rPr>
          <w:b/>
          <w:bCs/>
        </w:rPr>
        <w:t xml:space="preserve"> </w:t>
      </w:r>
      <w:proofErr w:type="spellStart"/>
      <w:r w:rsidRPr="00DD1E12">
        <w:rPr>
          <w:b/>
          <w:bCs/>
        </w:rPr>
        <w:t>Payxail</w:t>
      </w:r>
      <w:proofErr w:type="spellEnd"/>
      <w:r w:rsidRPr="00DD1E12">
        <w:rPr>
          <w:b/>
          <w:bCs/>
        </w:rPr>
        <w:t xml:space="preserve"> </w:t>
      </w:r>
      <w:proofErr w:type="spellStart"/>
      <w:r w:rsidRPr="00DD1E12">
        <w:rPr>
          <w:b/>
          <w:bCs/>
        </w:rPr>
        <w:t>Yajaw</w:t>
      </w:r>
      <w:proofErr w:type="spellEnd"/>
      <w:r w:rsidRPr="00DD1E12">
        <w:rPr>
          <w:b/>
          <w:bCs/>
        </w:rPr>
        <w:t xml:space="preserve"> </w:t>
      </w:r>
      <w:proofErr w:type="spellStart"/>
      <w:r w:rsidRPr="00DD1E12">
        <w:rPr>
          <w:b/>
          <w:bCs/>
        </w:rPr>
        <w:t>konob</w:t>
      </w:r>
      <w:proofErr w:type="spellEnd"/>
      <w:r w:rsidRPr="00DD1E12">
        <w:rPr>
          <w:b/>
          <w:bCs/>
        </w:rPr>
        <w:t xml:space="preserve">' </w:t>
      </w:r>
      <w:r>
        <w:rPr>
          <w:b/>
          <w:bCs/>
        </w:rPr>
        <w:t>(</w:t>
      </w:r>
      <w:proofErr w:type="spellStart"/>
      <w:r w:rsidR="00CA3E42" w:rsidRPr="00292715">
        <w:rPr>
          <w:b/>
          <w:bCs/>
        </w:rPr>
        <w:t>Plurinational</w:t>
      </w:r>
      <w:proofErr w:type="spellEnd"/>
      <w:r w:rsidR="00CA3E42" w:rsidRPr="00292715">
        <w:rPr>
          <w:b/>
          <w:bCs/>
        </w:rPr>
        <w:t xml:space="preserve"> Ancestral Government</w:t>
      </w:r>
      <w:r>
        <w:rPr>
          <w:b/>
          <w:bCs/>
        </w:rPr>
        <w:t>)</w:t>
      </w:r>
      <w:r w:rsidR="00CA3E42" w:rsidRPr="00292715">
        <w:rPr>
          <w:b/>
          <w:bCs/>
        </w:rPr>
        <w:t xml:space="preserve">, </w:t>
      </w:r>
      <w:r w:rsidR="00583F1A" w:rsidRPr="00292715">
        <w:rPr>
          <w:b/>
          <w:bCs/>
        </w:rPr>
        <w:t xml:space="preserve">and </w:t>
      </w:r>
      <w:r w:rsidR="00032571" w:rsidRPr="00292715">
        <w:rPr>
          <w:b/>
          <w:bCs/>
          <w:color w:val="000000" w:themeColor="text1"/>
        </w:rPr>
        <w:t>the International Platform Against Impunity</w:t>
      </w:r>
      <w:r w:rsidR="00032571" w:rsidRPr="00292715">
        <w:rPr>
          <w:b/>
          <w:bCs/>
        </w:rPr>
        <w:t>,</w:t>
      </w:r>
      <w:r w:rsidR="278EA299" w:rsidRPr="00292715">
        <w:rPr>
          <w:b/>
          <w:bCs/>
        </w:rPr>
        <w:t xml:space="preserve"> </w:t>
      </w:r>
      <w:proofErr w:type="gramStart"/>
      <w:r w:rsidR="278EA299" w:rsidRPr="00292715">
        <w:rPr>
          <w:b/>
          <w:bCs/>
        </w:rPr>
        <w:t>on the occasion of</w:t>
      </w:r>
      <w:proofErr w:type="gramEnd"/>
      <w:r w:rsidR="278EA299" w:rsidRPr="00292715">
        <w:rPr>
          <w:b/>
          <w:bCs/>
        </w:rPr>
        <w:t xml:space="preserve"> the consideration of the fourth periodic review of Guatemala during the Committee on Economic, Social and Cultural Rights’ 72</w:t>
      </w:r>
      <w:r w:rsidR="278EA299" w:rsidRPr="00292715">
        <w:rPr>
          <w:b/>
          <w:bCs/>
          <w:vertAlign w:val="superscript"/>
        </w:rPr>
        <w:t>nd</w:t>
      </w:r>
      <w:r w:rsidR="278EA299" w:rsidRPr="00292715">
        <w:rPr>
          <w:b/>
          <w:bCs/>
        </w:rPr>
        <w:t xml:space="preserve"> session</w:t>
      </w:r>
    </w:p>
    <w:p w14:paraId="3E4DE425" w14:textId="0AED50D7" w:rsidR="278EA299" w:rsidRPr="00292715" w:rsidRDefault="278EA299" w:rsidP="00536B42">
      <w:pPr>
        <w:spacing w:line="240" w:lineRule="auto"/>
        <w:rPr>
          <w:b/>
          <w:bCs/>
        </w:rPr>
      </w:pPr>
    </w:p>
    <w:p w14:paraId="0779ECFD" w14:textId="678F085C" w:rsidR="278EA299" w:rsidRPr="00292715" w:rsidRDefault="278EA299" w:rsidP="00536B42">
      <w:pPr>
        <w:spacing w:line="240" w:lineRule="auto"/>
        <w:rPr>
          <w:i/>
          <w:iCs/>
        </w:rPr>
      </w:pPr>
      <w:r w:rsidRPr="00292715">
        <w:rPr>
          <w:i/>
          <w:iCs/>
        </w:rPr>
        <w:t>Submitted 29 August 2022</w:t>
      </w:r>
    </w:p>
    <w:p w14:paraId="7008F056" w14:textId="713A2659" w:rsidR="278EA299" w:rsidRPr="00802B2C" w:rsidRDefault="278EA299" w:rsidP="00536B42">
      <w:pPr>
        <w:spacing w:line="240" w:lineRule="auto"/>
        <w:jc w:val="both"/>
        <w:rPr>
          <w:rFonts w:cstheme="minorHAnsi"/>
        </w:rPr>
      </w:pPr>
    </w:p>
    <w:p w14:paraId="3F527907" w14:textId="47C846C6" w:rsidR="278EA299" w:rsidRPr="00802B2C" w:rsidRDefault="278EA299" w:rsidP="00536B42">
      <w:pPr>
        <w:spacing w:line="240" w:lineRule="auto"/>
        <w:jc w:val="both"/>
        <w:rPr>
          <w:rFonts w:cstheme="minorHAnsi"/>
        </w:rPr>
      </w:pPr>
      <w:r w:rsidRPr="00802B2C">
        <w:rPr>
          <w:rFonts w:cstheme="minorHAnsi"/>
          <w:b/>
          <w:bCs/>
        </w:rPr>
        <w:t>Introduction</w:t>
      </w:r>
    </w:p>
    <w:p w14:paraId="11CBD8CC" w14:textId="6BD0DA15" w:rsidR="278EA299" w:rsidRPr="00802B2C" w:rsidRDefault="278EA299" w:rsidP="00536B42">
      <w:pPr>
        <w:pStyle w:val="ListParagraph"/>
        <w:numPr>
          <w:ilvl w:val="0"/>
          <w:numId w:val="7"/>
        </w:numPr>
        <w:spacing w:line="240" w:lineRule="auto"/>
        <w:contextualSpacing w:val="0"/>
        <w:jc w:val="both"/>
        <w:rPr>
          <w:rFonts w:eastAsiaTheme="minorEastAsia" w:cstheme="minorHAnsi"/>
        </w:rPr>
      </w:pPr>
      <w:r w:rsidRPr="00802B2C">
        <w:rPr>
          <w:rFonts w:cstheme="minorHAnsi"/>
        </w:rPr>
        <w:t xml:space="preserve">The Global Initiative for Economic, Social and Cultural Rights (GI-ESCR) is an international non-governmental human rights organization </w:t>
      </w:r>
      <w:r w:rsidR="00DD1E12" w:rsidRPr="00802B2C">
        <w:rPr>
          <w:rFonts w:cstheme="minorHAnsi"/>
        </w:rPr>
        <w:t>that promotes transformative change to end endemic problems of social and economic injustice through a human rights lens. GI-ESCR´s vision is that of a world in which every person and community lives in dignity and in harmony with nature. GI-ESCR aims to transform power relations to enable every person and community to enjoy their ESC rights and all other human rights now and in the future</w:t>
      </w:r>
      <w:r w:rsidR="00DD1E12" w:rsidRPr="00802B2C">
        <w:rPr>
          <w:rFonts w:cstheme="minorHAnsi"/>
        </w:rPr>
        <w:t xml:space="preserve">. </w:t>
      </w:r>
      <w:proofErr w:type="spellStart"/>
      <w:r w:rsidRPr="00802B2C">
        <w:rPr>
          <w:rFonts w:cstheme="minorHAnsi"/>
        </w:rPr>
        <w:t>As</w:t>
      </w:r>
      <w:proofErr w:type="spellEnd"/>
      <w:r w:rsidRPr="00802B2C">
        <w:rPr>
          <w:rFonts w:cstheme="minorHAnsi"/>
        </w:rPr>
        <w:t xml:space="preserve"> a long-standing partner of the Committee on Economic, Social and Cultural Rights, GI-ESCR has strongly contributed to the standard setting and innovative and creative understanding of ESCE rights. </w:t>
      </w:r>
    </w:p>
    <w:p w14:paraId="22C1C742" w14:textId="67C781F1" w:rsidR="00032571" w:rsidRPr="00536B42" w:rsidRDefault="278EA299" w:rsidP="00536B42">
      <w:pPr>
        <w:pStyle w:val="ListParagraph"/>
        <w:numPr>
          <w:ilvl w:val="0"/>
          <w:numId w:val="7"/>
        </w:numPr>
        <w:spacing w:line="240" w:lineRule="auto"/>
        <w:contextualSpacing w:val="0"/>
        <w:jc w:val="both"/>
        <w:rPr>
          <w:rFonts w:eastAsiaTheme="minorEastAsia" w:cstheme="minorHAnsi"/>
        </w:rPr>
      </w:pPr>
      <w:r w:rsidRPr="00802B2C">
        <w:rPr>
          <w:rFonts w:eastAsiaTheme="minorEastAsia" w:cstheme="minorHAnsi"/>
        </w:rPr>
        <w:t>The Interamerican Association for Environmental Defense (AIDA) uses the law and science to protect the environment and communities suffering from environmental harm, primarily in Latin America. AIDA combines legal advocacy with education and alliance-building initiatives. They prioritize high-need, high-impact cases that can set replicable precedents, propose feasible paths of action, provide legal language officials can adopt, and disseminate information on pending proposals. They also support our partners’ efforts by injecting arguments based on international law into advocacy and litigation.</w:t>
      </w:r>
    </w:p>
    <w:p w14:paraId="3C4B1FF8" w14:textId="6CC60F45" w:rsidR="00DD1E12" w:rsidRPr="00536B42" w:rsidRDefault="003722C8" w:rsidP="00536B42">
      <w:pPr>
        <w:pStyle w:val="ListParagraph"/>
        <w:numPr>
          <w:ilvl w:val="0"/>
          <w:numId w:val="7"/>
        </w:numPr>
        <w:spacing w:line="240" w:lineRule="auto"/>
        <w:contextualSpacing w:val="0"/>
        <w:jc w:val="both"/>
        <w:rPr>
          <w:rFonts w:eastAsiaTheme="minorEastAsia" w:cstheme="minorHAnsi"/>
          <w:color w:val="ED7D31" w:themeColor="accent2"/>
        </w:rPr>
      </w:pPr>
      <w:r w:rsidRPr="00802B2C">
        <w:rPr>
          <w:rFonts w:cstheme="minorHAnsi"/>
          <w:color w:val="000000" w:themeColor="text1"/>
        </w:rPr>
        <w:t xml:space="preserve">The International Platform Against Impunity (Plataforma </w:t>
      </w:r>
      <w:proofErr w:type="spellStart"/>
      <w:r w:rsidRPr="00802B2C">
        <w:rPr>
          <w:rFonts w:cstheme="minorHAnsi"/>
          <w:color w:val="000000" w:themeColor="text1"/>
        </w:rPr>
        <w:t>Internacional</w:t>
      </w:r>
      <w:proofErr w:type="spellEnd"/>
      <w:r w:rsidRPr="00802B2C">
        <w:rPr>
          <w:rFonts w:cstheme="minorHAnsi"/>
          <w:color w:val="000000" w:themeColor="text1"/>
        </w:rPr>
        <w:t xml:space="preserve"> contra la </w:t>
      </w:r>
      <w:proofErr w:type="spellStart"/>
      <w:r w:rsidRPr="00802B2C">
        <w:rPr>
          <w:rFonts w:cstheme="minorHAnsi"/>
          <w:color w:val="000000" w:themeColor="text1"/>
        </w:rPr>
        <w:t>Impunidad</w:t>
      </w:r>
      <w:proofErr w:type="spellEnd"/>
      <w:r w:rsidRPr="00802B2C">
        <w:rPr>
          <w:rFonts w:cstheme="minorHAnsi"/>
          <w:color w:val="000000" w:themeColor="text1"/>
        </w:rPr>
        <w:t xml:space="preserve">) is an alliance of European and Central American civil society organizations that support and promote advocacy processes for the full enforcement of individual and collective human rights, with the vision of building stronger and fairer societies in Central America. </w:t>
      </w:r>
      <w:r w:rsidR="00032571" w:rsidRPr="00802B2C">
        <w:rPr>
          <w:rFonts w:cstheme="minorHAnsi"/>
          <w:color w:val="000000" w:themeColor="text1"/>
        </w:rPr>
        <w:t xml:space="preserve">Our actions at the international level are complemented by local actions of accompanying Human Rights Defenders by improving the conditions in which they work and in their fight against impunity and defense of human rights. </w:t>
      </w:r>
      <w:r w:rsidRPr="00802B2C">
        <w:rPr>
          <w:rFonts w:cstheme="minorHAnsi"/>
          <w:color w:val="000000" w:themeColor="text1"/>
        </w:rPr>
        <w:t xml:space="preserve">Our headquartered is in Geneva, Switzerland </w:t>
      </w:r>
      <w:r w:rsidR="00032571" w:rsidRPr="00802B2C">
        <w:rPr>
          <w:rFonts w:cstheme="minorHAnsi"/>
          <w:color w:val="000000" w:themeColor="text1"/>
        </w:rPr>
        <w:t xml:space="preserve">and we have offices in Guatemala and in Honduras. </w:t>
      </w:r>
    </w:p>
    <w:p w14:paraId="3EA094AC" w14:textId="4C13DF69" w:rsidR="278EA299" w:rsidRPr="00802B2C" w:rsidRDefault="00DD1E12" w:rsidP="00536B42">
      <w:pPr>
        <w:pStyle w:val="ListParagraph"/>
        <w:numPr>
          <w:ilvl w:val="0"/>
          <w:numId w:val="7"/>
        </w:numPr>
        <w:spacing w:line="240" w:lineRule="auto"/>
        <w:contextualSpacing w:val="0"/>
        <w:jc w:val="both"/>
        <w:rPr>
          <w:rFonts w:eastAsiaTheme="minorEastAsia" w:cstheme="minorHAnsi"/>
        </w:rPr>
      </w:pPr>
      <w:r w:rsidRPr="00802B2C">
        <w:rPr>
          <w:rFonts w:eastAsiaTheme="minorEastAsia" w:cstheme="minorHAnsi"/>
        </w:rPr>
        <w:t xml:space="preserve">The </w:t>
      </w:r>
      <w:proofErr w:type="spellStart"/>
      <w:r w:rsidRPr="00802B2C">
        <w:rPr>
          <w:rFonts w:eastAsiaTheme="minorEastAsia" w:cstheme="minorHAnsi"/>
        </w:rPr>
        <w:t>Payxail</w:t>
      </w:r>
      <w:proofErr w:type="spellEnd"/>
      <w:r w:rsidRPr="00802B2C">
        <w:rPr>
          <w:rFonts w:eastAsiaTheme="minorEastAsia" w:cstheme="minorHAnsi"/>
        </w:rPr>
        <w:t xml:space="preserve"> </w:t>
      </w:r>
      <w:proofErr w:type="spellStart"/>
      <w:r w:rsidRPr="00802B2C">
        <w:rPr>
          <w:rFonts w:eastAsiaTheme="minorEastAsia" w:cstheme="minorHAnsi"/>
        </w:rPr>
        <w:t>Yajaw</w:t>
      </w:r>
      <w:proofErr w:type="spellEnd"/>
      <w:r w:rsidRPr="00802B2C">
        <w:rPr>
          <w:rFonts w:eastAsiaTheme="minorEastAsia" w:cstheme="minorHAnsi"/>
        </w:rPr>
        <w:t xml:space="preserve"> </w:t>
      </w:r>
      <w:proofErr w:type="spellStart"/>
      <w:r w:rsidRPr="00802B2C">
        <w:rPr>
          <w:rFonts w:eastAsiaTheme="minorEastAsia" w:cstheme="minorHAnsi"/>
        </w:rPr>
        <w:t>konob</w:t>
      </w:r>
      <w:proofErr w:type="spellEnd"/>
      <w:r w:rsidRPr="00802B2C">
        <w:rPr>
          <w:rFonts w:eastAsiaTheme="minorEastAsia" w:cstheme="minorHAnsi"/>
        </w:rPr>
        <w:t xml:space="preserve">' or </w:t>
      </w:r>
      <w:proofErr w:type="spellStart"/>
      <w:r w:rsidRPr="00802B2C">
        <w:rPr>
          <w:rFonts w:eastAsiaTheme="minorEastAsia" w:cstheme="minorHAnsi"/>
        </w:rPr>
        <w:t>plurinational</w:t>
      </w:r>
      <w:proofErr w:type="spellEnd"/>
      <w:r w:rsidRPr="00802B2C">
        <w:rPr>
          <w:rFonts w:eastAsiaTheme="minorEastAsia" w:cstheme="minorHAnsi"/>
        </w:rPr>
        <w:t xml:space="preserve"> government is the articulation or ancestral expression of life and political organization of the nations of Mayan descent </w:t>
      </w:r>
      <w:proofErr w:type="spellStart"/>
      <w:r w:rsidRPr="00802B2C">
        <w:rPr>
          <w:rFonts w:eastAsiaTheme="minorEastAsia" w:cstheme="minorHAnsi"/>
        </w:rPr>
        <w:t>Q'anjob'al</w:t>
      </w:r>
      <w:proofErr w:type="spellEnd"/>
      <w:r w:rsidRPr="00802B2C">
        <w:rPr>
          <w:rFonts w:eastAsiaTheme="minorEastAsia" w:cstheme="minorHAnsi"/>
        </w:rPr>
        <w:t xml:space="preserve">, Chuj, </w:t>
      </w:r>
      <w:proofErr w:type="spellStart"/>
      <w:r w:rsidRPr="00802B2C">
        <w:rPr>
          <w:rFonts w:eastAsiaTheme="minorEastAsia" w:cstheme="minorHAnsi"/>
        </w:rPr>
        <w:t>Akateko</w:t>
      </w:r>
      <w:proofErr w:type="spellEnd"/>
      <w:r w:rsidRPr="00802B2C">
        <w:rPr>
          <w:rFonts w:eastAsiaTheme="minorEastAsia" w:cstheme="minorHAnsi"/>
        </w:rPr>
        <w:t xml:space="preserve"> and </w:t>
      </w:r>
      <w:proofErr w:type="spellStart"/>
      <w:r w:rsidRPr="00802B2C">
        <w:rPr>
          <w:rFonts w:eastAsiaTheme="minorEastAsia" w:cstheme="minorHAnsi"/>
        </w:rPr>
        <w:t>Popti</w:t>
      </w:r>
      <w:proofErr w:type="spellEnd"/>
      <w:r w:rsidRPr="00802B2C">
        <w:rPr>
          <w:rFonts w:eastAsiaTheme="minorEastAsia" w:cstheme="minorHAnsi"/>
        </w:rPr>
        <w:t xml:space="preserve">, which seeks to retake and vindicate the self-government, in its economic, political, </w:t>
      </w:r>
      <w:proofErr w:type="gramStart"/>
      <w:r w:rsidRPr="00802B2C">
        <w:rPr>
          <w:rFonts w:eastAsiaTheme="minorEastAsia" w:cstheme="minorHAnsi"/>
        </w:rPr>
        <w:t>social</w:t>
      </w:r>
      <w:proofErr w:type="gramEnd"/>
      <w:r w:rsidRPr="00802B2C">
        <w:rPr>
          <w:rFonts w:eastAsiaTheme="minorEastAsia" w:cstheme="minorHAnsi"/>
        </w:rPr>
        <w:t xml:space="preserve"> and educational system, among others. Its objective is to organize for the defense of the territory, the exercise of autonomy and self-determination of the native nations that make up the territory. </w:t>
      </w:r>
      <w:r w:rsidRPr="00802B2C">
        <w:rPr>
          <w:rFonts w:eastAsiaTheme="minorEastAsia" w:cstheme="minorHAnsi"/>
        </w:rPr>
        <w:lastRenderedPageBreak/>
        <w:t xml:space="preserve">Within this, the promotion of food, economic, educational, energetic, </w:t>
      </w:r>
      <w:proofErr w:type="gramStart"/>
      <w:r w:rsidRPr="00802B2C">
        <w:rPr>
          <w:rFonts w:eastAsiaTheme="minorEastAsia" w:cstheme="minorHAnsi"/>
        </w:rPr>
        <w:t>environmental</w:t>
      </w:r>
      <w:proofErr w:type="gramEnd"/>
      <w:r w:rsidRPr="00802B2C">
        <w:rPr>
          <w:rFonts w:eastAsiaTheme="minorEastAsia" w:cstheme="minorHAnsi"/>
        </w:rPr>
        <w:t xml:space="preserve"> and environmental sovereignty and the life of the native peoples stands out, in the face of the implementation of national or transnational investment projects, extractive and hydroelectric projects that threaten the full life of the native peoples.</w:t>
      </w:r>
    </w:p>
    <w:p w14:paraId="0787447C" w14:textId="242B75CE" w:rsidR="278EA299" w:rsidRPr="00802B2C" w:rsidRDefault="278EA299" w:rsidP="00536B42">
      <w:pPr>
        <w:pStyle w:val="ListParagraph"/>
        <w:numPr>
          <w:ilvl w:val="0"/>
          <w:numId w:val="7"/>
        </w:numPr>
        <w:spacing w:line="240" w:lineRule="auto"/>
        <w:contextualSpacing w:val="0"/>
        <w:jc w:val="both"/>
        <w:rPr>
          <w:rFonts w:eastAsiaTheme="minorEastAsia" w:cstheme="minorHAnsi"/>
        </w:rPr>
      </w:pPr>
      <w:r w:rsidRPr="00802B2C">
        <w:rPr>
          <w:rFonts w:eastAsiaTheme="minorEastAsia" w:cstheme="minorHAnsi"/>
        </w:rPr>
        <w:t>In light of the fourth periodic review of Guatemala during the 72</w:t>
      </w:r>
      <w:r w:rsidRPr="00802B2C">
        <w:rPr>
          <w:rFonts w:eastAsiaTheme="minorEastAsia" w:cstheme="minorHAnsi"/>
          <w:vertAlign w:val="superscript"/>
        </w:rPr>
        <w:t>nd</w:t>
      </w:r>
      <w:r w:rsidRPr="00802B2C">
        <w:rPr>
          <w:rFonts w:eastAsiaTheme="minorEastAsia" w:cstheme="minorHAnsi"/>
        </w:rPr>
        <w:t xml:space="preserve"> CESCR </w:t>
      </w:r>
      <w:r w:rsidR="00DD1E12" w:rsidRPr="00802B2C">
        <w:rPr>
          <w:rFonts w:eastAsiaTheme="minorEastAsia" w:cstheme="minorHAnsi"/>
        </w:rPr>
        <w:t>session</w:t>
      </w:r>
      <w:r w:rsidRPr="00802B2C">
        <w:rPr>
          <w:rFonts w:eastAsiaTheme="minorEastAsia" w:cstheme="minorHAnsi"/>
        </w:rPr>
        <w:t>, GI-ESCR</w:t>
      </w:r>
      <w:r w:rsidR="00583F1A" w:rsidRPr="00802B2C">
        <w:rPr>
          <w:rFonts w:eastAsiaTheme="minorEastAsia" w:cstheme="minorHAnsi"/>
        </w:rPr>
        <w:t xml:space="preserve">, </w:t>
      </w:r>
      <w:r w:rsidRPr="00802B2C">
        <w:rPr>
          <w:rFonts w:eastAsiaTheme="minorEastAsia" w:cstheme="minorHAnsi"/>
        </w:rPr>
        <w:t>AIDA</w:t>
      </w:r>
      <w:r w:rsidR="003722C8" w:rsidRPr="00802B2C">
        <w:rPr>
          <w:rFonts w:eastAsiaTheme="minorEastAsia" w:cstheme="minorHAnsi"/>
        </w:rPr>
        <w:t>,</w:t>
      </w:r>
      <w:r w:rsidR="00DD1E12" w:rsidRPr="00802B2C">
        <w:rPr>
          <w:rFonts w:eastAsiaTheme="minorEastAsia" w:cstheme="minorHAnsi"/>
        </w:rPr>
        <w:t xml:space="preserve"> </w:t>
      </w:r>
      <w:r w:rsidR="003722C8" w:rsidRPr="00802B2C">
        <w:rPr>
          <w:rFonts w:eastAsiaTheme="minorEastAsia" w:cstheme="minorHAnsi"/>
          <w:color w:val="000000" w:themeColor="text1"/>
        </w:rPr>
        <w:t>International Platform against Impunity</w:t>
      </w:r>
      <w:r w:rsidR="00DD1E12" w:rsidRPr="00802B2C">
        <w:rPr>
          <w:rFonts w:eastAsiaTheme="minorEastAsia" w:cstheme="minorHAnsi"/>
          <w:color w:val="000000" w:themeColor="text1"/>
        </w:rPr>
        <w:t xml:space="preserve">, and </w:t>
      </w:r>
      <w:proofErr w:type="spellStart"/>
      <w:r w:rsidR="00DD1E12" w:rsidRPr="00802B2C">
        <w:rPr>
          <w:rFonts w:eastAsiaTheme="minorEastAsia" w:cstheme="minorHAnsi"/>
        </w:rPr>
        <w:t>Payxail</w:t>
      </w:r>
      <w:proofErr w:type="spellEnd"/>
      <w:r w:rsidR="00DD1E12" w:rsidRPr="00802B2C">
        <w:rPr>
          <w:rFonts w:eastAsiaTheme="minorEastAsia" w:cstheme="minorHAnsi"/>
        </w:rPr>
        <w:t xml:space="preserve"> </w:t>
      </w:r>
      <w:proofErr w:type="spellStart"/>
      <w:r w:rsidR="00DD1E12" w:rsidRPr="00802B2C">
        <w:rPr>
          <w:rFonts w:eastAsiaTheme="minorEastAsia" w:cstheme="minorHAnsi"/>
        </w:rPr>
        <w:t>Yajaw</w:t>
      </w:r>
      <w:proofErr w:type="spellEnd"/>
      <w:r w:rsidR="00DD1E12" w:rsidRPr="00802B2C">
        <w:rPr>
          <w:rFonts w:eastAsiaTheme="minorEastAsia" w:cstheme="minorHAnsi"/>
        </w:rPr>
        <w:t xml:space="preserve"> </w:t>
      </w:r>
      <w:proofErr w:type="spellStart"/>
      <w:r w:rsidR="00DD1E12" w:rsidRPr="00802B2C">
        <w:rPr>
          <w:rFonts w:eastAsiaTheme="minorEastAsia" w:cstheme="minorHAnsi"/>
        </w:rPr>
        <w:t>konob</w:t>
      </w:r>
      <w:proofErr w:type="spellEnd"/>
      <w:r w:rsidR="00DD1E12" w:rsidRPr="00802B2C">
        <w:rPr>
          <w:rFonts w:eastAsiaTheme="minorEastAsia" w:cstheme="minorHAnsi"/>
        </w:rPr>
        <w:t>'</w:t>
      </w:r>
      <w:r w:rsidRPr="00802B2C">
        <w:rPr>
          <w:rFonts w:eastAsiaTheme="minorEastAsia" w:cstheme="minorHAnsi"/>
          <w:color w:val="000000" w:themeColor="text1"/>
        </w:rPr>
        <w:t xml:space="preserve"> </w:t>
      </w:r>
      <w:r w:rsidRPr="00802B2C">
        <w:rPr>
          <w:rFonts w:eastAsiaTheme="minorEastAsia" w:cstheme="minorHAnsi"/>
        </w:rPr>
        <w:t xml:space="preserve">would like to provide more information on the State Party’s </w:t>
      </w:r>
      <w:r w:rsidR="00F7274F" w:rsidRPr="00802B2C">
        <w:rPr>
          <w:rFonts w:eastAsiaTheme="minorEastAsia" w:cstheme="minorHAnsi"/>
          <w:color w:val="000000" w:themeColor="text1"/>
        </w:rPr>
        <w:t>fulfillment</w:t>
      </w:r>
      <w:r w:rsidR="006332CE" w:rsidRPr="00802B2C">
        <w:rPr>
          <w:rFonts w:eastAsiaTheme="minorEastAsia" w:cstheme="minorHAnsi"/>
          <w:color w:val="000000" w:themeColor="text1"/>
        </w:rPr>
        <w:t xml:space="preserve"> of its obligation </w:t>
      </w:r>
      <w:r w:rsidR="006332CE" w:rsidRPr="00802B2C">
        <w:rPr>
          <w:rFonts w:eastAsiaTheme="minorEastAsia" w:cstheme="minorHAnsi"/>
        </w:rPr>
        <w:t xml:space="preserve">to </w:t>
      </w:r>
      <w:r w:rsidRPr="00802B2C">
        <w:rPr>
          <w:rFonts w:eastAsia="Calibri" w:cstheme="minorHAnsi"/>
        </w:rPr>
        <w:t xml:space="preserve">ensure that companies </w:t>
      </w:r>
      <w:r w:rsidR="00E41A32" w:rsidRPr="00802B2C">
        <w:rPr>
          <w:rFonts w:eastAsia="Calibri" w:cstheme="minorHAnsi"/>
        </w:rPr>
        <w:t xml:space="preserve">and International Financial Institutions (IFIs) </w:t>
      </w:r>
      <w:r w:rsidRPr="00802B2C">
        <w:rPr>
          <w:rFonts w:eastAsia="Calibri" w:cstheme="minorHAnsi"/>
        </w:rPr>
        <w:t>exercise due diligence and accountability in relation to human rights</w:t>
      </w:r>
      <w:r w:rsidRPr="00802B2C">
        <w:rPr>
          <w:rFonts w:eastAsiaTheme="minorEastAsia" w:cstheme="minorHAnsi"/>
        </w:rPr>
        <w:t xml:space="preserve"> and highlight our concerns with regard to the </w:t>
      </w:r>
      <w:r w:rsidR="00292715" w:rsidRPr="00802B2C">
        <w:rPr>
          <w:rFonts w:eastAsiaTheme="minorEastAsia" w:cstheme="minorHAnsi"/>
        </w:rPr>
        <w:t xml:space="preserve">Maya </w:t>
      </w:r>
      <w:proofErr w:type="spellStart"/>
      <w:r w:rsidR="00292715" w:rsidRPr="00802B2C">
        <w:rPr>
          <w:rFonts w:eastAsiaTheme="minorEastAsia" w:cstheme="minorHAnsi"/>
        </w:rPr>
        <w:t>Akateka</w:t>
      </w:r>
      <w:proofErr w:type="spellEnd"/>
      <w:r w:rsidR="00292715" w:rsidRPr="00802B2C">
        <w:rPr>
          <w:rFonts w:eastAsiaTheme="minorEastAsia" w:cstheme="minorHAnsi"/>
        </w:rPr>
        <w:t xml:space="preserve">, Maya Chuj, Maya </w:t>
      </w:r>
      <w:proofErr w:type="spellStart"/>
      <w:r w:rsidR="00292715" w:rsidRPr="00802B2C">
        <w:rPr>
          <w:rFonts w:eastAsiaTheme="minorEastAsia" w:cstheme="minorHAnsi"/>
        </w:rPr>
        <w:t>Q'anjob'al</w:t>
      </w:r>
      <w:proofErr w:type="spellEnd"/>
      <w:r w:rsidR="00292715" w:rsidRPr="00802B2C">
        <w:rPr>
          <w:rFonts w:eastAsiaTheme="minorEastAsia" w:cstheme="minorHAnsi"/>
        </w:rPr>
        <w:t xml:space="preserve"> and Maya Mam Indigenous Nations, who live in the Yichk'isis Microregion, in the municipality of San Mateo </w:t>
      </w:r>
      <w:proofErr w:type="spellStart"/>
      <w:r w:rsidR="00292715" w:rsidRPr="00802B2C">
        <w:rPr>
          <w:rFonts w:eastAsiaTheme="minorEastAsia" w:cstheme="minorHAnsi"/>
        </w:rPr>
        <w:t>Ixtatán</w:t>
      </w:r>
      <w:proofErr w:type="spellEnd"/>
      <w:r w:rsidR="00292715" w:rsidRPr="00802B2C">
        <w:rPr>
          <w:rFonts w:eastAsiaTheme="minorEastAsia" w:cstheme="minorHAnsi"/>
        </w:rPr>
        <w:t xml:space="preserve">, department of Huehuetenango. </w:t>
      </w:r>
      <w:r w:rsidRPr="00802B2C">
        <w:rPr>
          <w:rFonts w:eastAsiaTheme="minorEastAsia" w:cstheme="minorHAnsi"/>
        </w:rPr>
        <w:t xml:space="preserve">  This submission centers their case and recent developments and focuses specifically on the need for a human rights-based and responsible exit strategy of corporations</w:t>
      </w:r>
      <w:r w:rsidR="00D30986" w:rsidRPr="00802B2C">
        <w:rPr>
          <w:rFonts w:eastAsiaTheme="minorEastAsia" w:cstheme="minorHAnsi"/>
        </w:rPr>
        <w:t xml:space="preserve"> and IFIs that financed them</w:t>
      </w:r>
      <w:r w:rsidR="00D30986" w:rsidRPr="00802B2C">
        <w:rPr>
          <w:rFonts w:eastAsiaTheme="minorEastAsia" w:cstheme="minorHAnsi"/>
          <w:color w:val="ED7D31" w:themeColor="accent2"/>
        </w:rPr>
        <w:t xml:space="preserve"> </w:t>
      </w:r>
      <w:r w:rsidRPr="00802B2C">
        <w:rPr>
          <w:rFonts w:eastAsiaTheme="minorEastAsia" w:cstheme="minorHAnsi"/>
        </w:rPr>
        <w:t xml:space="preserve">involved in the construction of the hydro-electric dams in the affected region. </w:t>
      </w:r>
    </w:p>
    <w:p w14:paraId="299142F5" w14:textId="5F3E5F0C" w:rsidR="278EA299" w:rsidRPr="00802B2C" w:rsidRDefault="278EA299" w:rsidP="00536B42">
      <w:pPr>
        <w:spacing w:line="240" w:lineRule="auto"/>
        <w:jc w:val="both"/>
        <w:rPr>
          <w:rFonts w:eastAsiaTheme="minorEastAsia" w:cstheme="minorHAnsi"/>
        </w:rPr>
      </w:pPr>
    </w:p>
    <w:p w14:paraId="4DDA20E3" w14:textId="64CCD559" w:rsidR="278EA299" w:rsidRPr="00802B2C" w:rsidRDefault="278EA299" w:rsidP="00536B42">
      <w:pPr>
        <w:spacing w:line="240" w:lineRule="auto"/>
        <w:jc w:val="both"/>
        <w:rPr>
          <w:rFonts w:eastAsiaTheme="minorEastAsia" w:cstheme="minorHAnsi"/>
          <w:b/>
          <w:bCs/>
        </w:rPr>
      </w:pPr>
      <w:r w:rsidRPr="00802B2C">
        <w:rPr>
          <w:rFonts w:eastAsiaTheme="minorEastAsia" w:cstheme="minorHAnsi"/>
          <w:b/>
          <w:bCs/>
        </w:rPr>
        <w:t>Details of the case</w:t>
      </w:r>
    </w:p>
    <w:p w14:paraId="183115CE" w14:textId="706E21CE" w:rsidR="278EA299" w:rsidRPr="00802B2C" w:rsidRDefault="278EA299" w:rsidP="00536B42">
      <w:pPr>
        <w:pStyle w:val="ListParagraph"/>
        <w:numPr>
          <w:ilvl w:val="0"/>
          <w:numId w:val="7"/>
        </w:numPr>
        <w:spacing w:line="240" w:lineRule="auto"/>
        <w:contextualSpacing w:val="0"/>
        <w:jc w:val="both"/>
        <w:rPr>
          <w:rFonts w:eastAsiaTheme="minorEastAsia" w:cstheme="minorHAnsi"/>
        </w:rPr>
      </w:pPr>
      <w:r w:rsidRPr="00802B2C">
        <w:rPr>
          <w:rFonts w:eastAsiaTheme="minorEastAsia" w:cstheme="minorHAnsi"/>
        </w:rPr>
        <w:t>In the microregion of Yichk´isis (Ixquisis)</w:t>
      </w:r>
      <w:r w:rsidR="00292715" w:rsidRPr="00802B2C">
        <w:rPr>
          <w:rFonts w:eastAsiaTheme="minorEastAsia" w:cstheme="minorHAnsi"/>
        </w:rPr>
        <w:t xml:space="preserve"> </w:t>
      </w:r>
      <w:r w:rsidR="00292715" w:rsidRPr="00802B2C">
        <w:rPr>
          <w:rFonts w:eastAsiaTheme="minorEastAsia" w:cstheme="minorHAnsi"/>
        </w:rPr>
        <w:t xml:space="preserve">Municipality of San Mateo </w:t>
      </w:r>
      <w:proofErr w:type="spellStart"/>
      <w:r w:rsidR="00292715" w:rsidRPr="00802B2C">
        <w:rPr>
          <w:rFonts w:eastAsiaTheme="minorEastAsia" w:cstheme="minorHAnsi"/>
        </w:rPr>
        <w:t>Ixtatán</w:t>
      </w:r>
      <w:proofErr w:type="spellEnd"/>
      <w:r w:rsidRPr="00802B2C">
        <w:rPr>
          <w:rFonts w:eastAsiaTheme="minorEastAsia" w:cstheme="minorHAnsi"/>
        </w:rPr>
        <w:t xml:space="preserve">, in the department of Huehuetenango, indigenous communities, especially Mayans including the Chuj, </w:t>
      </w:r>
      <w:proofErr w:type="spellStart"/>
      <w:r w:rsidRPr="00802B2C">
        <w:rPr>
          <w:rFonts w:eastAsiaTheme="minorEastAsia" w:cstheme="minorHAnsi"/>
        </w:rPr>
        <w:t>Q’anjob’al</w:t>
      </w:r>
      <w:proofErr w:type="spellEnd"/>
      <w:r w:rsidRPr="00802B2C">
        <w:rPr>
          <w:rFonts w:eastAsiaTheme="minorEastAsia" w:cstheme="minorHAnsi"/>
        </w:rPr>
        <w:t xml:space="preserve"> and </w:t>
      </w:r>
      <w:proofErr w:type="spellStart"/>
      <w:r w:rsidRPr="00802B2C">
        <w:rPr>
          <w:rFonts w:eastAsiaTheme="minorEastAsia" w:cstheme="minorHAnsi"/>
        </w:rPr>
        <w:t>Akateko</w:t>
      </w:r>
      <w:proofErr w:type="spellEnd"/>
      <w:r w:rsidR="00292715" w:rsidRPr="00802B2C">
        <w:rPr>
          <w:rFonts w:cstheme="minorHAnsi"/>
        </w:rPr>
        <w:t xml:space="preserve"> </w:t>
      </w:r>
      <w:r w:rsidR="00292715" w:rsidRPr="00802B2C">
        <w:rPr>
          <w:rFonts w:eastAsiaTheme="minorEastAsia" w:cstheme="minorHAnsi"/>
        </w:rPr>
        <w:t>native Mayan Nations</w:t>
      </w:r>
      <w:r w:rsidRPr="00802B2C">
        <w:rPr>
          <w:rFonts w:eastAsiaTheme="minorEastAsia" w:cstheme="minorHAnsi"/>
        </w:rPr>
        <w:t>, have seen their lives severely impacted by the</w:t>
      </w:r>
      <w:r w:rsidR="00560FF2" w:rsidRPr="00802B2C">
        <w:rPr>
          <w:rFonts w:eastAsiaTheme="minorEastAsia" w:cstheme="minorHAnsi"/>
        </w:rPr>
        <w:t xml:space="preserve"> planning and starting of the</w:t>
      </w:r>
      <w:r w:rsidRPr="00802B2C">
        <w:rPr>
          <w:rFonts w:eastAsiaTheme="minorEastAsia" w:cstheme="minorHAnsi"/>
        </w:rPr>
        <w:t xml:space="preserve"> construction </w:t>
      </w:r>
      <w:r w:rsidR="00560FF2" w:rsidRPr="00802B2C">
        <w:rPr>
          <w:rFonts w:eastAsiaTheme="minorEastAsia" w:cstheme="minorHAnsi"/>
        </w:rPr>
        <w:t xml:space="preserve">works </w:t>
      </w:r>
      <w:r w:rsidRPr="00802B2C">
        <w:rPr>
          <w:rFonts w:eastAsiaTheme="minorEastAsia" w:cstheme="minorHAnsi"/>
        </w:rPr>
        <w:t xml:space="preserve">of two hydroelectric dams called </w:t>
      </w:r>
      <w:proofErr w:type="spellStart"/>
      <w:r w:rsidR="00292715" w:rsidRPr="00802B2C">
        <w:rPr>
          <w:rFonts w:eastAsiaTheme="minorEastAsia" w:cstheme="minorHAnsi"/>
        </w:rPr>
        <w:t>Generadora</w:t>
      </w:r>
      <w:proofErr w:type="spellEnd"/>
      <w:r w:rsidR="00292715" w:rsidRPr="00802B2C">
        <w:rPr>
          <w:rFonts w:eastAsiaTheme="minorEastAsia" w:cstheme="minorHAnsi"/>
        </w:rPr>
        <w:t xml:space="preserve"> </w:t>
      </w:r>
      <w:r w:rsidRPr="00802B2C">
        <w:rPr>
          <w:rFonts w:eastAsiaTheme="minorEastAsia" w:cstheme="minorHAnsi"/>
        </w:rPr>
        <w:t xml:space="preserve">San Mateo and </w:t>
      </w:r>
      <w:proofErr w:type="spellStart"/>
      <w:r w:rsidR="00292715" w:rsidRPr="00802B2C">
        <w:rPr>
          <w:rFonts w:eastAsiaTheme="minorEastAsia" w:cstheme="minorHAnsi"/>
        </w:rPr>
        <w:t>Generadora</w:t>
      </w:r>
      <w:proofErr w:type="spellEnd"/>
      <w:r w:rsidR="00292715" w:rsidRPr="00802B2C">
        <w:rPr>
          <w:rFonts w:eastAsiaTheme="minorEastAsia" w:cstheme="minorHAnsi"/>
        </w:rPr>
        <w:t xml:space="preserve"> </w:t>
      </w:r>
      <w:r w:rsidRPr="00802B2C">
        <w:rPr>
          <w:rFonts w:eastAsiaTheme="minorEastAsia" w:cstheme="minorHAnsi"/>
        </w:rPr>
        <w:t xml:space="preserve">San Andrés which were financed by IDB Invest, an independent branch of the Interamerican Development Bank, and implemented by the Guatemalan company </w:t>
      </w:r>
      <w:proofErr w:type="spellStart"/>
      <w:r w:rsidRPr="00802B2C">
        <w:rPr>
          <w:rFonts w:cstheme="minorHAnsi"/>
        </w:rPr>
        <w:t>Energía</w:t>
      </w:r>
      <w:proofErr w:type="spellEnd"/>
      <w:r w:rsidRPr="00802B2C">
        <w:rPr>
          <w:rFonts w:cstheme="minorHAnsi"/>
        </w:rPr>
        <w:t xml:space="preserve"> y Renovación S.A. </w:t>
      </w:r>
      <w:r w:rsidR="00292715" w:rsidRPr="00802B2C">
        <w:rPr>
          <w:rFonts w:cstheme="minorHAnsi"/>
        </w:rPr>
        <w:t xml:space="preserve">The </w:t>
      </w:r>
      <w:proofErr w:type="gramStart"/>
      <w:r w:rsidR="00292715" w:rsidRPr="00802B2C">
        <w:rPr>
          <w:rFonts w:cstheme="minorHAnsi"/>
        </w:rPr>
        <w:t>aforementioned generators</w:t>
      </w:r>
      <w:proofErr w:type="gramEnd"/>
      <w:r w:rsidR="00292715" w:rsidRPr="00802B2C">
        <w:rPr>
          <w:rFonts w:cstheme="minorHAnsi"/>
        </w:rPr>
        <w:t xml:space="preserve"> would use the waters of the rivers</w:t>
      </w:r>
      <w:r w:rsidR="00292715" w:rsidRPr="00802B2C">
        <w:rPr>
          <w:rFonts w:cstheme="minorHAnsi"/>
        </w:rPr>
        <w:t xml:space="preserve"> </w:t>
      </w:r>
      <w:r w:rsidR="00560FF2" w:rsidRPr="00802B2C">
        <w:rPr>
          <w:rFonts w:eastAsiaTheme="minorEastAsia" w:cstheme="minorHAnsi"/>
        </w:rPr>
        <w:t>Río</w:t>
      </w:r>
      <w:r w:rsidRPr="00802B2C">
        <w:rPr>
          <w:rFonts w:eastAsiaTheme="minorEastAsia" w:cstheme="minorHAnsi"/>
          <w:color w:val="ED7D31" w:themeColor="accent2"/>
        </w:rPr>
        <w:t xml:space="preserve"> </w:t>
      </w:r>
      <w:r w:rsidRPr="00802B2C">
        <w:rPr>
          <w:rFonts w:eastAsiaTheme="minorEastAsia" w:cstheme="minorHAnsi"/>
        </w:rPr>
        <w:t xml:space="preserve">Negro, </w:t>
      </w:r>
      <w:proofErr w:type="spellStart"/>
      <w:r w:rsidRPr="00802B2C">
        <w:rPr>
          <w:rFonts w:eastAsiaTheme="minorEastAsia" w:cstheme="minorHAnsi"/>
        </w:rPr>
        <w:t>Pojom</w:t>
      </w:r>
      <w:proofErr w:type="spellEnd"/>
      <w:r w:rsidRPr="00802B2C">
        <w:rPr>
          <w:rFonts w:eastAsiaTheme="minorEastAsia" w:cstheme="minorHAnsi"/>
        </w:rPr>
        <w:t xml:space="preserve">, </w:t>
      </w:r>
      <w:proofErr w:type="spellStart"/>
      <w:r w:rsidRPr="00802B2C">
        <w:rPr>
          <w:rFonts w:eastAsiaTheme="minorEastAsia" w:cstheme="minorHAnsi"/>
        </w:rPr>
        <w:t>Yalwitz</w:t>
      </w:r>
      <w:proofErr w:type="spellEnd"/>
      <w:r w:rsidRPr="00802B2C">
        <w:rPr>
          <w:rFonts w:eastAsiaTheme="minorEastAsia" w:cstheme="minorHAnsi"/>
        </w:rPr>
        <w:t xml:space="preserve"> Primavera, </w:t>
      </w:r>
      <w:proofErr w:type="spellStart"/>
      <w:r w:rsidRPr="00802B2C">
        <w:rPr>
          <w:rFonts w:eastAsiaTheme="minorEastAsia" w:cstheme="minorHAnsi"/>
        </w:rPr>
        <w:t>Varsovia</w:t>
      </w:r>
      <w:proofErr w:type="spellEnd"/>
      <w:r w:rsidRPr="00802B2C">
        <w:rPr>
          <w:rFonts w:eastAsiaTheme="minorEastAsia" w:cstheme="minorHAnsi"/>
        </w:rPr>
        <w:t xml:space="preserve"> and Palmira which are crucial for the livelihoods of the indigenous communities in the region, as they nourish them, provide them with fish, and keep crops alive.</w:t>
      </w:r>
      <w:r w:rsidRPr="00802B2C">
        <w:rPr>
          <w:rStyle w:val="FootnoteReference"/>
          <w:rFonts w:eastAsiaTheme="minorEastAsia" w:cstheme="minorHAnsi"/>
        </w:rPr>
        <w:footnoteReference w:id="1"/>
      </w:r>
      <w:r w:rsidRPr="00802B2C">
        <w:rPr>
          <w:rFonts w:eastAsiaTheme="minorEastAsia" w:cstheme="minorHAnsi"/>
        </w:rPr>
        <w:t xml:space="preserve"> The implementation and construction of the </w:t>
      </w:r>
      <w:r w:rsidR="00A2320F" w:rsidRPr="00802B2C">
        <w:rPr>
          <w:rFonts w:eastAsiaTheme="minorEastAsia" w:cstheme="minorHAnsi"/>
        </w:rPr>
        <w:t>hydroelectric</w:t>
      </w:r>
      <w:r w:rsidRPr="00802B2C">
        <w:rPr>
          <w:rFonts w:eastAsiaTheme="minorEastAsia" w:cstheme="minorHAnsi"/>
        </w:rPr>
        <w:t xml:space="preserve"> projects ha</w:t>
      </w:r>
      <w:r w:rsidR="00A2320F" w:rsidRPr="00802B2C">
        <w:rPr>
          <w:rFonts w:eastAsiaTheme="minorEastAsia" w:cstheme="minorHAnsi"/>
        </w:rPr>
        <w:t>ve</w:t>
      </w:r>
      <w:r w:rsidRPr="00802B2C">
        <w:rPr>
          <w:rFonts w:eastAsiaTheme="minorEastAsia" w:cstheme="minorHAnsi"/>
        </w:rPr>
        <w:t xml:space="preserve"> violated several rights of the Covenant on Economic, Social and Cultural Rights</w:t>
      </w:r>
      <w:r w:rsidR="00032571" w:rsidRPr="00802B2C">
        <w:rPr>
          <w:rStyle w:val="FootnoteReference"/>
          <w:rFonts w:eastAsiaTheme="minorEastAsia" w:cstheme="minorHAnsi"/>
        </w:rPr>
        <w:footnoteReference w:id="2"/>
      </w:r>
      <w:r w:rsidRPr="00802B2C">
        <w:rPr>
          <w:rFonts w:eastAsiaTheme="minorEastAsia" w:cstheme="minorHAnsi"/>
        </w:rPr>
        <w:t>.</w:t>
      </w:r>
    </w:p>
    <w:p w14:paraId="1D46A614" w14:textId="016DE81C" w:rsidR="00DD1E12" w:rsidRPr="00802B2C" w:rsidRDefault="278EA299" w:rsidP="00536B42">
      <w:pPr>
        <w:pStyle w:val="ListParagraph"/>
        <w:numPr>
          <w:ilvl w:val="0"/>
          <w:numId w:val="7"/>
        </w:numPr>
        <w:spacing w:line="240" w:lineRule="auto"/>
        <w:contextualSpacing w:val="0"/>
        <w:jc w:val="both"/>
        <w:rPr>
          <w:rFonts w:eastAsiaTheme="minorEastAsia" w:cstheme="minorHAnsi"/>
        </w:rPr>
      </w:pPr>
      <w:r w:rsidRPr="00802B2C">
        <w:rPr>
          <w:rFonts w:eastAsiaTheme="minorEastAsia" w:cstheme="minorHAnsi"/>
        </w:rPr>
        <w:t xml:space="preserve">First, the </w:t>
      </w:r>
      <w:r w:rsidR="00A2320F" w:rsidRPr="00802B2C">
        <w:rPr>
          <w:rFonts w:eastAsiaTheme="minorEastAsia" w:cstheme="minorHAnsi"/>
        </w:rPr>
        <w:t>project</w:t>
      </w:r>
      <w:r w:rsidRPr="00802B2C">
        <w:rPr>
          <w:rFonts w:eastAsiaTheme="minorEastAsia" w:cstheme="minorHAnsi"/>
        </w:rPr>
        <w:t xml:space="preserve">s were authorized despite the absence of adequate consultations with the local communities on the ground and without providing </w:t>
      </w:r>
      <w:r w:rsidR="00DD1E12" w:rsidRPr="00802B2C">
        <w:rPr>
          <w:rFonts w:eastAsiaTheme="minorEastAsia" w:cstheme="minorHAnsi"/>
        </w:rPr>
        <w:t xml:space="preserve">those </w:t>
      </w:r>
      <w:r w:rsidRPr="00802B2C">
        <w:rPr>
          <w:rFonts w:eastAsiaTheme="minorEastAsia" w:cstheme="minorHAnsi"/>
        </w:rPr>
        <w:t>affected with sufficient information on the risks.</w:t>
      </w:r>
      <w:r w:rsidRPr="00802B2C">
        <w:rPr>
          <w:rStyle w:val="FootnoteReference"/>
          <w:rFonts w:eastAsiaTheme="minorEastAsia" w:cstheme="minorHAnsi"/>
        </w:rPr>
        <w:footnoteReference w:id="3"/>
      </w:r>
      <w:r w:rsidRPr="00802B2C">
        <w:rPr>
          <w:rFonts w:eastAsiaTheme="minorEastAsia" w:cstheme="minorHAnsi"/>
        </w:rPr>
        <w:t xml:space="preserve"> This constitutes a clear violation of the right to free, </w:t>
      </w:r>
      <w:proofErr w:type="gramStart"/>
      <w:r w:rsidRPr="00802B2C">
        <w:rPr>
          <w:rFonts w:eastAsiaTheme="minorEastAsia" w:cstheme="minorHAnsi"/>
        </w:rPr>
        <w:t>prior</w:t>
      </w:r>
      <w:proofErr w:type="gramEnd"/>
      <w:r w:rsidRPr="00802B2C">
        <w:rPr>
          <w:rFonts w:eastAsiaTheme="minorEastAsia" w:cstheme="minorHAnsi"/>
        </w:rPr>
        <w:t xml:space="preserve"> and informed consent from the communities to the projects, a human right enshrined in the Covenant, as well as in UN</w:t>
      </w:r>
      <w:r w:rsidR="00287290" w:rsidRPr="00802B2C">
        <w:rPr>
          <w:rFonts w:eastAsiaTheme="minorEastAsia" w:cstheme="minorHAnsi"/>
        </w:rPr>
        <w:t xml:space="preserve"> Declaration on the Rights of Indigenous Peoples (UN</w:t>
      </w:r>
      <w:r w:rsidRPr="00802B2C">
        <w:rPr>
          <w:rFonts w:eastAsiaTheme="minorEastAsia" w:cstheme="minorHAnsi"/>
        </w:rPr>
        <w:t>DRIP</w:t>
      </w:r>
      <w:r w:rsidR="00287290" w:rsidRPr="00802B2C">
        <w:rPr>
          <w:rFonts w:eastAsiaTheme="minorEastAsia" w:cstheme="minorHAnsi"/>
        </w:rPr>
        <w:t>)</w:t>
      </w:r>
      <w:r w:rsidR="0018392F" w:rsidRPr="00802B2C">
        <w:rPr>
          <w:rFonts w:eastAsiaTheme="minorEastAsia" w:cstheme="minorHAnsi"/>
        </w:rPr>
        <w:t xml:space="preserve">, </w:t>
      </w:r>
      <w:r w:rsidR="00287290" w:rsidRPr="00802B2C">
        <w:rPr>
          <w:rFonts w:eastAsiaTheme="minorEastAsia" w:cstheme="minorHAnsi"/>
        </w:rPr>
        <w:t>the International Labor Organization (</w:t>
      </w:r>
      <w:r w:rsidRPr="00802B2C">
        <w:rPr>
          <w:rFonts w:eastAsiaTheme="minorEastAsia" w:cstheme="minorHAnsi"/>
        </w:rPr>
        <w:t>ILO</w:t>
      </w:r>
      <w:r w:rsidR="00287290" w:rsidRPr="00802B2C">
        <w:rPr>
          <w:rFonts w:eastAsiaTheme="minorEastAsia" w:cstheme="minorHAnsi"/>
        </w:rPr>
        <w:t>)</w:t>
      </w:r>
      <w:r w:rsidRPr="00802B2C">
        <w:rPr>
          <w:rFonts w:eastAsiaTheme="minorEastAsia" w:cstheme="minorHAnsi"/>
        </w:rPr>
        <w:t xml:space="preserve"> Convention No. 169</w:t>
      </w:r>
      <w:r w:rsidR="0064780F" w:rsidRPr="00802B2C">
        <w:rPr>
          <w:rFonts w:eastAsiaTheme="minorEastAsia" w:cstheme="minorHAnsi"/>
        </w:rPr>
        <w:t>,</w:t>
      </w:r>
      <w:r w:rsidR="0018392F" w:rsidRPr="00802B2C">
        <w:rPr>
          <w:rFonts w:eastAsiaTheme="minorEastAsia" w:cstheme="minorHAnsi"/>
        </w:rPr>
        <w:t xml:space="preserve"> and the Convention on Biological Diversity</w:t>
      </w:r>
      <w:r w:rsidR="0064780F" w:rsidRPr="00802B2C">
        <w:rPr>
          <w:rFonts w:eastAsiaTheme="minorEastAsia" w:cstheme="minorHAnsi"/>
        </w:rPr>
        <w:t xml:space="preserve">. </w:t>
      </w:r>
      <w:r w:rsidRPr="00802B2C">
        <w:rPr>
          <w:rStyle w:val="FootnoteReference"/>
          <w:rFonts w:eastAsiaTheme="minorEastAsia" w:cstheme="minorHAnsi"/>
        </w:rPr>
        <w:footnoteReference w:id="4"/>
      </w:r>
      <w:r w:rsidR="0064780F" w:rsidRPr="00802B2C">
        <w:rPr>
          <w:rFonts w:eastAsiaTheme="minorEastAsia" w:cstheme="minorHAnsi"/>
        </w:rPr>
        <w:t xml:space="preserve"> </w:t>
      </w:r>
    </w:p>
    <w:p w14:paraId="00FDF6D9" w14:textId="1EF03D57" w:rsidR="278EA299" w:rsidRPr="00802B2C" w:rsidRDefault="278EA299" w:rsidP="00536B42">
      <w:pPr>
        <w:pStyle w:val="ListParagraph"/>
        <w:numPr>
          <w:ilvl w:val="0"/>
          <w:numId w:val="7"/>
        </w:numPr>
        <w:spacing w:line="240" w:lineRule="auto"/>
        <w:contextualSpacing w:val="0"/>
        <w:jc w:val="both"/>
        <w:rPr>
          <w:rFonts w:eastAsiaTheme="minorEastAsia" w:cstheme="minorHAnsi"/>
        </w:rPr>
      </w:pPr>
      <w:r w:rsidRPr="00802B2C">
        <w:rPr>
          <w:rFonts w:eastAsiaTheme="minorEastAsia" w:cstheme="minorHAnsi"/>
        </w:rPr>
        <w:lastRenderedPageBreak/>
        <w:t xml:space="preserve">In addition, </w:t>
      </w:r>
      <w:r w:rsidR="00A2320F" w:rsidRPr="00802B2C">
        <w:rPr>
          <w:rFonts w:eastAsiaTheme="minorEastAsia" w:cstheme="minorHAnsi"/>
        </w:rPr>
        <w:t>the</w:t>
      </w:r>
      <w:r w:rsidR="00A2320F" w:rsidRPr="00802B2C">
        <w:rPr>
          <w:rFonts w:eastAsiaTheme="minorEastAsia" w:cstheme="minorHAnsi"/>
        </w:rPr>
        <w:t xml:space="preserve"> inhabitants of the communities that oppose </w:t>
      </w:r>
      <w:r w:rsidRPr="00802B2C">
        <w:rPr>
          <w:rFonts w:eastAsiaTheme="minorEastAsia" w:cstheme="minorHAnsi"/>
        </w:rPr>
        <w:t xml:space="preserve">the projects faced threats, attacks, harassment and other forms of </w:t>
      </w:r>
      <w:r w:rsidR="00A2320F" w:rsidRPr="00802B2C">
        <w:rPr>
          <w:rFonts w:eastAsiaTheme="minorEastAsia" w:cstheme="minorHAnsi"/>
        </w:rPr>
        <w:t>repression and intimidation</w:t>
      </w:r>
      <w:r w:rsidR="00AA7720" w:rsidRPr="00802B2C">
        <w:rPr>
          <w:rFonts w:eastAsiaTheme="minorEastAsia" w:cstheme="minorHAnsi"/>
        </w:rPr>
        <w:t>,</w:t>
      </w:r>
      <w:r w:rsidR="00B23290" w:rsidRPr="00802B2C">
        <w:rPr>
          <w:rStyle w:val="FootnoteReference"/>
          <w:rFonts w:eastAsiaTheme="minorEastAsia" w:cstheme="minorHAnsi"/>
        </w:rPr>
        <w:footnoteReference w:id="5"/>
      </w:r>
      <w:r w:rsidRPr="00802B2C">
        <w:rPr>
          <w:rFonts w:eastAsiaTheme="minorEastAsia" w:cstheme="minorHAnsi"/>
        </w:rPr>
        <w:t xml:space="preserve"> which in 2017 led to the murder of a local resident which has so far not been sufficiently investigated</w:t>
      </w:r>
      <w:r w:rsidR="00DD1E12" w:rsidRPr="00802B2C">
        <w:rPr>
          <w:rFonts w:eastAsiaTheme="minorEastAsia" w:cstheme="minorHAnsi"/>
        </w:rPr>
        <w:t xml:space="preserve"> by competent authorities</w:t>
      </w:r>
      <w:r w:rsidRPr="00802B2C">
        <w:rPr>
          <w:rFonts w:eastAsiaTheme="minorEastAsia" w:cstheme="minorHAnsi"/>
        </w:rPr>
        <w:t>.</w:t>
      </w:r>
      <w:r w:rsidRPr="00802B2C">
        <w:rPr>
          <w:rStyle w:val="FootnoteReference"/>
          <w:rFonts w:eastAsiaTheme="minorEastAsia" w:cstheme="minorHAnsi"/>
        </w:rPr>
        <w:footnoteReference w:id="6"/>
      </w:r>
    </w:p>
    <w:p w14:paraId="0D1046A5" w14:textId="5369DA80" w:rsidR="278EA299" w:rsidRPr="00802B2C" w:rsidRDefault="278EA299" w:rsidP="00536B42">
      <w:pPr>
        <w:pStyle w:val="ListParagraph"/>
        <w:numPr>
          <w:ilvl w:val="0"/>
          <w:numId w:val="7"/>
        </w:numPr>
        <w:spacing w:line="240" w:lineRule="auto"/>
        <w:contextualSpacing w:val="0"/>
        <w:jc w:val="both"/>
        <w:rPr>
          <w:rFonts w:cstheme="minorHAnsi"/>
        </w:rPr>
      </w:pPr>
      <w:r w:rsidRPr="00802B2C">
        <w:rPr>
          <w:rFonts w:eastAsiaTheme="minorEastAsia" w:cstheme="minorHAnsi"/>
        </w:rPr>
        <w:t>The construction has also caused severe environmental harm, especially water scarcity and pollution through oil spills, erosion, and wastewater</w:t>
      </w:r>
      <w:r w:rsidR="00DD1E12" w:rsidRPr="00802B2C">
        <w:rPr>
          <w:rFonts w:eastAsiaTheme="minorEastAsia" w:cstheme="minorHAnsi"/>
        </w:rPr>
        <w:t>.</w:t>
      </w:r>
      <w:r w:rsidR="00B23290" w:rsidRPr="00802B2C">
        <w:rPr>
          <w:rStyle w:val="FootnoteReference"/>
          <w:rFonts w:eastAsiaTheme="minorEastAsia" w:cstheme="minorHAnsi"/>
        </w:rPr>
        <w:footnoteReference w:id="7"/>
      </w:r>
      <w:r w:rsidRPr="00802B2C">
        <w:rPr>
          <w:rFonts w:eastAsiaTheme="minorEastAsia" w:cstheme="minorHAnsi"/>
        </w:rPr>
        <w:t xml:space="preserve"> Moreover, policy measures to address these environmental impacts did not consider the diverse ways in which inaccessibility to clean and safe water limited indigenous communities' ability to fish, grow food and maintain their traditional lifestyle.</w:t>
      </w:r>
      <w:r w:rsidRPr="00802B2C">
        <w:rPr>
          <w:rStyle w:val="FootnoteReference"/>
          <w:rFonts w:eastAsiaTheme="minorEastAsia" w:cstheme="minorHAnsi"/>
        </w:rPr>
        <w:footnoteReference w:id="8"/>
      </w:r>
      <w:r w:rsidRPr="00802B2C">
        <w:rPr>
          <w:rFonts w:eastAsiaTheme="minorEastAsia" w:cstheme="minorHAnsi"/>
        </w:rPr>
        <w:t xml:space="preserve"> This indicates a violation of their right</w:t>
      </w:r>
      <w:r w:rsidR="00DD1E12" w:rsidRPr="00802B2C">
        <w:rPr>
          <w:rFonts w:eastAsiaTheme="minorEastAsia" w:cstheme="minorHAnsi"/>
        </w:rPr>
        <w:t>s</w:t>
      </w:r>
      <w:r w:rsidRPr="00802B2C">
        <w:rPr>
          <w:rFonts w:eastAsiaTheme="minorEastAsia" w:cstheme="minorHAnsi"/>
        </w:rPr>
        <w:t xml:space="preserve"> to an adequate standard of living</w:t>
      </w:r>
      <w:r w:rsidR="00DD1E12" w:rsidRPr="00802B2C">
        <w:rPr>
          <w:rFonts w:eastAsiaTheme="minorEastAsia" w:cstheme="minorHAnsi"/>
        </w:rPr>
        <w:t xml:space="preserve">, </w:t>
      </w:r>
      <w:r w:rsidRPr="00802B2C">
        <w:rPr>
          <w:rFonts w:eastAsiaTheme="minorEastAsia" w:cstheme="minorHAnsi"/>
        </w:rPr>
        <w:t>to water, to food, to culture, and to a clean, healthy and sustainable environment</w:t>
      </w:r>
      <w:r w:rsidR="00DD1E12" w:rsidRPr="00802B2C">
        <w:rPr>
          <w:rStyle w:val="FootnoteReference"/>
          <w:rFonts w:eastAsiaTheme="minorEastAsia" w:cstheme="minorHAnsi"/>
        </w:rPr>
        <w:footnoteReference w:id="9"/>
      </w:r>
      <w:r w:rsidRPr="00802B2C">
        <w:rPr>
          <w:rFonts w:eastAsiaTheme="minorEastAsia" w:cstheme="minorHAnsi"/>
        </w:rPr>
        <w:t xml:space="preserve">. </w:t>
      </w:r>
    </w:p>
    <w:p w14:paraId="388AF493" w14:textId="0544C195" w:rsidR="278EA299" w:rsidRPr="00802B2C" w:rsidRDefault="278EA299" w:rsidP="00536B42">
      <w:pPr>
        <w:pStyle w:val="ListParagraph"/>
        <w:numPr>
          <w:ilvl w:val="0"/>
          <w:numId w:val="7"/>
        </w:numPr>
        <w:spacing w:line="240" w:lineRule="auto"/>
        <w:contextualSpacing w:val="0"/>
        <w:jc w:val="both"/>
        <w:rPr>
          <w:rFonts w:eastAsiaTheme="minorEastAsia" w:cstheme="minorHAnsi"/>
        </w:rPr>
      </w:pPr>
      <w:r w:rsidRPr="00802B2C">
        <w:rPr>
          <w:rFonts w:eastAsiaTheme="minorEastAsia" w:cstheme="minorHAnsi"/>
        </w:rPr>
        <w:t>The corporation did not consider the gender specific impact of the implementation of the</w:t>
      </w:r>
      <w:r w:rsidR="00DD1E12" w:rsidRPr="00802B2C">
        <w:rPr>
          <w:rFonts w:eastAsiaTheme="minorEastAsia" w:cstheme="minorHAnsi"/>
        </w:rPr>
        <w:t xml:space="preserve"> </w:t>
      </w:r>
      <w:r w:rsidRPr="00802B2C">
        <w:rPr>
          <w:rFonts w:eastAsiaTheme="minorEastAsia" w:cstheme="minorHAnsi"/>
        </w:rPr>
        <w:t>projects. Women were disproportionately affected by the creation of the dam, as the rivers and water play a significant role in their livelihoods</w:t>
      </w:r>
      <w:r w:rsidR="00DD1E12" w:rsidRPr="00802B2C">
        <w:rPr>
          <w:rFonts w:eastAsiaTheme="minorEastAsia" w:cstheme="minorHAnsi"/>
        </w:rPr>
        <w:t>.</w:t>
      </w:r>
      <w:r w:rsidRPr="00802B2C">
        <w:rPr>
          <w:rFonts w:eastAsiaTheme="minorEastAsia" w:cstheme="minorHAnsi"/>
        </w:rPr>
        <w:t xml:space="preserve"> </w:t>
      </w:r>
      <w:r w:rsidR="00DD1E12" w:rsidRPr="00802B2C">
        <w:rPr>
          <w:rFonts w:eastAsiaTheme="minorEastAsia" w:cstheme="minorHAnsi"/>
        </w:rPr>
        <w:t>W</w:t>
      </w:r>
      <w:r w:rsidRPr="00802B2C">
        <w:rPr>
          <w:rFonts w:eastAsiaTheme="minorEastAsia" w:cstheme="minorHAnsi"/>
        </w:rPr>
        <w:t>omen are responsible for the water management in the communities.</w:t>
      </w:r>
      <w:r w:rsidRPr="00802B2C">
        <w:rPr>
          <w:rStyle w:val="FootnoteReference"/>
          <w:rFonts w:eastAsiaTheme="minorEastAsia" w:cstheme="minorHAnsi"/>
        </w:rPr>
        <w:footnoteReference w:id="10"/>
      </w:r>
      <w:r w:rsidRPr="00802B2C">
        <w:rPr>
          <w:rFonts w:eastAsiaTheme="minorEastAsia" w:cstheme="minorHAnsi"/>
        </w:rPr>
        <w:t xml:space="preserve"> Moreover, the influx of outside workers and security forces has rendered the area more insecure for women as they have been a “</w:t>
      </w:r>
      <w:r w:rsidRPr="00802B2C">
        <w:rPr>
          <w:rFonts w:eastAsiaTheme="minorEastAsia" w:cstheme="minorHAnsi"/>
          <w:i/>
          <w:iCs/>
        </w:rPr>
        <w:t>source of insecurity and fear because of harassment and physical and verbal threats targeting women, and an impediment to free movement when these groups have prevented women from accessing the river or used their equipment to block the way</w:t>
      </w:r>
      <w:r w:rsidRPr="00802B2C">
        <w:rPr>
          <w:rFonts w:eastAsiaTheme="minorEastAsia" w:cstheme="minorHAnsi"/>
        </w:rPr>
        <w:t>.”</w:t>
      </w:r>
      <w:r w:rsidRPr="00802B2C">
        <w:rPr>
          <w:rStyle w:val="FootnoteReference"/>
          <w:rFonts w:cstheme="minorHAnsi"/>
        </w:rPr>
        <w:footnoteReference w:id="11"/>
      </w:r>
    </w:p>
    <w:p w14:paraId="458CC12D" w14:textId="39C319D1" w:rsidR="278EA299" w:rsidRPr="00802B2C" w:rsidRDefault="278EA299" w:rsidP="00536B42">
      <w:pPr>
        <w:pStyle w:val="ListParagraph"/>
        <w:numPr>
          <w:ilvl w:val="0"/>
          <w:numId w:val="7"/>
        </w:numPr>
        <w:spacing w:line="240" w:lineRule="auto"/>
        <w:contextualSpacing w:val="0"/>
        <w:jc w:val="both"/>
        <w:rPr>
          <w:rFonts w:eastAsiaTheme="minorEastAsia" w:cstheme="minorHAnsi"/>
        </w:rPr>
      </w:pPr>
      <w:r w:rsidRPr="00802B2C">
        <w:rPr>
          <w:rFonts w:eastAsiaTheme="minorEastAsia" w:cstheme="minorHAnsi"/>
        </w:rPr>
        <w:t xml:space="preserve">In reaction to these violations, in 2018, </w:t>
      </w:r>
      <w:r w:rsidRPr="00802B2C">
        <w:rPr>
          <w:rFonts w:cstheme="minorHAnsi"/>
        </w:rPr>
        <w:t xml:space="preserve">local authorities and </w:t>
      </w:r>
      <w:r w:rsidR="00674478" w:rsidRPr="00802B2C">
        <w:rPr>
          <w:rFonts w:cstheme="minorHAnsi"/>
        </w:rPr>
        <w:t>people from the microregion</w:t>
      </w:r>
      <w:r w:rsidRPr="00802B2C">
        <w:rPr>
          <w:rFonts w:cstheme="minorHAnsi"/>
        </w:rPr>
        <w:t xml:space="preserve"> </w:t>
      </w:r>
      <w:r w:rsidR="00674478" w:rsidRPr="00802B2C">
        <w:rPr>
          <w:rFonts w:cstheme="minorHAnsi"/>
        </w:rPr>
        <w:t>of</w:t>
      </w:r>
      <w:r w:rsidRPr="00802B2C">
        <w:rPr>
          <w:rFonts w:cstheme="minorHAnsi"/>
        </w:rPr>
        <w:t xml:space="preserve"> Yichk´isis (Ixquisis), belonging to the Maya Chuj and Maya </w:t>
      </w:r>
      <w:proofErr w:type="spellStart"/>
      <w:r w:rsidRPr="00802B2C">
        <w:rPr>
          <w:rFonts w:cstheme="minorHAnsi"/>
        </w:rPr>
        <w:t>Q’anjob’al</w:t>
      </w:r>
      <w:proofErr w:type="spellEnd"/>
      <w:r w:rsidRPr="00802B2C">
        <w:rPr>
          <w:rFonts w:cstheme="minorHAnsi"/>
        </w:rPr>
        <w:t xml:space="preserve"> indigenous peoples, from the communities of Bella Linda, </w:t>
      </w:r>
      <w:proofErr w:type="spellStart"/>
      <w:r w:rsidRPr="00802B2C">
        <w:rPr>
          <w:rFonts w:cstheme="minorHAnsi"/>
        </w:rPr>
        <w:t>Yulchen</w:t>
      </w:r>
      <w:proofErr w:type="spellEnd"/>
      <w:r w:rsidRPr="00802B2C">
        <w:rPr>
          <w:rFonts w:cstheme="minorHAnsi"/>
        </w:rPr>
        <w:t xml:space="preserve"> Frontera, Nuevo San Mateo, </w:t>
      </w:r>
      <w:proofErr w:type="spellStart"/>
      <w:r w:rsidRPr="00802B2C">
        <w:rPr>
          <w:rFonts w:cstheme="minorHAnsi"/>
        </w:rPr>
        <w:t>Pojom</w:t>
      </w:r>
      <w:proofErr w:type="spellEnd"/>
      <w:r w:rsidRPr="00802B2C">
        <w:rPr>
          <w:rFonts w:cstheme="minorHAnsi"/>
        </w:rPr>
        <w:t xml:space="preserve"> Nueva Concepción, and </w:t>
      </w:r>
      <w:proofErr w:type="spellStart"/>
      <w:r w:rsidRPr="00802B2C">
        <w:rPr>
          <w:rFonts w:cstheme="minorHAnsi"/>
        </w:rPr>
        <w:t>Caserío</w:t>
      </w:r>
      <w:proofErr w:type="spellEnd"/>
      <w:r w:rsidRPr="00802B2C">
        <w:rPr>
          <w:rFonts w:cstheme="minorHAnsi"/>
        </w:rPr>
        <w:t xml:space="preserve"> San Francisco, all in the municipality of San Mateo </w:t>
      </w:r>
      <w:proofErr w:type="spellStart"/>
      <w:r w:rsidRPr="00802B2C">
        <w:rPr>
          <w:rFonts w:cstheme="minorHAnsi"/>
        </w:rPr>
        <w:t>Ixtatán</w:t>
      </w:r>
      <w:proofErr w:type="spellEnd"/>
      <w:r w:rsidRPr="00802B2C">
        <w:rPr>
          <w:rFonts w:cstheme="minorHAnsi"/>
        </w:rPr>
        <w:t xml:space="preserve">, represented by the </w:t>
      </w:r>
      <w:proofErr w:type="spellStart"/>
      <w:r w:rsidRPr="00802B2C">
        <w:rPr>
          <w:rFonts w:cstheme="minorHAnsi"/>
        </w:rPr>
        <w:t>Q’anjob’al</w:t>
      </w:r>
      <w:proofErr w:type="spellEnd"/>
      <w:r w:rsidRPr="00802B2C">
        <w:rPr>
          <w:rFonts w:cstheme="minorHAnsi"/>
        </w:rPr>
        <w:t xml:space="preserve">, </w:t>
      </w:r>
      <w:proofErr w:type="spellStart"/>
      <w:r w:rsidRPr="00802B2C">
        <w:rPr>
          <w:rFonts w:cstheme="minorHAnsi"/>
        </w:rPr>
        <w:t>Popti</w:t>
      </w:r>
      <w:proofErr w:type="spellEnd"/>
      <w:r w:rsidRPr="00802B2C">
        <w:rPr>
          <w:rFonts w:cstheme="minorHAnsi"/>
        </w:rPr>
        <w:t xml:space="preserve">, Chuj, </w:t>
      </w:r>
      <w:proofErr w:type="spellStart"/>
      <w:r w:rsidRPr="00802B2C">
        <w:rPr>
          <w:rFonts w:cstheme="minorHAnsi"/>
        </w:rPr>
        <w:t>Akateko</w:t>
      </w:r>
      <w:proofErr w:type="spellEnd"/>
      <w:r w:rsidRPr="00802B2C">
        <w:rPr>
          <w:rFonts w:cstheme="minorHAnsi"/>
        </w:rPr>
        <w:t xml:space="preserve">, and Mestizo </w:t>
      </w:r>
      <w:proofErr w:type="spellStart"/>
      <w:r w:rsidRPr="00802B2C">
        <w:rPr>
          <w:rFonts w:cstheme="minorHAnsi"/>
        </w:rPr>
        <w:t>Plurinational</w:t>
      </w:r>
      <w:proofErr w:type="spellEnd"/>
      <w:r w:rsidRPr="00802B2C">
        <w:rPr>
          <w:rFonts w:cstheme="minorHAnsi"/>
        </w:rPr>
        <w:t xml:space="preserve"> Ancestral Government, in support of AIDA and the International Platform against Impunity, </w:t>
      </w:r>
      <w:r w:rsidRPr="00802B2C">
        <w:rPr>
          <w:rFonts w:eastAsiaTheme="minorEastAsia" w:cstheme="minorHAnsi"/>
        </w:rPr>
        <w:t xml:space="preserve">filed a complaint </w:t>
      </w:r>
      <w:r w:rsidR="00674478" w:rsidRPr="00802B2C">
        <w:rPr>
          <w:rFonts w:eastAsiaTheme="minorEastAsia" w:cstheme="minorHAnsi"/>
        </w:rPr>
        <w:t xml:space="preserve">before </w:t>
      </w:r>
      <w:r w:rsidRPr="00802B2C">
        <w:rPr>
          <w:rFonts w:eastAsiaTheme="minorEastAsia" w:cstheme="minorHAnsi"/>
        </w:rPr>
        <w:t xml:space="preserve">the independent </w:t>
      </w:r>
      <w:r w:rsidR="00674478" w:rsidRPr="00802B2C">
        <w:rPr>
          <w:rFonts w:eastAsiaTheme="minorEastAsia" w:cstheme="minorHAnsi"/>
        </w:rPr>
        <w:t xml:space="preserve">investigation </w:t>
      </w:r>
      <w:r w:rsidRPr="00802B2C">
        <w:rPr>
          <w:rFonts w:eastAsiaTheme="minorEastAsia" w:cstheme="minorHAnsi"/>
        </w:rPr>
        <w:t xml:space="preserve">mechanism of the Interamerican Development Bank (MICI) with regards to the two hydroelectric projects </w:t>
      </w:r>
      <w:proofErr w:type="spellStart"/>
      <w:r w:rsidR="00674478" w:rsidRPr="00802B2C">
        <w:rPr>
          <w:rFonts w:eastAsiaTheme="minorEastAsia" w:cstheme="minorHAnsi"/>
        </w:rPr>
        <w:t>Generadora</w:t>
      </w:r>
      <w:proofErr w:type="spellEnd"/>
      <w:r w:rsidR="00674478" w:rsidRPr="00802B2C">
        <w:rPr>
          <w:rFonts w:eastAsiaTheme="minorEastAsia" w:cstheme="minorHAnsi"/>
        </w:rPr>
        <w:t xml:space="preserve"> </w:t>
      </w:r>
      <w:r w:rsidRPr="00802B2C">
        <w:rPr>
          <w:rFonts w:eastAsiaTheme="minorEastAsia" w:cstheme="minorHAnsi"/>
        </w:rPr>
        <w:t xml:space="preserve">San Mateo and </w:t>
      </w:r>
      <w:proofErr w:type="spellStart"/>
      <w:r w:rsidR="00674478" w:rsidRPr="00802B2C">
        <w:rPr>
          <w:rFonts w:eastAsiaTheme="minorEastAsia" w:cstheme="minorHAnsi"/>
        </w:rPr>
        <w:t>Generadora</w:t>
      </w:r>
      <w:proofErr w:type="spellEnd"/>
      <w:r w:rsidR="00674478" w:rsidRPr="00802B2C">
        <w:rPr>
          <w:rFonts w:eastAsiaTheme="minorEastAsia" w:cstheme="minorHAnsi"/>
        </w:rPr>
        <w:t xml:space="preserve"> </w:t>
      </w:r>
      <w:r w:rsidRPr="00802B2C">
        <w:rPr>
          <w:rFonts w:eastAsiaTheme="minorEastAsia" w:cstheme="minorHAnsi"/>
        </w:rPr>
        <w:t>San Andrés. The goal of the complaint was to stop the financing of the projects as well as the responsible exit of the corporation from the indigenous lands.</w:t>
      </w:r>
    </w:p>
    <w:p w14:paraId="096D5DDC" w14:textId="6E5BD0E5" w:rsidR="278EA299" w:rsidRPr="00802B2C" w:rsidRDefault="278EA299" w:rsidP="00536B42">
      <w:pPr>
        <w:pStyle w:val="ListParagraph"/>
        <w:numPr>
          <w:ilvl w:val="0"/>
          <w:numId w:val="7"/>
        </w:numPr>
        <w:spacing w:line="240" w:lineRule="auto"/>
        <w:contextualSpacing w:val="0"/>
        <w:jc w:val="both"/>
        <w:rPr>
          <w:rFonts w:cstheme="minorHAnsi"/>
        </w:rPr>
      </w:pPr>
      <w:r w:rsidRPr="00802B2C">
        <w:rPr>
          <w:rFonts w:eastAsiaTheme="minorEastAsia" w:cstheme="minorHAnsi"/>
        </w:rPr>
        <w:t xml:space="preserve"> In 2021, MICI identified several areas in which IDB Invest </w:t>
      </w:r>
      <w:r w:rsidR="00DD1E12" w:rsidRPr="00802B2C">
        <w:rPr>
          <w:rFonts w:eastAsiaTheme="minorEastAsia" w:cstheme="minorHAnsi"/>
        </w:rPr>
        <w:t>did</w:t>
      </w:r>
      <w:r w:rsidRPr="00802B2C">
        <w:rPr>
          <w:rFonts w:eastAsiaTheme="minorEastAsia" w:cstheme="minorHAnsi"/>
        </w:rPr>
        <w:t xml:space="preserve"> not compl</w:t>
      </w:r>
      <w:r w:rsidR="00DD1E12" w:rsidRPr="00802B2C">
        <w:rPr>
          <w:rFonts w:eastAsiaTheme="minorEastAsia" w:cstheme="minorHAnsi"/>
        </w:rPr>
        <w:t>y</w:t>
      </w:r>
      <w:r w:rsidRPr="00802B2C">
        <w:rPr>
          <w:rFonts w:eastAsiaTheme="minorEastAsia" w:cstheme="minorHAnsi"/>
        </w:rPr>
        <w:t xml:space="preserve"> with their own </w:t>
      </w:r>
      <w:proofErr w:type="gramStart"/>
      <w:r w:rsidRPr="00802B2C">
        <w:rPr>
          <w:rFonts w:eastAsiaTheme="minorEastAsia" w:cstheme="minorHAnsi"/>
        </w:rPr>
        <w:t>policies ,</w:t>
      </w:r>
      <w:proofErr w:type="gramEnd"/>
      <w:r w:rsidRPr="00802B2C">
        <w:rPr>
          <w:rFonts w:eastAsiaTheme="minorEastAsia" w:cstheme="minorHAnsi"/>
        </w:rPr>
        <w:t xml:space="preserve"> including on </w:t>
      </w:r>
      <w:r w:rsidR="00DD1E12" w:rsidRPr="00802B2C">
        <w:rPr>
          <w:rFonts w:eastAsiaTheme="minorEastAsia" w:cstheme="minorHAnsi"/>
        </w:rPr>
        <w:t>the</w:t>
      </w:r>
      <w:r w:rsidRPr="00802B2C">
        <w:rPr>
          <w:rFonts w:eastAsiaTheme="minorEastAsia" w:cstheme="minorHAnsi"/>
        </w:rPr>
        <w:t xml:space="preserve"> assessment of indigenous peoples, its gender impact assessment, cultural impact assessment and environmental impact assessment.</w:t>
      </w:r>
      <w:r w:rsidRPr="00802B2C">
        <w:rPr>
          <w:rStyle w:val="FootnoteReference"/>
          <w:rFonts w:eastAsiaTheme="minorEastAsia" w:cstheme="minorHAnsi"/>
        </w:rPr>
        <w:footnoteReference w:id="12"/>
      </w:r>
      <w:r w:rsidRPr="00802B2C">
        <w:rPr>
          <w:rFonts w:eastAsiaTheme="minorEastAsia" w:cstheme="minorHAnsi"/>
        </w:rPr>
        <w:t xml:space="preserve"> This has led to a list of 29 recommendations </w:t>
      </w:r>
      <w:r w:rsidRPr="00802B2C">
        <w:rPr>
          <w:rFonts w:eastAsiaTheme="minorEastAsia" w:cstheme="minorHAnsi"/>
        </w:rPr>
        <w:lastRenderedPageBreak/>
        <w:t>to be implemented by the corporation and the Inter-American Development Bank and has thus opened the doors for the bank to withdraw from the project.</w:t>
      </w:r>
      <w:r w:rsidRPr="00802B2C">
        <w:rPr>
          <w:rStyle w:val="FootnoteReference"/>
          <w:rFonts w:eastAsiaTheme="minorEastAsia" w:cstheme="minorHAnsi"/>
        </w:rPr>
        <w:footnoteReference w:id="13"/>
      </w:r>
      <w:r w:rsidRPr="00802B2C">
        <w:rPr>
          <w:rFonts w:eastAsiaTheme="minorEastAsia" w:cstheme="minorHAnsi"/>
        </w:rPr>
        <w:t xml:space="preserve">  </w:t>
      </w:r>
    </w:p>
    <w:p w14:paraId="39B080A9" w14:textId="4D93FA55" w:rsidR="278EA299" w:rsidRPr="00802B2C" w:rsidRDefault="278EA299" w:rsidP="00536B42">
      <w:pPr>
        <w:pStyle w:val="ListParagraph"/>
        <w:numPr>
          <w:ilvl w:val="0"/>
          <w:numId w:val="7"/>
        </w:numPr>
        <w:spacing w:line="240" w:lineRule="auto"/>
        <w:contextualSpacing w:val="0"/>
        <w:jc w:val="both"/>
        <w:rPr>
          <w:rFonts w:eastAsiaTheme="minorEastAsia" w:cstheme="minorHAnsi"/>
        </w:rPr>
      </w:pPr>
      <w:r w:rsidRPr="00802B2C">
        <w:rPr>
          <w:rFonts w:eastAsiaTheme="minorEastAsia" w:cstheme="minorHAnsi"/>
        </w:rPr>
        <w:t xml:space="preserve"> In 2022, </w:t>
      </w:r>
      <w:r w:rsidR="0DBFE373" w:rsidRPr="00802B2C">
        <w:rPr>
          <w:rFonts w:eastAsiaTheme="minorEastAsia" w:cstheme="minorHAnsi"/>
        </w:rPr>
        <w:t>after the MICI report,</w:t>
      </w:r>
      <w:r w:rsidR="00AE5D41" w:rsidRPr="00802B2C">
        <w:rPr>
          <w:rFonts w:eastAsiaTheme="minorEastAsia" w:cstheme="minorHAnsi"/>
        </w:rPr>
        <w:t xml:space="preserve"> </w:t>
      </w:r>
      <w:r w:rsidRPr="00802B2C">
        <w:rPr>
          <w:rFonts w:eastAsiaTheme="minorEastAsia" w:cstheme="minorHAnsi"/>
        </w:rPr>
        <w:t xml:space="preserve">in a landmark decision, </w:t>
      </w:r>
      <w:r w:rsidR="0DBFE373" w:rsidRPr="00802B2C">
        <w:rPr>
          <w:rFonts w:eastAsiaTheme="minorEastAsia" w:cstheme="minorHAnsi"/>
        </w:rPr>
        <w:t xml:space="preserve">the IDB Invest decided to stop financing the projects, which resulted in an agreement between the parties which implied that IDB Invest will no longer be participating in the financing of this project.  </w:t>
      </w:r>
      <w:r w:rsidRPr="00802B2C">
        <w:rPr>
          <w:rFonts w:eastAsiaTheme="minorEastAsia" w:cstheme="minorHAnsi"/>
        </w:rPr>
        <w:t xml:space="preserve">While this decision is celebrated by the indigenous communities on the ground, concerns remain about the bank’s divestment from the dams which must be consistent with the recommendations of MICI’s findings report, especially recommendation 29, which responds to the request of the communities to ensure a responsible exit from the operations in line with the other conclusions and recommendations of the report, and with international human rights law, including economic, social and cultural rights under CESCR. </w:t>
      </w:r>
      <w:r w:rsidRPr="00802B2C">
        <w:rPr>
          <w:rFonts w:cstheme="minorHAnsi"/>
        </w:rPr>
        <w:br/>
      </w:r>
    </w:p>
    <w:p w14:paraId="0A52361F" w14:textId="47F96B5A" w:rsidR="278EA299" w:rsidRPr="00802B2C" w:rsidRDefault="278EA299" w:rsidP="00536B42">
      <w:pPr>
        <w:spacing w:line="240" w:lineRule="auto"/>
        <w:jc w:val="both"/>
        <w:rPr>
          <w:rFonts w:eastAsiaTheme="minorEastAsia" w:cstheme="minorHAnsi"/>
          <w:b/>
          <w:bCs/>
        </w:rPr>
      </w:pPr>
      <w:r w:rsidRPr="00802B2C">
        <w:rPr>
          <w:rFonts w:eastAsiaTheme="minorEastAsia" w:cstheme="minorHAnsi"/>
          <w:b/>
          <w:bCs/>
        </w:rPr>
        <w:t>Application of International Law Standards</w:t>
      </w:r>
    </w:p>
    <w:p w14:paraId="0124EA8E" w14:textId="0CC2329B" w:rsidR="00124079" w:rsidRPr="00802B2C" w:rsidRDefault="278EA299" w:rsidP="00536B42">
      <w:pPr>
        <w:pStyle w:val="ListParagraph"/>
        <w:numPr>
          <w:ilvl w:val="0"/>
          <w:numId w:val="7"/>
        </w:numPr>
        <w:spacing w:line="240" w:lineRule="auto"/>
        <w:contextualSpacing w:val="0"/>
        <w:jc w:val="both"/>
        <w:rPr>
          <w:rFonts w:eastAsiaTheme="minorEastAsia" w:cstheme="minorHAnsi"/>
        </w:rPr>
      </w:pPr>
      <w:r w:rsidRPr="00802B2C">
        <w:rPr>
          <w:rFonts w:eastAsiaTheme="minorEastAsia" w:cstheme="minorHAnsi"/>
        </w:rPr>
        <w:t>CESCR outlines States’ obligations towards business enterprises in its General Comment 24 on state obligations in the context of business activities. Within, the committee highlights that the obligation to protect obliges States parties to effectively prevent infringements of economic, social and cultural rights in the context of business activities.</w:t>
      </w:r>
      <w:r w:rsidRPr="00802B2C">
        <w:rPr>
          <w:rStyle w:val="FootnoteReference"/>
          <w:rFonts w:cstheme="minorHAnsi"/>
        </w:rPr>
        <w:footnoteReference w:id="14"/>
      </w:r>
      <w:r w:rsidRPr="00802B2C">
        <w:rPr>
          <w:rFonts w:eastAsiaTheme="minorEastAsia" w:cstheme="minorHAnsi"/>
        </w:rPr>
        <w:t xml:space="preserve"> In case of any human rights violations due to the conduct of the corporation, the State party must provide available, effective and expeditious remedies to victims, make information on such remedies and reparations accessible to victims</w:t>
      </w:r>
      <w:r w:rsidRPr="00802B2C">
        <w:rPr>
          <w:rStyle w:val="FootnoteReference"/>
          <w:rFonts w:eastAsiaTheme="minorEastAsia" w:cstheme="minorHAnsi"/>
        </w:rPr>
        <w:footnoteReference w:id="15"/>
      </w:r>
      <w:r w:rsidRPr="00802B2C">
        <w:rPr>
          <w:rFonts w:eastAsiaTheme="minorEastAsia" w:cstheme="minorHAnsi"/>
        </w:rPr>
        <w:t>, ensure effective access to justice</w:t>
      </w:r>
      <w:r w:rsidRPr="00802B2C">
        <w:rPr>
          <w:rStyle w:val="FootnoteReference"/>
          <w:rFonts w:cstheme="minorHAnsi"/>
        </w:rPr>
        <w:footnoteReference w:id="16"/>
      </w:r>
      <w:r w:rsidRPr="00802B2C">
        <w:rPr>
          <w:rFonts w:eastAsiaTheme="minorEastAsia" w:cstheme="minorHAnsi"/>
        </w:rPr>
        <w:t xml:space="preserve"> and guarantee that such information is accessible to indigenous peoples and available in their languages.</w:t>
      </w:r>
      <w:r w:rsidRPr="00802B2C">
        <w:rPr>
          <w:rStyle w:val="FootnoteReference"/>
          <w:rFonts w:eastAsiaTheme="minorEastAsia" w:cstheme="minorHAnsi"/>
        </w:rPr>
        <w:footnoteReference w:id="17"/>
      </w:r>
      <w:r w:rsidRPr="00802B2C">
        <w:rPr>
          <w:rFonts w:eastAsiaTheme="minorEastAsia" w:cstheme="minorHAnsi"/>
        </w:rPr>
        <w:t xml:space="preserve"> State part</w:t>
      </w:r>
      <w:r w:rsidR="00802B2C" w:rsidRPr="00802B2C">
        <w:rPr>
          <w:rFonts w:eastAsiaTheme="minorEastAsia" w:cstheme="minorHAnsi"/>
        </w:rPr>
        <w:t>ies, including through their judicial proceedings,</w:t>
      </w:r>
      <w:r w:rsidRPr="00802B2C">
        <w:rPr>
          <w:rFonts w:eastAsiaTheme="minorEastAsia" w:cstheme="minorHAnsi"/>
        </w:rPr>
        <w:t xml:space="preserve"> must recognize </w:t>
      </w:r>
      <w:r w:rsidR="00802B2C" w:rsidRPr="00802B2C">
        <w:rPr>
          <w:rFonts w:eastAsiaTheme="minorEastAsia" w:cstheme="minorHAnsi"/>
        </w:rPr>
        <w:t xml:space="preserve">and protect </w:t>
      </w:r>
      <w:r w:rsidRPr="00802B2C">
        <w:rPr>
          <w:rFonts w:eastAsiaTheme="minorEastAsia" w:cstheme="minorHAnsi"/>
        </w:rPr>
        <w:t xml:space="preserve">the </w:t>
      </w:r>
      <w:r w:rsidRPr="00802B2C">
        <w:rPr>
          <w:rFonts w:cstheme="minorHAnsi"/>
        </w:rPr>
        <w:t xml:space="preserve">customary laws, traditions, and practices of indigenous peoples and </w:t>
      </w:r>
      <w:r w:rsidR="00802B2C" w:rsidRPr="00802B2C">
        <w:rPr>
          <w:rFonts w:cstheme="minorHAnsi"/>
        </w:rPr>
        <w:t xml:space="preserve">traditional </w:t>
      </w:r>
      <w:r w:rsidRPr="00802B2C">
        <w:rPr>
          <w:rFonts w:cstheme="minorHAnsi"/>
        </w:rPr>
        <w:t>customary ownership over their lands and natural resources in judicial proceedings.</w:t>
      </w:r>
      <w:r w:rsidRPr="00802B2C">
        <w:rPr>
          <w:rStyle w:val="FootnoteReference"/>
          <w:rFonts w:eastAsiaTheme="minorEastAsia" w:cstheme="minorHAnsi"/>
        </w:rPr>
        <w:footnoteReference w:id="18"/>
      </w:r>
      <w:r w:rsidRPr="00802B2C">
        <w:rPr>
          <w:rFonts w:cstheme="minorHAnsi"/>
        </w:rPr>
        <w:t xml:space="preserve"> Especially with regards to indigenous women and girls, </w:t>
      </w:r>
      <w:r w:rsidR="00802B2C" w:rsidRPr="00802B2C">
        <w:rPr>
          <w:rFonts w:cstheme="minorHAnsi"/>
        </w:rPr>
        <w:t xml:space="preserve">States </w:t>
      </w:r>
      <w:r w:rsidRPr="00802B2C">
        <w:rPr>
          <w:rFonts w:cstheme="minorHAnsi"/>
        </w:rPr>
        <w:t>should implement service provision protocols to improve access to justice that consider their specific needs and all crimes against women and girls must be investigated, prosecuted and adequately punished combined with adequate reparations for the victims.</w:t>
      </w:r>
      <w:r w:rsidRPr="00802B2C">
        <w:rPr>
          <w:rStyle w:val="FootnoteReference"/>
          <w:rFonts w:cstheme="minorHAnsi"/>
        </w:rPr>
        <w:footnoteReference w:id="19"/>
      </w:r>
      <w:r w:rsidRPr="00802B2C">
        <w:rPr>
          <w:rFonts w:cstheme="minorHAnsi"/>
        </w:rPr>
        <w:t xml:space="preserve"> Regarding the perpetrating corporation, the State </w:t>
      </w:r>
      <w:bookmarkStart w:id="0" w:name="_Int_KWucl6bJ"/>
      <w:r w:rsidRPr="00802B2C">
        <w:rPr>
          <w:rFonts w:cstheme="minorHAnsi"/>
        </w:rPr>
        <w:t>party ”</w:t>
      </w:r>
      <w:r w:rsidRPr="00802B2C">
        <w:rPr>
          <w:rFonts w:cstheme="minorHAnsi"/>
          <w:i/>
          <w:iCs/>
        </w:rPr>
        <w:t>should</w:t>
      </w:r>
      <w:bookmarkEnd w:id="0"/>
      <w:r w:rsidRPr="00802B2C">
        <w:rPr>
          <w:rFonts w:cstheme="minorHAnsi"/>
          <w:i/>
          <w:iCs/>
        </w:rPr>
        <w:t xml:space="preserve"> consider imposing criminal or administrative sanctions and penalties.</w:t>
      </w:r>
      <w:r w:rsidRPr="00802B2C">
        <w:rPr>
          <w:rFonts w:cstheme="minorHAnsi"/>
        </w:rPr>
        <w:t>”</w:t>
      </w:r>
      <w:r w:rsidRPr="00802B2C">
        <w:rPr>
          <w:rStyle w:val="FootnoteReference"/>
          <w:rFonts w:cstheme="minorHAnsi"/>
        </w:rPr>
        <w:footnoteReference w:id="20"/>
      </w:r>
    </w:p>
    <w:p w14:paraId="4AC07E54" w14:textId="111C2952" w:rsidR="278EA299" w:rsidRPr="00802B2C" w:rsidRDefault="00124079" w:rsidP="00536B42">
      <w:pPr>
        <w:pStyle w:val="ListParagraph"/>
        <w:numPr>
          <w:ilvl w:val="0"/>
          <w:numId w:val="7"/>
        </w:numPr>
        <w:spacing w:line="240" w:lineRule="auto"/>
        <w:contextualSpacing w:val="0"/>
        <w:jc w:val="both"/>
        <w:rPr>
          <w:rFonts w:cstheme="minorHAnsi"/>
        </w:rPr>
      </w:pPr>
      <w:r w:rsidRPr="00802B2C">
        <w:rPr>
          <w:rFonts w:cstheme="minorHAnsi"/>
        </w:rPr>
        <w:lastRenderedPageBreak/>
        <w:t xml:space="preserve">The UN Guiding Principles on Business and Human Rights highlight that </w:t>
      </w:r>
      <w:r w:rsidRPr="00802B2C">
        <w:rPr>
          <w:rFonts w:cstheme="minorHAnsi"/>
        </w:rPr>
        <w:t>States, when acting as members of multilateral institutions that deal</w:t>
      </w:r>
      <w:r w:rsidRPr="00802B2C">
        <w:rPr>
          <w:rFonts w:cstheme="minorHAnsi"/>
        </w:rPr>
        <w:t xml:space="preserve"> </w:t>
      </w:r>
      <w:r w:rsidRPr="00802B2C">
        <w:rPr>
          <w:rFonts w:cstheme="minorHAnsi"/>
        </w:rPr>
        <w:t>with business-related issues,</w:t>
      </w:r>
      <w:r w:rsidR="00275B9B" w:rsidRPr="00802B2C">
        <w:rPr>
          <w:rFonts w:cstheme="minorHAnsi"/>
        </w:rPr>
        <w:t xml:space="preserve"> retain their human rights obligations within these institutions and</w:t>
      </w:r>
      <w:r w:rsidRPr="00802B2C">
        <w:rPr>
          <w:rFonts w:cstheme="minorHAnsi"/>
        </w:rPr>
        <w:t xml:space="preserve"> should ensure that those institutions do not affect the State’s ability to </w:t>
      </w:r>
      <w:r w:rsidR="00275B9B" w:rsidRPr="00802B2C">
        <w:rPr>
          <w:rFonts w:cstheme="minorHAnsi"/>
        </w:rPr>
        <w:t xml:space="preserve">fulfil its duty to </w:t>
      </w:r>
      <w:r w:rsidRPr="00802B2C">
        <w:rPr>
          <w:rFonts w:cstheme="minorHAnsi"/>
        </w:rPr>
        <w:t xml:space="preserve">protect human rights </w:t>
      </w:r>
      <w:r w:rsidR="00275B9B" w:rsidRPr="00802B2C">
        <w:rPr>
          <w:rFonts w:cstheme="minorHAnsi"/>
        </w:rPr>
        <w:t>and that they promote the business respect for human rights. This also applies for international financial institutions.</w:t>
      </w:r>
      <w:r w:rsidR="00275B9B" w:rsidRPr="00802B2C">
        <w:rPr>
          <w:rStyle w:val="FootnoteReference"/>
          <w:rFonts w:cstheme="minorHAnsi"/>
        </w:rPr>
        <w:footnoteReference w:id="21"/>
      </w:r>
      <w:r w:rsidR="00650F3F" w:rsidRPr="00802B2C">
        <w:rPr>
          <w:rFonts w:cstheme="minorHAnsi"/>
        </w:rPr>
        <w:t xml:space="preserve"> The Working Group on Business and Human Rights has further elaborated that “</w:t>
      </w:r>
      <w:r w:rsidR="00650F3F" w:rsidRPr="00802B2C">
        <w:rPr>
          <w:rFonts w:cstheme="minorHAnsi"/>
          <w:i/>
          <w:iCs/>
        </w:rPr>
        <w:t>States should encourage multilateral institutions to adopt a gender perspective in</w:t>
      </w:r>
      <w:r w:rsidR="00650F3F" w:rsidRPr="00802B2C">
        <w:rPr>
          <w:rFonts w:cstheme="minorHAnsi"/>
          <w:i/>
          <w:iCs/>
        </w:rPr>
        <w:t xml:space="preserve"> </w:t>
      </w:r>
      <w:r w:rsidR="00650F3F" w:rsidRPr="00802B2C">
        <w:rPr>
          <w:rFonts w:cstheme="minorHAnsi"/>
          <w:i/>
          <w:iCs/>
        </w:rPr>
        <w:t>discharging their respective mandates</w:t>
      </w:r>
      <w:r w:rsidR="00650F3F" w:rsidRPr="00802B2C">
        <w:rPr>
          <w:rFonts w:cstheme="minorHAnsi"/>
        </w:rPr>
        <w:t>”</w:t>
      </w:r>
      <w:r w:rsidR="006C5D75" w:rsidRPr="00802B2C">
        <w:rPr>
          <w:rFonts w:cstheme="minorHAnsi"/>
        </w:rPr>
        <w:t xml:space="preserve"> and to “</w:t>
      </w:r>
      <w:r w:rsidR="006C5D75" w:rsidRPr="00802B2C">
        <w:rPr>
          <w:rFonts w:cstheme="minorHAnsi"/>
          <w:i/>
          <w:iCs/>
        </w:rPr>
        <w:t>ensure that agreements and policy</w:t>
      </w:r>
      <w:r w:rsidR="006C5D75" w:rsidRPr="00802B2C">
        <w:rPr>
          <w:rFonts w:cstheme="minorHAnsi"/>
          <w:i/>
          <w:iCs/>
        </w:rPr>
        <w:t xml:space="preserve"> </w:t>
      </w:r>
      <w:r w:rsidR="006C5D75" w:rsidRPr="00802B2C">
        <w:rPr>
          <w:rFonts w:cstheme="minorHAnsi"/>
          <w:i/>
          <w:iCs/>
        </w:rPr>
        <w:t>frameworks negotiated in a multilateral setting promote substantive gender equality and</w:t>
      </w:r>
      <w:r w:rsidR="006C5D75" w:rsidRPr="00802B2C">
        <w:rPr>
          <w:rFonts w:cstheme="minorHAnsi"/>
          <w:i/>
          <w:iCs/>
        </w:rPr>
        <w:t xml:space="preserve"> </w:t>
      </w:r>
      <w:r w:rsidR="006C5D75" w:rsidRPr="00802B2C">
        <w:rPr>
          <w:rFonts w:cstheme="minorHAnsi"/>
          <w:i/>
          <w:iCs/>
        </w:rPr>
        <w:t>avoid exacerbating existing discrimination faced by women.</w:t>
      </w:r>
      <w:r w:rsidR="006C5D75" w:rsidRPr="00802B2C">
        <w:rPr>
          <w:rFonts w:cstheme="minorHAnsi"/>
          <w:i/>
          <w:iCs/>
        </w:rPr>
        <w:t>”</w:t>
      </w:r>
      <w:r w:rsidR="006C5D75" w:rsidRPr="00802B2C">
        <w:rPr>
          <w:rStyle w:val="FootnoteReference"/>
          <w:rFonts w:cstheme="minorHAnsi"/>
          <w:i/>
          <w:iCs/>
        </w:rPr>
        <w:footnoteReference w:id="22"/>
      </w:r>
    </w:p>
    <w:p w14:paraId="6D770F8B" w14:textId="767E825B" w:rsidR="278EA299" w:rsidRPr="00802B2C" w:rsidRDefault="278EA299" w:rsidP="00536B42">
      <w:pPr>
        <w:pStyle w:val="ListParagraph"/>
        <w:numPr>
          <w:ilvl w:val="0"/>
          <w:numId w:val="7"/>
        </w:numPr>
        <w:spacing w:line="240" w:lineRule="auto"/>
        <w:contextualSpacing w:val="0"/>
        <w:jc w:val="both"/>
        <w:rPr>
          <w:rFonts w:eastAsiaTheme="minorEastAsia" w:cstheme="minorHAnsi"/>
        </w:rPr>
      </w:pPr>
      <w:r w:rsidRPr="00802B2C">
        <w:rPr>
          <w:rFonts w:eastAsiaTheme="minorEastAsia" w:cstheme="minorHAnsi"/>
        </w:rPr>
        <w:t xml:space="preserve">The importance of a responsible disengagement from business operations has been highlighted by the UN Guiding Principles on Business and Human Rights that state that a corporation should disengage from its operations when it is unable to mitigate the human rights impact that it has been causing. Such exit must take </w:t>
      </w:r>
      <w:r w:rsidRPr="00802B2C">
        <w:rPr>
          <w:rFonts w:cstheme="minorHAnsi"/>
        </w:rPr>
        <w:t>into account credible assessments of potential adverse human rights impacts of doing so</w:t>
      </w:r>
      <w:r w:rsidRPr="00802B2C">
        <w:rPr>
          <w:rStyle w:val="FootnoteReference"/>
          <w:rFonts w:eastAsiaTheme="minorEastAsia" w:cstheme="minorHAnsi"/>
        </w:rPr>
        <w:footnoteReference w:id="23"/>
      </w:r>
      <w:r w:rsidR="00A43BB1" w:rsidRPr="00802B2C">
        <w:rPr>
          <w:rFonts w:cstheme="minorHAnsi"/>
        </w:rPr>
        <w:t xml:space="preserve"> and should include gender-transformative measures to prevent and mitigate adverse impacts.</w:t>
      </w:r>
      <w:r w:rsidR="00A43BB1" w:rsidRPr="00802B2C">
        <w:rPr>
          <w:rStyle w:val="FootnoteReference"/>
          <w:rFonts w:cstheme="minorHAnsi"/>
        </w:rPr>
        <w:footnoteReference w:id="24"/>
      </w:r>
      <w:r w:rsidRPr="00802B2C">
        <w:rPr>
          <w:rFonts w:eastAsiaTheme="minorEastAsia" w:cstheme="minorHAnsi"/>
        </w:rPr>
        <w:t xml:space="preserve"> The OECD Guidelines further conclude that ”</w:t>
      </w:r>
      <w:r w:rsidRPr="00802B2C">
        <w:rPr>
          <w:rFonts w:eastAsiaTheme="minorEastAsia" w:cstheme="minorHAnsi"/>
          <w:i/>
          <w:iCs/>
        </w:rPr>
        <w:t>the enterprise should also take into account potential social and economic adverse impacts related to the decision to disengage.</w:t>
      </w:r>
      <w:r w:rsidRPr="00802B2C">
        <w:rPr>
          <w:rFonts w:eastAsiaTheme="minorEastAsia" w:cstheme="minorHAnsi"/>
        </w:rPr>
        <w:t>”</w:t>
      </w:r>
      <w:r w:rsidRPr="00802B2C">
        <w:rPr>
          <w:rStyle w:val="FootnoteReference"/>
          <w:rFonts w:eastAsiaTheme="minorEastAsia" w:cstheme="minorHAnsi"/>
        </w:rPr>
        <w:footnoteReference w:id="25"/>
      </w:r>
      <w:r w:rsidRPr="00802B2C">
        <w:rPr>
          <w:rFonts w:eastAsiaTheme="minorEastAsia" w:cstheme="minorHAnsi"/>
        </w:rPr>
        <w:t xml:space="preserve"> In this light, operations undertaken by a corporation to disengage must underlie the same standards and scrutiny as other business operations.</w:t>
      </w:r>
    </w:p>
    <w:p w14:paraId="3FAE7FCF" w14:textId="0069ED6F" w:rsidR="278EA299" w:rsidRPr="00802B2C" w:rsidRDefault="278EA299" w:rsidP="00536B42">
      <w:pPr>
        <w:pStyle w:val="ListParagraph"/>
        <w:numPr>
          <w:ilvl w:val="0"/>
          <w:numId w:val="7"/>
        </w:numPr>
        <w:spacing w:line="240" w:lineRule="auto"/>
        <w:contextualSpacing w:val="0"/>
        <w:jc w:val="both"/>
        <w:rPr>
          <w:rFonts w:eastAsiaTheme="minorEastAsia" w:cstheme="minorHAnsi"/>
        </w:rPr>
      </w:pPr>
      <w:r w:rsidRPr="00802B2C">
        <w:rPr>
          <w:rFonts w:eastAsiaTheme="minorEastAsia" w:cstheme="minorHAnsi"/>
        </w:rPr>
        <w:t>From the UN Guiding Principles as well as CESCR’s General Comment on business activities and the MICI concluding report, it is clear that any disengagement from business operations must precede a human rights impact assessment which has to pay specific attention to the human rights impact on indigenous peoples, especially their rights to land, resources, territories, cultural heritage, traditional knowledge and culture.</w:t>
      </w:r>
      <w:r w:rsidRPr="00802B2C">
        <w:rPr>
          <w:rStyle w:val="FootnoteReference"/>
          <w:rFonts w:eastAsiaTheme="minorEastAsia" w:cstheme="minorHAnsi"/>
        </w:rPr>
        <w:footnoteReference w:id="26"/>
      </w:r>
      <w:r w:rsidRPr="00802B2C">
        <w:rPr>
          <w:rFonts w:eastAsiaTheme="minorEastAsia" w:cstheme="minorHAnsi"/>
        </w:rPr>
        <w:t xml:space="preserve"> It is not enough though for such an assessment to be conducted by the corporation, but the State party should require business enterprises to communicate to the State how they address their human rights impacts.</w:t>
      </w:r>
      <w:r w:rsidRPr="00802B2C">
        <w:rPr>
          <w:rStyle w:val="FootnoteReference"/>
          <w:rFonts w:eastAsiaTheme="minorEastAsia" w:cstheme="minorHAnsi"/>
        </w:rPr>
        <w:footnoteReference w:id="27"/>
      </w:r>
      <w:r w:rsidRPr="00802B2C">
        <w:rPr>
          <w:rFonts w:eastAsiaTheme="minorEastAsia" w:cstheme="minorHAnsi"/>
        </w:rPr>
        <w:t xml:space="preserve"> The government must thus play an active role in the implementation of the disengagement operations, including the human rights impact assessment. B</w:t>
      </w:r>
      <w:r w:rsidRPr="00802B2C">
        <w:rPr>
          <w:rFonts w:cstheme="minorHAnsi"/>
        </w:rPr>
        <w:t>usinesses “s</w:t>
      </w:r>
      <w:r w:rsidRPr="00802B2C">
        <w:rPr>
          <w:rFonts w:cstheme="minorHAnsi"/>
          <w:i/>
          <w:iCs/>
        </w:rPr>
        <w:t>hould identify and assess any actual or potential adverse human rights impacts with which they may be involved either through their own activities or as a result of their business relationships</w:t>
      </w:r>
      <w:r w:rsidRPr="00802B2C">
        <w:rPr>
          <w:rFonts w:cstheme="minorHAnsi"/>
        </w:rPr>
        <w:t>”, including “</w:t>
      </w:r>
      <w:r w:rsidRPr="00802B2C">
        <w:rPr>
          <w:rFonts w:cstheme="minorHAnsi"/>
          <w:i/>
          <w:iCs/>
        </w:rPr>
        <w:t>meaningful consultation with potentially affected groups and other relevant stakeholders</w:t>
      </w:r>
      <w:r w:rsidRPr="00802B2C">
        <w:rPr>
          <w:rFonts w:cstheme="minorHAnsi"/>
        </w:rPr>
        <w:t>”, “</w:t>
      </w:r>
      <w:r w:rsidRPr="00802B2C">
        <w:rPr>
          <w:rFonts w:cstheme="minorHAnsi"/>
          <w:i/>
          <w:iCs/>
        </w:rPr>
        <w:t>integrate the findings from their impact assessments across relevant internal functions and processes, and take appropriate action</w:t>
      </w:r>
      <w:r w:rsidRPr="00802B2C">
        <w:rPr>
          <w:rFonts w:cstheme="minorHAnsi"/>
        </w:rPr>
        <w:t>”.</w:t>
      </w:r>
      <w:r w:rsidRPr="00802B2C">
        <w:rPr>
          <w:rStyle w:val="FootnoteReference"/>
          <w:rFonts w:eastAsiaTheme="minorEastAsia" w:cstheme="minorHAnsi"/>
        </w:rPr>
        <w:footnoteReference w:id="28"/>
      </w:r>
    </w:p>
    <w:p w14:paraId="7CBD69EC" w14:textId="2CF96403" w:rsidR="278EA299" w:rsidRPr="00802B2C" w:rsidRDefault="278EA299" w:rsidP="00536B42">
      <w:pPr>
        <w:pStyle w:val="ListParagraph"/>
        <w:numPr>
          <w:ilvl w:val="0"/>
          <w:numId w:val="7"/>
        </w:numPr>
        <w:spacing w:line="240" w:lineRule="auto"/>
        <w:contextualSpacing w:val="0"/>
        <w:jc w:val="both"/>
        <w:rPr>
          <w:rFonts w:cstheme="minorHAnsi"/>
        </w:rPr>
      </w:pPr>
      <w:r w:rsidRPr="00802B2C">
        <w:rPr>
          <w:rFonts w:eastAsiaTheme="minorEastAsia" w:cstheme="minorHAnsi"/>
        </w:rPr>
        <w:t>The human rights impact assessment as well as the execution of the disengagement following the assessment must be drafted and implemented in consultation with the affected communities and must guarantee their right to participate fully and freely in these procedures.</w:t>
      </w:r>
      <w:r w:rsidRPr="00802B2C">
        <w:rPr>
          <w:rStyle w:val="FootnoteReference"/>
          <w:rFonts w:eastAsiaTheme="minorEastAsia" w:cstheme="minorHAnsi"/>
        </w:rPr>
        <w:footnoteReference w:id="29"/>
      </w:r>
      <w:r w:rsidRPr="00802B2C">
        <w:rPr>
          <w:rFonts w:eastAsiaTheme="minorEastAsia" w:cstheme="minorHAnsi"/>
        </w:rPr>
        <w:t xml:space="preserve"> Indigenous peoples have a right to participate in decision-making on matters that affect their rights and any decisions, </w:t>
      </w:r>
      <w:r w:rsidRPr="00802B2C">
        <w:rPr>
          <w:rFonts w:eastAsiaTheme="minorEastAsia" w:cstheme="minorHAnsi"/>
        </w:rPr>
        <w:lastRenderedPageBreak/>
        <w:t>actions, or other measures taken by the corporation or State party must guarantee their full, prior and informed consent, in line with international human rights law standards.</w:t>
      </w:r>
      <w:r w:rsidRPr="00802B2C">
        <w:rPr>
          <w:rStyle w:val="FootnoteReference"/>
          <w:rFonts w:eastAsiaTheme="minorEastAsia" w:cstheme="minorHAnsi"/>
        </w:rPr>
        <w:footnoteReference w:id="30"/>
      </w:r>
      <w:r w:rsidRPr="00802B2C">
        <w:rPr>
          <w:rFonts w:eastAsiaTheme="minorEastAsia" w:cstheme="minorHAnsi"/>
        </w:rPr>
        <w:t xml:space="preserve"> Such consultations must also take into consideration the different needs and demands of members within the community, especially women and girls, and guarantee their participation in consultations and decision-making processes is guaranteed without any forms of discrimination, intimidation, harassment, or violence against them.</w:t>
      </w:r>
      <w:r w:rsidRPr="00802B2C">
        <w:rPr>
          <w:rStyle w:val="FootnoteReference"/>
          <w:rFonts w:eastAsiaTheme="minorEastAsia" w:cstheme="minorHAnsi"/>
        </w:rPr>
        <w:footnoteReference w:id="31"/>
      </w:r>
      <w:r w:rsidRPr="00802B2C">
        <w:rPr>
          <w:rFonts w:eastAsiaTheme="minorEastAsia" w:cstheme="minorHAnsi"/>
        </w:rPr>
        <w:t xml:space="preserve"> This is in line with CESCR’s obligation to non-discrimination, arts. 2 and 3 of the Covenant. Especially given women’s important role with regards to water management within indigenous communities, their voices must be at the forefront of any decisions and actions taken.</w:t>
      </w:r>
      <w:r w:rsidRPr="00802B2C">
        <w:rPr>
          <w:rStyle w:val="FootnoteReference"/>
          <w:rFonts w:eastAsiaTheme="minorEastAsia" w:cstheme="minorHAnsi"/>
        </w:rPr>
        <w:footnoteReference w:id="32"/>
      </w:r>
    </w:p>
    <w:p w14:paraId="53B02107" w14:textId="7D57D0FD" w:rsidR="00536B42" w:rsidRPr="00536B42" w:rsidRDefault="278EA299" w:rsidP="00536B42">
      <w:pPr>
        <w:pStyle w:val="ListParagraph"/>
        <w:numPr>
          <w:ilvl w:val="0"/>
          <w:numId w:val="7"/>
        </w:numPr>
        <w:spacing w:line="240" w:lineRule="auto"/>
        <w:contextualSpacing w:val="0"/>
        <w:jc w:val="both"/>
        <w:rPr>
          <w:rFonts w:cstheme="minorHAnsi"/>
        </w:rPr>
      </w:pPr>
      <w:r w:rsidRPr="00802B2C">
        <w:rPr>
          <w:rFonts w:eastAsiaTheme="minorEastAsia" w:cstheme="minorHAnsi"/>
        </w:rPr>
        <w:t xml:space="preserve"> Such human rights impact assessment cannot be considered as a momentary analysis of the situation but </w:t>
      </w:r>
      <w:proofErr w:type="gramStart"/>
      <w:r w:rsidRPr="00802B2C">
        <w:rPr>
          <w:rFonts w:eastAsiaTheme="minorEastAsia" w:cstheme="minorHAnsi"/>
        </w:rPr>
        <w:t>has to</w:t>
      </w:r>
      <w:proofErr w:type="gramEnd"/>
      <w:r w:rsidRPr="00802B2C">
        <w:rPr>
          <w:rFonts w:eastAsiaTheme="minorEastAsia" w:cstheme="minorHAnsi"/>
        </w:rPr>
        <w:t xml:space="preserve"> be investigated and </w:t>
      </w:r>
      <w:r w:rsidR="00940339" w:rsidRPr="00802B2C">
        <w:rPr>
          <w:rFonts w:eastAsiaTheme="minorEastAsia" w:cstheme="minorHAnsi"/>
        </w:rPr>
        <w:t>analyzed</w:t>
      </w:r>
      <w:r w:rsidRPr="00802B2C">
        <w:rPr>
          <w:rFonts w:eastAsiaTheme="minorEastAsia" w:cstheme="minorHAnsi"/>
        </w:rPr>
        <w:t xml:space="preserve"> throughout the different stages of disengagement. It is therefore not enough to conduct one sole consultation. In addition to this, the voices of human rights defenders and especially women human rights defenders are </w:t>
      </w:r>
      <w:proofErr w:type="gramStart"/>
      <w:r w:rsidRPr="00802B2C">
        <w:rPr>
          <w:rFonts w:eastAsiaTheme="minorEastAsia" w:cstheme="minorHAnsi"/>
        </w:rPr>
        <w:t>crucial</w:t>
      </w:r>
      <w:proofErr w:type="gramEnd"/>
      <w:r w:rsidRPr="00802B2C">
        <w:rPr>
          <w:rFonts w:eastAsiaTheme="minorEastAsia" w:cstheme="minorHAnsi"/>
        </w:rPr>
        <w:t xml:space="preserve"> and they must be able to “</w:t>
      </w:r>
      <w:r w:rsidRPr="00802B2C">
        <w:rPr>
          <w:rFonts w:eastAsiaTheme="minorEastAsia" w:cstheme="minorHAnsi"/>
          <w:i/>
          <w:iCs/>
        </w:rPr>
        <w:t>freely carry out their work protecting women’s human rights and exercise their rights to freedom of peaceful assembly and association”</w:t>
      </w:r>
      <w:r w:rsidRPr="00802B2C">
        <w:rPr>
          <w:rFonts w:eastAsiaTheme="minorEastAsia" w:cstheme="minorHAnsi"/>
        </w:rPr>
        <w:t>.</w:t>
      </w:r>
      <w:r w:rsidRPr="00802B2C">
        <w:rPr>
          <w:rStyle w:val="FootnoteReference"/>
          <w:rFonts w:eastAsiaTheme="minorEastAsia" w:cstheme="minorHAnsi"/>
        </w:rPr>
        <w:footnoteReference w:id="33"/>
      </w:r>
    </w:p>
    <w:p w14:paraId="54121D95" w14:textId="0A5940CA" w:rsidR="005C1403" w:rsidRPr="00536B42" w:rsidRDefault="278EA299" w:rsidP="00536B42">
      <w:pPr>
        <w:pStyle w:val="ListParagraph"/>
        <w:numPr>
          <w:ilvl w:val="0"/>
          <w:numId w:val="7"/>
        </w:numPr>
        <w:spacing w:line="240" w:lineRule="auto"/>
        <w:contextualSpacing w:val="0"/>
        <w:jc w:val="both"/>
        <w:rPr>
          <w:rFonts w:eastAsiaTheme="minorEastAsia" w:cstheme="minorHAnsi"/>
        </w:rPr>
      </w:pPr>
      <w:r w:rsidRPr="00802B2C">
        <w:rPr>
          <w:rFonts w:eastAsiaTheme="minorEastAsia" w:cstheme="minorHAnsi"/>
        </w:rPr>
        <w:t>A responsible disengagement strategy must also take into account the specific obligations to safeguard the rights of indigenous peoples to natural resources pertaining to their lands</w:t>
      </w:r>
      <w:r w:rsidRPr="00802B2C">
        <w:rPr>
          <w:rStyle w:val="FootnoteReference"/>
          <w:rFonts w:eastAsiaTheme="minorEastAsia" w:cstheme="minorHAnsi"/>
        </w:rPr>
        <w:footnoteReference w:id="34"/>
      </w:r>
      <w:r w:rsidRPr="00802B2C">
        <w:rPr>
          <w:rFonts w:eastAsiaTheme="minorEastAsia" w:cstheme="minorHAnsi"/>
        </w:rPr>
        <w:t xml:space="preserve"> as well as their ”</w:t>
      </w:r>
      <w:r w:rsidRPr="00802B2C">
        <w:rPr>
          <w:rFonts w:eastAsiaTheme="minorEastAsia" w:cstheme="minorHAnsi"/>
          <w:i/>
          <w:iCs/>
        </w:rPr>
        <w:t>right to the conservation and protection of the environment and the productive capacity of their lands or territories and resources</w:t>
      </w:r>
      <w:r w:rsidRPr="00802B2C">
        <w:rPr>
          <w:rFonts w:eastAsiaTheme="minorEastAsia" w:cstheme="minorHAnsi"/>
        </w:rPr>
        <w:t>”.</w:t>
      </w:r>
      <w:r w:rsidRPr="00802B2C">
        <w:rPr>
          <w:rStyle w:val="FootnoteReference"/>
          <w:rFonts w:eastAsiaTheme="minorEastAsia" w:cstheme="minorHAnsi"/>
        </w:rPr>
        <w:footnoteReference w:id="35"/>
      </w:r>
      <w:r w:rsidRPr="00802B2C">
        <w:rPr>
          <w:rFonts w:eastAsiaTheme="minorEastAsia" w:cstheme="minorHAnsi"/>
        </w:rPr>
        <w:t xml:space="preserve"> Any action taken must therefore respect, protect, fulfil and promote the close ties that indigenous populations hold to their lands in order to guarantee their dignified life.</w:t>
      </w:r>
      <w:r w:rsidRPr="00802B2C">
        <w:rPr>
          <w:rStyle w:val="FootnoteReference"/>
          <w:rFonts w:eastAsiaTheme="minorEastAsia" w:cstheme="minorHAnsi"/>
        </w:rPr>
        <w:footnoteReference w:id="36"/>
      </w:r>
      <w:r w:rsidRPr="00802B2C">
        <w:rPr>
          <w:rFonts w:eastAsiaTheme="minorEastAsia" w:cstheme="minorHAnsi"/>
        </w:rPr>
        <w:t xml:space="preserve"> With the new recognition of the human right to a clean, healthy and sustainable environment, it is undeniable that the respect, protection and fulfilment of human rights is tightly linked to a clean, healthy and sustainable environment, and vice versa. The right can only be enjoyed if the full and meaningful participation of all, including women and girls, is guaranteed in decision-making related to the environment.</w:t>
      </w:r>
      <w:r w:rsidRPr="00802B2C">
        <w:rPr>
          <w:rStyle w:val="FootnoteReference"/>
          <w:rFonts w:eastAsiaTheme="minorEastAsia" w:cstheme="minorHAnsi"/>
        </w:rPr>
        <w:footnoteReference w:id="37"/>
      </w:r>
    </w:p>
    <w:p w14:paraId="0BD2D2C4" w14:textId="33A531FF" w:rsidR="00802B2C" w:rsidRPr="00536B42" w:rsidRDefault="00BB76B0" w:rsidP="00536B42">
      <w:pPr>
        <w:pStyle w:val="ListParagraph"/>
        <w:numPr>
          <w:ilvl w:val="0"/>
          <w:numId w:val="7"/>
        </w:numPr>
        <w:spacing w:line="240" w:lineRule="auto"/>
        <w:contextualSpacing w:val="0"/>
        <w:jc w:val="both"/>
        <w:rPr>
          <w:rFonts w:eastAsiaTheme="minorEastAsia" w:cstheme="minorHAnsi"/>
        </w:rPr>
      </w:pPr>
      <w:r w:rsidRPr="00802B2C">
        <w:rPr>
          <w:rFonts w:eastAsiaTheme="minorEastAsia" w:cstheme="minorHAnsi"/>
        </w:rPr>
        <w:t>The G</w:t>
      </w:r>
      <w:r w:rsidR="00674478" w:rsidRPr="00802B2C">
        <w:rPr>
          <w:rFonts w:eastAsiaTheme="minorEastAsia" w:cstheme="minorHAnsi"/>
        </w:rPr>
        <w:t xml:space="preserve">uatemalan state is </w:t>
      </w:r>
      <w:r w:rsidR="00802B2C" w:rsidRPr="00802B2C">
        <w:rPr>
          <w:rFonts w:eastAsiaTheme="minorEastAsia" w:cstheme="minorHAnsi"/>
        </w:rPr>
        <w:t xml:space="preserve">also responsible for </w:t>
      </w:r>
      <w:r w:rsidR="00674478" w:rsidRPr="00802B2C">
        <w:rPr>
          <w:rFonts w:eastAsiaTheme="minorEastAsia" w:cstheme="minorHAnsi"/>
        </w:rPr>
        <w:t>the violation of individual and collective human rights of the indigenous people</w:t>
      </w:r>
      <w:r w:rsidR="00802B2C" w:rsidRPr="00802B2C">
        <w:rPr>
          <w:rFonts w:eastAsiaTheme="minorEastAsia" w:cstheme="minorHAnsi"/>
        </w:rPr>
        <w:t>s</w:t>
      </w:r>
      <w:r w:rsidR="00674478" w:rsidRPr="00802B2C">
        <w:rPr>
          <w:rFonts w:eastAsiaTheme="minorEastAsia" w:cstheme="minorHAnsi"/>
        </w:rPr>
        <w:t xml:space="preserve">, </w:t>
      </w:r>
      <w:r w:rsidR="002E533F" w:rsidRPr="00802B2C">
        <w:rPr>
          <w:rFonts w:eastAsiaTheme="minorEastAsia" w:cstheme="minorHAnsi"/>
        </w:rPr>
        <w:t>considering</w:t>
      </w:r>
      <w:r w:rsidR="00674478" w:rsidRPr="00802B2C">
        <w:rPr>
          <w:rFonts w:eastAsiaTheme="minorEastAsia" w:cstheme="minorHAnsi"/>
        </w:rPr>
        <w:t xml:space="preserve"> that the public security forces, </w:t>
      </w:r>
      <w:proofErr w:type="gramStart"/>
      <w:r w:rsidR="002E533F" w:rsidRPr="00802B2C">
        <w:rPr>
          <w:rFonts w:eastAsiaTheme="minorEastAsia" w:cstheme="minorHAnsi"/>
        </w:rPr>
        <w:t>a</w:t>
      </w:r>
      <w:r w:rsidR="00674478" w:rsidRPr="00802B2C">
        <w:rPr>
          <w:rFonts w:eastAsiaTheme="minorEastAsia" w:cstheme="minorHAnsi"/>
        </w:rPr>
        <w:t>rmy</w:t>
      </w:r>
      <w:proofErr w:type="gramEnd"/>
      <w:r w:rsidR="00674478" w:rsidRPr="00802B2C">
        <w:rPr>
          <w:rFonts w:eastAsiaTheme="minorEastAsia" w:cstheme="minorHAnsi"/>
        </w:rPr>
        <w:t xml:space="preserve"> and </w:t>
      </w:r>
      <w:r w:rsidR="002E533F" w:rsidRPr="00802B2C">
        <w:rPr>
          <w:rFonts w:eastAsiaTheme="minorEastAsia" w:cstheme="minorHAnsi"/>
        </w:rPr>
        <w:t>the national police</w:t>
      </w:r>
      <w:r w:rsidR="00674478" w:rsidRPr="00802B2C">
        <w:rPr>
          <w:rFonts w:eastAsiaTheme="minorEastAsia" w:cstheme="minorHAnsi"/>
        </w:rPr>
        <w:t xml:space="preserve"> together with the company's private guards have permanently repressed the population.  The </w:t>
      </w:r>
      <w:r w:rsidR="002E533F" w:rsidRPr="00802B2C">
        <w:rPr>
          <w:rFonts w:eastAsiaTheme="minorEastAsia" w:cstheme="minorHAnsi"/>
        </w:rPr>
        <w:t>Prosecutor’s Office</w:t>
      </w:r>
      <w:r w:rsidR="00674478" w:rsidRPr="00802B2C">
        <w:rPr>
          <w:rFonts w:eastAsiaTheme="minorEastAsia" w:cstheme="minorHAnsi"/>
        </w:rPr>
        <w:t xml:space="preserve"> has not investigated the serious crimes that </w:t>
      </w:r>
      <w:r w:rsidR="00802B2C" w:rsidRPr="00802B2C">
        <w:rPr>
          <w:rFonts w:eastAsiaTheme="minorEastAsia" w:cstheme="minorHAnsi"/>
        </w:rPr>
        <w:t xml:space="preserve">agents from </w:t>
      </w:r>
      <w:r w:rsidR="00674478" w:rsidRPr="00802B2C">
        <w:rPr>
          <w:rFonts w:eastAsiaTheme="minorEastAsia" w:cstheme="minorHAnsi"/>
        </w:rPr>
        <w:t>the company ha</w:t>
      </w:r>
      <w:r w:rsidR="00802B2C" w:rsidRPr="00802B2C">
        <w:rPr>
          <w:rFonts w:eastAsiaTheme="minorEastAsia" w:cstheme="minorHAnsi"/>
        </w:rPr>
        <w:t>ve</w:t>
      </w:r>
      <w:r w:rsidR="00674478" w:rsidRPr="00802B2C">
        <w:rPr>
          <w:rFonts w:eastAsiaTheme="minorEastAsia" w:cstheme="minorHAnsi"/>
        </w:rPr>
        <w:t xml:space="preserve"> </w:t>
      </w:r>
      <w:r w:rsidRPr="00802B2C">
        <w:rPr>
          <w:rFonts w:eastAsiaTheme="minorEastAsia" w:cstheme="minorHAnsi"/>
        </w:rPr>
        <w:t>committed but</w:t>
      </w:r>
      <w:r w:rsidR="00674478" w:rsidRPr="00802B2C">
        <w:rPr>
          <w:rFonts w:eastAsiaTheme="minorEastAsia" w:cstheme="minorHAnsi"/>
        </w:rPr>
        <w:t xml:space="preserve"> has</w:t>
      </w:r>
      <w:r w:rsidR="00802B2C" w:rsidRPr="00802B2C">
        <w:rPr>
          <w:rFonts w:eastAsiaTheme="minorEastAsia" w:cstheme="minorHAnsi"/>
        </w:rPr>
        <w:t xml:space="preserve"> instead</w:t>
      </w:r>
      <w:r w:rsidR="00674478" w:rsidRPr="00802B2C">
        <w:rPr>
          <w:rFonts w:eastAsiaTheme="minorEastAsia" w:cstheme="minorHAnsi"/>
        </w:rPr>
        <w:t xml:space="preserve"> falsified investigations in favor of the company to criminalize ancestral authorities and indigenous personalities. The judiciary has condemned ancestral authorities - and indigenous personalities - in a </w:t>
      </w:r>
      <w:r w:rsidR="00802B2C" w:rsidRPr="00802B2C">
        <w:rPr>
          <w:rFonts w:eastAsiaTheme="minorEastAsia" w:cstheme="minorHAnsi"/>
        </w:rPr>
        <w:t>discriminatory fashion, based on ethnic origin, and</w:t>
      </w:r>
      <w:r w:rsidR="00674478" w:rsidRPr="00802B2C">
        <w:rPr>
          <w:rFonts w:eastAsiaTheme="minorEastAsia" w:cstheme="minorHAnsi"/>
        </w:rPr>
        <w:t xml:space="preserve"> criminalize</w:t>
      </w:r>
      <w:r w:rsidR="00802B2C" w:rsidRPr="00802B2C">
        <w:rPr>
          <w:rFonts w:eastAsiaTheme="minorEastAsia" w:cstheme="minorHAnsi"/>
        </w:rPr>
        <w:t>d</w:t>
      </w:r>
      <w:r w:rsidR="00674478" w:rsidRPr="00802B2C">
        <w:rPr>
          <w:rFonts w:eastAsiaTheme="minorEastAsia" w:cstheme="minorHAnsi"/>
        </w:rPr>
        <w:t xml:space="preserve"> the historical demands of the people</w:t>
      </w:r>
      <w:r w:rsidRPr="00802B2C">
        <w:rPr>
          <w:rFonts w:eastAsiaTheme="minorEastAsia" w:cstheme="minorHAnsi"/>
        </w:rPr>
        <w:t>s</w:t>
      </w:r>
      <w:r w:rsidR="00674478" w:rsidRPr="00802B2C">
        <w:rPr>
          <w:rFonts w:eastAsiaTheme="minorEastAsia" w:cstheme="minorHAnsi"/>
        </w:rPr>
        <w:t>.</w:t>
      </w:r>
    </w:p>
    <w:p w14:paraId="70C7A4FD" w14:textId="7EDEFD65" w:rsidR="00536B42" w:rsidRDefault="00802B2C" w:rsidP="00536B42">
      <w:pPr>
        <w:pStyle w:val="ListParagraph"/>
        <w:numPr>
          <w:ilvl w:val="0"/>
          <w:numId w:val="7"/>
        </w:numPr>
        <w:spacing w:line="240" w:lineRule="auto"/>
        <w:contextualSpacing w:val="0"/>
        <w:jc w:val="both"/>
        <w:rPr>
          <w:rFonts w:eastAsiaTheme="minorEastAsia" w:cstheme="minorHAnsi"/>
        </w:rPr>
      </w:pPr>
      <w:r w:rsidRPr="00802B2C">
        <w:rPr>
          <w:rFonts w:eastAsiaTheme="minorEastAsia" w:cstheme="minorHAnsi"/>
        </w:rPr>
        <w:t xml:space="preserve">Guatemala </w:t>
      </w:r>
      <w:r w:rsidR="00BB76B0" w:rsidRPr="00802B2C">
        <w:rPr>
          <w:rFonts w:eastAsiaTheme="minorEastAsia" w:cstheme="minorHAnsi"/>
        </w:rPr>
        <w:t xml:space="preserve">should have reported on the actions taken to ensure that companies exercise due diligence on </w:t>
      </w:r>
      <w:r w:rsidR="00BB76B0" w:rsidRPr="00802B2C">
        <w:rPr>
          <w:rFonts w:eastAsiaTheme="minorEastAsia" w:cstheme="minorHAnsi"/>
        </w:rPr>
        <w:t xml:space="preserve">economic, social, and environmental </w:t>
      </w:r>
      <w:r w:rsidR="00BB76B0" w:rsidRPr="00802B2C">
        <w:rPr>
          <w:rFonts w:eastAsiaTheme="minorEastAsia" w:cstheme="minorHAnsi"/>
        </w:rPr>
        <w:t xml:space="preserve">human rights impacts on the lands and </w:t>
      </w:r>
      <w:r w:rsidR="00BB76B0" w:rsidRPr="00802B2C">
        <w:rPr>
          <w:rFonts w:eastAsiaTheme="minorEastAsia" w:cstheme="minorHAnsi"/>
        </w:rPr>
        <w:lastRenderedPageBreak/>
        <w:t>territories inhabited by indigenous peoples. However, in its report</w:t>
      </w:r>
      <w:r w:rsidR="00BB76B0" w:rsidRPr="00802B2C">
        <w:rPr>
          <w:rFonts w:eastAsiaTheme="minorEastAsia" w:cstheme="minorHAnsi"/>
        </w:rPr>
        <w:t xml:space="preserve"> to the committee</w:t>
      </w:r>
      <w:r w:rsidR="00BB76B0" w:rsidRPr="00802B2C">
        <w:rPr>
          <w:rFonts w:eastAsiaTheme="minorEastAsia" w:cstheme="minorHAnsi"/>
        </w:rPr>
        <w:t>, the State merely responds that COPADEH has requested advice from the OHCHR to prepare the baseline on business and human rights, that it has carried out exchange activities with other countries, that it participated in the VI Regional Forum, among others</w:t>
      </w:r>
      <w:r w:rsidR="0025652C" w:rsidRPr="00802B2C">
        <w:rPr>
          <w:rStyle w:val="FootnoteReference"/>
          <w:rFonts w:eastAsiaTheme="minorEastAsia" w:cstheme="minorHAnsi"/>
        </w:rPr>
        <w:t xml:space="preserve"> </w:t>
      </w:r>
      <w:r w:rsidR="0025652C" w:rsidRPr="00802B2C">
        <w:rPr>
          <w:rStyle w:val="FootnoteReference"/>
          <w:rFonts w:eastAsiaTheme="minorEastAsia" w:cstheme="minorHAnsi"/>
        </w:rPr>
        <w:footnoteReference w:id="38"/>
      </w:r>
      <w:r w:rsidR="0025652C" w:rsidRPr="00802B2C">
        <w:rPr>
          <w:rFonts w:eastAsiaTheme="minorEastAsia" w:cstheme="minorHAnsi"/>
        </w:rPr>
        <w:t xml:space="preserve">, </w:t>
      </w:r>
      <w:r w:rsidR="00BB76B0" w:rsidRPr="00802B2C">
        <w:rPr>
          <w:rFonts w:eastAsiaTheme="minorEastAsia" w:cstheme="minorHAnsi"/>
        </w:rPr>
        <w:t>but omits actions to approach to civil society and especially representatives of indigenous peoples to report on the actions it is taking to ensure that companies exercise due diligence on human rights and are accountable for environmental, social and human rights impacts.</w:t>
      </w:r>
    </w:p>
    <w:p w14:paraId="4BAC0CCB" w14:textId="77777777" w:rsidR="009B4F49" w:rsidRPr="009B4F49" w:rsidRDefault="009B4F49" w:rsidP="009B4F49">
      <w:pPr>
        <w:spacing w:line="240" w:lineRule="auto"/>
        <w:jc w:val="both"/>
        <w:rPr>
          <w:rFonts w:eastAsiaTheme="minorEastAsia" w:cstheme="minorHAnsi"/>
        </w:rPr>
      </w:pPr>
    </w:p>
    <w:p w14:paraId="4081BE63" w14:textId="77777777" w:rsidR="00802B2C" w:rsidRPr="00802B2C" w:rsidRDefault="00802B2C" w:rsidP="00536B42">
      <w:pPr>
        <w:spacing w:line="240" w:lineRule="auto"/>
        <w:jc w:val="both"/>
        <w:rPr>
          <w:rFonts w:eastAsiaTheme="minorEastAsia" w:cstheme="minorHAnsi"/>
        </w:rPr>
      </w:pPr>
      <w:r w:rsidRPr="00802B2C">
        <w:rPr>
          <w:rFonts w:eastAsiaTheme="minorEastAsia" w:cstheme="minorHAnsi"/>
          <w:b/>
          <w:bCs/>
        </w:rPr>
        <w:t>Conclusions</w:t>
      </w:r>
    </w:p>
    <w:p w14:paraId="2A0D78B8" w14:textId="4F70A5F2" w:rsidR="00802B2C" w:rsidRPr="00536B42" w:rsidRDefault="00802B2C" w:rsidP="00536B42">
      <w:pPr>
        <w:pStyle w:val="ListParagraph"/>
        <w:numPr>
          <w:ilvl w:val="0"/>
          <w:numId w:val="7"/>
        </w:numPr>
        <w:spacing w:line="240" w:lineRule="auto"/>
        <w:contextualSpacing w:val="0"/>
        <w:jc w:val="both"/>
        <w:rPr>
          <w:rFonts w:cstheme="minorHAnsi"/>
        </w:rPr>
      </w:pPr>
      <w:r w:rsidRPr="00802B2C">
        <w:rPr>
          <w:rFonts w:eastAsiaTheme="minorEastAsia" w:cstheme="minorHAnsi"/>
        </w:rPr>
        <w:t xml:space="preserve">This case illustrates global patterns on how green transitions are being conducted in disregard of international human rights standards and all too often at the cost of indigenous communities, especially indigenous women and girls, and their lands. To step up efforts towards climate commitments and the fulfilment of the Sustainable Development Goals, States and other stakeholders often neglect and/or ignore the impact of their development projects on the communities on the ground, leading to severe violations of their economic, social, </w:t>
      </w:r>
      <w:proofErr w:type="gramStart"/>
      <w:r w:rsidRPr="00802B2C">
        <w:rPr>
          <w:rFonts w:eastAsiaTheme="minorEastAsia" w:cstheme="minorHAnsi"/>
        </w:rPr>
        <w:t>cultural</w:t>
      </w:r>
      <w:proofErr w:type="gramEnd"/>
      <w:r w:rsidRPr="00802B2C">
        <w:rPr>
          <w:rFonts w:eastAsiaTheme="minorEastAsia" w:cstheme="minorHAnsi"/>
        </w:rPr>
        <w:t xml:space="preserve"> and environmental human rights.</w:t>
      </w:r>
    </w:p>
    <w:p w14:paraId="29BBA699" w14:textId="6F76752F" w:rsidR="00802B2C" w:rsidRPr="00536B42" w:rsidRDefault="00802B2C" w:rsidP="00536B42">
      <w:pPr>
        <w:pStyle w:val="ListParagraph"/>
        <w:numPr>
          <w:ilvl w:val="0"/>
          <w:numId w:val="7"/>
        </w:numPr>
        <w:spacing w:line="240" w:lineRule="auto"/>
        <w:contextualSpacing w:val="0"/>
        <w:jc w:val="both"/>
        <w:rPr>
          <w:rFonts w:cstheme="minorHAnsi"/>
        </w:rPr>
      </w:pPr>
      <w:r w:rsidRPr="00802B2C">
        <w:rPr>
          <w:rFonts w:eastAsiaTheme="minorEastAsia" w:cstheme="minorHAnsi"/>
        </w:rPr>
        <w:t>Time and again, their right to free, prior, and informed consent and to active and meaningful participation is stripped from them during ingenuine or complete absence of consultations</w:t>
      </w:r>
      <w:r w:rsidRPr="00802B2C">
        <w:rPr>
          <w:rStyle w:val="FootnoteReference"/>
          <w:rFonts w:eastAsiaTheme="minorEastAsia" w:cstheme="minorHAnsi"/>
        </w:rPr>
        <w:footnoteReference w:id="39"/>
      </w:r>
      <w:r w:rsidRPr="00802B2C">
        <w:rPr>
          <w:rFonts w:eastAsiaTheme="minorEastAsia" w:cstheme="minorHAnsi"/>
        </w:rPr>
        <w:t xml:space="preserve"> and their livelihoods severely impacted by the projects, including their rights to water, health, adequate standard of living, and life. </w:t>
      </w:r>
    </w:p>
    <w:p w14:paraId="60BFAC79" w14:textId="34E61F7C" w:rsidR="00536B42" w:rsidRPr="00536B42" w:rsidRDefault="00802B2C" w:rsidP="00536B42">
      <w:pPr>
        <w:pStyle w:val="ListParagraph"/>
        <w:numPr>
          <w:ilvl w:val="0"/>
          <w:numId w:val="7"/>
        </w:numPr>
        <w:spacing w:line="240" w:lineRule="auto"/>
        <w:contextualSpacing w:val="0"/>
        <w:jc w:val="both"/>
        <w:rPr>
          <w:rFonts w:eastAsiaTheme="minorEastAsia" w:cstheme="minorHAnsi"/>
        </w:rPr>
      </w:pPr>
      <w:r w:rsidRPr="00802B2C">
        <w:rPr>
          <w:rFonts w:eastAsiaTheme="minorEastAsia" w:cstheme="minorHAnsi"/>
        </w:rPr>
        <w:t xml:space="preserve">Women and girls are more likely to live in vulnerable situations which increases the harmful impact of policies, projects and decisions which do not center human rights at the core. Women’s absence from leadership positions and gender-blind governance within corporations and governments further increase the risk to not only harm women and girls disproportionately but enforce gender stereotypes and sexual and gender-based violence that they are already facing within their communities and outside. </w:t>
      </w:r>
    </w:p>
    <w:p w14:paraId="5E225C82" w14:textId="77777777" w:rsidR="00536B42" w:rsidRPr="00536B42" w:rsidRDefault="00536B42" w:rsidP="00536B42">
      <w:pPr>
        <w:spacing w:line="240" w:lineRule="auto"/>
        <w:jc w:val="both"/>
        <w:rPr>
          <w:rFonts w:eastAsiaTheme="minorEastAsia" w:cstheme="minorHAnsi"/>
        </w:rPr>
      </w:pPr>
    </w:p>
    <w:p w14:paraId="42A07933" w14:textId="18A20FD1" w:rsidR="005C1403" w:rsidRPr="00536B42" w:rsidRDefault="278EA299" w:rsidP="00536B42">
      <w:pPr>
        <w:spacing w:line="240" w:lineRule="auto"/>
        <w:jc w:val="both"/>
        <w:rPr>
          <w:rFonts w:eastAsiaTheme="minorEastAsia" w:cstheme="minorHAnsi"/>
          <w:b/>
          <w:bCs/>
        </w:rPr>
      </w:pPr>
      <w:r w:rsidRPr="00802B2C">
        <w:rPr>
          <w:rFonts w:eastAsiaTheme="minorEastAsia" w:cstheme="minorHAnsi"/>
          <w:b/>
          <w:bCs/>
        </w:rPr>
        <w:t xml:space="preserve">Recommendations </w:t>
      </w:r>
    </w:p>
    <w:p w14:paraId="051A81B5" w14:textId="0A5C555E" w:rsidR="00536B42" w:rsidRPr="00536B42" w:rsidRDefault="278EA299" w:rsidP="00536B42">
      <w:pPr>
        <w:pStyle w:val="ListParagraph"/>
        <w:numPr>
          <w:ilvl w:val="0"/>
          <w:numId w:val="7"/>
        </w:numPr>
        <w:spacing w:line="240" w:lineRule="auto"/>
        <w:contextualSpacing w:val="0"/>
        <w:jc w:val="both"/>
        <w:rPr>
          <w:rFonts w:eastAsiaTheme="minorEastAsia" w:cstheme="minorHAnsi"/>
        </w:rPr>
      </w:pPr>
      <w:proofErr w:type="gramStart"/>
      <w:r w:rsidRPr="00802B2C">
        <w:rPr>
          <w:rFonts w:eastAsiaTheme="minorEastAsia" w:cstheme="minorHAnsi"/>
        </w:rPr>
        <w:t>In light of</w:t>
      </w:r>
      <w:proofErr w:type="gramEnd"/>
      <w:r w:rsidRPr="00802B2C">
        <w:rPr>
          <w:rFonts w:eastAsiaTheme="minorEastAsia" w:cstheme="minorHAnsi"/>
        </w:rPr>
        <w:t xml:space="preserve"> the above, GI-ESCR</w:t>
      </w:r>
      <w:r w:rsidR="00E714BD" w:rsidRPr="00802B2C">
        <w:rPr>
          <w:rFonts w:eastAsiaTheme="minorEastAsia" w:cstheme="minorHAnsi"/>
        </w:rPr>
        <w:t xml:space="preserve">, </w:t>
      </w:r>
      <w:r w:rsidRPr="00802B2C">
        <w:rPr>
          <w:rFonts w:eastAsiaTheme="minorEastAsia" w:cstheme="minorHAnsi"/>
        </w:rPr>
        <w:t>AIDA</w:t>
      </w:r>
      <w:r w:rsidR="00053D0C" w:rsidRPr="00802B2C">
        <w:rPr>
          <w:rFonts w:eastAsiaTheme="minorEastAsia" w:cstheme="minorHAnsi"/>
        </w:rPr>
        <w:t xml:space="preserve">, </w:t>
      </w:r>
      <w:r w:rsidR="00802B2C" w:rsidRPr="00802B2C">
        <w:rPr>
          <w:rFonts w:eastAsiaTheme="minorEastAsia" w:cstheme="minorHAnsi"/>
        </w:rPr>
        <w:t>the</w:t>
      </w:r>
      <w:r w:rsidR="00E714BD" w:rsidRPr="00802B2C">
        <w:rPr>
          <w:rFonts w:eastAsiaTheme="minorEastAsia" w:cstheme="minorHAnsi"/>
        </w:rPr>
        <w:t xml:space="preserve"> </w:t>
      </w:r>
      <w:r w:rsidR="00053D0C" w:rsidRPr="00802B2C">
        <w:rPr>
          <w:rFonts w:eastAsiaTheme="minorEastAsia" w:cstheme="minorHAnsi"/>
        </w:rPr>
        <w:t>International Platform against Impunity</w:t>
      </w:r>
      <w:r w:rsidR="00802B2C" w:rsidRPr="00802B2C">
        <w:rPr>
          <w:rFonts w:eastAsiaTheme="minorEastAsia" w:cstheme="minorHAnsi"/>
        </w:rPr>
        <w:t xml:space="preserve">, and </w:t>
      </w:r>
      <w:proofErr w:type="spellStart"/>
      <w:r w:rsidR="00802B2C" w:rsidRPr="00802B2C">
        <w:rPr>
          <w:rFonts w:eastAsiaTheme="minorEastAsia" w:cstheme="minorHAnsi"/>
        </w:rPr>
        <w:t>Payxail</w:t>
      </w:r>
      <w:proofErr w:type="spellEnd"/>
      <w:r w:rsidR="00802B2C" w:rsidRPr="00802B2C">
        <w:rPr>
          <w:rFonts w:eastAsiaTheme="minorEastAsia" w:cstheme="minorHAnsi"/>
        </w:rPr>
        <w:t xml:space="preserve"> </w:t>
      </w:r>
      <w:proofErr w:type="spellStart"/>
      <w:r w:rsidR="00802B2C" w:rsidRPr="00802B2C">
        <w:rPr>
          <w:rFonts w:eastAsiaTheme="minorEastAsia" w:cstheme="minorHAnsi"/>
        </w:rPr>
        <w:t>Yajaw</w:t>
      </w:r>
      <w:proofErr w:type="spellEnd"/>
      <w:r w:rsidR="00802B2C" w:rsidRPr="00802B2C">
        <w:rPr>
          <w:rFonts w:eastAsiaTheme="minorEastAsia" w:cstheme="minorHAnsi"/>
        </w:rPr>
        <w:t xml:space="preserve"> </w:t>
      </w:r>
      <w:proofErr w:type="spellStart"/>
      <w:r w:rsidR="00802B2C" w:rsidRPr="00802B2C">
        <w:rPr>
          <w:rFonts w:eastAsiaTheme="minorEastAsia" w:cstheme="minorHAnsi"/>
        </w:rPr>
        <w:t>konob</w:t>
      </w:r>
      <w:proofErr w:type="spellEnd"/>
      <w:r w:rsidR="00802B2C" w:rsidRPr="00802B2C">
        <w:rPr>
          <w:rFonts w:eastAsiaTheme="minorEastAsia" w:cstheme="minorHAnsi"/>
        </w:rPr>
        <w:t>'</w:t>
      </w:r>
      <w:r w:rsidRPr="00802B2C">
        <w:rPr>
          <w:rFonts w:eastAsiaTheme="minorEastAsia" w:cstheme="minorHAnsi"/>
        </w:rPr>
        <w:t xml:space="preserve"> encourage the Committee on Economic, Social and Cultural Rights to present the following recommendation to</w:t>
      </w:r>
      <w:r w:rsidR="00802B2C" w:rsidRPr="00802B2C">
        <w:rPr>
          <w:rFonts w:eastAsiaTheme="minorEastAsia" w:cstheme="minorHAnsi"/>
        </w:rPr>
        <w:t xml:space="preserve"> Guatemala</w:t>
      </w:r>
      <w:r w:rsidRPr="00802B2C">
        <w:rPr>
          <w:rFonts w:eastAsiaTheme="minorEastAsia" w:cstheme="minorHAnsi"/>
        </w:rPr>
        <w:t>:</w:t>
      </w:r>
    </w:p>
    <w:p w14:paraId="2BF8E196" w14:textId="4923DF3C" w:rsidR="278EA299" w:rsidRPr="00802B2C" w:rsidRDefault="278EA299" w:rsidP="00536B42">
      <w:pPr>
        <w:pStyle w:val="ListParagraph"/>
        <w:numPr>
          <w:ilvl w:val="1"/>
          <w:numId w:val="7"/>
        </w:numPr>
        <w:spacing w:line="240" w:lineRule="auto"/>
        <w:contextualSpacing w:val="0"/>
        <w:jc w:val="both"/>
        <w:rPr>
          <w:rFonts w:cstheme="minorHAnsi"/>
        </w:rPr>
      </w:pPr>
      <w:r w:rsidRPr="00802B2C">
        <w:rPr>
          <w:rFonts w:eastAsiaTheme="minorEastAsia" w:cstheme="minorHAnsi"/>
        </w:rPr>
        <w:t>Ensure that the exit strategy of IDB is in line with international human rights law, and guarantee</w:t>
      </w:r>
      <w:r w:rsidR="00802B2C" w:rsidRPr="00802B2C">
        <w:rPr>
          <w:rFonts w:eastAsiaTheme="minorEastAsia" w:cstheme="minorHAnsi"/>
        </w:rPr>
        <w:t>s</w:t>
      </w:r>
      <w:r w:rsidRPr="00802B2C">
        <w:rPr>
          <w:rFonts w:eastAsiaTheme="minorEastAsia" w:cstheme="minorHAnsi"/>
        </w:rPr>
        <w:t xml:space="preserve"> that local and indigenous communities, including women and girls, express their free, </w:t>
      </w:r>
      <w:proofErr w:type="gramStart"/>
      <w:r w:rsidRPr="00802B2C">
        <w:rPr>
          <w:rFonts w:eastAsiaTheme="minorEastAsia" w:cstheme="minorHAnsi"/>
        </w:rPr>
        <w:t>prior</w:t>
      </w:r>
      <w:proofErr w:type="gramEnd"/>
      <w:r w:rsidRPr="00802B2C">
        <w:rPr>
          <w:rFonts w:eastAsiaTheme="minorEastAsia" w:cstheme="minorHAnsi"/>
        </w:rPr>
        <w:t xml:space="preserve"> and informed consent throughout the operations</w:t>
      </w:r>
      <w:r w:rsidR="00802B2C" w:rsidRPr="00802B2C">
        <w:rPr>
          <w:rFonts w:eastAsiaTheme="minorEastAsia" w:cstheme="minorHAnsi"/>
        </w:rPr>
        <w:t>. In this regard</w:t>
      </w:r>
      <w:r w:rsidRPr="00802B2C">
        <w:rPr>
          <w:rFonts w:eastAsiaTheme="minorEastAsia" w:cstheme="minorHAnsi"/>
        </w:rPr>
        <w:t xml:space="preserve"> guarantee access to information and full and effective participation of all people potentially affected by the business disengagement, including women and girls.</w:t>
      </w:r>
    </w:p>
    <w:p w14:paraId="6F010C3D" w14:textId="320A1DBE" w:rsidR="00802B2C" w:rsidRPr="00536B42" w:rsidRDefault="278EA299" w:rsidP="00536B42">
      <w:pPr>
        <w:pStyle w:val="ListParagraph"/>
        <w:numPr>
          <w:ilvl w:val="1"/>
          <w:numId w:val="7"/>
        </w:numPr>
        <w:spacing w:line="240" w:lineRule="auto"/>
        <w:contextualSpacing w:val="0"/>
        <w:jc w:val="both"/>
        <w:rPr>
          <w:rFonts w:cstheme="minorHAnsi"/>
        </w:rPr>
      </w:pPr>
      <w:r w:rsidRPr="00802B2C">
        <w:rPr>
          <w:rFonts w:eastAsiaTheme="minorEastAsia" w:cstheme="minorHAnsi"/>
        </w:rPr>
        <w:lastRenderedPageBreak/>
        <w:t xml:space="preserve">Ensure that the exit plan includes: 1) recognition and restoration of social and cultural damages caused; 2) respect for the rights of indigenous peoples and recognition and restoration of the damages generated; 3) recognition and restoration of the damages generated by the differentiated impacts on women; and 4) prevention, </w:t>
      </w:r>
      <w:proofErr w:type="gramStart"/>
      <w:r w:rsidRPr="00802B2C">
        <w:rPr>
          <w:rFonts w:eastAsiaTheme="minorEastAsia" w:cstheme="minorHAnsi"/>
        </w:rPr>
        <w:t>mitigation</w:t>
      </w:r>
      <w:proofErr w:type="gramEnd"/>
      <w:r w:rsidRPr="00802B2C">
        <w:rPr>
          <w:rFonts w:eastAsiaTheme="minorEastAsia" w:cstheme="minorHAnsi"/>
        </w:rPr>
        <w:t xml:space="preserve"> and restoration measures from an environmental perspective.</w:t>
      </w:r>
    </w:p>
    <w:p w14:paraId="36593055" w14:textId="7030D2B8" w:rsidR="00536B42" w:rsidRPr="00536B42" w:rsidRDefault="278EA299" w:rsidP="00536B42">
      <w:pPr>
        <w:pStyle w:val="ListParagraph"/>
        <w:numPr>
          <w:ilvl w:val="1"/>
          <w:numId w:val="7"/>
        </w:numPr>
        <w:spacing w:line="240" w:lineRule="auto"/>
        <w:contextualSpacing w:val="0"/>
        <w:jc w:val="both"/>
        <w:rPr>
          <w:rFonts w:cstheme="minorHAnsi"/>
        </w:rPr>
      </w:pPr>
      <w:r w:rsidRPr="00802B2C">
        <w:rPr>
          <w:rFonts w:eastAsiaTheme="minorEastAsia" w:cstheme="minorHAnsi"/>
        </w:rPr>
        <w:t xml:space="preserve">Ensure that perpetrators of human rights violations, </w:t>
      </w:r>
      <w:r w:rsidR="00802B2C" w:rsidRPr="00802B2C">
        <w:rPr>
          <w:rFonts w:eastAsiaTheme="minorEastAsia" w:cstheme="minorHAnsi"/>
        </w:rPr>
        <w:t xml:space="preserve">including against indigenous leaders, as well as </w:t>
      </w:r>
      <w:r w:rsidRPr="00802B2C">
        <w:rPr>
          <w:rFonts w:eastAsiaTheme="minorEastAsia" w:cstheme="minorHAnsi"/>
        </w:rPr>
        <w:t>sex and gender-based violence, violence against women and girls, are held accountable for their actions</w:t>
      </w:r>
      <w:r w:rsidR="00802B2C" w:rsidRPr="00802B2C">
        <w:rPr>
          <w:rFonts w:eastAsiaTheme="minorEastAsia" w:cstheme="minorHAnsi"/>
        </w:rPr>
        <w:t xml:space="preserve">. </w:t>
      </w:r>
      <w:proofErr w:type="gramStart"/>
      <w:r w:rsidR="00802B2C" w:rsidRPr="00802B2C">
        <w:rPr>
          <w:rFonts w:eastAsiaTheme="minorEastAsia" w:cstheme="minorHAnsi"/>
        </w:rPr>
        <w:t>Furthermore</w:t>
      </w:r>
      <w:proofErr w:type="gramEnd"/>
      <w:r w:rsidR="00802B2C" w:rsidRPr="00802B2C">
        <w:rPr>
          <w:rFonts w:eastAsiaTheme="minorEastAsia" w:cstheme="minorHAnsi"/>
        </w:rPr>
        <w:t xml:space="preserve"> to</w:t>
      </w:r>
      <w:r w:rsidRPr="00802B2C">
        <w:rPr>
          <w:rFonts w:eastAsiaTheme="minorEastAsia" w:cstheme="minorHAnsi"/>
        </w:rPr>
        <w:t xml:space="preserve"> ensure access to justice and effective remedies for victims of human rights abuses and violations, including</w:t>
      </w:r>
      <w:r w:rsidR="00802B2C" w:rsidRPr="00802B2C">
        <w:rPr>
          <w:rFonts w:eastAsiaTheme="minorEastAsia" w:cstheme="minorHAnsi"/>
        </w:rPr>
        <w:t xml:space="preserve"> full access to information</w:t>
      </w:r>
      <w:r w:rsidRPr="00802B2C">
        <w:rPr>
          <w:rFonts w:eastAsiaTheme="minorEastAsia" w:cstheme="minorHAnsi"/>
        </w:rPr>
        <w:t xml:space="preserve"> in indigenous languages of the communities affected. </w:t>
      </w:r>
    </w:p>
    <w:p w14:paraId="3B2ED522" w14:textId="4FBFDAE2" w:rsidR="00802B2C" w:rsidRPr="00536B42" w:rsidRDefault="278EA299" w:rsidP="00536B42">
      <w:pPr>
        <w:pStyle w:val="ListParagraph"/>
        <w:numPr>
          <w:ilvl w:val="1"/>
          <w:numId w:val="7"/>
        </w:numPr>
        <w:spacing w:line="240" w:lineRule="auto"/>
        <w:contextualSpacing w:val="0"/>
        <w:jc w:val="both"/>
        <w:rPr>
          <w:rFonts w:cstheme="minorHAnsi"/>
        </w:rPr>
      </w:pPr>
      <w:r w:rsidRPr="00802B2C">
        <w:rPr>
          <w:rFonts w:cstheme="minorHAnsi"/>
        </w:rPr>
        <w:t>Take the decision of the Inter-American Development Bank on the San Mateo and San Andrés hydroelectric water dams into account on a national level to address the countless irregularities and rights violations denounced throughout the country in the context of the implementation of mega-development projects, specifically large dams</w:t>
      </w:r>
      <w:r w:rsidR="00F85540" w:rsidRPr="00802B2C">
        <w:rPr>
          <w:rFonts w:cstheme="minorHAnsi"/>
        </w:rPr>
        <w:t>, incorporating effective learning lessons deriving from these experiences</w:t>
      </w:r>
      <w:r w:rsidR="00E96D91" w:rsidRPr="00802B2C">
        <w:rPr>
          <w:rFonts w:cstheme="minorHAnsi"/>
        </w:rPr>
        <w:t xml:space="preserve">, </w:t>
      </w:r>
      <w:proofErr w:type="gramStart"/>
      <w:r w:rsidR="00E96D91" w:rsidRPr="00802B2C">
        <w:rPr>
          <w:rFonts w:cstheme="minorHAnsi"/>
        </w:rPr>
        <w:t>in order to</w:t>
      </w:r>
      <w:proofErr w:type="gramEnd"/>
      <w:r w:rsidR="00E96D91" w:rsidRPr="00802B2C">
        <w:rPr>
          <w:rFonts w:cstheme="minorHAnsi"/>
        </w:rPr>
        <w:t xml:space="preserve"> limit and mitigate the possible impacts of the energy policy.</w:t>
      </w:r>
    </w:p>
    <w:p w14:paraId="6A6AA1AD" w14:textId="7963DC36" w:rsidR="278EA299" w:rsidRPr="00802B2C" w:rsidRDefault="278EA299" w:rsidP="00536B42">
      <w:pPr>
        <w:pStyle w:val="ListParagraph"/>
        <w:numPr>
          <w:ilvl w:val="0"/>
          <w:numId w:val="7"/>
        </w:numPr>
        <w:spacing w:line="240" w:lineRule="auto"/>
        <w:contextualSpacing w:val="0"/>
        <w:jc w:val="both"/>
        <w:rPr>
          <w:rFonts w:eastAsiaTheme="minorEastAsia" w:cstheme="minorHAnsi"/>
        </w:rPr>
      </w:pPr>
      <w:r w:rsidRPr="00802B2C">
        <w:rPr>
          <w:rFonts w:eastAsiaTheme="minorEastAsia" w:cstheme="minorHAnsi"/>
        </w:rPr>
        <w:t xml:space="preserve">We encourage the </w:t>
      </w:r>
      <w:r w:rsidR="00802B2C" w:rsidRPr="00802B2C">
        <w:rPr>
          <w:rFonts w:eastAsiaTheme="minorEastAsia" w:cstheme="minorHAnsi"/>
        </w:rPr>
        <w:t>C</w:t>
      </w:r>
      <w:r w:rsidRPr="00802B2C">
        <w:rPr>
          <w:rFonts w:eastAsiaTheme="minorEastAsia" w:cstheme="minorHAnsi"/>
        </w:rPr>
        <w:t xml:space="preserve">ommittee to uphold its recommendation to the State party to </w:t>
      </w:r>
      <w:r w:rsidRPr="00802B2C">
        <w:rPr>
          <w:rFonts w:cstheme="minorHAnsi"/>
        </w:rPr>
        <w:t>revise the legislative and institutional provisions relating to projects for the exploitation of natural resources, in consultation with the indigenous peoples, and that it strengthens its capacity to oversee extractive industries and ensure that they do not have a negative impact on the rights of indigenous peoples, their territory and their natural resources.</w:t>
      </w:r>
    </w:p>
    <w:p w14:paraId="070404CC" w14:textId="24B3DB2F" w:rsidR="00802B2C" w:rsidRPr="00536B42" w:rsidRDefault="00802B2C" w:rsidP="00536B42">
      <w:pPr>
        <w:numPr>
          <w:ilvl w:val="0"/>
          <w:numId w:val="7"/>
        </w:numPr>
        <w:spacing w:line="240" w:lineRule="auto"/>
        <w:jc w:val="both"/>
        <w:rPr>
          <w:rFonts w:cstheme="minorHAnsi"/>
        </w:rPr>
      </w:pPr>
      <w:proofErr w:type="spellStart"/>
      <w:r w:rsidRPr="00802B2C">
        <w:rPr>
          <w:rFonts w:cstheme="minorHAnsi"/>
          <w:lang w:val="es-ES"/>
        </w:rPr>
        <w:t>Finally</w:t>
      </w:r>
      <w:proofErr w:type="spellEnd"/>
      <w:r w:rsidRPr="00802B2C">
        <w:rPr>
          <w:rFonts w:cstheme="minorHAnsi"/>
          <w:lang w:val="es-ES"/>
        </w:rPr>
        <w:t>, w</w:t>
      </w:r>
      <w:r w:rsidRPr="00802B2C">
        <w:rPr>
          <w:rFonts w:cstheme="minorHAnsi"/>
        </w:rPr>
        <w:t xml:space="preserve">e would </w:t>
      </w:r>
      <w:proofErr w:type="spellStart"/>
      <w:r w:rsidRPr="00802B2C">
        <w:rPr>
          <w:rFonts w:cstheme="minorHAnsi"/>
          <w:lang w:val="es-ES"/>
        </w:rPr>
        <w:t>also</w:t>
      </w:r>
      <w:proofErr w:type="spellEnd"/>
      <w:r w:rsidRPr="00802B2C">
        <w:rPr>
          <w:rFonts w:cstheme="minorHAnsi"/>
          <w:lang w:val="es-ES"/>
        </w:rPr>
        <w:t xml:space="preserve"> </w:t>
      </w:r>
      <w:proofErr w:type="spellStart"/>
      <w:r w:rsidRPr="00802B2C">
        <w:rPr>
          <w:rFonts w:cstheme="minorHAnsi"/>
          <w:lang w:val="es-ES"/>
        </w:rPr>
        <w:t>like</w:t>
      </w:r>
      <w:proofErr w:type="spellEnd"/>
      <w:r w:rsidRPr="00802B2C">
        <w:rPr>
          <w:rFonts w:cstheme="minorHAnsi"/>
          <w:lang w:val="es-ES"/>
        </w:rPr>
        <w:t xml:space="preserve"> </w:t>
      </w:r>
      <w:proofErr w:type="spellStart"/>
      <w:r w:rsidRPr="00802B2C">
        <w:rPr>
          <w:rFonts w:cstheme="minorHAnsi"/>
          <w:lang w:val="es-ES"/>
        </w:rPr>
        <w:t>to</w:t>
      </w:r>
      <w:proofErr w:type="spellEnd"/>
      <w:r w:rsidRPr="00802B2C">
        <w:rPr>
          <w:rFonts w:cstheme="minorHAnsi"/>
        </w:rPr>
        <w:t xml:space="preserve"> encourage the Committee on Economic, Social and Cultural Rights to systematically consider and review State Parties’ transitions polices, frameworks and projects with a human rights and gender lens to ensure they comply with the human rights standards set forth in the Covenant and further to consider the development of standards with regards to gender just green transition policies that put the wellbeing of people and the planet at the forefront.</w:t>
      </w:r>
    </w:p>
    <w:p w14:paraId="27EDB66A" w14:textId="5DFE6203" w:rsidR="001B2A32" w:rsidRPr="00802B2C" w:rsidRDefault="001B2A32" w:rsidP="00536B42">
      <w:pPr>
        <w:pStyle w:val="ListParagraph"/>
        <w:spacing w:line="240" w:lineRule="auto"/>
        <w:contextualSpacing w:val="0"/>
        <w:jc w:val="both"/>
        <w:rPr>
          <w:rFonts w:eastAsiaTheme="minorEastAsia" w:cstheme="minorHAnsi"/>
        </w:rPr>
      </w:pPr>
    </w:p>
    <w:p w14:paraId="153D10A7" w14:textId="77777777" w:rsidR="00802B2C" w:rsidRPr="00802B2C" w:rsidRDefault="00802B2C" w:rsidP="00536B42">
      <w:pPr>
        <w:spacing w:line="240" w:lineRule="auto"/>
        <w:jc w:val="both"/>
        <w:rPr>
          <w:rFonts w:cstheme="minorHAnsi"/>
        </w:rPr>
      </w:pPr>
      <w:r w:rsidRPr="00802B2C">
        <w:rPr>
          <w:rFonts w:cstheme="minorHAnsi"/>
          <w:b/>
          <w:bCs/>
        </w:rPr>
        <w:t xml:space="preserve">Contacts: </w:t>
      </w:r>
    </w:p>
    <w:p w14:paraId="471B3176" w14:textId="18DF4F9F" w:rsidR="00802B2C" w:rsidRPr="00802B2C" w:rsidRDefault="00802B2C" w:rsidP="00536B42">
      <w:pPr>
        <w:spacing w:line="240" w:lineRule="auto"/>
        <w:jc w:val="both"/>
        <w:rPr>
          <w:rFonts w:cstheme="minorHAnsi"/>
        </w:rPr>
      </w:pPr>
      <w:r w:rsidRPr="00802B2C">
        <w:rPr>
          <w:rFonts w:cstheme="minorHAnsi"/>
          <w:b/>
          <w:bCs/>
        </w:rPr>
        <w:t xml:space="preserve">Juliette Wyss, </w:t>
      </w:r>
      <w:r w:rsidRPr="00802B2C">
        <w:rPr>
          <w:rFonts w:cstheme="minorHAnsi"/>
        </w:rPr>
        <w:t xml:space="preserve">UNOG Focal Point &amp; Climate Change Fellow, Global Initiative for Economic, Social and Cultural Rights, </w:t>
      </w:r>
      <w:hyperlink r:id="rId11" w:history="1">
        <w:r w:rsidRPr="00802B2C">
          <w:rPr>
            <w:rFonts w:cstheme="minorHAnsi"/>
          </w:rPr>
          <w:t>juliette@gi-escr.org</w:t>
        </w:r>
      </w:hyperlink>
    </w:p>
    <w:p w14:paraId="79455853" w14:textId="77777777" w:rsidR="00802B2C" w:rsidRPr="00802B2C" w:rsidRDefault="00802B2C" w:rsidP="00536B42">
      <w:pPr>
        <w:spacing w:line="240" w:lineRule="auto"/>
        <w:jc w:val="both"/>
        <w:rPr>
          <w:rFonts w:cstheme="minorHAnsi"/>
        </w:rPr>
      </w:pPr>
      <w:r w:rsidRPr="00802B2C">
        <w:rPr>
          <w:rFonts w:cstheme="minorHAnsi"/>
          <w:b/>
          <w:bCs/>
        </w:rPr>
        <w:t xml:space="preserve">Liliana Ávila, </w:t>
      </w:r>
      <w:r w:rsidRPr="00802B2C">
        <w:rPr>
          <w:rFonts w:cstheme="minorHAnsi"/>
        </w:rPr>
        <w:t>Area Coordinator, Human Rights and the Environment</w:t>
      </w:r>
      <w:r w:rsidRPr="00802B2C">
        <w:rPr>
          <w:rFonts w:cstheme="minorHAnsi"/>
          <w:b/>
          <w:bCs/>
        </w:rPr>
        <w:t xml:space="preserve">, </w:t>
      </w:r>
      <w:r w:rsidRPr="00802B2C">
        <w:rPr>
          <w:rFonts w:cstheme="minorHAnsi"/>
        </w:rPr>
        <w:t>Interamerican Association for Environmental Defense, lavila@aida-americas.org</w:t>
      </w:r>
    </w:p>
    <w:p w14:paraId="1D6174CA" w14:textId="77777777" w:rsidR="00CE24F9" w:rsidRPr="00802B2C" w:rsidRDefault="00CE24F9" w:rsidP="00536B42">
      <w:pPr>
        <w:pStyle w:val="ListParagraph"/>
        <w:spacing w:line="240" w:lineRule="auto"/>
        <w:contextualSpacing w:val="0"/>
        <w:jc w:val="both"/>
        <w:rPr>
          <w:rFonts w:eastAsiaTheme="minorEastAsia" w:cstheme="minorHAnsi"/>
        </w:rPr>
      </w:pPr>
    </w:p>
    <w:p w14:paraId="58054163" w14:textId="39978695" w:rsidR="278EA299" w:rsidRPr="00802B2C" w:rsidRDefault="278EA299" w:rsidP="00536B42">
      <w:pPr>
        <w:spacing w:line="240" w:lineRule="auto"/>
        <w:jc w:val="both"/>
        <w:rPr>
          <w:rFonts w:eastAsiaTheme="minorEastAsia" w:cstheme="minorHAnsi"/>
        </w:rPr>
      </w:pPr>
    </w:p>
    <w:sectPr w:rsidR="278EA299" w:rsidRPr="00802B2C" w:rsidSect="006A733A">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07C7E" w14:textId="77777777" w:rsidR="00331CCB" w:rsidRDefault="00331CCB">
      <w:pPr>
        <w:spacing w:after="0" w:line="240" w:lineRule="auto"/>
      </w:pPr>
      <w:r>
        <w:separator/>
      </w:r>
    </w:p>
  </w:endnote>
  <w:endnote w:type="continuationSeparator" w:id="0">
    <w:p w14:paraId="740BCE1F" w14:textId="77777777" w:rsidR="00331CCB" w:rsidRDefault="00331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2" w:usb2="00000000" w:usb3="00000000" w:csb0="0000009F" w:csb1="00000000"/>
  </w:font>
  <w:font w:name="Helvetica Neue">
    <w:altName w:val="Arial"/>
    <w:panose1 w:val="02000503000000020004"/>
    <w:charset w:val="00"/>
    <w:family w:val="auto"/>
    <w:pitch w:val="variable"/>
    <w:sig w:usb0="E50002FF" w:usb1="500079DB" w:usb2="0000001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278EA299" w14:paraId="791CF370" w14:textId="77777777" w:rsidTr="278EA299">
      <w:tc>
        <w:tcPr>
          <w:tcW w:w="3120" w:type="dxa"/>
        </w:tcPr>
        <w:p w14:paraId="7035ADFE" w14:textId="34C96B7C" w:rsidR="278EA299" w:rsidRDefault="278EA299" w:rsidP="278EA299">
          <w:pPr>
            <w:pStyle w:val="Header"/>
            <w:ind w:left="-115"/>
          </w:pPr>
        </w:p>
      </w:tc>
      <w:tc>
        <w:tcPr>
          <w:tcW w:w="3120" w:type="dxa"/>
        </w:tcPr>
        <w:p w14:paraId="5A642615" w14:textId="7C18EE85" w:rsidR="278EA299" w:rsidRDefault="278EA299" w:rsidP="278EA299">
          <w:pPr>
            <w:pStyle w:val="Header"/>
            <w:jc w:val="center"/>
          </w:pPr>
        </w:p>
      </w:tc>
      <w:tc>
        <w:tcPr>
          <w:tcW w:w="3120" w:type="dxa"/>
        </w:tcPr>
        <w:p w14:paraId="5132E222" w14:textId="7F9E9FA3" w:rsidR="278EA299" w:rsidRDefault="278EA299" w:rsidP="278EA299">
          <w:pPr>
            <w:pStyle w:val="Header"/>
            <w:ind w:right="-115"/>
            <w:jc w:val="right"/>
          </w:pPr>
        </w:p>
      </w:tc>
    </w:tr>
  </w:tbl>
  <w:p w14:paraId="0341457D" w14:textId="793AA271" w:rsidR="278EA299" w:rsidRDefault="278EA299" w:rsidP="278EA2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A91AD" w14:textId="77777777" w:rsidR="00331CCB" w:rsidRDefault="00331CCB">
      <w:pPr>
        <w:spacing w:after="0" w:line="240" w:lineRule="auto"/>
      </w:pPr>
      <w:r>
        <w:separator/>
      </w:r>
    </w:p>
  </w:footnote>
  <w:footnote w:type="continuationSeparator" w:id="0">
    <w:p w14:paraId="3ACF50C7" w14:textId="77777777" w:rsidR="00331CCB" w:rsidRDefault="00331CCB">
      <w:pPr>
        <w:spacing w:after="0" w:line="240" w:lineRule="auto"/>
      </w:pPr>
      <w:r>
        <w:continuationSeparator/>
      </w:r>
    </w:p>
  </w:footnote>
  <w:footnote w:id="1">
    <w:p w14:paraId="22C3D4AE" w14:textId="27442CF6"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w:t>
      </w:r>
      <w:r w:rsidR="00AB4BF1" w:rsidRPr="00536B42">
        <w:rPr>
          <w:rFonts w:cstheme="minorHAnsi"/>
          <w:sz w:val="18"/>
          <w:szCs w:val="18"/>
        </w:rPr>
        <w:t xml:space="preserve">AIDA, Guatemalan Indigenous Communities </w:t>
      </w:r>
      <w:r w:rsidR="00287290" w:rsidRPr="00536B42">
        <w:rPr>
          <w:rFonts w:cstheme="minorHAnsi"/>
          <w:sz w:val="18"/>
          <w:szCs w:val="18"/>
        </w:rPr>
        <w:t>File</w:t>
      </w:r>
      <w:r w:rsidR="00AB4BF1" w:rsidRPr="00536B42">
        <w:rPr>
          <w:rFonts w:cstheme="minorHAnsi"/>
          <w:sz w:val="18"/>
          <w:szCs w:val="18"/>
        </w:rPr>
        <w:t xml:space="preserve"> Complaint for Dams Damages </w:t>
      </w:r>
      <w:r w:rsidR="00AD5E3A" w:rsidRPr="00536B42">
        <w:rPr>
          <w:rFonts w:cstheme="minorHAnsi"/>
          <w:sz w:val="18"/>
          <w:szCs w:val="18"/>
        </w:rPr>
        <w:t>(6 August 2018), last accessed 12 August 2022, https://aida-americas.org/en/press/guatemalan-indigenous-communities-file-complaint-for-dams-damages</w:t>
      </w:r>
    </w:p>
  </w:footnote>
  <w:footnote w:id="2">
    <w:p w14:paraId="02FB7A48" w14:textId="58FAE9E7" w:rsidR="00032571" w:rsidRPr="00536B42" w:rsidRDefault="00032571">
      <w:pPr>
        <w:pStyle w:val="FootnoteText"/>
        <w:rPr>
          <w:sz w:val="18"/>
          <w:szCs w:val="18"/>
        </w:rPr>
      </w:pPr>
      <w:r w:rsidRPr="00536B42">
        <w:rPr>
          <w:rStyle w:val="FootnoteReference"/>
          <w:sz w:val="18"/>
          <w:szCs w:val="18"/>
        </w:rPr>
        <w:footnoteRef/>
      </w:r>
      <w:r w:rsidRPr="00536B42">
        <w:rPr>
          <w:sz w:val="18"/>
          <w:szCs w:val="18"/>
        </w:rPr>
        <w:t xml:space="preserve"> Plataforma </w:t>
      </w:r>
      <w:proofErr w:type="spellStart"/>
      <w:r w:rsidRPr="00536B42">
        <w:rPr>
          <w:sz w:val="18"/>
          <w:szCs w:val="18"/>
        </w:rPr>
        <w:t>Internacional</w:t>
      </w:r>
      <w:proofErr w:type="spellEnd"/>
      <w:r w:rsidRPr="00536B42">
        <w:rPr>
          <w:sz w:val="18"/>
          <w:szCs w:val="18"/>
        </w:rPr>
        <w:t xml:space="preserve"> contra la </w:t>
      </w:r>
      <w:proofErr w:type="spellStart"/>
      <w:r w:rsidRPr="00536B42">
        <w:rPr>
          <w:sz w:val="18"/>
          <w:szCs w:val="18"/>
        </w:rPr>
        <w:t>Impunidad</w:t>
      </w:r>
      <w:proofErr w:type="spellEnd"/>
      <w:r w:rsidRPr="00536B42">
        <w:rPr>
          <w:sz w:val="18"/>
          <w:szCs w:val="18"/>
        </w:rPr>
        <w:t xml:space="preserve">, Jotay: Acting Together Program, Bank Information Center, </w:t>
      </w:r>
      <w:proofErr w:type="gramStart"/>
      <w:r w:rsidRPr="00536B42">
        <w:rPr>
          <w:sz w:val="18"/>
          <w:szCs w:val="18"/>
        </w:rPr>
        <w:t>Who</w:t>
      </w:r>
      <w:proofErr w:type="gramEnd"/>
      <w:r w:rsidRPr="00536B42">
        <w:rPr>
          <w:sz w:val="18"/>
          <w:szCs w:val="18"/>
        </w:rPr>
        <w:t xml:space="preserve"> pays the cost of Development? (January 2021) last accessed 22 Augu</w:t>
      </w:r>
      <w:r w:rsidR="0064780F" w:rsidRPr="00536B42">
        <w:rPr>
          <w:sz w:val="18"/>
          <w:szCs w:val="18"/>
        </w:rPr>
        <w:t>s</w:t>
      </w:r>
      <w:r w:rsidRPr="00536B42">
        <w:rPr>
          <w:sz w:val="18"/>
          <w:szCs w:val="18"/>
        </w:rPr>
        <w:t>t 2022</w:t>
      </w:r>
      <w:r w:rsidR="0018392F" w:rsidRPr="00536B42">
        <w:rPr>
          <w:sz w:val="18"/>
          <w:szCs w:val="18"/>
        </w:rPr>
        <w:t>,</w:t>
      </w:r>
      <w:r w:rsidRPr="00536B42">
        <w:rPr>
          <w:sz w:val="18"/>
          <w:szCs w:val="18"/>
        </w:rPr>
        <w:t xml:space="preserve"> https://issuu.com/piregional/docs/eng-quienes_pagan_los_costos_del_desarrollo_1_</w:t>
      </w:r>
    </w:p>
  </w:footnote>
  <w:footnote w:id="3">
    <w:p w14:paraId="5C4ADD69" w14:textId="07DD5AA8" w:rsidR="278EA299" w:rsidRPr="00536B42" w:rsidRDefault="278EA299" w:rsidP="009D21F1">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w:t>
      </w:r>
      <w:r w:rsidR="005E578B" w:rsidRPr="00536B42">
        <w:rPr>
          <w:rFonts w:cstheme="minorHAnsi"/>
          <w:sz w:val="18"/>
          <w:szCs w:val="18"/>
        </w:rPr>
        <w:t xml:space="preserve">AIDA, </w:t>
      </w:r>
      <w:proofErr w:type="gramStart"/>
      <w:r w:rsidR="00536B42">
        <w:rPr>
          <w:rFonts w:cstheme="minorHAnsi"/>
          <w:i/>
          <w:iCs/>
          <w:sz w:val="18"/>
          <w:szCs w:val="18"/>
        </w:rPr>
        <w:t>supra 1</w:t>
      </w:r>
      <w:proofErr w:type="gramEnd"/>
      <w:r w:rsidR="005E578B" w:rsidRPr="00536B42">
        <w:rPr>
          <w:rFonts w:cstheme="minorHAnsi"/>
          <w:sz w:val="18"/>
          <w:szCs w:val="18"/>
        </w:rPr>
        <w:t xml:space="preserve">, </w:t>
      </w:r>
      <w:r w:rsidRPr="00536B42">
        <w:rPr>
          <w:rFonts w:cstheme="minorHAnsi"/>
          <w:sz w:val="18"/>
          <w:szCs w:val="18"/>
        </w:rPr>
        <w:t>also</w:t>
      </w:r>
      <w:r w:rsidR="00997457" w:rsidRPr="00536B42">
        <w:rPr>
          <w:rFonts w:cstheme="minorHAnsi"/>
          <w:sz w:val="18"/>
          <w:szCs w:val="18"/>
        </w:rPr>
        <w:t xml:space="preserve"> Inter-American Development Bank Independent Consultation and Investigation Mechanism, </w:t>
      </w:r>
      <w:r w:rsidR="009D21F1" w:rsidRPr="00536B42">
        <w:rPr>
          <w:rFonts w:cstheme="minorHAnsi"/>
          <w:sz w:val="18"/>
          <w:szCs w:val="18"/>
        </w:rPr>
        <w:t xml:space="preserve">Compliance Review Report </w:t>
      </w:r>
      <w:proofErr w:type="spellStart"/>
      <w:r w:rsidR="009D21F1" w:rsidRPr="00536B42">
        <w:rPr>
          <w:rFonts w:cstheme="minorHAnsi"/>
          <w:sz w:val="18"/>
          <w:szCs w:val="18"/>
        </w:rPr>
        <w:t>Generadora</w:t>
      </w:r>
      <w:proofErr w:type="spellEnd"/>
      <w:r w:rsidR="009D21F1" w:rsidRPr="00536B42">
        <w:rPr>
          <w:rFonts w:cstheme="minorHAnsi"/>
          <w:sz w:val="18"/>
          <w:szCs w:val="18"/>
        </w:rPr>
        <w:t xml:space="preserve"> San Mateo S.A. and </w:t>
      </w:r>
      <w:proofErr w:type="spellStart"/>
      <w:r w:rsidR="009D21F1" w:rsidRPr="00536B42">
        <w:rPr>
          <w:rFonts w:cstheme="minorHAnsi"/>
          <w:sz w:val="18"/>
          <w:szCs w:val="18"/>
        </w:rPr>
        <w:t>Generadora</w:t>
      </w:r>
      <w:proofErr w:type="spellEnd"/>
      <w:r w:rsidR="009D21F1" w:rsidRPr="00536B42">
        <w:rPr>
          <w:rFonts w:cstheme="minorHAnsi"/>
          <w:sz w:val="18"/>
          <w:szCs w:val="18"/>
        </w:rPr>
        <w:t xml:space="preserve"> San Andrés S.A. Projects (GU3794A-01 and GU3798A-01) </w:t>
      </w:r>
      <w:r w:rsidR="00994E8D" w:rsidRPr="00536B42">
        <w:rPr>
          <w:rFonts w:cstheme="minorHAnsi"/>
          <w:sz w:val="18"/>
          <w:szCs w:val="18"/>
        </w:rPr>
        <w:t xml:space="preserve">(2021), MICI-CII-GU-2018-0136, </w:t>
      </w:r>
      <w:r w:rsidRPr="00536B42">
        <w:rPr>
          <w:rFonts w:cstheme="minorHAnsi"/>
          <w:sz w:val="18"/>
          <w:szCs w:val="18"/>
        </w:rPr>
        <w:t>p. 3</w:t>
      </w:r>
    </w:p>
  </w:footnote>
  <w:footnote w:id="4">
    <w:p w14:paraId="0CE92B12" w14:textId="22EC6095"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w:t>
      </w:r>
      <w:r w:rsidRPr="00536B42">
        <w:rPr>
          <w:rFonts w:eastAsia="Garamond" w:cstheme="minorHAnsi"/>
          <w:sz w:val="18"/>
          <w:szCs w:val="18"/>
        </w:rPr>
        <w:t>UNDRIP</w:t>
      </w:r>
      <w:r w:rsidR="00D04543" w:rsidRPr="00536B42">
        <w:rPr>
          <w:rFonts w:eastAsia="Garamond" w:cstheme="minorHAnsi"/>
          <w:sz w:val="18"/>
          <w:szCs w:val="18"/>
        </w:rPr>
        <w:t xml:space="preserve"> (2007), A/RES/61/295</w:t>
      </w:r>
      <w:r w:rsidR="00C1790E" w:rsidRPr="00536B42">
        <w:rPr>
          <w:rFonts w:eastAsia="Garamond" w:cstheme="minorHAnsi"/>
          <w:sz w:val="18"/>
          <w:szCs w:val="18"/>
        </w:rPr>
        <w:t>,</w:t>
      </w:r>
      <w:r w:rsidRPr="00536B42">
        <w:rPr>
          <w:rFonts w:eastAsia="Garamond" w:cstheme="minorHAnsi"/>
          <w:sz w:val="18"/>
          <w:szCs w:val="18"/>
        </w:rPr>
        <w:t xml:space="preserve"> </w:t>
      </w:r>
      <w:r w:rsidR="00287290" w:rsidRPr="00536B42">
        <w:rPr>
          <w:rFonts w:eastAsia="Garamond" w:cstheme="minorHAnsi"/>
          <w:sz w:val="18"/>
          <w:szCs w:val="18"/>
        </w:rPr>
        <w:t>a</w:t>
      </w:r>
      <w:r w:rsidRPr="00536B42">
        <w:rPr>
          <w:rFonts w:eastAsia="Garamond" w:cstheme="minorHAnsi"/>
          <w:sz w:val="18"/>
          <w:szCs w:val="18"/>
        </w:rPr>
        <w:t xml:space="preserve">rts. 19, 28. </w:t>
      </w:r>
      <w:r w:rsidRPr="00536B42">
        <w:rPr>
          <w:rFonts w:cstheme="minorHAnsi"/>
          <w:sz w:val="18"/>
          <w:szCs w:val="18"/>
        </w:rPr>
        <w:t>ILO Convention No. 169</w:t>
      </w:r>
      <w:r w:rsidR="00E974DD" w:rsidRPr="00536B42">
        <w:rPr>
          <w:rFonts w:cstheme="minorHAnsi"/>
          <w:sz w:val="18"/>
          <w:szCs w:val="18"/>
        </w:rPr>
        <w:t xml:space="preserve"> (1989), C169, </w:t>
      </w:r>
      <w:r w:rsidRPr="00536B42">
        <w:rPr>
          <w:rFonts w:cstheme="minorHAnsi"/>
          <w:sz w:val="18"/>
          <w:szCs w:val="18"/>
        </w:rPr>
        <w:t xml:space="preserve">art. 6 (a). See also CESCR General Comment 21: Right of everyone to take part in cultural life (art. 15, para. </w:t>
      </w:r>
      <w:proofErr w:type="gramStart"/>
      <w:r w:rsidRPr="00536B42">
        <w:rPr>
          <w:rFonts w:cstheme="minorHAnsi"/>
          <w:sz w:val="18"/>
          <w:szCs w:val="18"/>
        </w:rPr>
        <w:t>1(a),</w:t>
      </w:r>
      <w:proofErr w:type="gramEnd"/>
      <w:r w:rsidRPr="00536B42">
        <w:rPr>
          <w:rFonts w:cstheme="minorHAnsi"/>
          <w:sz w:val="18"/>
          <w:szCs w:val="18"/>
        </w:rPr>
        <w:t xml:space="preserve"> of the International Covenant on Economic, Social and Cultural Rights) (2009), E/C.12/GC/21, para 37</w:t>
      </w:r>
      <w:r w:rsidR="0018392F" w:rsidRPr="00536B42">
        <w:rPr>
          <w:rFonts w:cstheme="minorHAnsi"/>
          <w:sz w:val="18"/>
          <w:szCs w:val="18"/>
        </w:rPr>
        <w:t>; 1992 Convention on Biological Diversity</w:t>
      </w:r>
    </w:p>
  </w:footnote>
  <w:footnote w:id="5">
    <w:p w14:paraId="0D1932AC" w14:textId="2E82476A" w:rsidR="00B23290" w:rsidRPr="00536B42" w:rsidRDefault="00B23290">
      <w:pPr>
        <w:pStyle w:val="FootnoteText"/>
        <w:rPr>
          <w:color w:val="ED7D31" w:themeColor="accent2"/>
          <w:sz w:val="18"/>
          <w:szCs w:val="18"/>
        </w:rPr>
      </w:pPr>
      <w:r w:rsidRPr="00536B42">
        <w:rPr>
          <w:rStyle w:val="FootnoteReference"/>
          <w:sz w:val="18"/>
          <w:szCs w:val="18"/>
        </w:rPr>
        <w:footnoteRef/>
      </w:r>
      <w:r w:rsidRPr="00536B42">
        <w:rPr>
          <w:sz w:val="18"/>
          <w:szCs w:val="18"/>
        </w:rPr>
        <w:t xml:space="preserve"> F</w:t>
      </w:r>
      <w:r w:rsidR="0064780F" w:rsidRPr="00536B42">
        <w:rPr>
          <w:sz w:val="18"/>
          <w:szCs w:val="18"/>
        </w:rPr>
        <w:t>rontline Defenders</w:t>
      </w:r>
      <w:r w:rsidRPr="00536B42">
        <w:rPr>
          <w:sz w:val="18"/>
          <w:szCs w:val="18"/>
        </w:rPr>
        <w:t xml:space="preserve">, Peaceful Resistance of the Microregion of Ixquisis members attacked, kidnapped and torture, (15 </w:t>
      </w:r>
      <w:proofErr w:type="gramStart"/>
      <w:r w:rsidRPr="00536B42">
        <w:rPr>
          <w:sz w:val="18"/>
          <w:szCs w:val="18"/>
        </w:rPr>
        <w:t>march</w:t>
      </w:r>
      <w:proofErr w:type="gramEnd"/>
      <w:r w:rsidRPr="00536B42">
        <w:rPr>
          <w:sz w:val="18"/>
          <w:szCs w:val="18"/>
        </w:rPr>
        <w:t xml:space="preserve"> 2019), last accessed 22 August 2022, https://www.frontlinedefenders.org/en/statement-report/peaceful-resistance-microregion-ixquisis-members-attacked-kidnapped-and-tortured</w:t>
      </w:r>
    </w:p>
  </w:footnote>
  <w:footnote w:id="6">
    <w:p w14:paraId="65065955" w14:textId="07B6585B" w:rsidR="278EA299" w:rsidRPr="00536B42" w:rsidRDefault="278EA299" w:rsidP="278EA299">
      <w:pPr>
        <w:pStyle w:val="FootnoteText"/>
        <w:rPr>
          <w:rFonts w:cstheme="minorHAnsi"/>
          <w:i/>
          <w:iCs/>
          <w:sz w:val="18"/>
          <w:szCs w:val="18"/>
        </w:rPr>
      </w:pPr>
      <w:r w:rsidRPr="00536B42">
        <w:rPr>
          <w:rStyle w:val="FootnoteReference"/>
          <w:rFonts w:cstheme="minorHAnsi"/>
          <w:sz w:val="18"/>
          <w:szCs w:val="18"/>
        </w:rPr>
        <w:footnoteRef/>
      </w:r>
      <w:r w:rsidRPr="00536B42">
        <w:rPr>
          <w:rFonts w:cstheme="minorHAnsi"/>
          <w:sz w:val="18"/>
          <w:szCs w:val="18"/>
        </w:rPr>
        <w:t xml:space="preserve"> </w:t>
      </w:r>
      <w:r w:rsidR="00287290" w:rsidRPr="00536B42">
        <w:rPr>
          <w:rFonts w:cstheme="minorHAnsi"/>
          <w:sz w:val="18"/>
          <w:szCs w:val="18"/>
        </w:rPr>
        <w:t xml:space="preserve">AIDA, </w:t>
      </w:r>
      <w:proofErr w:type="gramStart"/>
      <w:r w:rsidR="00536B42">
        <w:rPr>
          <w:rFonts w:cstheme="minorHAnsi"/>
          <w:i/>
          <w:iCs/>
          <w:sz w:val="18"/>
          <w:szCs w:val="18"/>
        </w:rPr>
        <w:t>supra 1</w:t>
      </w:r>
      <w:proofErr w:type="gramEnd"/>
    </w:p>
  </w:footnote>
  <w:footnote w:id="7">
    <w:p w14:paraId="7ECE9CB5" w14:textId="602D4753" w:rsidR="00B23290" w:rsidRPr="00536B42" w:rsidRDefault="00B23290">
      <w:pPr>
        <w:pStyle w:val="FootnoteText"/>
        <w:rPr>
          <w:color w:val="ED7D31" w:themeColor="accent2"/>
          <w:sz w:val="18"/>
          <w:szCs w:val="18"/>
        </w:rPr>
      </w:pPr>
      <w:r w:rsidRPr="00536B42">
        <w:rPr>
          <w:rStyle w:val="FootnoteReference"/>
          <w:sz w:val="18"/>
          <w:szCs w:val="18"/>
        </w:rPr>
        <w:footnoteRef/>
      </w:r>
      <w:r w:rsidRPr="00536B42">
        <w:rPr>
          <w:sz w:val="18"/>
          <w:szCs w:val="18"/>
        </w:rPr>
        <w:t xml:space="preserve"> Plataforma </w:t>
      </w:r>
      <w:proofErr w:type="spellStart"/>
      <w:r w:rsidRPr="00536B42">
        <w:rPr>
          <w:sz w:val="18"/>
          <w:szCs w:val="18"/>
        </w:rPr>
        <w:t>Internacional</w:t>
      </w:r>
      <w:proofErr w:type="spellEnd"/>
      <w:r w:rsidRPr="00536B42">
        <w:rPr>
          <w:sz w:val="18"/>
          <w:szCs w:val="18"/>
        </w:rPr>
        <w:t xml:space="preserve"> contra la </w:t>
      </w:r>
      <w:proofErr w:type="spellStart"/>
      <w:r w:rsidRPr="00536B42">
        <w:rPr>
          <w:sz w:val="18"/>
          <w:szCs w:val="18"/>
        </w:rPr>
        <w:t>Impunidad</w:t>
      </w:r>
      <w:proofErr w:type="spellEnd"/>
      <w:r w:rsidRPr="00536B42">
        <w:rPr>
          <w:sz w:val="18"/>
          <w:szCs w:val="18"/>
        </w:rPr>
        <w:t>,</w:t>
      </w:r>
      <w:r w:rsidR="000747D6" w:rsidRPr="00536B42">
        <w:rPr>
          <w:sz w:val="18"/>
          <w:szCs w:val="18"/>
        </w:rPr>
        <w:t xml:space="preserve"> Jotay: Acting Together Program, Bank Information Center, </w:t>
      </w:r>
      <w:proofErr w:type="gramStart"/>
      <w:r w:rsidRPr="00536B42">
        <w:rPr>
          <w:sz w:val="18"/>
          <w:szCs w:val="18"/>
        </w:rPr>
        <w:t>Who</w:t>
      </w:r>
      <w:proofErr w:type="gramEnd"/>
      <w:r w:rsidRPr="00536B42">
        <w:rPr>
          <w:sz w:val="18"/>
          <w:szCs w:val="18"/>
        </w:rPr>
        <w:t xml:space="preserve"> pays the cost of Development? (January 2021)</w:t>
      </w:r>
      <w:r w:rsidR="000747D6" w:rsidRPr="00536B42">
        <w:rPr>
          <w:sz w:val="18"/>
          <w:szCs w:val="18"/>
        </w:rPr>
        <w:t xml:space="preserve"> last accessed 22 Augu</w:t>
      </w:r>
      <w:r w:rsidR="0064780F" w:rsidRPr="00536B42">
        <w:rPr>
          <w:sz w:val="18"/>
          <w:szCs w:val="18"/>
        </w:rPr>
        <w:t>s</w:t>
      </w:r>
      <w:r w:rsidR="000747D6" w:rsidRPr="00536B42">
        <w:rPr>
          <w:sz w:val="18"/>
          <w:szCs w:val="18"/>
        </w:rPr>
        <w:t>t 2022 https://issuu.com/piregional/docs/eng-quienes_pagan_los_costos_del_desarrollo_1_</w:t>
      </w:r>
    </w:p>
  </w:footnote>
  <w:footnote w:id="8">
    <w:p w14:paraId="0FDE6946" w14:textId="5CA8EBCD" w:rsidR="278EA299" w:rsidRPr="00536B42" w:rsidRDefault="278EA299" w:rsidP="278EA299">
      <w:pPr>
        <w:pStyle w:val="FootnoteText"/>
        <w:rPr>
          <w:rFonts w:cstheme="minorHAnsi"/>
          <w:i/>
          <w:iCs/>
          <w:sz w:val="18"/>
          <w:szCs w:val="18"/>
        </w:rPr>
      </w:pPr>
      <w:r w:rsidRPr="00536B42">
        <w:rPr>
          <w:rStyle w:val="FootnoteReference"/>
          <w:rFonts w:cstheme="minorHAnsi"/>
          <w:sz w:val="18"/>
          <w:szCs w:val="18"/>
        </w:rPr>
        <w:footnoteRef/>
      </w:r>
      <w:r w:rsidRPr="00536B42">
        <w:rPr>
          <w:rFonts w:cstheme="minorHAnsi"/>
          <w:sz w:val="18"/>
          <w:szCs w:val="18"/>
        </w:rPr>
        <w:t xml:space="preserve"> </w:t>
      </w:r>
      <w:r w:rsidR="00287290" w:rsidRPr="00536B42">
        <w:rPr>
          <w:rFonts w:cstheme="minorHAnsi"/>
          <w:sz w:val="18"/>
          <w:szCs w:val="18"/>
        </w:rPr>
        <w:t xml:space="preserve">AIDA, </w:t>
      </w:r>
      <w:proofErr w:type="gramStart"/>
      <w:r w:rsidR="00536B42">
        <w:rPr>
          <w:rFonts w:cstheme="minorHAnsi"/>
          <w:i/>
          <w:iCs/>
          <w:sz w:val="18"/>
          <w:szCs w:val="18"/>
        </w:rPr>
        <w:t>supra 1</w:t>
      </w:r>
      <w:proofErr w:type="gramEnd"/>
    </w:p>
  </w:footnote>
  <w:footnote w:id="9">
    <w:p w14:paraId="0CA96ABD" w14:textId="441624F3" w:rsidR="00DD1E12" w:rsidRPr="00536B42" w:rsidRDefault="00DD1E12">
      <w:pPr>
        <w:pStyle w:val="FootnoteText"/>
        <w:rPr>
          <w:sz w:val="18"/>
          <w:szCs w:val="18"/>
        </w:rPr>
      </w:pPr>
      <w:r w:rsidRPr="00536B42">
        <w:rPr>
          <w:rStyle w:val="FootnoteReference"/>
          <w:sz w:val="18"/>
          <w:szCs w:val="18"/>
        </w:rPr>
        <w:footnoteRef/>
      </w:r>
      <w:r w:rsidRPr="00536B42">
        <w:rPr>
          <w:sz w:val="18"/>
          <w:szCs w:val="18"/>
        </w:rPr>
        <w:t xml:space="preserve"> </w:t>
      </w:r>
      <w:r w:rsidRPr="00536B42">
        <w:rPr>
          <w:rFonts w:ascii="Calibri" w:hAnsi="Calibri" w:cs="Calibri"/>
          <w:sz w:val="18"/>
          <w:szCs w:val="18"/>
          <w:lang w:val="es-ES"/>
        </w:rPr>
        <w:t xml:space="preserve">Art. 11 </w:t>
      </w:r>
      <w:proofErr w:type="spellStart"/>
      <w:r w:rsidRPr="00536B42">
        <w:rPr>
          <w:rFonts w:ascii="Calibri" w:hAnsi="Calibri" w:cs="Calibri"/>
          <w:sz w:val="18"/>
          <w:szCs w:val="18"/>
          <w:lang w:val="es-ES"/>
        </w:rPr>
        <w:t>of</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the</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Additional</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Protocol</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to</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the</w:t>
      </w:r>
      <w:proofErr w:type="spellEnd"/>
      <w:r w:rsidRPr="00536B42">
        <w:rPr>
          <w:rFonts w:ascii="Calibri" w:hAnsi="Calibri" w:cs="Calibri"/>
          <w:sz w:val="18"/>
          <w:szCs w:val="18"/>
          <w:lang w:val="es-ES"/>
        </w:rPr>
        <w:t xml:space="preserve"> American </w:t>
      </w:r>
      <w:proofErr w:type="spellStart"/>
      <w:r w:rsidRPr="00536B42">
        <w:rPr>
          <w:rFonts w:ascii="Calibri" w:hAnsi="Calibri" w:cs="Calibri"/>
          <w:sz w:val="18"/>
          <w:szCs w:val="18"/>
          <w:lang w:val="es-ES"/>
        </w:rPr>
        <w:t>Convention</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on</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Economic</w:t>
      </w:r>
      <w:proofErr w:type="spellEnd"/>
      <w:r w:rsidRPr="00536B42">
        <w:rPr>
          <w:rFonts w:ascii="Calibri" w:hAnsi="Calibri" w:cs="Calibri"/>
          <w:sz w:val="18"/>
          <w:szCs w:val="18"/>
          <w:lang w:val="es-ES"/>
        </w:rPr>
        <w:t xml:space="preserve">, Social and Cultural </w:t>
      </w:r>
      <w:proofErr w:type="spellStart"/>
      <w:r w:rsidRPr="00536B42">
        <w:rPr>
          <w:rFonts w:ascii="Calibri" w:hAnsi="Calibri" w:cs="Calibri"/>
          <w:sz w:val="18"/>
          <w:szCs w:val="18"/>
          <w:lang w:val="es-ES"/>
        </w:rPr>
        <w:t>Rights</w:t>
      </w:r>
      <w:proofErr w:type="spellEnd"/>
      <w:r w:rsidRPr="00536B42">
        <w:rPr>
          <w:rFonts w:ascii="Calibri" w:hAnsi="Calibri" w:cs="Calibri"/>
          <w:sz w:val="18"/>
          <w:szCs w:val="18"/>
          <w:lang w:val="es-ES"/>
        </w:rPr>
        <w:t xml:space="preserve"> (Protocolo </w:t>
      </w:r>
      <w:proofErr w:type="spellStart"/>
      <w:r w:rsidRPr="00536B42">
        <w:rPr>
          <w:rFonts w:ascii="Calibri" w:hAnsi="Calibri" w:cs="Calibri"/>
          <w:sz w:val="18"/>
          <w:szCs w:val="18"/>
          <w:lang w:val="es-ES"/>
        </w:rPr>
        <w:t>of</w:t>
      </w:r>
      <w:proofErr w:type="spellEnd"/>
      <w:r w:rsidRPr="00536B42">
        <w:rPr>
          <w:rFonts w:ascii="Calibri" w:hAnsi="Calibri" w:cs="Calibri"/>
          <w:sz w:val="18"/>
          <w:szCs w:val="18"/>
          <w:lang w:val="es-ES"/>
        </w:rPr>
        <w:t xml:space="preserve"> San Salvador), and </w:t>
      </w:r>
      <w:proofErr w:type="spellStart"/>
      <w:r w:rsidRPr="00536B42">
        <w:rPr>
          <w:rFonts w:ascii="Calibri" w:hAnsi="Calibri" w:cs="Calibri"/>
          <w:sz w:val="18"/>
          <w:szCs w:val="18"/>
          <w:lang w:val="es-ES"/>
        </w:rPr>
        <w:t>most</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recently</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recognized</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both</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by</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the</w:t>
      </w:r>
      <w:proofErr w:type="spellEnd"/>
      <w:r w:rsidRPr="00536B42">
        <w:rPr>
          <w:rFonts w:ascii="Calibri" w:hAnsi="Calibri" w:cs="Calibri"/>
          <w:sz w:val="18"/>
          <w:szCs w:val="18"/>
          <w:lang w:val="es-ES"/>
        </w:rPr>
        <w:t xml:space="preserve"> Human </w:t>
      </w:r>
      <w:proofErr w:type="spellStart"/>
      <w:r w:rsidRPr="00536B42">
        <w:rPr>
          <w:rFonts w:ascii="Calibri" w:hAnsi="Calibri" w:cs="Calibri"/>
          <w:sz w:val="18"/>
          <w:szCs w:val="18"/>
          <w:lang w:val="es-ES"/>
        </w:rPr>
        <w:t>Rights</w:t>
      </w:r>
      <w:proofErr w:type="spellEnd"/>
      <w:r w:rsidRPr="00536B42">
        <w:rPr>
          <w:rFonts w:ascii="Calibri" w:hAnsi="Calibri" w:cs="Calibri"/>
          <w:sz w:val="18"/>
          <w:szCs w:val="18"/>
          <w:lang w:val="es-ES"/>
        </w:rPr>
        <w:t xml:space="preserve"> Council (A/HRC/RES/48/13) and </w:t>
      </w:r>
      <w:proofErr w:type="spellStart"/>
      <w:r w:rsidRPr="00536B42">
        <w:rPr>
          <w:rFonts w:ascii="Calibri" w:hAnsi="Calibri" w:cs="Calibri"/>
          <w:sz w:val="18"/>
          <w:szCs w:val="18"/>
          <w:lang w:val="es-ES"/>
        </w:rPr>
        <w:t>by</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the</w:t>
      </w:r>
      <w:proofErr w:type="spellEnd"/>
      <w:r w:rsidRPr="00536B42">
        <w:rPr>
          <w:rFonts w:ascii="Calibri" w:hAnsi="Calibri" w:cs="Calibri"/>
          <w:sz w:val="18"/>
          <w:szCs w:val="18"/>
          <w:lang w:val="es-ES"/>
        </w:rPr>
        <w:t xml:space="preserve"> General </w:t>
      </w:r>
      <w:proofErr w:type="spellStart"/>
      <w:r w:rsidRPr="00536B42">
        <w:rPr>
          <w:rFonts w:ascii="Calibri" w:hAnsi="Calibri" w:cs="Calibri"/>
          <w:sz w:val="18"/>
          <w:szCs w:val="18"/>
          <w:lang w:val="es-ES"/>
        </w:rPr>
        <w:t>Assembly</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both</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from</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the</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United</w:t>
      </w:r>
      <w:proofErr w:type="spellEnd"/>
      <w:r w:rsidRPr="00536B42">
        <w:rPr>
          <w:rFonts w:ascii="Calibri" w:hAnsi="Calibri" w:cs="Calibri"/>
          <w:sz w:val="18"/>
          <w:szCs w:val="18"/>
          <w:lang w:val="es-ES"/>
        </w:rPr>
        <w:t xml:space="preserve"> </w:t>
      </w:r>
      <w:proofErr w:type="spellStart"/>
      <w:r w:rsidRPr="00536B42">
        <w:rPr>
          <w:rFonts w:ascii="Calibri" w:hAnsi="Calibri" w:cs="Calibri"/>
          <w:sz w:val="18"/>
          <w:szCs w:val="18"/>
          <w:lang w:val="es-ES"/>
        </w:rPr>
        <w:t>Nations</w:t>
      </w:r>
      <w:proofErr w:type="spellEnd"/>
      <w:r w:rsidRPr="00536B42">
        <w:rPr>
          <w:rFonts w:ascii="Calibri" w:hAnsi="Calibri" w:cs="Calibri"/>
          <w:sz w:val="18"/>
          <w:szCs w:val="18"/>
          <w:lang w:val="es-ES"/>
        </w:rPr>
        <w:t xml:space="preserve"> (</w:t>
      </w:r>
      <w:r w:rsidRPr="00536B42">
        <w:rPr>
          <w:rFonts w:ascii="Calibri" w:eastAsia="Times New Roman" w:hAnsi="Calibri" w:cs="Calibri"/>
          <w:sz w:val="18"/>
          <w:szCs w:val="18"/>
          <w:lang w:val="es-MX" w:eastAsia="es-MX"/>
        </w:rPr>
        <w:t>A/RES/76/300</w:t>
      </w:r>
      <w:r w:rsidRPr="00536B42">
        <w:rPr>
          <w:rFonts w:ascii="Calibri" w:hAnsi="Calibri" w:cs="Calibri"/>
          <w:sz w:val="18"/>
          <w:szCs w:val="18"/>
          <w:lang w:val="es-ES"/>
        </w:rPr>
        <w:t>).</w:t>
      </w:r>
    </w:p>
  </w:footnote>
  <w:footnote w:id="10">
    <w:p w14:paraId="1AEE0A91" w14:textId="7E191695" w:rsidR="278EA299" w:rsidRPr="00536B42" w:rsidRDefault="278EA299" w:rsidP="278EA299">
      <w:pPr>
        <w:pStyle w:val="FootnoteText"/>
        <w:rPr>
          <w:rFonts w:cstheme="minorHAnsi"/>
          <w:i/>
          <w:iCs/>
          <w:sz w:val="18"/>
          <w:szCs w:val="18"/>
        </w:rPr>
      </w:pPr>
      <w:r w:rsidRPr="00536B42">
        <w:rPr>
          <w:rStyle w:val="FootnoteReference"/>
          <w:rFonts w:cstheme="minorHAnsi"/>
          <w:sz w:val="18"/>
          <w:szCs w:val="18"/>
        </w:rPr>
        <w:footnoteRef/>
      </w:r>
      <w:r w:rsidRPr="00536B42">
        <w:rPr>
          <w:rFonts w:cstheme="minorHAnsi"/>
          <w:sz w:val="18"/>
          <w:szCs w:val="18"/>
        </w:rPr>
        <w:t xml:space="preserve"> </w:t>
      </w:r>
      <w:r w:rsidR="00287290" w:rsidRPr="00536B42">
        <w:rPr>
          <w:rFonts w:cstheme="minorHAnsi"/>
          <w:sz w:val="18"/>
          <w:szCs w:val="18"/>
        </w:rPr>
        <w:t xml:space="preserve">AIDA, </w:t>
      </w:r>
      <w:proofErr w:type="gramStart"/>
      <w:r w:rsidR="00536B42">
        <w:rPr>
          <w:rFonts w:cstheme="minorHAnsi"/>
          <w:i/>
          <w:iCs/>
          <w:sz w:val="18"/>
          <w:szCs w:val="18"/>
        </w:rPr>
        <w:t>supra 1</w:t>
      </w:r>
      <w:proofErr w:type="gramEnd"/>
    </w:p>
  </w:footnote>
  <w:footnote w:id="11">
    <w:p w14:paraId="1F962AC2" w14:textId="20A717DF"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w:t>
      </w:r>
      <w:r w:rsidR="00287290" w:rsidRPr="00536B42">
        <w:rPr>
          <w:rFonts w:cstheme="minorHAnsi"/>
          <w:sz w:val="18"/>
          <w:szCs w:val="18"/>
        </w:rPr>
        <w:t xml:space="preserve">Inter-American Development Bank Independent Consultation and Investigation Mechanism, </w:t>
      </w:r>
      <w:proofErr w:type="gramStart"/>
      <w:r w:rsidR="00536B42">
        <w:rPr>
          <w:rFonts w:cstheme="minorHAnsi"/>
          <w:i/>
          <w:iCs/>
          <w:sz w:val="18"/>
          <w:szCs w:val="18"/>
        </w:rPr>
        <w:t>supra 3</w:t>
      </w:r>
      <w:proofErr w:type="gramEnd"/>
      <w:r w:rsidR="00287290" w:rsidRPr="00536B42">
        <w:rPr>
          <w:rFonts w:cstheme="minorHAnsi"/>
          <w:sz w:val="18"/>
          <w:szCs w:val="18"/>
        </w:rPr>
        <w:t>,</w:t>
      </w:r>
      <w:r w:rsidRPr="00536B42">
        <w:rPr>
          <w:rFonts w:cstheme="minorHAnsi"/>
          <w:sz w:val="18"/>
          <w:szCs w:val="18"/>
        </w:rPr>
        <w:t xml:space="preserve"> para 2.40</w:t>
      </w:r>
    </w:p>
  </w:footnote>
  <w:footnote w:id="12">
    <w:p w14:paraId="27826CDE" w14:textId="7E261CC7"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w:t>
      </w:r>
      <w:r w:rsidR="00536B42">
        <w:rPr>
          <w:rFonts w:cstheme="minorHAnsi"/>
          <w:i/>
          <w:iCs/>
          <w:sz w:val="18"/>
          <w:szCs w:val="18"/>
        </w:rPr>
        <w:t>Ibid.</w:t>
      </w:r>
      <w:r w:rsidR="00287290" w:rsidRPr="00536B42">
        <w:rPr>
          <w:rFonts w:cstheme="minorHAnsi"/>
          <w:sz w:val="18"/>
          <w:szCs w:val="18"/>
        </w:rPr>
        <w:t xml:space="preserve">, </w:t>
      </w:r>
      <w:r w:rsidRPr="00536B42">
        <w:rPr>
          <w:rFonts w:cstheme="minorHAnsi"/>
          <w:sz w:val="18"/>
          <w:szCs w:val="18"/>
        </w:rPr>
        <w:t>p. 76-77</w:t>
      </w:r>
    </w:p>
  </w:footnote>
  <w:footnote w:id="13">
    <w:p w14:paraId="020729FB" w14:textId="5083FC44"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w:t>
      </w:r>
      <w:r w:rsidR="00287290" w:rsidRPr="00536B42">
        <w:rPr>
          <w:rFonts w:cstheme="minorHAnsi"/>
          <w:sz w:val="18"/>
          <w:szCs w:val="18"/>
        </w:rPr>
        <w:t>AIDA, The Day That The Indigenous Struggle Bore Fruit In Guatemala</w:t>
      </w:r>
      <w:r w:rsidR="00455211" w:rsidRPr="00536B42">
        <w:rPr>
          <w:rFonts w:cstheme="minorHAnsi"/>
          <w:sz w:val="18"/>
          <w:szCs w:val="18"/>
        </w:rPr>
        <w:t xml:space="preserve"> (10 December 2021), last accessed 12 August 2022,</w:t>
      </w:r>
      <w:r w:rsidR="00287290" w:rsidRPr="00536B42">
        <w:rPr>
          <w:rFonts w:cstheme="minorHAnsi"/>
          <w:sz w:val="18"/>
          <w:szCs w:val="18"/>
        </w:rPr>
        <w:t xml:space="preserve"> </w:t>
      </w:r>
      <w:hyperlink r:id="rId1" w:history="1">
        <w:r w:rsidR="00455211" w:rsidRPr="00536B42">
          <w:rPr>
            <w:rStyle w:val="Hyperlink"/>
            <w:rFonts w:cstheme="minorHAnsi"/>
            <w:sz w:val="18"/>
            <w:szCs w:val="18"/>
          </w:rPr>
          <w:t>https://aida-americas.org/en/blog/the-day-that-the-indigenous-struggle-bore-fruit-in-guatemala</w:t>
        </w:r>
      </w:hyperlink>
      <w:r w:rsidR="00455211" w:rsidRPr="00536B42">
        <w:rPr>
          <w:rFonts w:cstheme="minorHAnsi"/>
          <w:sz w:val="18"/>
          <w:szCs w:val="18"/>
        </w:rPr>
        <w:t xml:space="preserve">, Inter-American Development Bank Independent Consultation and Investigation Mechanism, Compliance Review Report </w:t>
      </w:r>
      <w:proofErr w:type="spellStart"/>
      <w:r w:rsidR="00455211" w:rsidRPr="00536B42">
        <w:rPr>
          <w:rFonts w:cstheme="minorHAnsi"/>
          <w:sz w:val="18"/>
          <w:szCs w:val="18"/>
        </w:rPr>
        <w:t>Generadora</w:t>
      </w:r>
      <w:proofErr w:type="spellEnd"/>
      <w:r w:rsidR="00455211" w:rsidRPr="00536B42">
        <w:rPr>
          <w:rFonts w:cstheme="minorHAnsi"/>
          <w:sz w:val="18"/>
          <w:szCs w:val="18"/>
        </w:rPr>
        <w:t xml:space="preserve"> San Mateo S.A. and </w:t>
      </w:r>
      <w:proofErr w:type="spellStart"/>
      <w:r w:rsidR="00455211" w:rsidRPr="00536B42">
        <w:rPr>
          <w:rFonts w:cstheme="minorHAnsi"/>
          <w:sz w:val="18"/>
          <w:szCs w:val="18"/>
        </w:rPr>
        <w:t>Generadora</w:t>
      </w:r>
      <w:proofErr w:type="spellEnd"/>
      <w:r w:rsidR="00455211" w:rsidRPr="00536B42">
        <w:rPr>
          <w:rFonts w:cstheme="minorHAnsi"/>
          <w:sz w:val="18"/>
          <w:szCs w:val="18"/>
        </w:rPr>
        <w:t xml:space="preserve"> San Andrés S.A. Projects (GU3794A-01 and GU3798A-01) (2021), MICI-CII-GU-2018-0136, recommendation 29</w:t>
      </w:r>
    </w:p>
  </w:footnote>
  <w:footnote w:id="14">
    <w:p w14:paraId="31EE195D" w14:textId="5D4BEE6D" w:rsidR="278EA299" w:rsidRPr="00536B42" w:rsidRDefault="278EA299" w:rsidP="278EA299">
      <w:pPr>
        <w:pStyle w:val="FootnoteText"/>
        <w:rPr>
          <w:rFonts w:eastAsia="Helvetica Neue" w:cstheme="minorHAnsi"/>
          <w:color w:val="3F3F3F"/>
          <w:sz w:val="18"/>
          <w:szCs w:val="18"/>
        </w:rPr>
      </w:pPr>
      <w:r w:rsidRPr="00536B42">
        <w:rPr>
          <w:rStyle w:val="FootnoteReference"/>
          <w:rFonts w:cstheme="minorHAnsi"/>
          <w:sz w:val="18"/>
          <w:szCs w:val="18"/>
        </w:rPr>
        <w:footnoteRef/>
      </w:r>
      <w:r w:rsidRPr="00536B42">
        <w:rPr>
          <w:rFonts w:cstheme="minorHAnsi"/>
          <w:sz w:val="18"/>
          <w:szCs w:val="18"/>
        </w:rPr>
        <w:t xml:space="preserve"> </w:t>
      </w:r>
      <w:r w:rsidRPr="00536B42">
        <w:rPr>
          <w:rFonts w:eastAsia="Helvetica Neue" w:cstheme="minorHAnsi"/>
          <w:color w:val="000000" w:themeColor="text1"/>
          <w:sz w:val="18"/>
          <w:szCs w:val="18"/>
        </w:rPr>
        <w:t>UN Committee on Economic, Social and Cultural Rights (CESCR), General comment No. 24 (2017) on State obligations under the International Covenant on Economic, Social and Cultural Rights in the context of business activities, 10 August 2017, E/C.12/GC/24, para. 14</w:t>
      </w:r>
    </w:p>
  </w:footnote>
  <w:footnote w:id="15">
    <w:p w14:paraId="0DEDB627" w14:textId="64917910"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009B4F49">
        <w:rPr>
          <w:rFonts w:cstheme="minorHAnsi"/>
          <w:sz w:val="18"/>
          <w:szCs w:val="18"/>
        </w:rPr>
        <w:t xml:space="preserve"> </w:t>
      </w:r>
      <w:r w:rsidR="009B4F49">
        <w:rPr>
          <w:rFonts w:cstheme="minorHAnsi"/>
          <w:i/>
          <w:iCs/>
          <w:sz w:val="18"/>
          <w:szCs w:val="18"/>
        </w:rPr>
        <w:t>Ibid.</w:t>
      </w:r>
      <w:r w:rsidRPr="00536B42">
        <w:rPr>
          <w:rFonts w:cstheme="minorHAnsi"/>
          <w:sz w:val="18"/>
          <w:szCs w:val="18"/>
        </w:rPr>
        <w:t>, para. 38</w:t>
      </w:r>
    </w:p>
  </w:footnote>
  <w:footnote w:id="16">
    <w:p w14:paraId="3C985A3B" w14:textId="5B59471C"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Ibid., para. 40</w:t>
      </w:r>
    </w:p>
  </w:footnote>
  <w:footnote w:id="17">
    <w:p w14:paraId="2C02A36E" w14:textId="377404CC"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w:t>
      </w:r>
      <w:r w:rsidR="009D238C" w:rsidRPr="00536B42">
        <w:rPr>
          <w:rFonts w:cstheme="minorHAnsi"/>
          <w:sz w:val="18"/>
          <w:szCs w:val="18"/>
        </w:rPr>
        <w:t xml:space="preserve">United Nations Global Compact, </w:t>
      </w:r>
      <w:r w:rsidRPr="00536B42">
        <w:rPr>
          <w:rFonts w:cstheme="minorHAnsi"/>
          <w:sz w:val="18"/>
          <w:szCs w:val="18"/>
        </w:rPr>
        <w:t>A Business Reference Guide: United Nations Declaration on the Rights of Indigenous Peoples</w:t>
      </w:r>
      <w:r w:rsidR="009D238C" w:rsidRPr="00536B42">
        <w:rPr>
          <w:rFonts w:cstheme="minorHAnsi"/>
          <w:sz w:val="18"/>
          <w:szCs w:val="18"/>
        </w:rPr>
        <w:t xml:space="preserve"> (2013),</w:t>
      </w:r>
      <w:r w:rsidRPr="00536B42">
        <w:rPr>
          <w:rFonts w:cstheme="minorHAnsi"/>
          <w:sz w:val="18"/>
          <w:szCs w:val="18"/>
        </w:rPr>
        <w:t xml:space="preserve"> p. 47</w:t>
      </w:r>
      <w:r w:rsidR="009D238C" w:rsidRPr="00536B42">
        <w:rPr>
          <w:rFonts w:cstheme="minorHAnsi"/>
          <w:sz w:val="18"/>
          <w:szCs w:val="18"/>
        </w:rPr>
        <w:t>.</w:t>
      </w:r>
      <w:r w:rsidR="003E0B0E" w:rsidRPr="00536B42">
        <w:rPr>
          <w:rFonts w:cstheme="minorHAnsi"/>
          <w:sz w:val="18"/>
          <w:szCs w:val="18"/>
        </w:rPr>
        <w:t xml:space="preserve"> UN</w:t>
      </w:r>
      <w:r w:rsidRPr="00536B42">
        <w:rPr>
          <w:rFonts w:cstheme="minorHAnsi"/>
          <w:sz w:val="18"/>
          <w:szCs w:val="18"/>
        </w:rPr>
        <w:t xml:space="preserve"> Committee on the Elimination of Racial Discrimination, general recommendation </w:t>
      </w:r>
      <w:r w:rsidR="00032486" w:rsidRPr="00536B42">
        <w:rPr>
          <w:rFonts w:cstheme="minorHAnsi"/>
          <w:sz w:val="18"/>
          <w:szCs w:val="18"/>
        </w:rPr>
        <w:t xml:space="preserve">No. 31 (2005) on the prevention of racial discrimination in the administration and functioning of the criminal justice system, </w:t>
      </w:r>
      <w:r w:rsidR="003E0B0E" w:rsidRPr="00536B42">
        <w:rPr>
          <w:rFonts w:cstheme="minorHAnsi"/>
          <w:sz w:val="18"/>
          <w:szCs w:val="18"/>
        </w:rPr>
        <w:t>CERD/C/GC/31/REV.4</w:t>
      </w:r>
      <w:r w:rsidR="00032486" w:rsidRPr="00536B42">
        <w:rPr>
          <w:rFonts w:cstheme="minorHAnsi"/>
          <w:sz w:val="18"/>
          <w:szCs w:val="18"/>
        </w:rPr>
        <w:t xml:space="preserve">, </w:t>
      </w:r>
      <w:r w:rsidRPr="00536B42">
        <w:rPr>
          <w:rFonts w:cstheme="minorHAnsi"/>
          <w:sz w:val="18"/>
          <w:szCs w:val="18"/>
        </w:rPr>
        <w:t>para. 30.</w:t>
      </w:r>
    </w:p>
  </w:footnote>
  <w:footnote w:id="18">
    <w:p w14:paraId="2B4C901C" w14:textId="78E8C4AC"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w:t>
      </w:r>
      <w:r w:rsidRPr="009B4F49">
        <w:rPr>
          <w:rFonts w:cstheme="minorHAnsi"/>
          <w:i/>
          <w:iCs/>
          <w:sz w:val="18"/>
          <w:szCs w:val="18"/>
        </w:rPr>
        <w:t>Ibid</w:t>
      </w:r>
      <w:r w:rsidRPr="00536B42">
        <w:rPr>
          <w:rFonts w:cstheme="minorHAnsi"/>
          <w:sz w:val="18"/>
          <w:szCs w:val="18"/>
        </w:rPr>
        <w:t xml:space="preserve">., para. 52. Also see A/68/279, para. 34; and Committee on the Elimination of Racial Discrimination, general recommendation No. 31 (2005) on the prevention of racial discrimination in the administration and functioning of the criminal justice system, </w:t>
      </w:r>
      <w:r w:rsidR="00032486" w:rsidRPr="00536B42">
        <w:rPr>
          <w:rFonts w:cstheme="minorHAnsi"/>
          <w:sz w:val="18"/>
          <w:szCs w:val="18"/>
        </w:rPr>
        <w:t xml:space="preserve">CERD/C/GC/31/REV.4, </w:t>
      </w:r>
      <w:r w:rsidRPr="00536B42">
        <w:rPr>
          <w:rFonts w:cstheme="minorHAnsi"/>
          <w:sz w:val="18"/>
          <w:szCs w:val="18"/>
        </w:rPr>
        <w:t>para. 5 (e).</w:t>
      </w:r>
    </w:p>
  </w:footnote>
  <w:footnote w:id="19">
    <w:p w14:paraId="6644A79C" w14:textId="1EB7F8AA" w:rsidR="278EA299" w:rsidRPr="00536B42" w:rsidRDefault="278EA299" w:rsidP="002A58FF">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w:t>
      </w:r>
      <w:r w:rsidR="002A58FF" w:rsidRPr="00536B42">
        <w:rPr>
          <w:rFonts w:cstheme="minorHAnsi"/>
          <w:sz w:val="18"/>
          <w:szCs w:val="18"/>
        </w:rPr>
        <w:t>UN Committee on the Elimination of Discrimination Against Women, Concluding observations on the combined eighth and ninth</w:t>
      </w:r>
      <w:r w:rsidR="00C30911" w:rsidRPr="00536B42">
        <w:rPr>
          <w:rFonts w:cstheme="minorHAnsi"/>
          <w:sz w:val="18"/>
          <w:szCs w:val="18"/>
        </w:rPr>
        <w:t xml:space="preserve"> </w:t>
      </w:r>
      <w:r w:rsidR="002A58FF" w:rsidRPr="00536B42">
        <w:rPr>
          <w:rFonts w:cstheme="minorHAnsi"/>
          <w:sz w:val="18"/>
          <w:szCs w:val="18"/>
        </w:rPr>
        <w:t>periodic reports of Guatemala (</w:t>
      </w:r>
      <w:r w:rsidR="00C30911" w:rsidRPr="00536B42">
        <w:rPr>
          <w:rFonts w:cstheme="minorHAnsi"/>
          <w:sz w:val="18"/>
          <w:szCs w:val="18"/>
        </w:rPr>
        <w:t xml:space="preserve">2017), CEDAW/C/GTM/CO/8-9, </w:t>
      </w:r>
      <w:r w:rsidRPr="00536B42">
        <w:rPr>
          <w:rFonts w:cstheme="minorHAnsi"/>
          <w:sz w:val="18"/>
          <w:szCs w:val="18"/>
        </w:rPr>
        <w:t>paras. 13(a) and 21(b)</w:t>
      </w:r>
    </w:p>
  </w:footnote>
  <w:footnote w:id="20">
    <w:p w14:paraId="3F97D005" w14:textId="52635F2A"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009B4F49">
        <w:rPr>
          <w:rFonts w:cstheme="minorHAnsi"/>
          <w:i/>
          <w:iCs/>
          <w:sz w:val="18"/>
          <w:szCs w:val="18"/>
        </w:rPr>
        <w:t xml:space="preserve"> Ibid.</w:t>
      </w:r>
      <w:r w:rsidRPr="00536B42">
        <w:rPr>
          <w:rFonts w:cstheme="minorHAnsi"/>
          <w:sz w:val="18"/>
          <w:szCs w:val="18"/>
        </w:rPr>
        <w:t>, para. 15</w:t>
      </w:r>
    </w:p>
  </w:footnote>
  <w:footnote w:id="21">
    <w:p w14:paraId="6F393181" w14:textId="719AE2FD" w:rsidR="00275B9B" w:rsidRPr="00536B42" w:rsidRDefault="00275B9B">
      <w:pPr>
        <w:pStyle w:val="FootnoteText"/>
        <w:rPr>
          <w:sz w:val="18"/>
          <w:szCs w:val="18"/>
        </w:rPr>
      </w:pPr>
      <w:r w:rsidRPr="00536B42">
        <w:rPr>
          <w:rStyle w:val="FootnoteReference"/>
          <w:sz w:val="18"/>
          <w:szCs w:val="18"/>
        </w:rPr>
        <w:footnoteRef/>
      </w:r>
      <w:r w:rsidRPr="00536B42">
        <w:rPr>
          <w:sz w:val="18"/>
          <w:szCs w:val="18"/>
        </w:rPr>
        <w:t xml:space="preserve"> </w:t>
      </w:r>
      <w:r w:rsidRPr="00536B42">
        <w:rPr>
          <w:rFonts w:cstheme="minorHAnsi"/>
          <w:sz w:val="18"/>
          <w:szCs w:val="18"/>
        </w:rPr>
        <w:t xml:space="preserve">UN Office of the High Commissioner on Human Rights, Guiding Principles on Business and Human Rights (2011), HR/PUB/11/04, </w:t>
      </w:r>
      <w:r w:rsidRPr="00536B42">
        <w:rPr>
          <w:rFonts w:cstheme="minorHAnsi"/>
          <w:sz w:val="18"/>
          <w:szCs w:val="18"/>
        </w:rPr>
        <w:t>principle 10</w:t>
      </w:r>
    </w:p>
  </w:footnote>
  <w:footnote w:id="22">
    <w:p w14:paraId="19AF333B" w14:textId="0918B5FD" w:rsidR="006C5D75" w:rsidRPr="00536B42" w:rsidRDefault="006C5D75" w:rsidP="006C5D75">
      <w:pPr>
        <w:pStyle w:val="FootnoteText"/>
        <w:rPr>
          <w:sz w:val="18"/>
          <w:szCs w:val="18"/>
        </w:rPr>
      </w:pPr>
      <w:r w:rsidRPr="00536B42">
        <w:rPr>
          <w:rStyle w:val="FootnoteReference"/>
          <w:sz w:val="18"/>
          <w:szCs w:val="18"/>
        </w:rPr>
        <w:footnoteRef/>
      </w:r>
      <w:r w:rsidRPr="00536B42">
        <w:rPr>
          <w:sz w:val="18"/>
          <w:szCs w:val="18"/>
        </w:rPr>
        <w:t xml:space="preserve"> </w:t>
      </w:r>
      <w:r w:rsidRPr="00536B42">
        <w:rPr>
          <w:sz w:val="18"/>
          <w:szCs w:val="18"/>
        </w:rPr>
        <w:t>Working Group on the issue of human rights and</w:t>
      </w:r>
      <w:r w:rsidRPr="00536B42">
        <w:rPr>
          <w:sz w:val="18"/>
          <w:szCs w:val="18"/>
        </w:rPr>
        <w:t xml:space="preserve"> </w:t>
      </w:r>
      <w:r w:rsidRPr="00536B42">
        <w:rPr>
          <w:sz w:val="18"/>
          <w:szCs w:val="18"/>
        </w:rPr>
        <w:t>transnational corporations and other business enterprises</w:t>
      </w:r>
      <w:r w:rsidRPr="00536B42">
        <w:rPr>
          <w:sz w:val="18"/>
          <w:szCs w:val="18"/>
        </w:rPr>
        <w:t xml:space="preserve">, </w:t>
      </w:r>
      <w:r w:rsidRPr="00536B42">
        <w:rPr>
          <w:sz w:val="18"/>
          <w:szCs w:val="18"/>
          <w:lang w:val="en-CH"/>
        </w:rPr>
        <w:t>Gender dimensions of the Guiding Principles on Business and Human Rights</w:t>
      </w:r>
      <w:r w:rsidRPr="00536B42">
        <w:rPr>
          <w:sz w:val="18"/>
          <w:szCs w:val="18"/>
        </w:rPr>
        <w:t xml:space="preserve"> (2019), </w:t>
      </w:r>
      <w:proofErr w:type="spellStart"/>
      <w:r w:rsidRPr="00536B42">
        <w:rPr>
          <w:sz w:val="18"/>
          <w:szCs w:val="18"/>
        </w:rPr>
        <w:t>UNDoc</w:t>
      </w:r>
      <w:proofErr w:type="spellEnd"/>
      <w:r w:rsidRPr="00536B42">
        <w:rPr>
          <w:sz w:val="18"/>
          <w:szCs w:val="18"/>
        </w:rPr>
        <w:t xml:space="preserve"> </w:t>
      </w:r>
      <w:r w:rsidRPr="00536B42">
        <w:rPr>
          <w:sz w:val="18"/>
          <w:szCs w:val="18"/>
          <w:lang w:val="en-CH"/>
        </w:rPr>
        <w:t>A/HRC/41/43</w:t>
      </w:r>
      <w:r w:rsidRPr="00536B42">
        <w:rPr>
          <w:sz w:val="18"/>
          <w:szCs w:val="18"/>
        </w:rPr>
        <w:t>, paras. 19 &amp; 20</w:t>
      </w:r>
    </w:p>
  </w:footnote>
  <w:footnote w:id="23">
    <w:p w14:paraId="78717930" w14:textId="542262E6"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w:t>
      </w:r>
      <w:r w:rsidR="00685297" w:rsidRPr="00536B42">
        <w:rPr>
          <w:rFonts w:cstheme="minorHAnsi"/>
          <w:sz w:val="18"/>
          <w:szCs w:val="18"/>
        </w:rPr>
        <w:t xml:space="preserve">UN Office of the High Commissioner on Human Rights, </w:t>
      </w:r>
      <w:proofErr w:type="gramStart"/>
      <w:r w:rsidR="00421B4F">
        <w:rPr>
          <w:rFonts w:cstheme="minorHAnsi"/>
          <w:i/>
          <w:iCs/>
          <w:sz w:val="18"/>
          <w:szCs w:val="18"/>
        </w:rPr>
        <w:t>supra 21</w:t>
      </w:r>
      <w:proofErr w:type="gramEnd"/>
      <w:r w:rsidRPr="00536B42">
        <w:rPr>
          <w:rFonts w:cstheme="minorHAnsi"/>
          <w:sz w:val="18"/>
          <w:szCs w:val="18"/>
        </w:rPr>
        <w:t>, p</w:t>
      </w:r>
      <w:r w:rsidR="006C5D75" w:rsidRPr="00536B42">
        <w:rPr>
          <w:rFonts w:cstheme="minorHAnsi"/>
          <w:sz w:val="18"/>
          <w:szCs w:val="18"/>
        </w:rPr>
        <w:t>rinciple</w:t>
      </w:r>
      <w:r w:rsidRPr="00536B42">
        <w:rPr>
          <w:rFonts w:cstheme="minorHAnsi"/>
          <w:sz w:val="18"/>
          <w:szCs w:val="18"/>
        </w:rPr>
        <w:t xml:space="preserve"> </w:t>
      </w:r>
      <w:r w:rsidR="006C5D75" w:rsidRPr="00536B42">
        <w:rPr>
          <w:rFonts w:cstheme="minorHAnsi"/>
          <w:sz w:val="18"/>
          <w:szCs w:val="18"/>
        </w:rPr>
        <w:t>19</w:t>
      </w:r>
    </w:p>
  </w:footnote>
  <w:footnote w:id="24">
    <w:p w14:paraId="632A29D5" w14:textId="0B327A28" w:rsidR="00A43BB1" w:rsidRPr="00536B42" w:rsidRDefault="00A43BB1">
      <w:pPr>
        <w:pStyle w:val="FootnoteText"/>
        <w:rPr>
          <w:sz w:val="18"/>
          <w:szCs w:val="18"/>
        </w:rPr>
      </w:pPr>
      <w:r w:rsidRPr="00536B42">
        <w:rPr>
          <w:rStyle w:val="FootnoteReference"/>
          <w:sz w:val="18"/>
          <w:szCs w:val="18"/>
        </w:rPr>
        <w:footnoteRef/>
      </w:r>
      <w:r w:rsidRPr="00536B42">
        <w:rPr>
          <w:sz w:val="18"/>
          <w:szCs w:val="18"/>
        </w:rPr>
        <w:t xml:space="preserve"> </w:t>
      </w:r>
      <w:r w:rsidR="00421B4F" w:rsidRPr="00536B42">
        <w:rPr>
          <w:rFonts w:cstheme="minorHAnsi"/>
          <w:sz w:val="18"/>
          <w:szCs w:val="18"/>
        </w:rPr>
        <w:t xml:space="preserve">United Nations Global Compact, </w:t>
      </w:r>
      <w:proofErr w:type="gramStart"/>
      <w:r w:rsidR="00421B4F">
        <w:rPr>
          <w:i/>
          <w:iCs/>
          <w:sz w:val="18"/>
          <w:szCs w:val="18"/>
        </w:rPr>
        <w:t>s</w:t>
      </w:r>
      <w:r w:rsidRPr="009B4F49">
        <w:rPr>
          <w:i/>
          <w:iCs/>
          <w:sz w:val="18"/>
          <w:szCs w:val="18"/>
        </w:rPr>
        <w:t xml:space="preserve">upra </w:t>
      </w:r>
      <w:r w:rsidR="00421B4F">
        <w:rPr>
          <w:i/>
          <w:iCs/>
          <w:sz w:val="18"/>
          <w:szCs w:val="18"/>
        </w:rPr>
        <w:t>17</w:t>
      </w:r>
      <w:proofErr w:type="gramEnd"/>
      <w:r w:rsidRPr="00536B42">
        <w:rPr>
          <w:sz w:val="18"/>
          <w:szCs w:val="18"/>
        </w:rPr>
        <w:t xml:space="preserve">, </w:t>
      </w:r>
      <w:r w:rsidRPr="00421B4F">
        <w:rPr>
          <w:sz w:val="18"/>
          <w:szCs w:val="18"/>
        </w:rPr>
        <w:t>para. 37</w:t>
      </w:r>
    </w:p>
  </w:footnote>
  <w:footnote w:id="25">
    <w:p w14:paraId="78879A10" w14:textId="752BE82D" w:rsidR="278EA299" w:rsidRPr="00536B42" w:rsidRDefault="278EA299" w:rsidP="278EA299">
      <w:pPr>
        <w:pStyle w:val="FootnoteText"/>
        <w:rPr>
          <w:rFonts w:eastAsia="Georgia"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w:t>
      </w:r>
      <w:r w:rsidRPr="00536B42">
        <w:rPr>
          <w:rFonts w:eastAsia="Georgia" w:cstheme="minorHAnsi"/>
          <w:sz w:val="18"/>
          <w:szCs w:val="18"/>
        </w:rPr>
        <w:t>OECD Guidelines</w:t>
      </w:r>
      <w:r w:rsidR="008523AC" w:rsidRPr="00536B42">
        <w:rPr>
          <w:rFonts w:eastAsia="Georgia" w:cstheme="minorHAnsi"/>
          <w:sz w:val="18"/>
          <w:szCs w:val="18"/>
        </w:rPr>
        <w:t xml:space="preserve"> </w:t>
      </w:r>
      <w:r w:rsidR="001C4D80" w:rsidRPr="00536B42">
        <w:rPr>
          <w:rFonts w:eastAsia="Georgia" w:cstheme="minorHAnsi"/>
          <w:sz w:val="18"/>
          <w:szCs w:val="18"/>
        </w:rPr>
        <w:t>for Multinational Enterprises</w:t>
      </w:r>
      <w:r w:rsidR="008523AC" w:rsidRPr="00536B42">
        <w:rPr>
          <w:rFonts w:eastAsia="Georgia" w:cstheme="minorHAnsi"/>
          <w:sz w:val="18"/>
          <w:szCs w:val="18"/>
        </w:rPr>
        <w:t xml:space="preserve"> (</w:t>
      </w:r>
      <w:r w:rsidRPr="00536B42">
        <w:rPr>
          <w:rFonts w:eastAsia="Georgia" w:cstheme="minorHAnsi"/>
          <w:sz w:val="18"/>
          <w:szCs w:val="18"/>
        </w:rPr>
        <w:t>2011</w:t>
      </w:r>
      <w:r w:rsidR="008523AC" w:rsidRPr="00536B42">
        <w:rPr>
          <w:rFonts w:eastAsia="Georgia" w:cstheme="minorHAnsi"/>
          <w:sz w:val="18"/>
          <w:szCs w:val="18"/>
        </w:rPr>
        <w:t>)</w:t>
      </w:r>
      <w:r w:rsidRPr="00536B42">
        <w:rPr>
          <w:rFonts w:eastAsia="Georgia" w:cstheme="minorHAnsi"/>
          <w:sz w:val="18"/>
          <w:szCs w:val="18"/>
        </w:rPr>
        <w:t>, Commentary on Chapter 2, paragraph 22</w:t>
      </w:r>
    </w:p>
  </w:footnote>
  <w:footnote w:id="26">
    <w:p w14:paraId="078A90F2" w14:textId="08312234"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008523AC" w:rsidRPr="00536B42">
        <w:rPr>
          <w:rFonts w:eastAsia="Helvetica Neue" w:cstheme="minorHAnsi"/>
          <w:color w:val="000000" w:themeColor="text1"/>
          <w:sz w:val="18"/>
          <w:szCs w:val="18"/>
        </w:rPr>
        <w:t xml:space="preserve"> UN Committee on Economic, Social and Cultural Rights (CESCR), </w:t>
      </w:r>
      <w:proofErr w:type="gramStart"/>
      <w:r w:rsidR="009B4F49">
        <w:rPr>
          <w:rFonts w:eastAsia="Helvetica Neue" w:cstheme="minorHAnsi"/>
          <w:i/>
          <w:iCs/>
          <w:color w:val="000000" w:themeColor="text1"/>
          <w:sz w:val="18"/>
          <w:szCs w:val="18"/>
        </w:rPr>
        <w:t>supra 14</w:t>
      </w:r>
      <w:proofErr w:type="gramEnd"/>
      <w:r w:rsidRPr="00536B42">
        <w:rPr>
          <w:rFonts w:cstheme="minorHAnsi"/>
          <w:sz w:val="18"/>
          <w:szCs w:val="18"/>
        </w:rPr>
        <w:t>, para. 17</w:t>
      </w:r>
    </w:p>
  </w:footnote>
  <w:footnote w:id="27">
    <w:p w14:paraId="440D163B" w14:textId="5A51091D"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w:t>
      </w:r>
      <w:r w:rsidR="002A46ED" w:rsidRPr="00536B42">
        <w:rPr>
          <w:rFonts w:cstheme="minorHAnsi"/>
          <w:sz w:val="18"/>
          <w:szCs w:val="18"/>
        </w:rPr>
        <w:t xml:space="preserve">UN Office of the High Commissioner on Human Rights, </w:t>
      </w:r>
      <w:proofErr w:type="gramStart"/>
      <w:r w:rsidR="009B4F49">
        <w:rPr>
          <w:rFonts w:cstheme="minorHAnsi"/>
          <w:i/>
          <w:iCs/>
          <w:sz w:val="18"/>
          <w:szCs w:val="18"/>
        </w:rPr>
        <w:t>supra 21</w:t>
      </w:r>
      <w:proofErr w:type="gramEnd"/>
      <w:r w:rsidR="009B4F49">
        <w:rPr>
          <w:rFonts w:cstheme="minorHAnsi"/>
          <w:i/>
          <w:iCs/>
          <w:sz w:val="18"/>
          <w:szCs w:val="18"/>
        </w:rPr>
        <w:t xml:space="preserve">, </w:t>
      </w:r>
      <w:r w:rsidR="00275B9B" w:rsidRPr="00536B42">
        <w:rPr>
          <w:rFonts w:cstheme="minorHAnsi"/>
          <w:sz w:val="18"/>
          <w:szCs w:val="18"/>
        </w:rPr>
        <w:t xml:space="preserve">principle </w:t>
      </w:r>
      <w:r w:rsidRPr="00536B42">
        <w:rPr>
          <w:rFonts w:cstheme="minorHAnsi"/>
          <w:sz w:val="18"/>
          <w:szCs w:val="18"/>
        </w:rPr>
        <w:t>3(d)</w:t>
      </w:r>
    </w:p>
  </w:footnote>
  <w:footnote w:id="28">
    <w:p w14:paraId="013AFA2E" w14:textId="46D47966"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w:t>
      </w:r>
      <w:r w:rsidR="009B4F49">
        <w:rPr>
          <w:rFonts w:cstheme="minorHAnsi"/>
          <w:i/>
          <w:iCs/>
          <w:sz w:val="18"/>
          <w:szCs w:val="18"/>
        </w:rPr>
        <w:t xml:space="preserve">Ibid., </w:t>
      </w:r>
      <w:r w:rsidR="00275B9B" w:rsidRPr="00536B42">
        <w:rPr>
          <w:rFonts w:cstheme="minorHAnsi"/>
          <w:sz w:val="18"/>
          <w:szCs w:val="18"/>
        </w:rPr>
        <w:t>principles</w:t>
      </w:r>
      <w:r w:rsidR="002A46ED" w:rsidRPr="00536B42">
        <w:rPr>
          <w:rFonts w:cstheme="minorHAnsi"/>
          <w:sz w:val="18"/>
          <w:szCs w:val="18"/>
        </w:rPr>
        <w:t xml:space="preserve"> </w:t>
      </w:r>
      <w:r w:rsidRPr="00536B42">
        <w:rPr>
          <w:rFonts w:cstheme="minorHAnsi"/>
          <w:sz w:val="18"/>
          <w:szCs w:val="18"/>
        </w:rPr>
        <w:t>18-19</w:t>
      </w:r>
    </w:p>
  </w:footnote>
  <w:footnote w:id="29">
    <w:p w14:paraId="2E573407" w14:textId="3140D5E6"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See</w:t>
      </w:r>
      <w:r w:rsidR="00844996" w:rsidRPr="00536B42">
        <w:rPr>
          <w:rFonts w:cstheme="minorHAnsi"/>
          <w:sz w:val="18"/>
          <w:szCs w:val="18"/>
        </w:rPr>
        <w:t xml:space="preserve"> ILO Convention No. 169 (1989), C169</w:t>
      </w:r>
      <w:r w:rsidRPr="00536B42">
        <w:rPr>
          <w:rFonts w:cstheme="minorHAnsi"/>
          <w:sz w:val="18"/>
          <w:szCs w:val="18"/>
        </w:rPr>
        <w:t>, art. 15</w:t>
      </w:r>
    </w:p>
  </w:footnote>
  <w:footnote w:id="30">
    <w:p w14:paraId="33386763" w14:textId="118C1642"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See </w:t>
      </w:r>
      <w:r w:rsidR="00844996" w:rsidRPr="00536B42">
        <w:rPr>
          <w:rFonts w:eastAsia="Garamond" w:cstheme="minorHAnsi"/>
          <w:sz w:val="18"/>
          <w:szCs w:val="18"/>
        </w:rPr>
        <w:t xml:space="preserve">UNDRIP (2007), A/RES/61/295, </w:t>
      </w:r>
      <w:r w:rsidRPr="00536B42">
        <w:rPr>
          <w:rFonts w:cstheme="minorHAnsi"/>
          <w:sz w:val="18"/>
          <w:szCs w:val="18"/>
        </w:rPr>
        <w:t>art. 18 and 1</w:t>
      </w:r>
      <w:r w:rsidR="00844996" w:rsidRPr="00536B42">
        <w:rPr>
          <w:rFonts w:cstheme="minorHAnsi"/>
          <w:sz w:val="18"/>
          <w:szCs w:val="18"/>
        </w:rPr>
        <w:t xml:space="preserve">9. </w:t>
      </w:r>
      <w:r w:rsidRPr="00536B42">
        <w:rPr>
          <w:rFonts w:cstheme="minorHAnsi"/>
          <w:sz w:val="18"/>
          <w:szCs w:val="18"/>
        </w:rPr>
        <w:t xml:space="preserve"> </w:t>
      </w:r>
      <w:r w:rsidR="00844996" w:rsidRPr="00536B42">
        <w:rPr>
          <w:rFonts w:cstheme="minorHAnsi"/>
          <w:sz w:val="18"/>
          <w:szCs w:val="18"/>
        </w:rPr>
        <w:t xml:space="preserve">UN Committee on the Elimination of Discrimination Against Women, </w:t>
      </w:r>
      <w:proofErr w:type="gramStart"/>
      <w:r w:rsidR="009B4F49">
        <w:rPr>
          <w:rFonts w:cstheme="minorHAnsi"/>
          <w:i/>
          <w:iCs/>
          <w:sz w:val="18"/>
          <w:szCs w:val="18"/>
        </w:rPr>
        <w:t>supra 19</w:t>
      </w:r>
      <w:proofErr w:type="gramEnd"/>
      <w:r w:rsidR="00844996" w:rsidRPr="00536B42">
        <w:rPr>
          <w:rFonts w:cstheme="minorHAnsi"/>
          <w:sz w:val="18"/>
          <w:szCs w:val="18"/>
        </w:rPr>
        <w:t xml:space="preserve">, </w:t>
      </w:r>
      <w:r w:rsidRPr="00536B42">
        <w:rPr>
          <w:rFonts w:cstheme="minorHAnsi"/>
          <w:sz w:val="18"/>
          <w:szCs w:val="18"/>
        </w:rPr>
        <w:t>para 41(c)</w:t>
      </w:r>
      <w:r w:rsidR="00844996" w:rsidRPr="00536B42">
        <w:rPr>
          <w:rFonts w:cstheme="minorHAnsi"/>
          <w:sz w:val="18"/>
          <w:szCs w:val="18"/>
        </w:rPr>
        <w:t>. ILO Convention No. 169 (1989), C169</w:t>
      </w:r>
    </w:p>
  </w:footnote>
  <w:footnote w:id="31">
    <w:p w14:paraId="00D0F3FE" w14:textId="27C7489B"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w:t>
      </w:r>
      <w:r w:rsidR="00844996" w:rsidRPr="00536B42">
        <w:rPr>
          <w:rFonts w:eastAsia="Garamond" w:cstheme="minorHAnsi"/>
          <w:sz w:val="18"/>
          <w:szCs w:val="18"/>
        </w:rPr>
        <w:t>UNDRIP (2007), A/RES/61/295,</w:t>
      </w:r>
      <w:r w:rsidRPr="00536B42">
        <w:rPr>
          <w:rFonts w:cstheme="minorHAnsi"/>
          <w:sz w:val="18"/>
          <w:szCs w:val="18"/>
        </w:rPr>
        <w:t xml:space="preserve"> art. 22</w:t>
      </w:r>
    </w:p>
  </w:footnote>
  <w:footnote w:id="32">
    <w:p w14:paraId="373BB424" w14:textId="78E73E77" w:rsidR="278EA299" w:rsidRPr="009B4F49" w:rsidRDefault="278EA299" w:rsidP="278EA299">
      <w:pPr>
        <w:pStyle w:val="FootnoteText"/>
        <w:rPr>
          <w:rFonts w:cstheme="minorHAnsi"/>
          <w:i/>
          <w:iCs/>
          <w:sz w:val="18"/>
          <w:szCs w:val="18"/>
        </w:rPr>
      </w:pPr>
      <w:r w:rsidRPr="00536B42">
        <w:rPr>
          <w:rStyle w:val="FootnoteReference"/>
          <w:rFonts w:cstheme="minorHAnsi"/>
          <w:sz w:val="18"/>
          <w:szCs w:val="18"/>
        </w:rPr>
        <w:footnoteRef/>
      </w:r>
      <w:r w:rsidR="00844996" w:rsidRPr="00536B42">
        <w:rPr>
          <w:rFonts w:cstheme="minorHAnsi"/>
          <w:sz w:val="18"/>
          <w:szCs w:val="18"/>
        </w:rPr>
        <w:t xml:space="preserve"> UN Committee on the Elimination of Discrimination Against Women, </w:t>
      </w:r>
      <w:proofErr w:type="gramStart"/>
      <w:r w:rsidR="009B4F49">
        <w:rPr>
          <w:rFonts w:cstheme="minorHAnsi"/>
          <w:i/>
          <w:iCs/>
          <w:sz w:val="18"/>
          <w:szCs w:val="18"/>
        </w:rPr>
        <w:t>supra 19</w:t>
      </w:r>
      <w:proofErr w:type="gramEnd"/>
    </w:p>
  </w:footnote>
  <w:footnote w:id="33">
    <w:p w14:paraId="760F95B4" w14:textId="32B54366"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w:t>
      </w:r>
      <w:r w:rsidR="009B4F49">
        <w:rPr>
          <w:rFonts w:cstheme="minorHAnsi"/>
          <w:i/>
          <w:iCs/>
          <w:sz w:val="18"/>
          <w:szCs w:val="18"/>
        </w:rPr>
        <w:t>Ibid.</w:t>
      </w:r>
      <w:r w:rsidR="00844996" w:rsidRPr="00536B42">
        <w:rPr>
          <w:rFonts w:cstheme="minorHAnsi"/>
          <w:sz w:val="18"/>
          <w:szCs w:val="18"/>
        </w:rPr>
        <w:t xml:space="preserve">, </w:t>
      </w:r>
      <w:r w:rsidRPr="00536B42">
        <w:rPr>
          <w:rFonts w:cstheme="minorHAnsi"/>
          <w:sz w:val="18"/>
          <w:szCs w:val="18"/>
        </w:rPr>
        <w:t>para. 29(c)</w:t>
      </w:r>
    </w:p>
  </w:footnote>
  <w:footnote w:id="34">
    <w:p w14:paraId="3A98216F" w14:textId="71BC1D99"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w:t>
      </w:r>
      <w:r w:rsidR="00844996" w:rsidRPr="00536B42">
        <w:rPr>
          <w:rFonts w:cstheme="minorHAnsi"/>
          <w:sz w:val="18"/>
          <w:szCs w:val="18"/>
        </w:rPr>
        <w:t xml:space="preserve">ILO Convention No. 169 (1989), C169, </w:t>
      </w:r>
      <w:r w:rsidRPr="00536B42">
        <w:rPr>
          <w:rFonts w:cstheme="minorHAnsi"/>
          <w:sz w:val="18"/>
          <w:szCs w:val="18"/>
        </w:rPr>
        <w:t>art. 15.1</w:t>
      </w:r>
    </w:p>
  </w:footnote>
  <w:footnote w:id="35">
    <w:p w14:paraId="624BA846" w14:textId="74BE1CCE"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w:t>
      </w:r>
      <w:r w:rsidR="00844996" w:rsidRPr="00536B42">
        <w:rPr>
          <w:rFonts w:eastAsia="Garamond" w:cstheme="minorHAnsi"/>
          <w:sz w:val="18"/>
          <w:szCs w:val="18"/>
        </w:rPr>
        <w:t>UNDRIP (2007), A/RES/61/295,</w:t>
      </w:r>
      <w:r w:rsidR="00844996" w:rsidRPr="00536B42">
        <w:rPr>
          <w:rFonts w:cstheme="minorHAnsi"/>
          <w:sz w:val="18"/>
          <w:szCs w:val="18"/>
        </w:rPr>
        <w:t xml:space="preserve"> </w:t>
      </w:r>
      <w:r w:rsidRPr="00536B42">
        <w:rPr>
          <w:rFonts w:cstheme="minorHAnsi"/>
          <w:sz w:val="18"/>
          <w:szCs w:val="18"/>
        </w:rPr>
        <w:t>art. 29.1</w:t>
      </w:r>
    </w:p>
  </w:footnote>
  <w:footnote w:id="36">
    <w:p w14:paraId="42AD1EEE" w14:textId="778631E7"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Inter-American Court of Human Rights, Advisory Opinion OC-23/17 of November 15, 2017, on the Environment and Human Rights, para. 48</w:t>
      </w:r>
    </w:p>
  </w:footnote>
  <w:footnote w:id="37">
    <w:p w14:paraId="63BC5D61" w14:textId="35FBDDA6" w:rsidR="278EA299" w:rsidRPr="00536B42" w:rsidRDefault="278EA299" w:rsidP="278EA299">
      <w:pPr>
        <w:pStyle w:val="FootnoteText"/>
        <w:rPr>
          <w:rFonts w:cstheme="minorHAnsi"/>
          <w:sz w:val="18"/>
          <w:szCs w:val="18"/>
        </w:rPr>
      </w:pPr>
      <w:r w:rsidRPr="00536B42">
        <w:rPr>
          <w:rStyle w:val="FootnoteReference"/>
          <w:rFonts w:cstheme="minorHAnsi"/>
          <w:sz w:val="18"/>
          <w:szCs w:val="18"/>
        </w:rPr>
        <w:footnoteRef/>
      </w:r>
      <w:r w:rsidRPr="00536B42">
        <w:rPr>
          <w:rFonts w:cstheme="minorHAnsi"/>
          <w:sz w:val="18"/>
          <w:szCs w:val="18"/>
        </w:rPr>
        <w:t xml:space="preserve"> John H. Knox, Report of the Special Rapporteur on the issue of human rights obligations relating to the enjoyment of a safe, clean, </w:t>
      </w:r>
      <w:proofErr w:type="gramStart"/>
      <w:r w:rsidRPr="00536B42">
        <w:rPr>
          <w:rFonts w:cstheme="minorHAnsi"/>
          <w:sz w:val="18"/>
          <w:szCs w:val="18"/>
        </w:rPr>
        <w:t>healthy</w:t>
      </w:r>
      <w:proofErr w:type="gramEnd"/>
      <w:r w:rsidRPr="00536B42">
        <w:rPr>
          <w:rFonts w:cstheme="minorHAnsi"/>
          <w:sz w:val="18"/>
          <w:szCs w:val="18"/>
        </w:rPr>
        <w:t xml:space="preserve"> and sustainable environment (2018), A/HRC/37/59</w:t>
      </w:r>
    </w:p>
  </w:footnote>
  <w:footnote w:id="38">
    <w:p w14:paraId="47AF37D8" w14:textId="77777777" w:rsidR="0025652C" w:rsidRPr="00536B42" w:rsidRDefault="0025652C" w:rsidP="0025652C">
      <w:pPr>
        <w:pStyle w:val="FootnoteText"/>
        <w:rPr>
          <w:sz w:val="18"/>
          <w:szCs w:val="18"/>
        </w:rPr>
      </w:pPr>
      <w:r w:rsidRPr="00536B42">
        <w:rPr>
          <w:rStyle w:val="FootnoteReference"/>
          <w:sz w:val="18"/>
          <w:szCs w:val="18"/>
        </w:rPr>
        <w:footnoteRef/>
      </w:r>
      <w:r w:rsidRPr="00536B42">
        <w:rPr>
          <w:sz w:val="18"/>
          <w:szCs w:val="18"/>
        </w:rPr>
        <w:t xml:space="preserve"> Replies of Guatemala to the list of issues in relation to its</w:t>
      </w:r>
    </w:p>
    <w:p w14:paraId="27FE2B4B" w14:textId="77777777" w:rsidR="0025652C" w:rsidRPr="00536B42" w:rsidRDefault="0025652C" w:rsidP="0025652C">
      <w:pPr>
        <w:pStyle w:val="FootnoteText"/>
        <w:rPr>
          <w:sz w:val="18"/>
          <w:szCs w:val="18"/>
          <w:lang w:val="es-ES"/>
        </w:rPr>
      </w:pPr>
      <w:r w:rsidRPr="00536B42">
        <w:rPr>
          <w:sz w:val="18"/>
          <w:szCs w:val="18"/>
        </w:rPr>
        <w:t xml:space="preserve">fourth periodic report to the Committee on Economic, Social and Cultural Rights (2022), </w:t>
      </w:r>
      <w:proofErr w:type="spellStart"/>
      <w:r w:rsidRPr="00536B42">
        <w:rPr>
          <w:sz w:val="18"/>
          <w:szCs w:val="18"/>
        </w:rPr>
        <w:t>UNDoc</w:t>
      </w:r>
      <w:proofErr w:type="spellEnd"/>
      <w:r w:rsidRPr="00536B42">
        <w:rPr>
          <w:sz w:val="18"/>
          <w:szCs w:val="18"/>
        </w:rPr>
        <w:t xml:space="preserve"> E/C.12/GTM/RQ/4, paras. 18-20.  </w:t>
      </w:r>
    </w:p>
  </w:footnote>
  <w:footnote w:id="39">
    <w:p w14:paraId="6AA50A06" w14:textId="77777777" w:rsidR="00802B2C" w:rsidRPr="00536B42" w:rsidRDefault="00802B2C" w:rsidP="00802B2C">
      <w:pPr>
        <w:pStyle w:val="FootnoteText"/>
        <w:rPr>
          <w:sz w:val="18"/>
          <w:szCs w:val="18"/>
        </w:rPr>
      </w:pPr>
      <w:r w:rsidRPr="00536B42">
        <w:rPr>
          <w:rStyle w:val="FootnoteReference"/>
          <w:sz w:val="18"/>
          <w:szCs w:val="18"/>
        </w:rPr>
        <w:footnoteRef/>
      </w:r>
      <w:r w:rsidRPr="00536B42">
        <w:rPr>
          <w:sz w:val="18"/>
          <w:szCs w:val="18"/>
        </w:rPr>
        <w:t xml:space="preserve"> See for example the case of </w:t>
      </w:r>
      <w:proofErr w:type="spellStart"/>
      <w:r w:rsidRPr="00536B42">
        <w:rPr>
          <w:sz w:val="18"/>
          <w:szCs w:val="18"/>
        </w:rPr>
        <w:t>Électricité</w:t>
      </w:r>
      <w:proofErr w:type="spellEnd"/>
      <w:r w:rsidRPr="00536B42">
        <w:rPr>
          <w:sz w:val="18"/>
          <w:szCs w:val="18"/>
        </w:rPr>
        <w:t xml:space="preserve"> de France’s human rights violating windfarm project in Union Hidalgo, Mexico: https://www.gi-escr.org/latest-news/un-experts-call-on-all-edfs-key-stakeholders-to-uphold-their-human-rights-obligations-in-the-development-of-a-wind-farm-in-unin-hidalgo-mexico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1E4FB" w14:textId="7E731256" w:rsidR="006A733A" w:rsidRDefault="00421B4F" w:rsidP="006A733A">
    <w:pPr>
      <w:pStyle w:val="Header"/>
    </w:pPr>
    <w:r w:rsidRPr="004E7E21">
      <w:rPr>
        <w:noProof/>
      </w:rPr>
      <w:drawing>
        <wp:anchor distT="0" distB="0" distL="114300" distR="114300" simplePos="0" relativeHeight="251670528" behindDoc="0" locked="0" layoutInCell="1" allowOverlap="1" wp14:anchorId="45A5ECB9" wp14:editId="0080D18B">
          <wp:simplePos x="0" y="0"/>
          <wp:positionH relativeFrom="column">
            <wp:posOffset>5230404</wp:posOffset>
          </wp:positionH>
          <wp:positionV relativeFrom="paragraph">
            <wp:posOffset>339725</wp:posOffset>
          </wp:positionV>
          <wp:extent cx="698500" cy="660400"/>
          <wp:effectExtent l="0" t="0" r="0" b="0"/>
          <wp:wrapSquare wrapText="bothSides"/>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98500" cy="660400"/>
                  </a:xfrm>
                  <a:prstGeom prst="rect">
                    <a:avLst/>
                  </a:prstGeom>
                </pic:spPr>
              </pic:pic>
            </a:graphicData>
          </a:graphic>
          <wp14:sizeRelH relativeFrom="page">
            <wp14:pctWidth>0</wp14:pctWidth>
          </wp14:sizeRelH>
          <wp14:sizeRelV relativeFrom="page">
            <wp14:pctHeight>0</wp14:pctHeight>
          </wp14:sizeRelV>
        </wp:anchor>
      </w:drawing>
    </w:r>
  </w:p>
  <w:p w14:paraId="3E4A1300" w14:textId="2DC5E02A" w:rsidR="00421B4F" w:rsidRDefault="00421B4F" w:rsidP="006A733A">
    <w:pPr>
      <w:pStyle w:val="Header"/>
    </w:pPr>
    <w:r>
      <w:rPr>
        <w:noProof/>
      </w:rPr>
      <w:drawing>
        <wp:anchor distT="0" distB="0" distL="114300" distR="114300" simplePos="0" relativeHeight="251666432" behindDoc="0" locked="0" layoutInCell="1" allowOverlap="1" wp14:anchorId="6AE100B6" wp14:editId="0142CDCD">
          <wp:simplePos x="0" y="0"/>
          <wp:positionH relativeFrom="margin">
            <wp:posOffset>2263775</wp:posOffset>
          </wp:positionH>
          <wp:positionV relativeFrom="margin">
            <wp:posOffset>-983615</wp:posOffset>
          </wp:positionV>
          <wp:extent cx="660400" cy="660400"/>
          <wp:effectExtent l="0" t="0" r="0" b="0"/>
          <wp:wrapSquare wrapText="bothSides"/>
          <wp:docPr id="297098145" name="Picture 297098145" descr="A picture containing text,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7098145" name="Picture 297098145" descr="A picture containing text, sig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14:anchorId="66266F80" wp14:editId="31EC72CF">
          <wp:simplePos x="0" y="0"/>
          <wp:positionH relativeFrom="column">
            <wp:posOffset>3426007</wp:posOffset>
          </wp:positionH>
          <wp:positionV relativeFrom="paragraph">
            <wp:posOffset>290830</wp:posOffset>
          </wp:positionV>
          <wp:extent cx="1356689" cy="480060"/>
          <wp:effectExtent l="0" t="0" r="2540" b="2540"/>
          <wp:wrapSquare wrapText="bothSides"/>
          <wp:docPr id="3" name="Imagen 3"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A picture containing icon&#10;&#10;Description automatically generated"/>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6689" cy="480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454A7147" wp14:editId="159B098C">
          <wp:simplePos x="0" y="0"/>
          <wp:positionH relativeFrom="column">
            <wp:posOffset>-78740</wp:posOffset>
          </wp:positionH>
          <wp:positionV relativeFrom="paragraph">
            <wp:posOffset>172720</wp:posOffset>
          </wp:positionV>
          <wp:extent cx="1972945" cy="660400"/>
          <wp:effectExtent l="0" t="0" r="0" b="0"/>
          <wp:wrapTopAndBottom/>
          <wp:docPr id="230400198" name="Picture 230400198"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400198" name="Picture 230400198" descr="A picture containing text&#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72945" cy="660400"/>
                  </a:xfrm>
                  <a:prstGeom prst="rect">
                    <a:avLst/>
                  </a:prstGeom>
                </pic:spPr>
              </pic:pic>
            </a:graphicData>
          </a:graphic>
          <wp14:sizeRelH relativeFrom="page">
            <wp14:pctWidth>0</wp14:pctWidth>
          </wp14:sizeRelH>
          <wp14:sizeRelV relativeFrom="page">
            <wp14:pctHeight>0</wp14:pctHeight>
          </wp14:sizeRelV>
        </wp:anchor>
      </w:drawing>
    </w:r>
  </w:p>
  <w:p w14:paraId="6A73AFE7" w14:textId="77777777" w:rsidR="00421B4F" w:rsidRDefault="00421B4F" w:rsidP="006A733A">
    <w:pPr>
      <w:pStyle w:val="Header"/>
    </w:pPr>
  </w:p>
  <w:p w14:paraId="09614E1A" w14:textId="55B34483" w:rsidR="006A733A" w:rsidRDefault="006A733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KWucl6bJ" int2:invalidationBookmarkName="" int2:hashCode="yWNru2ckMA+VmL" int2:id="tcOy2dtf">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B2E6"/>
    <w:multiLevelType w:val="hybridMultilevel"/>
    <w:tmpl w:val="1EB8C5F0"/>
    <w:lvl w:ilvl="0" w:tplc="40208200">
      <w:start w:val="1"/>
      <w:numFmt w:val="bullet"/>
      <w:lvlText w:val="-"/>
      <w:lvlJc w:val="left"/>
      <w:pPr>
        <w:ind w:left="720" w:hanging="360"/>
      </w:pPr>
      <w:rPr>
        <w:rFonts w:ascii="Calibri" w:hAnsi="Calibri" w:hint="default"/>
      </w:rPr>
    </w:lvl>
    <w:lvl w:ilvl="1" w:tplc="CE228320">
      <w:start w:val="1"/>
      <w:numFmt w:val="bullet"/>
      <w:lvlText w:val="o"/>
      <w:lvlJc w:val="left"/>
      <w:pPr>
        <w:ind w:left="1440" w:hanging="360"/>
      </w:pPr>
      <w:rPr>
        <w:rFonts w:ascii="Courier New" w:hAnsi="Courier New" w:hint="default"/>
      </w:rPr>
    </w:lvl>
    <w:lvl w:ilvl="2" w:tplc="C144EA92">
      <w:start w:val="1"/>
      <w:numFmt w:val="bullet"/>
      <w:lvlText w:val=""/>
      <w:lvlJc w:val="left"/>
      <w:pPr>
        <w:ind w:left="2160" w:hanging="360"/>
      </w:pPr>
      <w:rPr>
        <w:rFonts w:ascii="Wingdings" w:hAnsi="Wingdings" w:hint="default"/>
      </w:rPr>
    </w:lvl>
    <w:lvl w:ilvl="3" w:tplc="64CEC290">
      <w:start w:val="1"/>
      <w:numFmt w:val="bullet"/>
      <w:lvlText w:val=""/>
      <w:lvlJc w:val="left"/>
      <w:pPr>
        <w:ind w:left="2880" w:hanging="360"/>
      </w:pPr>
      <w:rPr>
        <w:rFonts w:ascii="Symbol" w:hAnsi="Symbol" w:hint="default"/>
      </w:rPr>
    </w:lvl>
    <w:lvl w:ilvl="4" w:tplc="8DE04112">
      <w:start w:val="1"/>
      <w:numFmt w:val="bullet"/>
      <w:lvlText w:val="o"/>
      <w:lvlJc w:val="left"/>
      <w:pPr>
        <w:ind w:left="3600" w:hanging="360"/>
      </w:pPr>
      <w:rPr>
        <w:rFonts w:ascii="Courier New" w:hAnsi="Courier New" w:hint="default"/>
      </w:rPr>
    </w:lvl>
    <w:lvl w:ilvl="5" w:tplc="BF3CE684">
      <w:start w:val="1"/>
      <w:numFmt w:val="bullet"/>
      <w:lvlText w:val=""/>
      <w:lvlJc w:val="left"/>
      <w:pPr>
        <w:ind w:left="4320" w:hanging="360"/>
      </w:pPr>
      <w:rPr>
        <w:rFonts w:ascii="Wingdings" w:hAnsi="Wingdings" w:hint="default"/>
      </w:rPr>
    </w:lvl>
    <w:lvl w:ilvl="6" w:tplc="0B5ABBD6">
      <w:start w:val="1"/>
      <w:numFmt w:val="bullet"/>
      <w:lvlText w:val=""/>
      <w:lvlJc w:val="left"/>
      <w:pPr>
        <w:ind w:left="5040" w:hanging="360"/>
      </w:pPr>
      <w:rPr>
        <w:rFonts w:ascii="Symbol" w:hAnsi="Symbol" w:hint="default"/>
      </w:rPr>
    </w:lvl>
    <w:lvl w:ilvl="7" w:tplc="B5064668">
      <w:start w:val="1"/>
      <w:numFmt w:val="bullet"/>
      <w:lvlText w:val="o"/>
      <w:lvlJc w:val="left"/>
      <w:pPr>
        <w:ind w:left="5760" w:hanging="360"/>
      </w:pPr>
      <w:rPr>
        <w:rFonts w:ascii="Courier New" w:hAnsi="Courier New" w:hint="default"/>
      </w:rPr>
    </w:lvl>
    <w:lvl w:ilvl="8" w:tplc="78FC00EA">
      <w:start w:val="1"/>
      <w:numFmt w:val="bullet"/>
      <w:lvlText w:val=""/>
      <w:lvlJc w:val="left"/>
      <w:pPr>
        <w:ind w:left="6480" w:hanging="360"/>
      </w:pPr>
      <w:rPr>
        <w:rFonts w:ascii="Wingdings" w:hAnsi="Wingdings" w:hint="default"/>
      </w:rPr>
    </w:lvl>
  </w:abstractNum>
  <w:abstractNum w:abstractNumId="1" w15:restartNumberingAfterBreak="0">
    <w:nsid w:val="0F0A9324"/>
    <w:multiLevelType w:val="hybridMultilevel"/>
    <w:tmpl w:val="76B6A54A"/>
    <w:lvl w:ilvl="0" w:tplc="7646E868">
      <w:start w:val="1"/>
      <w:numFmt w:val="decimal"/>
      <w:lvlText w:val="%1."/>
      <w:lvlJc w:val="left"/>
      <w:pPr>
        <w:ind w:left="644" w:hanging="360"/>
      </w:pPr>
      <w:rPr>
        <w:color w:val="000000" w:themeColor="text1"/>
      </w:rPr>
    </w:lvl>
    <w:lvl w:ilvl="1" w:tplc="F8F69378">
      <w:start w:val="1"/>
      <w:numFmt w:val="lowerLetter"/>
      <w:lvlText w:val="%2."/>
      <w:lvlJc w:val="left"/>
      <w:pPr>
        <w:ind w:left="1440" w:hanging="360"/>
      </w:pPr>
    </w:lvl>
    <w:lvl w:ilvl="2" w:tplc="F0FC7A5A">
      <w:start w:val="1"/>
      <w:numFmt w:val="lowerRoman"/>
      <w:lvlText w:val="%3."/>
      <w:lvlJc w:val="right"/>
      <w:pPr>
        <w:ind w:left="2160" w:hanging="180"/>
      </w:pPr>
    </w:lvl>
    <w:lvl w:ilvl="3" w:tplc="6A64D4C0">
      <w:start w:val="1"/>
      <w:numFmt w:val="decimal"/>
      <w:lvlText w:val="%4."/>
      <w:lvlJc w:val="left"/>
      <w:pPr>
        <w:ind w:left="2880" w:hanging="360"/>
      </w:pPr>
    </w:lvl>
    <w:lvl w:ilvl="4" w:tplc="7632C2D2">
      <w:start w:val="1"/>
      <w:numFmt w:val="lowerLetter"/>
      <w:lvlText w:val="%5."/>
      <w:lvlJc w:val="left"/>
      <w:pPr>
        <w:ind w:left="3600" w:hanging="360"/>
      </w:pPr>
    </w:lvl>
    <w:lvl w:ilvl="5" w:tplc="934A0268">
      <w:start w:val="1"/>
      <w:numFmt w:val="lowerRoman"/>
      <w:lvlText w:val="%6."/>
      <w:lvlJc w:val="right"/>
      <w:pPr>
        <w:ind w:left="4320" w:hanging="180"/>
      </w:pPr>
    </w:lvl>
    <w:lvl w:ilvl="6" w:tplc="8A16D24A">
      <w:start w:val="1"/>
      <w:numFmt w:val="decimal"/>
      <w:lvlText w:val="%7."/>
      <w:lvlJc w:val="left"/>
      <w:pPr>
        <w:ind w:left="5040" w:hanging="360"/>
      </w:pPr>
    </w:lvl>
    <w:lvl w:ilvl="7" w:tplc="1C5409B4">
      <w:start w:val="1"/>
      <w:numFmt w:val="lowerLetter"/>
      <w:lvlText w:val="%8."/>
      <w:lvlJc w:val="left"/>
      <w:pPr>
        <w:ind w:left="5760" w:hanging="360"/>
      </w:pPr>
    </w:lvl>
    <w:lvl w:ilvl="8" w:tplc="8CB0B0B2">
      <w:start w:val="1"/>
      <w:numFmt w:val="lowerRoman"/>
      <w:lvlText w:val="%9."/>
      <w:lvlJc w:val="right"/>
      <w:pPr>
        <w:ind w:left="6480" w:hanging="180"/>
      </w:pPr>
    </w:lvl>
  </w:abstractNum>
  <w:abstractNum w:abstractNumId="2" w15:restartNumberingAfterBreak="0">
    <w:nsid w:val="1564E49F"/>
    <w:multiLevelType w:val="hybridMultilevel"/>
    <w:tmpl w:val="35B84AAE"/>
    <w:lvl w:ilvl="0" w:tplc="7BD66666">
      <w:start w:val="1"/>
      <w:numFmt w:val="bullet"/>
      <w:lvlText w:val="-"/>
      <w:lvlJc w:val="left"/>
      <w:pPr>
        <w:ind w:left="1080" w:hanging="360"/>
      </w:pPr>
      <w:rPr>
        <w:rFonts w:ascii="Calibri" w:hAnsi="Calibri" w:hint="default"/>
      </w:rPr>
    </w:lvl>
    <w:lvl w:ilvl="1" w:tplc="E4F63FBA">
      <w:start w:val="1"/>
      <w:numFmt w:val="bullet"/>
      <w:lvlText w:val="o"/>
      <w:lvlJc w:val="left"/>
      <w:pPr>
        <w:ind w:left="1800" w:hanging="360"/>
      </w:pPr>
      <w:rPr>
        <w:rFonts w:ascii="Courier New" w:hAnsi="Courier New" w:hint="default"/>
      </w:rPr>
    </w:lvl>
    <w:lvl w:ilvl="2" w:tplc="355C616C">
      <w:start w:val="1"/>
      <w:numFmt w:val="bullet"/>
      <w:lvlText w:val=""/>
      <w:lvlJc w:val="left"/>
      <w:pPr>
        <w:ind w:left="2520" w:hanging="360"/>
      </w:pPr>
      <w:rPr>
        <w:rFonts w:ascii="Wingdings" w:hAnsi="Wingdings" w:hint="default"/>
      </w:rPr>
    </w:lvl>
    <w:lvl w:ilvl="3" w:tplc="CFAEE026">
      <w:start w:val="1"/>
      <w:numFmt w:val="bullet"/>
      <w:lvlText w:val=""/>
      <w:lvlJc w:val="left"/>
      <w:pPr>
        <w:ind w:left="3240" w:hanging="360"/>
      </w:pPr>
      <w:rPr>
        <w:rFonts w:ascii="Symbol" w:hAnsi="Symbol" w:hint="default"/>
      </w:rPr>
    </w:lvl>
    <w:lvl w:ilvl="4" w:tplc="C9900EDC">
      <w:start w:val="1"/>
      <w:numFmt w:val="bullet"/>
      <w:lvlText w:val="o"/>
      <w:lvlJc w:val="left"/>
      <w:pPr>
        <w:ind w:left="3960" w:hanging="360"/>
      </w:pPr>
      <w:rPr>
        <w:rFonts w:ascii="Courier New" w:hAnsi="Courier New" w:hint="default"/>
      </w:rPr>
    </w:lvl>
    <w:lvl w:ilvl="5" w:tplc="5C64C54C">
      <w:start w:val="1"/>
      <w:numFmt w:val="bullet"/>
      <w:lvlText w:val=""/>
      <w:lvlJc w:val="left"/>
      <w:pPr>
        <w:ind w:left="4680" w:hanging="360"/>
      </w:pPr>
      <w:rPr>
        <w:rFonts w:ascii="Wingdings" w:hAnsi="Wingdings" w:hint="default"/>
      </w:rPr>
    </w:lvl>
    <w:lvl w:ilvl="6" w:tplc="8962DD0E">
      <w:start w:val="1"/>
      <w:numFmt w:val="bullet"/>
      <w:lvlText w:val=""/>
      <w:lvlJc w:val="left"/>
      <w:pPr>
        <w:ind w:left="5400" w:hanging="360"/>
      </w:pPr>
      <w:rPr>
        <w:rFonts w:ascii="Symbol" w:hAnsi="Symbol" w:hint="default"/>
      </w:rPr>
    </w:lvl>
    <w:lvl w:ilvl="7" w:tplc="0ACA56A2">
      <w:start w:val="1"/>
      <w:numFmt w:val="bullet"/>
      <w:lvlText w:val="o"/>
      <w:lvlJc w:val="left"/>
      <w:pPr>
        <w:ind w:left="6120" w:hanging="360"/>
      </w:pPr>
      <w:rPr>
        <w:rFonts w:ascii="Courier New" w:hAnsi="Courier New" w:hint="default"/>
      </w:rPr>
    </w:lvl>
    <w:lvl w:ilvl="8" w:tplc="0D92FE0E">
      <w:start w:val="1"/>
      <w:numFmt w:val="bullet"/>
      <w:lvlText w:val=""/>
      <w:lvlJc w:val="left"/>
      <w:pPr>
        <w:ind w:left="6840" w:hanging="360"/>
      </w:pPr>
      <w:rPr>
        <w:rFonts w:ascii="Wingdings" w:hAnsi="Wingdings" w:hint="default"/>
      </w:rPr>
    </w:lvl>
  </w:abstractNum>
  <w:abstractNum w:abstractNumId="3" w15:restartNumberingAfterBreak="0">
    <w:nsid w:val="16DD19E7"/>
    <w:multiLevelType w:val="hybridMultilevel"/>
    <w:tmpl w:val="98AC9466"/>
    <w:lvl w:ilvl="0" w:tplc="B87625DE">
      <w:start w:val="1"/>
      <w:numFmt w:val="bullet"/>
      <w:lvlText w:val="-"/>
      <w:lvlJc w:val="left"/>
      <w:pPr>
        <w:ind w:left="720" w:hanging="360"/>
      </w:pPr>
      <w:rPr>
        <w:rFonts w:ascii="Calibri" w:hAnsi="Calibri" w:hint="default"/>
      </w:rPr>
    </w:lvl>
    <w:lvl w:ilvl="1" w:tplc="3CF273D4">
      <w:start w:val="1"/>
      <w:numFmt w:val="bullet"/>
      <w:lvlText w:val="o"/>
      <w:lvlJc w:val="left"/>
      <w:pPr>
        <w:ind w:left="1440" w:hanging="360"/>
      </w:pPr>
      <w:rPr>
        <w:rFonts w:ascii="Courier New" w:hAnsi="Courier New" w:hint="default"/>
      </w:rPr>
    </w:lvl>
    <w:lvl w:ilvl="2" w:tplc="F6E2F3CA">
      <w:start w:val="1"/>
      <w:numFmt w:val="bullet"/>
      <w:lvlText w:val=""/>
      <w:lvlJc w:val="left"/>
      <w:pPr>
        <w:ind w:left="2160" w:hanging="360"/>
      </w:pPr>
      <w:rPr>
        <w:rFonts w:ascii="Wingdings" w:hAnsi="Wingdings" w:hint="default"/>
      </w:rPr>
    </w:lvl>
    <w:lvl w:ilvl="3" w:tplc="31C0DE02">
      <w:start w:val="1"/>
      <w:numFmt w:val="bullet"/>
      <w:lvlText w:val=""/>
      <w:lvlJc w:val="left"/>
      <w:pPr>
        <w:ind w:left="2880" w:hanging="360"/>
      </w:pPr>
      <w:rPr>
        <w:rFonts w:ascii="Symbol" w:hAnsi="Symbol" w:hint="default"/>
      </w:rPr>
    </w:lvl>
    <w:lvl w:ilvl="4" w:tplc="89A276E0">
      <w:start w:val="1"/>
      <w:numFmt w:val="bullet"/>
      <w:lvlText w:val="o"/>
      <w:lvlJc w:val="left"/>
      <w:pPr>
        <w:ind w:left="3600" w:hanging="360"/>
      </w:pPr>
      <w:rPr>
        <w:rFonts w:ascii="Courier New" w:hAnsi="Courier New" w:hint="default"/>
      </w:rPr>
    </w:lvl>
    <w:lvl w:ilvl="5" w:tplc="CB04D1C2">
      <w:start w:val="1"/>
      <w:numFmt w:val="bullet"/>
      <w:lvlText w:val=""/>
      <w:lvlJc w:val="left"/>
      <w:pPr>
        <w:ind w:left="4320" w:hanging="360"/>
      </w:pPr>
      <w:rPr>
        <w:rFonts w:ascii="Wingdings" w:hAnsi="Wingdings" w:hint="default"/>
      </w:rPr>
    </w:lvl>
    <w:lvl w:ilvl="6" w:tplc="9ABA5A32">
      <w:start w:val="1"/>
      <w:numFmt w:val="bullet"/>
      <w:lvlText w:val=""/>
      <w:lvlJc w:val="left"/>
      <w:pPr>
        <w:ind w:left="5040" w:hanging="360"/>
      </w:pPr>
      <w:rPr>
        <w:rFonts w:ascii="Symbol" w:hAnsi="Symbol" w:hint="default"/>
      </w:rPr>
    </w:lvl>
    <w:lvl w:ilvl="7" w:tplc="99AAA622">
      <w:start w:val="1"/>
      <w:numFmt w:val="bullet"/>
      <w:lvlText w:val="o"/>
      <w:lvlJc w:val="left"/>
      <w:pPr>
        <w:ind w:left="5760" w:hanging="360"/>
      </w:pPr>
      <w:rPr>
        <w:rFonts w:ascii="Courier New" w:hAnsi="Courier New" w:hint="default"/>
      </w:rPr>
    </w:lvl>
    <w:lvl w:ilvl="8" w:tplc="FA88D346">
      <w:start w:val="1"/>
      <w:numFmt w:val="bullet"/>
      <w:lvlText w:val=""/>
      <w:lvlJc w:val="left"/>
      <w:pPr>
        <w:ind w:left="6480" w:hanging="360"/>
      </w:pPr>
      <w:rPr>
        <w:rFonts w:ascii="Wingdings" w:hAnsi="Wingdings" w:hint="default"/>
      </w:rPr>
    </w:lvl>
  </w:abstractNum>
  <w:abstractNum w:abstractNumId="4" w15:restartNumberingAfterBreak="0">
    <w:nsid w:val="1AF0319E"/>
    <w:multiLevelType w:val="hybridMultilevel"/>
    <w:tmpl w:val="76B6A54A"/>
    <w:lvl w:ilvl="0" w:tplc="FFFFFFFF">
      <w:start w:val="1"/>
      <w:numFmt w:val="decimal"/>
      <w:lvlText w:val="%1."/>
      <w:lvlJc w:val="left"/>
      <w:pPr>
        <w:ind w:left="644" w:hanging="360"/>
      </w:pPr>
      <w:rPr>
        <w:color w:val="000000" w:themeColor="text1"/>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15:restartNumberingAfterBreak="0">
    <w:nsid w:val="4F0C181C"/>
    <w:multiLevelType w:val="hybridMultilevel"/>
    <w:tmpl w:val="D33639B4"/>
    <w:lvl w:ilvl="0" w:tplc="3A1C8F3A">
      <w:start w:val="1"/>
      <w:numFmt w:val="bullet"/>
      <w:lvlText w:val="-"/>
      <w:lvlJc w:val="left"/>
      <w:pPr>
        <w:ind w:left="720" w:hanging="360"/>
      </w:pPr>
      <w:rPr>
        <w:rFonts w:ascii="Calibri" w:hAnsi="Calibri" w:hint="default"/>
      </w:rPr>
    </w:lvl>
    <w:lvl w:ilvl="1" w:tplc="36E8AE08">
      <w:start w:val="1"/>
      <w:numFmt w:val="bullet"/>
      <w:lvlText w:val="o"/>
      <w:lvlJc w:val="left"/>
      <w:pPr>
        <w:ind w:left="1440" w:hanging="360"/>
      </w:pPr>
      <w:rPr>
        <w:rFonts w:ascii="Courier New" w:hAnsi="Courier New" w:hint="default"/>
      </w:rPr>
    </w:lvl>
    <w:lvl w:ilvl="2" w:tplc="16CAB7A4">
      <w:start w:val="1"/>
      <w:numFmt w:val="bullet"/>
      <w:lvlText w:val=""/>
      <w:lvlJc w:val="left"/>
      <w:pPr>
        <w:ind w:left="2160" w:hanging="360"/>
      </w:pPr>
      <w:rPr>
        <w:rFonts w:ascii="Wingdings" w:hAnsi="Wingdings" w:hint="default"/>
      </w:rPr>
    </w:lvl>
    <w:lvl w:ilvl="3" w:tplc="91BA217C">
      <w:start w:val="1"/>
      <w:numFmt w:val="bullet"/>
      <w:lvlText w:val=""/>
      <w:lvlJc w:val="left"/>
      <w:pPr>
        <w:ind w:left="2880" w:hanging="360"/>
      </w:pPr>
      <w:rPr>
        <w:rFonts w:ascii="Symbol" w:hAnsi="Symbol" w:hint="default"/>
      </w:rPr>
    </w:lvl>
    <w:lvl w:ilvl="4" w:tplc="D89210BA">
      <w:start w:val="1"/>
      <w:numFmt w:val="bullet"/>
      <w:lvlText w:val="o"/>
      <w:lvlJc w:val="left"/>
      <w:pPr>
        <w:ind w:left="3600" w:hanging="360"/>
      </w:pPr>
      <w:rPr>
        <w:rFonts w:ascii="Courier New" w:hAnsi="Courier New" w:hint="default"/>
      </w:rPr>
    </w:lvl>
    <w:lvl w:ilvl="5" w:tplc="2B247AAE">
      <w:start w:val="1"/>
      <w:numFmt w:val="bullet"/>
      <w:lvlText w:val=""/>
      <w:lvlJc w:val="left"/>
      <w:pPr>
        <w:ind w:left="4320" w:hanging="360"/>
      </w:pPr>
      <w:rPr>
        <w:rFonts w:ascii="Wingdings" w:hAnsi="Wingdings" w:hint="default"/>
      </w:rPr>
    </w:lvl>
    <w:lvl w:ilvl="6" w:tplc="CA38652E">
      <w:start w:val="1"/>
      <w:numFmt w:val="bullet"/>
      <w:lvlText w:val=""/>
      <w:lvlJc w:val="left"/>
      <w:pPr>
        <w:ind w:left="5040" w:hanging="360"/>
      </w:pPr>
      <w:rPr>
        <w:rFonts w:ascii="Symbol" w:hAnsi="Symbol" w:hint="default"/>
      </w:rPr>
    </w:lvl>
    <w:lvl w:ilvl="7" w:tplc="22928B72">
      <w:start w:val="1"/>
      <w:numFmt w:val="bullet"/>
      <w:lvlText w:val="o"/>
      <w:lvlJc w:val="left"/>
      <w:pPr>
        <w:ind w:left="5760" w:hanging="360"/>
      </w:pPr>
      <w:rPr>
        <w:rFonts w:ascii="Courier New" w:hAnsi="Courier New" w:hint="default"/>
      </w:rPr>
    </w:lvl>
    <w:lvl w:ilvl="8" w:tplc="318C4A34">
      <w:start w:val="1"/>
      <w:numFmt w:val="bullet"/>
      <w:lvlText w:val=""/>
      <w:lvlJc w:val="left"/>
      <w:pPr>
        <w:ind w:left="6480" w:hanging="360"/>
      </w:pPr>
      <w:rPr>
        <w:rFonts w:ascii="Wingdings" w:hAnsi="Wingdings" w:hint="default"/>
      </w:rPr>
    </w:lvl>
  </w:abstractNum>
  <w:abstractNum w:abstractNumId="6" w15:restartNumberingAfterBreak="0">
    <w:nsid w:val="5CB7867B"/>
    <w:multiLevelType w:val="hybridMultilevel"/>
    <w:tmpl w:val="CE285D2C"/>
    <w:lvl w:ilvl="0" w:tplc="DD64C95A">
      <w:start w:val="1"/>
      <w:numFmt w:val="bullet"/>
      <w:lvlText w:val="-"/>
      <w:lvlJc w:val="left"/>
      <w:pPr>
        <w:ind w:left="720" w:hanging="360"/>
      </w:pPr>
      <w:rPr>
        <w:rFonts w:ascii="Calibri" w:hAnsi="Calibri" w:hint="default"/>
      </w:rPr>
    </w:lvl>
    <w:lvl w:ilvl="1" w:tplc="FB26A84E">
      <w:start w:val="1"/>
      <w:numFmt w:val="bullet"/>
      <w:lvlText w:val="o"/>
      <w:lvlJc w:val="left"/>
      <w:pPr>
        <w:ind w:left="1440" w:hanging="360"/>
      </w:pPr>
      <w:rPr>
        <w:rFonts w:ascii="Courier New" w:hAnsi="Courier New" w:hint="default"/>
      </w:rPr>
    </w:lvl>
    <w:lvl w:ilvl="2" w:tplc="644C4132">
      <w:start w:val="1"/>
      <w:numFmt w:val="bullet"/>
      <w:lvlText w:val=""/>
      <w:lvlJc w:val="left"/>
      <w:pPr>
        <w:ind w:left="2160" w:hanging="360"/>
      </w:pPr>
      <w:rPr>
        <w:rFonts w:ascii="Wingdings" w:hAnsi="Wingdings" w:hint="default"/>
      </w:rPr>
    </w:lvl>
    <w:lvl w:ilvl="3" w:tplc="93F6DA7A">
      <w:start w:val="1"/>
      <w:numFmt w:val="bullet"/>
      <w:lvlText w:val=""/>
      <w:lvlJc w:val="left"/>
      <w:pPr>
        <w:ind w:left="2880" w:hanging="360"/>
      </w:pPr>
      <w:rPr>
        <w:rFonts w:ascii="Symbol" w:hAnsi="Symbol" w:hint="default"/>
      </w:rPr>
    </w:lvl>
    <w:lvl w:ilvl="4" w:tplc="F40283BA">
      <w:start w:val="1"/>
      <w:numFmt w:val="bullet"/>
      <w:lvlText w:val="o"/>
      <w:lvlJc w:val="left"/>
      <w:pPr>
        <w:ind w:left="3600" w:hanging="360"/>
      </w:pPr>
      <w:rPr>
        <w:rFonts w:ascii="Courier New" w:hAnsi="Courier New" w:hint="default"/>
      </w:rPr>
    </w:lvl>
    <w:lvl w:ilvl="5" w:tplc="F49CBC00">
      <w:start w:val="1"/>
      <w:numFmt w:val="bullet"/>
      <w:lvlText w:val=""/>
      <w:lvlJc w:val="left"/>
      <w:pPr>
        <w:ind w:left="4320" w:hanging="360"/>
      </w:pPr>
      <w:rPr>
        <w:rFonts w:ascii="Wingdings" w:hAnsi="Wingdings" w:hint="default"/>
      </w:rPr>
    </w:lvl>
    <w:lvl w:ilvl="6" w:tplc="BAF020D2">
      <w:start w:val="1"/>
      <w:numFmt w:val="bullet"/>
      <w:lvlText w:val=""/>
      <w:lvlJc w:val="left"/>
      <w:pPr>
        <w:ind w:left="5040" w:hanging="360"/>
      </w:pPr>
      <w:rPr>
        <w:rFonts w:ascii="Symbol" w:hAnsi="Symbol" w:hint="default"/>
      </w:rPr>
    </w:lvl>
    <w:lvl w:ilvl="7" w:tplc="65A0257A">
      <w:start w:val="1"/>
      <w:numFmt w:val="bullet"/>
      <w:lvlText w:val="o"/>
      <w:lvlJc w:val="left"/>
      <w:pPr>
        <w:ind w:left="5760" w:hanging="360"/>
      </w:pPr>
      <w:rPr>
        <w:rFonts w:ascii="Courier New" w:hAnsi="Courier New" w:hint="default"/>
      </w:rPr>
    </w:lvl>
    <w:lvl w:ilvl="8" w:tplc="001A5A42">
      <w:start w:val="1"/>
      <w:numFmt w:val="bullet"/>
      <w:lvlText w:val=""/>
      <w:lvlJc w:val="left"/>
      <w:pPr>
        <w:ind w:left="6480" w:hanging="360"/>
      </w:pPr>
      <w:rPr>
        <w:rFonts w:ascii="Wingdings" w:hAnsi="Wingdings" w:hint="default"/>
      </w:rPr>
    </w:lvl>
  </w:abstractNum>
  <w:abstractNum w:abstractNumId="7" w15:restartNumberingAfterBreak="0">
    <w:nsid w:val="63B8A02B"/>
    <w:multiLevelType w:val="hybridMultilevel"/>
    <w:tmpl w:val="D15094FC"/>
    <w:lvl w:ilvl="0" w:tplc="0066C65E">
      <w:start w:val="1"/>
      <w:numFmt w:val="bullet"/>
      <w:lvlText w:val="-"/>
      <w:lvlJc w:val="left"/>
      <w:pPr>
        <w:ind w:left="720" w:hanging="360"/>
      </w:pPr>
      <w:rPr>
        <w:rFonts w:ascii="Calibri" w:hAnsi="Calibri" w:hint="default"/>
      </w:rPr>
    </w:lvl>
    <w:lvl w:ilvl="1" w:tplc="7BFCFA18">
      <w:start w:val="1"/>
      <w:numFmt w:val="bullet"/>
      <w:lvlText w:val="o"/>
      <w:lvlJc w:val="left"/>
      <w:pPr>
        <w:ind w:left="1440" w:hanging="360"/>
      </w:pPr>
      <w:rPr>
        <w:rFonts w:ascii="Courier New" w:hAnsi="Courier New" w:hint="default"/>
      </w:rPr>
    </w:lvl>
    <w:lvl w:ilvl="2" w:tplc="2BD888AA">
      <w:start w:val="1"/>
      <w:numFmt w:val="bullet"/>
      <w:lvlText w:val=""/>
      <w:lvlJc w:val="left"/>
      <w:pPr>
        <w:ind w:left="2160" w:hanging="360"/>
      </w:pPr>
      <w:rPr>
        <w:rFonts w:ascii="Wingdings" w:hAnsi="Wingdings" w:hint="default"/>
      </w:rPr>
    </w:lvl>
    <w:lvl w:ilvl="3" w:tplc="5A004E70">
      <w:start w:val="1"/>
      <w:numFmt w:val="bullet"/>
      <w:lvlText w:val=""/>
      <w:lvlJc w:val="left"/>
      <w:pPr>
        <w:ind w:left="2880" w:hanging="360"/>
      </w:pPr>
      <w:rPr>
        <w:rFonts w:ascii="Symbol" w:hAnsi="Symbol" w:hint="default"/>
      </w:rPr>
    </w:lvl>
    <w:lvl w:ilvl="4" w:tplc="743205D0">
      <w:start w:val="1"/>
      <w:numFmt w:val="bullet"/>
      <w:lvlText w:val="o"/>
      <w:lvlJc w:val="left"/>
      <w:pPr>
        <w:ind w:left="3600" w:hanging="360"/>
      </w:pPr>
      <w:rPr>
        <w:rFonts w:ascii="Courier New" w:hAnsi="Courier New" w:hint="default"/>
      </w:rPr>
    </w:lvl>
    <w:lvl w:ilvl="5" w:tplc="42EE2300">
      <w:start w:val="1"/>
      <w:numFmt w:val="bullet"/>
      <w:lvlText w:val=""/>
      <w:lvlJc w:val="left"/>
      <w:pPr>
        <w:ind w:left="4320" w:hanging="360"/>
      </w:pPr>
      <w:rPr>
        <w:rFonts w:ascii="Wingdings" w:hAnsi="Wingdings" w:hint="default"/>
      </w:rPr>
    </w:lvl>
    <w:lvl w:ilvl="6" w:tplc="06E27774">
      <w:start w:val="1"/>
      <w:numFmt w:val="bullet"/>
      <w:lvlText w:val=""/>
      <w:lvlJc w:val="left"/>
      <w:pPr>
        <w:ind w:left="5040" w:hanging="360"/>
      </w:pPr>
      <w:rPr>
        <w:rFonts w:ascii="Symbol" w:hAnsi="Symbol" w:hint="default"/>
      </w:rPr>
    </w:lvl>
    <w:lvl w:ilvl="7" w:tplc="16C85998">
      <w:start w:val="1"/>
      <w:numFmt w:val="bullet"/>
      <w:lvlText w:val="o"/>
      <w:lvlJc w:val="left"/>
      <w:pPr>
        <w:ind w:left="5760" w:hanging="360"/>
      </w:pPr>
      <w:rPr>
        <w:rFonts w:ascii="Courier New" w:hAnsi="Courier New" w:hint="default"/>
      </w:rPr>
    </w:lvl>
    <w:lvl w:ilvl="8" w:tplc="6F10439E">
      <w:start w:val="1"/>
      <w:numFmt w:val="bullet"/>
      <w:lvlText w:val=""/>
      <w:lvlJc w:val="left"/>
      <w:pPr>
        <w:ind w:left="6480" w:hanging="360"/>
      </w:pPr>
      <w:rPr>
        <w:rFonts w:ascii="Wingdings" w:hAnsi="Wingdings" w:hint="default"/>
      </w:rPr>
    </w:lvl>
  </w:abstractNum>
  <w:abstractNum w:abstractNumId="8" w15:restartNumberingAfterBreak="0">
    <w:nsid w:val="7AEF6C78"/>
    <w:multiLevelType w:val="multilevel"/>
    <w:tmpl w:val="13CA8F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16011161">
    <w:abstractNumId w:val="5"/>
  </w:num>
  <w:num w:numId="2" w16cid:durableId="1588340788">
    <w:abstractNumId w:val="2"/>
  </w:num>
  <w:num w:numId="3" w16cid:durableId="1829133489">
    <w:abstractNumId w:val="3"/>
  </w:num>
  <w:num w:numId="4" w16cid:durableId="2104298652">
    <w:abstractNumId w:val="7"/>
  </w:num>
  <w:num w:numId="5" w16cid:durableId="661396517">
    <w:abstractNumId w:val="0"/>
  </w:num>
  <w:num w:numId="6" w16cid:durableId="343627428">
    <w:abstractNumId w:val="6"/>
  </w:num>
  <w:num w:numId="7" w16cid:durableId="918174536">
    <w:abstractNumId w:val="1"/>
  </w:num>
  <w:num w:numId="8" w16cid:durableId="715198867">
    <w:abstractNumId w:val="4"/>
  </w:num>
  <w:num w:numId="9" w16cid:durableId="212738146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86ADB85"/>
    <w:rsid w:val="00032486"/>
    <w:rsid w:val="00032571"/>
    <w:rsid w:val="00043325"/>
    <w:rsid w:val="00053D0C"/>
    <w:rsid w:val="000747D6"/>
    <w:rsid w:val="00078082"/>
    <w:rsid w:val="00124079"/>
    <w:rsid w:val="0018392F"/>
    <w:rsid w:val="001B2A32"/>
    <w:rsid w:val="001B2BF4"/>
    <w:rsid w:val="001B5D66"/>
    <w:rsid w:val="001C4D80"/>
    <w:rsid w:val="002203D4"/>
    <w:rsid w:val="0025652C"/>
    <w:rsid w:val="00256A6F"/>
    <w:rsid w:val="00275B9B"/>
    <w:rsid w:val="0027D3CD"/>
    <w:rsid w:val="00287290"/>
    <w:rsid w:val="00292715"/>
    <w:rsid w:val="002A46ED"/>
    <w:rsid w:val="002A4920"/>
    <w:rsid w:val="002A58FF"/>
    <w:rsid w:val="002E533F"/>
    <w:rsid w:val="00331CCB"/>
    <w:rsid w:val="003722C8"/>
    <w:rsid w:val="003B5C4D"/>
    <w:rsid w:val="003D7DB6"/>
    <w:rsid w:val="003E0B0E"/>
    <w:rsid w:val="003EAA50"/>
    <w:rsid w:val="004141AD"/>
    <w:rsid w:val="00414688"/>
    <w:rsid w:val="00420ECA"/>
    <w:rsid w:val="00421B4F"/>
    <w:rsid w:val="00431A0E"/>
    <w:rsid w:val="00455211"/>
    <w:rsid w:val="0046025D"/>
    <w:rsid w:val="004A19AF"/>
    <w:rsid w:val="00536B42"/>
    <w:rsid w:val="005441AA"/>
    <w:rsid w:val="005532AA"/>
    <w:rsid w:val="00560FF2"/>
    <w:rsid w:val="00583F1A"/>
    <w:rsid w:val="005A30C5"/>
    <w:rsid w:val="005A3D6C"/>
    <w:rsid w:val="005A6519"/>
    <w:rsid w:val="005B45A7"/>
    <w:rsid w:val="005B566D"/>
    <w:rsid w:val="005C1403"/>
    <w:rsid w:val="005E578B"/>
    <w:rsid w:val="005F274D"/>
    <w:rsid w:val="006042F6"/>
    <w:rsid w:val="006332CE"/>
    <w:rsid w:val="0064660F"/>
    <w:rsid w:val="0064780F"/>
    <w:rsid w:val="00650F3F"/>
    <w:rsid w:val="00674478"/>
    <w:rsid w:val="00685297"/>
    <w:rsid w:val="006A733A"/>
    <w:rsid w:val="006C2CA6"/>
    <w:rsid w:val="006C5D75"/>
    <w:rsid w:val="00715239"/>
    <w:rsid w:val="00790AA3"/>
    <w:rsid w:val="00802B2C"/>
    <w:rsid w:val="00803D39"/>
    <w:rsid w:val="00805F65"/>
    <w:rsid w:val="00820755"/>
    <w:rsid w:val="00844996"/>
    <w:rsid w:val="008523AC"/>
    <w:rsid w:val="00877B15"/>
    <w:rsid w:val="00877BF4"/>
    <w:rsid w:val="00890947"/>
    <w:rsid w:val="00940339"/>
    <w:rsid w:val="00994E8D"/>
    <w:rsid w:val="00997457"/>
    <w:rsid w:val="009A03DF"/>
    <w:rsid w:val="009B4F49"/>
    <w:rsid w:val="009D21F1"/>
    <w:rsid w:val="009D238C"/>
    <w:rsid w:val="009F5195"/>
    <w:rsid w:val="00A2320F"/>
    <w:rsid w:val="00A43BB1"/>
    <w:rsid w:val="00A56162"/>
    <w:rsid w:val="00A9057D"/>
    <w:rsid w:val="00AA7720"/>
    <w:rsid w:val="00AB16B3"/>
    <w:rsid w:val="00AB4BF1"/>
    <w:rsid w:val="00AD5E3A"/>
    <w:rsid w:val="00AE5D41"/>
    <w:rsid w:val="00AF32F5"/>
    <w:rsid w:val="00B23290"/>
    <w:rsid w:val="00BB76B0"/>
    <w:rsid w:val="00BC6FF7"/>
    <w:rsid w:val="00C1790E"/>
    <w:rsid w:val="00C30911"/>
    <w:rsid w:val="00C41FD3"/>
    <w:rsid w:val="00C51731"/>
    <w:rsid w:val="00C620D3"/>
    <w:rsid w:val="00CA3E42"/>
    <w:rsid w:val="00CC2D5C"/>
    <w:rsid w:val="00CE24F9"/>
    <w:rsid w:val="00D04543"/>
    <w:rsid w:val="00D19D0B"/>
    <w:rsid w:val="00D30986"/>
    <w:rsid w:val="00D34EFE"/>
    <w:rsid w:val="00DD1E12"/>
    <w:rsid w:val="00DE3D29"/>
    <w:rsid w:val="00E41A32"/>
    <w:rsid w:val="00E714BD"/>
    <w:rsid w:val="00E84F3D"/>
    <w:rsid w:val="00E96D91"/>
    <w:rsid w:val="00E974DD"/>
    <w:rsid w:val="00EE2BEB"/>
    <w:rsid w:val="00F7274F"/>
    <w:rsid w:val="00F85540"/>
    <w:rsid w:val="00F94FF7"/>
    <w:rsid w:val="00FA39D7"/>
    <w:rsid w:val="01511802"/>
    <w:rsid w:val="0301A7A1"/>
    <w:rsid w:val="038203BC"/>
    <w:rsid w:val="03F09042"/>
    <w:rsid w:val="03FF23D5"/>
    <w:rsid w:val="03FFA00A"/>
    <w:rsid w:val="0431DA99"/>
    <w:rsid w:val="045E07CA"/>
    <w:rsid w:val="04EB1188"/>
    <w:rsid w:val="05DB8EB9"/>
    <w:rsid w:val="0663F9E6"/>
    <w:rsid w:val="06898C2A"/>
    <w:rsid w:val="06E53E59"/>
    <w:rsid w:val="0726E279"/>
    <w:rsid w:val="07FFCA47"/>
    <w:rsid w:val="086ADB85"/>
    <w:rsid w:val="0898CABE"/>
    <w:rsid w:val="08F0A9F0"/>
    <w:rsid w:val="093E9CB7"/>
    <w:rsid w:val="0967C4BB"/>
    <w:rsid w:val="098C560D"/>
    <w:rsid w:val="099B9AA8"/>
    <w:rsid w:val="09C5F464"/>
    <w:rsid w:val="09F8818C"/>
    <w:rsid w:val="0A183664"/>
    <w:rsid w:val="0A3D9FFC"/>
    <w:rsid w:val="0A4B8807"/>
    <w:rsid w:val="0A4DE19B"/>
    <w:rsid w:val="0AE456F9"/>
    <w:rsid w:val="0B376B09"/>
    <w:rsid w:val="0B9435FD"/>
    <w:rsid w:val="0BA69CF3"/>
    <w:rsid w:val="0BD9705D"/>
    <w:rsid w:val="0DBFE373"/>
    <w:rsid w:val="0DCF03E4"/>
    <w:rsid w:val="0F42EA29"/>
    <w:rsid w:val="0F6AD445"/>
    <w:rsid w:val="0FACC0AC"/>
    <w:rsid w:val="0FDAA696"/>
    <w:rsid w:val="107A0E16"/>
    <w:rsid w:val="1170787F"/>
    <w:rsid w:val="11DB5868"/>
    <w:rsid w:val="1222D194"/>
    <w:rsid w:val="12A27507"/>
    <w:rsid w:val="132C4C04"/>
    <w:rsid w:val="136B2CA5"/>
    <w:rsid w:val="13CC1E26"/>
    <w:rsid w:val="13DEFDEC"/>
    <w:rsid w:val="13E9CE77"/>
    <w:rsid w:val="1486345E"/>
    <w:rsid w:val="14B5B354"/>
    <w:rsid w:val="155A7256"/>
    <w:rsid w:val="1651B0B8"/>
    <w:rsid w:val="16A67B3D"/>
    <w:rsid w:val="16B2AC8E"/>
    <w:rsid w:val="17D28184"/>
    <w:rsid w:val="1949D961"/>
    <w:rsid w:val="199A5C7D"/>
    <w:rsid w:val="1A09A075"/>
    <w:rsid w:val="1A18AC93"/>
    <w:rsid w:val="1A57FC75"/>
    <w:rsid w:val="1A6C2765"/>
    <w:rsid w:val="1AAD86EC"/>
    <w:rsid w:val="1AC523A6"/>
    <w:rsid w:val="1AE5A9C2"/>
    <w:rsid w:val="1B08F4C4"/>
    <w:rsid w:val="1B85CC91"/>
    <w:rsid w:val="1BD1DDCE"/>
    <w:rsid w:val="1C07F7C6"/>
    <w:rsid w:val="1C282969"/>
    <w:rsid w:val="1C98CE27"/>
    <w:rsid w:val="1CB8CC65"/>
    <w:rsid w:val="1CD1FD3F"/>
    <w:rsid w:val="1D20B136"/>
    <w:rsid w:val="1D55ED9B"/>
    <w:rsid w:val="1DB50906"/>
    <w:rsid w:val="1E0DEBB8"/>
    <w:rsid w:val="1E851BF5"/>
    <w:rsid w:val="1EC5061D"/>
    <w:rsid w:val="1F3518A8"/>
    <w:rsid w:val="1F973956"/>
    <w:rsid w:val="20099E01"/>
    <w:rsid w:val="203264DC"/>
    <w:rsid w:val="207EF9DA"/>
    <w:rsid w:val="21CF23F3"/>
    <w:rsid w:val="221099A5"/>
    <w:rsid w:val="22425EE2"/>
    <w:rsid w:val="22493D72"/>
    <w:rsid w:val="228851F0"/>
    <w:rsid w:val="22A6D659"/>
    <w:rsid w:val="22AE0665"/>
    <w:rsid w:val="23AE2131"/>
    <w:rsid w:val="23B852A0"/>
    <w:rsid w:val="23DE2F43"/>
    <w:rsid w:val="24242251"/>
    <w:rsid w:val="24D704AC"/>
    <w:rsid w:val="25482C25"/>
    <w:rsid w:val="2578C014"/>
    <w:rsid w:val="25DD6273"/>
    <w:rsid w:val="25E4D0D8"/>
    <w:rsid w:val="2688AE03"/>
    <w:rsid w:val="271072ED"/>
    <w:rsid w:val="271A4759"/>
    <w:rsid w:val="275D0765"/>
    <w:rsid w:val="277420E4"/>
    <w:rsid w:val="2780A139"/>
    <w:rsid w:val="278EA299"/>
    <w:rsid w:val="27AA4157"/>
    <w:rsid w:val="27C53F87"/>
    <w:rsid w:val="281AE46D"/>
    <w:rsid w:val="28716723"/>
    <w:rsid w:val="2877BDE8"/>
    <w:rsid w:val="295F81D3"/>
    <w:rsid w:val="2A1A11A5"/>
    <w:rsid w:val="2AD3F945"/>
    <w:rsid w:val="2BC3FBFD"/>
    <w:rsid w:val="2CBA723A"/>
    <w:rsid w:val="2CD9829B"/>
    <w:rsid w:val="2DBB4CB7"/>
    <w:rsid w:val="2DEA6F37"/>
    <w:rsid w:val="2DEFEEC3"/>
    <w:rsid w:val="2F1FE16B"/>
    <w:rsid w:val="2F42C11B"/>
    <w:rsid w:val="2F5E8C00"/>
    <w:rsid w:val="2FB0F6E6"/>
    <w:rsid w:val="302C30F7"/>
    <w:rsid w:val="30B269BB"/>
    <w:rsid w:val="30E9515E"/>
    <w:rsid w:val="30FA5C61"/>
    <w:rsid w:val="3137FB40"/>
    <w:rsid w:val="31EA6901"/>
    <w:rsid w:val="323ABCE8"/>
    <w:rsid w:val="329C53E0"/>
    <w:rsid w:val="32C8FA24"/>
    <w:rsid w:val="34382441"/>
    <w:rsid w:val="3482162F"/>
    <w:rsid w:val="34B968B4"/>
    <w:rsid w:val="3564B1D2"/>
    <w:rsid w:val="35DE0402"/>
    <w:rsid w:val="368F2253"/>
    <w:rsid w:val="384504DF"/>
    <w:rsid w:val="389C5294"/>
    <w:rsid w:val="38B88154"/>
    <w:rsid w:val="39123A25"/>
    <w:rsid w:val="39CB47E2"/>
    <w:rsid w:val="3A26645D"/>
    <w:rsid w:val="3A6B8217"/>
    <w:rsid w:val="3B19B6A3"/>
    <w:rsid w:val="3B28AA38"/>
    <w:rsid w:val="3B2E23B3"/>
    <w:rsid w:val="3B629376"/>
    <w:rsid w:val="3B671843"/>
    <w:rsid w:val="3B946C80"/>
    <w:rsid w:val="3BC876D1"/>
    <w:rsid w:val="3C6AB547"/>
    <w:rsid w:val="3CB58704"/>
    <w:rsid w:val="3CF1ADCD"/>
    <w:rsid w:val="3E31006A"/>
    <w:rsid w:val="3E604AFA"/>
    <w:rsid w:val="3E88DA5D"/>
    <w:rsid w:val="403E9334"/>
    <w:rsid w:val="40C39339"/>
    <w:rsid w:val="417A1189"/>
    <w:rsid w:val="419F0190"/>
    <w:rsid w:val="425F639A"/>
    <w:rsid w:val="4294BF1F"/>
    <w:rsid w:val="42B9C4F6"/>
    <w:rsid w:val="437633F6"/>
    <w:rsid w:val="43EFB332"/>
    <w:rsid w:val="441AE8D3"/>
    <w:rsid w:val="44AB2EEF"/>
    <w:rsid w:val="44E97E29"/>
    <w:rsid w:val="450DAE6B"/>
    <w:rsid w:val="4536027E"/>
    <w:rsid w:val="4561AD3F"/>
    <w:rsid w:val="46FC2AC3"/>
    <w:rsid w:val="4727E141"/>
    <w:rsid w:val="474DFBD3"/>
    <w:rsid w:val="475CA079"/>
    <w:rsid w:val="47E949DD"/>
    <w:rsid w:val="486DC5F7"/>
    <w:rsid w:val="4879ABC0"/>
    <w:rsid w:val="495335A1"/>
    <w:rsid w:val="49783BCE"/>
    <w:rsid w:val="4A433859"/>
    <w:rsid w:val="4A707142"/>
    <w:rsid w:val="4AEB47E2"/>
    <w:rsid w:val="4B46BB88"/>
    <w:rsid w:val="4B5A0A8D"/>
    <w:rsid w:val="4C268BB5"/>
    <w:rsid w:val="4C8AD663"/>
    <w:rsid w:val="4CE28BE9"/>
    <w:rsid w:val="4CF6D148"/>
    <w:rsid w:val="4DCF39E1"/>
    <w:rsid w:val="4E0E3F0E"/>
    <w:rsid w:val="4E7E5C4A"/>
    <w:rsid w:val="4E92A1A9"/>
    <w:rsid w:val="4EFBA7E5"/>
    <w:rsid w:val="4F088F85"/>
    <w:rsid w:val="4F6B0A42"/>
    <w:rsid w:val="502E720A"/>
    <w:rsid w:val="50383610"/>
    <w:rsid w:val="5106DAA3"/>
    <w:rsid w:val="518CA654"/>
    <w:rsid w:val="51CA426B"/>
    <w:rsid w:val="52840165"/>
    <w:rsid w:val="5292F487"/>
    <w:rsid w:val="535746E8"/>
    <w:rsid w:val="53D2F8E4"/>
    <w:rsid w:val="54A8B77F"/>
    <w:rsid w:val="5561EE6E"/>
    <w:rsid w:val="5577D109"/>
    <w:rsid w:val="55907CE9"/>
    <w:rsid w:val="55D13266"/>
    <w:rsid w:val="55D4CA84"/>
    <w:rsid w:val="55DD4D4B"/>
    <w:rsid w:val="56A35FDA"/>
    <w:rsid w:val="56B02549"/>
    <w:rsid w:val="57854F83"/>
    <w:rsid w:val="57D2FD46"/>
    <w:rsid w:val="57E05841"/>
    <w:rsid w:val="57EA72C2"/>
    <w:rsid w:val="584347F5"/>
    <w:rsid w:val="59F3B2F1"/>
    <w:rsid w:val="5A5C697C"/>
    <w:rsid w:val="5B1CD48B"/>
    <w:rsid w:val="5B7AE8B7"/>
    <w:rsid w:val="5BB519F6"/>
    <w:rsid w:val="5C474866"/>
    <w:rsid w:val="5C7A2ACA"/>
    <w:rsid w:val="5C83EC72"/>
    <w:rsid w:val="5CC338C6"/>
    <w:rsid w:val="5D88A70E"/>
    <w:rsid w:val="5D897D97"/>
    <w:rsid w:val="5D940A3E"/>
    <w:rsid w:val="5DC0D8CB"/>
    <w:rsid w:val="5DE9F34D"/>
    <w:rsid w:val="5E0F98A6"/>
    <w:rsid w:val="5E14F676"/>
    <w:rsid w:val="5E15FB2B"/>
    <w:rsid w:val="5E55BE85"/>
    <w:rsid w:val="5E9BF1CD"/>
    <w:rsid w:val="5EB09B60"/>
    <w:rsid w:val="5F1990B9"/>
    <w:rsid w:val="5F1A7C7B"/>
    <w:rsid w:val="5F42CF95"/>
    <w:rsid w:val="5F771F08"/>
    <w:rsid w:val="5F8DBC82"/>
    <w:rsid w:val="5FF94DE5"/>
    <w:rsid w:val="60127642"/>
    <w:rsid w:val="60211738"/>
    <w:rsid w:val="616F54E7"/>
    <w:rsid w:val="61FEB9FE"/>
    <w:rsid w:val="62075889"/>
    <w:rsid w:val="622BE037"/>
    <w:rsid w:val="62D85D88"/>
    <w:rsid w:val="630F5C7B"/>
    <w:rsid w:val="631951ED"/>
    <w:rsid w:val="6321B52D"/>
    <w:rsid w:val="63906CFA"/>
    <w:rsid w:val="6399A6AD"/>
    <w:rsid w:val="63AD4FAE"/>
    <w:rsid w:val="64288BBE"/>
    <w:rsid w:val="6480F9D8"/>
    <w:rsid w:val="64CCBF08"/>
    <w:rsid w:val="65D30B0C"/>
    <w:rsid w:val="661CCA39"/>
    <w:rsid w:val="666E4F6C"/>
    <w:rsid w:val="66C588E4"/>
    <w:rsid w:val="66CFAB16"/>
    <w:rsid w:val="6728AAF6"/>
    <w:rsid w:val="67D4EE59"/>
    <w:rsid w:val="68F4C0CA"/>
    <w:rsid w:val="6908EFFE"/>
    <w:rsid w:val="6967658D"/>
    <w:rsid w:val="69C0B647"/>
    <w:rsid w:val="6A4350FE"/>
    <w:rsid w:val="6A7E440A"/>
    <w:rsid w:val="6A823486"/>
    <w:rsid w:val="6A99DD40"/>
    <w:rsid w:val="6AA5C811"/>
    <w:rsid w:val="6AB1CD51"/>
    <w:rsid w:val="6ABE42CB"/>
    <w:rsid w:val="6ACED95B"/>
    <w:rsid w:val="6AE3044B"/>
    <w:rsid w:val="6B0335EE"/>
    <w:rsid w:val="6B50F215"/>
    <w:rsid w:val="6B98FA07"/>
    <w:rsid w:val="6C1A2D77"/>
    <w:rsid w:val="6C424C90"/>
    <w:rsid w:val="6C678F5D"/>
    <w:rsid w:val="6CC1EE52"/>
    <w:rsid w:val="6D48DA25"/>
    <w:rsid w:val="6D7B173F"/>
    <w:rsid w:val="6E012A17"/>
    <w:rsid w:val="6E035FBE"/>
    <w:rsid w:val="6E5C0494"/>
    <w:rsid w:val="6F02B4E6"/>
    <w:rsid w:val="6FBD2E79"/>
    <w:rsid w:val="6FD6A711"/>
    <w:rsid w:val="7005A09D"/>
    <w:rsid w:val="70175F35"/>
    <w:rsid w:val="70AC5DE5"/>
    <w:rsid w:val="71BC6960"/>
    <w:rsid w:val="7249F187"/>
    <w:rsid w:val="72A03BA4"/>
    <w:rsid w:val="72C01A58"/>
    <w:rsid w:val="731005BE"/>
    <w:rsid w:val="7412371F"/>
    <w:rsid w:val="74343618"/>
    <w:rsid w:val="74469D0E"/>
    <w:rsid w:val="746CBA6E"/>
    <w:rsid w:val="74F40A22"/>
    <w:rsid w:val="752B3664"/>
    <w:rsid w:val="75409A90"/>
    <w:rsid w:val="759DDB27"/>
    <w:rsid w:val="75BF174D"/>
    <w:rsid w:val="76C0E56C"/>
    <w:rsid w:val="76D71EEC"/>
    <w:rsid w:val="76DF4DF8"/>
    <w:rsid w:val="773D7892"/>
    <w:rsid w:val="7798AD1E"/>
    <w:rsid w:val="783A8E58"/>
    <w:rsid w:val="78C99620"/>
    <w:rsid w:val="78F6A9CD"/>
    <w:rsid w:val="7904696F"/>
    <w:rsid w:val="79201717"/>
    <w:rsid w:val="79EA6A89"/>
    <w:rsid w:val="7A14BA36"/>
    <w:rsid w:val="7B4DED82"/>
    <w:rsid w:val="7B58BEFF"/>
    <w:rsid w:val="7B5A11DC"/>
    <w:rsid w:val="7D55389D"/>
    <w:rsid w:val="7DCA1AF0"/>
    <w:rsid w:val="7E280DA0"/>
    <w:rsid w:val="7E91B29E"/>
    <w:rsid w:val="7EA2D9EE"/>
    <w:rsid w:val="7F4CC2F4"/>
    <w:rsid w:val="7F59119D"/>
    <w:rsid w:val="7F8A4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ADB85"/>
  <w15:chartTrackingRefBased/>
  <w15:docId w15:val="{78EE32AB-834C-443D-9892-7EA2968CA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noteTextChar">
    <w:name w:val="Footnote Text Char"/>
    <w:basedOn w:val="DefaultParagraphFont"/>
    <w:link w:val="FootnoteText"/>
    <w:uiPriority w:val="99"/>
    <w:semiHidden/>
    <w:rPr>
      <w:sz w:val="20"/>
      <w:szCs w:val="20"/>
    </w:rPr>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5E578B"/>
    <w:rPr>
      <w:color w:val="605E5C"/>
      <w:shd w:val="clear" w:color="auto" w:fill="E1DFDD"/>
    </w:rPr>
  </w:style>
  <w:style w:type="character" w:styleId="FollowedHyperlink">
    <w:name w:val="FollowedHyperlink"/>
    <w:basedOn w:val="DefaultParagraphFont"/>
    <w:uiPriority w:val="99"/>
    <w:semiHidden/>
    <w:unhideWhenUsed/>
    <w:rsid w:val="005E578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F94FF7"/>
    <w:rPr>
      <w:b/>
      <w:bCs/>
    </w:rPr>
  </w:style>
  <w:style w:type="character" w:customStyle="1" w:styleId="CommentSubjectChar">
    <w:name w:val="Comment Subject Char"/>
    <w:basedOn w:val="CommentTextChar"/>
    <w:link w:val="CommentSubject"/>
    <w:uiPriority w:val="99"/>
    <w:semiHidden/>
    <w:rsid w:val="00F94FF7"/>
    <w:rPr>
      <w:b/>
      <w:bCs/>
      <w:sz w:val="20"/>
      <w:szCs w:val="20"/>
    </w:rPr>
  </w:style>
  <w:style w:type="paragraph" w:styleId="Revision">
    <w:name w:val="Revision"/>
    <w:hidden/>
    <w:uiPriority w:val="99"/>
    <w:semiHidden/>
    <w:rsid w:val="0071523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05490">
      <w:bodyDiv w:val="1"/>
      <w:marLeft w:val="0"/>
      <w:marRight w:val="0"/>
      <w:marTop w:val="0"/>
      <w:marBottom w:val="0"/>
      <w:divBdr>
        <w:top w:val="none" w:sz="0" w:space="0" w:color="auto"/>
        <w:left w:val="none" w:sz="0" w:space="0" w:color="auto"/>
        <w:bottom w:val="none" w:sz="0" w:space="0" w:color="auto"/>
        <w:right w:val="none" w:sz="0" w:space="0" w:color="auto"/>
      </w:divBdr>
    </w:div>
    <w:div w:id="315453632">
      <w:bodyDiv w:val="1"/>
      <w:marLeft w:val="0"/>
      <w:marRight w:val="0"/>
      <w:marTop w:val="0"/>
      <w:marBottom w:val="0"/>
      <w:divBdr>
        <w:top w:val="none" w:sz="0" w:space="0" w:color="auto"/>
        <w:left w:val="none" w:sz="0" w:space="0" w:color="auto"/>
        <w:bottom w:val="none" w:sz="0" w:space="0" w:color="auto"/>
        <w:right w:val="none" w:sz="0" w:space="0" w:color="auto"/>
      </w:divBdr>
    </w:div>
    <w:div w:id="345442392">
      <w:bodyDiv w:val="1"/>
      <w:marLeft w:val="0"/>
      <w:marRight w:val="0"/>
      <w:marTop w:val="0"/>
      <w:marBottom w:val="0"/>
      <w:divBdr>
        <w:top w:val="none" w:sz="0" w:space="0" w:color="auto"/>
        <w:left w:val="none" w:sz="0" w:space="0" w:color="auto"/>
        <w:bottom w:val="none" w:sz="0" w:space="0" w:color="auto"/>
        <w:right w:val="none" w:sz="0" w:space="0" w:color="auto"/>
      </w:divBdr>
    </w:div>
    <w:div w:id="480780129">
      <w:bodyDiv w:val="1"/>
      <w:marLeft w:val="0"/>
      <w:marRight w:val="0"/>
      <w:marTop w:val="0"/>
      <w:marBottom w:val="0"/>
      <w:divBdr>
        <w:top w:val="none" w:sz="0" w:space="0" w:color="auto"/>
        <w:left w:val="none" w:sz="0" w:space="0" w:color="auto"/>
        <w:bottom w:val="none" w:sz="0" w:space="0" w:color="auto"/>
        <w:right w:val="none" w:sz="0" w:space="0" w:color="auto"/>
      </w:divBdr>
    </w:div>
    <w:div w:id="585262430">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
    <w:div w:id="737291445">
      <w:bodyDiv w:val="1"/>
      <w:marLeft w:val="0"/>
      <w:marRight w:val="0"/>
      <w:marTop w:val="0"/>
      <w:marBottom w:val="0"/>
      <w:divBdr>
        <w:top w:val="none" w:sz="0" w:space="0" w:color="auto"/>
        <w:left w:val="none" w:sz="0" w:space="0" w:color="auto"/>
        <w:bottom w:val="none" w:sz="0" w:space="0" w:color="auto"/>
        <w:right w:val="none" w:sz="0" w:space="0" w:color="auto"/>
      </w:divBdr>
    </w:div>
    <w:div w:id="758334710">
      <w:bodyDiv w:val="1"/>
      <w:marLeft w:val="0"/>
      <w:marRight w:val="0"/>
      <w:marTop w:val="0"/>
      <w:marBottom w:val="0"/>
      <w:divBdr>
        <w:top w:val="none" w:sz="0" w:space="0" w:color="auto"/>
        <w:left w:val="none" w:sz="0" w:space="0" w:color="auto"/>
        <w:bottom w:val="none" w:sz="0" w:space="0" w:color="auto"/>
        <w:right w:val="none" w:sz="0" w:space="0" w:color="auto"/>
      </w:divBdr>
    </w:div>
    <w:div w:id="859702449">
      <w:bodyDiv w:val="1"/>
      <w:marLeft w:val="0"/>
      <w:marRight w:val="0"/>
      <w:marTop w:val="0"/>
      <w:marBottom w:val="0"/>
      <w:divBdr>
        <w:top w:val="none" w:sz="0" w:space="0" w:color="auto"/>
        <w:left w:val="none" w:sz="0" w:space="0" w:color="auto"/>
        <w:bottom w:val="none" w:sz="0" w:space="0" w:color="auto"/>
        <w:right w:val="none" w:sz="0" w:space="0" w:color="auto"/>
      </w:divBdr>
    </w:div>
    <w:div w:id="993676962">
      <w:bodyDiv w:val="1"/>
      <w:marLeft w:val="0"/>
      <w:marRight w:val="0"/>
      <w:marTop w:val="0"/>
      <w:marBottom w:val="0"/>
      <w:divBdr>
        <w:top w:val="none" w:sz="0" w:space="0" w:color="auto"/>
        <w:left w:val="none" w:sz="0" w:space="0" w:color="auto"/>
        <w:bottom w:val="none" w:sz="0" w:space="0" w:color="auto"/>
        <w:right w:val="none" w:sz="0" w:space="0" w:color="auto"/>
      </w:divBdr>
    </w:div>
    <w:div w:id="1011107889">
      <w:bodyDiv w:val="1"/>
      <w:marLeft w:val="0"/>
      <w:marRight w:val="0"/>
      <w:marTop w:val="0"/>
      <w:marBottom w:val="0"/>
      <w:divBdr>
        <w:top w:val="none" w:sz="0" w:space="0" w:color="auto"/>
        <w:left w:val="none" w:sz="0" w:space="0" w:color="auto"/>
        <w:bottom w:val="none" w:sz="0" w:space="0" w:color="auto"/>
        <w:right w:val="none" w:sz="0" w:space="0" w:color="auto"/>
      </w:divBdr>
    </w:div>
    <w:div w:id="1023627541">
      <w:bodyDiv w:val="1"/>
      <w:marLeft w:val="0"/>
      <w:marRight w:val="0"/>
      <w:marTop w:val="0"/>
      <w:marBottom w:val="0"/>
      <w:divBdr>
        <w:top w:val="none" w:sz="0" w:space="0" w:color="auto"/>
        <w:left w:val="none" w:sz="0" w:space="0" w:color="auto"/>
        <w:bottom w:val="none" w:sz="0" w:space="0" w:color="auto"/>
        <w:right w:val="none" w:sz="0" w:space="0" w:color="auto"/>
      </w:divBdr>
    </w:div>
    <w:div w:id="1129788718">
      <w:bodyDiv w:val="1"/>
      <w:marLeft w:val="0"/>
      <w:marRight w:val="0"/>
      <w:marTop w:val="0"/>
      <w:marBottom w:val="0"/>
      <w:divBdr>
        <w:top w:val="none" w:sz="0" w:space="0" w:color="auto"/>
        <w:left w:val="none" w:sz="0" w:space="0" w:color="auto"/>
        <w:bottom w:val="none" w:sz="0" w:space="0" w:color="auto"/>
        <w:right w:val="none" w:sz="0" w:space="0" w:color="auto"/>
      </w:divBdr>
    </w:div>
    <w:div w:id="1231771338">
      <w:bodyDiv w:val="1"/>
      <w:marLeft w:val="0"/>
      <w:marRight w:val="0"/>
      <w:marTop w:val="0"/>
      <w:marBottom w:val="0"/>
      <w:divBdr>
        <w:top w:val="none" w:sz="0" w:space="0" w:color="auto"/>
        <w:left w:val="none" w:sz="0" w:space="0" w:color="auto"/>
        <w:bottom w:val="none" w:sz="0" w:space="0" w:color="auto"/>
        <w:right w:val="none" w:sz="0" w:space="0" w:color="auto"/>
      </w:divBdr>
    </w:div>
    <w:div w:id="1249461702">
      <w:bodyDiv w:val="1"/>
      <w:marLeft w:val="0"/>
      <w:marRight w:val="0"/>
      <w:marTop w:val="0"/>
      <w:marBottom w:val="0"/>
      <w:divBdr>
        <w:top w:val="none" w:sz="0" w:space="0" w:color="auto"/>
        <w:left w:val="none" w:sz="0" w:space="0" w:color="auto"/>
        <w:bottom w:val="none" w:sz="0" w:space="0" w:color="auto"/>
        <w:right w:val="none" w:sz="0" w:space="0" w:color="auto"/>
      </w:divBdr>
    </w:div>
    <w:div w:id="1265721956">
      <w:bodyDiv w:val="1"/>
      <w:marLeft w:val="0"/>
      <w:marRight w:val="0"/>
      <w:marTop w:val="0"/>
      <w:marBottom w:val="0"/>
      <w:divBdr>
        <w:top w:val="none" w:sz="0" w:space="0" w:color="auto"/>
        <w:left w:val="none" w:sz="0" w:space="0" w:color="auto"/>
        <w:bottom w:val="none" w:sz="0" w:space="0" w:color="auto"/>
        <w:right w:val="none" w:sz="0" w:space="0" w:color="auto"/>
      </w:divBdr>
    </w:div>
    <w:div w:id="1535773882">
      <w:bodyDiv w:val="1"/>
      <w:marLeft w:val="0"/>
      <w:marRight w:val="0"/>
      <w:marTop w:val="0"/>
      <w:marBottom w:val="0"/>
      <w:divBdr>
        <w:top w:val="none" w:sz="0" w:space="0" w:color="auto"/>
        <w:left w:val="none" w:sz="0" w:space="0" w:color="auto"/>
        <w:bottom w:val="none" w:sz="0" w:space="0" w:color="auto"/>
        <w:right w:val="none" w:sz="0" w:space="0" w:color="auto"/>
      </w:divBdr>
    </w:div>
    <w:div w:id="1670671197">
      <w:bodyDiv w:val="1"/>
      <w:marLeft w:val="0"/>
      <w:marRight w:val="0"/>
      <w:marTop w:val="0"/>
      <w:marBottom w:val="0"/>
      <w:divBdr>
        <w:top w:val="none" w:sz="0" w:space="0" w:color="auto"/>
        <w:left w:val="none" w:sz="0" w:space="0" w:color="auto"/>
        <w:bottom w:val="none" w:sz="0" w:space="0" w:color="auto"/>
        <w:right w:val="none" w:sz="0" w:space="0" w:color="auto"/>
      </w:divBdr>
    </w:div>
    <w:div w:id="190336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20/10/relationships/intelligence" Target="intelligence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liette@gi-escr.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ida-americas.org/en/blog/the-day-that-the-indigenous-struggle-bore-fruit-in-guatemala"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5DBF0ADA998469064B64F53A76F3C" ma:contentTypeVersion="0" ma:contentTypeDescription="Create a new document." ma:contentTypeScope="" ma:versionID="5c421e79169b6bba174fb07424eb683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16B60D-6910-4F5D-B02C-3D868B95E543}">
  <ds:schemaRefs>
    <ds:schemaRef ds:uri="http://schemas.openxmlformats.org/officeDocument/2006/bibliography"/>
  </ds:schemaRefs>
</ds:datastoreItem>
</file>

<file path=customXml/itemProps2.xml><?xml version="1.0" encoding="utf-8"?>
<ds:datastoreItem xmlns:ds="http://schemas.openxmlformats.org/officeDocument/2006/customXml" ds:itemID="{6C513F51-BF25-4208-A004-FA2126392166}">
  <ds:schemaRefs>
    <ds:schemaRef ds:uri="http://schemas.microsoft.com/office/2006/metadata/properties"/>
    <ds:schemaRef ds:uri="http://schemas.microsoft.com/office/infopath/2007/PartnerControls"/>
    <ds:schemaRef ds:uri="f982bab0-ee64-4081-9356-7468477ba864"/>
    <ds:schemaRef ds:uri="47e8b951-b14c-4db7-9ec5-7a3bbfd7b1b0"/>
  </ds:schemaRefs>
</ds:datastoreItem>
</file>

<file path=customXml/itemProps3.xml><?xml version="1.0" encoding="utf-8"?>
<ds:datastoreItem xmlns:ds="http://schemas.openxmlformats.org/officeDocument/2006/customXml" ds:itemID="{018E65A1-DDB1-4490-9304-A3E6B8A56E37}"/>
</file>

<file path=customXml/itemProps4.xml><?xml version="1.0" encoding="utf-8"?>
<ds:datastoreItem xmlns:ds="http://schemas.openxmlformats.org/officeDocument/2006/customXml" ds:itemID="{2284DEFA-7CDB-44D0-863B-55B704D9E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3367</Words>
  <Characters>19198</Characters>
  <Application>Microsoft Office Word</Application>
  <DocSecurity>0</DocSecurity>
  <Lines>159</Lines>
  <Paragraphs>45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Juliette Wyss</dc:creator>
  <cp:keywords/>
  <dc:description/>
  <cp:lastModifiedBy>Juliette Wyss</cp:lastModifiedBy>
  <cp:revision>2</cp:revision>
  <dcterms:created xsi:type="dcterms:W3CDTF">2022-08-30T06:37:00Z</dcterms:created>
  <dcterms:modified xsi:type="dcterms:W3CDTF">2022-08-30T06:37:00Z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0x010100FAE5DBF0ADA998469064B64F53A76F3C</vt:lpwstr>
  </property>
  <property fmtid="{D5CDD505-2E9C-101B-9397-08002B2CF9AE}" pid="3" name="MediaServiceImageTags">
    <vt:lpwstr/>
  </property>
</Properties>
</file>