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684EB" w14:textId="77777777" w:rsidR="00344533" w:rsidRDefault="00344533" w:rsidP="00ED54C6">
      <w:pPr>
        <w:jc w:val="center"/>
        <w:rPr>
          <w:rFonts w:ascii="MetaPro-Norm" w:eastAsia="Calibri" w:hAnsi="MetaPro-Norm" w:cs="Arial"/>
          <w:b/>
          <w:bCs/>
        </w:rPr>
      </w:pPr>
      <w:bookmarkStart w:id="0" w:name="_GoBack"/>
      <w:bookmarkEnd w:id="0"/>
      <w:r w:rsidRPr="00FA761A">
        <w:rPr>
          <w:rFonts w:ascii="MetaPro-Norm" w:hAnsi="MetaPro-Norm" w:cs="Times New Roman"/>
          <w:noProof/>
          <w:color w:val="000000" w:themeColor="text1"/>
          <w:shd w:val="clear" w:color="auto" w:fill="E6E6E6"/>
          <w:lang w:val="de-DE" w:eastAsia="de-DE"/>
        </w:rPr>
        <w:drawing>
          <wp:anchor distT="0" distB="0" distL="114300" distR="114300" simplePos="0" relativeHeight="251658240" behindDoc="1" locked="0" layoutInCell="1" allowOverlap="1" wp14:anchorId="00740B81" wp14:editId="2E508737">
            <wp:simplePos x="0" y="0"/>
            <wp:positionH relativeFrom="margin">
              <wp:align>center</wp:align>
            </wp:positionH>
            <wp:positionV relativeFrom="paragraph">
              <wp:posOffset>-596900</wp:posOffset>
            </wp:positionV>
            <wp:extent cx="914400" cy="914400"/>
            <wp:effectExtent l="0" t="0" r="0" b="0"/>
            <wp:wrapNone/>
            <wp:docPr id="1073741825" name="officeArt object" descr="HRWLogo"/>
            <wp:cNvGraphicFramePr/>
            <a:graphic xmlns:a="http://schemas.openxmlformats.org/drawingml/2006/main">
              <a:graphicData uri="http://schemas.openxmlformats.org/drawingml/2006/picture">
                <pic:pic xmlns:pic="http://schemas.openxmlformats.org/drawingml/2006/picture">
                  <pic:nvPicPr>
                    <pic:cNvPr id="1073741825" name="image1.jpg" descr="HRW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a:ln w="12700" cap="flat">
                      <a:noFill/>
                      <a:miter lim="400000"/>
                    </a:ln>
                    <a:effectLst/>
                  </pic:spPr>
                </pic:pic>
              </a:graphicData>
            </a:graphic>
          </wp:anchor>
        </w:drawing>
      </w:r>
    </w:p>
    <w:p w14:paraId="47A09433" w14:textId="77777777" w:rsidR="002D7B65" w:rsidRDefault="002D7B65" w:rsidP="00ED54C6">
      <w:pPr>
        <w:jc w:val="center"/>
        <w:rPr>
          <w:rFonts w:ascii="MetaPro-Norm" w:eastAsia="Calibri" w:hAnsi="MetaPro-Norm" w:cs="Arial"/>
          <w:b/>
          <w:bCs/>
          <w:sz w:val="28"/>
          <w:szCs w:val="28"/>
        </w:rPr>
      </w:pPr>
    </w:p>
    <w:p w14:paraId="6724A974" w14:textId="2D0C302A" w:rsidR="00956635" w:rsidRPr="00877F53" w:rsidRDefault="003B58AD" w:rsidP="00ED54C6">
      <w:pPr>
        <w:jc w:val="center"/>
        <w:rPr>
          <w:rFonts w:ascii="MetaPro-Norm" w:eastAsia="Calibri" w:hAnsi="MetaPro-Norm" w:cs="Arial"/>
          <w:b/>
          <w:bCs/>
          <w:sz w:val="28"/>
          <w:szCs w:val="28"/>
        </w:rPr>
      </w:pPr>
      <w:r w:rsidRPr="00877F53">
        <w:rPr>
          <w:rFonts w:ascii="MetaPro-Norm" w:eastAsia="Calibri" w:hAnsi="MetaPro-Norm" w:cs="Arial"/>
          <w:b/>
          <w:bCs/>
          <w:sz w:val="28"/>
          <w:szCs w:val="28"/>
        </w:rPr>
        <w:t>Human Rights Watch Submission on Indonesia</w:t>
      </w:r>
    </w:p>
    <w:p w14:paraId="44A7A42E" w14:textId="0492796D" w:rsidR="003B58AD" w:rsidRPr="00877F53" w:rsidRDefault="003B58AD" w:rsidP="00ED54C6">
      <w:pPr>
        <w:jc w:val="center"/>
        <w:rPr>
          <w:rFonts w:ascii="MetaPro-Norm" w:eastAsia="Calibri" w:hAnsi="MetaPro-Norm" w:cs="Arial"/>
          <w:b/>
          <w:bCs/>
          <w:sz w:val="28"/>
          <w:szCs w:val="28"/>
        </w:rPr>
      </w:pPr>
      <w:r w:rsidRPr="00877F53">
        <w:rPr>
          <w:rFonts w:ascii="MetaPro-Norm" w:eastAsia="Calibri" w:hAnsi="MetaPro-Norm" w:cs="Arial"/>
          <w:b/>
          <w:bCs/>
          <w:sz w:val="28"/>
          <w:szCs w:val="28"/>
        </w:rPr>
        <w:t>to the Committee on the Rights of Persons with Disabilities</w:t>
      </w:r>
    </w:p>
    <w:p w14:paraId="6E5250F9" w14:textId="024853FB" w:rsidR="003B58AD" w:rsidRPr="00877F53" w:rsidRDefault="004C50BF" w:rsidP="00B46DFE">
      <w:pPr>
        <w:jc w:val="center"/>
        <w:rPr>
          <w:rFonts w:ascii="MetaPro-Norm" w:eastAsia="Calibri" w:hAnsi="MetaPro-Norm" w:cs="Arial"/>
          <w:b/>
          <w:bCs/>
          <w:sz w:val="28"/>
          <w:szCs w:val="28"/>
        </w:rPr>
      </w:pPr>
      <w:r w:rsidRPr="00877F53">
        <w:rPr>
          <w:rFonts w:ascii="MetaPro-Norm" w:eastAsia="Calibri" w:hAnsi="MetaPro-Norm" w:cs="Arial"/>
          <w:b/>
          <w:bCs/>
          <w:sz w:val="28"/>
          <w:szCs w:val="28"/>
        </w:rPr>
        <w:t>27</w:t>
      </w:r>
      <w:r w:rsidRPr="00877F53">
        <w:rPr>
          <w:rFonts w:ascii="MetaPro-Norm" w:eastAsia="Calibri" w:hAnsi="MetaPro-Norm" w:cs="Arial"/>
          <w:b/>
          <w:bCs/>
          <w:sz w:val="28"/>
          <w:szCs w:val="28"/>
          <w:vertAlign w:val="superscript"/>
        </w:rPr>
        <w:t>th</w:t>
      </w:r>
      <w:r w:rsidR="003B58AD" w:rsidRPr="00877F53">
        <w:rPr>
          <w:rFonts w:ascii="MetaPro-Norm" w:eastAsia="Calibri" w:hAnsi="MetaPro-Norm" w:cs="Arial"/>
          <w:b/>
          <w:bCs/>
          <w:sz w:val="28"/>
          <w:szCs w:val="28"/>
        </w:rPr>
        <w:t xml:space="preserve"> Session</w:t>
      </w:r>
    </w:p>
    <w:p w14:paraId="2BCA721E" w14:textId="77777777" w:rsidR="00ED54C6" w:rsidRPr="00B46DFE" w:rsidRDefault="00ED54C6" w:rsidP="00B46DFE">
      <w:pPr>
        <w:jc w:val="center"/>
        <w:rPr>
          <w:rFonts w:ascii="MetaPro-Norm" w:eastAsia="Calibri" w:hAnsi="MetaPro-Norm" w:cs="Arial"/>
          <w:b/>
          <w:bCs/>
        </w:rPr>
      </w:pPr>
    </w:p>
    <w:p w14:paraId="66F95F9C" w14:textId="37995DCD" w:rsidR="003B58AD" w:rsidRDefault="005C0013" w:rsidP="00B46DFE">
      <w:pPr>
        <w:jc w:val="center"/>
        <w:rPr>
          <w:rFonts w:ascii="MetaPro-Norm" w:eastAsia="Calibri" w:hAnsi="MetaPro-Norm" w:cs="Arial"/>
          <w:b/>
          <w:bCs/>
          <w:sz w:val="22"/>
          <w:szCs w:val="22"/>
        </w:rPr>
      </w:pPr>
      <w:r w:rsidRPr="00B46DFE">
        <w:rPr>
          <w:rFonts w:ascii="MetaPro-Norm" w:eastAsia="Calibri" w:hAnsi="MetaPro-Norm" w:cs="Arial"/>
          <w:b/>
          <w:bCs/>
          <w:sz w:val="22"/>
          <w:szCs w:val="22"/>
        </w:rPr>
        <w:t>July 2022</w:t>
      </w:r>
    </w:p>
    <w:p w14:paraId="1C874938" w14:textId="77777777" w:rsidR="001437B6" w:rsidRPr="00B46DFE" w:rsidRDefault="001437B6" w:rsidP="00B46DFE">
      <w:pPr>
        <w:jc w:val="center"/>
        <w:rPr>
          <w:rFonts w:ascii="MetaPro-Norm" w:eastAsia="Calibri" w:hAnsi="MetaPro-Norm" w:cs="Arial"/>
          <w:b/>
          <w:bCs/>
          <w:sz w:val="22"/>
          <w:szCs w:val="22"/>
        </w:rPr>
      </w:pPr>
    </w:p>
    <w:p w14:paraId="07D5C6F5" w14:textId="4DA3136A" w:rsidR="004C50BF" w:rsidRDefault="5E35FC78" w:rsidP="00B46DFE">
      <w:pPr>
        <w:rPr>
          <w:rFonts w:ascii="MetaPro-Norm" w:eastAsia="Calibri" w:hAnsi="MetaPro-Norm" w:cs="Arial"/>
          <w:sz w:val="22"/>
          <w:szCs w:val="22"/>
        </w:rPr>
      </w:pPr>
      <w:r w:rsidRPr="0979A876">
        <w:rPr>
          <w:rFonts w:ascii="MetaPro-Norm" w:eastAsia="Calibri" w:hAnsi="MetaPro-Norm" w:cs="Arial"/>
          <w:sz w:val="22"/>
          <w:szCs w:val="22"/>
        </w:rPr>
        <w:t xml:space="preserve">Human Rights Watch welcomes the opportunity to provide input to the Committee on the Rights of Persons with Disabilities (the </w:t>
      </w:r>
      <w:r w:rsidR="3742BB49" w:rsidRPr="0979A876">
        <w:rPr>
          <w:rFonts w:ascii="MetaPro-Norm" w:hAnsi="MetaPro-Norm"/>
        </w:rPr>
        <w:t>“</w:t>
      </w:r>
      <w:r w:rsidRPr="0979A876">
        <w:rPr>
          <w:rFonts w:ascii="MetaPro-Norm" w:eastAsia="Calibri" w:hAnsi="MetaPro-Norm" w:cs="Arial"/>
          <w:sz w:val="22"/>
          <w:szCs w:val="22"/>
        </w:rPr>
        <w:t>Committee</w:t>
      </w:r>
      <w:r w:rsidR="1E62C759" w:rsidRPr="0979A876">
        <w:rPr>
          <w:rFonts w:ascii="MetaPro-Norm" w:hAnsi="MetaPro-Norm"/>
        </w:rPr>
        <w:t>”</w:t>
      </w:r>
      <w:r w:rsidRPr="0979A876">
        <w:rPr>
          <w:rFonts w:ascii="MetaPro-Norm" w:eastAsia="Calibri" w:hAnsi="MetaPro-Norm" w:cs="Arial"/>
          <w:sz w:val="22"/>
          <w:szCs w:val="22"/>
        </w:rPr>
        <w:t xml:space="preserve">) ahead of its </w:t>
      </w:r>
      <w:r w:rsidR="056D23C3" w:rsidRPr="0979A876">
        <w:rPr>
          <w:rFonts w:ascii="MetaPro-Norm" w:eastAsia="Calibri" w:hAnsi="MetaPro-Norm" w:cs="Arial"/>
          <w:sz w:val="22"/>
          <w:szCs w:val="22"/>
        </w:rPr>
        <w:t xml:space="preserve">upcoming </w:t>
      </w:r>
      <w:r w:rsidRPr="0979A876">
        <w:rPr>
          <w:rFonts w:ascii="MetaPro-Norm" w:eastAsia="Calibri" w:hAnsi="MetaPro-Norm" w:cs="Arial"/>
          <w:sz w:val="22"/>
          <w:szCs w:val="22"/>
        </w:rPr>
        <w:t xml:space="preserve">review of Indonesia. This submission highlights areas of concern that Human Rights Watch hopes will inform the Committee’s consideration of the Indonesian government’s compliance with its obligations under the Convention on the Rights of Persons with Disabilities (CRPD). </w:t>
      </w:r>
    </w:p>
    <w:p w14:paraId="65E0C0A8" w14:textId="77777777" w:rsidR="00ED54C6" w:rsidRPr="00B46DFE" w:rsidRDefault="00ED54C6" w:rsidP="00B46DFE">
      <w:pPr>
        <w:rPr>
          <w:rFonts w:ascii="MetaPro-Norm" w:eastAsia="Calibri" w:hAnsi="MetaPro-Norm" w:cs="Arial"/>
          <w:sz w:val="22"/>
          <w:szCs w:val="22"/>
        </w:rPr>
      </w:pPr>
    </w:p>
    <w:p w14:paraId="2F3E4BF8" w14:textId="21B5415B" w:rsidR="004C50BF" w:rsidRDefault="004C50BF" w:rsidP="00B46DFE">
      <w:pPr>
        <w:rPr>
          <w:rFonts w:ascii="MetaPro-Norm" w:eastAsia="Calibri" w:hAnsi="MetaPro-Norm" w:cs="Arial"/>
          <w:sz w:val="22"/>
          <w:szCs w:val="22"/>
        </w:rPr>
      </w:pPr>
      <w:r w:rsidRPr="241C31EF">
        <w:rPr>
          <w:rFonts w:ascii="MetaPro-Norm" w:eastAsia="Calibri" w:hAnsi="MetaPro-Norm" w:cs="Times New Roman"/>
          <w:sz w:val="22"/>
          <w:szCs w:val="22"/>
        </w:rPr>
        <w:t xml:space="preserve">This submission draws primarily on Human Rights Watch’s research on the situation of people with disabilities in home as well as faith-healing centers, residential care institutions, and psychiatric hospitals across Indonesia from </w:t>
      </w:r>
      <w:r w:rsidR="005C0013" w:rsidRPr="241C31EF">
        <w:rPr>
          <w:rFonts w:ascii="MetaPro-Norm" w:eastAsia="Calibri" w:hAnsi="MetaPro-Norm" w:cs="Times New Roman"/>
          <w:sz w:val="22"/>
          <w:szCs w:val="22"/>
        </w:rPr>
        <w:t>2014-2020</w:t>
      </w:r>
      <w:r w:rsidRPr="241C31EF">
        <w:rPr>
          <w:rFonts w:ascii="MetaPro-Norm" w:eastAsia="Calibri" w:hAnsi="MetaPro-Norm" w:cs="Times New Roman"/>
          <w:sz w:val="16"/>
          <w:szCs w:val="16"/>
        </w:rPr>
        <w:t xml:space="preserve">.  </w:t>
      </w:r>
      <w:r w:rsidRPr="241C31EF">
        <w:rPr>
          <w:rFonts w:ascii="MetaPro-Norm" w:eastAsia="Calibri" w:hAnsi="MetaPro-Norm" w:cs="Arial"/>
          <w:sz w:val="22"/>
          <w:szCs w:val="22"/>
        </w:rPr>
        <w:t>It proposes issues and questions that Committee members may wish to raise with the government of Indonesia.</w:t>
      </w:r>
    </w:p>
    <w:p w14:paraId="4C57B9CC" w14:textId="77777777" w:rsidR="00ED54C6" w:rsidRPr="00B46DFE" w:rsidRDefault="00ED54C6" w:rsidP="00B46DFE">
      <w:pPr>
        <w:rPr>
          <w:rFonts w:ascii="MetaPro-Norm" w:eastAsia="Calibri" w:hAnsi="MetaPro-Norm" w:cs="Arial"/>
          <w:sz w:val="22"/>
          <w:szCs w:val="22"/>
        </w:rPr>
      </w:pPr>
    </w:p>
    <w:p w14:paraId="03F52DF5" w14:textId="2B2958D3" w:rsidR="00B0095F" w:rsidRDefault="6D40F779" w:rsidP="00B46DFE">
      <w:pPr>
        <w:rPr>
          <w:rFonts w:ascii="MetaPro-Norm" w:eastAsia="Calibri" w:hAnsi="MetaPro-Norm" w:cs="Calibri"/>
          <w:color w:val="000000"/>
          <w:sz w:val="22"/>
          <w:szCs w:val="22"/>
        </w:rPr>
      </w:pPr>
      <w:r w:rsidRPr="0979A876">
        <w:rPr>
          <w:rFonts w:ascii="MetaPro-Norm" w:eastAsia="Calibri" w:hAnsi="MetaPro-Norm" w:cs="Times New Roman"/>
          <w:sz w:val="22"/>
          <w:szCs w:val="22"/>
        </w:rPr>
        <w:t xml:space="preserve">Human Rights Watch is an independent, international human rights organization that monitors, reports, and conducts advocacy on human rights in more than 90 countries globally. </w:t>
      </w:r>
      <w:r w:rsidRPr="0979A876">
        <w:rPr>
          <w:rFonts w:ascii="MetaPro-Norm" w:eastAsia="Calibri" w:hAnsi="MetaPro-Norm" w:cs="Calibri"/>
          <w:sz w:val="22"/>
          <w:szCs w:val="22"/>
        </w:rPr>
        <w:t>In 2013, Human Rights Watch became the world’s first international human rights organization</w:t>
      </w:r>
      <w:r w:rsidRPr="0979A876">
        <w:rPr>
          <w:rFonts w:ascii="MetaPro-Norm" w:eastAsia="Calibri" w:hAnsi="MetaPro-Norm" w:cs="Calibri"/>
          <w:b/>
          <w:bCs/>
          <w:sz w:val="22"/>
          <w:szCs w:val="22"/>
        </w:rPr>
        <w:t xml:space="preserve"> </w:t>
      </w:r>
      <w:r w:rsidRPr="0979A876">
        <w:rPr>
          <w:rFonts w:ascii="MetaPro-Norm" w:eastAsia="Calibri" w:hAnsi="MetaPro-Norm" w:cs="Calibri"/>
          <w:sz w:val="22"/>
          <w:szCs w:val="22"/>
        </w:rPr>
        <w:t xml:space="preserve">to create a dedicated team to investigate and expose abuses against people with disabilities around the world, and advocate for change to improve their lives. Partnering with people with disabilities and their organizations across the globe, we work to ensure that the voices of people with disabilities are heard, in line with the disability movement’s motto “Nothing About Us, Without Us.” </w:t>
      </w:r>
    </w:p>
    <w:p w14:paraId="2981C29A" w14:textId="77777777" w:rsidR="00ED54C6" w:rsidRPr="00B46DFE" w:rsidRDefault="00ED54C6" w:rsidP="00B46DFE">
      <w:pPr>
        <w:rPr>
          <w:rFonts w:ascii="MetaPro-Norm" w:eastAsia="Calibri" w:hAnsi="MetaPro-Norm" w:cs="Calibri"/>
          <w:sz w:val="22"/>
          <w:szCs w:val="22"/>
        </w:rPr>
      </w:pPr>
    </w:p>
    <w:p w14:paraId="6D1FA016" w14:textId="3294BD9B" w:rsidR="00ED54C6" w:rsidRPr="00327BDC" w:rsidRDefault="00BE41EF" w:rsidP="00327BDC">
      <w:pPr>
        <w:pStyle w:val="berschrift2"/>
        <w:rPr>
          <w:rFonts w:ascii="MetaPro-Norm" w:hAnsi="MetaPro-Norm"/>
          <w:b w:val="0"/>
        </w:rPr>
      </w:pPr>
      <w:r w:rsidRPr="00327BDC">
        <w:rPr>
          <w:rFonts w:ascii="MetaPro-Norm" w:hAnsi="MetaPro-Norm"/>
        </w:rPr>
        <w:t>Executive Summary</w:t>
      </w:r>
    </w:p>
    <w:p w14:paraId="59900D0F" w14:textId="79B1300C" w:rsidR="00545593" w:rsidRDefault="60DB3BCA" w:rsidP="00B46DFE">
      <w:pPr>
        <w:rPr>
          <w:rFonts w:ascii="MetaPro-Norm" w:eastAsia="Calibri" w:hAnsi="MetaPro-Norm" w:cs="Calibri"/>
          <w:color w:val="000000"/>
          <w:sz w:val="22"/>
          <w:szCs w:val="22"/>
        </w:rPr>
      </w:pPr>
      <w:r w:rsidRPr="00B46DFE">
        <w:rPr>
          <w:rFonts w:ascii="MetaPro-Norm" w:eastAsia="Calibri" w:hAnsi="MetaPro-Norm" w:cs="Calibri"/>
          <w:color w:val="000000"/>
          <w:sz w:val="22"/>
          <w:szCs w:val="22"/>
        </w:rPr>
        <w:t>In 2016, Human Rights Watch published a report, “</w:t>
      </w:r>
      <w:hyperlink r:id="rId12" w:history="1">
        <w:r w:rsidR="4ACC5FFF" w:rsidRPr="0979A876">
          <w:rPr>
            <w:rStyle w:val="Hyperlink"/>
            <w:rFonts w:ascii="MetaPro-Norm" w:eastAsia="Calibri" w:hAnsi="MetaPro-Norm" w:cs="Calibri"/>
            <w:sz w:val="22"/>
            <w:szCs w:val="22"/>
          </w:rPr>
          <w:t>Living in Hell: Abuses against People with Psychosocial Disabilities in Indonesia</w:t>
        </w:r>
      </w:hyperlink>
      <w:r w:rsidRPr="00B46DFE">
        <w:rPr>
          <w:rFonts w:ascii="MetaPro-Norm" w:eastAsia="Calibri" w:hAnsi="MetaPro-Norm" w:cs="Calibri"/>
          <w:color w:val="000000"/>
          <w:sz w:val="22"/>
          <w:szCs w:val="22"/>
        </w:rPr>
        <w:t xml:space="preserve">,” examining how people with psychosocial disabilities </w:t>
      </w:r>
      <w:r w:rsidR="2D2D9414">
        <w:rPr>
          <w:rFonts w:ascii="MetaPro-Norm" w:eastAsia="Calibri" w:hAnsi="MetaPro-Norm" w:cs="Calibri"/>
          <w:color w:val="000000"/>
          <w:sz w:val="22"/>
          <w:szCs w:val="22"/>
        </w:rPr>
        <w:t xml:space="preserve">(mental health conditions) </w:t>
      </w:r>
      <w:r w:rsidRPr="00B46DFE">
        <w:rPr>
          <w:rFonts w:ascii="MetaPro-Norm" w:eastAsia="Calibri" w:hAnsi="MetaPro-Norm" w:cs="Calibri"/>
          <w:color w:val="000000"/>
          <w:sz w:val="22"/>
          <w:szCs w:val="22"/>
        </w:rPr>
        <w:t xml:space="preserve">in Indonesia </w:t>
      </w:r>
      <w:r w:rsidR="1ED0F954" w:rsidRPr="00B46DFE">
        <w:rPr>
          <w:rFonts w:ascii="MetaPro-Norm" w:eastAsia="Calibri" w:hAnsi="MetaPro-Norm" w:cs="Calibri"/>
          <w:color w:val="000000"/>
          <w:sz w:val="22"/>
          <w:szCs w:val="22"/>
        </w:rPr>
        <w:t xml:space="preserve">are subjected to </w:t>
      </w:r>
      <w:r w:rsidR="1ED0F954" w:rsidRPr="0979A876">
        <w:rPr>
          <w:rFonts w:ascii="MetaPro-Norm" w:eastAsia="Calibri" w:hAnsi="MetaPro-Norm" w:cs="Calibri"/>
          <w:i/>
          <w:iCs/>
          <w:color w:val="000000"/>
          <w:sz w:val="22"/>
          <w:szCs w:val="22"/>
        </w:rPr>
        <w:t>pasung</w:t>
      </w:r>
      <w:r w:rsidR="1ED0F954" w:rsidRPr="00B46DFE">
        <w:rPr>
          <w:rFonts w:ascii="MetaPro-Norm" w:eastAsia="Calibri" w:hAnsi="MetaPro-Norm" w:cs="Calibri"/>
          <w:color w:val="000000"/>
          <w:sz w:val="22"/>
          <w:szCs w:val="22"/>
        </w:rPr>
        <w:t xml:space="preserve">, the practice of shackling </w:t>
      </w:r>
      <w:r w:rsidRPr="00B46DFE">
        <w:rPr>
          <w:rFonts w:ascii="MetaPro-Norm" w:eastAsia="Calibri" w:hAnsi="MetaPro-Norm" w:cs="Calibri"/>
          <w:color w:val="000000"/>
          <w:sz w:val="22"/>
          <w:szCs w:val="22"/>
        </w:rPr>
        <w:t>by families in their own homes or in overcrowded and unsanitary institutions, against their will, due to widespread stigma and a lack of community-based support, including mental health services.</w:t>
      </w:r>
      <w:r w:rsidR="00314212" w:rsidRPr="00B46DFE">
        <w:rPr>
          <w:rStyle w:val="Funotenzeichen"/>
          <w:rFonts w:ascii="MetaPro-Norm" w:eastAsia="Calibri" w:hAnsi="MetaPro-Norm" w:cs="Calibri"/>
          <w:color w:val="000000"/>
          <w:sz w:val="22"/>
          <w:szCs w:val="22"/>
        </w:rPr>
        <w:footnoteReference w:id="2"/>
      </w:r>
      <w:r w:rsidRPr="00B46DFE">
        <w:rPr>
          <w:rFonts w:ascii="MetaPro-Norm" w:eastAsia="Calibri" w:hAnsi="MetaPro-Norm" w:cs="Calibri"/>
          <w:color w:val="000000"/>
          <w:sz w:val="22"/>
          <w:szCs w:val="22"/>
        </w:rPr>
        <w:t xml:space="preserve"> </w:t>
      </w:r>
      <w:r w:rsidR="10D12D34" w:rsidRPr="00B46DFE">
        <w:rPr>
          <w:rFonts w:ascii="MetaPro-Norm" w:eastAsia="Calibri" w:hAnsi="MetaPro-Norm" w:cs="Calibri"/>
          <w:color w:val="000000"/>
          <w:sz w:val="22"/>
          <w:szCs w:val="22"/>
        </w:rPr>
        <w:t xml:space="preserve">Based on research </w:t>
      </w:r>
      <w:r w:rsidR="749634B8" w:rsidRPr="00B46DFE">
        <w:rPr>
          <w:rFonts w:ascii="MetaPro-Norm" w:eastAsia="Calibri" w:hAnsi="MetaPro-Norm" w:cs="Calibri"/>
          <w:color w:val="000000"/>
          <w:sz w:val="22"/>
          <w:szCs w:val="22"/>
        </w:rPr>
        <w:t>across the Indonesian islands of Java and Sumatra, Human Rights Watch documented 175 cases of persons with psychosocial disabilities in </w:t>
      </w:r>
      <w:r w:rsidR="749634B8" w:rsidRPr="0979A876">
        <w:rPr>
          <w:rFonts w:ascii="MetaPro-Norm" w:eastAsia="Calibri" w:hAnsi="MetaPro-Norm" w:cs="Calibri"/>
          <w:i/>
          <w:iCs/>
          <w:color w:val="000000"/>
          <w:sz w:val="22"/>
          <w:szCs w:val="22"/>
        </w:rPr>
        <w:t>pasung</w:t>
      </w:r>
      <w:r w:rsidR="74CCFF00" w:rsidRPr="0979A876">
        <w:rPr>
          <w:rFonts w:ascii="MetaPro-Norm" w:eastAsia="Calibri" w:hAnsi="MetaPro-Norm" w:cs="Calibri"/>
          <w:i/>
          <w:iCs/>
          <w:color w:val="000000"/>
          <w:sz w:val="22"/>
          <w:szCs w:val="22"/>
        </w:rPr>
        <w:t xml:space="preserve"> </w:t>
      </w:r>
      <w:r w:rsidR="74CCFF00" w:rsidRPr="00B46DFE">
        <w:rPr>
          <w:rFonts w:ascii="MetaPro-Norm" w:eastAsia="Calibri" w:hAnsi="MetaPro-Norm" w:cs="Calibri"/>
          <w:color w:val="000000"/>
          <w:sz w:val="22"/>
          <w:szCs w:val="22"/>
        </w:rPr>
        <w:t>(shackle</w:t>
      </w:r>
      <w:r w:rsidR="54BDA9B6">
        <w:rPr>
          <w:rFonts w:ascii="MetaPro-Norm" w:eastAsia="Calibri" w:hAnsi="MetaPro-Norm" w:cs="Calibri"/>
          <w:color w:val="000000"/>
          <w:sz w:val="22"/>
          <w:szCs w:val="22"/>
        </w:rPr>
        <w:t>s</w:t>
      </w:r>
      <w:r w:rsidR="74CCFF00" w:rsidRPr="00B46DFE">
        <w:rPr>
          <w:rFonts w:ascii="MetaPro-Norm" w:eastAsia="Calibri" w:hAnsi="MetaPro-Norm" w:cs="Calibri"/>
          <w:color w:val="000000"/>
          <w:sz w:val="22"/>
          <w:szCs w:val="22"/>
        </w:rPr>
        <w:t>)</w:t>
      </w:r>
      <w:r w:rsidR="749634B8" w:rsidRPr="00B46DFE">
        <w:rPr>
          <w:rFonts w:ascii="MetaPro-Norm" w:eastAsia="Calibri" w:hAnsi="MetaPro-Norm" w:cs="Calibri"/>
          <w:color w:val="000000"/>
          <w:sz w:val="22"/>
          <w:szCs w:val="22"/>
        </w:rPr>
        <w:t> or who were recently rescued from </w:t>
      </w:r>
      <w:r w:rsidR="749634B8" w:rsidRPr="0979A876">
        <w:rPr>
          <w:rFonts w:ascii="MetaPro-Norm" w:eastAsia="Calibri" w:hAnsi="MetaPro-Norm" w:cs="Calibri"/>
          <w:i/>
          <w:iCs/>
          <w:color w:val="000000"/>
          <w:sz w:val="22"/>
          <w:szCs w:val="22"/>
        </w:rPr>
        <w:t>pasung</w:t>
      </w:r>
      <w:r w:rsidR="749634B8" w:rsidRPr="00B46DFE">
        <w:rPr>
          <w:rFonts w:ascii="MetaPro-Norm" w:eastAsia="Calibri" w:hAnsi="MetaPro-Norm" w:cs="Calibri"/>
          <w:color w:val="000000"/>
          <w:sz w:val="22"/>
          <w:szCs w:val="22"/>
        </w:rPr>
        <w:t xml:space="preserve">. Human Rights Watch also obtained information about another 200 cases of </w:t>
      </w:r>
      <w:r w:rsidR="749634B8" w:rsidRPr="0979A876">
        <w:rPr>
          <w:rFonts w:ascii="MetaPro-Norm" w:eastAsia="Calibri" w:hAnsi="MetaPro-Norm" w:cs="Calibri"/>
          <w:i/>
          <w:iCs/>
          <w:color w:val="000000"/>
          <w:sz w:val="22"/>
          <w:szCs w:val="22"/>
        </w:rPr>
        <w:t xml:space="preserve">pasung </w:t>
      </w:r>
      <w:r w:rsidR="749634B8" w:rsidRPr="00B46DFE">
        <w:rPr>
          <w:rFonts w:ascii="MetaPro-Norm" w:eastAsia="Calibri" w:hAnsi="MetaPro-Norm" w:cs="Calibri"/>
          <w:color w:val="000000"/>
          <w:sz w:val="22"/>
          <w:szCs w:val="22"/>
        </w:rPr>
        <w:t>documented in recent years. It is estimated</w:t>
      </w:r>
      <w:r w:rsidR="10D12D34" w:rsidRPr="00B46DFE">
        <w:rPr>
          <w:rFonts w:ascii="MetaPro-Norm" w:eastAsia="Calibri" w:hAnsi="MetaPro-Norm" w:cs="Calibri"/>
          <w:color w:val="000000"/>
          <w:sz w:val="22"/>
          <w:szCs w:val="22"/>
        </w:rPr>
        <w:t xml:space="preserve"> that at least 57,000 people with real or perceived psychosocial disabilities have been in </w:t>
      </w:r>
      <w:r w:rsidR="10D12D34" w:rsidRPr="0979A876">
        <w:rPr>
          <w:rFonts w:ascii="MetaPro-Norm" w:eastAsia="Calibri" w:hAnsi="MetaPro-Norm" w:cs="Calibri"/>
          <w:i/>
          <w:iCs/>
          <w:color w:val="000000"/>
          <w:sz w:val="22"/>
          <w:szCs w:val="22"/>
        </w:rPr>
        <w:t>pasung</w:t>
      </w:r>
      <w:r w:rsidR="10D12D34" w:rsidRPr="00B46DFE">
        <w:rPr>
          <w:rFonts w:ascii="MetaPro-Norm" w:eastAsia="Calibri" w:hAnsi="MetaPro-Norm" w:cs="Calibri"/>
          <w:color w:val="000000"/>
          <w:sz w:val="22"/>
          <w:szCs w:val="22"/>
        </w:rPr>
        <w:t xml:space="preserve"> at least once in their lives. Although the government of Indonesia banned </w:t>
      </w:r>
      <w:r w:rsidR="10D12D34" w:rsidRPr="0979A876">
        <w:rPr>
          <w:rFonts w:ascii="MetaPro-Norm" w:eastAsia="Calibri" w:hAnsi="MetaPro-Norm" w:cs="Calibri"/>
          <w:i/>
          <w:iCs/>
          <w:color w:val="000000"/>
          <w:sz w:val="22"/>
          <w:szCs w:val="22"/>
        </w:rPr>
        <w:t>pasung </w:t>
      </w:r>
      <w:r w:rsidR="10D12D34" w:rsidRPr="00B46DFE">
        <w:rPr>
          <w:rFonts w:ascii="MetaPro-Norm" w:eastAsia="Calibri" w:hAnsi="MetaPro-Norm" w:cs="Calibri"/>
          <w:color w:val="000000"/>
          <w:sz w:val="22"/>
          <w:szCs w:val="22"/>
        </w:rPr>
        <w:t>in 1977, families and traditional and religious healers continue to shackle people with psychosocial disabilities.</w:t>
      </w:r>
      <w:r w:rsidR="3D7B70FB" w:rsidRPr="00B46DFE">
        <w:rPr>
          <w:rFonts w:ascii="MetaPro-Norm" w:eastAsia="Calibri" w:hAnsi="MetaPro-Norm" w:cs="Calibri"/>
          <w:color w:val="000000"/>
          <w:sz w:val="22"/>
          <w:szCs w:val="22"/>
        </w:rPr>
        <w:t xml:space="preserve">  </w:t>
      </w:r>
    </w:p>
    <w:p w14:paraId="402BA3B5" w14:textId="77777777" w:rsidR="00ED54C6" w:rsidRPr="00B46DFE" w:rsidRDefault="00ED54C6" w:rsidP="00B46DFE">
      <w:pPr>
        <w:rPr>
          <w:rFonts w:ascii="MetaPro-Norm" w:eastAsia="Calibri" w:hAnsi="MetaPro-Norm" w:cs="Calibri"/>
          <w:color w:val="000000"/>
          <w:sz w:val="22"/>
          <w:szCs w:val="22"/>
        </w:rPr>
      </w:pPr>
    </w:p>
    <w:p w14:paraId="0E199A3F" w14:textId="10445C10" w:rsidR="00545593" w:rsidRPr="00B46DFE" w:rsidRDefault="60DB3BCA" w:rsidP="00B46DFE">
      <w:pPr>
        <w:rPr>
          <w:rFonts w:ascii="MetaPro-Norm" w:eastAsia="Calibri" w:hAnsi="MetaPro-Norm" w:cs="Calibri"/>
          <w:color w:val="000000"/>
          <w:sz w:val="22"/>
          <w:szCs w:val="22"/>
        </w:rPr>
      </w:pPr>
      <w:r w:rsidRPr="00B46DFE">
        <w:rPr>
          <w:rFonts w:ascii="MetaPro-Norm" w:eastAsia="Calibri" w:hAnsi="MetaPro-Norm" w:cs="Calibri"/>
          <w:color w:val="000000"/>
          <w:sz w:val="22"/>
          <w:szCs w:val="22"/>
        </w:rPr>
        <w:t>In 2018, Human Rights Watch published a follow-up report, “</w:t>
      </w:r>
      <w:hyperlink r:id="rId13" w:history="1">
        <w:r w:rsidRPr="00B46DFE">
          <w:rPr>
            <w:rStyle w:val="Hyperlink"/>
            <w:rFonts w:ascii="MetaPro-Norm" w:eastAsia="Calibri" w:hAnsi="MetaPro-Norm" w:cs="Calibri"/>
            <w:sz w:val="22"/>
            <w:szCs w:val="22"/>
          </w:rPr>
          <w:t>Indonesia: Shackling Reduced, But Persists</w:t>
        </w:r>
      </w:hyperlink>
      <w:r w:rsidRPr="00B46DFE">
        <w:rPr>
          <w:rFonts w:ascii="MetaPro-Norm" w:eastAsia="Calibri" w:hAnsi="MetaPro-Norm" w:cs="Calibri"/>
          <w:color w:val="000000"/>
          <w:sz w:val="22"/>
          <w:szCs w:val="22"/>
        </w:rPr>
        <w:t>,” documenting the important steps taken by the Indonesian government to end the practice of shackling people with mental health conditions</w:t>
      </w:r>
      <w:r w:rsidR="0C560AFB" w:rsidRPr="00B46DFE">
        <w:rPr>
          <w:rFonts w:ascii="MetaPro-Norm" w:eastAsia="Calibri" w:hAnsi="MetaPro-Norm" w:cs="Calibri"/>
          <w:color w:val="000000"/>
          <w:sz w:val="22"/>
          <w:szCs w:val="22"/>
        </w:rPr>
        <w:t xml:space="preserve">. </w:t>
      </w:r>
      <w:r w:rsidR="4F9140DE" w:rsidRPr="00B46DFE">
        <w:rPr>
          <w:rFonts w:ascii="MetaPro-Norm" w:eastAsia="Calibri" w:hAnsi="MetaPro-Norm" w:cs="Calibri"/>
          <w:color w:val="000000"/>
          <w:sz w:val="22"/>
          <w:szCs w:val="22"/>
        </w:rPr>
        <w:t xml:space="preserve">Human Rights Watch found that the number of people with psychosocial disabilities who are shackled or locked up in confined spaces dropped from nearly 18,800, the last reported figure, to about 12,800 in July 2018, according to Indonesian government </w:t>
      </w:r>
      <w:r w:rsidR="4F9140DE" w:rsidRPr="00B46DFE">
        <w:rPr>
          <w:rFonts w:ascii="MetaPro-Norm" w:eastAsia="Calibri" w:hAnsi="MetaPro-Norm" w:cs="Calibri"/>
          <w:color w:val="000000"/>
          <w:sz w:val="22"/>
          <w:szCs w:val="22"/>
        </w:rPr>
        <w:lastRenderedPageBreak/>
        <w:t>data.</w:t>
      </w:r>
      <w:r w:rsidR="005F0AD9" w:rsidRPr="00B46DFE">
        <w:rPr>
          <w:rStyle w:val="Funotenzeichen"/>
          <w:rFonts w:ascii="MetaPro-Norm" w:eastAsia="Calibri" w:hAnsi="MetaPro-Norm" w:cs="Calibri"/>
          <w:color w:val="000000"/>
          <w:sz w:val="22"/>
          <w:szCs w:val="22"/>
        </w:rPr>
        <w:footnoteReference w:id="3"/>
      </w:r>
      <w:r w:rsidR="4F9140DE" w:rsidRPr="00B46DFE">
        <w:rPr>
          <w:rFonts w:ascii="MetaPro-Norm" w:eastAsia="Calibri" w:hAnsi="MetaPro-Norm" w:cs="Calibri"/>
          <w:color w:val="000000"/>
          <w:sz w:val="22"/>
          <w:szCs w:val="22"/>
        </w:rPr>
        <w:t xml:space="preserve"> The change resulted in part from community outreach to over 16.2 million households.</w:t>
      </w:r>
      <w:r w:rsidR="4D21EE1F" w:rsidRPr="00B46DFE">
        <w:rPr>
          <w:rFonts w:ascii="MetaPro-Norm" w:eastAsia="Calibri" w:hAnsi="MetaPro-Norm" w:cs="Calibri"/>
          <w:color w:val="000000"/>
          <w:sz w:val="22"/>
          <w:szCs w:val="22"/>
        </w:rPr>
        <w:t xml:space="preserve"> Despite this progress, Human Rights Watch found that people with psychosocial disabilities continue to be detained </w:t>
      </w:r>
      <w:r w:rsidR="45AE6EE9" w:rsidRPr="00B46DFE">
        <w:rPr>
          <w:rFonts w:ascii="MetaPro-Norm" w:eastAsia="Calibri" w:hAnsi="MetaPro-Norm" w:cs="Calibri"/>
          <w:color w:val="000000"/>
          <w:sz w:val="22"/>
          <w:szCs w:val="22"/>
        </w:rPr>
        <w:t xml:space="preserve">arbitrarily </w:t>
      </w:r>
      <w:r w:rsidR="4D21EE1F" w:rsidRPr="00B46DFE">
        <w:rPr>
          <w:rFonts w:ascii="MetaPro-Norm" w:eastAsia="Calibri" w:hAnsi="MetaPro-Norm" w:cs="Calibri"/>
          <w:color w:val="000000"/>
          <w:sz w:val="22"/>
          <w:szCs w:val="22"/>
        </w:rPr>
        <w:t>in faith healing centers, social care institutions, and mental hospitals. </w:t>
      </w:r>
    </w:p>
    <w:p w14:paraId="19306CB3" w14:textId="77777777" w:rsidR="00F65A06" w:rsidRDefault="00F65A06" w:rsidP="00B46DFE">
      <w:pPr>
        <w:rPr>
          <w:rFonts w:ascii="MetaPro-Norm" w:eastAsia="Calibri" w:hAnsi="MetaPro-Norm" w:cs="Calibri"/>
          <w:color w:val="000000"/>
          <w:sz w:val="22"/>
          <w:szCs w:val="22"/>
        </w:rPr>
      </w:pPr>
    </w:p>
    <w:p w14:paraId="26278A4B" w14:textId="60AAF2C5" w:rsidR="008F2D6E" w:rsidRDefault="008F2D6E" w:rsidP="00B46DFE">
      <w:pPr>
        <w:rPr>
          <w:rFonts w:ascii="MetaPro-Norm" w:eastAsia="Calibri" w:hAnsi="MetaPro-Norm" w:cs="Calibri"/>
          <w:color w:val="000000"/>
          <w:sz w:val="22"/>
          <w:szCs w:val="22"/>
        </w:rPr>
      </w:pPr>
      <w:r w:rsidRPr="00B46DFE">
        <w:rPr>
          <w:rFonts w:ascii="MetaPro-Norm" w:eastAsia="Calibri" w:hAnsi="MetaPro-Norm" w:cs="Calibri"/>
          <w:color w:val="000000"/>
          <w:sz w:val="22"/>
          <w:szCs w:val="22"/>
        </w:rPr>
        <w:t>In October 2020, Human Rights Watch pub</w:t>
      </w:r>
      <w:r w:rsidR="0090042E" w:rsidRPr="00B46DFE">
        <w:rPr>
          <w:rFonts w:ascii="MetaPro-Norm" w:eastAsia="Calibri" w:hAnsi="MetaPro-Norm" w:cs="Calibri"/>
          <w:color w:val="000000"/>
          <w:sz w:val="22"/>
          <w:szCs w:val="22"/>
        </w:rPr>
        <w:t xml:space="preserve">lished a report, </w:t>
      </w:r>
      <w:r w:rsidRPr="00B46DFE">
        <w:rPr>
          <w:rFonts w:ascii="MetaPro-Norm" w:eastAsia="Calibri" w:hAnsi="MetaPro-Norm" w:cs="Calibri"/>
          <w:color w:val="000000"/>
          <w:sz w:val="22"/>
          <w:szCs w:val="22"/>
        </w:rPr>
        <w:t>“</w:t>
      </w:r>
      <w:hyperlink r:id="rId14" w:history="1">
        <w:r w:rsidRPr="00B46DFE">
          <w:rPr>
            <w:rStyle w:val="Hyperlink"/>
            <w:rFonts w:ascii="MetaPro-Norm" w:eastAsia="Calibri" w:hAnsi="MetaPro-Norm" w:cs="Calibri"/>
            <w:sz w:val="22"/>
            <w:szCs w:val="22"/>
          </w:rPr>
          <w:t>Living in Chains: Shackling of People with Psychosocial Disabilities Worldwide</w:t>
        </w:r>
      </w:hyperlink>
      <w:r w:rsidR="0090042E" w:rsidRPr="00B46DFE">
        <w:rPr>
          <w:rFonts w:ascii="MetaPro-Norm" w:eastAsia="Calibri" w:hAnsi="MetaPro-Norm" w:cs="Calibri"/>
          <w:color w:val="000000"/>
          <w:sz w:val="22"/>
          <w:szCs w:val="22"/>
        </w:rPr>
        <w:t>,</w:t>
      </w:r>
      <w:r w:rsidRPr="00B46DFE">
        <w:rPr>
          <w:rFonts w:ascii="MetaPro-Norm" w:eastAsia="Calibri" w:hAnsi="MetaPro-Norm" w:cs="Calibri"/>
          <w:color w:val="000000"/>
          <w:sz w:val="22"/>
          <w:szCs w:val="22"/>
        </w:rPr>
        <w:t>”</w:t>
      </w:r>
      <w:r w:rsidR="0090042E" w:rsidRPr="00B46DFE">
        <w:rPr>
          <w:rFonts w:ascii="MetaPro-Norm" w:eastAsia="Calibri" w:hAnsi="MetaPro-Norm" w:cs="Calibri"/>
          <w:color w:val="000000"/>
          <w:sz w:val="22"/>
          <w:szCs w:val="22"/>
        </w:rPr>
        <w:t xml:space="preserve"> </w:t>
      </w:r>
      <w:r w:rsidR="00D7697F" w:rsidRPr="00B46DFE">
        <w:rPr>
          <w:rFonts w:ascii="MetaPro-Norm" w:eastAsia="Calibri" w:hAnsi="MetaPro-Norm" w:cs="Calibri"/>
          <w:color w:val="000000"/>
          <w:sz w:val="22"/>
          <w:szCs w:val="22"/>
        </w:rPr>
        <w:t>documenting the practice of sh</w:t>
      </w:r>
      <w:r w:rsidR="00693644" w:rsidRPr="00B46DFE">
        <w:rPr>
          <w:rFonts w:ascii="MetaPro-Norm" w:eastAsia="Calibri" w:hAnsi="MetaPro-Norm" w:cs="Calibri"/>
          <w:color w:val="000000"/>
          <w:sz w:val="22"/>
          <w:szCs w:val="22"/>
        </w:rPr>
        <w:t>ackling worldwide</w:t>
      </w:r>
      <w:r w:rsidR="00D7697F" w:rsidRPr="00B46DFE">
        <w:rPr>
          <w:rFonts w:ascii="MetaPro-Norm" w:eastAsia="Calibri" w:hAnsi="MetaPro-Norm" w:cs="Calibri"/>
          <w:color w:val="000000"/>
          <w:sz w:val="22"/>
          <w:szCs w:val="22"/>
        </w:rPr>
        <w:t>.</w:t>
      </w:r>
      <w:r w:rsidR="00693644" w:rsidRPr="00B46DFE">
        <w:rPr>
          <w:rFonts w:ascii="MetaPro-Norm" w:eastAsia="Calibri" w:hAnsi="MetaPro-Norm" w:cs="Calibri"/>
          <w:color w:val="000000"/>
          <w:sz w:val="22"/>
          <w:szCs w:val="22"/>
        </w:rPr>
        <w:t xml:space="preserve"> In Indonesia, according to government data, approximately 15,000 people </w:t>
      </w:r>
      <w:r w:rsidR="00456E6A" w:rsidRPr="00B46DFE">
        <w:rPr>
          <w:rFonts w:ascii="MetaPro-Norm" w:eastAsia="Calibri" w:hAnsi="MetaPro-Norm" w:cs="Calibri"/>
          <w:color w:val="000000"/>
          <w:sz w:val="22"/>
          <w:szCs w:val="22"/>
        </w:rPr>
        <w:t>with mental health conditions are</w:t>
      </w:r>
      <w:r w:rsidR="00693644" w:rsidRPr="00B46DFE">
        <w:rPr>
          <w:rFonts w:ascii="MetaPro-Norm" w:eastAsia="Calibri" w:hAnsi="MetaPro-Norm" w:cs="Calibri"/>
          <w:color w:val="000000"/>
          <w:sz w:val="22"/>
          <w:szCs w:val="22"/>
        </w:rPr>
        <w:t xml:space="preserve"> still living in chains as of November 2019.</w:t>
      </w:r>
      <w:r w:rsidR="00845C55" w:rsidRPr="00B46DFE">
        <w:rPr>
          <w:rStyle w:val="Funotenzeichen"/>
          <w:rFonts w:ascii="MetaPro-Norm" w:eastAsia="Calibri" w:hAnsi="MetaPro-Norm" w:cs="Calibri"/>
          <w:color w:val="000000"/>
          <w:sz w:val="22"/>
          <w:szCs w:val="22"/>
        </w:rPr>
        <w:footnoteReference w:id="4"/>
      </w:r>
    </w:p>
    <w:p w14:paraId="1DDD0D08" w14:textId="77777777" w:rsidR="00ED54C6" w:rsidRPr="00ED54C6" w:rsidRDefault="00ED54C6" w:rsidP="00B46DFE">
      <w:pPr>
        <w:rPr>
          <w:rFonts w:ascii="MetaPro-Norm" w:eastAsia="Calibri" w:hAnsi="MetaPro-Norm" w:cs="Calibri"/>
          <w:color w:val="000000"/>
          <w:sz w:val="22"/>
          <w:szCs w:val="22"/>
        </w:rPr>
      </w:pPr>
    </w:p>
    <w:p w14:paraId="37A1D0A1" w14:textId="748D2701" w:rsidR="00BE461C" w:rsidRPr="000D3052" w:rsidRDefault="689F970D" w:rsidP="0979A876">
      <w:pPr>
        <w:pStyle w:val="berschrift2"/>
        <w:rPr>
          <w:rFonts w:ascii="MetaPro-Norm" w:hAnsi="MetaPro-Norm"/>
        </w:rPr>
      </w:pPr>
      <w:r w:rsidRPr="0979A876">
        <w:rPr>
          <w:rFonts w:ascii="MetaPro-Norm" w:hAnsi="MetaPro-Norm"/>
        </w:rPr>
        <w:t xml:space="preserve">Right to </w:t>
      </w:r>
      <w:r w:rsidR="6D3DF639" w:rsidRPr="0979A876">
        <w:rPr>
          <w:rFonts w:ascii="MetaPro-Norm" w:hAnsi="MetaPro-Norm"/>
        </w:rPr>
        <w:t>E</w:t>
      </w:r>
      <w:r w:rsidR="7F6C4E22" w:rsidRPr="0979A876">
        <w:rPr>
          <w:rFonts w:ascii="MetaPro-Norm" w:hAnsi="MetaPro-Norm"/>
        </w:rPr>
        <w:t xml:space="preserve">quality and </w:t>
      </w:r>
      <w:r w:rsidR="6D3DF639" w:rsidRPr="0979A876">
        <w:rPr>
          <w:rFonts w:ascii="MetaPro-Norm" w:hAnsi="MetaPro-Norm"/>
        </w:rPr>
        <w:t>N</w:t>
      </w:r>
      <w:r w:rsidR="7F6C4E22" w:rsidRPr="0979A876">
        <w:rPr>
          <w:rFonts w:ascii="MetaPro-Norm" w:hAnsi="MetaPro-Norm"/>
        </w:rPr>
        <w:t>on-</w:t>
      </w:r>
      <w:r w:rsidR="6D3DF639" w:rsidRPr="0979A876">
        <w:rPr>
          <w:rFonts w:ascii="MetaPro-Norm" w:hAnsi="MetaPro-Norm"/>
        </w:rPr>
        <w:t>D</w:t>
      </w:r>
      <w:r w:rsidRPr="0979A876">
        <w:rPr>
          <w:rFonts w:ascii="MetaPro-Norm" w:hAnsi="MetaPro-Norm"/>
        </w:rPr>
        <w:t>iscrimination (art. 5)</w:t>
      </w:r>
    </w:p>
    <w:p w14:paraId="4E82B3EF" w14:textId="1BBEDF8C" w:rsidR="00D63273" w:rsidRPr="00B46DFE" w:rsidRDefault="00D63273" w:rsidP="00B46DFE">
      <w:pPr>
        <w:pStyle w:val="Textkrper"/>
        <w:ind w:firstLine="0"/>
        <w:rPr>
          <w:rFonts w:ascii="MetaPro-Norm" w:hAnsi="MetaPro-Norm"/>
          <w:sz w:val="22"/>
        </w:rPr>
      </w:pPr>
      <w:r w:rsidRPr="00B46DFE">
        <w:rPr>
          <w:rFonts w:ascii="MetaPro-Norm" w:hAnsi="MetaPro-Norm"/>
          <w:sz w:val="22"/>
          <w:szCs w:val="22"/>
        </w:rPr>
        <w:t>The 1945 Constitution of Indonesia guarantees fundamental rights to all its citizens. Although the constitution does not explicitly refer to persons with disabilities, it lays the foundation for other disability-rights laws and provides the legal basis against discrimination.</w:t>
      </w:r>
      <w:r w:rsidRPr="00B46DFE">
        <w:rPr>
          <w:rStyle w:val="Funotenzeichen"/>
          <w:rFonts w:ascii="MetaPro-Norm" w:hAnsi="MetaPro-Norm"/>
          <w:sz w:val="22"/>
          <w:szCs w:val="22"/>
        </w:rPr>
        <w:footnoteReference w:id="5"/>
      </w:r>
      <w:r w:rsidRPr="00B46DFE">
        <w:rPr>
          <w:rFonts w:ascii="MetaPro-Norm" w:hAnsi="MetaPro-Norm"/>
          <w:sz w:val="22"/>
          <w:szCs w:val="22"/>
        </w:rPr>
        <w:t xml:space="preserve"> </w:t>
      </w:r>
    </w:p>
    <w:p w14:paraId="0492D0BC" w14:textId="0F5E6BBB" w:rsidR="00D63273" w:rsidRPr="00B46DFE" w:rsidRDefault="00D63273" w:rsidP="00B46DFE">
      <w:pPr>
        <w:pStyle w:val="Textkrper"/>
        <w:ind w:firstLine="0"/>
        <w:rPr>
          <w:rFonts w:ascii="MetaPro-Norm" w:hAnsi="MetaPro-Norm"/>
          <w:sz w:val="22"/>
        </w:rPr>
      </w:pPr>
    </w:p>
    <w:p w14:paraId="34579796" w14:textId="0A45D95F" w:rsidR="00D63273" w:rsidRPr="00B46DFE" w:rsidRDefault="00D63273" w:rsidP="00B46DFE">
      <w:pPr>
        <w:pStyle w:val="Textkrper"/>
        <w:ind w:firstLine="0"/>
        <w:rPr>
          <w:rFonts w:ascii="MetaPro-Norm" w:hAnsi="MetaPro-Norm"/>
          <w:sz w:val="22"/>
        </w:rPr>
      </w:pPr>
      <w:r w:rsidRPr="00B46DFE">
        <w:rPr>
          <w:rFonts w:ascii="MetaPro-Norm" w:hAnsi="MetaPro-Norm"/>
          <w:sz w:val="22"/>
          <w:szCs w:val="22"/>
        </w:rPr>
        <w:t>Law No. 4 of 1997 elaborates on the rights of persons with disabilities. The focus of the law is on ensuring equal rights and opportunities for persons with disabilities in all aspects of life, including in the fields</w:t>
      </w:r>
      <w:r w:rsidR="003F6AD4" w:rsidRPr="00B46DFE">
        <w:rPr>
          <w:rFonts w:ascii="MetaPro-Norm" w:hAnsi="MetaPro-Norm"/>
          <w:sz w:val="22"/>
          <w:szCs w:val="22"/>
        </w:rPr>
        <w:t xml:space="preserve"> of education and employment.</w:t>
      </w:r>
      <w:r w:rsidR="003F6AD4" w:rsidRPr="00B46DFE">
        <w:rPr>
          <w:rStyle w:val="Funotenzeichen"/>
          <w:rFonts w:ascii="MetaPro-Norm" w:hAnsi="MetaPro-Norm"/>
          <w:sz w:val="22"/>
          <w:szCs w:val="22"/>
        </w:rPr>
        <w:footnoteReference w:id="6"/>
      </w:r>
      <w:r w:rsidR="003F6AD4" w:rsidRPr="00B46DFE">
        <w:rPr>
          <w:rFonts w:ascii="MetaPro-Norm" w:hAnsi="MetaPro-Norm"/>
          <w:sz w:val="22"/>
          <w:szCs w:val="22"/>
        </w:rPr>
        <w:t xml:space="preserve"> However, the law </w:t>
      </w:r>
      <w:r w:rsidRPr="00B46DFE">
        <w:rPr>
          <w:rFonts w:ascii="MetaPro-Norm" w:hAnsi="MetaPro-Norm"/>
          <w:sz w:val="22"/>
          <w:szCs w:val="22"/>
        </w:rPr>
        <w:t xml:space="preserve">also perpetuates stigma and marginalizing persons with disabilities as </w:t>
      </w:r>
      <w:r w:rsidR="00675E6C" w:rsidRPr="00B46DFE">
        <w:rPr>
          <w:rFonts w:ascii="MetaPro-Norm" w:hAnsi="MetaPro-Norm"/>
          <w:sz w:val="22"/>
          <w:szCs w:val="22"/>
        </w:rPr>
        <w:t>it defines them as “abnormal” and as</w:t>
      </w:r>
      <w:r w:rsidRPr="00B46DFE">
        <w:rPr>
          <w:rFonts w:ascii="MetaPro-Norm" w:hAnsi="MetaPro-Norm"/>
          <w:sz w:val="22"/>
          <w:szCs w:val="22"/>
        </w:rPr>
        <w:t xml:space="preserve"> “people with physical and/or mental deficiencies so that they can't ordinarily</w:t>
      </w:r>
      <w:r w:rsidR="003F6AD4" w:rsidRPr="00B46DFE">
        <w:rPr>
          <w:rFonts w:ascii="MetaPro-Norm" w:hAnsi="MetaPro-Norm"/>
          <w:sz w:val="22"/>
          <w:szCs w:val="22"/>
        </w:rPr>
        <w:t xml:space="preserve"> do their social function.”</w:t>
      </w:r>
      <w:r w:rsidR="003F6AD4" w:rsidRPr="00B46DFE">
        <w:rPr>
          <w:rStyle w:val="Funotenzeichen"/>
          <w:rFonts w:ascii="MetaPro-Norm" w:hAnsi="MetaPro-Norm"/>
          <w:sz w:val="22"/>
          <w:szCs w:val="22"/>
        </w:rPr>
        <w:footnoteReference w:id="7"/>
      </w:r>
    </w:p>
    <w:p w14:paraId="18D75CFE" w14:textId="19174B8D" w:rsidR="003F6AD4" w:rsidRPr="00B46DFE" w:rsidRDefault="003F6AD4" w:rsidP="00B46DFE">
      <w:pPr>
        <w:pStyle w:val="Textkrper"/>
        <w:ind w:firstLine="0"/>
        <w:rPr>
          <w:rFonts w:ascii="MetaPro-Norm" w:hAnsi="MetaPro-Norm"/>
          <w:sz w:val="22"/>
        </w:rPr>
      </w:pPr>
    </w:p>
    <w:p w14:paraId="3E3A0E5A" w14:textId="7B821B17" w:rsidR="00982DCD" w:rsidRPr="00B46DFE" w:rsidRDefault="003F6AD4" w:rsidP="00B46DFE">
      <w:pPr>
        <w:pStyle w:val="Textkrper"/>
        <w:ind w:firstLine="0"/>
        <w:rPr>
          <w:rFonts w:ascii="MetaPro-Norm" w:hAnsi="MetaPro-Norm"/>
          <w:sz w:val="22"/>
        </w:rPr>
      </w:pPr>
      <w:r w:rsidRPr="00B46DFE">
        <w:rPr>
          <w:rFonts w:ascii="MetaPro-Norm" w:hAnsi="MetaPro-Norm"/>
          <w:sz w:val="22"/>
          <w:szCs w:val="22"/>
        </w:rPr>
        <w:t>In July 2014, the Indonesian parliament passed the Mental Health Act (MHA) to address the country’s dire mental healthcare situation.</w:t>
      </w:r>
      <w:r w:rsidR="00982DCD" w:rsidRPr="00B46DFE">
        <w:rPr>
          <w:rStyle w:val="Funotenzeichen"/>
          <w:rFonts w:ascii="MetaPro-Norm" w:hAnsi="MetaPro-Norm"/>
          <w:sz w:val="22"/>
          <w:szCs w:val="22"/>
        </w:rPr>
        <w:footnoteReference w:id="8"/>
      </w:r>
      <w:r w:rsidRPr="00B46DFE">
        <w:rPr>
          <w:rFonts w:ascii="MetaPro-Norm" w:hAnsi="MetaPro-Norm"/>
          <w:sz w:val="22"/>
          <w:szCs w:val="22"/>
        </w:rPr>
        <w:t xml:space="preserve"> The law puts the onus on the government to provide access to mental health services from the local level to the national level. The MHA </w:t>
      </w:r>
      <w:r w:rsidR="00982DCD" w:rsidRPr="00B46DFE">
        <w:rPr>
          <w:rFonts w:ascii="MetaPro-Norm" w:hAnsi="MetaPro-Norm"/>
          <w:sz w:val="22"/>
          <w:szCs w:val="22"/>
        </w:rPr>
        <w:t>aims to do this by integrating basic mental health into general health services, building human resource capacity, making affordable drugs a</w:t>
      </w:r>
      <w:r w:rsidR="00675E6C" w:rsidRPr="00B46DFE">
        <w:rPr>
          <w:rFonts w:ascii="MetaPro-Norm" w:hAnsi="MetaPro-Norm"/>
          <w:sz w:val="22"/>
          <w:szCs w:val="22"/>
        </w:rPr>
        <w:t>vailable, and—most importantly—</w:t>
      </w:r>
      <w:r w:rsidR="00982DCD" w:rsidRPr="00B46DFE">
        <w:rPr>
          <w:rFonts w:ascii="MetaPro-Norm" w:hAnsi="MetaPro-Norm"/>
          <w:sz w:val="22"/>
          <w:szCs w:val="22"/>
        </w:rPr>
        <w:t>providing accessible community-based services.</w:t>
      </w:r>
      <w:r w:rsidR="00982DCD" w:rsidRPr="00B46DFE">
        <w:rPr>
          <w:rStyle w:val="Funotenzeichen"/>
          <w:rFonts w:ascii="MetaPro-Norm" w:hAnsi="MetaPro-Norm"/>
          <w:sz w:val="22"/>
          <w:szCs w:val="22"/>
        </w:rPr>
        <w:footnoteReference w:id="9"/>
      </w:r>
      <w:r w:rsidR="00982DCD" w:rsidRPr="00B46DFE">
        <w:rPr>
          <w:rFonts w:ascii="MetaPro-Norm" w:hAnsi="MetaPro-Norm"/>
          <w:sz w:val="22"/>
          <w:szCs w:val="22"/>
        </w:rPr>
        <w:t xml:space="preserve"> The MHA also emphasizes the need for the government to set standards for care and monitor the licensing of mental health facilities.</w:t>
      </w:r>
      <w:r w:rsidR="00982DCD" w:rsidRPr="00B46DFE">
        <w:rPr>
          <w:rStyle w:val="Funotenzeichen"/>
          <w:rFonts w:ascii="MetaPro-Norm" w:hAnsi="MetaPro-Norm"/>
          <w:sz w:val="22"/>
          <w:szCs w:val="22"/>
        </w:rPr>
        <w:footnoteReference w:id="10"/>
      </w:r>
      <w:r w:rsidR="00982DCD" w:rsidRPr="00B46DFE">
        <w:rPr>
          <w:rFonts w:ascii="MetaPro-Norm" w:hAnsi="MetaPro-Norm"/>
          <w:sz w:val="22"/>
          <w:szCs w:val="22"/>
        </w:rPr>
        <w:t xml:space="preserve"> Furthermore, the law includes provisions for raising awareness and reducing stigma and bias against persons with psychosocial disabilities, including encouraging the mass media to project a positive image of persons with mental health conditions.</w:t>
      </w:r>
      <w:r w:rsidR="00982DCD" w:rsidRPr="00B46DFE">
        <w:rPr>
          <w:rStyle w:val="Funotenzeichen"/>
          <w:rFonts w:ascii="MetaPro-Norm" w:hAnsi="MetaPro-Norm"/>
          <w:sz w:val="22"/>
          <w:szCs w:val="22"/>
        </w:rPr>
        <w:footnoteReference w:id="11"/>
      </w:r>
      <w:r w:rsidR="00982DCD" w:rsidRPr="00B46DFE">
        <w:rPr>
          <w:rFonts w:ascii="MetaPro-Norm" w:hAnsi="MetaPro-Norm"/>
          <w:sz w:val="22"/>
          <w:szCs w:val="22"/>
        </w:rPr>
        <w:t xml:space="preserve"> </w:t>
      </w:r>
    </w:p>
    <w:p w14:paraId="0395D5A6" w14:textId="77777777" w:rsidR="00982DCD" w:rsidRPr="00B46DFE" w:rsidRDefault="00982DCD" w:rsidP="00B46DFE">
      <w:pPr>
        <w:pStyle w:val="Textkrper"/>
        <w:ind w:firstLine="0"/>
        <w:rPr>
          <w:rFonts w:ascii="MetaPro-Norm" w:hAnsi="MetaPro-Norm"/>
          <w:sz w:val="22"/>
        </w:rPr>
      </w:pPr>
    </w:p>
    <w:p w14:paraId="64045FC9" w14:textId="21A75B31" w:rsidR="00982DCD" w:rsidRPr="00B46DFE" w:rsidRDefault="4D97A723" w:rsidP="0979A876">
      <w:pPr>
        <w:pStyle w:val="Textkrper"/>
        <w:ind w:firstLine="0"/>
        <w:rPr>
          <w:rFonts w:ascii="MetaPro-Norm" w:hAnsi="MetaPro-Norm"/>
          <w:sz w:val="22"/>
          <w:szCs w:val="22"/>
        </w:rPr>
      </w:pPr>
      <w:r w:rsidRPr="00B46DFE">
        <w:rPr>
          <w:rFonts w:ascii="MetaPro-Norm" w:hAnsi="MetaPro-Norm"/>
          <w:sz w:val="22"/>
          <w:szCs w:val="22"/>
        </w:rPr>
        <w:t>The MHA attempts to take a rights-based approach and makes explicit patients’ rights, including the right to “honest and complete information on a person’s mental health data,” and to protection from neglect</w:t>
      </w:r>
      <w:r w:rsidR="6B100558" w:rsidRPr="00B46DFE">
        <w:rPr>
          <w:rFonts w:ascii="MetaPro-Norm" w:hAnsi="MetaPro-Norm"/>
          <w:sz w:val="22"/>
          <w:szCs w:val="22"/>
        </w:rPr>
        <w:t>, violence, and exploitation.</w:t>
      </w:r>
      <w:r w:rsidR="00E15ACA" w:rsidRPr="00B46DFE">
        <w:rPr>
          <w:rStyle w:val="Funotenzeichen"/>
          <w:rFonts w:ascii="MetaPro-Norm" w:hAnsi="MetaPro-Norm"/>
          <w:sz w:val="22"/>
          <w:szCs w:val="22"/>
        </w:rPr>
        <w:footnoteReference w:id="12"/>
      </w:r>
      <w:r w:rsidRPr="00B46DFE">
        <w:rPr>
          <w:rFonts w:ascii="MetaPro-Norm" w:hAnsi="MetaPro-Norm"/>
          <w:sz w:val="22"/>
          <w:szCs w:val="22"/>
        </w:rPr>
        <w:t xml:space="preserve"> Most importantly, for the thousands of Indonesians with psychosocial disabilities who spend their lives shackled instead of </w:t>
      </w:r>
      <w:r w:rsidR="17E68A9F">
        <w:rPr>
          <w:rFonts w:ascii="MetaPro-Norm" w:hAnsi="MetaPro-Norm"/>
          <w:sz w:val="22"/>
          <w:szCs w:val="22"/>
        </w:rPr>
        <w:t>receiving</w:t>
      </w:r>
      <w:r w:rsidR="00D72362">
        <w:rPr>
          <w:rFonts w:ascii="MetaPro-Norm" w:hAnsi="MetaPro-Norm"/>
          <w:sz w:val="22"/>
          <w:szCs w:val="22"/>
        </w:rPr>
        <w:t xml:space="preserve"> </w:t>
      </w:r>
      <w:r w:rsidRPr="00B46DFE">
        <w:rPr>
          <w:rFonts w:ascii="MetaPro-Norm" w:hAnsi="MetaPro-Norm"/>
          <w:sz w:val="22"/>
          <w:szCs w:val="22"/>
        </w:rPr>
        <w:t xml:space="preserve">community-based mental health care, the law provides accountability </w:t>
      </w:r>
      <w:r w:rsidR="6B100558" w:rsidRPr="00B46DFE">
        <w:rPr>
          <w:rFonts w:ascii="MetaPro-Norm" w:hAnsi="MetaPro-Norm"/>
          <w:sz w:val="22"/>
          <w:szCs w:val="22"/>
        </w:rPr>
        <w:t xml:space="preserve">for abuses, including </w:t>
      </w:r>
      <w:r w:rsidR="6B100558" w:rsidRPr="0979A876">
        <w:rPr>
          <w:rFonts w:ascii="MetaPro-Norm" w:hAnsi="MetaPro-Norm"/>
          <w:i/>
          <w:iCs/>
          <w:sz w:val="22"/>
          <w:szCs w:val="22"/>
        </w:rPr>
        <w:t>pasung</w:t>
      </w:r>
      <w:r w:rsidR="6B100558" w:rsidRPr="00B46DFE">
        <w:rPr>
          <w:rFonts w:ascii="MetaPro-Norm" w:hAnsi="MetaPro-Norm"/>
          <w:sz w:val="22"/>
          <w:szCs w:val="22"/>
        </w:rPr>
        <w:t>.</w:t>
      </w:r>
      <w:r w:rsidR="00E15ACA" w:rsidRPr="00B46DFE">
        <w:rPr>
          <w:rStyle w:val="Funotenzeichen"/>
          <w:rFonts w:ascii="MetaPro-Norm" w:hAnsi="MetaPro-Norm"/>
          <w:sz w:val="22"/>
          <w:szCs w:val="22"/>
        </w:rPr>
        <w:footnoteReference w:id="13"/>
      </w:r>
    </w:p>
    <w:p w14:paraId="7FFCF821" w14:textId="77777777" w:rsidR="00982DCD" w:rsidRPr="00B46DFE" w:rsidRDefault="00982DCD" w:rsidP="00B46DFE">
      <w:pPr>
        <w:pStyle w:val="Textkrper"/>
        <w:ind w:firstLine="0"/>
        <w:rPr>
          <w:rFonts w:ascii="MetaPro-Norm" w:hAnsi="MetaPro-Norm"/>
          <w:sz w:val="22"/>
        </w:rPr>
      </w:pPr>
    </w:p>
    <w:p w14:paraId="2DBA1A72" w14:textId="75A84F71" w:rsidR="003F6AD4" w:rsidRPr="00B46DFE" w:rsidRDefault="00982DCD" w:rsidP="241C31EF">
      <w:pPr>
        <w:pStyle w:val="Textkrper"/>
        <w:ind w:firstLine="0"/>
        <w:rPr>
          <w:rFonts w:ascii="MetaPro-Norm" w:hAnsi="MetaPro-Norm"/>
          <w:sz w:val="22"/>
          <w:szCs w:val="22"/>
        </w:rPr>
      </w:pPr>
      <w:r w:rsidRPr="241C31EF">
        <w:rPr>
          <w:rFonts w:ascii="MetaPro-Norm" w:hAnsi="MetaPro-Norm"/>
          <w:sz w:val="22"/>
          <w:szCs w:val="22"/>
        </w:rPr>
        <w:t xml:space="preserve">But </w:t>
      </w:r>
      <w:r w:rsidRPr="00B46DFE">
        <w:rPr>
          <w:rFonts w:ascii="MetaPro-Norm" w:hAnsi="MetaPro-Norm"/>
          <w:sz w:val="22"/>
          <w:szCs w:val="22"/>
        </w:rPr>
        <w:t xml:space="preserve">the MHA contains some problematic provisions. At the outset, it continues to be based on a medical model of disability that is contrary to the principles of the CRPD. Moreover, the law adopts a </w:t>
      </w:r>
      <w:r w:rsidRPr="00B46DFE">
        <w:rPr>
          <w:rFonts w:ascii="MetaPro-Norm" w:hAnsi="MetaPro-Norm"/>
          <w:sz w:val="22"/>
          <w:szCs w:val="22"/>
        </w:rPr>
        <w:lastRenderedPageBreak/>
        <w:t>pejorative view of persons with psychosocial disabilities as people who have “obstacles in carrying out functions as a human being” and may be subjected to “coercive” rehabilitation so they confo</w:t>
      </w:r>
      <w:r w:rsidR="00E15ACA" w:rsidRPr="00B46DFE">
        <w:rPr>
          <w:rFonts w:ascii="MetaPro-Norm" w:hAnsi="MetaPro-Norm"/>
          <w:sz w:val="22"/>
          <w:szCs w:val="22"/>
        </w:rPr>
        <w:t>rm to the social environment.</w:t>
      </w:r>
      <w:r w:rsidR="00E15ACA" w:rsidRPr="00B46DFE">
        <w:rPr>
          <w:rStyle w:val="Funotenzeichen"/>
          <w:rFonts w:ascii="MetaPro-Norm" w:hAnsi="MetaPro-Norm"/>
          <w:sz w:val="22"/>
          <w:szCs w:val="22"/>
        </w:rPr>
        <w:footnoteReference w:id="14"/>
      </w:r>
      <w:r w:rsidRPr="00B46DFE">
        <w:rPr>
          <w:rFonts w:ascii="MetaPro-Norm" w:hAnsi="MetaPro-Norm"/>
          <w:sz w:val="22"/>
          <w:szCs w:val="22"/>
        </w:rPr>
        <w:t xml:space="preserve"> The law further allows persons with psychosocial disabilities to be stripped of their legal capacity, including their right to make</w:t>
      </w:r>
      <w:r w:rsidR="00E15ACA" w:rsidRPr="00B46DFE">
        <w:rPr>
          <w:rFonts w:ascii="MetaPro-Norm" w:hAnsi="MetaPro-Norm"/>
          <w:sz w:val="22"/>
          <w:szCs w:val="22"/>
        </w:rPr>
        <w:t xml:space="preserve"> their own medical decisions.</w:t>
      </w:r>
      <w:r w:rsidR="00E15ACA" w:rsidRPr="00B46DFE">
        <w:rPr>
          <w:rStyle w:val="Funotenzeichen"/>
          <w:rFonts w:ascii="MetaPro-Norm" w:hAnsi="MetaPro-Norm"/>
          <w:sz w:val="22"/>
          <w:szCs w:val="22"/>
        </w:rPr>
        <w:footnoteReference w:id="15"/>
      </w:r>
      <w:r w:rsidRPr="00B46DFE">
        <w:rPr>
          <w:rFonts w:ascii="MetaPro-Norm" w:hAnsi="MetaPro-Norm"/>
          <w:sz w:val="22"/>
          <w:szCs w:val="22"/>
        </w:rPr>
        <w:t xml:space="preserve"> Under the MHA, a psychiatrist can declare a person with a psychosocial disability to be “incompetent” without any judicial review, thereby authorizing a family member or guardian to take </w:t>
      </w:r>
      <w:r w:rsidR="00E15ACA" w:rsidRPr="00B46DFE">
        <w:rPr>
          <w:rFonts w:ascii="MetaPro-Norm" w:hAnsi="MetaPro-Norm"/>
          <w:sz w:val="22"/>
          <w:szCs w:val="22"/>
        </w:rPr>
        <w:t>medical decisions on their behalf.</w:t>
      </w:r>
      <w:r w:rsidR="00E15ACA" w:rsidRPr="00B46DFE">
        <w:rPr>
          <w:rStyle w:val="Funotenzeichen"/>
          <w:rFonts w:ascii="MetaPro-Norm" w:hAnsi="MetaPro-Norm"/>
          <w:sz w:val="22"/>
          <w:szCs w:val="22"/>
        </w:rPr>
        <w:footnoteReference w:id="16"/>
      </w:r>
      <w:r w:rsidR="00E15ACA" w:rsidRPr="00B46DFE">
        <w:rPr>
          <w:rFonts w:ascii="MetaPro-Norm" w:hAnsi="MetaPro-Norm"/>
          <w:sz w:val="22"/>
          <w:szCs w:val="22"/>
        </w:rPr>
        <w:t xml:space="preserve"> The MHA further allows medical personnel to subject a person to forced treatment if they “may endanger” th</w:t>
      </w:r>
      <w:r w:rsidR="0029609C" w:rsidRPr="00B46DFE">
        <w:rPr>
          <w:rFonts w:ascii="MetaPro-Norm" w:hAnsi="MetaPro-Norm"/>
          <w:sz w:val="22"/>
          <w:szCs w:val="22"/>
        </w:rPr>
        <w:t>emselves or others.</w:t>
      </w:r>
      <w:r w:rsidR="0029609C" w:rsidRPr="00B46DFE">
        <w:rPr>
          <w:rStyle w:val="Funotenzeichen"/>
          <w:rFonts w:ascii="MetaPro-Norm" w:hAnsi="MetaPro-Norm"/>
          <w:sz w:val="22"/>
          <w:szCs w:val="22"/>
        </w:rPr>
        <w:footnoteReference w:id="17"/>
      </w:r>
      <w:r w:rsidR="0029609C" w:rsidRPr="00B46DFE">
        <w:rPr>
          <w:rFonts w:ascii="MetaPro-Norm" w:hAnsi="MetaPro-Norm"/>
          <w:sz w:val="22"/>
          <w:szCs w:val="22"/>
        </w:rPr>
        <w:t xml:space="preserve"> </w:t>
      </w:r>
      <w:r w:rsidR="00E15ACA" w:rsidRPr="00B46DFE">
        <w:rPr>
          <w:rFonts w:ascii="MetaPro-Norm" w:hAnsi="MetaPro-Norm"/>
          <w:sz w:val="22"/>
          <w:szCs w:val="22"/>
        </w:rPr>
        <w:t>Both of these provisions could lead to abusive treatment. Informed consent is a bedrock principle of medical ethics and international human rights law, and forcing people to take medicine or undergo treatment without their knowledge or consent, except when the patient’s life is in imminent danger, violates their rights.</w:t>
      </w:r>
      <w:r w:rsidR="0029609C" w:rsidRPr="00B46DFE">
        <w:rPr>
          <w:rStyle w:val="Funotenzeichen"/>
          <w:rFonts w:ascii="MetaPro-Norm" w:hAnsi="MetaPro-Norm"/>
          <w:sz w:val="22"/>
          <w:szCs w:val="22"/>
        </w:rPr>
        <w:footnoteReference w:id="18"/>
      </w:r>
      <w:r w:rsidR="00E15ACA" w:rsidRPr="00B46DFE">
        <w:rPr>
          <w:rFonts w:ascii="MetaPro-Norm" w:hAnsi="MetaPro-Norm"/>
          <w:sz w:val="22"/>
          <w:szCs w:val="22"/>
        </w:rPr>
        <w:t xml:space="preserve"> The same rule should be applied regardless of whether the person has a disability.</w:t>
      </w:r>
      <w:r w:rsidR="0029609C" w:rsidRPr="00B46DFE">
        <w:rPr>
          <w:rStyle w:val="Funotenzeichen"/>
          <w:rFonts w:ascii="MetaPro-Norm" w:hAnsi="MetaPro-Norm"/>
          <w:sz w:val="22"/>
          <w:szCs w:val="22"/>
        </w:rPr>
        <w:footnoteReference w:id="19"/>
      </w:r>
      <w:r w:rsidR="00E15ACA" w:rsidRPr="00B46DFE">
        <w:rPr>
          <w:rFonts w:ascii="MetaPro-Norm" w:hAnsi="MetaPro-Norm"/>
          <w:sz w:val="22"/>
          <w:szCs w:val="22"/>
        </w:rPr>
        <w:t xml:space="preserve"> </w:t>
      </w:r>
    </w:p>
    <w:p w14:paraId="658210AB" w14:textId="77777777" w:rsidR="00D63273" w:rsidRPr="00B46DFE" w:rsidRDefault="00D63273" w:rsidP="00B46DFE">
      <w:pPr>
        <w:pStyle w:val="Textkrper"/>
        <w:ind w:firstLine="0"/>
        <w:rPr>
          <w:rFonts w:ascii="MetaPro-Norm" w:hAnsi="MetaPro-Norm"/>
          <w:sz w:val="22"/>
        </w:rPr>
      </w:pPr>
    </w:p>
    <w:p w14:paraId="0A16FD26" w14:textId="073DB62A" w:rsidR="00BE461C" w:rsidRPr="00B46DFE" w:rsidRDefault="00BE461C" w:rsidP="00B46DFE">
      <w:pPr>
        <w:pStyle w:val="Textkrper"/>
        <w:ind w:firstLine="0"/>
        <w:rPr>
          <w:rFonts w:ascii="MetaPro-Norm" w:hAnsi="MetaPro-Norm"/>
          <w:sz w:val="22"/>
        </w:rPr>
      </w:pPr>
      <w:r w:rsidRPr="00B46DFE">
        <w:rPr>
          <w:rFonts w:ascii="MetaPro-Norm" w:hAnsi="MetaPro-Norm"/>
          <w:sz w:val="22"/>
          <w:szCs w:val="22"/>
        </w:rPr>
        <w:t xml:space="preserve">While Indonesia has taken some steps to </w:t>
      </w:r>
      <w:r w:rsidR="00AD7149" w:rsidRPr="00B46DFE">
        <w:rPr>
          <w:rFonts w:ascii="MetaPro-Norm" w:hAnsi="MetaPro-Norm"/>
          <w:sz w:val="22"/>
          <w:szCs w:val="22"/>
        </w:rPr>
        <w:t>protect the rights of people with disabilities, further progress is needed to ensure non-discrimination and the equal protection of the law.</w:t>
      </w:r>
      <w:r w:rsidR="00AD7149" w:rsidRPr="00B46DFE">
        <w:rPr>
          <w:rStyle w:val="Funotenzeichen"/>
          <w:rFonts w:ascii="MetaPro-Norm" w:hAnsi="MetaPro-Norm"/>
          <w:sz w:val="22"/>
          <w:szCs w:val="22"/>
        </w:rPr>
        <w:footnoteReference w:id="20"/>
      </w:r>
      <w:r w:rsidR="00363760" w:rsidRPr="00B46DFE">
        <w:rPr>
          <w:rFonts w:ascii="MetaPro-Norm" w:hAnsi="MetaPro-Norm"/>
          <w:sz w:val="22"/>
          <w:szCs w:val="22"/>
        </w:rPr>
        <w:t xml:space="preserve"> </w:t>
      </w:r>
    </w:p>
    <w:p w14:paraId="20AE7EF6" w14:textId="280439C9" w:rsidR="00AD7149" w:rsidRPr="00B46DFE" w:rsidRDefault="00AD7149" w:rsidP="00B46DFE">
      <w:pPr>
        <w:pStyle w:val="Textkrper"/>
        <w:ind w:firstLine="0"/>
        <w:rPr>
          <w:rFonts w:ascii="MetaPro-Norm" w:hAnsi="MetaPro-Norm"/>
        </w:rPr>
      </w:pPr>
    </w:p>
    <w:p w14:paraId="56AC4198" w14:textId="629D30D5" w:rsidR="00AD7149" w:rsidRPr="00B46DFE" w:rsidRDefault="00AD7149" w:rsidP="00B46DFE">
      <w:pPr>
        <w:rPr>
          <w:rFonts w:ascii="MetaPro-Norm" w:eastAsia="Calibri" w:hAnsi="MetaPro-Norm" w:cs="Arial"/>
          <w:sz w:val="22"/>
          <w:szCs w:val="22"/>
        </w:rPr>
      </w:pPr>
      <w:r w:rsidRPr="00B46DFE">
        <w:rPr>
          <w:rFonts w:ascii="MetaPro-Norm" w:eastAsia="Calibri" w:hAnsi="MetaPro-Norm" w:cs="Arial"/>
          <w:i/>
          <w:iCs/>
          <w:sz w:val="22"/>
          <w:szCs w:val="22"/>
        </w:rPr>
        <w:t>Human Rights Watch encourages the Committee to ask the government of Indonesia</w:t>
      </w:r>
      <w:r w:rsidRPr="00B46DFE">
        <w:rPr>
          <w:rFonts w:ascii="MetaPro-Norm" w:eastAsia="Calibri" w:hAnsi="MetaPro-Norm" w:cs="Arial"/>
          <w:sz w:val="22"/>
          <w:szCs w:val="22"/>
        </w:rPr>
        <w:t>:</w:t>
      </w:r>
    </w:p>
    <w:p w14:paraId="51D3EB1A" w14:textId="0F3AAACB" w:rsidR="00E67288" w:rsidRDefault="00E67288" w:rsidP="00B46DFE">
      <w:pPr>
        <w:pStyle w:val="Listenabsatz"/>
        <w:numPr>
          <w:ilvl w:val="0"/>
          <w:numId w:val="22"/>
        </w:numPr>
        <w:rPr>
          <w:rFonts w:ascii="MetaPro-Norm" w:eastAsia="Calibri" w:hAnsi="MetaPro-Norm" w:cs="Arial"/>
          <w:sz w:val="22"/>
          <w:szCs w:val="22"/>
        </w:rPr>
      </w:pPr>
      <w:r w:rsidRPr="00B46DFE">
        <w:rPr>
          <w:rFonts w:ascii="MetaPro-Norm" w:eastAsia="Calibri" w:hAnsi="MetaPro-Norm" w:cs="Arial"/>
          <w:sz w:val="22"/>
          <w:szCs w:val="22"/>
        </w:rPr>
        <w:t>What concrete steps has the government take</w:t>
      </w:r>
      <w:r w:rsidR="003D5F63" w:rsidRPr="00B46DFE">
        <w:rPr>
          <w:rFonts w:ascii="MetaPro-Norm" w:eastAsia="Calibri" w:hAnsi="MetaPro-Norm" w:cs="Arial"/>
          <w:sz w:val="22"/>
          <w:szCs w:val="22"/>
        </w:rPr>
        <w:t>n</w:t>
      </w:r>
      <w:r w:rsidRPr="00B46DFE">
        <w:rPr>
          <w:rFonts w:ascii="MetaPro-Norm" w:eastAsia="Calibri" w:hAnsi="MetaPro-Norm" w:cs="Arial"/>
          <w:sz w:val="22"/>
          <w:szCs w:val="22"/>
        </w:rPr>
        <w:t xml:space="preserve"> to amend or repeal all domestic legislation that is contrary to the CRPD to ensure that persons with disabilities are guaranteed legal capacity, equal recognition before the law, supported decision-making as opposed to guardianship (plenary and limited), freedom from discrimination, and protection from involuntary detention and treatment?</w:t>
      </w:r>
    </w:p>
    <w:p w14:paraId="58B6EC29" w14:textId="77777777" w:rsidR="00ED54C6" w:rsidRPr="00B46DFE" w:rsidRDefault="00ED54C6" w:rsidP="00ED54C6">
      <w:pPr>
        <w:pStyle w:val="Listenabsatz"/>
        <w:rPr>
          <w:rFonts w:ascii="MetaPro-Norm" w:eastAsia="Calibri" w:hAnsi="MetaPro-Norm" w:cs="Arial"/>
          <w:sz w:val="22"/>
          <w:szCs w:val="22"/>
        </w:rPr>
      </w:pPr>
    </w:p>
    <w:p w14:paraId="514D3AC3" w14:textId="77402B7B" w:rsidR="7106BE5F" w:rsidRPr="00B46DFE" w:rsidRDefault="7106BE5F" w:rsidP="00B46DFE">
      <w:pPr>
        <w:rPr>
          <w:rFonts w:ascii="MetaPro-Norm" w:eastAsia="Calibri" w:hAnsi="MetaPro-Norm" w:cs="Arial"/>
          <w:i/>
          <w:iCs/>
          <w:sz w:val="22"/>
          <w:szCs w:val="22"/>
        </w:rPr>
      </w:pPr>
      <w:r w:rsidRPr="00B46DFE">
        <w:rPr>
          <w:rFonts w:ascii="MetaPro-Norm" w:eastAsia="Calibri" w:hAnsi="MetaPro-Norm" w:cs="Arial"/>
          <w:i/>
          <w:iCs/>
          <w:sz w:val="22"/>
          <w:szCs w:val="22"/>
        </w:rPr>
        <w:t xml:space="preserve">Human Rights Watch asks the Committee to consider including the following recommendations in its concluding observations on Indonesia:  </w:t>
      </w:r>
    </w:p>
    <w:p w14:paraId="090644C9" w14:textId="17FEDB11" w:rsidR="001B56DA" w:rsidRPr="00B46DFE" w:rsidRDefault="00E67288" w:rsidP="00B46DFE">
      <w:pPr>
        <w:pStyle w:val="Listenabsatz"/>
        <w:numPr>
          <w:ilvl w:val="0"/>
          <w:numId w:val="22"/>
        </w:numPr>
        <w:rPr>
          <w:rFonts w:ascii="MetaPro-Norm" w:eastAsia="Calibri" w:hAnsi="MetaPro-Norm" w:cs="Arial"/>
          <w:sz w:val="22"/>
          <w:szCs w:val="22"/>
        </w:rPr>
      </w:pPr>
      <w:r w:rsidRPr="00B46DFE">
        <w:rPr>
          <w:rFonts w:ascii="MetaPro-Norm" w:eastAsia="Calibri" w:hAnsi="MetaPro-Norm" w:cs="Arial"/>
          <w:sz w:val="22"/>
          <w:szCs w:val="22"/>
        </w:rPr>
        <w:t>Amend th</w:t>
      </w:r>
      <w:r w:rsidR="001B56DA" w:rsidRPr="00B46DFE">
        <w:rPr>
          <w:rFonts w:ascii="MetaPro-Norm" w:eastAsia="Calibri" w:hAnsi="MetaPro-Norm" w:cs="Arial"/>
          <w:sz w:val="22"/>
          <w:szCs w:val="22"/>
        </w:rPr>
        <w:t xml:space="preserve">e Mental Health Act so as to: </w:t>
      </w:r>
    </w:p>
    <w:p w14:paraId="0C8FF93C" w14:textId="2726E069" w:rsidR="001B56DA" w:rsidRPr="00B46DFE" w:rsidRDefault="00E67288" w:rsidP="00B46DFE">
      <w:pPr>
        <w:pStyle w:val="Listenabsatz"/>
        <w:numPr>
          <w:ilvl w:val="1"/>
          <w:numId w:val="22"/>
        </w:numPr>
        <w:rPr>
          <w:rFonts w:ascii="MetaPro-Norm" w:eastAsia="Calibri" w:hAnsi="MetaPro-Norm" w:cs="Arial"/>
          <w:sz w:val="22"/>
          <w:szCs w:val="22"/>
        </w:rPr>
      </w:pPr>
      <w:r w:rsidRPr="00B46DFE">
        <w:rPr>
          <w:rFonts w:ascii="MetaPro-Norm" w:eastAsia="Calibri" w:hAnsi="MetaPro-Norm" w:cs="Arial"/>
          <w:sz w:val="22"/>
          <w:szCs w:val="22"/>
        </w:rPr>
        <w:t>Recognize the legal capacity of all persons with disabilities on an equal basis with others and the right to exercise it. Remove clauses that allow for plenary or limited guardianship. Instead</w:t>
      </w:r>
      <w:r w:rsidR="003D5F63" w:rsidRPr="00B46DFE">
        <w:rPr>
          <w:rFonts w:ascii="MetaPro-Norm" w:eastAsia="Calibri" w:hAnsi="MetaPro-Norm" w:cs="Arial"/>
          <w:sz w:val="22"/>
          <w:szCs w:val="22"/>
        </w:rPr>
        <w:t>,</w:t>
      </w:r>
      <w:r w:rsidRPr="00B46DFE">
        <w:rPr>
          <w:rFonts w:ascii="MetaPro-Norm" w:eastAsia="Calibri" w:hAnsi="MetaPro-Norm" w:cs="Arial"/>
          <w:sz w:val="22"/>
          <w:szCs w:val="22"/>
        </w:rPr>
        <w:t xml:space="preserve"> provide accommodations and access to support where necessary to exercise leg</w:t>
      </w:r>
      <w:r w:rsidR="001B56DA" w:rsidRPr="00B46DFE">
        <w:rPr>
          <w:rFonts w:ascii="MetaPro-Norm" w:eastAsia="Calibri" w:hAnsi="MetaPro-Norm" w:cs="Arial"/>
          <w:sz w:val="22"/>
          <w:szCs w:val="22"/>
        </w:rPr>
        <w:t xml:space="preserve">al capacity. </w:t>
      </w:r>
    </w:p>
    <w:p w14:paraId="796D107E" w14:textId="77777777" w:rsidR="003D5F63" w:rsidRPr="00B46DFE" w:rsidRDefault="00E67288" w:rsidP="00B46DFE">
      <w:pPr>
        <w:pStyle w:val="Listenabsatz"/>
        <w:numPr>
          <w:ilvl w:val="1"/>
          <w:numId w:val="22"/>
        </w:numPr>
        <w:rPr>
          <w:rFonts w:ascii="MetaPro-Norm" w:eastAsia="Calibri" w:hAnsi="MetaPro-Norm" w:cs="Arial"/>
          <w:sz w:val="22"/>
          <w:szCs w:val="22"/>
        </w:rPr>
      </w:pPr>
      <w:r w:rsidRPr="00B46DFE">
        <w:rPr>
          <w:rFonts w:ascii="MetaPro-Norm" w:eastAsia="Calibri" w:hAnsi="MetaPro-Norm" w:cs="Arial"/>
          <w:sz w:val="22"/>
          <w:szCs w:val="22"/>
        </w:rPr>
        <w:t>Ban all forms of involuntary treatme</w:t>
      </w:r>
      <w:r w:rsidR="003D5F63" w:rsidRPr="00B46DFE">
        <w:rPr>
          <w:rFonts w:ascii="MetaPro-Norm" w:eastAsia="Calibri" w:hAnsi="MetaPro-Norm" w:cs="Arial"/>
          <w:sz w:val="22"/>
          <w:szCs w:val="22"/>
        </w:rPr>
        <w:t xml:space="preserve">nt, including electroconvulsive </w:t>
      </w:r>
      <w:r w:rsidRPr="00B46DFE">
        <w:rPr>
          <w:rFonts w:ascii="MetaPro-Norm" w:eastAsia="Calibri" w:hAnsi="MetaPro-Norm" w:cs="Arial"/>
          <w:sz w:val="22"/>
          <w:szCs w:val="22"/>
        </w:rPr>
        <w:t>therapy</w:t>
      </w:r>
      <w:r w:rsidR="003D5F63" w:rsidRPr="00B46DFE">
        <w:rPr>
          <w:rFonts w:ascii="MetaPro-Norm" w:eastAsia="Calibri" w:hAnsi="MetaPro-Norm" w:cs="Arial"/>
          <w:sz w:val="22"/>
          <w:szCs w:val="22"/>
        </w:rPr>
        <w:t xml:space="preserve"> (ECT)</w:t>
      </w:r>
      <w:r w:rsidRPr="00B46DFE">
        <w:rPr>
          <w:rFonts w:ascii="MetaPro-Norm" w:eastAsia="Calibri" w:hAnsi="MetaPro-Norm" w:cs="Arial"/>
          <w:sz w:val="22"/>
          <w:szCs w:val="22"/>
        </w:rPr>
        <w:t xml:space="preserve">, without the person’s free and informed consent. Explicitly prohibit the use of seclusion and prolonged restraint. </w:t>
      </w:r>
    </w:p>
    <w:p w14:paraId="319B2587" w14:textId="7EDDED10" w:rsidR="001B56DA" w:rsidRPr="00B46DFE" w:rsidRDefault="00E67288" w:rsidP="00B46DFE">
      <w:pPr>
        <w:pStyle w:val="Listenabsatz"/>
        <w:numPr>
          <w:ilvl w:val="1"/>
          <w:numId w:val="22"/>
        </w:numPr>
        <w:rPr>
          <w:rFonts w:ascii="MetaPro-Norm" w:eastAsia="Calibri" w:hAnsi="MetaPro-Norm" w:cs="Arial"/>
          <w:sz w:val="22"/>
          <w:szCs w:val="22"/>
        </w:rPr>
      </w:pPr>
      <w:r w:rsidRPr="00B46DFE">
        <w:rPr>
          <w:rFonts w:ascii="MetaPro-Norm" w:eastAsia="Calibri" w:hAnsi="MetaPro-Norm" w:cs="Arial"/>
          <w:sz w:val="22"/>
          <w:szCs w:val="22"/>
        </w:rPr>
        <w:t>Define exceptional circumstances in which a patient may be considered temporarily unable to give free and informed consent and</w:t>
      </w:r>
      <w:r w:rsidR="000B7BCF">
        <w:rPr>
          <w:rFonts w:ascii="MetaPro-Norm" w:eastAsia="Calibri" w:hAnsi="MetaPro-Norm" w:cs="Arial"/>
          <w:sz w:val="22"/>
          <w:szCs w:val="22"/>
        </w:rPr>
        <w:t>,</w:t>
      </w:r>
      <w:r w:rsidRPr="00B46DFE">
        <w:rPr>
          <w:rFonts w:ascii="MetaPro-Norm" w:eastAsia="Calibri" w:hAnsi="MetaPro-Norm" w:cs="Arial"/>
          <w:sz w:val="22"/>
          <w:szCs w:val="22"/>
        </w:rPr>
        <w:t xml:space="preserve"> in such circumstances, immediate medical treatment may be administered as it would be to any other patient without a disability incapable of consenting to treatment at that moment, provided that the treatment is strictly necessary to address a life</w:t>
      </w:r>
      <w:r w:rsidR="003D5F63" w:rsidRPr="00B46DFE">
        <w:rPr>
          <w:rFonts w:ascii="MetaPro-Norm" w:eastAsia="Calibri" w:hAnsi="MetaPro-Norm" w:cs="Arial"/>
          <w:sz w:val="22"/>
          <w:szCs w:val="22"/>
        </w:rPr>
        <w:t>-</w:t>
      </w:r>
      <w:r w:rsidRPr="00B46DFE">
        <w:rPr>
          <w:rFonts w:ascii="MetaPro-Norm" w:eastAsia="Calibri" w:hAnsi="MetaPro-Norm" w:cs="Arial"/>
          <w:sz w:val="22"/>
          <w:szCs w:val="22"/>
        </w:rPr>
        <w:t xml:space="preserve">threatening condition or a </w:t>
      </w:r>
      <w:r w:rsidR="001B56DA" w:rsidRPr="00B46DFE">
        <w:rPr>
          <w:rFonts w:ascii="MetaPro-Norm" w:eastAsia="Calibri" w:hAnsi="MetaPro-Norm" w:cs="Arial"/>
          <w:sz w:val="22"/>
          <w:szCs w:val="22"/>
        </w:rPr>
        <w:t xml:space="preserve">condition of similar gravity. </w:t>
      </w:r>
    </w:p>
    <w:p w14:paraId="0B939842" w14:textId="77777777" w:rsidR="001B56DA" w:rsidRPr="00B46DFE" w:rsidRDefault="00E67288" w:rsidP="00B46DFE">
      <w:pPr>
        <w:pStyle w:val="Listenabsatz"/>
        <w:numPr>
          <w:ilvl w:val="1"/>
          <w:numId w:val="22"/>
        </w:numPr>
        <w:rPr>
          <w:rFonts w:ascii="MetaPro-Norm" w:eastAsia="Calibri" w:hAnsi="MetaPro-Norm" w:cs="Arial"/>
          <w:sz w:val="22"/>
          <w:szCs w:val="22"/>
        </w:rPr>
      </w:pPr>
      <w:r w:rsidRPr="00B46DFE">
        <w:rPr>
          <w:rFonts w:ascii="MetaPro-Norm" w:eastAsia="Calibri" w:hAnsi="MetaPro-Norm" w:cs="Arial"/>
          <w:sz w:val="22"/>
          <w:szCs w:val="22"/>
        </w:rPr>
        <w:t>Require admission to public or private mental health institutions to be voluntary, based on free and informed consent of t</w:t>
      </w:r>
      <w:r w:rsidR="001B56DA" w:rsidRPr="00B46DFE">
        <w:rPr>
          <w:rFonts w:ascii="MetaPro-Norm" w:eastAsia="Calibri" w:hAnsi="MetaPro-Norm" w:cs="Arial"/>
          <w:sz w:val="22"/>
          <w:szCs w:val="22"/>
        </w:rPr>
        <w:t>he person concerned.</w:t>
      </w:r>
    </w:p>
    <w:p w14:paraId="7D0F47F3" w14:textId="7F1717ED" w:rsidR="001B56DA" w:rsidRPr="00B46DFE" w:rsidRDefault="00E67288" w:rsidP="00B46DFE">
      <w:pPr>
        <w:pStyle w:val="Listenabsatz"/>
        <w:numPr>
          <w:ilvl w:val="1"/>
          <w:numId w:val="22"/>
        </w:numPr>
        <w:rPr>
          <w:rFonts w:ascii="MetaPro-Norm" w:eastAsia="Calibri" w:hAnsi="MetaPro-Norm" w:cs="Arial"/>
          <w:sz w:val="22"/>
          <w:szCs w:val="22"/>
        </w:rPr>
      </w:pPr>
      <w:r w:rsidRPr="00B46DFE">
        <w:rPr>
          <w:rFonts w:ascii="MetaPro-Norm" w:eastAsia="Calibri" w:hAnsi="MetaPro-Norm" w:cs="Arial"/>
          <w:sz w:val="22"/>
          <w:szCs w:val="22"/>
        </w:rPr>
        <w:t xml:space="preserve">Require that any detention on a non-voluntary basis be possible only following a determination by an independent judicial authority, meeting due process, that is based on behavior that poses imminent actual harm to self or others and not on the basis of the </w:t>
      </w:r>
      <w:r w:rsidRPr="00B46DFE">
        <w:rPr>
          <w:rFonts w:ascii="MetaPro-Norm" w:eastAsia="Calibri" w:hAnsi="MetaPro-Norm" w:cs="Arial"/>
          <w:sz w:val="22"/>
          <w:szCs w:val="22"/>
        </w:rPr>
        <w:lastRenderedPageBreak/>
        <w:t>existence of a disability; on an equal basis with others; limited to short periods of time as specified by law, and subject to co</w:t>
      </w:r>
      <w:r w:rsidR="001B56DA" w:rsidRPr="00B46DFE">
        <w:rPr>
          <w:rFonts w:ascii="MetaPro-Norm" w:eastAsia="Calibri" w:hAnsi="MetaPro-Norm" w:cs="Arial"/>
          <w:sz w:val="22"/>
          <w:szCs w:val="22"/>
        </w:rPr>
        <w:t xml:space="preserve">ntinual full judicial review. </w:t>
      </w:r>
    </w:p>
    <w:p w14:paraId="5425FF7D" w14:textId="77777777" w:rsidR="001B56DA" w:rsidRPr="00B46DFE" w:rsidRDefault="00E67288" w:rsidP="00B46DFE">
      <w:pPr>
        <w:pStyle w:val="Listenabsatz"/>
        <w:numPr>
          <w:ilvl w:val="1"/>
          <w:numId w:val="22"/>
        </w:numPr>
        <w:rPr>
          <w:rFonts w:ascii="MetaPro-Norm" w:eastAsia="Calibri" w:hAnsi="MetaPro-Norm" w:cs="Arial"/>
          <w:sz w:val="22"/>
          <w:szCs w:val="22"/>
        </w:rPr>
      </w:pPr>
      <w:r w:rsidRPr="00B46DFE">
        <w:rPr>
          <w:rFonts w:ascii="MetaPro-Norm" w:eastAsia="Calibri" w:hAnsi="MetaPro-Norm" w:cs="Arial"/>
          <w:sz w:val="22"/>
          <w:szCs w:val="22"/>
        </w:rPr>
        <w:t>Remove clauses that allow for mandatory mental health eva</w:t>
      </w:r>
      <w:r w:rsidR="001B56DA" w:rsidRPr="00B46DFE">
        <w:rPr>
          <w:rFonts w:ascii="MetaPro-Norm" w:eastAsia="Calibri" w:hAnsi="MetaPro-Norm" w:cs="Arial"/>
          <w:sz w:val="22"/>
          <w:szCs w:val="22"/>
        </w:rPr>
        <w:t>luations.</w:t>
      </w:r>
    </w:p>
    <w:p w14:paraId="77EE9C0C" w14:textId="77B25005" w:rsidR="00BE461C" w:rsidRPr="00B46DFE" w:rsidRDefault="00E67288" w:rsidP="00B46DFE">
      <w:pPr>
        <w:pStyle w:val="Listenabsatz"/>
        <w:numPr>
          <w:ilvl w:val="1"/>
          <w:numId w:val="22"/>
        </w:numPr>
        <w:rPr>
          <w:rFonts w:ascii="MetaPro-Norm" w:eastAsia="Calibri" w:hAnsi="MetaPro-Norm" w:cs="Arial"/>
          <w:sz w:val="22"/>
          <w:szCs w:val="22"/>
        </w:rPr>
      </w:pPr>
      <w:r w:rsidRPr="00B46DFE">
        <w:rPr>
          <w:rFonts w:ascii="MetaPro-Norm" w:eastAsia="Calibri" w:hAnsi="MetaPro-Norm" w:cs="Arial"/>
          <w:sz w:val="22"/>
          <w:szCs w:val="22"/>
        </w:rPr>
        <w:t xml:space="preserve">Mandate a shift from institutional care to providing access to voluntary community-based mental health and other support services for persons with psychosocial disabilities and their families where necessary. </w:t>
      </w:r>
    </w:p>
    <w:p w14:paraId="7BC36998" w14:textId="1105CF7E" w:rsidR="00BA5C43" w:rsidRPr="00B46DFE" w:rsidRDefault="00BA5C43" w:rsidP="00B46DFE">
      <w:pPr>
        <w:pStyle w:val="Listenabsatz"/>
        <w:numPr>
          <w:ilvl w:val="0"/>
          <w:numId w:val="22"/>
        </w:numPr>
        <w:rPr>
          <w:rFonts w:ascii="MetaPro-Norm" w:eastAsia="Calibri" w:hAnsi="MetaPro-Norm" w:cs="Arial"/>
          <w:sz w:val="22"/>
          <w:szCs w:val="22"/>
        </w:rPr>
      </w:pPr>
      <w:r w:rsidRPr="00B46DFE">
        <w:rPr>
          <w:rFonts w:ascii="MetaPro-Norm" w:eastAsia="Calibri" w:hAnsi="MetaPro-Norm" w:cs="Arial"/>
          <w:sz w:val="22"/>
          <w:szCs w:val="22"/>
        </w:rPr>
        <w:t xml:space="preserve">Further train and sensitize government health workers, mental health professionals, and staff in faith-based and traditional healing centers to the rights and needs of people with psychosocial disabilities. </w:t>
      </w:r>
    </w:p>
    <w:p w14:paraId="7D096A21" w14:textId="2C980266" w:rsidR="00BA5C43" w:rsidRPr="00B46DFE" w:rsidRDefault="00BA5C43" w:rsidP="00B46DFE">
      <w:pPr>
        <w:pStyle w:val="Listenabsatz"/>
        <w:numPr>
          <w:ilvl w:val="0"/>
          <w:numId w:val="22"/>
        </w:numPr>
        <w:rPr>
          <w:rFonts w:ascii="MetaPro-Norm" w:eastAsia="Calibri" w:hAnsi="MetaPro-Norm" w:cs="Arial"/>
          <w:sz w:val="22"/>
          <w:szCs w:val="22"/>
        </w:rPr>
      </w:pPr>
      <w:r w:rsidRPr="00B46DFE">
        <w:rPr>
          <w:rFonts w:ascii="MetaPro-Norm" w:eastAsia="Calibri" w:hAnsi="MetaPro-Norm" w:cs="Arial"/>
          <w:sz w:val="22"/>
          <w:szCs w:val="22"/>
        </w:rPr>
        <w:t xml:space="preserve">Conduct rights-based public information campaigns, especially among alternative mental health service providers and the broader community to raise awareness and empower people with psychosocial disabilities, in partnership with people with psychosocial disabilities, faith leaders, and media. </w:t>
      </w:r>
    </w:p>
    <w:p w14:paraId="0EB4BAE4" w14:textId="7ACBF69F" w:rsidR="00BA5C43" w:rsidRPr="00B46DFE" w:rsidRDefault="00BA5C43" w:rsidP="00B46DFE">
      <w:pPr>
        <w:pStyle w:val="Listenabsatz"/>
        <w:rPr>
          <w:rFonts w:ascii="MetaPro-Norm" w:eastAsia="Calibri" w:hAnsi="MetaPro-Norm" w:cs="Arial"/>
          <w:sz w:val="22"/>
          <w:szCs w:val="22"/>
        </w:rPr>
      </w:pPr>
    </w:p>
    <w:p w14:paraId="380040B1" w14:textId="1FC48FC7" w:rsidR="00B46DFE" w:rsidRPr="00B60ECC" w:rsidRDefault="00B46DFE" w:rsidP="000F12A7">
      <w:pPr>
        <w:pStyle w:val="berschrift2"/>
        <w:rPr>
          <w:rFonts w:ascii="MetaPro-Norm" w:hAnsi="MetaPro-Norm"/>
        </w:rPr>
      </w:pPr>
      <w:r w:rsidRPr="241C31EF">
        <w:rPr>
          <w:rStyle w:val="normaltextrun"/>
          <w:rFonts w:ascii="MetaPro-Norm" w:hAnsi="MetaPro-Norm"/>
        </w:rPr>
        <w:t>Shackling of Persons with Psychosocial Disabilities (art</w:t>
      </w:r>
      <w:r w:rsidR="000F4140" w:rsidRPr="241C31EF">
        <w:rPr>
          <w:rStyle w:val="normaltextrun"/>
          <w:rFonts w:ascii="MetaPro-Norm" w:hAnsi="MetaPro-Norm"/>
        </w:rPr>
        <w:t>s</w:t>
      </w:r>
      <w:r w:rsidRPr="241C31EF">
        <w:rPr>
          <w:rStyle w:val="normaltextrun"/>
          <w:rFonts w:ascii="MetaPro-Norm" w:hAnsi="MetaPro-Norm"/>
        </w:rPr>
        <w:t>. 5, 14, 15, 16, 19, 25, 28)</w:t>
      </w:r>
      <w:r w:rsidRPr="241C31EF">
        <w:rPr>
          <w:rStyle w:val="eop"/>
          <w:rFonts w:ascii="MetaPro-Norm" w:hAnsi="MetaPro-Norm"/>
        </w:rPr>
        <w:t> </w:t>
      </w:r>
    </w:p>
    <w:p w14:paraId="0F7AFFA8" w14:textId="4D02BEC5" w:rsidR="00ED4659" w:rsidRDefault="3E628675" w:rsidP="0979A876">
      <w:pPr>
        <w:pStyle w:val="paragraph"/>
        <w:spacing w:before="0" w:beforeAutospacing="0" w:after="0" w:afterAutospacing="0"/>
        <w:textAlignment w:val="baseline"/>
        <w:rPr>
          <w:rStyle w:val="eop"/>
          <w:rFonts w:ascii="MetaPro-Norm" w:hAnsi="MetaPro-Norm"/>
          <w:i/>
          <w:iCs/>
          <w:sz w:val="22"/>
          <w:szCs w:val="22"/>
        </w:rPr>
      </w:pPr>
      <w:r w:rsidRPr="0979A876">
        <w:rPr>
          <w:rStyle w:val="normaltextrun"/>
          <w:rFonts w:ascii="MetaPro-Norm" w:eastAsiaTheme="minorEastAsia" w:hAnsi="MetaPro-Norm"/>
          <w:sz w:val="22"/>
          <w:szCs w:val="22"/>
        </w:rPr>
        <w:t xml:space="preserve">In Indonesia, due to prevalent stigma and inadequate support and mental health services, people with psychosocial disabilities can be shackled. </w:t>
      </w:r>
      <w:r w:rsidR="2A15DA69" w:rsidRPr="0979A876">
        <w:rPr>
          <w:rStyle w:val="eop"/>
          <w:rFonts w:ascii="MetaPro-Norm" w:hAnsi="MetaPro-Norm"/>
          <w:sz w:val="22"/>
          <w:szCs w:val="22"/>
        </w:rPr>
        <w:t xml:space="preserve">In Indonesia, the practice of shackling is known as </w:t>
      </w:r>
      <w:r w:rsidR="2A15DA69" w:rsidRPr="0979A876">
        <w:rPr>
          <w:rStyle w:val="eop"/>
          <w:rFonts w:ascii="MetaPro-Norm" w:hAnsi="MetaPro-Norm"/>
          <w:i/>
          <w:iCs/>
          <w:sz w:val="22"/>
          <w:szCs w:val="22"/>
        </w:rPr>
        <w:t xml:space="preserve">pasung. </w:t>
      </w:r>
    </w:p>
    <w:p w14:paraId="0566DAF2" w14:textId="77777777" w:rsidR="00ED4659" w:rsidRDefault="00ED4659" w:rsidP="002C3002">
      <w:pPr>
        <w:pStyle w:val="paragraph"/>
        <w:spacing w:before="0" w:beforeAutospacing="0" w:after="0" w:afterAutospacing="0"/>
        <w:textAlignment w:val="baseline"/>
        <w:rPr>
          <w:rStyle w:val="eop"/>
          <w:rFonts w:ascii="MetaPro-Norm" w:hAnsi="MetaPro-Norm"/>
          <w:sz w:val="22"/>
          <w:szCs w:val="22"/>
        </w:rPr>
      </w:pPr>
    </w:p>
    <w:p w14:paraId="5AA1ADAB" w14:textId="77777777" w:rsidR="0001557D" w:rsidRDefault="00ED4659" w:rsidP="002C3002">
      <w:pPr>
        <w:pStyle w:val="paragraph"/>
        <w:spacing w:before="0" w:beforeAutospacing="0" w:after="0" w:afterAutospacing="0"/>
        <w:textAlignment w:val="baseline"/>
        <w:rPr>
          <w:rStyle w:val="eop"/>
          <w:rFonts w:ascii="MetaPro-Norm" w:hAnsi="MetaPro-Norm"/>
          <w:sz w:val="22"/>
          <w:szCs w:val="22"/>
        </w:rPr>
      </w:pPr>
      <w:r w:rsidRPr="00ED54C6">
        <w:rPr>
          <w:rFonts w:ascii="MetaPro-Norm" w:hAnsi="MetaPro-Norm"/>
          <w:i/>
          <w:iCs/>
          <w:sz w:val="22"/>
          <w:szCs w:val="22"/>
        </w:rPr>
        <w:t>Pasung</w:t>
      </w:r>
      <w:r>
        <w:rPr>
          <w:rFonts w:ascii="MetaPro-Norm" w:hAnsi="MetaPro-Norm"/>
          <w:sz w:val="22"/>
          <w:szCs w:val="22"/>
        </w:rPr>
        <w:t xml:space="preserve"> l</w:t>
      </w:r>
      <w:r w:rsidRPr="00ED54C6">
        <w:rPr>
          <w:rFonts w:ascii="MetaPro-Norm" w:hAnsi="MetaPro-Norm"/>
          <w:sz w:val="22"/>
          <w:szCs w:val="22"/>
        </w:rPr>
        <w:t>iterally means “tie” or “bind” in Indonesian and is a form of restraint traditionally used in Indonesia, in the absence of access to mental healthcare and other support services, to confine persons with perceived or actual psychosocial disabilities within the home or just outside.</w:t>
      </w:r>
      <w:r w:rsidR="002F60E8">
        <w:rPr>
          <w:rStyle w:val="Funotenzeichen"/>
          <w:rFonts w:ascii="MetaPro-Norm" w:hAnsi="MetaPro-Norm"/>
          <w:sz w:val="22"/>
          <w:szCs w:val="22"/>
        </w:rPr>
        <w:footnoteReference w:id="21"/>
      </w:r>
      <w:r w:rsidRPr="00ED54C6">
        <w:rPr>
          <w:rFonts w:ascii="MetaPro-Norm" w:hAnsi="MetaPro-Norm"/>
          <w:sz w:val="22"/>
          <w:szCs w:val="22"/>
        </w:rPr>
        <w:t xml:space="preserve"> It consists of chaining people or locking them in a room, shed, cage</w:t>
      </w:r>
      <w:r w:rsidR="009E14BA">
        <w:rPr>
          <w:rFonts w:ascii="MetaPro-Norm" w:hAnsi="MetaPro-Norm"/>
          <w:sz w:val="22"/>
          <w:szCs w:val="22"/>
        </w:rPr>
        <w:t>,</w:t>
      </w:r>
      <w:r w:rsidRPr="00ED54C6">
        <w:rPr>
          <w:rFonts w:ascii="MetaPro-Norm" w:hAnsi="MetaPro-Norm"/>
          <w:sz w:val="22"/>
          <w:szCs w:val="22"/>
        </w:rPr>
        <w:t xml:space="preserve"> or animal shelter (including chicken coops, pig pens, or goat sheds) for periods of time ranging from a couple of hours or days to years. </w:t>
      </w:r>
      <w:r w:rsidR="0096115A" w:rsidRPr="00B46DFE">
        <w:rPr>
          <w:rStyle w:val="normaltextrun"/>
          <w:rFonts w:ascii="MetaPro-Norm" w:eastAsiaTheme="minorEastAsia" w:hAnsi="MetaPro-Norm"/>
          <w:sz w:val="22"/>
          <w:szCs w:val="22"/>
        </w:rPr>
        <w:t>The nature of shackling means that people live in very restrictive conditions that reduce their ability to stand or move at all.</w:t>
      </w:r>
      <w:r w:rsidR="0096115A" w:rsidRPr="00B46DFE">
        <w:rPr>
          <w:rStyle w:val="eop"/>
          <w:rFonts w:ascii="MetaPro-Norm" w:hAnsi="MetaPro-Norm"/>
          <w:sz w:val="22"/>
          <w:szCs w:val="22"/>
        </w:rPr>
        <w:t> </w:t>
      </w:r>
    </w:p>
    <w:p w14:paraId="4A2F91FB" w14:textId="77777777" w:rsidR="0001557D" w:rsidRDefault="0001557D" w:rsidP="002C3002">
      <w:pPr>
        <w:pStyle w:val="paragraph"/>
        <w:spacing w:before="0" w:beforeAutospacing="0" w:after="0" w:afterAutospacing="0"/>
        <w:textAlignment w:val="baseline"/>
        <w:rPr>
          <w:rStyle w:val="eop"/>
          <w:rFonts w:ascii="MetaPro-Norm" w:hAnsi="MetaPro-Norm"/>
          <w:sz w:val="22"/>
          <w:szCs w:val="22"/>
        </w:rPr>
      </w:pPr>
    </w:p>
    <w:p w14:paraId="592FCB97" w14:textId="07906998" w:rsidR="0096115A" w:rsidRDefault="0096115A" w:rsidP="002C3002">
      <w:pPr>
        <w:pStyle w:val="paragraph"/>
        <w:spacing w:before="0" w:beforeAutospacing="0" w:after="0" w:afterAutospacing="0"/>
        <w:textAlignment w:val="baseline"/>
        <w:rPr>
          <w:rFonts w:ascii="MetaPro-Norm" w:hAnsi="MetaPro-Norm"/>
          <w:sz w:val="22"/>
          <w:szCs w:val="22"/>
        </w:rPr>
      </w:pPr>
      <w:r w:rsidRPr="00B46DFE">
        <w:rPr>
          <w:rStyle w:val="normaltextrun"/>
          <w:rFonts w:ascii="MetaPro-Norm" w:eastAsiaTheme="minorEastAsia" w:hAnsi="MetaPro-Norm"/>
          <w:sz w:val="22"/>
          <w:szCs w:val="22"/>
        </w:rPr>
        <w:t>Shackling affects a person’s mental as well as physical health. A person who is shackled can be affected by post-traumatic stress, malnutrition, infections, nerve damage, muscular atrophy, and cardio-vascular problems.</w:t>
      </w:r>
      <w:r w:rsidR="000C2143">
        <w:rPr>
          <w:rStyle w:val="Funotenzeichen"/>
          <w:rFonts w:ascii="MetaPro-Norm" w:eastAsiaTheme="minorEastAsia" w:hAnsi="MetaPro-Norm"/>
          <w:sz w:val="22"/>
          <w:szCs w:val="22"/>
        </w:rPr>
        <w:footnoteReference w:id="22"/>
      </w:r>
      <w:r w:rsidRPr="00B46DFE">
        <w:rPr>
          <w:rStyle w:val="normaltextrun"/>
          <w:rFonts w:ascii="MetaPro-Norm" w:eastAsiaTheme="minorEastAsia" w:hAnsi="MetaPro-Norm"/>
          <w:sz w:val="22"/>
          <w:szCs w:val="22"/>
        </w:rPr>
        <w:t xml:space="preserve"> </w:t>
      </w:r>
      <w:r w:rsidR="008D1390">
        <w:rPr>
          <w:rStyle w:val="normaltextrun"/>
          <w:rFonts w:ascii="MetaPro-Norm" w:eastAsiaTheme="minorEastAsia" w:hAnsi="MetaPro-Norm"/>
          <w:sz w:val="22"/>
          <w:szCs w:val="22"/>
        </w:rPr>
        <w:t>Human Rights Watch found that t</w:t>
      </w:r>
      <w:r w:rsidRPr="00B46DFE">
        <w:rPr>
          <w:rStyle w:val="normaltextrun"/>
          <w:rFonts w:ascii="MetaPro-Norm" w:eastAsiaTheme="minorEastAsia" w:hAnsi="MetaPro-Norm"/>
          <w:sz w:val="22"/>
          <w:szCs w:val="22"/>
        </w:rPr>
        <w:t>hose in chains had no movement beyond the length of the chains—usually about two meters: they had to bathe, defecate, urinate, and sleep on the spot where they were chained.</w:t>
      </w:r>
      <w:r w:rsidR="000A663B">
        <w:rPr>
          <w:rStyle w:val="Funotenzeichen"/>
          <w:rFonts w:ascii="MetaPro-Norm" w:eastAsiaTheme="minorEastAsia" w:hAnsi="MetaPro-Norm"/>
          <w:sz w:val="22"/>
          <w:szCs w:val="22"/>
        </w:rPr>
        <w:footnoteReference w:id="23"/>
      </w:r>
      <w:r w:rsidRPr="00B46DFE">
        <w:rPr>
          <w:rStyle w:val="eop"/>
          <w:rFonts w:ascii="MetaPro-Norm" w:hAnsi="MetaPro-Norm"/>
          <w:sz w:val="22"/>
          <w:szCs w:val="22"/>
        </w:rPr>
        <w:t> </w:t>
      </w:r>
    </w:p>
    <w:p w14:paraId="7EC5DC42" w14:textId="77777777" w:rsidR="0096115A" w:rsidRDefault="0096115A" w:rsidP="002C3002">
      <w:pPr>
        <w:pStyle w:val="paragraph"/>
        <w:spacing w:before="0" w:beforeAutospacing="0" w:after="0" w:afterAutospacing="0"/>
        <w:textAlignment w:val="baseline"/>
        <w:rPr>
          <w:rFonts w:ascii="MetaPro-Norm" w:hAnsi="MetaPro-Norm"/>
          <w:sz w:val="22"/>
          <w:szCs w:val="22"/>
        </w:rPr>
      </w:pPr>
    </w:p>
    <w:p w14:paraId="60D22086" w14:textId="19A23487" w:rsidR="0096115A" w:rsidRDefault="00ED4659" w:rsidP="241C31EF">
      <w:pPr>
        <w:pStyle w:val="paragraph"/>
        <w:spacing w:before="0" w:beforeAutospacing="0" w:after="0" w:afterAutospacing="0"/>
        <w:textAlignment w:val="baseline"/>
        <w:rPr>
          <w:rStyle w:val="eop"/>
          <w:rFonts w:ascii="MetaPro-Norm" w:hAnsi="MetaPro-Norm"/>
          <w:sz w:val="22"/>
          <w:szCs w:val="22"/>
        </w:rPr>
      </w:pPr>
      <w:r w:rsidRPr="241C31EF">
        <w:rPr>
          <w:rFonts w:ascii="MetaPro-Norm" w:hAnsi="MetaPro-Norm"/>
          <w:i/>
          <w:iCs/>
          <w:sz w:val="22"/>
          <w:szCs w:val="22"/>
        </w:rPr>
        <w:t>Pasung</w:t>
      </w:r>
      <w:r w:rsidRPr="241C31EF">
        <w:rPr>
          <w:rFonts w:ascii="MetaPro-Norm" w:hAnsi="MetaPro-Norm"/>
          <w:sz w:val="22"/>
          <w:szCs w:val="22"/>
        </w:rPr>
        <w:t xml:space="preserve"> can also be a temporary measure that is used to restrain a person with a psychosocial disability for shorter periods of time while the family goes out to work or when the person is having a crisis. </w:t>
      </w:r>
      <w:r w:rsidRPr="241C31EF">
        <w:rPr>
          <w:rFonts w:ascii="MetaPro-Norm" w:hAnsi="MetaPro-Norm"/>
          <w:i/>
          <w:iCs/>
          <w:sz w:val="22"/>
          <w:szCs w:val="22"/>
        </w:rPr>
        <w:t>Pasung</w:t>
      </w:r>
      <w:r w:rsidRPr="241C31EF">
        <w:rPr>
          <w:rFonts w:ascii="MetaPro-Norm" w:hAnsi="MetaPro-Norm"/>
          <w:sz w:val="22"/>
          <w:szCs w:val="22"/>
        </w:rPr>
        <w:t xml:space="preserve"> is typically practiced by families who believe that the relative with the psychosocial disability is possessed by evil spirits, or are worried that the person might hurt themselves or others, or might run away. It is also used in traditional or religious healing centers in Indonesia as a form of restraint, punishment, or “treatment.” </w:t>
      </w:r>
      <w:r w:rsidRPr="241C31EF">
        <w:rPr>
          <w:rStyle w:val="normaltextrun"/>
          <w:rFonts w:ascii="MetaPro-Norm" w:eastAsiaTheme="minorEastAsia" w:hAnsi="MetaPro-Norm"/>
          <w:sz w:val="22"/>
          <w:szCs w:val="22"/>
        </w:rPr>
        <w:t>In the case of private institutions and healing centers, the management may have an incentive to detain people as they are paid by the family. In many countries, including Indonesia, it is a profitable business.</w:t>
      </w:r>
      <w:r w:rsidRPr="241C31EF">
        <w:rPr>
          <w:rStyle w:val="eop"/>
          <w:rFonts w:ascii="MetaPro-Norm" w:hAnsi="MetaPro-Norm"/>
          <w:sz w:val="22"/>
          <w:szCs w:val="22"/>
        </w:rPr>
        <w:t> </w:t>
      </w:r>
    </w:p>
    <w:p w14:paraId="20E70E37" w14:textId="17A09219" w:rsidR="0096115A" w:rsidRDefault="0096115A" w:rsidP="0096115A">
      <w:pPr>
        <w:pStyle w:val="paragraph"/>
        <w:textAlignment w:val="baseline"/>
        <w:rPr>
          <w:rStyle w:val="eop"/>
          <w:rFonts w:ascii="MetaPro-Norm" w:hAnsi="MetaPro-Norm"/>
          <w:sz w:val="22"/>
          <w:szCs w:val="22"/>
        </w:rPr>
      </w:pPr>
      <w:r w:rsidRPr="002C3002">
        <w:rPr>
          <w:rFonts w:ascii="MetaPro-Norm" w:hAnsi="MetaPro-Norm"/>
          <w:sz w:val="22"/>
          <w:szCs w:val="22"/>
        </w:rPr>
        <w:t xml:space="preserve">The Indonesian government officially banned </w:t>
      </w:r>
      <w:r w:rsidRPr="00DB7022">
        <w:rPr>
          <w:rFonts w:ascii="MetaPro-Norm" w:hAnsi="MetaPro-Norm"/>
          <w:i/>
          <w:iCs/>
          <w:sz w:val="22"/>
          <w:szCs w:val="22"/>
        </w:rPr>
        <w:t>pasung</w:t>
      </w:r>
      <w:r w:rsidRPr="002C3002">
        <w:rPr>
          <w:rFonts w:ascii="MetaPro-Norm" w:hAnsi="MetaPro-Norm"/>
          <w:sz w:val="22"/>
          <w:szCs w:val="22"/>
        </w:rPr>
        <w:t xml:space="preserve"> under law in 1977. However, the practice remains to this day.</w:t>
      </w:r>
      <w:r>
        <w:rPr>
          <w:rFonts w:ascii="MetaPro-Norm" w:hAnsi="MetaPro-Norm"/>
          <w:sz w:val="22"/>
          <w:szCs w:val="22"/>
        </w:rPr>
        <w:t xml:space="preserve"> </w:t>
      </w:r>
      <w:r w:rsidRPr="008862CF">
        <w:rPr>
          <w:rStyle w:val="eop"/>
          <w:rFonts w:ascii="MetaPro-Norm" w:hAnsi="MetaPro-Norm"/>
          <w:sz w:val="22"/>
          <w:szCs w:val="22"/>
        </w:rPr>
        <w:t>It is estimated that 57,000 people</w:t>
      </w:r>
      <w:r>
        <w:rPr>
          <w:rStyle w:val="eop"/>
          <w:rFonts w:ascii="MetaPro-Norm" w:hAnsi="MetaPro-Norm"/>
          <w:sz w:val="22"/>
          <w:szCs w:val="22"/>
        </w:rPr>
        <w:t xml:space="preserve"> with psychosocial disabilities</w:t>
      </w:r>
      <w:r w:rsidRPr="008862CF">
        <w:rPr>
          <w:rStyle w:val="eop"/>
          <w:rFonts w:ascii="MetaPro-Norm" w:hAnsi="MetaPro-Norm"/>
          <w:sz w:val="22"/>
          <w:szCs w:val="22"/>
        </w:rPr>
        <w:t xml:space="preserve"> in Indonesia have been shackled at least once </w:t>
      </w:r>
      <w:r w:rsidRPr="00F752D6">
        <w:rPr>
          <w:rStyle w:val="eop"/>
          <w:rFonts w:ascii="MetaPro-Norm" w:hAnsi="MetaPro-Norm"/>
          <w:sz w:val="22"/>
          <w:szCs w:val="22"/>
        </w:rPr>
        <w:t xml:space="preserve">in their lives with approximately 15,000 still living in chains as of November </w:t>
      </w:r>
      <w:r w:rsidRPr="00F752D6">
        <w:rPr>
          <w:rStyle w:val="eop"/>
          <w:rFonts w:ascii="MetaPro-Norm" w:hAnsi="MetaPro-Norm"/>
          <w:sz w:val="22"/>
          <w:szCs w:val="22"/>
        </w:rPr>
        <w:lastRenderedPageBreak/>
        <w:t>2019</w:t>
      </w:r>
      <w:r w:rsidRPr="008862CF">
        <w:rPr>
          <w:rStyle w:val="eop"/>
          <w:rFonts w:ascii="MetaPro-Norm" w:hAnsi="MetaPro-Norm"/>
          <w:sz w:val="22"/>
          <w:szCs w:val="22"/>
        </w:rPr>
        <w:t>.</w:t>
      </w:r>
      <w:r>
        <w:rPr>
          <w:rStyle w:val="Funotenzeichen"/>
          <w:rFonts w:ascii="MetaPro-Norm" w:hAnsi="MetaPro-Norm"/>
          <w:sz w:val="22"/>
          <w:szCs w:val="22"/>
        </w:rPr>
        <w:footnoteReference w:id="24"/>
      </w:r>
      <w:r w:rsidRPr="008862CF">
        <w:rPr>
          <w:rStyle w:val="eop"/>
          <w:rFonts w:ascii="MetaPro-Norm" w:hAnsi="MetaPro-Norm"/>
          <w:sz w:val="22"/>
          <w:szCs w:val="22"/>
        </w:rPr>
        <w:t xml:space="preserve"> </w:t>
      </w:r>
      <w:r w:rsidRPr="0096115A">
        <w:rPr>
          <w:rStyle w:val="eop"/>
          <w:rFonts w:ascii="MetaPro-Norm" w:hAnsi="MetaPro-Norm"/>
          <w:sz w:val="22"/>
          <w:szCs w:val="22"/>
        </w:rPr>
        <w:t>In many countries, Covid-19 has disrupted basic services, leading to people being shackled for the very first time or returning to life in chains after having been released.</w:t>
      </w:r>
    </w:p>
    <w:p w14:paraId="49333FF7" w14:textId="04F8DE38" w:rsidR="0096115A" w:rsidRDefault="0096115A" w:rsidP="0096115A">
      <w:pPr>
        <w:pStyle w:val="paragraph"/>
        <w:textAlignment w:val="baseline"/>
        <w:rPr>
          <w:rFonts w:ascii="MetaPro-Norm" w:hAnsi="MetaPro-Norm"/>
          <w:sz w:val="22"/>
          <w:szCs w:val="22"/>
        </w:rPr>
      </w:pPr>
      <w:r w:rsidRPr="00F752D6">
        <w:rPr>
          <w:rStyle w:val="eop"/>
          <w:rFonts w:ascii="MetaPro-Norm" w:hAnsi="MetaPro-Norm"/>
          <w:sz w:val="22"/>
          <w:szCs w:val="22"/>
        </w:rPr>
        <w:t>While the government has taken important steps to end shackling, the practice remains to this day. According to Indonesia’s 2018 Basic Health Survey (Riskesdas), 14 percent of people with “serious” mental health conditions have been shackled at least once in their lives and about 30 percent of them have been shackled within three months of the survey.</w:t>
      </w:r>
      <w:r>
        <w:rPr>
          <w:rStyle w:val="Funotenzeichen"/>
          <w:rFonts w:ascii="MetaPro-Norm" w:hAnsi="MetaPro-Norm"/>
          <w:sz w:val="22"/>
          <w:szCs w:val="22"/>
        </w:rPr>
        <w:footnoteReference w:id="25"/>
      </w:r>
    </w:p>
    <w:p w14:paraId="18EECDA5" w14:textId="690581FB" w:rsidR="0096115A" w:rsidRPr="00486BF5" w:rsidRDefault="0096115A" w:rsidP="00913C14">
      <w:pPr>
        <w:pStyle w:val="Textkrper"/>
        <w:ind w:firstLine="0"/>
        <w:rPr>
          <w:rFonts w:ascii="MetaPro-Norm" w:hAnsi="MetaPro-Norm"/>
          <w:sz w:val="22"/>
          <w:szCs w:val="22"/>
        </w:rPr>
      </w:pPr>
      <w:r w:rsidRPr="00B46DFE">
        <w:rPr>
          <w:rStyle w:val="normaltextrun"/>
          <w:rFonts w:ascii="MetaPro-Norm" w:hAnsi="MetaPro-Norm"/>
          <w:sz w:val="22"/>
          <w:szCs w:val="22"/>
        </w:rPr>
        <w:t>The UN Special Rapporteur on torture explicitly noted that shackling “unequivocally amount[s] to torture even if committed by non-State actors under conditions in which the State knows or ought to know about them.”</w:t>
      </w:r>
      <w:r w:rsidR="00D94171">
        <w:rPr>
          <w:rStyle w:val="Funotenzeichen"/>
          <w:rFonts w:ascii="MetaPro-Norm" w:hAnsi="MetaPro-Norm"/>
          <w:sz w:val="22"/>
          <w:szCs w:val="22"/>
        </w:rPr>
        <w:footnoteReference w:id="26"/>
      </w:r>
      <w:r w:rsidRPr="00B46DFE">
        <w:rPr>
          <w:rStyle w:val="eop"/>
          <w:rFonts w:ascii="MetaPro-Norm" w:hAnsi="MetaPro-Norm"/>
          <w:sz w:val="22"/>
          <w:szCs w:val="22"/>
        </w:rPr>
        <w:t> </w:t>
      </w:r>
      <w:r w:rsidRPr="00B46DFE">
        <w:rPr>
          <w:rFonts w:ascii="MetaPro-Norm" w:hAnsi="MetaPro-Norm"/>
          <w:sz w:val="22"/>
          <w:szCs w:val="22"/>
        </w:rPr>
        <w:t xml:space="preserve">In her 2019 report, the UN </w:t>
      </w:r>
      <w:r w:rsidR="0034418D">
        <w:rPr>
          <w:rFonts w:ascii="MetaPro-Norm" w:hAnsi="MetaPro-Norm"/>
          <w:sz w:val="22"/>
          <w:szCs w:val="22"/>
        </w:rPr>
        <w:t>S</w:t>
      </w:r>
      <w:r w:rsidRPr="00B46DFE">
        <w:rPr>
          <w:rFonts w:ascii="MetaPro-Norm" w:hAnsi="MetaPro-Norm"/>
          <w:sz w:val="22"/>
          <w:szCs w:val="22"/>
        </w:rPr>
        <w:t xml:space="preserve">pecial </w:t>
      </w:r>
      <w:r w:rsidR="0034418D">
        <w:rPr>
          <w:rFonts w:ascii="MetaPro-Norm" w:hAnsi="MetaPro-Norm"/>
          <w:sz w:val="22"/>
          <w:szCs w:val="22"/>
        </w:rPr>
        <w:t>R</w:t>
      </w:r>
      <w:r w:rsidRPr="00B46DFE">
        <w:rPr>
          <w:rFonts w:ascii="MetaPro-Norm" w:hAnsi="MetaPro-Norm"/>
          <w:sz w:val="22"/>
          <w:szCs w:val="22"/>
        </w:rPr>
        <w:t>apporteur on the rights of persons with disabilities</w:t>
      </w:r>
      <w:r w:rsidR="00561D57">
        <w:rPr>
          <w:rFonts w:ascii="MetaPro-Norm" w:hAnsi="MetaPro-Norm"/>
          <w:sz w:val="22"/>
          <w:szCs w:val="22"/>
        </w:rPr>
        <w:t xml:space="preserve"> </w:t>
      </w:r>
      <w:r w:rsidRPr="00B46DFE">
        <w:rPr>
          <w:rFonts w:ascii="MetaPro-Norm" w:hAnsi="MetaPro-Norm"/>
          <w:sz w:val="22"/>
          <w:szCs w:val="22"/>
        </w:rPr>
        <w:t xml:space="preserve">stressed that “States must protect persons with disabilities against home-based deprivation of liberty, including home confinement, shackling and </w:t>
      </w:r>
      <w:r w:rsidRPr="00B46DFE">
        <w:rPr>
          <w:rFonts w:ascii="MetaPro-Norm" w:hAnsi="MetaPro-Norm"/>
          <w:i/>
          <w:iCs/>
          <w:sz w:val="22"/>
          <w:szCs w:val="22"/>
        </w:rPr>
        <w:t>pasung</w:t>
      </w:r>
      <w:r w:rsidRPr="00B46DFE">
        <w:rPr>
          <w:rFonts w:ascii="MetaPro-Norm" w:hAnsi="MetaPro-Norm"/>
          <w:sz w:val="22"/>
          <w:szCs w:val="22"/>
        </w:rPr>
        <w:t>.”</w:t>
      </w:r>
      <w:r w:rsidRPr="00B46DFE">
        <w:rPr>
          <w:rStyle w:val="Funotenzeichen"/>
          <w:rFonts w:ascii="MetaPro-Norm" w:hAnsi="MetaPro-Norm"/>
          <w:sz w:val="22"/>
          <w:szCs w:val="22"/>
        </w:rPr>
        <w:footnoteReference w:id="27"/>
      </w:r>
      <w:r w:rsidRPr="00B46DFE">
        <w:rPr>
          <w:rFonts w:ascii="MetaPro-Norm" w:hAnsi="MetaPro-Norm"/>
          <w:sz w:val="22"/>
          <w:szCs w:val="22"/>
        </w:rPr>
        <w:t xml:space="preserve">  </w:t>
      </w:r>
    </w:p>
    <w:p w14:paraId="0A5278BE" w14:textId="77777777" w:rsidR="0096115A" w:rsidRDefault="0096115A" w:rsidP="00B46DFE">
      <w:pPr>
        <w:pStyle w:val="paragraph"/>
        <w:spacing w:before="0" w:beforeAutospacing="0" w:after="0" w:afterAutospacing="0"/>
        <w:textAlignment w:val="baseline"/>
        <w:rPr>
          <w:rFonts w:ascii="MetaPro-Norm" w:hAnsi="MetaPro-Norm"/>
          <w:sz w:val="22"/>
          <w:szCs w:val="22"/>
        </w:rPr>
      </w:pPr>
    </w:p>
    <w:p w14:paraId="4A77A7DC" w14:textId="4CB4A538" w:rsidR="00B46DFE" w:rsidRPr="00B46DFE" w:rsidRDefault="00B46DFE" w:rsidP="00B46DFE">
      <w:pPr>
        <w:pStyle w:val="paragraph"/>
        <w:spacing w:before="0" w:beforeAutospacing="0" w:after="0" w:afterAutospacing="0"/>
        <w:textAlignment w:val="baseline"/>
        <w:rPr>
          <w:rFonts w:ascii="MetaPro-Norm" w:hAnsi="MetaPro-Norm"/>
          <w:sz w:val="22"/>
          <w:szCs w:val="22"/>
        </w:rPr>
      </w:pPr>
      <w:r w:rsidRPr="00B46DFE">
        <w:rPr>
          <w:rStyle w:val="normaltextrun"/>
          <w:rFonts w:ascii="MetaPro-Norm" w:eastAsiaTheme="minorEastAsia" w:hAnsi="MetaPro-Norm"/>
          <w:i/>
          <w:iCs/>
          <w:sz w:val="22"/>
          <w:szCs w:val="22"/>
        </w:rPr>
        <w:t xml:space="preserve">Human Rights Watch encourages the Committee to ask the government of </w:t>
      </w:r>
      <w:r w:rsidR="00C03AC3">
        <w:rPr>
          <w:rStyle w:val="normaltextrun"/>
          <w:rFonts w:ascii="MetaPro-Norm" w:eastAsiaTheme="minorEastAsia" w:hAnsi="MetaPro-Norm"/>
          <w:i/>
          <w:iCs/>
          <w:sz w:val="22"/>
          <w:szCs w:val="22"/>
        </w:rPr>
        <w:t>Indonesia</w:t>
      </w:r>
      <w:r w:rsidRPr="00B46DFE">
        <w:rPr>
          <w:rStyle w:val="normaltextrun"/>
          <w:rFonts w:ascii="MetaPro-Norm" w:eastAsiaTheme="minorEastAsia" w:hAnsi="MetaPro-Norm"/>
          <w:i/>
          <w:iCs/>
          <w:sz w:val="22"/>
          <w:szCs w:val="22"/>
        </w:rPr>
        <w:t>:</w:t>
      </w:r>
      <w:r w:rsidRPr="00B46DFE">
        <w:rPr>
          <w:rStyle w:val="eop"/>
          <w:rFonts w:ascii="MetaPro-Norm" w:hAnsi="MetaPro-Norm"/>
          <w:sz w:val="22"/>
          <w:szCs w:val="22"/>
        </w:rPr>
        <w:t> </w:t>
      </w:r>
    </w:p>
    <w:p w14:paraId="6B6F70C5" w14:textId="4EE71858" w:rsidR="00B46DFE" w:rsidRPr="00B46DFE" w:rsidRDefault="00B46DFE" w:rsidP="008F1B7E">
      <w:pPr>
        <w:pStyle w:val="paragraph"/>
        <w:numPr>
          <w:ilvl w:val="0"/>
          <w:numId w:val="40"/>
        </w:numPr>
        <w:spacing w:before="0" w:beforeAutospacing="0" w:after="0" w:afterAutospacing="0"/>
        <w:textAlignment w:val="baseline"/>
        <w:rPr>
          <w:rFonts w:ascii="MetaPro-Norm" w:hAnsi="MetaPro-Norm"/>
          <w:sz w:val="22"/>
          <w:szCs w:val="22"/>
        </w:rPr>
      </w:pPr>
      <w:r w:rsidRPr="00B46DFE">
        <w:rPr>
          <w:rStyle w:val="normaltextrun"/>
          <w:rFonts w:ascii="MetaPro-Norm" w:eastAsiaTheme="minorEastAsia" w:hAnsi="MetaPro-Norm"/>
          <w:sz w:val="22"/>
          <w:szCs w:val="22"/>
        </w:rPr>
        <w:t>What steps has the government taken to enforce the ban on the practice of shackling of people with psychosocial disabilities? </w:t>
      </w:r>
      <w:r w:rsidRPr="00B46DFE">
        <w:rPr>
          <w:rStyle w:val="eop"/>
          <w:rFonts w:ascii="MetaPro-Norm" w:hAnsi="MetaPro-Norm"/>
          <w:sz w:val="22"/>
          <w:szCs w:val="22"/>
        </w:rPr>
        <w:t> </w:t>
      </w:r>
    </w:p>
    <w:p w14:paraId="2D462B35" w14:textId="77777777" w:rsidR="00B46DFE" w:rsidRPr="00B46DFE" w:rsidRDefault="00B46DFE" w:rsidP="008F1B7E">
      <w:pPr>
        <w:pStyle w:val="paragraph"/>
        <w:numPr>
          <w:ilvl w:val="0"/>
          <w:numId w:val="40"/>
        </w:numPr>
        <w:spacing w:before="0" w:beforeAutospacing="0" w:after="0" w:afterAutospacing="0"/>
        <w:textAlignment w:val="baseline"/>
        <w:rPr>
          <w:rFonts w:ascii="MetaPro-Norm" w:hAnsi="MetaPro-Norm"/>
          <w:sz w:val="22"/>
          <w:szCs w:val="22"/>
        </w:rPr>
      </w:pPr>
      <w:r w:rsidRPr="00B46DFE">
        <w:rPr>
          <w:rStyle w:val="normaltextrun"/>
          <w:rFonts w:ascii="MetaPro-Norm" w:eastAsiaTheme="minorEastAsia" w:hAnsi="MetaPro-Norm"/>
          <w:sz w:val="22"/>
          <w:szCs w:val="22"/>
        </w:rPr>
        <w:t>What steps has the government taken to develop adequate, quality, and voluntary community-based support and mental health services?</w:t>
      </w:r>
      <w:r w:rsidRPr="00B46DFE">
        <w:rPr>
          <w:rStyle w:val="eop"/>
          <w:rFonts w:ascii="MetaPro-Norm" w:hAnsi="MetaPro-Norm"/>
          <w:sz w:val="22"/>
          <w:szCs w:val="22"/>
        </w:rPr>
        <w:t> </w:t>
      </w:r>
    </w:p>
    <w:p w14:paraId="77F44A9F" w14:textId="63EBBDDA" w:rsidR="00B46DFE" w:rsidRDefault="00B46DFE" w:rsidP="008F1B7E">
      <w:pPr>
        <w:pStyle w:val="paragraph"/>
        <w:numPr>
          <w:ilvl w:val="0"/>
          <w:numId w:val="40"/>
        </w:numPr>
        <w:spacing w:before="0" w:beforeAutospacing="0" w:after="0" w:afterAutospacing="0"/>
        <w:textAlignment w:val="baseline"/>
        <w:rPr>
          <w:rStyle w:val="eop"/>
          <w:rFonts w:ascii="MetaPro-Norm" w:hAnsi="MetaPro-Norm"/>
          <w:sz w:val="22"/>
          <w:szCs w:val="22"/>
        </w:rPr>
      </w:pPr>
      <w:r w:rsidRPr="00B46DFE">
        <w:rPr>
          <w:rStyle w:val="normaltextrun"/>
          <w:rFonts w:ascii="MetaPro-Norm" w:eastAsiaTheme="minorEastAsia" w:hAnsi="MetaPro-Norm"/>
          <w:sz w:val="22"/>
          <w:szCs w:val="22"/>
        </w:rPr>
        <w:t xml:space="preserve">What official data is available on the number of people who are or have been subjected to shackling in </w:t>
      </w:r>
      <w:r w:rsidR="00C03AC3">
        <w:rPr>
          <w:rStyle w:val="normaltextrun"/>
          <w:rFonts w:ascii="MetaPro-Norm" w:eastAsiaTheme="minorEastAsia" w:hAnsi="MetaPro-Norm"/>
          <w:sz w:val="22"/>
          <w:szCs w:val="22"/>
        </w:rPr>
        <w:t>Indonesia</w:t>
      </w:r>
      <w:r w:rsidRPr="00B46DFE">
        <w:rPr>
          <w:rStyle w:val="normaltextrun"/>
          <w:rFonts w:ascii="MetaPro-Norm" w:eastAsiaTheme="minorEastAsia" w:hAnsi="MetaPro-Norm"/>
          <w:sz w:val="22"/>
          <w:szCs w:val="22"/>
        </w:rPr>
        <w:t>?</w:t>
      </w:r>
      <w:r w:rsidRPr="00B46DFE">
        <w:rPr>
          <w:rStyle w:val="eop"/>
          <w:rFonts w:ascii="MetaPro-Norm" w:hAnsi="MetaPro-Norm"/>
          <w:sz w:val="22"/>
          <w:szCs w:val="22"/>
        </w:rPr>
        <w:t> </w:t>
      </w:r>
    </w:p>
    <w:p w14:paraId="65DF427D" w14:textId="1476D275" w:rsidR="00C6005F" w:rsidRPr="00B46DFE" w:rsidRDefault="00C6005F" w:rsidP="008F1B7E">
      <w:pPr>
        <w:pStyle w:val="paragraph"/>
        <w:numPr>
          <w:ilvl w:val="0"/>
          <w:numId w:val="40"/>
        </w:numPr>
        <w:spacing w:before="0" w:beforeAutospacing="0" w:after="0" w:afterAutospacing="0"/>
        <w:textAlignment w:val="baseline"/>
        <w:rPr>
          <w:rFonts w:ascii="MetaPro-Norm" w:hAnsi="MetaPro-Norm"/>
          <w:sz w:val="22"/>
          <w:szCs w:val="22"/>
        </w:rPr>
      </w:pPr>
      <w:r>
        <w:rPr>
          <w:rStyle w:val="eop"/>
          <w:rFonts w:ascii="MetaPro-Norm" w:hAnsi="MetaPro-Norm"/>
          <w:sz w:val="22"/>
          <w:szCs w:val="22"/>
        </w:rPr>
        <w:t>Have the number of people in</w:t>
      </w:r>
      <w:r w:rsidRPr="00C6005F">
        <w:rPr>
          <w:rStyle w:val="eop"/>
          <w:rFonts w:ascii="MetaPro-Norm" w:hAnsi="MetaPro-Norm"/>
          <w:i/>
          <w:iCs/>
          <w:sz w:val="22"/>
          <w:szCs w:val="22"/>
        </w:rPr>
        <w:t xml:space="preserve"> pasung</w:t>
      </w:r>
      <w:r>
        <w:rPr>
          <w:rStyle w:val="eop"/>
          <w:rFonts w:ascii="MetaPro-Norm" w:hAnsi="MetaPro-Norm"/>
          <w:sz w:val="22"/>
          <w:szCs w:val="22"/>
        </w:rPr>
        <w:t xml:space="preserve"> increased during</w:t>
      </w:r>
      <w:r w:rsidR="00C4070B">
        <w:rPr>
          <w:rStyle w:val="eop"/>
          <w:rFonts w:ascii="MetaPro-Norm" w:hAnsi="MetaPro-Norm"/>
          <w:sz w:val="22"/>
          <w:szCs w:val="22"/>
        </w:rPr>
        <w:t xml:space="preserve"> the</w:t>
      </w:r>
      <w:r>
        <w:rPr>
          <w:rStyle w:val="eop"/>
          <w:rFonts w:ascii="MetaPro-Norm" w:hAnsi="MetaPro-Norm"/>
          <w:sz w:val="22"/>
          <w:szCs w:val="22"/>
        </w:rPr>
        <w:t xml:space="preserve"> Covid-19</w:t>
      </w:r>
      <w:r w:rsidR="00C4070B">
        <w:rPr>
          <w:rStyle w:val="eop"/>
          <w:rFonts w:ascii="MetaPro-Norm" w:hAnsi="MetaPro-Norm"/>
          <w:sz w:val="22"/>
          <w:szCs w:val="22"/>
        </w:rPr>
        <w:t xml:space="preserve"> pandemic</w:t>
      </w:r>
      <w:r>
        <w:rPr>
          <w:rStyle w:val="eop"/>
          <w:rFonts w:ascii="MetaPro-Norm" w:hAnsi="MetaPro-Norm"/>
          <w:sz w:val="22"/>
          <w:szCs w:val="22"/>
        </w:rPr>
        <w:t>?</w:t>
      </w:r>
    </w:p>
    <w:p w14:paraId="713CF0F6" w14:textId="77777777" w:rsidR="00B46DFE" w:rsidRPr="00B46DFE" w:rsidRDefault="00B46DFE" w:rsidP="00B46DFE">
      <w:pPr>
        <w:pStyle w:val="paragraph"/>
        <w:spacing w:before="0" w:beforeAutospacing="0" w:after="0" w:afterAutospacing="0"/>
        <w:ind w:left="720"/>
        <w:textAlignment w:val="baseline"/>
        <w:rPr>
          <w:rFonts w:ascii="MetaPro-Norm" w:hAnsi="MetaPro-Norm"/>
          <w:sz w:val="22"/>
          <w:szCs w:val="22"/>
        </w:rPr>
      </w:pPr>
      <w:r w:rsidRPr="00B46DFE">
        <w:rPr>
          <w:rStyle w:val="eop"/>
          <w:rFonts w:ascii="MetaPro-Norm" w:hAnsi="MetaPro-Norm"/>
          <w:sz w:val="22"/>
          <w:szCs w:val="22"/>
        </w:rPr>
        <w:t> </w:t>
      </w:r>
    </w:p>
    <w:p w14:paraId="49F512D0" w14:textId="6056B7F2" w:rsidR="00B46DFE" w:rsidRPr="00B46DFE" w:rsidRDefault="00B46DFE" w:rsidP="00B46DFE">
      <w:pPr>
        <w:pStyle w:val="paragraph"/>
        <w:spacing w:before="0" w:beforeAutospacing="0" w:after="0" w:afterAutospacing="0"/>
        <w:textAlignment w:val="baseline"/>
        <w:rPr>
          <w:rFonts w:ascii="MetaPro-Norm" w:hAnsi="MetaPro-Norm"/>
          <w:sz w:val="22"/>
          <w:szCs w:val="22"/>
        </w:rPr>
      </w:pPr>
      <w:r w:rsidRPr="00B46DFE">
        <w:rPr>
          <w:rStyle w:val="normaltextrun"/>
          <w:rFonts w:ascii="MetaPro-Norm" w:eastAsiaTheme="minorEastAsia" w:hAnsi="MetaPro-Norm"/>
          <w:i/>
          <w:iCs/>
          <w:sz w:val="22"/>
          <w:szCs w:val="22"/>
        </w:rPr>
        <w:t xml:space="preserve">Human Rights Watch asks the Committee to consider including these recommendations in its concluding observations on </w:t>
      </w:r>
      <w:r w:rsidR="00B26DE6">
        <w:rPr>
          <w:rStyle w:val="normaltextrun"/>
          <w:rFonts w:ascii="MetaPro-Norm" w:eastAsiaTheme="minorEastAsia" w:hAnsi="MetaPro-Norm"/>
          <w:i/>
          <w:iCs/>
          <w:sz w:val="22"/>
          <w:szCs w:val="22"/>
        </w:rPr>
        <w:t>Indonesia</w:t>
      </w:r>
      <w:r w:rsidRPr="00B46DFE">
        <w:rPr>
          <w:rStyle w:val="normaltextrun"/>
          <w:rFonts w:ascii="MetaPro-Norm" w:eastAsiaTheme="minorEastAsia" w:hAnsi="MetaPro-Norm"/>
          <w:i/>
          <w:iCs/>
          <w:sz w:val="22"/>
          <w:szCs w:val="22"/>
        </w:rPr>
        <w:t>:</w:t>
      </w:r>
      <w:r w:rsidRPr="00B46DFE">
        <w:rPr>
          <w:rStyle w:val="eop"/>
          <w:rFonts w:ascii="MetaPro-Norm" w:hAnsi="MetaPro-Norm"/>
          <w:sz w:val="22"/>
          <w:szCs w:val="22"/>
        </w:rPr>
        <w:t> </w:t>
      </w:r>
    </w:p>
    <w:p w14:paraId="59DFA2BB" w14:textId="77777777" w:rsidR="00B46DFE" w:rsidRPr="00B46DFE" w:rsidRDefault="00B46DFE" w:rsidP="003C2C91">
      <w:pPr>
        <w:pStyle w:val="paragraph"/>
        <w:numPr>
          <w:ilvl w:val="0"/>
          <w:numId w:val="41"/>
        </w:numPr>
        <w:spacing w:before="0" w:beforeAutospacing="0" w:after="0" w:afterAutospacing="0"/>
        <w:textAlignment w:val="baseline"/>
        <w:rPr>
          <w:rFonts w:ascii="MetaPro-Norm" w:hAnsi="MetaPro-Norm"/>
          <w:sz w:val="22"/>
          <w:szCs w:val="22"/>
        </w:rPr>
      </w:pPr>
      <w:r w:rsidRPr="00B46DFE">
        <w:rPr>
          <w:rStyle w:val="normaltextrun"/>
          <w:rFonts w:ascii="MetaPro-Norm" w:eastAsiaTheme="minorEastAsia" w:hAnsi="MetaPro-Norm"/>
          <w:sz w:val="22"/>
          <w:szCs w:val="22"/>
        </w:rPr>
        <w:t>Implement the existing ban on shackling.</w:t>
      </w:r>
      <w:r w:rsidRPr="00B46DFE">
        <w:rPr>
          <w:rStyle w:val="eop"/>
          <w:rFonts w:ascii="MetaPro-Norm" w:hAnsi="MetaPro-Norm"/>
          <w:sz w:val="22"/>
          <w:szCs w:val="22"/>
        </w:rPr>
        <w:t> </w:t>
      </w:r>
    </w:p>
    <w:p w14:paraId="7372D2B9" w14:textId="0785CA7C" w:rsidR="00B46DFE" w:rsidRPr="00B46DFE" w:rsidRDefault="00B46DFE" w:rsidP="003C2C91">
      <w:pPr>
        <w:pStyle w:val="paragraph"/>
        <w:numPr>
          <w:ilvl w:val="0"/>
          <w:numId w:val="41"/>
        </w:numPr>
        <w:spacing w:before="0" w:beforeAutospacing="0" w:after="0" w:afterAutospacing="0"/>
        <w:textAlignment w:val="baseline"/>
        <w:rPr>
          <w:rFonts w:ascii="MetaPro-Norm" w:hAnsi="MetaPro-Norm"/>
          <w:sz w:val="22"/>
          <w:szCs w:val="22"/>
        </w:rPr>
      </w:pPr>
      <w:r w:rsidRPr="00B46DFE">
        <w:rPr>
          <w:rStyle w:val="normaltextrun"/>
          <w:rFonts w:ascii="MetaPro-Norm" w:eastAsiaTheme="minorEastAsia" w:hAnsi="MetaPro-Norm"/>
          <w:sz w:val="22"/>
          <w:szCs w:val="22"/>
        </w:rPr>
        <w:t>Develop a time-bound plan to shift progressively to voluntary community-based mental</w:t>
      </w:r>
      <w:r w:rsidRPr="00B46DFE">
        <w:rPr>
          <w:rStyle w:val="eop"/>
          <w:rFonts w:ascii="MetaPro-Norm" w:hAnsi="MetaPro-Norm"/>
          <w:sz w:val="22"/>
          <w:szCs w:val="22"/>
        </w:rPr>
        <w:t> </w:t>
      </w:r>
      <w:r w:rsidR="00EB269F">
        <w:rPr>
          <w:rStyle w:val="eop"/>
          <w:rFonts w:ascii="MetaPro-Norm" w:hAnsi="MetaPro-Norm"/>
          <w:sz w:val="22"/>
          <w:szCs w:val="22"/>
        </w:rPr>
        <w:t>health support, and independent living services.</w:t>
      </w:r>
    </w:p>
    <w:p w14:paraId="18615501" w14:textId="77777777" w:rsidR="00B46DFE" w:rsidRPr="00B46DFE" w:rsidRDefault="00B46DFE" w:rsidP="241C31EF">
      <w:pPr>
        <w:pStyle w:val="paragraph"/>
        <w:numPr>
          <w:ilvl w:val="0"/>
          <w:numId w:val="41"/>
        </w:numPr>
        <w:spacing w:before="0" w:beforeAutospacing="0" w:after="0" w:afterAutospacing="0"/>
        <w:textAlignment w:val="baseline"/>
        <w:rPr>
          <w:rFonts w:ascii="MetaPro-Norm" w:hAnsi="MetaPro-Norm"/>
          <w:sz w:val="22"/>
          <w:szCs w:val="22"/>
        </w:rPr>
      </w:pPr>
      <w:r w:rsidRPr="241C31EF">
        <w:rPr>
          <w:rStyle w:val="normaltextrun"/>
          <w:rFonts w:ascii="MetaPro-Norm" w:eastAsiaTheme="minorEastAsia" w:hAnsi="MetaPro-Norm"/>
          <w:sz w:val="22"/>
          <w:szCs w:val="22"/>
        </w:rPr>
        <w:t>Ensure that people who have been released from state and private institutions have access to psychosocial support and social services. Children should have access to child psychologists and specialist support services.</w:t>
      </w:r>
      <w:r w:rsidRPr="241C31EF">
        <w:rPr>
          <w:rStyle w:val="eop"/>
          <w:rFonts w:ascii="MetaPro-Norm" w:hAnsi="MetaPro-Norm"/>
          <w:sz w:val="22"/>
          <w:szCs w:val="22"/>
        </w:rPr>
        <w:t> </w:t>
      </w:r>
    </w:p>
    <w:p w14:paraId="6906BFDB" w14:textId="32B5A8E0" w:rsidR="00B46DFE" w:rsidRPr="00B46DFE" w:rsidRDefault="00B46DFE" w:rsidP="003C2C91">
      <w:pPr>
        <w:pStyle w:val="paragraph"/>
        <w:numPr>
          <w:ilvl w:val="0"/>
          <w:numId w:val="41"/>
        </w:numPr>
        <w:spacing w:before="0" w:beforeAutospacing="0" w:after="0" w:afterAutospacing="0"/>
        <w:textAlignment w:val="baseline"/>
        <w:rPr>
          <w:rFonts w:ascii="MetaPro-Norm" w:hAnsi="MetaPro-Norm"/>
          <w:sz w:val="22"/>
          <w:szCs w:val="22"/>
        </w:rPr>
      </w:pPr>
      <w:r w:rsidRPr="00B46DFE">
        <w:rPr>
          <w:rStyle w:val="normaltextrun"/>
          <w:rFonts w:ascii="MetaPro-Norm" w:eastAsiaTheme="minorEastAsia" w:hAnsi="MetaPro-Norm"/>
          <w:sz w:val="22"/>
          <w:szCs w:val="22"/>
        </w:rPr>
        <w:t>Progressively develop voluntary and accessible community-based mental health support services, in consultation with people with psychosocial disabilities and with the support of international donors and partners. This should include development of psychosocial support services and integration of mental health services in the primary healthcare system.</w:t>
      </w:r>
      <w:r w:rsidRPr="00B46DFE">
        <w:rPr>
          <w:rStyle w:val="eop"/>
          <w:rFonts w:ascii="MetaPro-Norm" w:hAnsi="MetaPro-Norm"/>
          <w:sz w:val="22"/>
          <w:szCs w:val="22"/>
        </w:rPr>
        <w:t> </w:t>
      </w:r>
    </w:p>
    <w:p w14:paraId="42FB331D" w14:textId="77777777" w:rsidR="00B46DFE" w:rsidRPr="00B46DFE" w:rsidRDefault="00B46DFE" w:rsidP="003C2C91">
      <w:pPr>
        <w:pStyle w:val="paragraph"/>
        <w:numPr>
          <w:ilvl w:val="0"/>
          <w:numId w:val="41"/>
        </w:numPr>
        <w:spacing w:before="0" w:beforeAutospacing="0" w:after="0" w:afterAutospacing="0"/>
        <w:textAlignment w:val="baseline"/>
        <w:rPr>
          <w:rFonts w:ascii="MetaPro-Norm" w:hAnsi="MetaPro-Norm"/>
          <w:sz w:val="22"/>
          <w:szCs w:val="22"/>
        </w:rPr>
      </w:pPr>
      <w:r w:rsidRPr="00B46DFE">
        <w:rPr>
          <w:rStyle w:val="normaltextrun"/>
          <w:rFonts w:ascii="MetaPro-Norm" w:eastAsiaTheme="minorEastAsia" w:hAnsi="MetaPro-Norm"/>
          <w:sz w:val="22"/>
          <w:szCs w:val="22"/>
        </w:rPr>
        <w:t>Create and carry out a deinstitutionalization policy and a time-bound action plan, based on the values of equality, independence, and inclusion for people with disabilities. </w:t>
      </w:r>
      <w:r w:rsidRPr="00B46DFE">
        <w:rPr>
          <w:rStyle w:val="eop"/>
          <w:rFonts w:ascii="MetaPro-Norm" w:hAnsi="MetaPro-Norm"/>
          <w:sz w:val="22"/>
          <w:szCs w:val="22"/>
        </w:rPr>
        <w:t> </w:t>
      </w:r>
    </w:p>
    <w:p w14:paraId="39E4B15C" w14:textId="77777777" w:rsidR="00B46DFE" w:rsidRPr="00B46DFE" w:rsidRDefault="00B46DFE" w:rsidP="003C2C91">
      <w:pPr>
        <w:pStyle w:val="paragraph"/>
        <w:numPr>
          <w:ilvl w:val="0"/>
          <w:numId w:val="41"/>
        </w:numPr>
        <w:spacing w:before="0" w:beforeAutospacing="0" w:after="0" w:afterAutospacing="0"/>
        <w:textAlignment w:val="baseline"/>
        <w:rPr>
          <w:rFonts w:ascii="MetaPro-Norm" w:hAnsi="MetaPro-Norm"/>
          <w:sz w:val="22"/>
          <w:szCs w:val="22"/>
        </w:rPr>
      </w:pPr>
      <w:r w:rsidRPr="00B46DFE">
        <w:rPr>
          <w:rStyle w:val="normaltextrun"/>
          <w:rFonts w:ascii="MetaPro-Norm" w:eastAsiaTheme="minorEastAsia" w:hAnsi="MetaPro-Norm"/>
          <w:sz w:val="22"/>
          <w:szCs w:val="22"/>
        </w:rPr>
        <w:t>Undertake community support programs and independent and supported living arrangements for people with psychosocial disabilities, particularly those who have been freed from shackling.</w:t>
      </w:r>
      <w:r w:rsidRPr="00B46DFE">
        <w:rPr>
          <w:rStyle w:val="eop"/>
          <w:rFonts w:ascii="MetaPro-Norm" w:hAnsi="MetaPro-Norm"/>
          <w:sz w:val="22"/>
          <w:szCs w:val="22"/>
        </w:rPr>
        <w:t> </w:t>
      </w:r>
    </w:p>
    <w:p w14:paraId="1574D763" w14:textId="77777777" w:rsidR="00B46DFE" w:rsidRPr="00B46DFE" w:rsidRDefault="00B46DFE" w:rsidP="003C2C91">
      <w:pPr>
        <w:pStyle w:val="paragraph"/>
        <w:numPr>
          <w:ilvl w:val="0"/>
          <w:numId w:val="41"/>
        </w:numPr>
        <w:spacing w:before="0" w:beforeAutospacing="0" w:after="0" w:afterAutospacing="0"/>
        <w:textAlignment w:val="baseline"/>
        <w:rPr>
          <w:rFonts w:ascii="MetaPro-Norm" w:hAnsi="MetaPro-Norm"/>
          <w:sz w:val="22"/>
          <w:szCs w:val="22"/>
        </w:rPr>
      </w:pPr>
      <w:r w:rsidRPr="00B46DFE">
        <w:rPr>
          <w:rStyle w:val="normaltextrun"/>
          <w:rFonts w:ascii="MetaPro-Norm" w:eastAsiaTheme="minorEastAsia" w:hAnsi="MetaPro-Norm"/>
          <w:sz w:val="22"/>
          <w:szCs w:val="22"/>
        </w:rPr>
        <w:lastRenderedPageBreak/>
        <w:t>Improve quantitative and qualitative data collection at the local and national levels on the current number of people shackled, the reasons families continue to practice shackling, and the support or services they would need to discontinue the practice.</w:t>
      </w:r>
      <w:r w:rsidRPr="00B46DFE">
        <w:rPr>
          <w:rStyle w:val="eop"/>
          <w:rFonts w:ascii="MetaPro-Norm" w:hAnsi="MetaPro-Norm"/>
          <w:sz w:val="22"/>
          <w:szCs w:val="22"/>
        </w:rPr>
        <w:t> </w:t>
      </w:r>
    </w:p>
    <w:p w14:paraId="7DC12BF7" w14:textId="77777777" w:rsidR="00B46DFE" w:rsidRPr="00B46DFE" w:rsidRDefault="00B46DFE" w:rsidP="00B46DFE">
      <w:pPr>
        <w:pStyle w:val="Listenabsatz"/>
        <w:rPr>
          <w:rFonts w:ascii="MetaPro-Norm" w:eastAsia="Calibri" w:hAnsi="MetaPro-Norm" w:cs="Arial"/>
          <w:sz w:val="22"/>
          <w:szCs w:val="22"/>
        </w:rPr>
      </w:pPr>
    </w:p>
    <w:p w14:paraId="37880227" w14:textId="1D47BA48" w:rsidR="001F7CA3" w:rsidRPr="00B46DFE" w:rsidRDefault="001F7CA3" w:rsidP="00B46DFE">
      <w:pPr>
        <w:pStyle w:val="berschrift2"/>
        <w:numPr>
          <w:ilvl w:val="0"/>
          <w:numId w:val="17"/>
        </w:numPr>
        <w:rPr>
          <w:rFonts w:ascii="MetaPro-Norm" w:hAnsi="MetaPro-Norm"/>
        </w:rPr>
      </w:pPr>
      <w:bookmarkStart w:id="1" w:name="_Toc536542081"/>
      <w:bookmarkStart w:id="2" w:name="_Toc261808"/>
      <w:bookmarkStart w:id="3" w:name="_Toc536542083"/>
      <w:bookmarkStart w:id="4" w:name="_Toc261810"/>
      <w:r w:rsidRPr="00B46DFE">
        <w:rPr>
          <w:rFonts w:ascii="MetaPro-Norm" w:hAnsi="MetaPro-Norm"/>
        </w:rPr>
        <w:t xml:space="preserve">Women with </w:t>
      </w:r>
      <w:r w:rsidR="006D3B56">
        <w:rPr>
          <w:rFonts w:ascii="MetaPro-Norm" w:hAnsi="MetaPro-Norm"/>
        </w:rPr>
        <w:t>D</w:t>
      </w:r>
      <w:r w:rsidRPr="00B46DFE">
        <w:rPr>
          <w:rFonts w:ascii="MetaPro-Norm" w:hAnsi="MetaPro-Norm"/>
        </w:rPr>
        <w:t>isabilities</w:t>
      </w:r>
      <w:bookmarkEnd w:id="1"/>
      <w:bookmarkEnd w:id="2"/>
      <w:r w:rsidRPr="00B46DFE">
        <w:rPr>
          <w:rFonts w:ascii="MetaPro-Norm" w:hAnsi="MetaPro-Norm"/>
        </w:rPr>
        <w:t xml:space="preserve"> (art. 6)</w:t>
      </w:r>
    </w:p>
    <w:p w14:paraId="6866A98C" w14:textId="76CD78A7" w:rsidR="003B6809" w:rsidRPr="00B46DFE" w:rsidRDefault="0069044E" w:rsidP="00B46DFE">
      <w:pPr>
        <w:pStyle w:val="Textkrper"/>
        <w:ind w:firstLine="0"/>
        <w:rPr>
          <w:rFonts w:ascii="MetaPro-Norm" w:eastAsia="Calibri" w:hAnsi="MetaPro-Norm" w:cs="Arial"/>
          <w:sz w:val="22"/>
          <w:szCs w:val="22"/>
        </w:rPr>
      </w:pPr>
      <w:r>
        <w:rPr>
          <w:rFonts w:ascii="MetaPro-Norm" w:eastAsia="Calibri" w:hAnsi="MetaPro-Norm" w:cs="Arial"/>
          <w:sz w:val="22"/>
          <w:szCs w:val="22"/>
        </w:rPr>
        <w:t>W</w:t>
      </w:r>
      <w:r w:rsidR="003B6809" w:rsidRPr="241C31EF">
        <w:rPr>
          <w:rFonts w:ascii="MetaPro-Norm" w:eastAsia="Calibri" w:hAnsi="MetaPro-Norm" w:cs="Arial"/>
          <w:sz w:val="22"/>
          <w:szCs w:val="22"/>
        </w:rPr>
        <w:t xml:space="preserve">omen and girls </w:t>
      </w:r>
      <w:r w:rsidR="00797246" w:rsidRPr="241C31EF">
        <w:rPr>
          <w:rFonts w:ascii="MetaPro-Norm" w:eastAsia="Calibri" w:hAnsi="MetaPro-Norm" w:cs="Arial"/>
          <w:sz w:val="22"/>
          <w:szCs w:val="22"/>
        </w:rPr>
        <w:t>face multiple and compounding forms of disadvantage, discrimination, and abuse due to their disability</w:t>
      </w:r>
      <w:r w:rsidR="00E82494" w:rsidRPr="241C31EF">
        <w:rPr>
          <w:rFonts w:ascii="MetaPro-Norm" w:eastAsia="Calibri" w:hAnsi="MetaPro-Norm" w:cs="Arial"/>
          <w:sz w:val="22"/>
          <w:szCs w:val="22"/>
        </w:rPr>
        <w:t xml:space="preserve"> as well as gender. </w:t>
      </w:r>
      <w:r w:rsidR="003B6809" w:rsidRPr="241C31EF">
        <w:rPr>
          <w:rFonts w:ascii="MetaPro-Norm" w:eastAsia="Calibri" w:hAnsi="MetaPro-Norm" w:cs="Arial"/>
          <w:sz w:val="22"/>
          <w:szCs w:val="22"/>
        </w:rPr>
        <w:t xml:space="preserve">They are </w:t>
      </w:r>
      <w:r w:rsidR="00797246" w:rsidRPr="241C31EF">
        <w:rPr>
          <w:rFonts w:ascii="MetaPro-Norm" w:eastAsia="Calibri" w:hAnsi="MetaPro-Norm" w:cs="Arial"/>
          <w:sz w:val="22"/>
          <w:szCs w:val="22"/>
        </w:rPr>
        <w:t>at</w:t>
      </w:r>
      <w:r w:rsidR="00D16E18">
        <w:rPr>
          <w:rFonts w:ascii="MetaPro-Norm" w:eastAsia="Calibri" w:hAnsi="MetaPro-Norm" w:cs="Arial"/>
          <w:sz w:val="22"/>
          <w:szCs w:val="22"/>
        </w:rPr>
        <w:t xml:space="preserve"> </w:t>
      </w:r>
      <w:r w:rsidR="00797246" w:rsidRPr="241C31EF">
        <w:rPr>
          <w:rFonts w:ascii="MetaPro-Norm" w:eastAsia="Calibri" w:hAnsi="MetaPro-Norm" w:cs="Arial"/>
          <w:sz w:val="22"/>
          <w:szCs w:val="22"/>
        </w:rPr>
        <w:t>risk of</w:t>
      </w:r>
      <w:r w:rsidR="003B6809" w:rsidRPr="241C31EF">
        <w:rPr>
          <w:rFonts w:ascii="MetaPro-Norm" w:eastAsia="Calibri" w:hAnsi="MetaPro-Norm" w:cs="Arial"/>
          <w:sz w:val="22"/>
          <w:szCs w:val="22"/>
        </w:rPr>
        <w:t xml:space="preserve"> unique forms of neglect and abuse.</w:t>
      </w:r>
    </w:p>
    <w:p w14:paraId="3DA92B49" w14:textId="77BCAAC2" w:rsidR="00564618" w:rsidRPr="00B46DFE" w:rsidRDefault="00564618" w:rsidP="00B46DFE">
      <w:pPr>
        <w:pStyle w:val="Textkrper"/>
        <w:ind w:firstLine="0"/>
        <w:rPr>
          <w:rFonts w:ascii="MetaPro-Norm" w:eastAsia="Calibri" w:hAnsi="MetaPro-Norm" w:cs="Arial"/>
          <w:sz w:val="22"/>
          <w:szCs w:val="22"/>
        </w:rPr>
      </w:pPr>
    </w:p>
    <w:p w14:paraId="5BF11B40" w14:textId="62E12925" w:rsidR="00564618" w:rsidRPr="00B46DFE" w:rsidRDefault="4E985AB4" w:rsidP="00B46DFE">
      <w:pPr>
        <w:pStyle w:val="Textkrper"/>
        <w:ind w:firstLine="0"/>
        <w:rPr>
          <w:rFonts w:ascii="MetaPro-Norm" w:eastAsia="Calibri" w:hAnsi="MetaPro-Norm" w:cs="Arial"/>
          <w:sz w:val="22"/>
          <w:szCs w:val="22"/>
        </w:rPr>
      </w:pPr>
      <w:r w:rsidRPr="00B46DFE">
        <w:rPr>
          <w:rFonts w:ascii="MetaPro-Norm" w:eastAsia="Calibri" w:hAnsi="MetaPro-Norm" w:cs="Arial"/>
          <w:sz w:val="22"/>
          <w:szCs w:val="22"/>
        </w:rPr>
        <w:t>Human Rights Watch</w:t>
      </w:r>
      <w:r w:rsidRPr="0979A876">
        <w:rPr>
          <w:rFonts w:ascii="MetaPro-Norm" w:eastAsia="Calibri" w:hAnsi="MetaPro-Norm" w:cs="Arial"/>
          <w:sz w:val="22"/>
          <w:szCs w:val="22"/>
        </w:rPr>
        <w:t xml:space="preserve"> </w:t>
      </w:r>
      <w:r w:rsidRPr="00B46DFE">
        <w:rPr>
          <w:rFonts w:ascii="MetaPro-Norm" w:eastAsia="Calibri" w:hAnsi="MetaPro-Norm" w:cs="Arial"/>
          <w:sz w:val="22"/>
          <w:szCs w:val="22"/>
        </w:rPr>
        <w:t xml:space="preserve">documented </w:t>
      </w:r>
      <w:r w:rsidRPr="0979A876">
        <w:rPr>
          <w:rFonts w:ascii="MetaPro-Norm" w:eastAsia="Calibri" w:hAnsi="MetaPro-Norm" w:cs="Arial"/>
          <w:sz w:val="22"/>
          <w:szCs w:val="22"/>
        </w:rPr>
        <w:t xml:space="preserve">sexual abuse of women and girls with disabilities by staff in </w:t>
      </w:r>
      <w:r w:rsidR="0001557D">
        <w:rPr>
          <w:rFonts w:ascii="MetaPro-Norm" w:eastAsia="Calibri" w:hAnsi="MetaPro-Norm" w:cs="Arial"/>
          <w:sz w:val="22"/>
          <w:szCs w:val="22"/>
        </w:rPr>
        <w:t>social care institutions and faith-healing centers</w:t>
      </w:r>
      <w:r w:rsidRPr="0979A876">
        <w:rPr>
          <w:rFonts w:ascii="MetaPro-Norm" w:eastAsia="Calibri" w:hAnsi="MetaPro-Norm" w:cs="Arial"/>
          <w:sz w:val="22"/>
          <w:szCs w:val="22"/>
        </w:rPr>
        <w:t xml:space="preserve">. Many of these institutions are not set up to protect women and girls despite their vulnerability to sexual abuse. </w:t>
      </w:r>
      <w:r w:rsidR="3506627A" w:rsidRPr="0979A876">
        <w:rPr>
          <w:rFonts w:ascii="MetaPro-Norm" w:eastAsia="Calibri" w:hAnsi="MetaPro-Norm" w:cs="Arial"/>
          <w:sz w:val="22"/>
          <w:szCs w:val="22"/>
        </w:rPr>
        <w:t>I</w:t>
      </w:r>
      <w:r w:rsidR="3506627A" w:rsidRPr="00B46DFE">
        <w:rPr>
          <w:rFonts w:ascii="MetaPro-Norm" w:eastAsia="Calibri" w:hAnsi="MetaPro-Norm" w:cs="Arial"/>
          <w:sz w:val="22"/>
          <w:szCs w:val="22"/>
        </w:rPr>
        <w:t xml:space="preserve">n about half of </w:t>
      </w:r>
      <w:r w:rsidR="00A800E2">
        <w:rPr>
          <w:rFonts w:ascii="MetaPro-Norm" w:eastAsia="Calibri" w:hAnsi="MetaPro-Norm" w:cs="Arial"/>
          <w:sz w:val="22"/>
          <w:szCs w:val="22"/>
        </w:rPr>
        <w:t xml:space="preserve">the </w:t>
      </w:r>
      <w:r w:rsidR="3506627A" w:rsidRPr="00B46DFE">
        <w:rPr>
          <w:rFonts w:ascii="MetaPro-Norm" w:eastAsia="Calibri" w:hAnsi="MetaPro-Norm" w:cs="Arial"/>
          <w:sz w:val="22"/>
          <w:szCs w:val="22"/>
        </w:rPr>
        <w:t>institutions and healing centers visited by Human Rights Watch, male staff would enter and exit women’s wards or sections at will or were responsible for the women’s section, including at night.</w:t>
      </w:r>
      <w:r w:rsidR="000664C7" w:rsidRPr="00B46DFE">
        <w:rPr>
          <w:rStyle w:val="Funotenzeichen"/>
          <w:rFonts w:ascii="MetaPro-Norm" w:eastAsia="Calibri" w:hAnsi="MetaPro-Norm" w:cs="Arial"/>
          <w:sz w:val="22"/>
          <w:szCs w:val="22"/>
        </w:rPr>
        <w:footnoteReference w:id="28"/>
      </w:r>
      <w:r w:rsidR="3506627A" w:rsidRPr="00B46DFE">
        <w:rPr>
          <w:rFonts w:ascii="MetaPro-Norm" w:eastAsia="Calibri" w:hAnsi="MetaPro-Norm" w:cs="Arial"/>
          <w:sz w:val="22"/>
          <w:szCs w:val="22"/>
        </w:rPr>
        <w:t xml:space="preserve"> In</w:t>
      </w:r>
      <w:r w:rsidR="3506627A" w:rsidRPr="0979A876">
        <w:rPr>
          <w:rFonts w:ascii="MetaPro-Norm" w:eastAsia="Calibri" w:hAnsi="MetaPro-Norm" w:cs="Arial"/>
          <w:sz w:val="22"/>
          <w:szCs w:val="22"/>
        </w:rPr>
        <w:t xml:space="preserve"> several</w:t>
      </w:r>
      <w:r w:rsidR="3506627A" w:rsidRPr="00B46DFE">
        <w:rPr>
          <w:rFonts w:ascii="MetaPro-Norm" w:eastAsia="Calibri" w:hAnsi="MetaPro-Norm" w:cs="Arial"/>
          <w:sz w:val="22"/>
          <w:szCs w:val="22"/>
        </w:rPr>
        <w:t xml:space="preserve"> healing centers</w:t>
      </w:r>
      <w:r w:rsidR="3506627A" w:rsidRPr="0979A876">
        <w:rPr>
          <w:rFonts w:ascii="MetaPro-Norm" w:eastAsia="Calibri" w:hAnsi="MetaPro-Norm" w:cs="Arial"/>
          <w:sz w:val="22"/>
          <w:szCs w:val="22"/>
        </w:rPr>
        <w:t xml:space="preserve"> visited by Human Rights Watch</w:t>
      </w:r>
      <w:r w:rsidR="3506627A" w:rsidRPr="00B46DFE">
        <w:rPr>
          <w:rFonts w:ascii="MetaPro-Norm" w:eastAsia="Calibri" w:hAnsi="MetaPro-Norm" w:cs="Arial"/>
          <w:sz w:val="22"/>
          <w:szCs w:val="22"/>
        </w:rPr>
        <w:t xml:space="preserve">, men and women </w:t>
      </w:r>
      <w:r w:rsidR="1DFD12A9" w:rsidRPr="0979A876">
        <w:rPr>
          <w:rFonts w:ascii="MetaPro-Norm" w:eastAsia="Calibri" w:hAnsi="MetaPro-Norm" w:cs="Arial"/>
          <w:sz w:val="22"/>
          <w:szCs w:val="22"/>
        </w:rPr>
        <w:t>we</w:t>
      </w:r>
      <w:r w:rsidR="3506627A" w:rsidRPr="00B46DFE">
        <w:rPr>
          <w:rFonts w:ascii="MetaPro-Norm" w:eastAsia="Calibri" w:hAnsi="MetaPro-Norm" w:cs="Arial"/>
          <w:sz w:val="22"/>
          <w:szCs w:val="22"/>
        </w:rPr>
        <w:t>re chained next to each other</w:t>
      </w:r>
      <w:r w:rsidR="00D16E18">
        <w:rPr>
          <w:rFonts w:ascii="MetaPro-Norm" w:eastAsia="Calibri" w:hAnsi="MetaPro-Norm" w:cs="Arial"/>
          <w:sz w:val="22"/>
          <w:szCs w:val="22"/>
        </w:rPr>
        <w:t>,</w:t>
      </w:r>
      <w:r w:rsidR="3506627A" w:rsidRPr="0979A876">
        <w:rPr>
          <w:rFonts w:ascii="MetaPro-Norm" w:eastAsia="Calibri" w:hAnsi="MetaPro-Norm" w:cs="Arial"/>
          <w:sz w:val="22"/>
          <w:szCs w:val="22"/>
        </w:rPr>
        <w:t xml:space="preserve"> again making women more vulnerable to sexual abuse</w:t>
      </w:r>
      <w:r w:rsidR="3506627A" w:rsidRPr="00B46DFE">
        <w:rPr>
          <w:rFonts w:ascii="MetaPro-Norm" w:eastAsia="Calibri" w:hAnsi="MetaPro-Norm" w:cs="Arial"/>
          <w:sz w:val="22"/>
          <w:szCs w:val="22"/>
        </w:rPr>
        <w:t xml:space="preserve">. “When I take a shower, the men, the staff watch me,” said Tasya, a woman with a psychosocial disability living in </w:t>
      </w:r>
      <w:r w:rsidR="08700C25" w:rsidRPr="0979A876">
        <w:rPr>
          <w:rFonts w:ascii="MetaPro-Norm" w:eastAsia="Calibri" w:hAnsi="MetaPro-Norm" w:cs="Arial"/>
          <w:sz w:val="22"/>
          <w:szCs w:val="22"/>
        </w:rPr>
        <w:t xml:space="preserve">a </w:t>
      </w:r>
      <w:r w:rsidR="3506627A" w:rsidRPr="00B46DFE">
        <w:rPr>
          <w:rFonts w:ascii="MetaPro-Norm" w:eastAsia="Calibri" w:hAnsi="MetaPro-Norm" w:cs="Arial"/>
          <w:sz w:val="22"/>
          <w:szCs w:val="22"/>
        </w:rPr>
        <w:t>healing center in Brebes.</w:t>
      </w:r>
      <w:r w:rsidR="000F46B1" w:rsidRPr="00B46DFE">
        <w:rPr>
          <w:rStyle w:val="Funotenzeichen"/>
          <w:rFonts w:ascii="MetaPro-Norm" w:eastAsia="Calibri" w:hAnsi="MetaPro-Norm" w:cs="Arial"/>
          <w:sz w:val="22"/>
          <w:szCs w:val="22"/>
        </w:rPr>
        <w:footnoteReference w:id="29"/>
      </w:r>
      <w:r w:rsidR="3506627A" w:rsidRPr="00B46DFE">
        <w:rPr>
          <w:rFonts w:ascii="MetaPro-Norm" w:eastAsia="Calibri" w:hAnsi="MetaPro-Norm" w:cs="Arial"/>
          <w:sz w:val="22"/>
          <w:szCs w:val="22"/>
        </w:rPr>
        <w:t xml:space="preserve"> “One male staff member touched my vagina this morning. He was doing it just for fun.”</w:t>
      </w:r>
      <w:r w:rsidR="009E6553" w:rsidRPr="00B46DFE">
        <w:rPr>
          <w:rStyle w:val="Funotenzeichen"/>
          <w:rFonts w:ascii="MetaPro-Norm" w:eastAsia="Calibri" w:hAnsi="MetaPro-Norm" w:cs="Arial"/>
          <w:sz w:val="22"/>
          <w:szCs w:val="22"/>
        </w:rPr>
        <w:footnoteReference w:id="30"/>
      </w:r>
      <w:r w:rsidR="3506627A" w:rsidRPr="00B46DFE">
        <w:rPr>
          <w:rFonts w:ascii="MetaPro-Norm" w:eastAsia="Calibri" w:hAnsi="MetaPro-Norm" w:cs="Arial"/>
          <w:sz w:val="22"/>
          <w:szCs w:val="22"/>
        </w:rPr>
        <w:t xml:space="preserve"> Human Rights Watch found no evidence of staff being reprimanded or facing legal action for physical or sexual violence.</w:t>
      </w:r>
      <w:r w:rsidR="009E6553" w:rsidRPr="00B46DFE">
        <w:rPr>
          <w:rStyle w:val="Funotenzeichen"/>
          <w:rFonts w:ascii="MetaPro-Norm" w:eastAsia="Calibri" w:hAnsi="MetaPro-Norm" w:cs="Arial"/>
          <w:sz w:val="22"/>
          <w:szCs w:val="22"/>
        </w:rPr>
        <w:footnoteReference w:id="31"/>
      </w:r>
      <w:r w:rsidR="3506627A" w:rsidRPr="00B46DFE">
        <w:rPr>
          <w:rFonts w:ascii="MetaPro-Norm" w:eastAsia="Calibri" w:hAnsi="MetaPro-Norm" w:cs="Arial"/>
          <w:sz w:val="22"/>
          <w:szCs w:val="22"/>
        </w:rPr>
        <w:t xml:space="preserve"> </w:t>
      </w:r>
      <w:r w:rsidR="084BD441" w:rsidRPr="00B46DFE">
        <w:rPr>
          <w:rFonts w:ascii="MetaPro-Norm" w:eastAsia="Calibri" w:hAnsi="MetaPro-Norm" w:cs="Arial"/>
          <w:sz w:val="22"/>
          <w:szCs w:val="22"/>
        </w:rPr>
        <w:t>Those who experience sexual violence encounter many barriers to reporting the abuse safely and confidentially, and are unlikely to access time-sensitive health care, for example to prevent sexually transmitted infections or pregnancy or to access support services.</w:t>
      </w:r>
      <w:r w:rsidR="005E5C96" w:rsidRPr="00B46DFE">
        <w:rPr>
          <w:rStyle w:val="Funotenzeichen"/>
          <w:rFonts w:ascii="MetaPro-Norm" w:eastAsia="Calibri" w:hAnsi="MetaPro-Norm" w:cs="Arial"/>
          <w:sz w:val="22"/>
          <w:szCs w:val="22"/>
        </w:rPr>
        <w:footnoteReference w:id="32"/>
      </w:r>
    </w:p>
    <w:p w14:paraId="6AFC57D1" w14:textId="556F83B7" w:rsidR="00491D23" w:rsidRPr="00B46DFE" w:rsidRDefault="00491D23" w:rsidP="00B46DFE">
      <w:pPr>
        <w:pStyle w:val="Textkrper"/>
        <w:ind w:firstLine="0"/>
        <w:rPr>
          <w:rFonts w:ascii="MetaPro-Norm" w:eastAsia="Calibri" w:hAnsi="MetaPro-Norm" w:cs="Arial"/>
          <w:sz w:val="22"/>
          <w:szCs w:val="22"/>
        </w:rPr>
      </w:pPr>
    </w:p>
    <w:p w14:paraId="321CD9E0" w14:textId="5AB620AC" w:rsidR="00491D23" w:rsidRPr="00B46DFE" w:rsidRDefault="3AA2909D" w:rsidP="00B46DFE">
      <w:pPr>
        <w:pStyle w:val="Textkrper"/>
        <w:ind w:firstLine="0"/>
        <w:rPr>
          <w:rFonts w:ascii="MetaPro-Norm" w:eastAsia="Calibri" w:hAnsi="MetaPro-Norm" w:cs="Arial"/>
          <w:sz w:val="22"/>
          <w:szCs w:val="22"/>
        </w:rPr>
      </w:pPr>
      <w:r w:rsidRPr="00B46DFE">
        <w:rPr>
          <w:rFonts w:ascii="MetaPro-Norm" w:eastAsia="Calibri" w:hAnsi="MetaPro-Norm" w:cs="Arial"/>
          <w:sz w:val="22"/>
          <w:szCs w:val="22"/>
        </w:rPr>
        <w:t>Human Rights Watch also documented evidence of staff giving women contraception without their knowledge (and so inherently without their consent) in three institutions.</w:t>
      </w:r>
      <w:r w:rsidR="00491D23" w:rsidRPr="00B46DFE">
        <w:rPr>
          <w:rStyle w:val="Funotenzeichen"/>
          <w:rFonts w:ascii="MetaPro-Norm" w:eastAsia="Calibri" w:hAnsi="MetaPro-Norm" w:cs="Arial"/>
          <w:sz w:val="22"/>
          <w:szCs w:val="22"/>
        </w:rPr>
        <w:footnoteReference w:id="33"/>
      </w:r>
      <w:r w:rsidRPr="00B46DFE">
        <w:rPr>
          <w:rFonts w:ascii="MetaPro-Norm" w:eastAsia="Calibri" w:hAnsi="MetaPro-Norm" w:cs="Arial"/>
          <w:sz w:val="22"/>
          <w:szCs w:val="22"/>
        </w:rPr>
        <w:t xml:space="preserve"> </w:t>
      </w:r>
    </w:p>
    <w:p w14:paraId="031EA1F8" w14:textId="18187535" w:rsidR="00491D23" w:rsidRPr="00B46DFE" w:rsidRDefault="00491D23" w:rsidP="00B46DFE">
      <w:pPr>
        <w:pStyle w:val="Textkrper"/>
        <w:ind w:firstLine="0"/>
        <w:rPr>
          <w:rFonts w:ascii="MetaPro-Norm" w:eastAsia="Calibri" w:hAnsi="MetaPro-Norm" w:cs="Arial"/>
          <w:sz w:val="22"/>
          <w:szCs w:val="22"/>
        </w:rPr>
      </w:pPr>
    </w:p>
    <w:p w14:paraId="6C8CCCA3" w14:textId="5C324C44" w:rsidR="00491D23" w:rsidRPr="00B46DFE" w:rsidRDefault="3AA2909D" w:rsidP="00B46DFE">
      <w:pPr>
        <w:pStyle w:val="Textkrper"/>
        <w:ind w:firstLine="0"/>
        <w:rPr>
          <w:rFonts w:ascii="MetaPro-Norm" w:eastAsia="Calibri" w:hAnsi="MetaPro-Norm" w:cs="Arial"/>
          <w:sz w:val="22"/>
          <w:szCs w:val="22"/>
        </w:rPr>
      </w:pPr>
      <w:r w:rsidRPr="00B46DFE">
        <w:rPr>
          <w:rFonts w:ascii="MetaPro-Norm" w:eastAsia="Calibri" w:hAnsi="MetaPro-Norm" w:cs="Arial"/>
          <w:sz w:val="22"/>
          <w:szCs w:val="22"/>
        </w:rPr>
        <w:t>For example, staff members at Panti Social Bina Laras Dharma Guna, a government-run social care institution home to about 125 people with psychosocial disabilities in Bengkulu, explained that they administered contraceptive injections to female residents every three months.</w:t>
      </w:r>
      <w:r w:rsidR="00491D23" w:rsidRPr="00B46DFE">
        <w:rPr>
          <w:rStyle w:val="Funotenzeichen"/>
          <w:rFonts w:ascii="MetaPro-Norm" w:eastAsia="Calibri" w:hAnsi="MetaPro-Norm" w:cs="Arial"/>
          <w:sz w:val="22"/>
          <w:szCs w:val="22"/>
        </w:rPr>
        <w:footnoteReference w:id="34"/>
      </w:r>
      <w:r w:rsidRPr="00B46DFE">
        <w:rPr>
          <w:rFonts w:ascii="MetaPro-Norm" w:eastAsia="Calibri" w:hAnsi="MetaPro-Norm" w:cs="Arial"/>
          <w:sz w:val="22"/>
          <w:szCs w:val="22"/>
        </w:rPr>
        <w:t xml:space="preserve"> Although the male and female dormitories were separated, staff feared that the women would get pregnant because they interact with male residents during the day.</w:t>
      </w:r>
      <w:r w:rsidR="00491D23" w:rsidRPr="00B46DFE">
        <w:rPr>
          <w:rStyle w:val="Funotenzeichen"/>
          <w:rFonts w:ascii="MetaPro-Norm" w:eastAsia="Calibri" w:hAnsi="MetaPro-Norm" w:cs="Arial"/>
          <w:sz w:val="22"/>
          <w:szCs w:val="22"/>
        </w:rPr>
        <w:footnoteReference w:id="35"/>
      </w:r>
      <w:r w:rsidRPr="00B46DFE">
        <w:rPr>
          <w:rFonts w:ascii="MetaPro-Norm" w:eastAsia="Calibri" w:hAnsi="MetaPro-Norm" w:cs="Arial"/>
          <w:sz w:val="22"/>
          <w:szCs w:val="22"/>
        </w:rPr>
        <w:t xml:space="preserve"> </w:t>
      </w:r>
    </w:p>
    <w:p w14:paraId="3FF679FB" w14:textId="77777777" w:rsidR="00491D23" w:rsidRPr="00B46DFE" w:rsidRDefault="00491D23" w:rsidP="00B46DFE">
      <w:pPr>
        <w:pStyle w:val="Textkrper"/>
        <w:ind w:firstLine="0"/>
        <w:rPr>
          <w:rFonts w:ascii="MetaPro-Norm" w:eastAsia="Calibri" w:hAnsi="MetaPro-Norm" w:cs="Arial"/>
          <w:sz w:val="22"/>
          <w:szCs w:val="22"/>
        </w:rPr>
      </w:pPr>
    </w:p>
    <w:p w14:paraId="7D551E15" w14:textId="4A9DA95D" w:rsidR="00491D23" w:rsidRPr="00B46DFE" w:rsidRDefault="00491D23" w:rsidP="00B46DFE">
      <w:pPr>
        <w:pStyle w:val="Textkrper"/>
        <w:ind w:firstLine="0"/>
        <w:rPr>
          <w:rFonts w:ascii="MetaPro-Norm" w:eastAsia="Calibri" w:hAnsi="MetaPro-Norm" w:cs="Arial"/>
          <w:sz w:val="22"/>
          <w:szCs w:val="22"/>
        </w:rPr>
      </w:pPr>
      <w:r w:rsidRPr="00B46DFE">
        <w:rPr>
          <w:rFonts w:ascii="MetaPro-Norm" w:eastAsia="Calibri" w:hAnsi="MetaPro-Norm" w:cs="Arial"/>
          <w:sz w:val="22"/>
          <w:szCs w:val="22"/>
        </w:rPr>
        <w:t>When asked, staff members give residents a basic explanation of what the injection is for but say it is an injection of vitamins if they sense the female resident will resist or refuse. While some female residents who were previously on contraception agree to receive it, others are forcibly administered the contraceptive injection.</w:t>
      </w:r>
      <w:r w:rsidRPr="00B46DFE">
        <w:rPr>
          <w:rStyle w:val="Funotenzeichen"/>
          <w:rFonts w:ascii="MetaPro-Norm" w:eastAsia="Calibri" w:hAnsi="MetaPro-Norm" w:cs="Arial"/>
          <w:sz w:val="22"/>
          <w:szCs w:val="22"/>
        </w:rPr>
        <w:footnoteReference w:id="36"/>
      </w:r>
    </w:p>
    <w:p w14:paraId="702F04AC" w14:textId="77777777" w:rsidR="00F259C6" w:rsidRPr="00B46DFE" w:rsidRDefault="00F259C6" w:rsidP="00B46DFE">
      <w:pPr>
        <w:pStyle w:val="Textkrper"/>
        <w:ind w:firstLine="0"/>
        <w:rPr>
          <w:rFonts w:ascii="MetaPro-Norm" w:eastAsia="Calibri" w:hAnsi="MetaPro-Norm" w:cs="Arial"/>
          <w:sz w:val="22"/>
          <w:szCs w:val="22"/>
        </w:rPr>
      </w:pPr>
    </w:p>
    <w:p w14:paraId="35B3DDFE" w14:textId="6EDC921A" w:rsidR="00564618" w:rsidRPr="00B46DFE" w:rsidRDefault="56C6E756" w:rsidP="0979A876">
      <w:pPr>
        <w:rPr>
          <w:rFonts w:ascii="MetaPro-Norm" w:eastAsia="Calibri" w:hAnsi="MetaPro-Norm" w:cs="Arial"/>
          <w:i/>
          <w:iCs/>
          <w:sz w:val="22"/>
          <w:szCs w:val="22"/>
        </w:rPr>
      </w:pPr>
      <w:r w:rsidRPr="0979A876">
        <w:rPr>
          <w:rFonts w:ascii="MetaPro-Norm" w:eastAsia="Calibri" w:hAnsi="MetaPro-Norm" w:cs="Arial"/>
          <w:i/>
          <w:iCs/>
          <w:sz w:val="22"/>
          <w:szCs w:val="22"/>
        </w:rPr>
        <w:t>Human Rights Watch encourages the Committee to ask the government of Indonesia:</w:t>
      </w:r>
    </w:p>
    <w:p w14:paraId="078E8CD2" w14:textId="7C8EFE08" w:rsidR="00564618" w:rsidRPr="00B46DFE" w:rsidRDefault="00564618" w:rsidP="00B46DFE">
      <w:pPr>
        <w:numPr>
          <w:ilvl w:val="0"/>
          <w:numId w:val="18"/>
        </w:numPr>
        <w:contextualSpacing/>
        <w:rPr>
          <w:rFonts w:ascii="MetaPro-Norm" w:eastAsia="Calibri" w:hAnsi="MetaPro-Norm" w:cs="Arial"/>
          <w:sz w:val="22"/>
          <w:szCs w:val="22"/>
        </w:rPr>
      </w:pPr>
      <w:r w:rsidRPr="00B46DFE">
        <w:rPr>
          <w:rFonts w:ascii="MetaPro-Norm" w:eastAsia="Calibri" w:hAnsi="MetaPro-Norm" w:cs="Arial"/>
          <w:sz w:val="22"/>
          <w:szCs w:val="22"/>
        </w:rPr>
        <w:t>What concrete measures has the government taken to raise awareness about the rights of persons with disabilities and reduce stigma a</w:t>
      </w:r>
      <w:r w:rsidR="000673D4" w:rsidRPr="00B46DFE">
        <w:rPr>
          <w:rFonts w:ascii="MetaPro-Norm" w:eastAsia="Calibri" w:hAnsi="MetaPro-Norm" w:cs="Arial"/>
          <w:sz w:val="22"/>
          <w:szCs w:val="22"/>
        </w:rPr>
        <w:t>gainst</w:t>
      </w:r>
      <w:r w:rsidRPr="00B46DFE">
        <w:rPr>
          <w:rFonts w:ascii="MetaPro-Norm" w:eastAsia="Calibri" w:hAnsi="MetaPro-Norm" w:cs="Arial"/>
          <w:sz w:val="22"/>
          <w:szCs w:val="22"/>
        </w:rPr>
        <w:t xml:space="preserve"> women and girls with disabilities?</w:t>
      </w:r>
    </w:p>
    <w:p w14:paraId="67721D21" w14:textId="6338CF9F" w:rsidR="000673D4" w:rsidRPr="00B46DFE" w:rsidRDefault="003274E5" w:rsidP="00B46DFE">
      <w:pPr>
        <w:numPr>
          <w:ilvl w:val="0"/>
          <w:numId w:val="18"/>
        </w:numPr>
        <w:contextualSpacing/>
        <w:rPr>
          <w:rFonts w:ascii="MetaPro-Norm" w:eastAsia="Calibri" w:hAnsi="MetaPro-Norm" w:cs="Arial"/>
          <w:sz w:val="22"/>
          <w:szCs w:val="22"/>
        </w:rPr>
      </w:pPr>
      <w:r w:rsidRPr="00B46DFE">
        <w:rPr>
          <w:rFonts w:ascii="MetaPro-Norm" w:eastAsia="Calibri" w:hAnsi="MetaPro-Norm" w:cs="Arial"/>
          <w:sz w:val="22"/>
          <w:szCs w:val="22"/>
        </w:rPr>
        <w:t>What concrete measures has the government taken to monitor institutions of women and girls with psychosocial disabilities?</w:t>
      </w:r>
    </w:p>
    <w:p w14:paraId="1581E4F3" w14:textId="74150BD8" w:rsidR="000673D4" w:rsidRPr="00B46DFE" w:rsidRDefault="000673D4" w:rsidP="00B46DFE">
      <w:pPr>
        <w:numPr>
          <w:ilvl w:val="0"/>
          <w:numId w:val="18"/>
        </w:numPr>
        <w:contextualSpacing/>
        <w:rPr>
          <w:rFonts w:ascii="MetaPro-Norm" w:eastAsia="Calibri" w:hAnsi="MetaPro-Norm" w:cs="Arial"/>
          <w:sz w:val="22"/>
          <w:szCs w:val="22"/>
        </w:rPr>
      </w:pPr>
      <w:r w:rsidRPr="00B46DFE">
        <w:rPr>
          <w:rFonts w:ascii="MetaPro-Norm" w:eastAsia="Calibri" w:hAnsi="MetaPro-Norm" w:cs="Arial"/>
          <w:sz w:val="22"/>
          <w:szCs w:val="22"/>
        </w:rPr>
        <w:lastRenderedPageBreak/>
        <w:t>How many women and girls with psychosocial disabilities are arbitrarily detained in faith-healing centers, government and private residential care institutions as well as psychiatric hospitals?</w:t>
      </w:r>
    </w:p>
    <w:p w14:paraId="205F5FD1" w14:textId="41E804BC" w:rsidR="00564618" w:rsidRPr="00B46DFE" w:rsidRDefault="00564618" w:rsidP="00B46DFE">
      <w:pPr>
        <w:numPr>
          <w:ilvl w:val="0"/>
          <w:numId w:val="18"/>
        </w:numPr>
        <w:contextualSpacing/>
        <w:rPr>
          <w:rFonts w:ascii="MetaPro-Norm" w:eastAsia="Calibri" w:hAnsi="MetaPro-Norm" w:cs="Arial"/>
          <w:sz w:val="22"/>
          <w:szCs w:val="22"/>
        </w:rPr>
      </w:pPr>
      <w:r w:rsidRPr="00B46DFE">
        <w:rPr>
          <w:rFonts w:ascii="MetaPro-Norm" w:eastAsia="Calibri" w:hAnsi="MetaPro-Norm" w:cs="Arial"/>
          <w:sz w:val="22"/>
          <w:szCs w:val="22"/>
        </w:rPr>
        <w:t xml:space="preserve">What programs, if any, are available for women and girls with disabilities to </w:t>
      </w:r>
      <w:r w:rsidR="003D2FF5">
        <w:rPr>
          <w:rFonts w:ascii="MetaPro-Norm" w:eastAsia="Calibri" w:hAnsi="MetaPro-Norm" w:cs="Arial"/>
          <w:sz w:val="22"/>
          <w:szCs w:val="22"/>
        </w:rPr>
        <w:t>obtain</w:t>
      </w:r>
      <w:r w:rsidRPr="00B46DFE">
        <w:rPr>
          <w:rFonts w:ascii="MetaPro-Norm" w:eastAsia="Calibri" w:hAnsi="MetaPro-Norm" w:cs="Arial"/>
          <w:sz w:val="22"/>
          <w:szCs w:val="22"/>
        </w:rPr>
        <w:t xml:space="preserve"> information about sexual violence, how to report it, and support services available to them?</w:t>
      </w:r>
    </w:p>
    <w:p w14:paraId="08B76285" w14:textId="51B2E3E4" w:rsidR="009E6553" w:rsidRPr="00B46DFE" w:rsidRDefault="009E6553" w:rsidP="00B46DFE">
      <w:pPr>
        <w:numPr>
          <w:ilvl w:val="0"/>
          <w:numId w:val="18"/>
        </w:numPr>
        <w:contextualSpacing/>
        <w:rPr>
          <w:rFonts w:ascii="MetaPro-Norm" w:eastAsia="Calibri" w:hAnsi="MetaPro-Norm" w:cs="Arial"/>
          <w:sz w:val="22"/>
          <w:szCs w:val="22"/>
        </w:rPr>
      </w:pPr>
      <w:r w:rsidRPr="00B46DFE">
        <w:rPr>
          <w:rFonts w:ascii="MetaPro-Norm" w:eastAsia="Calibri" w:hAnsi="MetaPro-Norm" w:cs="Arial"/>
          <w:sz w:val="22"/>
          <w:szCs w:val="22"/>
        </w:rPr>
        <w:t>What concrete steps has the government take</w:t>
      </w:r>
      <w:r w:rsidR="00E82494" w:rsidRPr="00B46DFE">
        <w:rPr>
          <w:rFonts w:ascii="MetaPro-Norm" w:eastAsia="Calibri" w:hAnsi="MetaPro-Norm" w:cs="Arial"/>
          <w:sz w:val="22"/>
          <w:szCs w:val="22"/>
        </w:rPr>
        <w:t>n</w:t>
      </w:r>
      <w:r w:rsidRPr="00B46DFE">
        <w:rPr>
          <w:rFonts w:ascii="MetaPro-Norm" w:eastAsia="Calibri" w:hAnsi="MetaPro-Norm" w:cs="Arial"/>
          <w:sz w:val="22"/>
          <w:szCs w:val="22"/>
        </w:rPr>
        <w:t xml:space="preserve"> to adopt a twin-track approach to including women and girls </w:t>
      </w:r>
      <w:r w:rsidR="00BD199B">
        <w:rPr>
          <w:rFonts w:ascii="MetaPro-Norm" w:eastAsia="Calibri" w:hAnsi="MetaPro-Norm" w:cs="Arial"/>
          <w:sz w:val="22"/>
          <w:szCs w:val="22"/>
        </w:rPr>
        <w:t>with</w:t>
      </w:r>
      <w:r w:rsidRPr="00B46DFE">
        <w:rPr>
          <w:rFonts w:ascii="MetaPro-Norm" w:eastAsia="Calibri" w:hAnsi="MetaPro-Norm" w:cs="Arial"/>
          <w:sz w:val="22"/>
          <w:szCs w:val="22"/>
        </w:rPr>
        <w:t xml:space="preserve"> disabilities in national legislation, including dedicating specific provisions to their protection and well-being as well as including them in general provisions? </w:t>
      </w:r>
    </w:p>
    <w:p w14:paraId="1F9C0182" w14:textId="49A68BD5" w:rsidR="7106BE5F" w:rsidRPr="00B46DFE" w:rsidRDefault="7106BE5F" w:rsidP="00B46DFE">
      <w:pPr>
        <w:contextualSpacing/>
        <w:rPr>
          <w:rFonts w:ascii="MetaPro-Norm" w:eastAsia="Calibri" w:hAnsi="MetaPro-Norm" w:cs="Arial"/>
          <w:sz w:val="22"/>
          <w:szCs w:val="22"/>
          <w:highlight w:val="yellow"/>
        </w:rPr>
      </w:pPr>
    </w:p>
    <w:p w14:paraId="017F8E22" w14:textId="2106A577" w:rsidR="7106BE5F" w:rsidRPr="00B46DFE" w:rsidRDefault="7106BE5F" w:rsidP="00B46DFE">
      <w:pPr>
        <w:rPr>
          <w:rFonts w:ascii="MetaPro-Norm" w:eastAsia="MetaNormal-Roman" w:hAnsi="MetaPro-Norm" w:cs="MetaNormal-Roman"/>
          <w:color w:val="000000" w:themeColor="text1"/>
          <w:sz w:val="22"/>
          <w:szCs w:val="22"/>
        </w:rPr>
      </w:pPr>
      <w:r w:rsidRPr="00B46DFE">
        <w:rPr>
          <w:rFonts w:ascii="MetaPro-Norm" w:eastAsia="MetaNormal-Roman" w:hAnsi="MetaPro-Norm" w:cs="MetaNormal-Roman"/>
          <w:i/>
          <w:iCs/>
          <w:color w:val="000000" w:themeColor="text1"/>
          <w:sz w:val="22"/>
          <w:szCs w:val="22"/>
        </w:rPr>
        <w:t>Human Rights Watch asks the Committee to consider including the following recommendations in its concluding observations on Indonesia:</w:t>
      </w:r>
    </w:p>
    <w:p w14:paraId="155D8DB9" w14:textId="45B2B66C" w:rsidR="000673D4" w:rsidRDefault="000673D4" w:rsidP="00B46DFE">
      <w:pPr>
        <w:pStyle w:val="Listenabsatz"/>
        <w:numPr>
          <w:ilvl w:val="0"/>
          <w:numId w:val="29"/>
        </w:numPr>
        <w:rPr>
          <w:rFonts w:ascii="MetaPro-Norm" w:eastAsia="MetaNormal-Roman" w:hAnsi="MetaPro-Norm" w:cs="MetaNormal-Roman"/>
          <w:color w:val="000000" w:themeColor="text1"/>
          <w:sz w:val="22"/>
          <w:szCs w:val="22"/>
        </w:rPr>
      </w:pPr>
      <w:r w:rsidRPr="241C31EF">
        <w:rPr>
          <w:rFonts w:ascii="MetaPro-Norm" w:eastAsia="MetaNormal-Roman" w:hAnsi="MetaPro-Norm" w:cs="MetaNormal-Roman"/>
          <w:color w:val="000000" w:themeColor="text1"/>
          <w:sz w:val="22"/>
          <w:szCs w:val="22"/>
        </w:rPr>
        <w:t>Collect disaggregated data on women and girls with psychosocial disabilities in institutions across Indonesia.</w:t>
      </w:r>
    </w:p>
    <w:p w14:paraId="740D1862" w14:textId="3E5B14B4" w:rsidR="004C5E7D" w:rsidRPr="00B46DFE" w:rsidRDefault="004C5E7D" w:rsidP="00B46DFE">
      <w:pPr>
        <w:pStyle w:val="Listenabsatz"/>
        <w:numPr>
          <w:ilvl w:val="0"/>
          <w:numId w:val="29"/>
        </w:numPr>
        <w:rPr>
          <w:rFonts w:ascii="MetaPro-Norm" w:eastAsia="MetaNormal-Roman" w:hAnsi="MetaPro-Norm" w:cs="MetaNormal-Roman"/>
          <w:color w:val="000000" w:themeColor="text1"/>
          <w:sz w:val="22"/>
          <w:szCs w:val="22"/>
        </w:rPr>
      </w:pPr>
      <w:r>
        <w:rPr>
          <w:rFonts w:ascii="MetaPro-Norm" w:eastAsia="MetaNormal-Roman" w:hAnsi="MetaPro-Norm" w:cs="MetaNormal-Roman"/>
          <w:color w:val="000000" w:themeColor="text1"/>
          <w:sz w:val="22"/>
          <w:szCs w:val="22"/>
        </w:rPr>
        <w:t xml:space="preserve">Prohibit the administration of contraception without the consent of the individual. </w:t>
      </w:r>
    </w:p>
    <w:p w14:paraId="17068B51" w14:textId="667443E5" w:rsidR="00E82494" w:rsidRPr="00B46DFE" w:rsidRDefault="00E82494" w:rsidP="00B46DFE">
      <w:pPr>
        <w:pStyle w:val="Listenabsatz"/>
        <w:numPr>
          <w:ilvl w:val="0"/>
          <w:numId w:val="29"/>
        </w:numPr>
        <w:rPr>
          <w:rFonts w:ascii="MetaPro-Norm" w:eastAsia="MetaNormal-Roman" w:hAnsi="MetaPro-Norm" w:cs="MetaNormal-Roman"/>
          <w:color w:val="000000" w:themeColor="text1"/>
          <w:sz w:val="22"/>
          <w:szCs w:val="22"/>
        </w:rPr>
      </w:pPr>
      <w:r w:rsidRPr="00B46DFE">
        <w:rPr>
          <w:rFonts w:ascii="MetaPro-Norm" w:eastAsia="MetaNormal-Roman" w:hAnsi="MetaPro-Norm" w:cs="MetaNormal-Roman"/>
          <w:color w:val="000000" w:themeColor="text1"/>
          <w:sz w:val="22"/>
          <w:szCs w:val="22"/>
        </w:rPr>
        <w:t>Earmark financial and other forms of assistance towards support and community-based mental health services. Ensure these programs are gender-sensitive.</w:t>
      </w:r>
    </w:p>
    <w:p w14:paraId="09D09A2F" w14:textId="1FD45E58" w:rsidR="00E82494" w:rsidRPr="00B46DFE" w:rsidRDefault="00E82494" w:rsidP="00B46DFE">
      <w:pPr>
        <w:pStyle w:val="Listenabsatz"/>
        <w:numPr>
          <w:ilvl w:val="0"/>
          <w:numId w:val="29"/>
        </w:numPr>
        <w:rPr>
          <w:rFonts w:ascii="MetaPro-Norm" w:eastAsia="MetaNormal-Roman" w:hAnsi="MetaPro-Norm" w:cs="MetaNormal-Roman"/>
          <w:sz w:val="22"/>
          <w:szCs w:val="22"/>
        </w:rPr>
      </w:pPr>
      <w:r w:rsidRPr="00B46DFE">
        <w:rPr>
          <w:rFonts w:ascii="MetaPro-Norm" w:eastAsia="MetaNormal-Roman" w:hAnsi="MetaPro-Norm" w:cs="MetaNormal-Roman"/>
          <w:sz w:val="22"/>
          <w:szCs w:val="22"/>
        </w:rPr>
        <w:t xml:space="preserve">Provide gender and disability-sensitive training to the </w:t>
      </w:r>
      <w:r w:rsidR="003274E5" w:rsidRPr="00B46DFE">
        <w:rPr>
          <w:rFonts w:ascii="MetaPro-Norm" w:eastAsia="MetaNormal-Roman" w:hAnsi="MetaPro-Norm" w:cs="MetaNormal-Roman"/>
          <w:sz w:val="22"/>
          <w:szCs w:val="22"/>
        </w:rPr>
        <w:t xml:space="preserve">local </w:t>
      </w:r>
      <w:r w:rsidRPr="00B46DFE">
        <w:rPr>
          <w:rFonts w:ascii="MetaPro-Norm" w:eastAsia="MetaNormal-Roman" w:hAnsi="MetaPro-Norm" w:cs="MetaNormal-Roman"/>
          <w:sz w:val="22"/>
          <w:szCs w:val="22"/>
        </w:rPr>
        <w:t>police to sensitize them on interacting with persons with disabilities, particularly women and girls with psychosocial disabilities.</w:t>
      </w:r>
    </w:p>
    <w:p w14:paraId="4BD29568" w14:textId="77777777" w:rsidR="000673D4" w:rsidRPr="00B46DFE" w:rsidRDefault="000673D4" w:rsidP="00B46DFE">
      <w:pPr>
        <w:pStyle w:val="Listenabsatz"/>
        <w:numPr>
          <w:ilvl w:val="0"/>
          <w:numId w:val="29"/>
        </w:numPr>
        <w:rPr>
          <w:rFonts w:ascii="MetaPro-Norm" w:eastAsia="MetaNormal-Roman" w:hAnsi="MetaPro-Norm" w:cs="MetaNormal-Roman"/>
          <w:sz w:val="22"/>
          <w:szCs w:val="22"/>
        </w:rPr>
      </w:pPr>
      <w:r w:rsidRPr="00B46DFE">
        <w:rPr>
          <w:rFonts w:ascii="MetaPro-Norm" w:eastAsia="MetaNormal-Roman" w:hAnsi="MetaPro-Norm" w:cs="MetaNormal-Roman"/>
          <w:sz w:val="22"/>
          <w:szCs w:val="22"/>
        </w:rPr>
        <w:t>Ensure provision of comprehensive and non-discriminatory health services to women and girls</w:t>
      </w:r>
    </w:p>
    <w:p w14:paraId="61B2032A" w14:textId="694EDB7C" w:rsidR="004C5E7D" w:rsidRPr="00B16D04" w:rsidRDefault="7ABA1A45" w:rsidP="00B16D04">
      <w:pPr>
        <w:pStyle w:val="Listenabsatz"/>
        <w:rPr>
          <w:rFonts w:ascii="MetaPro-Norm" w:eastAsia="MetaNormal-Roman" w:hAnsi="MetaPro-Norm" w:cs="MetaNormal-Roman"/>
          <w:sz w:val="22"/>
          <w:szCs w:val="22"/>
        </w:rPr>
      </w:pPr>
      <w:r w:rsidRPr="0979A876">
        <w:rPr>
          <w:rFonts w:ascii="MetaPro-Norm" w:eastAsia="MetaNormal-Roman" w:hAnsi="MetaPro-Norm" w:cs="MetaNormal-Roman"/>
          <w:sz w:val="22"/>
          <w:szCs w:val="22"/>
        </w:rPr>
        <w:t>w</w:t>
      </w:r>
      <w:r w:rsidR="10D00EF6" w:rsidRPr="0979A876">
        <w:rPr>
          <w:rFonts w:ascii="MetaPro-Norm" w:eastAsia="MetaNormal-Roman" w:hAnsi="MetaPro-Norm" w:cs="MetaNormal-Roman"/>
          <w:sz w:val="22"/>
          <w:szCs w:val="22"/>
        </w:rPr>
        <w:t>ith psychosocial disabilities who have experienced sexual violence.</w:t>
      </w:r>
    </w:p>
    <w:p w14:paraId="23C7AD37" w14:textId="77777777" w:rsidR="003B6809" w:rsidRPr="00B46DFE" w:rsidRDefault="003B6809" w:rsidP="00B46DFE">
      <w:pPr>
        <w:pStyle w:val="Textkrper"/>
        <w:rPr>
          <w:rFonts w:ascii="MetaPro-Norm" w:hAnsi="MetaPro-Norm"/>
        </w:rPr>
      </w:pPr>
    </w:p>
    <w:p w14:paraId="4022203A" w14:textId="71721A97" w:rsidR="005179A8" w:rsidRPr="00B46DFE" w:rsidRDefault="005179A8" w:rsidP="00B46DFE">
      <w:pPr>
        <w:pStyle w:val="berschrift2"/>
        <w:numPr>
          <w:ilvl w:val="0"/>
          <w:numId w:val="17"/>
        </w:numPr>
        <w:rPr>
          <w:rFonts w:ascii="MetaPro-Norm" w:hAnsi="MetaPro-Norm"/>
        </w:rPr>
      </w:pPr>
      <w:r w:rsidRPr="00B46DFE">
        <w:rPr>
          <w:rFonts w:ascii="MetaPro-Norm" w:hAnsi="MetaPro-Norm"/>
        </w:rPr>
        <w:t xml:space="preserve">Children with </w:t>
      </w:r>
      <w:r w:rsidR="006D3B56">
        <w:rPr>
          <w:rFonts w:ascii="MetaPro-Norm" w:hAnsi="MetaPro-Norm"/>
        </w:rPr>
        <w:t>D</w:t>
      </w:r>
      <w:r w:rsidRPr="00B46DFE">
        <w:rPr>
          <w:rFonts w:ascii="MetaPro-Norm" w:hAnsi="MetaPro-Norm"/>
        </w:rPr>
        <w:t>isabilities (art. 7)</w:t>
      </w:r>
    </w:p>
    <w:bookmarkEnd w:id="3"/>
    <w:bookmarkEnd w:id="4"/>
    <w:p w14:paraId="03A5C635" w14:textId="7B0897CF" w:rsidR="00A2356E" w:rsidRDefault="001625FE" w:rsidP="00B46DFE">
      <w:pPr>
        <w:rPr>
          <w:rFonts w:ascii="MetaPro-Norm" w:eastAsia="Calibri" w:hAnsi="MetaPro-Norm" w:cs="Arial"/>
          <w:sz w:val="22"/>
          <w:szCs w:val="22"/>
        </w:rPr>
      </w:pPr>
      <w:r w:rsidRPr="00B46DFE">
        <w:rPr>
          <w:rFonts w:ascii="MetaPro-Norm" w:eastAsia="Calibri" w:hAnsi="MetaPro-Norm" w:cs="Arial"/>
          <w:sz w:val="22"/>
          <w:szCs w:val="22"/>
        </w:rPr>
        <w:t xml:space="preserve">Human Rights Watch documented </w:t>
      </w:r>
      <w:r w:rsidR="00117CF9" w:rsidRPr="00B46DFE">
        <w:rPr>
          <w:rFonts w:ascii="MetaPro-Norm" w:eastAsia="Calibri" w:hAnsi="MetaPro-Norm" w:cs="Arial"/>
          <w:sz w:val="22"/>
          <w:szCs w:val="22"/>
        </w:rPr>
        <w:t xml:space="preserve">that children with psychosocial disabilities were </w:t>
      </w:r>
      <w:r w:rsidR="00C10167" w:rsidRPr="00B46DFE">
        <w:rPr>
          <w:rFonts w:ascii="MetaPro-Norm" w:eastAsia="Calibri" w:hAnsi="MetaPro-Norm" w:cs="Arial"/>
          <w:sz w:val="22"/>
          <w:szCs w:val="22"/>
        </w:rPr>
        <w:t xml:space="preserve">subjected to forced medication. As described further </w:t>
      </w:r>
      <w:r w:rsidR="00C10167" w:rsidRPr="006C4B1D">
        <w:rPr>
          <w:rFonts w:ascii="MetaPro-Norm" w:eastAsia="Calibri" w:hAnsi="MetaPro-Norm" w:cs="Arial"/>
          <w:sz w:val="22"/>
          <w:szCs w:val="22"/>
        </w:rPr>
        <w:t xml:space="preserve">below, children with psychosocial disabilities also faced prolonged seclusion </w:t>
      </w:r>
      <w:r w:rsidR="00117CF9" w:rsidRPr="006C4B1D">
        <w:rPr>
          <w:rFonts w:ascii="MetaPro-Norm" w:eastAsia="Calibri" w:hAnsi="MetaPro-Norm" w:cs="Arial"/>
          <w:sz w:val="22"/>
          <w:szCs w:val="22"/>
        </w:rPr>
        <w:t>and involuntary electroshock therapy</w:t>
      </w:r>
      <w:r w:rsidR="00533062" w:rsidRPr="006C4B1D">
        <w:rPr>
          <w:rFonts w:ascii="MetaPro-Norm" w:eastAsia="Calibri" w:hAnsi="MetaPro-Norm" w:cs="Arial"/>
          <w:sz w:val="22"/>
          <w:szCs w:val="22"/>
        </w:rPr>
        <w:t xml:space="preserve"> (</w:t>
      </w:r>
      <w:r w:rsidR="00117CF9" w:rsidRPr="006C4B1D">
        <w:rPr>
          <w:rFonts w:ascii="MetaPro-Norm" w:eastAsia="Calibri" w:hAnsi="MetaPro-Norm" w:cs="Arial"/>
          <w:sz w:val="22"/>
          <w:szCs w:val="22"/>
        </w:rPr>
        <w:t>ECT)</w:t>
      </w:r>
      <w:r w:rsidR="006C4B1D" w:rsidRPr="006C4B1D">
        <w:rPr>
          <w:rFonts w:ascii="MetaPro-Norm" w:eastAsia="Calibri" w:hAnsi="MetaPro-Norm" w:cs="Arial"/>
          <w:sz w:val="22"/>
          <w:szCs w:val="22"/>
        </w:rPr>
        <w:t>.</w:t>
      </w:r>
    </w:p>
    <w:p w14:paraId="6889AE12" w14:textId="77777777" w:rsidR="008B2778" w:rsidRPr="00B46DFE" w:rsidRDefault="008B2778" w:rsidP="00B46DFE">
      <w:pPr>
        <w:rPr>
          <w:rFonts w:ascii="MetaPro-Norm" w:eastAsia="Calibri" w:hAnsi="MetaPro-Norm" w:cs="Arial"/>
          <w:sz w:val="22"/>
          <w:szCs w:val="22"/>
        </w:rPr>
      </w:pPr>
    </w:p>
    <w:p w14:paraId="4C44485C" w14:textId="5C16897E" w:rsidR="007E01A6" w:rsidRDefault="00117CF9" w:rsidP="00B46DFE">
      <w:pPr>
        <w:rPr>
          <w:rFonts w:ascii="MetaPro-Norm" w:eastAsia="Calibri" w:hAnsi="MetaPro-Norm" w:cs="Arial"/>
          <w:sz w:val="22"/>
          <w:szCs w:val="22"/>
        </w:rPr>
      </w:pPr>
      <w:r w:rsidRPr="00B46DFE">
        <w:rPr>
          <w:rFonts w:ascii="MetaPro-Norm" w:eastAsia="Calibri" w:hAnsi="MetaPro-Norm" w:cs="Arial"/>
          <w:sz w:val="22"/>
          <w:szCs w:val="22"/>
        </w:rPr>
        <w:t>I</w:t>
      </w:r>
      <w:r w:rsidR="001625FE" w:rsidRPr="00B46DFE">
        <w:rPr>
          <w:rFonts w:ascii="MetaPro-Norm" w:eastAsia="Calibri" w:hAnsi="MetaPro-Norm" w:cs="Arial"/>
          <w:sz w:val="22"/>
          <w:szCs w:val="22"/>
        </w:rPr>
        <w:t>n 13 of the 16 institutions that Human Rights Watch visited, pe</w:t>
      </w:r>
      <w:r w:rsidR="000673D4" w:rsidRPr="00B46DFE">
        <w:rPr>
          <w:rFonts w:ascii="MetaPro-Norm" w:eastAsia="Calibri" w:hAnsi="MetaPro-Norm" w:cs="Arial"/>
          <w:sz w:val="22"/>
          <w:szCs w:val="22"/>
        </w:rPr>
        <w:t>ople</w:t>
      </w:r>
      <w:r w:rsidR="001625FE" w:rsidRPr="00B46DFE">
        <w:rPr>
          <w:rFonts w:ascii="MetaPro-Norm" w:eastAsia="Calibri" w:hAnsi="MetaPro-Norm" w:cs="Arial"/>
          <w:sz w:val="22"/>
          <w:szCs w:val="22"/>
        </w:rPr>
        <w:t xml:space="preserve"> with psychosocial disabilities, including children, were routinely forced to take medication or subjected to alternative “treatments” such as concoctions of “magical” herbs, vigorous massages by traditional healers, Quranic recitation in the person’s ear, and baths.</w:t>
      </w:r>
      <w:r w:rsidR="001625FE" w:rsidRPr="00B46DFE">
        <w:rPr>
          <w:rStyle w:val="Funotenzeichen"/>
          <w:rFonts w:ascii="MetaPro-Norm" w:eastAsia="Calibri" w:hAnsi="MetaPro-Norm" w:cs="Arial"/>
          <w:sz w:val="22"/>
          <w:szCs w:val="22"/>
        </w:rPr>
        <w:footnoteReference w:id="37"/>
      </w:r>
      <w:r w:rsidR="001625FE" w:rsidRPr="00B46DFE">
        <w:rPr>
          <w:rFonts w:ascii="MetaPro-Norm" w:eastAsia="Calibri" w:hAnsi="MetaPro-Norm" w:cs="Arial"/>
          <w:sz w:val="22"/>
          <w:szCs w:val="22"/>
        </w:rPr>
        <w:t xml:space="preserve"> Staff in these institutions admitted that they hold people down to put the pills in their mouth or </w:t>
      </w:r>
      <w:r w:rsidR="000673D4" w:rsidRPr="00B46DFE">
        <w:rPr>
          <w:rFonts w:ascii="MetaPro-Norm" w:eastAsia="Calibri" w:hAnsi="MetaPro-Norm" w:cs="Arial"/>
          <w:sz w:val="22"/>
          <w:szCs w:val="22"/>
        </w:rPr>
        <w:t>force-feed</w:t>
      </w:r>
      <w:r w:rsidR="001625FE" w:rsidRPr="00B46DFE">
        <w:rPr>
          <w:rFonts w:ascii="MetaPro-Norm" w:eastAsia="Calibri" w:hAnsi="MetaPro-Norm" w:cs="Arial"/>
          <w:sz w:val="22"/>
          <w:szCs w:val="22"/>
        </w:rPr>
        <w:t xml:space="preserve"> them food or drinks laced with medicines</w:t>
      </w:r>
      <w:r w:rsidR="00380E5D" w:rsidRPr="00B46DFE">
        <w:rPr>
          <w:rFonts w:ascii="MetaPro-Norm" w:eastAsia="Calibri" w:hAnsi="MetaPro-Norm" w:cs="Arial"/>
          <w:sz w:val="22"/>
          <w:szCs w:val="22"/>
        </w:rPr>
        <w:t>.</w:t>
      </w:r>
      <w:r w:rsidR="00380E5D" w:rsidRPr="00B46DFE">
        <w:rPr>
          <w:rStyle w:val="Funotenzeichen"/>
          <w:rFonts w:ascii="MetaPro-Norm" w:eastAsia="Calibri" w:hAnsi="MetaPro-Norm" w:cs="Arial"/>
          <w:sz w:val="22"/>
          <w:szCs w:val="22"/>
        </w:rPr>
        <w:footnoteReference w:id="38"/>
      </w:r>
      <w:r w:rsidR="004C5E7D" w:rsidRPr="004C5E7D">
        <w:rPr>
          <w:rFonts w:ascii="MetaPro-Norm" w:eastAsia="Calibri" w:hAnsi="MetaPro-Norm" w:cs="Arial"/>
          <w:sz w:val="22"/>
          <w:szCs w:val="22"/>
        </w:rPr>
        <w:t xml:space="preserve"> </w:t>
      </w:r>
      <w:r w:rsidR="004C5E7D" w:rsidRPr="00B46DFE">
        <w:rPr>
          <w:rFonts w:ascii="MetaPro-Norm" w:eastAsia="Calibri" w:hAnsi="MetaPro-Norm" w:cs="Arial"/>
          <w:sz w:val="22"/>
          <w:szCs w:val="22"/>
        </w:rPr>
        <w:t xml:space="preserve">In </w:t>
      </w:r>
      <w:r w:rsidR="004C5E7D">
        <w:rPr>
          <w:rFonts w:ascii="MetaPro-Norm" w:eastAsia="Calibri" w:hAnsi="MetaPro-Norm" w:cs="Arial"/>
          <w:sz w:val="22"/>
          <w:szCs w:val="22"/>
        </w:rPr>
        <w:t xml:space="preserve">a number of </w:t>
      </w:r>
      <w:r w:rsidR="004C5E7D" w:rsidRPr="00B46DFE">
        <w:rPr>
          <w:rFonts w:ascii="MetaPro-Norm" w:eastAsia="Calibri" w:hAnsi="MetaPro-Norm" w:cs="Arial"/>
          <w:sz w:val="22"/>
          <w:szCs w:val="22"/>
        </w:rPr>
        <w:t>social care institutions</w:t>
      </w:r>
      <w:r w:rsidR="004C5E7D">
        <w:rPr>
          <w:rFonts w:ascii="MetaPro-Norm" w:eastAsia="Calibri" w:hAnsi="MetaPro-Norm" w:cs="Arial"/>
          <w:sz w:val="22"/>
          <w:szCs w:val="22"/>
        </w:rPr>
        <w:t xml:space="preserve"> and faith healing centers</w:t>
      </w:r>
      <w:r w:rsidR="004C5E7D" w:rsidRPr="00B46DFE">
        <w:rPr>
          <w:rFonts w:ascii="MetaPro-Norm" w:eastAsia="Calibri" w:hAnsi="MetaPro-Norm" w:cs="Arial"/>
          <w:sz w:val="22"/>
          <w:szCs w:val="22"/>
        </w:rPr>
        <w:t>, there is no separation between adults and children.</w:t>
      </w:r>
    </w:p>
    <w:p w14:paraId="61D7C3B0" w14:textId="77777777" w:rsidR="008B2778" w:rsidRPr="00B46DFE" w:rsidRDefault="008B2778" w:rsidP="00B46DFE">
      <w:pPr>
        <w:rPr>
          <w:rFonts w:ascii="MetaPro-Norm" w:eastAsia="Calibri" w:hAnsi="MetaPro-Norm" w:cs="Arial"/>
          <w:sz w:val="22"/>
          <w:szCs w:val="22"/>
        </w:rPr>
      </w:pPr>
    </w:p>
    <w:p w14:paraId="0B62F8FC" w14:textId="615E0D8A" w:rsidR="00A2356E" w:rsidRDefault="246BAC94" w:rsidP="00B46DFE">
      <w:pPr>
        <w:rPr>
          <w:rFonts w:ascii="MetaPro-Norm" w:eastAsia="Calibri" w:hAnsi="MetaPro-Norm" w:cs="Arial"/>
          <w:sz w:val="22"/>
          <w:szCs w:val="22"/>
        </w:rPr>
      </w:pPr>
      <w:r w:rsidRPr="00B46DFE">
        <w:rPr>
          <w:rFonts w:ascii="MetaPro-Norm" w:eastAsia="Calibri" w:hAnsi="MetaPro-Norm" w:cs="Arial"/>
          <w:sz w:val="22"/>
          <w:szCs w:val="22"/>
        </w:rPr>
        <w:t>Human Rights Watch found that forced seclusion is practiced on a routine basis in the</w:t>
      </w:r>
      <w:r w:rsidR="10D00EF6" w:rsidRPr="00B46DFE">
        <w:rPr>
          <w:rFonts w:ascii="MetaPro-Norm" w:eastAsia="Calibri" w:hAnsi="MetaPro-Norm" w:cs="Arial"/>
          <w:sz w:val="22"/>
          <w:szCs w:val="22"/>
        </w:rPr>
        <w:t xml:space="preserve"> psychiatric</w:t>
      </w:r>
      <w:r w:rsidRPr="00B46DFE">
        <w:rPr>
          <w:rFonts w:ascii="MetaPro-Norm" w:eastAsia="Calibri" w:hAnsi="MetaPro-Norm" w:cs="Arial"/>
          <w:sz w:val="22"/>
          <w:szCs w:val="22"/>
        </w:rPr>
        <w:t xml:space="preserve"> hospitals, government-run social care institutions, and</w:t>
      </w:r>
      <w:r w:rsidR="0153A126" w:rsidRPr="00B46DFE">
        <w:rPr>
          <w:rFonts w:ascii="MetaPro-Norm" w:eastAsia="Calibri" w:hAnsi="MetaPro-Norm" w:cs="Arial"/>
          <w:sz w:val="22"/>
          <w:szCs w:val="22"/>
        </w:rPr>
        <w:t xml:space="preserve"> one private institution that Human Rights Watch</w:t>
      </w:r>
      <w:r w:rsidRPr="00B46DFE">
        <w:rPr>
          <w:rFonts w:ascii="MetaPro-Norm" w:eastAsia="Calibri" w:hAnsi="MetaPro-Norm" w:cs="Arial"/>
          <w:sz w:val="22"/>
          <w:szCs w:val="22"/>
        </w:rPr>
        <w:t xml:space="preserve"> visited.</w:t>
      </w:r>
      <w:r w:rsidR="00BC694E" w:rsidRPr="00B46DFE">
        <w:rPr>
          <w:rStyle w:val="Funotenzeichen"/>
          <w:rFonts w:ascii="MetaPro-Norm" w:eastAsia="Calibri" w:hAnsi="MetaPro-Norm" w:cs="Arial"/>
          <w:sz w:val="22"/>
          <w:szCs w:val="22"/>
        </w:rPr>
        <w:footnoteReference w:id="39"/>
      </w:r>
      <w:r w:rsidRPr="00B46DFE">
        <w:rPr>
          <w:rFonts w:ascii="MetaPro-Norm" w:eastAsia="Calibri" w:hAnsi="MetaPro-Norm" w:cs="Arial"/>
          <w:sz w:val="22"/>
          <w:szCs w:val="22"/>
        </w:rPr>
        <w:t xml:space="preserve"> Human Rights Watch documented 22 cases of forced seclusion for durations ranging from a few hours to over a month.</w:t>
      </w:r>
      <w:r w:rsidR="00BC694E" w:rsidRPr="00B46DFE">
        <w:rPr>
          <w:rStyle w:val="Funotenzeichen"/>
          <w:rFonts w:ascii="MetaPro-Norm" w:eastAsia="Calibri" w:hAnsi="MetaPro-Norm" w:cs="Arial"/>
          <w:sz w:val="22"/>
          <w:szCs w:val="22"/>
        </w:rPr>
        <w:footnoteReference w:id="40"/>
      </w:r>
      <w:r w:rsidRPr="00B46DFE">
        <w:rPr>
          <w:rFonts w:ascii="MetaPro-Norm" w:eastAsia="Calibri" w:hAnsi="MetaPro-Norm" w:cs="Arial"/>
          <w:sz w:val="22"/>
          <w:szCs w:val="22"/>
        </w:rPr>
        <w:t xml:space="preserve"> In three of the </w:t>
      </w:r>
      <w:r w:rsidR="10D00EF6" w:rsidRPr="00B46DFE">
        <w:rPr>
          <w:rFonts w:ascii="MetaPro-Norm" w:eastAsia="Calibri" w:hAnsi="MetaPro-Norm" w:cs="Arial"/>
          <w:sz w:val="22"/>
          <w:szCs w:val="22"/>
        </w:rPr>
        <w:t>psychiatric</w:t>
      </w:r>
      <w:r w:rsidRPr="00B46DFE">
        <w:rPr>
          <w:rFonts w:ascii="MetaPro-Norm" w:eastAsia="Calibri" w:hAnsi="MetaPro-Norm" w:cs="Arial"/>
          <w:sz w:val="22"/>
          <w:szCs w:val="22"/>
        </w:rPr>
        <w:t xml:space="preserve"> hospitals Human Rights Watch visited, newly admitted patients are put in seclusion for observation before psychiatrists diagnose them and assign them to wards.</w:t>
      </w:r>
      <w:r w:rsidR="00BC694E" w:rsidRPr="00B46DFE">
        <w:rPr>
          <w:rStyle w:val="Funotenzeichen"/>
          <w:rFonts w:ascii="MetaPro-Norm" w:eastAsia="Calibri" w:hAnsi="MetaPro-Norm" w:cs="Arial"/>
          <w:sz w:val="22"/>
          <w:szCs w:val="22"/>
        </w:rPr>
        <w:footnoteReference w:id="41"/>
      </w:r>
      <w:r w:rsidRPr="00B46DFE">
        <w:rPr>
          <w:rFonts w:ascii="MetaPro-Norm" w:eastAsia="Calibri" w:hAnsi="MetaPro-Norm" w:cs="Arial"/>
          <w:sz w:val="22"/>
          <w:szCs w:val="22"/>
        </w:rPr>
        <w:t xml:space="preserve"> Forced seclusion is also used as a means to calm people down when they are distressed, including for children. Children have separate isolation rooms, loca</w:t>
      </w:r>
      <w:r w:rsidR="0153A126" w:rsidRPr="00B46DFE">
        <w:rPr>
          <w:rFonts w:ascii="MetaPro-Norm" w:eastAsia="Calibri" w:hAnsi="MetaPro-Norm" w:cs="Arial"/>
          <w:sz w:val="22"/>
          <w:szCs w:val="22"/>
        </w:rPr>
        <w:t>ted within the children’s ward.</w:t>
      </w:r>
      <w:r w:rsidR="00BC694E" w:rsidRPr="00B46DFE">
        <w:rPr>
          <w:rStyle w:val="Funotenzeichen"/>
          <w:rFonts w:ascii="MetaPro-Norm" w:eastAsia="Calibri" w:hAnsi="MetaPro-Norm" w:cs="Arial"/>
          <w:sz w:val="22"/>
          <w:szCs w:val="22"/>
        </w:rPr>
        <w:footnoteReference w:id="42"/>
      </w:r>
    </w:p>
    <w:p w14:paraId="703A464A" w14:textId="77777777" w:rsidR="008B2778" w:rsidRPr="00B46DFE" w:rsidRDefault="008B2778" w:rsidP="00B46DFE">
      <w:pPr>
        <w:rPr>
          <w:rFonts w:ascii="MetaPro-Norm" w:eastAsia="Calibri" w:hAnsi="MetaPro-Norm" w:cs="Arial"/>
          <w:sz w:val="22"/>
          <w:szCs w:val="22"/>
        </w:rPr>
      </w:pPr>
    </w:p>
    <w:p w14:paraId="19450D28" w14:textId="462884A3" w:rsidR="007E01A6" w:rsidRPr="00B46DFE" w:rsidRDefault="007E01A6" w:rsidP="00B46DFE">
      <w:pPr>
        <w:rPr>
          <w:rFonts w:ascii="MetaPro-Norm" w:eastAsia="Calibri" w:hAnsi="MetaPro-Norm" w:cs="Arial"/>
          <w:i/>
          <w:iCs/>
          <w:sz w:val="22"/>
          <w:szCs w:val="22"/>
        </w:rPr>
      </w:pPr>
      <w:r w:rsidRPr="00B46DFE">
        <w:rPr>
          <w:rFonts w:ascii="MetaPro-Norm" w:eastAsia="Calibri" w:hAnsi="MetaPro-Norm" w:cs="Arial"/>
          <w:i/>
          <w:iCs/>
          <w:sz w:val="22"/>
          <w:szCs w:val="22"/>
        </w:rPr>
        <w:t>Human Rights Watch encourages the Committee to ask the government of Indonesia:</w:t>
      </w:r>
    </w:p>
    <w:p w14:paraId="40592C70" w14:textId="59FD3D39" w:rsidR="00B80BE1" w:rsidRPr="00B46DFE" w:rsidRDefault="00B80BE1" w:rsidP="00B46DFE">
      <w:pPr>
        <w:pStyle w:val="Listenabsatz"/>
        <w:numPr>
          <w:ilvl w:val="0"/>
          <w:numId w:val="23"/>
        </w:numPr>
        <w:rPr>
          <w:rFonts w:ascii="MetaPro-Norm" w:eastAsia="Calibri" w:hAnsi="MetaPro-Norm" w:cs="Arial"/>
          <w:sz w:val="22"/>
          <w:szCs w:val="22"/>
        </w:rPr>
      </w:pPr>
      <w:r w:rsidRPr="00B46DFE">
        <w:rPr>
          <w:rFonts w:ascii="MetaPro-Norm" w:eastAsia="Calibri" w:hAnsi="MetaPro-Norm" w:cs="Arial"/>
          <w:sz w:val="22"/>
          <w:szCs w:val="22"/>
        </w:rPr>
        <w:lastRenderedPageBreak/>
        <w:t>How many children with psychosocial disabilities are currently arbitrarily detained in faith-healing centers, government-run as well as private residential care institutions and psychiatric hospitals across Indonesia?</w:t>
      </w:r>
    </w:p>
    <w:p w14:paraId="52534B12" w14:textId="229FFFB5" w:rsidR="0054631D" w:rsidRPr="00B46DFE" w:rsidRDefault="0054631D" w:rsidP="00B46DFE">
      <w:pPr>
        <w:pStyle w:val="Listenabsatz"/>
        <w:numPr>
          <w:ilvl w:val="0"/>
          <w:numId w:val="23"/>
        </w:numPr>
        <w:rPr>
          <w:rFonts w:ascii="MetaPro-Norm" w:eastAsia="Calibri" w:hAnsi="MetaPro-Norm" w:cs="Arial"/>
          <w:sz w:val="22"/>
          <w:szCs w:val="22"/>
        </w:rPr>
      </w:pPr>
      <w:r w:rsidRPr="00B46DFE">
        <w:rPr>
          <w:rFonts w:ascii="MetaPro-Norm" w:eastAsia="Calibri" w:hAnsi="MetaPro-Norm" w:cs="Arial"/>
          <w:sz w:val="22"/>
          <w:szCs w:val="22"/>
        </w:rPr>
        <w:t>What concrete steps has the government taken to ban all forms of involuntary treatment, including ECT, without the person’s free and informed consent</w:t>
      </w:r>
      <w:r w:rsidR="00B80BE1" w:rsidRPr="00B46DFE">
        <w:rPr>
          <w:rFonts w:ascii="MetaPro-Norm" w:eastAsia="Calibri" w:hAnsi="MetaPro-Norm" w:cs="Arial"/>
          <w:sz w:val="22"/>
          <w:szCs w:val="22"/>
        </w:rPr>
        <w:t>?</w:t>
      </w:r>
    </w:p>
    <w:p w14:paraId="0B446D65" w14:textId="75C16ABA" w:rsidR="002A16B2" w:rsidRDefault="68F2F607" w:rsidP="00B46DFE">
      <w:pPr>
        <w:pStyle w:val="Listenabsatz"/>
        <w:numPr>
          <w:ilvl w:val="0"/>
          <w:numId w:val="23"/>
        </w:numPr>
        <w:rPr>
          <w:rFonts w:ascii="MetaPro-Norm" w:eastAsia="Calibri" w:hAnsi="MetaPro-Norm" w:cs="Arial"/>
          <w:sz w:val="22"/>
          <w:szCs w:val="22"/>
        </w:rPr>
      </w:pPr>
      <w:r w:rsidRPr="0979A876">
        <w:rPr>
          <w:rFonts w:ascii="MetaPro-Norm" w:eastAsia="Calibri" w:hAnsi="MetaPro-Norm" w:cs="Arial"/>
          <w:sz w:val="22"/>
          <w:szCs w:val="22"/>
        </w:rPr>
        <w:t>What concrete steps has the government taken to ensure children are separated from unrelated adults</w:t>
      </w:r>
      <w:r w:rsidR="10D00EF6" w:rsidRPr="0979A876">
        <w:rPr>
          <w:rFonts w:ascii="MetaPro-Norm" w:eastAsia="Calibri" w:hAnsi="MetaPro-Norm" w:cs="Arial"/>
          <w:sz w:val="22"/>
          <w:szCs w:val="22"/>
        </w:rPr>
        <w:t>?</w:t>
      </w:r>
    </w:p>
    <w:p w14:paraId="18286958" w14:textId="77777777" w:rsidR="008B2778" w:rsidRPr="00B46DFE" w:rsidRDefault="008B2778" w:rsidP="008B2778">
      <w:pPr>
        <w:pStyle w:val="Listenabsatz"/>
        <w:rPr>
          <w:rFonts w:ascii="MetaPro-Norm" w:eastAsia="Calibri" w:hAnsi="MetaPro-Norm" w:cs="Arial"/>
          <w:sz w:val="22"/>
          <w:szCs w:val="22"/>
        </w:rPr>
      </w:pPr>
    </w:p>
    <w:p w14:paraId="38260F6E" w14:textId="1356162A" w:rsidR="7106BE5F" w:rsidRPr="00B46DFE" w:rsidRDefault="7106BE5F" w:rsidP="00B46DFE">
      <w:pPr>
        <w:rPr>
          <w:rFonts w:ascii="MetaPro-Norm" w:eastAsia="MetaNormal-Roman" w:hAnsi="MetaPro-Norm" w:cs="MetaNormal-Roman"/>
          <w:i/>
          <w:iCs/>
          <w:color w:val="000000" w:themeColor="text1"/>
          <w:sz w:val="22"/>
          <w:szCs w:val="22"/>
        </w:rPr>
      </w:pPr>
      <w:r w:rsidRPr="00B46DFE">
        <w:rPr>
          <w:rFonts w:ascii="MetaPro-Norm" w:eastAsia="MetaNormal-Roman" w:hAnsi="MetaPro-Norm" w:cs="MetaNormal-Roman"/>
          <w:i/>
          <w:iCs/>
          <w:color w:val="000000" w:themeColor="text1"/>
          <w:sz w:val="22"/>
          <w:szCs w:val="22"/>
        </w:rPr>
        <w:t>Human Rights Watch asks the Committee to consider including the following recommendations in its concluding observations on Indonesia:</w:t>
      </w:r>
    </w:p>
    <w:p w14:paraId="4995F66D" w14:textId="77777777" w:rsidR="00B80BE1" w:rsidRPr="00B46DFE" w:rsidRDefault="00B80BE1" w:rsidP="00B46DFE">
      <w:pPr>
        <w:pStyle w:val="Listenabsatz"/>
        <w:numPr>
          <w:ilvl w:val="0"/>
          <w:numId w:val="29"/>
        </w:numPr>
        <w:rPr>
          <w:rFonts w:ascii="MetaPro-Norm" w:eastAsia="Calibri" w:hAnsi="MetaPro-Norm" w:cs="Arial"/>
          <w:sz w:val="22"/>
          <w:szCs w:val="22"/>
        </w:rPr>
      </w:pPr>
      <w:r w:rsidRPr="00B46DFE">
        <w:rPr>
          <w:rFonts w:ascii="MetaPro-Norm" w:eastAsia="MetaNormal-Roman" w:hAnsi="MetaPro-Norm" w:cs="MetaNormal-Roman"/>
          <w:color w:val="000000" w:themeColor="text1"/>
          <w:sz w:val="22"/>
          <w:szCs w:val="22"/>
        </w:rPr>
        <w:t>Collect disaggregated data on children with psychosocial disabilities in institutions across Indonesia.</w:t>
      </w:r>
    </w:p>
    <w:p w14:paraId="387A5FB5" w14:textId="7FA182E6" w:rsidR="7106BE5F" w:rsidRPr="00B46DFE" w:rsidRDefault="000673D4" w:rsidP="00B46DFE">
      <w:pPr>
        <w:pStyle w:val="Listenabsatz"/>
        <w:numPr>
          <w:ilvl w:val="0"/>
          <w:numId w:val="29"/>
        </w:numPr>
        <w:rPr>
          <w:rFonts w:ascii="MetaPro-Norm" w:eastAsia="Calibri" w:hAnsi="MetaPro-Norm" w:cs="Arial"/>
          <w:sz w:val="22"/>
          <w:szCs w:val="22"/>
        </w:rPr>
      </w:pPr>
      <w:r w:rsidRPr="00B46DFE">
        <w:rPr>
          <w:rFonts w:ascii="MetaPro-Norm" w:eastAsia="Calibri" w:hAnsi="MetaPro-Norm" w:cs="Arial"/>
          <w:sz w:val="22"/>
          <w:szCs w:val="22"/>
        </w:rPr>
        <w:t xml:space="preserve">Ensure regular and periodic monitoring of conditions in residential care institutions </w:t>
      </w:r>
      <w:r w:rsidR="00B80BE1" w:rsidRPr="00B46DFE">
        <w:rPr>
          <w:rFonts w:ascii="MetaPro-Norm" w:eastAsia="Calibri" w:hAnsi="MetaPro-Norm" w:cs="Arial"/>
          <w:sz w:val="22"/>
          <w:szCs w:val="22"/>
        </w:rPr>
        <w:t>where children with psychosocial disabilities are detained.</w:t>
      </w:r>
    </w:p>
    <w:p w14:paraId="2A656740" w14:textId="77777777" w:rsidR="00B80BE1" w:rsidRPr="00B46DFE" w:rsidRDefault="00B80BE1" w:rsidP="00B46DFE">
      <w:pPr>
        <w:pStyle w:val="Listenabsatz"/>
        <w:numPr>
          <w:ilvl w:val="0"/>
          <w:numId w:val="29"/>
        </w:numPr>
        <w:rPr>
          <w:rFonts w:ascii="MetaPro-Norm" w:eastAsia="Calibri" w:hAnsi="MetaPro-Norm" w:cs="Arial"/>
          <w:sz w:val="22"/>
          <w:szCs w:val="22"/>
        </w:rPr>
      </w:pPr>
      <w:r w:rsidRPr="00B46DFE">
        <w:rPr>
          <w:rFonts w:ascii="MetaPro-Norm" w:eastAsia="Calibri" w:hAnsi="MetaPro-Norm" w:cs="Arial"/>
          <w:sz w:val="22"/>
          <w:szCs w:val="22"/>
        </w:rPr>
        <w:t>Explicitly prohibit the use of seclusion and prolonged restraint, including for children.</w:t>
      </w:r>
    </w:p>
    <w:p w14:paraId="1ACFA122" w14:textId="77777777" w:rsidR="00B80BE1" w:rsidRPr="00B46DFE" w:rsidRDefault="00B80BE1" w:rsidP="00B46DFE">
      <w:pPr>
        <w:rPr>
          <w:rFonts w:ascii="MetaPro-Norm" w:eastAsia="Calibri" w:hAnsi="MetaPro-Norm" w:cs="Arial"/>
          <w:sz w:val="22"/>
          <w:szCs w:val="22"/>
        </w:rPr>
      </w:pPr>
    </w:p>
    <w:p w14:paraId="2B26049B" w14:textId="62562AAC" w:rsidR="003F1384" w:rsidRPr="00B46DFE" w:rsidRDefault="007867DF" w:rsidP="00B46DFE">
      <w:pPr>
        <w:pStyle w:val="berschrift2"/>
        <w:numPr>
          <w:ilvl w:val="0"/>
          <w:numId w:val="17"/>
        </w:numPr>
        <w:rPr>
          <w:rFonts w:ascii="MetaPro-Norm" w:hAnsi="MetaPro-Norm"/>
        </w:rPr>
      </w:pPr>
      <w:bookmarkStart w:id="5" w:name="_Toc536542085"/>
      <w:bookmarkStart w:id="6" w:name="_Toc261817"/>
      <w:r w:rsidRPr="00B46DFE">
        <w:rPr>
          <w:rFonts w:ascii="MetaPro-Norm" w:hAnsi="MetaPro-Norm"/>
        </w:rPr>
        <w:t xml:space="preserve">Right to </w:t>
      </w:r>
      <w:r w:rsidR="00FF5F6F">
        <w:rPr>
          <w:rFonts w:ascii="MetaPro-Norm" w:hAnsi="MetaPro-Norm"/>
        </w:rPr>
        <w:t>L</w:t>
      </w:r>
      <w:r w:rsidRPr="00B46DFE">
        <w:rPr>
          <w:rFonts w:ascii="MetaPro-Norm" w:hAnsi="MetaPro-Norm"/>
        </w:rPr>
        <w:t xml:space="preserve">iberty and </w:t>
      </w:r>
      <w:r w:rsidR="00FF5F6F">
        <w:rPr>
          <w:rFonts w:ascii="MetaPro-Norm" w:hAnsi="MetaPro-Norm"/>
        </w:rPr>
        <w:t>S</w:t>
      </w:r>
      <w:r w:rsidRPr="00B46DFE">
        <w:rPr>
          <w:rFonts w:ascii="MetaPro-Norm" w:hAnsi="MetaPro-Norm"/>
        </w:rPr>
        <w:t xml:space="preserve">ecurity of the </w:t>
      </w:r>
      <w:r w:rsidR="00FF5F6F">
        <w:rPr>
          <w:rFonts w:ascii="MetaPro-Norm" w:hAnsi="MetaPro-Norm"/>
        </w:rPr>
        <w:t>P</w:t>
      </w:r>
      <w:r w:rsidRPr="00B46DFE">
        <w:rPr>
          <w:rFonts w:ascii="MetaPro-Norm" w:hAnsi="MetaPro-Norm"/>
        </w:rPr>
        <w:t>erson (art. 14)</w:t>
      </w:r>
    </w:p>
    <w:p w14:paraId="58DB20F6" w14:textId="37F69F87" w:rsidR="00145809" w:rsidRPr="00B46DFE" w:rsidRDefault="00A2356E" w:rsidP="00B46DFE">
      <w:pPr>
        <w:pStyle w:val="Textkrper"/>
        <w:ind w:firstLine="0"/>
        <w:rPr>
          <w:rFonts w:ascii="MetaPro-Norm" w:hAnsi="MetaPro-Norm"/>
          <w:sz w:val="22"/>
        </w:rPr>
      </w:pPr>
      <w:r w:rsidRPr="00B46DFE">
        <w:rPr>
          <w:rFonts w:ascii="MetaPro-Norm" w:hAnsi="MetaPro-Norm"/>
          <w:sz w:val="22"/>
          <w:szCs w:val="22"/>
        </w:rPr>
        <w:t>Human Rights Watch</w:t>
      </w:r>
      <w:r w:rsidR="00E964E1" w:rsidRPr="00B46DFE">
        <w:rPr>
          <w:rFonts w:ascii="MetaPro-Norm" w:hAnsi="MetaPro-Norm"/>
          <w:sz w:val="22"/>
          <w:szCs w:val="22"/>
        </w:rPr>
        <w:t xml:space="preserve"> documented many cases of arbitrary detention o</w:t>
      </w:r>
      <w:r w:rsidRPr="00B46DFE">
        <w:rPr>
          <w:rFonts w:ascii="MetaPro-Norm" w:hAnsi="MetaPro-Norm"/>
          <w:sz w:val="22"/>
          <w:szCs w:val="22"/>
        </w:rPr>
        <w:t>f persons with disabilities</w:t>
      </w:r>
      <w:r w:rsidR="008F2C65">
        <w:rPr>
          <w:rFonts w:ascii="MetaPro-Norm" w:hAnsi="MetaPro-Norm"/>
          <w:sz w:val="22"/>
          <w:szCs w:val="22"/>
        </w:rPr>
        <w:t xml:space="preserve"> in Indonesia</w:t>
      </w:r>
      <w:r w:rsidR="00714F6B">
        <w:rPr>
          <w:rFonts w:ascii="MetaPro-Norm" w:hAnsi="MetaPro-Norm"/>
          <w:sz w:val="22"/>
          <w:szCs w:val="22"/>
        </w:rPr>
        <w:t>.</w:t>
      </w:r>
      <w:r w:rsidRPr="00B46DFE">
        <w:rPr>
          <w:rFonts w:ascii="MetaPro-Norm" w:hAnsi="MetaPro-Norm"/>
          <w:sz w:val="22"/>
          <w:szCs w:val="22"/>
        </w:rPr>
        <w:t xml:space="preserve"> Human Rights Watch</w:t>
      </w:r>
      <w:r w:rsidR="00E964E1" w:rsidRPr="00B46DFE">
        <w:rPr>
          <w:rFonts w:ascii="MetaPro-Norm" w:hAnsi="MetaPro-Norm"/>
          <w:sz w:val="22"/>
          <w:szCs w:val="22"/>
        </w:rPr>
        <w:t xml:space="preserve"> found 65 cases of people arbitrarily detained in mental hospitals, social care institutions, and other NGO-run or traditional or religious centers, and none of those people said they were there voluntarily.</w:t>
      </w:r>
      <w:r w:rsidR="00E964E1" w:rsidRPr="00B46DFE">
        <w:rPr>
          <w:rStyle w:val="Funotenzeichen"/>
          <w:rFonts w:ascii="MetaPro-Norm" w:hAnsi="MetaPro-Norm"/>
          <w:sz w:val="22"/>
          <w:szCs w:val="22"/>
        </w:rPr>
        <w:footnoteReference w:id="43"/>
      </w:r>
    </w:p>
    <w:p w14:paraId="63DD3A29" w14:textId="1F117682" w:rsidR="00E07492" w:rsidRPr="008B2778" w:rsidRDefault="00E07492" w:rsidP="00B46DFE">
      <w:pPr>
        <w:pStyle w:val="Textkrper"/>
        <w:ind w:firstLine="0"/>
        <w:rPr>
          <w:rFonts w:ascii="MetaPro-Norm" w:hAnsi="MetaPro-Norm"/>
          <w:i/>
          <w:iCs/>
          <w:sz w:val="22"/>
        </w:rPr>
      </w:pPr>
    </w:p>
    <w:p w14:paraId="78D28F99" w14:textId="364B12A0" w:rsidR="00B118B3" w:rsidRPr="008B2778" w:rsidRDefault="00E07492" w:rsidP="00B46DFE">
      <w:pPr>
        <w:rPr>
          <w:rFonts w:ascii="MetaPro-Norm" w:eastAsia="Calibri" w:hAnsi="MetaPro-Norm" w:cs="Arial"/>
          <w:i/>
          <w:iCs/>
          <w:sz w:val="22"/>
          <w:szCs w:val="22"/>
        </w:rPr>
      </w:pPr>
      <w:r w:rsidRPr="008B2778">
        <w:rPr>
          <w:rFonts w:ascii="MetaPro-Norm" w:eastAsia="Calibri" w:hAnsi="MetaPro-Norm" w:cs="Arial"/>
          <w:i/>
          <w:iCs/>
          <w:sz w:val="22"/>
          <w:szCs w:val="22"/>
        </w:rPr>
        <w:t>Human Rights Watch encourages the Committee to ask the government of Indonesia:</w:t>
      </w:r>
    </w:p>
    <w:p w14:paraId="62DE360C" w14:textId="22558E2D" w:rsidR="008B2778" w:rsidRPr="008B2778" w:rsidRDefault="008B2778" w:rsidP="008B2778">
      <w:pPr>
        <w:numPr>
          <w:ilvl w:val="0"/>
          <w:numId w:val="28"/>
        </w:numPr>
        <w:textAlignment w:val="baseline"/>
        <w:rPr>
          <w:rFonts w:ascii="Calibri" w:eastAsia="Times New Roman" w:hAnsi="Calibri" w:cs="Calibri"/>
          <w:sz w:val="22"/>
          <w:szCs w:val="22"/>
        </w:rPr>
      </w:pPr>
      <w:r w:rsidRPr="008B2778">
        <w:rPr>
          <w:rFonts w:ascii="MetaPro-Norm" w:eastAsia="Times New Roman" w:hAnsi="MetaPro-Norm" w:cs="Calibri"/>
          <w:sz w:val="22"/>
          <w:szCs w:val="22"/>
        </w:rPr>
        <w:t>What efforts has the government made to ensure the free and informed consent of people held in psychiatric hospitals</w:t>
      </w:r>
      <w:r w:rsidR="00B16D04">
        <w:rPr>
          <w:rFonts w:ascii="MetaPro-Norm" w:eastAsia="Times New Roman" w:hAnsi="MetaPro-Norm" w:cs="Calibri"/>
          <w:sz w:val="22"/>
          <w:szCs w:val="22"/>
        </w:rPr>
        <w:t>, social care institutions and faith-healing centers</w:t>
      </w:r>
      <w:r w:rsidRPr="008B2778">
        <w:rPr>
          <w:rFonts w:ascii="MetaPro-Norm" w:eastAsia="Times New Roman" w:hAnsi="MetaPro-Norm" w:cs="Calibri"/>
          <w:sz w:val="22"/>
          <w:szCs w:val="22"/>
        </w:rPr>
        <w:t>? </w:t>
      </w:r>
    </w:p>
    <w:p w14:paraId="01CC4840" w14:textId="45053FE1" w:rsidR="008B2778" w:rsidRPr="008B2778" w:rsidRDefault="008B2778" w:rsidP="008B2778">
      <w:pPr>
        <w:numPr>
          <w:ilvl w:val="0"/>
          <w:numId w:val="28"/>
        </w:numPr>
        <w:textAlignment w:val="baseline"/>
        <w:rPr>
          <w:rFonts w:ascii="Calibri" w:eastAsia="Times New Roman" w:hAnsi="Calibri" w:cs="Calibri"/>
          <w:sz w:val="22"/>
          <w:szCs w:val="22"/>
        </w:rPr>
      </w:pPr>
      <w:r w:rsidRPr="008B2778">
        <w:rPr>
          <w:rFonts w:ascii="MetaPro-Norm" w:eastAsia="Times New Roman" w:hAnsi="MetaPro-Norm" w:cs="Calibri"/>
          <w:sz w:val="22"/>
          <w:szCs w:val="22"/>
        </w:rPr>
        <w:t xml:space="preserve">What is the government doing to end arbitrary detention in </w:t>
      </w:r>
      <w:r w:rsidR="00B16D04">
        <w:rPr>
          <w:rFonts w:ascii="MetaPro-Norm" w:eastAsia="Times New Roman" w:hAnsi="MetaPro-Norm" w:cs="Calibri"/>
          <w:sz w:val="22"/>
          <w:szCs w:val="22"/>
        </w:rPr>
        <w:t xml:space="preserve">psychiatric </w:t>
      </w:r>
      <w:r w:rsidRPr="008B2778">
        <w:rPr>
          <w:rFonts w:ascii="MetaPro-Norm" w:eastAsia="Times New Roman" w:hAnsi="MetaPro-Norm" w:cs="Calibri"/>
          <w:sz w:val="22"/>
          <w:szCs w:val="22"/>
        </w:rPr>
        <w:t>hospitals</w:t>
      </w:r>
      <w:r w:rsidR="00B16D04">
        <w:rPr>
          <w:rFonts w:ascii="MetaPro-Norm" w:eastAsia="Times New Roman" w:hAnsi="MetaPro-Norm" w:cs="Calibri"/>
          <w:sz w:val="22"/>
          <w:szCs w:val="22"/>
        </w:rPr>
        <w:t>, social care institutions and faith-healing centers?</w:t>
      </w:r>
    </w:p>
    <w:p w14:paraId="79164AA1" w14:textId="791C45D0" w:rsidR="00E07492" w:rsidRPr="008B2778" w:rsidRDefault="008B2778" w:rsidP="008B2778">
      <w:pPr>
        <w:numPr>
          <w:ilvl w:val="0"/>
          <w:numId w:val="28"/>
        </w:numPr>
        <w:textAlignment w:val="baseline"/>
        <w:rPr>
          <w:rFonts w:ascii="MetaPro-Norm" w:eastAsia="Times New Roman" w:hAnsi="MetaPro-Norm" w:cs="Times New Roman"/>
          <w:sz w:val="22"/>
          <w:szCs w:val="22"/>
        </w:rPr>
      </w:pPr>
      <w:r w:rsidRPr="008B2778">
        <w:rPr>
          <w:rFonts w:ascii="MetaPro-Norm" w:eastAsia="Times New Roman" w:hAnsi="MetaPro-Norm" w:cs="Times New Roman"/>
          <w:sz w:val="22"/>
          <w:szCs w:val="22"/>
        </w:rPr>
        <w:t>What steps has the government taken to ensure timely discharge of people with psychosocial disabilities from the psychiatric hospital, including cases in the forensic ward and children’s ward? </w:t>
      </w:r>
    </w:p>
    <w:p w14:paraId="65AAB6E2" w14:textId="77777777" w:rsidR="008B2778" w:rsidRPr="00B46DFE" w:rsidRDefault="008B2778" w:rsidP="008B2778">
      <w:pPr>
        <w:pStyle w:val="Listenabsatz"/>
        <w:rPr>
          <w:rFonts w:ascii="MetaPro-Norm" w:eastAsia="Calibri" w:hAnsi="MetaPro-Norm" w:cs="Arial"/>
          <w:sz w:val="22"/>
          <w:szCs w:val="22"/>
        </w:rPr>
      </w:pPr>
    </w:p>
    <w:p w14:paraId="098F204C" w14:textId="48D592B3" w:rsidR="7106BE5F" w:rsidRPr="00B46DFE" w:rsidRDefault="7106BE5F" w:rsidP="00B46DFE">
      <w:pPr>
        <w:rPr>
          <w:rFonts w:ascii="MetaPro-Norm" w:eastAsia="MetaNormal-Roman" w:hAnsi="MetaPro-Norm" w:cs="MetaNormal-Roman"/>
          <w:sz w:val="22"/>
          <w:szCs w:val="22"/>
        </w:rPr>
      </w:pPr>
      <w:r w:rsidRPr="00B46DFE">
        <w:rPr>
          <w:rFonts w:ascii="MetaPro-Norm" w:eastAsia="MetaNormal-Roman" w:hAnsi="MetaPro-Norm" w:cs="MetaNormal-Roman"/>
          <w:i/>
          <w:iCs/>
          <w:color w:val="000000" w:themeColor="text1"/>
          <w:sz w:val="22"/>
          <w:szCs w:val="22"/>
        </w:rPr>
        <w:t>Human Rights Watch asks the Committee to consider including the following recommendations in its concluding observations on Indonesia:</w:t>
      </w:r>
    </w:p>
    <w:p w14:paraId="166A727B" w14:textId="70CDA572" w:rsidR="7106BE5F" w:rsidRDefault="00BA5C43" w:rsidP="00B46DFE">
      <w:pPr>
        <w:pStyle w:val="Listenabsatz"/>
        <w:numPr>
          <w:ilvl w:val="0"/>
          <w:numId w:val="28"/>
        </w:numPr>
        <w:rPr>
          <w:rFonts w:ascii="MetaPro-Norm" w:eastAsia="Calibri" w:hAnsi="MetaPro-Norm" w:cs="Arial"/>
          <w:sz w:val="22"/>
          <w:szCs w:val="22"/>
        </w:rPr>
      </w:pPr>
      <w:r w:rsidRPr="00B46DFE">
        <w:rPr>
          <w:rFonts w:ascii="MetaPro-Norm" w:eastAsia="Calibri" w:hAnsi="MetaPro-Norm" w:cs="Arial"/>
          <w:sz w:val="22"/>
          <w:szCs w:val="22"/>
        </w:rPr>
        <w:t>Recognize the legal capacity of all persons with disabilities on an equal basis with others and the right to exercise it. Remove clauses that allow for plenary or limited guardianship. Instead provide accommodations and access to support where necessary to exercise legal capacity.</w:t>
      </w:r>
    </w:p>
    <w:p w14:paraId="1C50F77C" w14:textId="77777777" w:rsidR="008B2778" w:rsidRPr="00B46DFE" w:rsidRDefault="008B2778" w:rsidP="008B2778">
      <w:pPr>
        <w:pStyle w:val="Listenabsatz"/>
        <w:rPr>
          <w:rFonts w:ascii="MetaPro-Norm" w:eastAsia="Calibri" w:hAnsi="MetaPro-Norm" w:cs="Arial"/>
          <w:sz w:val="22"/>
          <w:szCs w:val="22"/>
        </w:rPr>
      </w:pPr>
    </w:p>
    <w:p w14:paraId="1FA2FA4D" w14:textId="290BF031" w:rsidR="00C9599C" w:rsidRPr="00B46DFE" w:rsidRDefault="00C9599C" w:rsidP="00B46DFE">
      <w:pPr>
        <w:pStyle w:val="berschrift2"/>
        <w:numPr>
          <w:ilvl w:val="0"/>
          <w:numId w:val="17"/>
        </w:numPr>
        <w:rPr>
          <w:rFonts w:ascii="MetaPro-Norm" w:hAnsi="MetaPro-Norm"/>
        </w:rPr>
      </w:pPr>
      <w:r w:rsidRPr="00B46DFE">
        <w:rPr>
          <w:rFonts w:ascii="MetaPro-Norm" w:hAnsi="MetaPro-Norm"/>
        </w:rPr>
        <w:t xml:space="preserve">Freedom from </w:t>
      </w:r>
      <w:r w:rsidR="00A71A34">
        <w:rPr>
          <w:rFonts w:ascii="MetaPro-Norm" w:hAnsi="MetaPro-Norm"/>
        </w:rPr>
        <w:t>T</w:t>
      </w:r>
      <w:r w:rsidRPr="00B46DFE">
        <w:rPr>
          <w:rFonts w:ascii="MetaPro-Norm" w:hAnsi="MetaPro-Norm"/>
        </w:rPr>
        <w:t xml:space="preserve">orture or </w:t>
      </w:r>
      <w:r w:rsidR="00A71A34">
        <w:rPr>
          <w:rFonts w:ascii="MetaPro-Norm" w:hAnsi="MetaPro-Norm"/>
        </w:rPr>
        <w:t>C</w:t>
      </w:r>
      <w:r w:rsidRPr="00B46DFE">
        <w:rPr>
          <w:rFonts w:ascii="MetaPro-Norm" w:hAnsi="MetaPro-Norm"/>
        </w:rPr>
        <w:t xml:space="preserve">ruel, </w:t>
      </w:r>
      <w:r w:rsidR="00A71A34">
        <w:rPr>
          <w:rFonts w:ascii="MetaPro-Norm" w:hAnsi="MetaPro-Norm"/>
        </w:rPr>
        <w:t>I</w:t>
      </w:r>
      <w:r w:rsidRPr="00B46DFE">
        <w:rPr>
          <w:rFonts w:ascii="MetaPro-Norm" w:hAnsi="MetaPro-Norm"/>
        </w:rPr>
        <w:t xml:space="preserve">nhuman or </w:t>
      </w:r>
      <w:r w:rsidR="00A71A34">
        <w:rPr>
          <w:rFonts w:ascii="MetaPro-Norm" w:hAnsi="MetaPro-Norm"/>
        </w:rPr>
        <w:t>D</w:t>
      </w:r>
      <w:r w:rsidRPr="00B46DFE">
        <w:rPr>
          <w:rFonts w:ascii="MetaPro-Norm" w:hAnsi="MetaPro-Norm"/>
        </w:rPr>
        <w:t xml:space="preserve">egrading </w:t>
      </w:r>
      <w:r w:rsidR="00A71A34">
        <w:rPr>
          <w:rFonts w:ascii="MetaPro-Norm" w:hAnsi="MetaPro-Norm"/>
        </w:rPr>
        <w:t>T</w:t>
      </w:r>
      <w:r w:rsidRPr="00B46DFE">
        <w:rPr>
          <w:rFonts w:ascii="MetaPro-Norm" w:hAnsi="MetaPro-Norm"/>
        </w:rPr>
        <w:t xml:space="preserve">reatment or </w:t>
      </w:r>
      <w:r w:rsidR="00A71A34">
        <w:rPr>
          <w:rFonts w:ascii="MetaPro-Norm" w:hAnsi="MetaPro-Norm"/>
        </w:rPr>
        <w:t>P</w:t>
      </w:r>
      <w:r w:rsidRPr="00B46DFE">
        <w:rPr>
          <w:rFonts w:ascii="MetaPro-Norm" w:hAnsi="MetaPro-Norm"/>
        </w:rPr>
        <w:t>unishment</w:t>
      </w:r>
      <w:bookmarkEnd w:id="5"/>
      <w:bookmarkEnd w:id="6"/>
      <w:r w:rsidRPr="00B46DFE">
        <w:rPr>
          <w:rFonts w:ascii="MetaPro-Norm" w:hAnsi="MetaPro-Norm"/>
        </w:rPr>
        <w:t xml:space="preserve"> (art. 15)</w:t>
      </w:r>
    </w:p>
    <w:p w14:paraId="14DF566F" w14:textId="20147339" w:rsidR="00743B9A" w:rsidRDefault="000E5D38" w:rsidP="00B46DFE">
      <w:pPr>
        <w:rPr>
          <w:rFonts w:ascii="MetaPro-Norm" w:eastAsia="Calibri" w:hAnsi="MetaPro-Norm" w:cs="Arial"/>
          <w:sz w:val="22"/>
          <w:szCs w:val="22"/>
        </w:rPr>
      </w:pPr>
      <w:r w:rsidRPr="00B46DFE">
        <w:rPr>
          <w:rFonts w:ascii="MetaPro-Norm" w:eastAsia="Calibri" w:hAnsi="MetaPro-Norm" w:cs="Arial"/>
          <w:sz w:val="22"/>
          <w:szCs w:val="22"/>
        </w:rPr>
        <w:t xml:space="preserve">According to the UN </w:t>
      </w:r>
      <w:r w:rsidR="00A71A34">
        <w:rPr>
          <w:rFonts w:ascii="MetaPro-Norm" w:eastAsia="Calibri" w:hAnsi="MetaPro-Norm" w:cs="Arial"/>
          <w:sz w:val="22"/>
          <w:szCs w:val="22"/>
        </w:rPr>
        <w:t>S</w:t>
      </w:r>
      <w:r w:rsidRPr="00B46DFE">
        <w:rPr>
          <w:rFonts w:ascii="MetaPro-Norm" w:eastAsia="Calibri" w:hAnsi="MetaPro-Norm" w:cs="Arial"/>
          <w:sz w:val="22"/>
          <w:szCs w:val="22"/>
        </w:rPr>
        <w:t xml:space="preserve">pecial </w:t>
      </w:r>
      <w:r w:rsidR="00A71A34">
        <w:rPr>
          <w:rFonts w:ascii="MetaPro-Norm" w:eastAsia="Calibri" w:hAnsi="MetaPro-Norm" w:cs="Arial"/>
          <w:sz w:val="22"/>
          <w:szCs w:val="22"/>
        </w:rPr>
        <w:t>R</w:t>
      </w:r>
      <w:r w:rsidRPr="00B46DFE">
        <w:rPr>
          <w:rFonts w:ascii="MetaPro-Norm" w:eastAsia="Calibri" w:hAnsi="MetaPro-Norm" w:cs="Arial"/>
          <w:sz w:val="22"/>
          <w:szCs w:val="22"/>
        </w:rPr>
        <w:t>apporteur on torture, forced psychiatric intervention on the grounds of disability alone is a form of torture and ill-treatment.</w:t>
      </w:r>
      <w:r w:rsidRPr="00B46DFE">
        <w:rPr>
          <w:rStyle w:val="Funotenzeichen"/>
          <w:rFonts w:ascii="MetaPro-Norm" w:eastAsia="Calibri" w:hAnsi="MetaPro-Norm" w:cs="Arial"/>
          <w:sz w:val="22"/>
          <w:szCs w:val="22"/>
        </w:rPr>
        <w:footnoteReference w:id="44"/>
      </w:r>
    </w:p>
    <w:p w14:paraId="4328017B" w14:textId="77777777" w:rsidR="008B2778" w:rsidRPr="00B46DFE" w:rsidRDefault="008B2778" w:rsidP="00B46DFE">
      <w:pPr>
        <w:rPr>
          <w:rFonts w:ascii="MetaPro-Norm" w:eastAsia="Calibri" w:hAnsi="MetaPro-Norm" w:cs="Arial"/>
          <w:sz w:val="22"/>
          <w:szCs w:val="22"/>
        </w:rPr>
      </w:pPr>
    </w:p>
    <w:p w14:paraId="6112C9F1" w14:textId="7D1BB7C2" w:rsidR="000E5D38" w:rsidRDefault="000E5D38" w:rsidP="00B46DFE">
      <w:pPr>
        <w:rPr>
          <w:rFonts w:ascii="MetaPro-Norm" w:eastAsia="Calibri" w:hAnsi="MetaPro-Norm" w:cs="Arial"/>
          <w:sz w:val="22"/>
          <w:szCs w:val="22"/>
        </w:rPr>
      </w:pPr>
      <w:r w:rsidRPr="00B46DFE">
        <w:rPr>
          <w:rFonts w:ascii="MetaPro-Norm" w:eastAsia="Calibri" w:hAnsi="MetaPro-Norm" w:cs="Arial"/>
          <w:sz w:val="22"/>
          <w:szCs w:val="22"/>
        </w:rPr>
        <w:t xml:space="preserve">Human Rights Watch has documented the </w:t>
      </w:r>
      <w:r w:rsidR="00B3669F" w:rsidRPr="00B46DFE">
        <w:rPr>
          <w:rFonts w:ascii="MetaPro-Norm" w:eastAsia="Calibri" w:hAnsi="MetaPro-Norm" w:cs="Arial"/>
          <w:sz w:val="22"/>
          <w:szCs w:val="22"/>
        </w:rPr>
        <w:t xml:space="preserve">use of </w:t>
      </w:r>
      <w:r w:rsidR="004E7017">
        <w:rPr>
          <w:rFonts w:ascii="MetaPro-Norm" w:eastAsia="Calibri" w:hAnsi="MetaPro-Norm" w:cs="Arial"/>
          <w:sz w:val="22"/>
          <w:szCs w:val="22"/>
        </w:rPr>
        <w:t xml:space="preserve">involuntary forms of treatment, including </w:t>
      </w:r>
      <w:r w:rsidR="00B3669F" w:rsidRPr="00B46DFE">
        <w:rPr>
          <w:rFonts w:ascii="MetaPro-Norm" w:eastAsia="Calibri" w:hAnsi="MetaPro-Norm" w:cs="Arial"/>
          <w:sz w:val="22"/>
          <w:szCs w:val="22"/>
        </w:rPr>
        <w:t>physical restraints, prolonged seclusion, and involuntary electroshock therapy (E</w:t>
      </w:r>
      <w:r w:rsidR="00BD7BC0">
        <w:rPr>
          <w:rFonts w:ascii="MetaPro-Norm" w:eastAsia="Calibri" w:hAnsi="MetaPro-Norm" w:cs="Arial"/>
          <w:sz w:val="22"/>
          <w:szCs w:val="22"/>
        </w:rPr>
        <w:t>C</w:t>
      </w:r>
      <w:r w:rsidR="00B3669F" w:rsidRPr="00B46DFE">
        <w:rPr>
          <w:rFonts w:ascii="MetaPro-Norm" w:eastAsia="Calibri" w:hAnsi="MetaPro-Norm" w:cs="Arial"/>
          <w:sz w:val="22"/>
          <w:szCs w:val="22"/>
        </w:rPr>
        <w:t xml:space="preserve">T), all of which can constitute torture on the basis of disability. </w:t>
      </w:r>
    </w:p>
    <w:p w14:paraId="79682973" w14:textId="77777777" w:rsidR="008B2778" w:rsidRPr="00B46DFE" w:rsidRDefault="008B2778" w:rsidP="00B46DFE">
      <w:pPr>
        <w:rPr>
          <w:rFonts w:ascii="MetaPro-Norm" w:eastAsia="Calibri" w:hAnsi="MetaPro-Norm" w:cs="Arial"/>
          <w:sz w:val="22"/>
          <w:szCs w:val="22"/>
        </w:rPr>
      </w:pPr>
    </w:p>
    <w:p w14:paraId="5C54EC9E" w14:textId="66CC081B" w:rsidR="00B3669F" w:rsidRPr="00B46DFE" w:rsidRDefault="00B3669F" w:rsidP="00B46DFE">
      <w:pPr>
        <w:pStyle w:val="Listenabsatz"/>
        <w:numPr>
          <w:ilvl w:val="0"/>
          <w:numId w:val="25"/>
        </w:numPr>
        <w:rPr>
          <w:rFonts w:ascii="MetaPro-Norm" w:eastAsia="Calibri" w:hAnsi="MetaPro-Norm" w:cs="Arial"/>
          <w:sz w:val="22"/>
          <w:szCs w:val="22"/>
        </w:rPr>
      </w:pPr>
      <w:r w:rsidRPr="00B46DFE">
        <w:rPr>
          <w:rFonts w:ascii="MetaPro-Norm" w:eastAsia="Calibri" w:hAnsi="MetaPro-Norm" w:cs="Arial"/>
          <w:sz w:val="22"/>
          <w:szCs w:val="22"/>
        </w:rPr>
        <w:t xml:space="preserve">Prolonged Seclusion </w:t>
      </w:r>
    </w:p>
    <w:p w14:paraId="129BEAA4" w14:textId="727F93E3" w:rsidR="00993803" w:rsidRDefault="00A00342" w:rsidP="00B46DFE">
      <w:pPr>
        <w:rPr>
          <w:rFonts w:ascii="MetaPro-Norm" w:eastAsia="Calibri" w:hAnsi="MetaPro-Norm" w:cs="Arial"/>
          <w:sz w:val="22"/>
          <w:szCs w:val="22"/>
        </w:rPr>
      </w:pPr>
      <w:r w:rsidRPr="00B46DFE">
        <w:rPr>
          <w:rFonts w:ascii="MetaPro-Norm" w:eastAsia="Calibri" w:hAnsi="MetaPro-Norm" w:cs="Arial"/>
          <w:sz w:val="22"/>
          <w:szCs w:val="22"/>
        </w:rPr>
        <w:t xml:space="preserve">People </w:t>
      </w:r>
      <w:r w:rsidR="00993803" w:rsidRPr="00B46DFE">
        <w:rPr>
          <w:rFonts w:ascii="MetaPro-Norm" w:eastAsia="Calibri" w:hAnsi="MetaPro-Norm" w:cs="Arial"/>
          <w:sz w:val="22"/>
          <w:szCs w:val="22"/>
        </w:rPr>
        <w:t>with psychosocial disabilities face a range of abuses in community settings as well as in institutions, including prolonged detention, unsanitary conditions, neglect, involuntary treatment, and violence.</w:t>
      </w:r>
    </w:p>
    <w:p w14:paraId="23594F45" w14:textId="77777777" w:rsidR="008B2778" w:rsidRPr="00B46DFE" w:rsidRDefault="008B2778" w:rsidP="00B46DFE">
      <w:pPr>
        <w:rPr>
          <w:rFonts w:ascii="MetaPro-Norm" w:eastAsia="Calibri" w:hAnsi="MetaPro-Norm" w:cs="Arial"/>
          <w:sz w:val="22"/>
          <w:szCs w:val="22"/>
        </w:rPr>
      </w:pPr>
    </w:p>
    <w:p w14:paraId="6EC92539" w14:textId="77777777" w:rsidR="00A2356E" w:rsidRPr="00B46DFE" w:rsidRDefault="69B56031" w:rsidP="00B46DFE">
      <w:pPr>
        <w:rPr>
          <w:rFonts w:ascii="MetaPro-Norm" w:eastAsia="Calibri" w:hAnsi="MetaPro-Norm" w:cs="Arial"/>
          <w:sz w:val="22"/>
          <w:szCs w:val="22"/>
        </w:rPr>
      </w:pPr>
      <w:r w:rsidRPr="00B46DFE">
        <w:rPr>
          <w:rFonts w:ascii="MetaPro-Norm" w:eastAsia="Calibri" w:hAnsi="MetaPro-Norm" w:cs="Arial"/>
          <w:sz w:val="22"/>
          <w:szCs w:val="22"/>
        </w:rPr>
        <w:t>In all the social care institutions Human Rights Watch visited, staff and residents explained that persons with psychosocial disabilities are put in forced seclusion as a form of punishment or to discipline them.</w:t>
      </w:r>
      <w:r w:rsidR="00A2356E" w:rsidRPr="00B46DFE">
        <w:rPr>
          <w:rStyle w:val="Funotenzeichen"/>
          <w:rFonts w:ascii="MetaPro-Norm" w:eastAsia="Calibri" w:hAnsi="MetaPro-Norm" w:cs="Arial"/>
          <w:sz w:val="22"/>
          <w:szCs w:val="22"/>
        </w:rPr>
        <w:footnoteReference w:id="45"/>
      </w:r>
      <w:r w:rsidRPr="00B46DFE">
        <w:rPr>
          <w:rFonts w:ascii="MetaPro-Norm" w:eastAsia="Calibri" w:hAnsi="MetaPro-Norm" w:cs="Arial"/>
          <w:sz w:val="22"/>
          <w:szCs w:val="22"/>
        </w:rPr>
        <w:t xml:space="preserve"> For example, residents can be put in seclusion if they do not follow orders, try to escape, fight, or engage in any form of sexual activity.</w:t>
      </w:r>
      <w:r w:rsidR="00A2356E" w:rsidRPr="00B46DFE">
        <w:rPr>
          <w:rStyle w:val="Funotenzeichen"/>
          <w:rFonts w:ascii="MetaPro-Norm" w:eastAsia="Calibri" w:hAnsi="MetaPro-Norm" w:cs="Arial"/>
          <w:sz w:val="22"/>
          <w:szCs w:val="22"/>
        </w:rPr>
        <w:footnoteReference w:id="46"/>
      </w:r>
      <w:r w:rsidRPr="00B46DFE">
        <w:rPr>
          <w:rFonts w:ascii="MetaPro-Norm" w:eastAsia="Calibri" w:hAnsi="MetaPro-Norm" w:cs="Arial"/>
          <w:sz w:val="22"/>
          <w:szCs w:val="22"/>
        </w:rPr>
        <w:t xml:space="preserve"> In social care institutions, there is no separation between adults and children in seclusion rooms. In one social care institution, if no seclusion rooms are free, two people, including a child and an adult, can be put in the same seclusion room with limited or no oversight.</w:t>
      </w:r>
      <w:r w:rsidR="00A2356E" w:rsidRPr="00B46DFE">
        <w:rPr>
          <w:rStyle w:val="Funotenzeichen"/>
          <w:rFonts w:ascii="MetaPro-Norm" w:eastAsia="Calibri" w:hAnsi="MetaPro-Norm" w:cs="Arial"/>
          <w:sz w:val="22"/>
          <w:szCs w:val="22"/>
        </w:rPr>
        <w:footnoteReference w:id="47"/>
      </w:r>
    </w:p>
    <w:p w14:paraId="35A5FE9C" w14:textId="3442E1CF" w:rsidR="00A2356E" w:rsidRDefault="69B56031" w:rsidP="00B46DFE">
      <w:pPr>
        <w:rPr>
          <w:rFonts w:ascii="MetaPro-Norm" w:eastAsia="Calibri" w:hAnsi="MetaPro-Norm" w:cs="Arial"/>
          <w:sz w:val="22"/>
          <w:szCs w:val="22"/>
        </w:rPr>
      </w:pPr>
      <w:r w:rsidRPr="00B46DFE">
        <w:rPr>
          <w:rFonts w:ascii="MetaPro-Norm" w:eastAsia="Calibri" w:hAnsi="MetaPro-Norm" w:cs="Arial"/>
          <w:sz w:val="22"/>
          <w:szCs w:val="22"/>
        </w:rPr>
        <w:t>All six hospitals Human Rights Watch visited used physical restraints as a means to contain or calm down persons with psychosocial disabilities, including children, during a crisis, a fight, or if they resisted while being injected with medication.</w:t>
      </w:r>
      <w:r w:rsidR="00A2356E" w:rsidRPr="00B46DFE">
        <w:rPr>
          <w:rStyle w:val="Funotenzeichen"/>
          <w:rFonts w:ascii="MetaPro-Norm" w:eastAsia="Calibri" w:hAnsi="MetaPro-Norm" w:cs="Arial"/>
          <w:sz w:val="22"/>
          <w:szCs w:val="22"/>
        </w:rPr>
        <w:footnoteReference w:id="48"/>
      </w:r>
    </w:p>
    <w:p w14:paraId="04DD9094" w14:textId="77777777" w:rsidR="008B2778" w:rsidRPr="00B46DFE" w:rsidRDefault="008B2778" w:rsidP="00B46DFE">
      <w:pPr>
        <w:rPr>
          <w:rFonts w:ascii="MetaPro-Norm" w:eastAsia="Calibri" w:hAnsi="MetaPro-Norm" w:cs="Arial"/>
          <w:sz w:val="22"/>
          <w:szCs w:val="22"/>
        </w:rPr>
      </w:pPr>
    </w:p>
    <w:p w14:paraId="46CD5F36" w14:textId="5434AFB0" w:rsidR="00B3669F" w:rsidRPr="00B46DFE" w:rsidRDefault="00B3669F" w:rsidP="00B46DFE">
      <w:pPr>
        <w:pStyle w:val="Listenabsatz"/>
        <w:numPr>
          <w:ilvl w:val="0"/>
          <w:numId w:val="25"/>
        </w:numPr>
        <w:rPr>
          <w:rFonts w:ascii="MetaPro-Norm" w:eastAsia="Calibri" w:hAnsi="MetaPro-Norm" w:cs="Arial"/>
          <w:sz w:val="22"/>
          <w:szCs w:val="22"/>
        </w:rPr>
      </w:pPr>
      <w:r w:rsidRPr="00B46DFE">
        <w:rPr>
          <w:rFonts w:ascii="MetaPro-Norm" w:eastAsia="Calibri" w:hAnsi="MetaPro-Norm" w:cs="Arial"/>
          <w:sz w:val="22"/>
          <w:szCs w:val="22"/>
        </w:rPr>
        <w:t xml:space="preserve">Use of Physical Restraints </w:t>
      </w:r>
    </w:p>
    <w:p w14:paraId="3C2566BC" w14:textId="329A396F" w:rsidR="00A2356E" w:rsidRDefault="00A2356E" w:rsidP="00B46DFE">
      <w:pPr>
        <w:rPr>
          <w:rFonts w:ascii="MetaPro-Norm" w:eastAsia="Calibri" w:hAnsi="MetaPro-Norm" w:cs="Arial"/>
          <w:sz w:val="22"/>
          <w:szCs w:val="22"/>
        </w:rPr>
      </w:pPr>
      <w:r w:rsidRPr="00B46DFE">
        <w:rPr>
          <w:rFonts w:ascii="MetaPro-Norm" w:eastAsia="Calibri" w:hAnsi="MetaPro-Norm" w:cs="Arial"/>
          <w:sz w:val="22"/>
          <w:szCs w:val="22"/>
        </w:rPr>
        <w:t>Physical restraints ranged from strips of cloth, cloth jackets, or sponge padded restraints.</w:t>
      </w:r>
      <w:r w:rsidRPr="00B46DFE">
        <w:rPr>
          <w:rStyle w:val="Funotenzeichen"/>
          <w:rFonts w:ascii="MetaPro-Norm" w:eastAsia="Calibri" w:hAnsi="MetaPro-Norm" w:cs="Arial"/>
          <w:sz w:val="22"/>
          <w:szCs w:val="22"/>
        </w:rPr>
        <w:footnoteReference w:id="49"/>
      </w:r>
      <w:r w:rsidRPr="00B46DFE">
        <w:rPr>
          <w:rFonts w:ascii="MetaPro-Norm" w:eastAsia="Calibri" w:hAnsi="MetaPro-Norm" w:cs="Arial"/>
          <w:sz w:val="22"/>
          <w:szCs w:val="22"/>
        </w:rPr>
        <w:t xml:space="preserve"> They were used either on the hand or feet, or both, and tied to the bed to immobilize the person.</w:t>
      </w:r>
      <w:r w:rsidRPr="00B46DFE">
        <w:rPr>
          <w:rStyle w:val="Funotenzeichen"/>
          <w:rFonts w:ascii="MetaPro-Norm" w:eastAsia="Calibri" w:hAnsi="MetaPro-Norm" w:cs="Arial"/>
          <w:sz w:val="22"/>
          <w:szCs w:val="22"/>
        </w:rPr>
        <w:footnoteReference w:id="50"/>
      </w:r>
      <w:r w:rsidRPr="00B46DFE">
        <w:rPr>
          <w:rFonts w:ascii="MetaPro-Norm" w:eastAsia="Calibri" w:hAnsi="MetaPro-Norm" w:cs="Arial"/>
          <w:sz w:val="22"/>
          <w:szCs w:val="22"/>
        </w:rPr>
        <w:t xml:space="preserve"> The duration of restraint varied from 10 minutes to a week.</w:t>
      </w:r>
      <w:r w:rsidRPr="00B46DFE">
        <w:rPr>
          <w:rStyle w:val="Funotenzeichen"/>
          <w:rFonts w:ascii="MetaPro-Norm" w:eastAsia="Calibri" w:hAnsi="MetaPro-Norm" w:cs="Arial"/>
          <w:sz w:val="22"/>
          <w:szCs w:val="22"/>
        </w:rPr>
        <w:footnoteReference w:id="51"/>
      </w:r>
      <w:r w:rsidRPr="00B46DFE">
        <w:rPr>
          <w:rFonts w:ascii="MetaPro-Norm" w:eastAsia="Calibri" w:hAnsi="MetaPro-Norm" w:cs="Arial"/>
          <w:sz w:val="22"/>
          <w:szCs w:val="22"/>
        </w:rPr>
        <w:t xml:space="preserve"> In some cases, persons with psychosocial disabilities were released to go to the bathroom or eat.</w:t>
      </w:r>
      <w:r w:rsidRPr="00B46DFE">
        <w:rPr>
          <w:rStyle w:val="Funotenzeichen"/>
          <w:rFonts w:ascii="MetaPro-Norm" w:eastAsia="Calibri" w:hAnsi="MetaPro-Norm" w:cs="Arial"/>
          <w:sz w:val="22"/>
          <w:szCs w:val="22"/>
        </w:rPr>
        <w:footnoteReference w:id="52"/>
      </w:r>
      <w:r w:rsidRPr="00B46DFE">
        <w:rPr>
          <w:rFonts w:ascii="MetaPro-Norm" w:eastAsia="Calibri" w:hAnsi="MetaPro-Norm" w:cs="Arial"/>
          <w:sz w:val="22"/>
          <w:szCs w:val="22"/>
        </w:rPr>
        <w:t xml:space="preserve"> If the psychiatrist determined that the person had not calmed down enough, then they were obliged to go to the toilet in the bed or in a diaper and spoon-fed their meals.</w:t>
      </w:r>
      <w:r w:rsidRPr="00B46DFE">
        <w:rPr>
          <w:rStyle w:val="Funotenzeichen"/>
          <w:rFonts w:ascii="MetaPro-Norm" w:eastAsia="Calibri" w:hAnsi="MetaPro-Norm" w:cs="Arial"/>
          <w:sz w:val="22"/>
          <w:szCs w:val="22"/>
        </w:rPr>
        <w:footnoteReference w:id="53"/>
      </w:r>
      <w:r w:rsidRPr="00B46DFE">
        <w:rPr>
          <w:rFonts w:ascii="MetaPro-Norm" w:eastAsia="Calibri" w:hAnsi="MetaPro-Norm" w:cs="Arial"/>
          <w:sz w:val="22"/>
          <w:szCs w:val="22"/>
        </w:rPr>
        <w:t xml:space="preserve"> </w:t>
      </w:r>
    </w:p>
    <w:p w14:paraId="619A2B64" w14:textId="77777777" w:rsidR="008B2778" w:rsidRPr="00B46DFE" w:rsidRDefault="008B2778" w:rsidP="00B46DFE">
      <w:pPr>
        <w:rPr>
          <w:rFonts w:ascii="MetaPro-Norm" w:eastAsia="Calibri" w:hAnsi="MetaPro-Norm" w:cs="Arial"/>
          <w:sz w:val="22"/>
          <w:szCs w:val="22"/>
        </w:rPr>
      </w:pPr>
    </w:p>
    <w:p w14:paraId="4366C674" w14:textId="45051780" w:rsidR="00DC75B7" w:rsidRDefault="00A2356E" w:rsidP="00B46DFE">
      <w:pPr>
        <w:rPr>
          <w:rFonts w:ascii="MetaPro-Norm" w:eastAsia="Calibri" w:hAnsi="MetaPro-Norm" w:cs="Arial"/>
          <w:sz w:val="22"/>
          <w:szCs w:val="22"/>
        </w:rPr>
      </w:pPr>
      <w:r w:rsidRPr="00B46DFE">
        <w:rPr>
          <w:rFonts w:ascii="MetaPro-Norm" w:eastAsia="Calibri" w:hAnsi="MetaPro-Norm" w:cs="Arial"/>
          <w:sz w:val="22"/>
          <w:szCs w:val="22"/>
        </w:rPr>
        <w:t xml:space="preserve">The UN </w:t>
      </w:r>
      <w:r w:rsidR="00A05E9A">
        <w:rPr>
          <w:rFonts w:ascii="MetaPro-Norm" w:eastAsia="Calibri" w:hAnsi="MetaPro-Norm" w:cs="Arial"/>
          <w:sz w:val="22"/>
          <w:szCs w:val="22"/>
        </w:rPr>
        <w:t>S</w:t>
      </w:r>
      <w:r w:rsidRPr="00B46DFE">
        <w:rPr>
          <w:rFonts w:ascii="MetaPro-Norm" w:eastAsia="Calibri" w:hAnsi="MetaPro-Norm" w:cs="Arial"/>
          <w:sz w:val="22"/>
          <w:szCs w:val="22"/>
        </w:rPr>
        <w:t xml:space="preserve">pecial </w:t>
      </w:r>
      <w:r w:rsidR="00A05E9A">
        <w:rPr>
          <w:rFonts w:ascii="MetaPro-Norm" w:eastAsia="Calibri" w:hAnsi="MetaPro-Norm" w:cs="Arial"/>
          <w:sz w:val="22"/>
          <w:szCs w:val="22"/>
        </w:rPr>
        <w:t>R</w:t>
      </w:r>
      <w:r w:rsidRPr="00B46DFE">
        <w:rPr>
          <w:rFonts w:ascii="MetaPro-Norm" w:eastAsia="Calibri" w:hAnsi="MetaPro-Norm" w:cs="Arial"/>
          <w:sz w:val="22"/>
          <w:szCs w:val="22"/>
        </w:rPr>
        <w:t>apporteur on torture has stated that, “there can be no therapeutic justification for the prolonged use of restraints, which may amount to torture or ill-treatment”</w:t>
      </w:r>
      <w:r w:rsidRPr="00B46DFE">
        <w:rPr>
          <w:rStyle w:val="Funotenzeichen"/>
          <w:rFonts w:ascii="MetaPro-Norm" w:eastAsia="Calibri" w:hAnsi="MetaPro-Norm" w:cs="Arial"/>
          <w:sz w:val="22"/>
          <w:szCs w:val="22"/>
        </w:rPr>
        <w:footnoteReference w:id="54"/>
      </w:r>
      <w:r w:rsidRPr="00B46DFE">
        <w:rPr>
          <w:rFonts w:ascii="MetaPro-Norm" w:eastAsia="Calibri" w:hAnsi="MetaPro-Norm" w:cs="Arial"/>
          <w:sz w:val="22"/>
          <w:szCs w:val="22"/>
        </w:rPr>
        <w:t xml:space="preserve"> and has noted that restraint of an individual with psychosocial disabilities for even a short period of time may constitute torture and ill-treatment.</w:t>
      </w:r>
      <w:r w:rsidRPr="00B46DFE">
        <w:rPr>
          <w:rStyle w:val="Funotenzeichen"/>
          <w:rFonts w:ascii="MetaPro-Norm" w:eastAsia="Calibri" w:hAnsi="MetaPro-Norm" w:cs="Arial"/>
          <w:sz w:val="22"/>
          <w:szCs w:val="22"/>
        </w:rPr>
        <w:footnoteReference w:id="55"/>
      </w:r>
      <w:r w:rsidRPr="00B46DFE">
        <w:rPr>
          <w:rFonts w:ascii="MetaPro-Norm" w:eastAsia="Calibri" w:hAnsi="MetaPro-Norm" w:cs="Arial"/>
          <w:sz w:val="22"/>
          <w:szCs w:val="22"/>
        </w:rPr>
        <w:t xml:space="preserve"> </w:t>
      </w:r>
    </w:p>
    <w:p w14:paraId="6CFF4E31" w14:textId="77777777" w:rsidR="00B16D04" w:rsidRPr="00B46DFE" w:rsidRDefault="00B16D04" w:rsidP="00B46DFE">
      <w:pPr>
        <w:rPr>
          <w:rFonts w:ascii="MetaPro-Norm" w:eastAsia="Calibri" w:hAnsi="MetaPro-Norm" w:cs="Arial"/>
          <w:sz w:val="22"/>
          <w:szCs w:val="22"/>
        </w:rPr>
      </w:pPr>
    </w:p>
    <w:p w14:paraId="0A17BA64" w14:textId="1FEEF30C" w:rsidR="00B3669F" w:rsidRDefault="00B3669F" w:rsidP="00B46DFE">
      <w:pPr>
        <w:pStyle w:val="Listenabsatz"/>
        <w:numPr>
          <w:ilvl w:val="0"/>
          <w:numId w:val="25"/>
        </w:numPr>
        <w:rPr>
          <w:rFonts w:ascii="MetaPro-Norm" w:eastAsia="Calibri" w:hAnsi="MetaPro-Norm" w:cs="Arial"/>
          <w:sz w:val="22"/>
          <w:szCs w:val="22"/>
        </w:rPr>
      </w:pPr>
      <w:r w:rsidRPr="00B46DFE">
        <w:rPr>
          <w:rFonts w:ascii="MetaPro-Norm" w:eastAsia="Calibri" w:hAnsi="MetaPro-Norm" w:cs="Arial"/>
          <w:sz w:val="22"/>
          <w:szCs w:val="22"/>
        </w:rPr>
        <w:t xml:space="preserve">Involuntary Administration of ECT </w:t>
      </w:r>
    </w:p>
    <w:p w14:paraId="70BC5068" w14:textId="39A28B13" w:rsidR="00A2356E" w:rsidRDefault="00A2356E" w:rsidP="00B46DFE">
      <w:pPr>
        <w:rPr>
          <w:rFonts w:ascii="MetaPro-Norm" w:eastAsia="Calibri" w:hAnsi="MetaPro-Norm" w:cs="Arial"/>
          <w:sz w:val="22"/>
          <w:szCs w:val="22"/>
        </w:rPr>
      </w:pPr>
      <w:r w:rsidRPr="00B46DFE">
        <w:rPr>
          <w:rFonts w:ascii="MetaPro-Norm" w:eastAsia="Calibri" w:hAnsi="MetaPro-Norm" w:cs="Arial"/>
          <w:sz w:val="22"/>
          <w:szCs w:val="22"/>
        </w:rPr>
        <w:t>In Indonesia, ECT is usually prescribed as a last resort for patients who are unresponsive to oral medication and who have suicidal tendencies, severe depression, tendency, catatonia, bipolar disorder</w:t>
      </w:r>
      <w:r w:rsidR="00057F09">
        <w:rPr>
          <w:rFonts w:ascii="MetaPro-Norm" w:eastAsia="Calibri" w:hAnsi="MetaPro-Norm" w:cs="Arial"/>
          <w:sz w:val="22"/>
          <w:szCs w:val="22"/>
        </w:rPr>
        <w:t>,</w:t>
      </w:r>
      <w:r w:rsidRPr="00B46DFE">
        <w:rPr>
          <w:rFonts w:ascii="MetaPro-Norm" w:eastAsia="Calibri" w:hAnsi="MetaPro-Norm" w:cs="Arial"/>
          <w:sz w:val="22"/>
          <w:szCs w:val="22"/>
        </w:rPr>
        <w:t xml:space="preserve"> or acute psychosis.</w:t>
      </w:r>
      <w:r w:rsidRPr="00B46DFE">
        <w:rPr>
          <w:rStyle w:val="Funotenzeichen"/>
          <w:rFonts w:ascii="MetaPro-Norm" w:eastAsia="Calibri" w:hAnsi="MetaPro-Norm" w:cs="Arial"/>
          <w:sz w:val="22"/>
          <w:szCs w:val="22"/>
        </w:rPr>
        <w:footnoteReference w:id="56"/>
      </w:r>
      <w:r w:rsidRPr="00B46DFE">
        <w:rPr>
          <w:rFonts w:ascii="MetaPro-Norm" w:eastAsia="Calibri" w:hAnsi="MetaPro-Norm" w:cs="Arial"/>
          <w:sz w:val="22"/>
          <w:szCs w:val="22"/>
        </w:rPr>
        <w:t xml:space="preserve"> Prior to ECT administration, patients’ fitness for anesthesia is checked and they are made to fast overnight.</w:t>
      </w:r>
      <w:r w:rsidRPr="00B46DFE">
        <w:rPr>
          <w:rStyle w:val="Funotenzeichen"/>
          <w:rFonts w:ascii="MetaPro-Norm" w:eastAsia="Calibri" w:hAnsi="MetaPro-Norm" w:cs="Arial"/>
          <w:sz w:val="22"/>
          <w:szCs w:val="22"/>
        </w:rPr>
        <w:footnoteReference w:id="57"/>
      </w:r>
      <w:r w:rsidRPr="00B46DFE">
        <w:rPr>
          <w:rFonts w:ascii="MetaPro-Norm" w:eastAsia="Calibri" w:hAnsi="MetaPro-Norm" w:cs="Arial"/>
          <w:sz w:val="22"/>
          <w:szCs w:val="22"/>
        </w:rPr>
        <w:t xml:space="preserve"> ECT was administered in four out of the six mental hospitals that Human Rights Watch visited. In Bengkulu Mental Hospital, ECT is administered in its “modified” form (that is, with anesthesia, muscle relaxants</w:t>
      </w:r>
      <w:r w:rsidR="00BA64DF">
        <w:rPr>
          <w:rFonts w:ascii="MetaPro-Norm" w:eastAsia="Calibri" w:hAnsi="MetaPro-Norm" w:cs="Arial"/>
          <w:sz w:val="22"/>
          <w:szCs w:val="22"/>
        </w:rPr>
        <w:t>,</w:t>
      </w:r>
      <w:r w:rsidRPr="00B46DFE">
        <w:rPr>
          <w:rFonts w:ascii="MetaPro-Norm" w:eastAsia="Calibri" w:hAnsi="MetaPro-Norm" w:cs="Arial"/>
          <w:sz w:val="22"/>
          <w:szCs w:val="22"/>
        </w:rPr>
        <w:t xml:space="preserve"> and oxygen), but in Grogol, Bogor, and Lawang Mental Hospitals </w:t>
      </w:r>
      <w:r w:rsidR="00142656">
        <w:rPr>
          <w:rFonts w:ascii="MetaPro-Norm" w:eastAsia="Calibri" w:hAnsi="MetaPro-Norm" w:cs="Arial"/>
          <w:sz w:val="22"/>
          <w:szCs w:val="22"/>
        </w:rPr>
        <w:lastRenderedPageBreak/>
        <w:t xml:space="preserve">ECT is administered </w:t>
      </w:r>
      <w:r w:rsidR="00142656" w:rsidRPr="00B46DFE">
        <w:rPr>
          <w:rFonts w:ascii="MetaPro-Norm" w:eastAsia="Calibri" w:hAnsi="MetaPro-Norm" w:cs="Arial"/>
          <w:sz w:val="22"/>
          <w:szCs w:val="22"/>
        </w:rPr>
        <w:t>“</w:t>
      </w:r>
      <w:r w:rsidRPr="00B46DFE">
        <w:rPr>
          <w:rFonts w:ascii="MetaPro-Norm" w:eastAsia="Calibri" w:hAnsi="MetaPro-Norm" w:cs="Arial"/>
          <w:sz w:val="22"/>
          <w:szCs w:val="22"/>
        </w:rPr>
        <w:t>unmodified</w:t>
      </w:r>
      <w:r w:rsidR="00142656" w:rsidRPr="00B46DFE">
        <w:rPr>
          <w:rFonts w:ascii="MetaPro-Norm" w:eastAsia="Calibri" w:hAnsi="MetaPro-Norm" w:cs="Arial"/>
          <w:sz w:val="22"/>
          <w:szCs w:val="22"/>
        </w:rPr>
        <w:t>”</w:t>
      </w:r>
      <w:r w:rsidRPr="00B46DFE">
        <w:rPr>
          <w:rFonts w:ascii="MetaPro-Norm" w:eastAsia="Calibri" w:hAnsi="MetaPro-Norm" w:cs="Arial"/>
          <w:sz w:val="22"/>
          <w:szCs w:val="22"/>
        </w:rPr>
        <w:t xml:space="preserve"> (without anesthesia, muscle relaxants</w:t>
      </w:r>
      <w:r w:rsidR="00BA64DF">
        <w:rPr>
          <w:rFonts w:ascii="MetaPro-Norm" w:eastAsia="Calibri" w:hAnsi="MetaPro-Norm" w:cs="Arial"/>
          <w:sz w:val="22"/>
          <w:szCs w:val="22"/>
        </w:rPr>
        <w:t>,</w:t>
      </w:r>
      <w:r w:rsidRPr="00B46DFE">
        <w:rPr>
          <w:rFonts w:ascii="MetaPro-Norm" w:eastAsia="Calibri" w:hAnsi="MetaPro-Norm" w:cs="Arial"/>
          <w:sz w:val="22"/>
          <w:szCs w:val="22"/>
        </w:rPr>
        <w:t xml:space="preserve"> and oxygen).</w:t>
      </w:r>
      <w:r w:rsidRPr="00B46DFE">
        <w:rPr>
          <w:rStyle w:val="Funotenzeichen"/>
          <w:rFonts w:ascii="MetaPro-Norm" w:eastAsia="Calibri" w:hAnsi="MetaPro-Norm" w:cs="Arial"/>
          <w:sz w:val="22"/>
          <w:szCs w:val="22"/>
        </w:rPr>
        <w:footnoteReference w:id="58"/>
      </w:r>
      <w:r w:rsidRPr="00B46DFE">
        <w:rPr>
          <w:rFonts w:ascii="MetaPro-Norm" w:eastAsia="Calibri" w:hAnsi="MetaPro-Norm" w:cs="Arial"/>
          <w:sz w:val="22"/>
          <w:szCs w:val="22"/>
        </w:rPr>
        <w:t xml:space="preserve"> In Grogol Mental Hospital</w:t>
      </w:r>
      <w:r w:rsidR="00286650">
        <w:rPr>
          <w:rFonts w:ascii="MetaPro-Norm" w:eastAsia="Calibri" w:hAnsi="MetaPro-Norm" w:cs="Arial"/>
          <w:sz w:val="22"/>
          <w:szCs w:val="22"/>
        </w:rPr>
        <w:t>,</w:t>
      </w:r>
      <w:r w:rsidRPr="00B46DFE">
        <w:rPr>
          <w:rFonts w:ascii="MetaPro-Norm" w:eastAsia="Calibri" w:hAnsi="MetaPro-Norm" w:cs="Arial"/>
          <w:sz w:val="22"/>
          <w:szCs w:val="22"/>
        </w:rPr>
        <w:t xml:space="preserve"> ECT is also administered to children.</w:t>
      </w:r>
      <w:r w:rsidRPr="00B46DFE">
        <w:rPr>
          <w:rStyle w:val="Funotenzeichen"/>
          <w:rFonts w:ascii="MetaPro-Norm" w:eastAsia="Calibri" w:hAnsi="MetaPro-Norm" w:cs="Arial"/>
          <w:sz w:val="22"/>
          <w:szCs w:val="22"/>
        </w:rPr>
        <w:footnoteReference w:id="59"/>
      </w:r>
    </w:p>
    <w:p w14:paraId="0EF399BC" w14:textId="77777777" w:rsidR="008B2778" w:rsidRPr="00B46DFE" w:rsidRDefault="008B2778" w:rsidP="00B46DFE">
      <w:pPr>
        <w:rPr>
          <w:rFonts w:ascii="MetaPro-Norm" w:eastAsia="Calibri" w:hAnsi="MetaPro-Norm" w:cs="Arial"/>
          <w:sz w:val="22"/>
          <w:szCs w:val="22"/>
        </w:rPr>
      </w:pPr>
    </w:p>
    <w:p w14:paraId="03659EB7" w14:textId="255BC4D4" w:rsidR="00A2356E" w:rsidRDefault="69B56031" w:rsidP="00B46DFE">
      <w:pPr>
        <w:rPr>
          <w:rFonts w:ascii="MetaPro-Norm" w:eastAsia="Calibri" w:hAnsi="MetaPro-Norm" w:cs="Arial"/>
          <w:sz w:val="22"/>
          <w:szCs w:val="22"/>
        </w:rPr>
      </w:pPr>
      <w:r w:rsidRPr="00B46DFE">
        <w:rPr>
          <w:rFonts w:ascii="MetaPro-Norm" w:eastAsia="Calibri" w:hAnsi="MetaPro-Norm" w:cs="Arial"/>
          <w:sz w:val="22"/>
          <w:szCs w:val="22"/>
        </w:rPr>
        <w:t xml:space="preserve">Former UN </w:t>
      </w:r>
      <w:r w:rsidR="3CBED824" w:rsidRPr="0979A876">
        <w:rPr>
          <w:rFonts w:ascii="MetaPro-Norm" w:eastAsia="Calibri" w:hAnsi="MetaPro-Norm" w:cs="Arial"/>
          <w:sz w:val="22"/>
          <w:szCs w:val="22"/>
        </w:rPr>
        <w:t>S</w:t>
      </w:r>
      <w:r w:rsidRPr="00B46DFE">
        <w:rPr>
          <w:rFonts w:ascii="MetaPro-Norm" w:eastAsia="Calibri" w:hAnsi="MetaPro-Norm" w:cs="Arial"/>
          <w:sz w:val="22"/>
          <w:szCs w:val="22"/>
        </w:rPr>
        <w:t xml:space="preserve">pecial </w:t>
      </w:r>
      <w:r w:rsidR="3CBED824" w:rsidRPr="0979A876">
        <w:rPr>
          <w:rFonts w:ascii="MetaPro-Norm" w:eastAsia="Calibri" w:hAnsi="MetaPro-Norm" w:cs="Arial"/>
          <w:sz w:val="22"/>
          <w:szCs w:val="22"/>
        </w:rPr>
        <w:t>R</w:t>
      </w:r>
      <w:r w:rsidRPr="00B46DFE">
        <w:rPr>
          <w:rFonts w:ascii="MetaPro-Norm" w:eastAsia="Calibri" w:hAnsi="MetaPro-Norm" w:cs="Arial"/>
          <w:sz w:val="22"/>
          <w:szCs w:val="22"/>
        </w:rPr>
        <w:t>apporteur on torture, Manfred Nowak, has noted that unmodified ECT is an unacceptable medical practice that may constitute torture or ill-treatment, as it may cause adverse effects such as cognitive deficits and loss of memory.</w:t>
      </w:r>
      <w:r w:rsidR="00A2356E" w:rsidRPr="00B46DFE">
        <w:rPr>
          <w:rStyle w:val="Funotenzeichen"/>
          <w:rFonts w:ascii="MetaPro-Norm" w:eastAsia="Calibri" w:hAnsi="MetaPro-Norm" w:cs="Arial"/>
          <w:sz w:val="22"/>
          <w:szCs w:val="22"/>
        </w:rPr>
        <w:footnoteReference w:id="60"/>
      </w:r>
    </w:p>
    <w:p w14:paraId="47A8D257" w14:textId="77777777" w:rsidR="008B2778" w:rsidRPr="00B46DFE" w:rsidRDefault="008B2778" w:rsidP="00B46DFE">
      <w:pPr>
        <w:rPr>
          <w:rFonts w:ascii="MetaPro-Norm" w:eastAsia="Calibri" w:hAnsi="MetaPro-Norm" w:cs="Arial"/>
          <w:sz w:val="22"/>
          <w:szCs w:val="22"/>
        </w:rPr>
      </w:pPr>
    </w:p>
    <w:p w14:paraId="030B0F14" w14:textId="635C566C" w:rsidR="00993803" w:rsidRDefault="00A2356E" w:rsidP="00B46DFE">
      <w:pPr>
        <w:rPr>
          <w:rFonts w:ascii="MetaPro-Norm" w:eastAsia="Calibri" w:hAnsi="MetaPro-Norm" w:cs="Arial"/>
          <w:sz w:val="22"/>
          <w:szCs w:val="22"/>
        </w:rPr>
      </w:pPr>
      <w:r w:rsidRPr="00B46DFE">
        <w:rPr>
          <w:rFonts w:ascii="MetaPro-Norm" w:eastAsia="Calibri" w:hAnsi="MetaPro-Norm" w:cs="Arial"/>
          <w:sz w:val="22"/>
          <w:szCs w:val="22"/>
        </w:rPr>
        <w:t>The World Health Organization Resource Book on mental health, human rights and legislation states that ECT should only be administered in its modified form (with anesthesia and muscle relaxants) and with informed consent. In addition, there are “no indications for the use of ECT on minors [defined as anyone below 18], and hence this should be prohibited through legislation.”</w:t>
      </w:r>
      <w:r w:rsidRPr="00B46DFE">
        <w:rPr>
          <w:rStyle w:val="Funotenzeichen"/>
          <w:rFonts w:ascii="MetaPro-Norm" w:eastAsia="Calibri" w:hAnsi="MetaPro-Norm" w:cs="Arial"/>
          <w:sz w:val="22"/>
          <w:szCs w:val="22"/>
        </w:rPr>
        <w:footnoteReference w:id="61"/>
      </w:r>
    </w:p>
    <w:p w14:paraId="686C5B14" w14:textId="77777777" w:rsidR="008B2778" w:rsidRPr="00B46DFE" w:rsidRDefault="008B2778" w:rsidP="00B46DFE">
      <w:pPr>
        <w:rPr>
          <w:rFonts w:ascii="MetaPro-Norm" w:eastAsia="Calibri" w:hAnsi="MetaPro-Norm" w:cs="Arial"/>
          <w:sz w:val="22"/>
          <w:szCs w:val="22"/>
        </w:rPr>
      </w:pPr>
    </w:p>
    <w:p w14:paraId="7792D739" w14:textId="77777777" w:rsidR="00993803" w:rsidRPr="00B46DFE" w:rsidRDefault="00993803" w:rsidP="00B46DFE">
      <w:pPr>
        <w:rPr>
          <w:rFonts w:ascii="MetaPro-Norm" w:eastAsia="Calibri" w:hAnsi="MetaPro-Norm" w:cs="Arial"/>
          <w:i/>
          <w:iCs/>
          <w:sz w:val="22"/>
          <w:szCs w:val="22"/>
        </w:rPr>
      </w:pPr>
      <w:r w:rsidRPr="00B46DFE">
        <w:rPr>
          <w:rFonts w:ascii="MetaPro-Norm" w:eastAsia="Calibri" w:hAnsi="MetaPro-Norm" w:cs="Arial"/>
          <w:i/>
          <w:iCs/>
          <w:sz w:val="22"/>
          <w:szCs w:val="22"/>
        </w:rPr>
        <w:t>Human Rights Watch encourages the Committee to ask the government of Indonesia:</w:t>
      </w:r>
    </w:p>
    <w:p w14:paraId="2A165195" w14:textId="650ECCFC" w:rsidR="00B36DE9" w:rsidRDefault="00B3669F" w:rsidP="00B46DFE">
      <w:pPr>
        <w:pStyle w:val="Listenabsatz"/>
        <w:numPr>
          <w:ilvl w:val="0"/>
          <w:numId w:val="19"/>
        </w:numPr>
        <w:rPr>
          <w:rFonts w:ascii="MetaPro-Norm" w:eastAsia="Calibri" w:hAnsi="MetaPro-Norm" w:cs="Arial"/>
          <w:sz w:val="22"/>
          <w:szCs w:val="22"/>
        </w:rPr>
      </w:pPr>
      <w:r w:rsidRPr="00B46DFE">
        <w:rPr>
          <w:rFonts w:ascii="MetaPro-Norm" w:eastAsia="Calibri" w:hAnsi="MetaPro-Norm" w:cs="Arial"/>
          <w:sz w:val="22"/>
          <w:szCs w:val="22"/>
        </w:rPr>
        <w:t xml:space="preserve">What concrete steps has the government taken to </w:t>
      </w:r>
      <w:r w:rsidR="00B36DE9" w:rsidRPr="00B46DFE">
        <w:rPr>
          <w:rFonts w:ascii="MetaPro-Norm" w:eastAsia="Calibri" w:hAnsi="MetaPro-Norm" w:cs="Arial"/>
          <w:sz w:val="22"/>
          <w:szCs w:val="22"/>
        </w:rPr>
        <w:t xml:space="preserve">ban all forms of involuntary treatment, including ECT, without the person’s free and informed consent? </w:t>
      </w:r>
    </w:p>
    <w:p w14:paraId="462DBA99" w14:textId="77777777" w:rsidR="008B2778" w:rsidRPr="00B46DFE" w:rsidRDefault="008B2778" w:rsidP="008B2778">
      <w:pPr>
        <w:pStyle w:val="Listenabsatz"/>
        <w:rPr>
          <w:rFonts w:ascii="MetaPro-Norm" w:eastAsia="Calibri" w:hAnsi="MetaPro-Norm" w:cs="Arial"/>
          <w:sz w:val="22"/>
          <w:szCs w:val="22"/>
        </w:rPr>
      </w:pPr>
    </w:p>
    <w:p w14:paraId="79F85173" w14:textId="48D592B3" w:rsidR="7106BE5F" w:rsidRPr="00B46DFE" w:rsidRDefault="7106BE5F" w:rsidP="00B46DFE">
      <w:pPr>
        <w:rPr>
          <w:rFonts w:ascii="MetaPro-Norm" w:eastAsia="MetaNormal-Roman" w:hAnsi="MetaPro-Norm" w:cs="MetaNormal-Roman"/>
          <w:sz w:val="22"/>
          <w:szCs w:val="22"/>
        </w:rPr>
      </w:pPr>
      <w:r w:rsidRPr="00B46DFE">
        <w:rPr>
          <w:rFonts w:ascii="MetaPro-Norm" w:eastAsia="MetaNormal-Roman" w:hAnsi="MetaPro-Norm" w:cs="MetaNormal-Roman"/>
          <w:i/>
          <w:iCs/>
          <w:color w:val="000000" w:themeColor="text1"/>
          <w:sz w:val="22"/>
          <w:szCs w:val="22"/>
        </w:rPr>
        <w:t>Human Rights Watch asks the Committee to consider including the following recommendations in its concluding observations on Indonesia:</w:t>
      </w:r>
    </w:p>
    <w:p w14:paraId="71DDD3CC" w14:textId="51DDB809" w:rsidR="00E96005" w:rsidRPr="00B46DFE" w:rsidRDefault="03350329" w:rsidP="00B46DFE">
      <w:pPr>
        <w:pStyle w:val="Listenabsatz"/>
        <w:numPr>
          <w:ilvl w:val="0"/>
          <w:numId w:val="30"/>
        </w:numPr>
        <w:rPr>
          <w:rFonts w:ascii="MetaPro-Norm" w:eastAsia="Calibri" w:hAnsi="MetaPro-Norm" w:cs="Arial"/>
          <w:sz w:val="22"/>
          <w:szCs w:val="22"/>
        </w:rPr>
      </w:pPr>
      <w:r w:rsidRPr="0979A876">
        <w:rPr>
          <w:rFonts w:ascii="MetaPro-Norm" w:eastAsia="Calibri" w:hAnsi="MetaPro-Norm" w:cs="Arial"/>
          <w:sz w:val="22"/>
          <w:szCs w:val="22"/>
        </w:rPr>
        <w:t>Ban all forms of involuntary treatment, including ECT, without the person’s free and informed consent and in all circumstances involving children.</w:t>
      </w:r>
    </w:p>
    <w:p w14:paraId="0B031C1A" w14:textId="383E2A0E" w:rsidR="7106BE5F" w:rsidRPr="00B46DFE" w:rsidRDefault="00E96005" w:rsidP="00B46DFE">
      <w:pPr>
        <w:pStyle w:val="Listenabsatz"/>
        <w:numPr>
          <w:ilvl w:val="0"/>
          <w:numId w:val="30"/>
        </w:numPr>
        <w:rPr>
          <w:rFonts w:ascii="MetaPro-Norm" w:eastAsia="Calibri" w:hAnsi="MetaPro-Norm" w:cs="Arial"/>
          <w:sz w:val="22"/>
          <w:szCs w:val="22"/>
        </w:rPr>
      </w:pPr>
      <w:r w:rsidRPr="00B46DFE">
        <w:rPr>
          <w:rFonts w:ascii="MetaPro-Norm" w:eastAsia="Calibri" w:hAnsi="MetaPro-Norm" w:cs="Arial"/>
          <w:sz w:val="22"/>
          <w:szCs w:val="22"/>
        </w:rPr>
        <w:t>Explicitly prohibit the use of seclusion and prolonged restraint. Define exceptional circumstances in which a patient may be considered temporarily unable to give free and informed consent and</w:t>
      </w:r>
      <w:r w:rsidR="0060032B">
        <w:rPr>
          <w:rFonts w:ascii="MetaPro-Norm" w:eastAsia="Calibri" w:hAnsi="MetaPro-Norm" w:cs="Arial"/>
          <w:sz w:val="22"/>
          <w:szCs w:val="22"/>
        </w:rPr>
        <w:t>,</w:t>
      </w:r>
      <w:r w:rsidRPr="00B46DFE">
        <w:rPr>
          <w:rFonts w:ascii="MetaPro-Norm" w:eastAsia="Calibri" w:hAnsi="MetaPro-Norm" w:cs="Arial"/>
          <w:sz w:val="22"/>
          <w:szCs w:val="22"/>
        </w:rPr>
        <w:t xml:space="preserve"> in such circumstances, immediate medical treatment may be administered as it would be to any other patient without a disability incapable of consenting to treatment at that moment, provided that the treatment is strictly necessary to address a life-threatening condition or a condition of similar gravity.</w:t>
      </w:r>
    </w:p>
    <w:p w14:paraId="2B03BD31" w14:textId="1C5D3B3E" w:rsidR="7106BE5F" w:rsidRDefault="7106BE5F" w:rsidP="7106BE5F"/>
    <w:sectPr w:rsidR="7106BE5F" w:rsidSect="00717980">
      <w:footerReference w:type="default" r:id="rId15"/>
      <w:pgSz w:w="12240" w:h="15840"/>
      <w:pgMar w:top="1440"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25BBE" w14:textId="77777777" w:rsidR="00EF4CEB" w:rsidRDefault="00EF4CEB" w:rsidP="00C24D3D">
      <w:r>
        <w:separator/>
      </w:r>
    </w:p>
  </w:endnote>
  <w:endnote w:type="continuationSeparator" w:id="0">
    <w:p w14:paraId="2B0C97C0" w14:textId="77777777" w:rsidR="00EF4CEB" w:rsidRDefault="00EF4CEB" w:rsidP="00C24D3D">
      <w:r>
        <w:continuationSeparator/>
      </w:r>
    </w:p>
  </w:endnote>
  <w:endnote w:type="continuationNotice" w:id="1">
    <w:p w14:paraId="649C2E2B" w14:textId="77777777" w:rsidR="00EF4CEB" w:rsidRDefault="00EF4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taPro-Norm">
    <w:altName w:val="Arial"/>
    <w:panose1 w:val="00000000000000000000"/>
    <w:charset w:val="00"/>
    <w:family w:val="swiss"/>
    <w:notTrueType/>
    <w:pitch w:val="variable"/>
    <w:sig w:usb0="00000001" w:usb1="4000207B" w:usb2="00000000" w:usb3="00000000" w:csb0="0000009F" w:csb1="00000000"/>
  </w:font>
  <w:font w:name="MetaNormal-Roman">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913028"/>
      <w:docPartObj>
        <w:docPartGallery w:val="Page Numbers (Bottom of Page)"/>
        <w:docPartUnique/>
      </w:docPartObj>
    </w:sdtPr>
    <w:sdtEndPr>
      <w:rPr>
        <w:noProof/>
      </w:rPr>
    </w:sdtEndPr>
    <w:sdtContent>
      <w:p w14:paraId="15D1B65A" w14:textId="521390F7" w:rsidR="00743B9A" w:rsidRDefault="00743B9A">
        <w:pPr>
          <w:pStyle w:val="Fuzeile"/>
          <w:jc w:val="center"/>
        </w:pPr>
        <w:r>
          <w:fldChar w:fldCharType="begin"/>
        </w:r>
        <w:r>
          <w:instrText xml:space="preserve"> PAGE   \* MERGEFORMAT </w:instrText>
        </w:r>
        <w:r>
          <w:fldChar w:fldCharType="separate"/>
        </w:r>
        <w:r w:rsidR="007C6D07">
          <w:rPr>
            <w:noProof/>
          </w:rPr>
          <w:t>2</w:t>
        </w:r>
        <w:r>
          <w:rPr>
            <w:noProof/>
          </w:rPr>
          <w:fldChar w:fldCharType="end"/>
        </w:r>
      </w:p>
    </w:sdtContent>
  </w:sdt>
  <w:p w14:paraId="576F7132" w14:textId="77777777" w:rsidR="00743B9A" w:rsidRDefault="00743B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2C766" w14:textId="77777777" w:rsidR="00EF4CEB" w:rsidRDefault="00EF4CEB" w:rsidP="00C24D3D">
      <w:r>
        <w:separator/>
      </w:r>
    </w:p>
  </w:footnote>
  <w:footnote w:type="continuationSeparator" w:id="0">
    <w:p w14:paraId="45923B4A" w14:textId="77777777" w:rsidR="00EF4CEB" w:rsidRDefault="00EF4CEB" w:rsidP="00C24D3D">
      <w:r>
        <w:continuationSeparator/>
      </w:r>
    </w:p>
  </w:footnote>
  <w:footnote w:type="continuationNotice" w:id="1">
    <w:p w14:paraId="1B6127CE" w14:textId="77777777" w:rsidR="00EF4CEB" w:rsidRDefault="00EF4CEB"/>
  </w:footnote>
  <w:footnote w:id="2">
    <w:p w14:paraId="281C41B1" w14:textId="57777E5E" w:rsidR="00314212" w:rsidRPr="00EE6CE3" w:rsidRDefault="00314212" w:rsidP="005F6C0F">
      <w:pPr>
        <w:pStyle w:val="Funotentext"/>
        <w:rPr>
          <w:rFonts w:ascii="MetaPro-Norm" w:hAnsi="MetaPro-Norm"/>
          <w:i/>
          <w:sz w:val="16"/>
          <w:szCs w:val="16"/>
        </w:rPr>
      </w:pPr>
      <w:r w:rsidRPr="00EE6CE3">
        <w:rPr>
          <w:rStyle w:val="Funotenzeichen"/>
          <w:rFonts w:ascii="MetaPro-Norm" w:hAnsi="MetaPro-Norm"/>
          <w:sz w:val="16"/>
          <w:szCs w:val="16"/>
        </w:rPr>
        <w:footnoteRef/>
      </w:r>
      <w:r w:rsidRPr="00EE6CE3">
        <w:rPr>
          <w:rFonts w:ascii="MetaPro-Norm" w:hAnsi="MetaPro-Norm"/>
          <w:sz w:val="16"/>
          <w:szCs w:val="16"/>
        </w:rPr>
        <w:t xml:space="preserve"> </w:t>
      </w:r>
      <w:r w:rsidR="00CC3AB9" w:rsidRPr="005F6C0F">
        <w:rPr>
          <w:rFonts w:ascii="MetaPro-Norm" w:hAnsi="MetaPro-Norm"/>
          <w:sz w:val="16"/>
          <w:szCs w:val="16"/>
        </w:rPr>
        <w:t xml:space="preserve">Human Rights Watch, </w:t>
      </w:r>
      <w:r w:rsidR="00CC3AB9" w:rsidRPr="005F6C0F">
        <w:rPr>
          <w:rFonts w:ascii="MetaPro-Norm" w:hAnsi="MetaPro-Norm"/>
          <w:i/>
          <w:sz w:val="16"/>
          <w:szCs w:val="16"/>
        </w:rPr>
        <w:t>Living in Hell: Abuses against People with Psychosocial Disabilities in Indonesia</w:t>
      </w:r>
      <w:r w:rsidR="00CC3AB9" w:rsidRPr="005F6C0F">
        <w:rPr>
          <w:rFonts w:ascii="MetaPro-Norm" w:hAnsi="MetaPro-Norm"/>
          <w:sz w:val="16"/>
          <w:szCs w:val="16"/>
        </w:rPr>
        <w:t xml:space="preserve">, March </w:t>
      </w:r>
      <w:r w:rsidR="001626D2">
        <w:rPr>
          <w:rFonts w:ascii="MetaPro-Norm" w:hAnsi="MetaPro-Norm"/>
          <w:sz w:val="16"/>
          <w:szCs w:val="16"/>
        </w:rPr>
        <w:t xml:space="preserve">20, </w:t>
      </w:r>
      <w:r w:rsidR="00CC3AB9" w:rsidRPr="005F6C0F">
        <w:rPr>
          <w:rFonts w:ascii="MetaPro-Norm" w:hAnsi="MetaPro-Norm"/>
          <w:sz w:val="16"/>
          <w:szCs w:val="16"/>
        </w:rPr>
        <w:t xml:space="preserve">2016, </w:t>
      </w:r>
      <w:r w:rsidR="00487E4B" w:rsidRPr="005F6C0F">
        <w:rPr>
          <w:rFonts w:ascii="MetaPro-Norm" w:hAnsi="MetaPro-Norm"/>
          <w:sz w:val="16"/>
          <w:szCs w:val="16"/>
        </w:rPr>
        <w:t>https://www.hrw.org/sites/default/files/report_pdf/indonesia0316web.pdf.</w:t>
      </w:r>
      <w:r w:rsidR="00487E4B" w:rsidRPr="00EE6CE3">
        <w:rPr>
          <w:rFonts w:ascii="MetaPro-Norm" w:hAnsi="MetaPro-Norm"/>
          <w:sz w:val="16"/>
          <w:szCs w:val="16"/>
        </w:rPr>
        <w:t xml:space="preserve"> </w:t>
      </w:r>
    </w:p>
  </w:footnote>
  <w:footnote w:id="3">
    <w:p w14:paraId="102213DB" w14:textId="3A5ABCBA" w:rsidR="005F0AD9" w:rsidRPr="005F6C0F" w:rsidRDefault="005F0AD9" w:rsidP="005F6C0F">
      <w:pPr>
        <w:pStyle w:val="Funotentext"/>
        <w:rPr>
          <w:rFonts w:ascii="MetaPro-Norm" w:hAnsi="MetaPro-Norm"/>
          <w:sz w:val="16"/>
          <w:szCs w:val="16"/>
        </w:rPr>
      </w:pPr>
      <w:r w:rsidRPr="00C57C53">
        <w:rPr>
          <w:rStyle w:val="Funotenzeichen"/>
          <w:rFonts w:ascii="MetaPro-Norm" w:hAnsi="MetaPro-Norm"/>
          <w:sz w:val="16"/>
          <w:szCs w:val="16"/>
        </w:rPr>
        <w:footnoteRef/>
      </w:r>
      <w:r w:rsidRPr="00C57C53">
        <w:rPr>
          <w:rFonts w:ascii="MetaPro-Norm" w:hAnsi="MetaPro-Norm"/>
          <w:sz w:val="16"/>
          <w:szCs w:val="16"/>
        </w:rPr>
        <w:t xml:space="preserve"> </w:t>
      </w:r>
      <w:r w:rsidR="00F95433" w:rsidRPr="00F95433">
        <w:rPr>
          <w:rFonts w:ascii="MetaPro-Norm" w:hAnsi="MetaPro-Norm"/>
          <w:sz w:val="16"/>
          <w:szCs w:val="16"/>
        </w:rPr>
        <w:t>“</w:t>
      </w:r>
      <w:r w:rsidRPr="00C57C53">
        <w:rPr>
          <w:rFonts w:ascii="MetaPro-Norm" w:hAnsi="MetaPro-Norm"/>
          <w:iCs/>
          <w:sz w:val="16"/>
          <w:szCs w:val="16"/>
        </w:rPr>
        <w:t>Indonesia: Shackling Reduced, But Persists</w:t>
      </w:r>
      <w:r w:rsidR="00AD7149" w:rsidRPr="00C57C53">
        <w:rPr>
          <w:rFonts w:ascii="MetaPro-Norm" w:hAnsi="MetaPro-Norm"/>
          <w:iCs/>
          <w:sz w:val="16"/>
          <w:szCs w:val="16"/>
        </w:rPr>
        <w:t>,</w:t>
      </w:r>
      <w:r w:rsidR="00FE03CB" w:rsidRPr="00C57C53">
        <w:rPr>
          <w:rFonts w:ascii="MetaPro-Norm" w:hAnsi="MetaPro-Norm"/>
          <w:iCs/>
          <w:sz w:val="16"/>
          <w:szCs w:val="16"/>
        </w:rPr>
        <w:t>”</w:t>
      </w:r>
      <w:r w:rsidR="00AD7149" w:rsidRPr="005F6C0F">
        <w:rPr>
          <w:rFonts w:ascii="MetaPro-Norm" w:hAnsi="MetaPro-Norm"/>
          <w:i/>
          <w:sz w:val="16"/>
          <w:szCs w:val="16"/>
        </w:rPr>
        <w:t xml:space="preserve"> </w:t>
      </w:r>
      <w:r w:rsidR="0086702D">
        <w:rPr>
          <w:rFonts w:ascii="MetaPro-Norm" w:hAnsi="MetaPro-Norm"/>
          <w:sz w:val="16"/>
          <w:szCs w:val="16"/>
        </w:rPr>
        <w:t xml:space="preserve">Human Rights Watch news release, </w:t>
      </w:r>
      <w:r w:rsidR="00845C55" w:rsidRPr="005F6C0F">
        <w:rPr>
          <w:rFonts w:ascii="MetaPro-Norm" w:hAnsi="MetaPro-Norm"/>
          <w:sz w:val="16"/>
          <w:szCs w:val="16"/>
        </w:rPr>
        <w:t>October 2, 2018,</w:t>
      </w:r>
      <w:r w:rsidR="0038037F">
        <w:rPr>
          <w:rFonts w:ascii="MetaPro-Norm" w:hAnsi="MetaPro-Norm"/>
          <w:sz w:val="16"/>
          <w:szCs w:val="16"/>
        </w:rPr>
        <w:t xml:space="preserve"> </w:t>
      </w:r>
      <w:r w:rsidR="00845C55" w:rsidRPr="005F6C0F">
        <w:rPr>
          <w:rFonts w:ascii="MetaPro-Norm" w:hAnsi="MetaPro-Norm"/>
          <w:sz w:val="16"/>
          <w:szCs w:val="16"/>
        </w:rPr>
        <w:t xml:space="preserve">https://www.hrw.org/news/2018/10/02/indonesia-shackling-reduced-persists. </w:t>
      </w:r>
    </w:p>
  </w:footnote>
  <w:footnote w:id="4">
    <w:p w14:paraId="1FA50385" w14:textId="0965DBEF" w:rsidR="00845C55" w:rsidRPr="005F6C0F" w:rsidRDefault="00845C55"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Human Rights Watch, </w:t>
      </w:r>
      <w:r w:rsidRPr="005F6C0F">
        <w:rPr>
          <w:rFonts w:ascii="MetaPro-Norm" w:hAnsi="MetaPro-Norm"/>
          <w:i/>
          <w:sz w:val="16"/>
          <w:szCs w:val="16"/>
        </w:rPr>
        <w:t>Living in Chains: Shackling of People with Psychosocial Disabilities Worldwide</w:t>
      </w:r>
      <w:r w:rsidRPr="005F6C0F">
        <w:rPr>
          <w:rFonts w:ascii="MetaPro-Norm" w:hAnsi="MetaPro-Norm"/>
          <w:sz w:val="16"/>
          <w:szCs w:val="16"/>
        </w:rPr>
        <w:t>, October 6, 2020,</w:t>
      </w:r>
      <w:r w:rsidR="0038037F">
        <w:rPr>
          <w:rFonts w:ascii="MetaPro-Norm" w:hAnsi="MetaPro-Norm"/>
          <w:sz w:val="16"/>
          <w:szCs w:val="16"/>
        </w:rPr>
        <w:t xml:space="preserve"> </w:t>
      </w:r>
      <w:r w:rsidR="00412DB8" w:rsidRPr="005F6C0F">
        <w:rPr>
          <w:rFonts w:ascii="MetaPro-Norm" w:hAnsi="MetaPro-Norm"/>
          <w:sz w:val="16"/>
          <w:szCs w:val="16"/>
        </w:rPr>
        <w:t xml:space="preserve">https://www.hrw.org/sites/default/files/media_2020/10/global_shackling1020_web_2.pdf. </w:t>
      </w:r>
    </w:p>
  </w:footnote>
  <w:footnote w:id="5">
    <w:p w14:paraId="7B404B1C" w14:textId="272EABB0" w:rsidR="00D63273" w:rsidRPr="005F6C0F" w:rsidRDefault="00D63273"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Human Rights Watch, </w:t>
      </w:r>
      <w:r w:rsidRPr="005F6C0F">
        <w:rPr>
          <w:rFonts w:ascii="MetaPro-Norm" w:hAnsi="MetaPro-Norm"/>
          <w:i/>
          <w:sz w:val="16"/>
          <w:szCs w:val="16"/>
        </w:rPr>
        <w:t>Living in Hell</w:t>
      </w:r>
      <w:r w:rsidRPr="005F6C0F">
        <w:rPr>
          <w:rFonts w:ascii="MetaPro-Norm" w:hAnsi="MetaPro-Norm"/>
          <w:sz w:val="16"/>
          <w:szCs w:val="16"/>
        </w:rPr>
        <w:t xml:space="preserve">, </w:t>
      </w:r>
      <w:r w:rsidR="00973716" w:rsidRPr="005F6C0F">
        <w:rPr>
          <w:rFonts w:ascii="MetaPro-Norm" w:hAnsi="MetaPro-Norm"/>
          <w:sz w:val="16"/>
          <w:szCs w:val="16"/>
        </w:rPr>
        <w:t>https://www.hrw.org/sites/default/files/report_pdf/indonesia0316web.pdf</w:t>
      </w:r>
      <w:r w:rsidR="00797509">
        <w:rPr>
          <w:rFonts w:ascii="MetaPro-Norm" w:hAnsi="MetaPro-Norm"/>
          <w:sz w:val="16"/>
          <w:szCs w:val="16"/>
        </w:rPr>
        <w:t>,</w:t>
      </w:r>
      <w:r w:rsidR="00973716" w:rsidRPr="005F6C0F">
        <w:rPr>
          <w:rFonts w:ascii="MetaPro-Norm" w:hAnsi="MetaPro-Norm"/>
          <w:sz w:val="16"/>
          <w:szCs w:val="16"/>
        </w:rPr>
        <w:t xml:space="preserve"> </w:t>
      </w:r>
      <w:r w:rsidRPr="005F6C0F">
        <w:rPr>
          <w:rFonts w:ascii="MetaPro-Norm" w:hAnsi="MetaPro-Norm"/>
          <w:sz w:val="16"/>
          <w:szCs w:val="16"/>
        </w:rPr>
        <w:t xml:space="preserve">pp. 68–69. </w:t>
      </w:r>
    </w:p>
  </w:footnote>
  <w:footnote w:id="6">
    <w:p w14:paraId="0FA8F239" w14:textId="4BE5B3E3" w:rsidR="003F6AD4" w:rsidRPr="005F6C0F" w:rsidRDefault="003F6AD4"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106435">
        <w:rPr>
          <w:rFonts w:ascii="MetaPro-Norm" w:hAnsi="MetaPro-Norm"/>
          <w:sz w:val="16"/>
          <w:szCs w:val="16"/>
        </w:rPr>
        <w:t>Ibid.</w:t>
      </w:r>
      <w:r w:rsidR="002D1A77">
        <w:rPr>
          <w:rFonts w:ascii="MetaPro-Norm" w:hAnsi="MetaPro-Norm"/>
          <w:sz w:val="16"/>
          <w:szCs w:val="16"/>
        </w:rPr>
        <w:t>,</w:t>
      </w:r>
      <w:r w:rsidRPr="005F6C0F">
        <w:rPr>
          <w:rFonts w:ascii="MetaPro-Norm" w:hAnsi="MetaPro-Norm"/>
          <w:sz w:val="16"/>
          <w:szCs w:val="16"/>
        </w:rPr>
        <w:t xml:space="preserve"> p. 69. </w:t>
      </w:r>
    </w:p>
  </w:footnote>
  <w:footnote w:id="7">
    <w:p w14:paraId="1FFDEE52" w14:textId="2B8FCD63" w:rsidR="003F6AD4" w:rsidRPr="005F6C0F" w:rsidRDefault="003F6AD4"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Constitution of Indonesia, Law No. 4 of 1997, art. 1; Human Rights Watch, </w:t>
      </w:r>
      <w:r w:rsidRPr="005F6C0F">
        <w:rPr>
          <w:rFonts w:ascii="MetaPro-Norm" w:hAnsi="MetaPro-Norm"/>
          <w:i/>
          <w:sz w:val="16"/>
          <w:szCs w:val="16"/>
        </w:rPr>
        <w:t>Living in Hell</w:t>
      </w:r>
      <w:r w:rsidRPr="005F6C0F">
        <w:rPr>
          <w:rFonts w:ascii="MetaPro-Norm" w:hAnsi="MetaPro-Norm"/>
          <w:sz w:val="16"/>
          <w:szCs w:val="16"/>
        </w:rPr>
        <w:t>,</w:t>
      </w:r>
      <w:r w:rsidR="0038037F">
        <w:rPr>
          <w:rFonts w:ascii="MetaPro-Norm" w:hAnsi="MetaPro-Norm"/>
          <w:sz w:val="16"/>
          <w:szCs w:val="16"/>
        </w:rPr>
        <w:t xml:space="preserve"> </w:t>
      </w:r>
      <w:r w:rsidR="00387BFC" w:rsidRPr="005F6C0F">
        <w:rPr>
          <w:rFonts w:ascii="MetaPro-Norm" w:hAnsi="MetaPro-Norm"/>
          <w:sz w:val="16"/>
          <w:szCs w:val="16"/>
        </w:rPr>
        <w:t>https://www.hrw.org/sites/default/files/report_pdf/indonesia0316web.pdf</w:t>
      </w:r>
      <w:r w:rsidR="007A54D7">
        <w:rPr>
          <w:rFonts w:ascii="MetaPro-Norm" w:hAnsi="MetaPro-Norm"/>
          <w:sz w:val="16"/>
          <w:szCs w:val="16"/>
        </w:rPr>
        <w:t>,</w:t>
      </w:r>
      <w:r w:rsidR="00387BFC" w:rsidRPr="005F6C0F">
        <w:rPr>
          <w:rFonts w:ascii="MetaPro-Norm" w:hAnsi="MetaPro-Norm"/>
          <w:sz w:val="16"/>
          <w:szCs w:val="16"/>
        </w:rPr>
        <w:t xml:space="preserve"> </w:t>
      </w:r>
      <w:r w:rsidRPr="005F6C0F">
        <w:rPr>
          <w:rFonts w:ascii="MetaPro-Norm" w:hAnsi="MetaPro-Norm"/>
          <w:sz w:val="16"/>
          <w:szCs w:val="16"/>
        </w:rPr>
        <w:t xml:space="preserve">p. 69. </w:t>
      </w:r>
    </w:p>
  </w:footnote>
  <w:footnote w:id="8">
    <w:p w14:paraId="18E029B7" w14:textId="4D53C3A4" w:rsidR="00982DCD" w:rsidRPr="005F6C0F" w:rsidRDefault="00982DCD"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Human Rights Watch, </w:t>
      </w:r>
      <w:r w:rsidRPr="005F6C0F">
        <w:rPr>
          <w:rFonts w:ascii="MetaPro-Norm" w:hAnsi="MetaPro-Norm"/>
          <w:i/>
          <w:sz w:val="16"/>
          <w:szCs w:val="16"/>
        </w:rPr>
        <w:t>Living in Hell</w:t>
      </w:r>
      <w:r w:rsidRPr="005F6C0F">
        <w:rPr>
          <w:rFonts w:ascii="MetaPro-Norm" w:hAnsi="MetaPro-Norm"/>
          <w:sz w:val="16"/>
          <w:szCs w:val="16"/>
        </w:rPr>
        <w:t xml:space="preserve">, </w:t>
      </w:r>
      <w:r w:rsidR="003E5C12" w:rsidRPr="005F6C0F">
        <w:rPr>
          <w:rFonts w:ascii="MetaPro-Norm" w:hAnsi="MetaPro-Norm"/>
          <w:sz w:val="16"/>
          <w:szCs w:val="16"/>
        </w:rPr>
        <w:t>https://www.hrw.org/sites/default/files/report_pdf/indonesia0316web.pdf</w:t>
      </w:r>
      <w:r w:rsidR="003E5C12">
        <w:rPr>
          <w:rFonts w:ascii="MetaPro-Norm" w:hAnsi="MetaPro-Norm"/>
          <w:sz w:val="16"/>
          <w:szCs w:val="16"/>
        </w:rPr>
        <w:t>,</w:t>
      </w:r>
      <w:r w:rsidR="003E5C12" w:rsidRPr="005F6C0F">
        <w:rPr>
          <w:rFonts w:ascii="MetaPro-Norm" w:hAnsi="MetaPro-Norm"/>
          <w:sz w:val="16"/>
          <w:szCs w:val="16"/>
        </w:rPr>
        <w:t xml:space="preserve"> </w:t>
      </w:r>
      <w:r w:rsidRPr="005F6C0F">
        <w:rPr>
          <w:rFonts w:ascii="MetaPro-Norm" w:hAnsi="MetaPro-Norm"/>
          <w:sz w:val="16"/>
          <w:szCs w:val="16"/>
        </w:rPr>
        <w:t xml:space="preserve">p. 69. </w:t>
      </w:r>
    </w:p>
  </w:footnote>
  <w:footnote w:id="9">
    <w:p w14:paraId="636129CA" w14:textId="4FEFB45A" w:rsidR="00982DCD" w:rsidRPr="005F6C0F" w:rsidRDefault="00982DCD"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Mental Health Act, 2014, arts. 7, 26, 34, 40, 79. </w:t>
      </w:r>
    </w:p>
  </w:footnote>
  <w:footnote w:id="10">
    <w:p w14:paraId="17924962" w14:textId="1B8944B8" w:rsidR="00982DCD" w:rsidRPr="005F6C0F" w:rsidRDefault="00982DCD"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Ibid., art. 85 (g). </w:t>
      </w:r>
    </w:p>
  </w:footnote>
  <w:footnote w:id="11">
    <w:p w14:paraId="58CED898" w14:textId="0EE59E62" w:rsidR="00982DCD" w:rsidRPr="005F6C0F" w:rsidRDefault="00982DCD"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Ibid., art</w:t>
      </w:r>
      <w:r w:rsidR="00305827">
        <w:rPr>
          <w:rFonts w:ascii="MetaPro-Norm" w:hAnsi="MetaPro-Norm"/>
          <w:sz w:val="16"/>
          <w:szCs w:val="16"/>
        </w:rPr>
        <w:t>s</w:t>
      </w:r>
      <w:r w:rsidRPr="005F6C0F">
        <w:rPr>
          <w:rFonts w:ascii="MetaPro-Norm" w:hAnsi="MetaPro-Norm"/>
          <w:sz w:val="16"/>
          <w:szCs w:val="16"/>
        </w:rPr>
        <w:t>. 7, 8.</w:t>
      </w:r>
    </w:p>
  </w:footnote>
  <w:footnote w:id="12">
    <w:p w14:paraId="279ABC66" w14:textId="3836D9B6" w:rsidR="00E15ACA" w:rsidRPr="005F6C0F" w:rsidRDefault="00E15ACA"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Ibid., art</w:t>
      </w:r>
      <w:r w:rsidR="00305827">
        <w:rPr>
          <w:rFonts w:ascii="MetaPro-Norm" w:hAnsi="MetaPro-Norm"/>
          <w:sz w:val="16"/>
          <w:szCs w:val="16"/>
        </w:rPr>
        <w:t>s</w:t>
      </w:r>
      <w:r w:rsidRPr="005F6C0F">
        <w:rPr>
          <w:rFonts w:ascii="MetaPro-Norm" w:hAnsi="MetaPro-Norm"/>
          <w:sz w:val="16"/>
          <w:szCs w:val="16"/>
        </w:rPr>
        <w:t xml:space="preserve">. 70, 43. </w:t>
      </w:r>
    </w:p>
  </w:footnote>
  <w:footnote w:id="13">
    <w:p w14:paraId="1D5F575D" w14:textId="23D49B00" w:rsidR="00E15ACA" w:rsidRPr="005F6C0F" w:rsidRDefault="00E15ACA"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Ibid., art. 86.  </w:t>
      </w:r>
    </w:p>
  </w:footnote>
  <w:footnote w:id="14">
    <w:p w14:paraId="4A1F1ECD" w14:textId="73271A73" w:rsidR="00E15ACA" w:rsidRPr="005F6C0F" w:rsidRDefault="00E15ACA"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Ibid., art</w:t>
      </w:r>
      <w:r w:rsidR="00305827">
        <w:rPr>
          <w:rFonts w:ascii="MetaPro-Norm" w:hAnsi="MetaPro-Norm"/>
          <w:sz w:val="16"/>
          <w:szCs w:val="16"/>
        </w:rPr>
        <w:t>s</w:t>
      </w:r>
      <w:r w:rsidRPr="005F6C0F">
        <w:rPr>
          <w:rFonts w:ascii="MetaPro-Norm" w:hAnsi="MetaPro-Norm"/>
          <w:sz w:val="16"/>
          <w:szCs w:val="16"/>
        </w:rPr>
        <w:t xml:space="preserve">. 2, 28. </w:t>
      </w:r>
    </w:p>
  </w:footnote>
  <w:footnote w:id="15">
    <w:p w14:paraId="0AA07CA2" w14:textId="1FD191F0" w:rsidR="00E15ACA" w:rsidRPr="005F6C0F" w:rsidRDefault="00E15ACA"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Ibid., art</w:t>
      </w:r>
      <w:r w:rsidR="00305827">
        <w:rPr>
          <w:rFonts w:ascii="MetaPro-Norm" w:hAnsi="MetaPro-Norm"/>
          <w:sz w:val="16"/>
          <w:szCs w:val="16"/>
        </w:rPr>
        <w:t>s</w:t>
      </w:r>
      <w:r w:rsidRPr="005F6C0F">
        <w:rPr>
          <w:rFonts w:ascii="MetaPro-Norm" w:hAnsi="MetaPro-Norm"/>
          <w:sz w:val="16"/>
          <w:szCs w:val="16"/>
        </w:rPr>
        <w:t xml:space="preserve">. 21, 70, 71, 72. </w:t>
      </w:r>
    </w:p>
  </w:footnote>
  <w:footnote w:id="16">
    <w:p w14:paraId="34B7BE99" w14:textId="3AC8759B" w:rsidR="00E15ACA" w:rsidRPr="005F6C0F" w:rsidRDefault="00E15ACA"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Ibid., art. 21. </w:t>
      </w:r>
    </w:p>
  </w:footnote>
  <w:footnote w:id="17">
    <w:p w14:paraId="00AF4B3E" w14:textId="273BF4A5" w:rsidR="0029609C" w:rsidRPr="005F6C0F" w:rsidRDefault="0029609C"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Ibid. </w:t>
      </w:r>
    </w:p>
  </w:footnote>
  <w:footnote w:id="18">
    <w:p w14:paraId="2CCDD4E7" w14:textId="58A80E92" w:rsidR="0029609C" w:rsidRPr="005F6C0F" w:rsidRDefault="0029609C"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Human Rights Watch, </w:t>
      </w:r>
      <w:r w:rsidRPr="005F6C0F">
        <w:rPr>
          <w:rFonts w:ascii="MetaPro-Norm" w:hAnsi="MetaPro-Norm"/>
          <w:i/>
          <w:sz w:val="16"/>
          <w:szCs w:val="16"/>
        </w:rPr>
        <w:t>Living in Hell</w:t>
      </w:r>
      <w:r w:rsidRPr="005F6C0F">
        <w:rPr>
          <w:rFonts w:ascii="MetaPro-Norm" w:hAnsi="MetaPro-Norm"/>
          <w:sz w:val="16"/>
          <w:szCs w:val="16"/>
        </w:rPr>
        <w:t xml:space="preserve">, </w:t>
      </w:r>
      <w:r w:rsidR="00BD7F97" w:rsidRPr="005F6C0F">
        <w:rPr>
          <w:rFonts w:ascii="MetaPro-Norm" w:hAnsi="MetaPro-Norm"/>
          <w:sz w:val="16"/>
          <w:szCs w:val="16"/>
        </w:rPr>
        <w:t>https://www.hrw.org/sites/default/files/report_pdf/indonesia0316web.pdf</w:t>
      </w:r>
      <w:r w:rsidR="00AA31A6">
        <w:rPr>
          <w:rFonts w:ascii="MetaPro-Norm" w:hAnsi="MetaPro-Norm"/>
          <w:sz w:val="16"/>
          <w:szCs w:val="16"/>
        </w:rPr>
        <w:t>,</w:t>
      </w:r>
      <w:r w:rsidR="00BD7F97" w:rsidRPr="005F6C0F">
        <w:rPr>
          <w:rFonts w:ascii="MetaPro-Norm" w:hAnsi="MetaPro-Norm"/>
          <w:sz w:val="16"/>
          <w:szCs w:val="16"/>
        </w:rPr>
        <w:t xml:space="preserve"> </w:t>
      </w:r>
      <w:r w:rsidRPr="005F6C0F">
        <w:rPr>
          <w:rFonts w:ascii="MetaPro-Norm" w:hAnsi="MetaPro-Norm"/>
          <w:sz w:val="16"/>
          <w:szCs w:val="16"/>
        </w:rPr>
        <w:t xml:space="preserve">p. 71. </w:t>
      </w:r>
    </w:p>
  </w:footnote>
  <w:footnote w:id="19">
    <w:p w14:paraId="1DCC1304" w14:textId="27017B12" w:rsidR="0029609C" w:rsidRPr="005F6C0F" w:rsidRDefault="0029609C"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AA31A6">
        <w:rPr>
          <w:rFonts w:ascii="MetaPro-Norm" w:hAnsi="MetaPro-Norm"/>
          <w:sz w:val="16"/>
          <w:szCs w:val="16"/>
        </w:rPr>
        <w:t>Ibid.</w:t>
      </w:r>
      <w:r w:rsidRPr="005F6C0F">
        <w:rPr>
          <w:rFonts w:ascii="MetaPro-Norm" w:hAnsi="MetaPro-Norm"/>
          <w:sz w:val="16"/>
          <w:szCs w:val="16"/>
        </w:rPr>
        <w:t xml:space="preserve"> </w:t>
      </w:r>
    </w:p>
  </w:footnote>
  <w:footnote w:id="20">
    <w:p w14:paraId="27247B92" w14:textId="280788C2" w:rsidR="00AD7149" w:rsidRPr="005F6C0F" w:rsidRDefault="00AD7149"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AA31A6" w:rsidRPr="00F95433">
        <w:rPr>
          <w:rFonts w:ascii="MetaPro-Norm" w:hAnsi="MetaPro-Norm"/>
          <w:sz w:val="16"/>
          <w:szCs w:val="16"/>
        </w:rPr>
        <w:t>“</w:t>
      </w:r>
      <w:r w:rsidR="00AA31A6" w:rsidRPr="00DD79B2">
        <w:rPr>
          <w:rFonts w:ascii="MetaPro-Norm" w:hAnsi="MetaPro-Norm"/>
          <w:iCs/>
          <w:sz w:val="16"/>
          <w:szCs w:val="16"/>
        </w:rPr>
        <w:t>Indonesia: Shackling Reduced, But Persists,”</w:t>
      </w:r>
      <w:r w:rsidR="00AA31A6" w:rsidRPr="005F6C0F">
        <w:rPr>
          <w:rFonts w:ascii="MetaPro-Norm" w:hAnsi="MetaPro-Norm"/>
          <w:i/>
          <w:sz w:val="16"/>
          <w:szCs w:val="16"/>
        </w:rPr>
        <w:t xml:space="preserve"> </w:t>
      </w:r>
      <w:r w:rsidR="00AA31A6">
        <w:rPr>
          <w:rFonts w:ascii="MetaPro-Norm" w:hAnsi="MetaPro-Norm"/>
          <w:sz w:val="16"/>
          <w:szCs w:val="16"/>
        </w:rPr>
        <w:t xml:space="preserve">Human Rights Watch news release, </w:t>
      </w:r>
      <w:r w:rsidR="00AA31A6" w:rsidRPr="005F6C0F">
        <w:rPr>
          <w:rFonts w:ascii="MetaPro-Norm" w:hAnsi="MetaPro-Norm"/>
          <w:sz w:val="16"/>
          <w:szCs w:val="16"/>
        </w:rPr>
        <w:t>https://www.hrw.org/news/2018/10/02/indonesia-shackling-reduced-persists</w:t>
      </w:r>
      <w:r w:rsidR="00AA31A6">
        <w:rPr>
          <w:rFonts w:ascii="MetaPro-Norm" w:hAnsi="MetaPro-Norm"/>
          <w:sz w:val="16"/>
          <w:szCs w:val="16"/>
        </w:rPr>
        <w:t>.</w:t>
      </w:r>
    </w:p>
  </w:footnote>
  <w:footnote w:id="21">
    <w:p w14:paraId="622FC3F2" w14:textId="582C0CD4" w:rsidR="002F60E8" w:rsidRPr="008B4195" w:rsidRDefault="002F60E8" w:rsidP="005F6C0F">
      <w:pPr>
        <w:pStyle w:val="Funotentext"/>
        <w:rPr>
          <w:rFonts w:ascii="MetaPro-Norm" w:hAnsi="MetaPro-Norm"/>
          <w:sz w:val="16"/>
          <w:szCs w:val="16"/>
        </w:rPr>
      </w:pPr>
      <w:r w:rsidRPr="008B4195">
        <w:rPr>
          <w:rStyle w:val="Funotenzeichen"/>
          <w:rFonts w:ascii="MetaPro-Norm" w:hAnsi="MetaPro-Norm"/>
          <w:sz w:val="16"/>
          <w:szCs w:val="16"/>
        </w:rPr>
        <w:footnoteRef/>
      </w:r>
      <w:r w:rsidRPr="008B4195">
        <w:rPr>
          <w:rFonts w:ascii="MetaPro-Norm" w:hAnsi="MetaPro-Norm"/>
          <w:sz w:val="16"/>
          <w:szCs w:val="16"/>
        </w:rPr>
        <w:t xml:space="preserve"> Human Rights Watch, </w:t>
      </w:r>
      <w:r w:rsidR="009A2EA6" w:rsidRPr="008B4195">
        <w:rPr>
          <w:rFonts w:ascii="MetaPro-Norm" w:hAnsi="MetaPro-Norm"/>
          <w:i/>
          <w:iCs/>
          <w:sz w:val="16"/>
          <w:szCs w:val="16"/>
        </w:rPr>
        <w:t>Living in Hell</w:t>
      </w:r>
      <w:r w:rsidR="00C539A5" w:rsidRPr="008B4195">
        <w:rPr>
          <w:rFonts w:ascii="MetaPro-Norm" w:hAnsi="MetaPro-Norm"/>
          <w:sz w:val="16"/>
          <w:szCs w:val="16"/>
        </w:rPr>
        <w:t xml:space="preserve">, </w:t>
      </w:r>
      <w:r w:rsidR="00B31C52" w:rsidRPr="005F6C0F">
        <w:rPr>
          <w:rFonts w:ascii="MetaPro-Norm" w:hAnsi="MetaPro-Norm"/>
          <w:sz w:val="16"/>
          <w:szCs w:val="16"/>
        </w:rPr>
        <w:t>https://www.hrw.org/sites/default/files/report_pdf/indonesia0316web.pdf</w:t>
      </w:r>
      <w:r w:rsidR="00B31C52">
        <w:rPr>
          <w:rFonts w:ascii="MetaPro-Norm" w:hAnsi="MetaPro-Norm"/>
          <w:sz w:val="16"/>
          <w:szCs w:val="16"/>
        </w:rPr>
        <w:t>,</w:t>
      </w:r>
      <w:r w:rsidR="00B31C52" w:rsidRPr="005F6C0F">
        <w:rPr>
          <w:rFonts w:ascii="MetaPro-Norm" w:hAnsi="MetaPro-Norm"/>
          <w:sz w:val="16"/>
          <w:szCs w:val="16"/>
        </w:rPr>
        <w:t xml:space="preserve"> </w:t>
      </w:r>
      <w:r w:rsidR="00C539A5" w:rsidRPr="008B4195">
        <w:rPr>
          <w:rFonts w:ascii="MetaPro-Norm" w:hAnsi="MetaPro-Norm"/>
          <w:sz w:val="16"/>
          <w:szCs w:val="16"/>
        </w:rPr>
        <w:t xml:space="preserve">pp. </w:t>
      </w:r>
      <w:r w:rsidRPr="008B4195">
        <w:rPr>
          <w:rFonts w:ascii="MetaPro-Norm" w:hAnsi="MetaPro-Norm"/>
          <w:sz w:val="16"/>
          <w:szCs w:val="16"/>
        </w:rPr>
        <w:t>III</w:t>
      </w:r>
      <w:r w:rsidR="00C539A5" w:rsidRPr="008B4195">
        <w:rPr>
          <w:rFonts w:ascii="MetaPro-Norm" w:hAnsi="MetaPro-Norm"/>
          <w:sz w:val="16"/>
          <w:szCs w:val="16"/>
        </w:rPr>
        <w:t>-</w:t>
      </w:r>
      <w:r w:rsidR="006350FC" w:rsidRPr="008B4195">
        <w:rPr>
          <w:rFonts w:ascii="MetaPro-Norm" w:hAnsi="MetaPro-Norm"/>
          <w:sz w:val="16"/>
          <w:szCs w:val="16"/>
        </w:rPr>
        <w:t>IV.</w:t>
      </w:r>
    </w:p>
  </w:footnote>
  <w:footnote w:id="22">
    <w:p w14:paraId="28C53BFA" w14:textId="1A8A0CFD" w:rsidR="000C2143" w:rsidRPr="008B4195" w:rsidRDefault="000C2143" w:rsidP="005F6C0F">
      <w:pPr>
        <w:pStyle w:val="Funotentext"/>
        <w:rPr>
          <w:rFonts w:ascii="MetaPro-Norm" w:hAnsi="MetaPro-Norm"/>
          <w:sz w:val="16"/>
          <w:szCs w:val="16"/>
        </w:rPr>
      </w:pPr>
      <w:r w:rsidRPr="008B4195">
        <w:rPr>
          <w:rStyle w:val="Funotenzeichen"/>
          <w:rFonts w:ascii="MetaPro-Norm" w:hAnsi="MetaPro-Norm"/>
          <w:sz w:val="16"/>
          <w:szCs w:val="16"/>
        </w:rPr>
        <w:footnoteRef/>
      </w:r>
      <w:r w:rsidRPr="008B4195">
        <w:rPr>
          <w:rFonts w:ascii="MetaPro-Norm" w:hAnsi="MetaPro-Norm"/>
          <w:sz w:val="16"/>
          <w:szCs w:val="16"/>
        </w:rPr>
        <w:t xml:space="preserve"> Ibid., p. 58.</w:t>
      </w:r>
      <w:r w:rsidR="00D2556E">
        <w:rPr>
          <w:rFonts w:ascii="MetaPro-Norm" w:hAnsi="MetaPro-Norm"/>
          <w:sz w:val="16"/>
          <w:szCs w:val="16"/>
        </w:rPr>
        <w:t xml:space="preserve"> </w:t>
      </w:r>
      <w:r w:rsidR="00D2556E" w:rsidRPr="005F6C0F">
        <w:rPr>
          <w:rFonts w:ascii="MetaPro-Norm" w:hAnsi="MetaPro-Norm"/>
          <w:sz w:val="16"/>
          <w:szCs w:val="16"/>
        </w:rPr>
        <w:t xml:space="preserve">Human Rights Watch, </w:t>
      </w:r>
      <w:r w:rsidR="00D2556E" w:rsidRPr="005F6C0F">
        <w:rPr>
          <w:rFonts w:ascii="MetaPro-Norm" w:hAnsi="MetaPro-Norm"/>
          <w:i/>
          <w:sz w:val="16"/>
          <w:szCs w:val="16"/>
        </w:rPr>
        <w:t>Living in Chains</w:t>
      </w:r>
      <w:r w:rsidR="00D2556E" w:rsidRPr="005F6C0F">
        <w:rPr>
          <w:rFonts w:ascii="MetaPro-Norm" w:hAnsi="MetaPro-Norm"/>
          <w:sz w:val="16"/>
          <w:szCs w:val="16"/>
        </w:rPr>
        <w:t>,</w:t>
      </w:r>
      <w:r w:rsidR="00B22CFF">
        <w:rPr>
          <w:rFonts w:ascii="MetaPro-Norm" w:hAnsi="MetaPro-Norm"/>
          <w:sz w:val="16"/>
          <w:szCs w:val="16"/>
        </w:rPr>
        <w:t xml:space="preserve"> </w:t>
      </w:r>
      <w:r w:rsidR="00D2556E" w:rsidRPr="00DD59FD">
        <w:rPr>
          <w:rFonts w:ascii="MetaPro-Norm" w:hAnsi="MetaPro-Norm"/>
          <w:sz w:val="16"/>
          <w:szCs w:val="16"/>
        </w:rPr>
        <w:t>https://www.hrw.org/sites/default/files/media_2020/10/global_shackling1020_web_2.pdf</w:t>
      </w:r>
      <w:r w:rsidR="00B22CFF">
        <w:rPr>
          <w:rFonts w:ascii="MetaPro-Norm" w:hAnsi="MetaPro-Norm"/>
          <w:sz w:val="16"/>
          <w:szCs w:val="16"/>
        </w:rPr>
        <w:t>.</w:t>
      </w:r>
      <w:r w:rsidR="00D2556E" w:rsidRPr="005F6C0F">
        <w:rPr>
          <w:rFonts w:ascii="MetaPro-Norm" w:hAnsi="MetaPro-Norm"/>
          <w:sz w:val="16"/>
          <w:szCs w:val="16"/>
        </w:rPr>
        <w:t xml:space="preserve"> </w:t>
      </w:r>
      <w:r w:rsidR="00D2556E">
        <w:rPr>
          <w:rFonts w:ascii="MetaPro-Norm" w:hAnsi="MetaPro-Norm"/>
          <w:sz w:val="16"/>
          <w:szCs w:val="16"/>
        </w:rPr>
        <w:t xml:space="preserve"> </w:t>
      </w:r>
    </w:p>
  </w:footnote>
  <w:footnote w:id="23">
    <w:p w14:paraId="0B041EF5" w14:textId="096975EA" w:rsidR="000A663B" w:rsidRPr="008B4195" w:rsidRDefault="000A663B" w:rsidP="005F6C0F">
      <w:pPr>
        <w:pStyle w:val="Funotentext"/>
        <w:rPr>
          <w:rFonts w:ascii="MetaPro-Norm" w:hAnsi="MetaPro-Norm"/>
          <w:sz w:val="16"/>
          <w:szCs w:val="16"/>
        </w:rPr>
      </w:pPr>
      <w:r w:rsidRPr="008B4195">
        <w:rPr>
          <w:rStyle w:val="Funotenzeichen"/>
          <w:rFonts w:ascii="MetaPro-Norm" w:hAnsi="MetaPro-Norm"/>
          <w:sz w:val="16"/>
          <w:szCs w:val="16"/>
        </w:rPr>
        <w:footnoteRef/>
      </w:r>
      <w:r w:rsidRPr="008B4195">
        <w:rPr>
          <w:rFonts w:ascii="MetaPro-Norm" w:hAnsi="MetaPro-Norm"/>
          <w:sz w:val="16"/>
          <w:szCs w:val="16"/>
        </w:rPr>
        <w:t xml:space="preserve"> </w:t>
      </w:r>
      <w:r w:rsidR="00D2556E" w:rsidRPr="008B4195">
        <w:rPr>
          <w:rFonts w:ascii="MetaPro-Norm" w:hAnsi="MetaPro-Norm"/>
          <w:sz w:val="16"/>
          <w:szCs w:val="16"/>
        </w:rPr>
        <w:t xml:space="preserve">Human Rights Watch, </w:t>
      </w:r>
      <w:r w:rsidR="00D2556E" w:rsidRPr="008B4195">
        <w:rPr>
          <w:rFonts w:ascii="MetaPro-Norm" w:hAnsi="MetaPro-Norm"/>
          <w:i/>
          <w:iCs/>
          <w:sz w:val="16"/>
          <w:szCs w:val="16"/>
        </w:rPr>
        <w:t>Living in Hell</w:t>
      </w:r>
      <w:r w:rsidR="00D2556E" w:rsidRPr="008B4195">
        <w:rPr>
          <w:rFonts w:ascii="MetaPro-Norm" w:hAnsi="MetaPro-Norm"/>
          <w:sz w:val="16"/>
          <w:szCs w:val="16"/>
        </w:rPr>
        <w:t xml:space="preserve">, </w:t>
      </w:r>
      <w:r w:rsidR="00D2556E" w:rsidRPr="005F6C0F">
        <w:rPr>
          <w:rFonts w:ascii="MetaPro-Norm" w:hAnsi="MetaPro-Norm"/>
          <w:sz w:val="16"/>
          <w:szCs w:val="16"/>
        </w:rPr>
        <w:t>https://www.hrw.org/sites/default/files/report_pdf/indonesia0316web.pdf</w:t>
      </w:r>
      <w:r w:rsidRPr="008B4195">
        <w:rPr>
          <w:rFonts w:ascii="MetaPro-Norm" w:hAnsi="MetaPro-Norm"/>
          <w:sz w:val="16"/>
          <w:szCs w:val="16"/>
        </w:rPr>
        <w:t>, p. 45.</w:t>
      </w:r>
    </w:p>
  </w:footnote>
  <w:footnote w:id="24">
    <w:p w14:paraId="6A7682B7" w14:textId="1DA04B31" w:rsidR="0096115A" w:rsidRPr="005F6C0F" w:rsidRDefault="0096115A"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Human Rights Watch, </w:t>
      </w:r>
      <w:r w:rsidRPr="005F6C0F">
        <w:rPr>
          <w:rFonts w:ascii="MetaPro-Norm" w:hAnsi="MetaPro-Norm"/>
          <w:i/>
          <w:sz w:val="16"/>
          <w:szCs w:val="16"/>
        </w:rPr>
        <w:t>Living in Chains</w:t>
      </w:r>
      <w:r w:rsidRPr="005F6C0F">
        <w:rPr>
          <w:rFonts w:ascii="MetaPro-Norm" w:hAnsi="MetaPro-Norm"/>
          <w:sz w:val="16"/>
          <w:szCs w:val="16"/>
        </w:rPr>
        <w:t xml:space="preserve">, </w:t>
      </w:r>
      <w:r w:rsidR="007E4CEE" w:rsidRPr="00DD59FD">
        <w:rPr>
          <w:rFonts w:ascii="MetaPro-Norm" w:hAnsi="MetaPro-Norm"/>
          <w:sz w:val="16"/>
          <w:szCs w:val="16"/>
        </w:rPr>
        <w:t>https://www.hrw.org/sites/default/files/media_2020/10/global_shackling1020_web_2.pdf</w:t>
      </w:r>
      <w:r w:rsidRPr="005F6C0F">
        <w:rPr>
          <w:rFonts w:ascii="MetaPro-Norm" w:hAnsi="MetaPro-Norm"/>
          <w:sz w:val="16"/>
          <w:szCs w:val="16"/>
        </w:rPr>
        <w:t xml:space="preserve">; </w:t>
      </w:r>
      <w:r w:rsidRPr="005F6C0F">
        <w:rPr>
          <w:rFonts w:ascii="MetaPro-Norm" w:hAnsi="MetaPro-Norm"/>
          <w:i/>
          <w:iCs/>
          <w:sz w:val="16"/>
          <w:szCs w:val="16"/>
        </w:rPr>
        <w:t>Living in Hell</w:t>
      </w:r>
      <w:r w:rsidRPr="005F6C0F">
        <w:rPr>
          <w:rFonts w:ascii="MetaPro-Norm" w:hAnsi="MetaPro-Norm"/>
          <w:sz w:val="16"/>
          <w:szCs w:val="16"/>
        </w:rPr>
        <w:t xml:space="preserve">, </w:t>
      </w:r>
      <w:r w:rsidR="00B126C4" w:rsidRPr="005F6C0F">
        <w:rPr>
          <w:rFonts w:ascii="MetaPro-Norm" w:hAnsi="MetaPro-Norm"/>
          <w:sz w:val="16"/>
          <w:szCs w:val="16"/>
        </w:rPr>
        <w:t>https://www.hrw.org/sites/default/files/report_pdf/indonesia0316web.pdf</w:t>
      </w:r>
      <w:r w:rsidR="00C17D11">
        <w:rPr>
          <w:rFonts w:ascii="MetaPro-Norm" w:hAnsi="MetaPro-Norm"/>
          <w:sz w:val="16"/>
          <w:szCs w:val="16"/>
        </w:rPr>
        <w:t xml:space="preserve"> </w:t>
      </w:r>
      <w:r w:rsidRPr="005F6C0F">
        <w:rPr>
          <w:rFonts w:ascii="MetaPro-Norm" w:hAnsi="MetaPro-Norm"/>
          <w:sz w:val="16"/>
          <w:szCs w:val="16"/>
        </w:rPr>
        <w:t xml:space="preserve">p. 35; Ministry of Health of Republic of Indonesia, “Stop Stigma and Discrimination to People with ‘Mental Disorder’,” October 10, 2014, http://www.depkes.go.id/article/view/201410270011/stop-stigma-dan-diskriminasi-terhadap-orang-dengan-gangguan-jiwa-odgj.html (accessed August 20, 2015); Marsel Rombe, “Indonesian Mental Health Law Passed after Five Years,” </w:t>
      </w:r>
      <w:r w:rsidRPr="005F6C0F">
        <w:rPr>
          <w:rFonts w:ascii="MetaPro-Norm" w:hAnsi="MetaPro-Norm"/>
          <w:i/>
          <w:iCs/>
          <w:sz w:val="16"/>
          <w:szCs w:val="16"/>
        </w:rPr>
        <w:t>Jakarta Globe</w:t>
      </w:r>
      <w:r w:rsidRPr="005F6C0F">
        <w:rPr>
          <w:rFonts w:ascii="MetaPro-Norm" w:hAnsi="MetaPro-Norm"/>
          <w:sz w:val="16"/>
          <w:szCs w:val="16"/>
        </w:rPr>
        <w:t>, July 13, 2014, http://jakartaglobe.beritasatu.com/news/indonesian-mental-health-law-passed-five-years (accessed August 19, 2015).</w:t>
      </w:r>
    </w:p>
  </w:footnote>
  <w:footnote w:id="25">
    <w:p w14:paraId="5F81A4A8" w14:textId="77777777" w:rsidR="0096115A" w:rsidRPr="005F6C0F" w:rsidRDefault="0096115A"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Irmansyah, “Free from Pasung one decade on?,” </w:t>
      </w:r>
      <w:r w:rsidRPr="005F6C0F">
        <w:rPr>
          <w:rFonts w:ascii="MetaPro-Norm" w:hAnsi="MetaPro-Norm"/>
          <w:i/>
          <w:iCs/>
          <w:sz w:val="16"/>
          <w:szCs w:val="16"/>
        </w:rPr>
        <w:t>Inside Indonesia</w:t>
      </w:r>
      <w:r w:rsidRPr="005F6C0F">
        <w:rPr>
          <w:rFonts w:ascii="MetaPro-Norm" w:hAnsi="MetaPro-Norm"/>
          <w:sz w:val="16"/>
          <w:szCs w:val="16"/>
        </w:rPr>
        <w:t>, July 24, 2020, https://www.insideindonesia.org/free-from-pasung-one-decade-on (accessed September 25, 2020). Human Rights Watch phone interview with Dr Irmansyah, psychiatrist and health ministry official, September 23, 2020.</w:t>
      </w:r>
    </w:p>
  </w:footnote>
  <w:footnote w:id="26">
    <w:p w14:paraId="4439157A" w14:textId="3A77684C" w:rsidR="00D94171" w:rsidRPr="008B4195" w:rsidRDefault="00D94171">
      <w:pPr>
        <w:pStyle w:val="Funotentext"/>
        <w:rPr>
          <w:rFonts w:ascii="MetaPro-Norm" w:hAnsi="MetaPro-Norm"/>
          <w:sz w:val="16"/>
          <w:szCs w:val="16"/>
        </w:rPr>
      </w:pPr>
      <w:r w:rsidRPr="008B4195">
        <w:rPr>
          <w:rStyle w:val="Funotenzeichen"/>
          <w:rFonts w:ascii="MetaPro-Norm" w:hAnsi="MetaPro-Norm"/>
          <w:sz w:val="16"/>
          <w:szCs w:val="16"/>
        </w:rPr>
        <w:footnoteRef/>
      </w:r>
      <w:r w:rsidRPr="008B4195">
        <w:rPr>
          <w:rFonts w:ascii="MetaPro-Norm" w:hAnsi="MetaPro-Norm"/>
          <w:sz w:val="16"/>
          <w:szCs w:val="16"/>
        </w:rPr>
        <w:t xml:space="preserve"> </w:t>
      </w:r>
      <w:r w:rsidRPr="00D94171">
        <w:rPr>
          <w:rFonts w:ascii="MetaPro-Norm" w:eastAsia="MetaPro-Norm" w:hAnsi="MetaPro-Norm" w:cs="MetaPro-Norm"/>
          <w:sz w:val="16"/>
          <w:szCs w:val="16"/>
        </w:rPr>
        <w:t xml:space="preserve">UN Human Rights Council (UNHRC), Follow up report of the Special Rapporteur on torture and other cruel, inhuman or degrading treatment or punishment on his follow-up visit to the Republic of Ghana, A/HRC/31/57/Add.2, February 25, 2015, </w:t>
      </w:r>
      <w:r w:rsidRPr="00D94171">
        <w:rPr>
          <w:rFonts w:ascii="MetaPro-Norm" w:hAnsi="MetaPro-Norm"/>
          <w:sz w:val="16"/>
          <w:szCs w:val="16"/>
        </w:rPr>
        <w:t>https://undocs</w:t>
      </w:r>
      <w:r w:rsidRPr="00D94171">
        <w:rPr>
          <w:rFonts w:ascii="MetaPro-Norm" w:eastAsia="MetaPro-Norm" w:hAnsi="MetaPro-Norm" w:cs="MetaPro-Norm"/>
          <w:sz w:val="16"/>
          <w:szCs w:val="16"/>
        </w:rPr>
        <w:t>.org/en/A/HRC/31/57/Add.2 (accessed February 10, 2022).</w:t>
      </w:r>
    </w:p>
  </w:footnote>
  <w:footnote w:id="27">
    <w:p w14:paraId="1C53E466" w14:textId="3C257D4C" w:rsidR="0096115A" w:rsidRPr="005F6C0F" w:rsidRDefault="0096115A"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UNHRC, Report of the Special Rapporteur on the rights of persons with disabilities, A/HRC/40/54,</w:t>
      </w:r>
      <w:r w:rsidR="00700340">
        <w:rPr>
          <w:rFonts w:ascii="MetaPro-Norm" w:hAnsi="MetaPro-Norm"/>
          <w:sz w:val="16"/>
          <w:szCs w:val="16"/>
        </w:rPr>
        <w:t xml:space="preserve"> January 11, 201</w:t>
      </w:r>
      <w:r w:rsidR="00CE44F1">
        <w:rPr>
          <w:rFonts w:ascii="MetaPro-Norm" w:hAnsi="MetaPro-Norm"/>
          <w:sz w:val="16"/>
          <w:szCs w:val="16"/>
        </w:rPr>
        <w:t>9,</w:t>
      </w:r>
    </w:p>
    <w:p w14:paraId="596DCC09" w14:textId="69BA1EDB" w:rsidR="0096115A" w:rsidRPr="005F6C0F" w:rsidRDefault="00982EAB" w:rsidP="005F6C0F">
      <w:pPr>
        <w:pStyle w:val="Funotentext"/>
        <w:rPr>
          <w:rFonts w:ascii="MetaPro-Norm" w:hAnsi="MetaPro-Norm"/>
          <w:sz w:val="16"/>
          <w:szCs w:val="16"/>
        </w:rPr>
      </w:pPr>
      <w:r w:rsidRPr="00982EAB">
        <w:rPr>
          <w:rFonts w:ascii="MetaPro-Norm" w:hAnsi="MetaPro-Norm"/>
          <w:sz w:val="16"/>
          <w:szCs w:val="16"/>
        </w:rPr>
        <w:t>https://undocs.org/en/A/HRC/40/54</w:t>
      </w:r>
      <w:r>
        <w:rPr>
          <w:rFonts w:ascii="MetaPro-Norm" w:hAnsi="MetaPro-Norm"/>
          <w:sz w:val="16"/>
          <w:szCs w:val="16"/>
        </w:rPr>
        <w:t xml:space="preserve"> (accessed July 28, 2022)</w:t>
      </w:r>
      <w:r w:rsidR="0096115A" w:rsidRPr="005F6C0F">
        <w:rPr>
          <w:rFonts w:ascii="MetaPro-Norm" w:hAnsi="MetaPro-Norm"/>
          <w:sz w:val="16"/>
          <w:szCs w:val="16"/>
        </w:rPr>
        <w:t xml:space="preserve">, para. 52. </w:t>
      </w:r>
    </w:p>
  </w:footnote>
  <w:footnote w:id="28">
    <w:p w14:paraId="62D7AC89" w14:textId="15ADF01F" w:rsidR="000664C7" w:rsidRPr="005F6C0F" w:rsidRDefault="000664C7"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Human Rights Watch, </w:t>
      </w:r>
      <w:r w:rsidRPr="005F6C0F">
        <w:rPr>
          <w:rFonts w:ascii="MetaPro-Norm" w:hAnsi="MetaPro-Norm"/>
          <w:i/>
          <w:sz w:val="16"/>
          <w:szCs w:val="16"/>
        </w:rPr>
        <w:t>Living in Hell</w:t>
      </w:r>
      <w:r w:rsidRPr="005F6C0F">
        <w:rPr>
          <w:rFonts w:ascii="MetaPro-Norm" w:hAnsi="MetaPro-Norm"/>
          <w:sz w:val="16"/>
          <w:szCs w:val="16"/>
        </w:rPr>
        <w:t xml:space="preserve">, </w:t>
      </w:r>
      <w:r w:rsidR="00DC4DCF" w:rsidRPr="005F6C0F">
        <w:rPr>
          <w:rFonts w:ascii="MetaPro-Norm" w:hAnsi="MetaPro-Norm"/>
          <w:sz w:val="16"/>
          <w:szCs w:val="16"/>
        </w:rPr>
        <w:t>https://www.hrw.org/sites/default/files/report_pdf/indonesia0316web.pdf</w:t>
      </w:r>
      <w:r w:rsidR="006773C3">
        <w:rPr>
          <w:rFonts w:ascii="MetaPro-Norm" w:hAnsi="MetaPro-Norm"/>
          <w:sz w:val="16"/>
          <w:szCs w:val="16"/>
        </w:rPr>
        <w:t>,</w:t>
      </w:r>
      <w:r w:rsidR="00DC4DCF" w:rsidRPr="005F6C0F">
        <w:rPr>
          <w:rFonts w:ascii="MetaPro-Norm" w:hAnsi="MetaPro-Norm"/>
          <w:sz w:val="16"/>
          <w:szCs w:val="16"/>
        </w:rPr>
        <w:t xml:space="preserve"> </w:t>
      </w:r>
      <w:r w:rsidRPr="005F6C0F">
        <w:rPr>
          <w:rFonts w:ascii="MetaPro-Norm" w:hAnsi="MetaPro-Norm"/>
          <w:sz w:val="16"/>
          <w:szCs w:val="16"/>
        </w:rPr>
        <w:t>pp. 12</w:t>
      </w:r>
      <w:r w:rsidR="005E5C96" w:rsidRPr="005F6C0F">
        <w:rPr>
          <w:rFonts w:ascii="MetaPro-Norm" w:hAnsi="MetaPro-Norm"/>
          <w:sz w:val="16"/>
          <w:szCs w:val="16"/>
        </w:rPr>
        <w:t>–13</w:t>
      </w:r>
      <w:r w:rsidRPr="005F6C0F">
        <w:rPr>
          <w:rFonts w:ascii="MetaPro-Norm" w:hAnsi="MetaPro-Norm"/>
          <w:sz w:val="16"/>
          <w:szCs w:val="16"/>
        </w:rPr>
        <w:t xml:space="preserve">, 58–59; </w:t>
      </w:r>
      <w:r w:rsidRPr="005F6C0F">
        <w:rPr>
          <w:rFonts w:ascii="MetaPro-Norm" w:hAnsi="MetaPro-Norm"/>
          <w:i/>
          <w:sz w:val="16"/>
          <w:szCs w:val="16"/>
        </w:rPr>
        <w:t>Living in Chains</w:t>
      </w:r>
      <w:r w:rsidRPr="005F6C0F">
        <w:rPr>
          <w:rFonts w:ascii="MetaPro-Norm" w:hAnsi="MetaPro-Norm"/>
          <w:sz w:val="16"/>
          <w:szCs w:val="16"/>
        </w:rPr>
        <w:t xml:space="preserve">, </w:t>
      </w:r>
      <w:r w:rsidR="003B0891" w:rsidRPr="00DD59FD">
        <w:rPr>
          <w:rFonts w:ascii="MetaPro-Norm" w:hAnsi="MetaPro-Norm"/>
          <w:sz w:val="16"/>
          <w:szCs w:val="16"/>
        </w:rPr>
        <w:t>https://www.hrw.org/sites/default/files/media_2020/10/global_shackling1020_web_2.pdf</w:t>
      </w:r>
      <w:r w:rsidR="003B0891">
        <w:rPr>
          <w:rFonts w:ascii="MetaPro-Norm" w:hAnsi="MetaPro-Norm"/>
          <w:sz w:val="16"/>
          <w:szCs w:val="16"/>
        </w:rPr>
        <w:t>,</w:t>
      </w:r>
      <w:r w:rsidR="003B0891" w:rsidRPr="005F6C0F">
        <w:rPr>
          <w:rFonts w:ascii="MetaPro-Norm" w:hAnsi="MetaPro-Norm"/>
          <w:sz w:val="16"/>
          <w:szCs w:val="16"/>
        </w:rPr>
        <w:t xml:space="preserve"> </w:t>
      </w:r>
      <w:r w:rsidRPr="005F6C0F">
        <w:rPr>
          <w:rFonts w:ascii="MetaPro-Norm" w:hAnsi="MetaPro-Norm"/>
          <w:sz w:val="16"/>
          <w:szCs w:val="16"/>
        </w:rPr>
        <w:t xml:space="preserve">pp. 17, 54. </w:t>
      </w:r>
    </w:p>
  </w:footnote>
  <w:footnote w:id="29">
    <w:p w14:paraId="19DDF048" w14:textId="7C00BA01" w:rsidR="000F46B1" w:rsidRPr="005F6C0F" w:rsidRDefault="000F46B1"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Human Rights Watch, </w:t>
      </w:r>
      <w:r w:rsidRPr="005F6C0F">
        <w:rPr>
          <w:rFonts w:ascii="MetaPro-Norm" w:hAnsi="MetaPro-Norm"/>
          <w:i/>
          <w:sz w:val="16"/>
          <w:szCs w:val="16"/>
        </w:rPr>
        <w:t>Living in Hell</w:t>
      </w:r>
      <w:r w:rsidRPr="005F6C0F">
        <w:rPr>
          <w:rFonts w:ascii="MetaPro-Norm" w:hAnsi="MetaPro-Norm"/>
          <w:sz w:val="16"/>
          <w:szCs w:val="16"/>
        </w:rPr>
        <w:t xml:space="preserve">, </w:t>
      </w:r>
      <w:r w:rsidR="00BF6A71" w:rsidRPr="005F6C0F">
        <w:rPr>
          <w:rFonts w:ascii="MetaPro-Norm" w:hAnsi="MetaPro-Norm"/>
          <w:sz w:val="16"/>
          <w:szCs w:val="16"/>
        </w:rPr>
        <w:t>https://www.hrw.org/sites/default/files/report_pdf/indonesia0316web.pdf</w:t>
      </w:r>
      <w:r w:rsidR="00BF6A71">
        <w:rPr>
          <w:rFonts w:ascii="MetaPro-Norm" w:hAnsi="MetaPro-Norm"/>
          <w:sz w:val="16"/>
          <w:szCs w:val="16"/>
        </w:rPr>
        <w:t>,</w:t>
      </w:r>
      <w:r w:rsidR="00BF6A71" w:rsidRPr="005F6C0F">
        <w:rPr>
          <w:rFonts w:ascii="MetaPro-Norm" w:hAnsi="MetaPro-Norm"/>
          <w:sz w:val="16"/>
          <w:szCs w:val="16"/>
        </w:rPr>
        <w:t xml:space="preserve"> </w:t>
      </w:r>
      <w:r w:rsidRPr="005F6C0F">
        <w:rPr>
          <w:rFonts w:ascii="MetaPro-Norm" w:hAnsi="MetaPro-Norm"/>
          <w:sz w:val="16"/>
          <w:szCs w:val="16"/>
        </w:rPr>
        <w:t>pp. 12</w:t>
      </w:r>
      <w:r w:rsidR="005E5C96" w:rsidRPr="005F6C0F">
        <w:rPr>
          <w:rFonts w:ascii="MetaPro-Norm" w:hAnsi="MetaPro-Norm"/>
          <w:sz w:val="16"/>
          <w:szCs w:val="16"/>
        </w:rPr>
        <w:t>–13</w:t>
      </w:r>
      <w:r w:rsidRPr="005F6C0F">
        <w:rPr>
          <w:rFonts w:ascii="MetaPro-Norm" w:hAnsi="MetaPro-Norm"/>
          <w:sz w:val="16"/>
          <w:szCs w:val="16"/>
        </w:rPr>
        <w:t xml:space="preserve">, 59. </w:t>
      </w:r>
    </w:p>
  </w:footnote>
  <w:footnote w:id="30">
    <w:p w14:paraId="634450D3" w14:textId="06A305AB" w:rsidR="009E6553" w:rsidRPr="005F6C0F" w:rsidRDefault="009E6553"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C37555">
        <w:rPr>
          <w:rFonts w:ascii="MetaPro-Norm" w:hAnsi="MetaPro-Norm"/>
          <w:sz w:val="16"/>
          <w:szCs w:val="16"/>
        </w:rPr>
        <w:t>Ibid.</w:t>
      </w:r>
      <w:r w:rsidRPr="005F6C0F">
        <w:rPr>
          <w:rFonts w:ascii="MetaPro-Norm" w:hAnsi="MetaPro-Norm"/>
          <w:sz w:val="16"/>
          <w:szCs w:val="16"/>
        </w:rPr>
        <w:t>, pp</w:t>
      </w:r>
      <w:r w:rsidR="005E5C96" w:rsidRPr="005F6C0F">
        <w:rPr>
          <w:rFonts w:ascii="MetaPro-Norm" w:hAnsi="MetaPro-Norm"/>
          <w:sz w:val="16"/>
          <w:szCs w:val="16"/>
        </w:rPr>
        <w:t>. 13</w:t>
      </w:r>
      <w:r w:rsidRPr="005F6C0F">
        <w:rPr>
          <w:rFonts w:ascii="MetaPro-Norm" w:hAnsi="MetaPro-Norm"/>
          <w:sz w:val="16"/>
          <w:szCs w:val="16"/>
        </w:rPr>
        <w:t xml:space="preserve">, 59. </w:t>
      </w:r>
    </w:p>
  </w:footnote>
  <w:footnote w:id="31">
    <w:p w14:paraId="05275321" w14:textId="546620A0" w:rsidR="009E6553" w:rsidRPr="005F6C0F" w:rsidRDefault="009E6553"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C37555">
        <w:rPr>
          <w:rFonts w:ascii="MetaPro-Norm" w:hAnsi="MetaPro-Norm"/>
          <w:sz w:val="16"/>
          <w:szCs w:val="16"/>
        </w:rPr>
        <w:t>Ibid.</w:t>
      </w:r>
    </w:p>
  </w:footnote>
  <w:footnote w:id="32">
    <w:p w14:paraId="6D3E64AA" w14:textId="24289ACB" w:rsidR="005E5C96" w:rsidRPr="005F6C0F" w:rsidRDefault="005E5C96"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Human Rights Watch, </w:t>
      </w:r>
      <w:r w:rsidRPr="005F6C0F">
        <w:rPr>
          <w:rFonts w:ascii="MetaPro-Norm" w:hAnsi="MetaPro-Norm"/>
          <w:i/>
          <w:sz w:val="16"/>
          <w:szCs w:val="16"/>
        </w:rPr>
        <w:t>Living in Chains</w:t>
      </w:r>
      <w:r w:rsidRPr="005F6C0F">
        <w:rPr>
          <w:rFonts w:ascii="MetaPro-Norm" w:hAnsi="MetaPro-Norm"/>
          <w:sz w:val="16"/>
          <w:szCs w:val="16"/>
        </w:rPr>
        <w:t xml:space="preserve">, </w:t>
      </w:r>
      <w:r w:rsidR="0026470A" w:rsidRPr="00DD59FD">
        <w:rPr>
          <w:rFonts w:ascii="MetaPro-Norm" w:hAnsi="MetaPro-Norm"/>
          <w:sz w:val="16"/>
          <w:szCs w:val="16"/>
        </w:rPr>
        <w:t>https://www.hrw.org/sites/default/files/media_2020/10/global_shackling1020_web_2.pdf</w:t>
      </w:r>
      <w:r w:rsidR="0026470A">
        <w:rPr>
          <w:rFonts w:ascii="MetaPro-Norm" w:hAnsi="MetaPro-Norm"/>
          <w:sz w:val="16"/>
          <w:szCs w:val="16"/>
        </w:rPr>
        <w:t>,</w:t>
      </w:r>
      <w:r w:rsidR="0026470A" w:rsidRPr="005F6C0F">
        <w:rPr>
          <w:rFonts w:ascii="MetaPro-Norm" w:hAnsi="MetaPro-Norm"/>
          <w:sz w:val="16"/>
          <w:szCs w:val="16"/>
        </w:rPr>
        <w:t xml:space="preserve"> </w:t>
      </w:r>
      <w:r w:rsidRPr="005F6C0F">
        <w:rPr>
          <w:rFonts w:ascii="MetaPro-Norm" w:hAnsi="MetaPro-Norm"/>
          <w:sz w:val="16"/>
          <w:szCs w:val="16"/>
        </w:rPr>
        <w:t xml:space="preserve">pp. 54–55.  </w:t>
      </w:r>
    </w:p>
  </w:footnote>
  <w:footnote w:id="33">
    <w:p w14:paraId="48E80D03" w14:textId="4B4CC95A" w:rsidR="00491D23" w:rsidRPr="005F6C0F" w:rsidRDefault="00491D23"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Human Rights Watch, </w:t>
      </w:r>
      <w:r w:rsidRPr="005F6C0F">
        <w:rPr>
          <w:rFonts w:ascii="MetaPro-Norm" w:hAnsi="MetaPro-Norm"/>
          <w:i/>
          <w:sz w:val="16"/>
          <w:szCs w:val="16"/>
        </w:rPr>
        <w:t>Living in Hell</w:t>
      </w:r>
      <w:r w:rsidRPr="005F6C0F">
        <w:rPr>
          <w:rFonts w:ascii="MetaPro-Norm" w:hAnsi="MetaPro-Norm"/>
          <w:sz w:val="16"/>
          <w:szCs w:val="16"/>
        </w:rPr>
        <w:t xml:space="preserve">, </w:t>
      </w:r>
      <w:r w:rsidR="008C500E" w:rsidRPr="005F6C0F">
        <w:rPr>
          <w:rFonts w:ascii="MetaPro-Norm" w:hAnsi="MetaPro-Norm"/>
          <w:sz w:val="16"/>
          <w:szCs w:val="16"/>
        </w:rPr>
        <w:t>https://www.hrw.org/sites/default/files/report_pdf/indonesia0316web.pdf</w:t>
      </w:r>
      <w:r w:rsidR="008C500E">
        <w:rPr>
          <w:rFonts w:ascii="MetaPro-Norm" w:hAnsi="MetaPro-Norm"/>
          <w:sz w:val="16"/>
          <w:szCs w:val="16"/>
        </w:rPr>
        <w:t>,</w:t>
      </w:r>
      <w:r w:rsidR="008C500E" w:rsidRPr="005F6C0F">
        <w:rPr>
          <w:rFonts w:ascii="MetaPro-Norm" w:hAnsi="MetaPro-Norm"/>
          <w:sz w:val="16"/>
          <w:szCs w:val="16"/>
        </w:rPr>
        <w:t xml:space="preserve"> </w:t>
      </w:r>
      <w:r w:rsidRPr="005F6C0F">
        <w:rPr>
          <w:rFonts w:ascii="MetaPro-Norm" w:hAnsi="MetaPro-Norm"/>
          <w:sz w:val="16"/>
          <w:szCs w:val="16"/>
        </w:rPr>
        <w:t>p. 60</w:t>
      </w:r>
      <w:r w:rsidR="00B16D04">
        <w:rPr>
          <w:rFonts w:ascii="MetaPro-Norm" w:hAnsi="MetaPro-Norm"/>
          <w:sz w:val="16"/>
          <w:szCs w:val="16"/>
        </w:rPr>
        <w:t xml:space="preserve">; </w:t>
      </w:r>
      <w:r w:rsidR="00B16D04" w:rsidRPr="005F6C0F">
        <w:rPr>
          <w:rFonts w:ascii="MetaPro-Norm" w:hAnsi="MetaPro-Norm"/>
          <w:i/>
          <w:sz w:val="16"/>
          <w:szCs w:val="16"/>
        </w:rPr>
        <w:t>Living in Chains</w:t>
      </w:r>
      <w:r w:rsidR="00B16D04" w:rsidRPr="005F6C0F">
        <w:rPr>
          <w:rFonts w:ascii="MetaPro-Norm" w:hAnsi="MetaPro-Norm"/>
          <w:sz w:val="16"/>
          <w:szCs w:val="16"/>
        </w:rPr>
        <w:t xml:space="preserve">, </w:t>
      </w:r>
      <w:r w:rsidR="00B16D04" w:rsidRPr="00DD59FD">
        <w:rPr>
          <w:rFonts w:ascii="MetaPro-Norm" w:hAnsi="MetaPro-Norm"/>
          <w:sz w:val="16"/>
          <w:szCs w:val="16"/>
        </w:rPr>
        <w:t>https://www.hrw.org/sites/default/files/media_2020/10/global_shackling1020_web_2.pdf</w:t>
      </w:r>
      <w:r w:rsidR="00B16D04">
        <w:rPr>
          <w:rFonts w:ascii="MetaPro-Norm" w:hAnsi="MetaPro-Norm"/>
          <w:sz w:val="16"/>
          <w:szCs w:val="16"/>
        </w:rPr>
        <w:t>.</w:t>
      </w:r>
    </w:p>
  </w:footnote>
  <w:footnote w:id="34">
    <w:p w14:paraId="78C0C23C" w14:textId="7627E542" w:rsidR="00491D23" w:rsidRPr="005F6C0F" w:rsidRDefault="00491D23"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8C500E">
        <w:rPr>
          <w:rFonts w:ascii="MetaPro-Norm" w:hAnsi="MetaPro-Norm"/>
          <w:sz w:val="16"/>
          <w:szCs w:val="16"/>
        </w:rPr>
        <w:t>Ibid.</w:t>
      </w:r>
      <w:r w:rsidRPr="005F6C0F">
        <w:rPr>
          <w:rFonts w:ascii="MetaPro-Norm" w:hAnsi="MetaPro-Norm"/>
          <w:sz w:val="16"/>
          <w:szCs w:val="16"/>
        </w:rPr>
        <w:t xml:space="preserve"> </w:t>
      </w:r>
    </w:p>
  </w:footnote>
  <w:footnote w:id="35">
    <w:p w14:paraId="18B38F93" w14:textId="23AD8154" w:rsidR="00491D23" w:rsidRPr="005F6C0F" w:rsidRDefault="00491D23"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8C500E">
        <w:rPr>
          <w:rFonts w:ascii="MetaPro-Norm" w:hAnsi="MetaPro-Norm"/>
          <w:sz w:val="16"/>
          <w:szCs w:val="16"/>
        </w:rPr>
        <w:t>Ibid.</w:t>
      </w:r>
    </w:p>
  </w:footnote>
  <w:footnote w:id="36">
    <w:p w14:paraId="1D773991" w14:textId="1295FDFE" w:rsidR="00491D23" w:rsidRPr="005F6C0F" w:rsidRDefault="00491D23"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8C500E">
        <w:rPr>
          <w:rFonts w:ascii="MetaPro-Norm" w:hAnsi="MetaPro-Norm"/>
          <w:sz w:val="16"/>
          <w:szCs w:val="16"/>
        </w:rPr>
        <w:t>Ibid.</w:t>
      </w:r>
    </w:p>
  </w:footnote>
  <w:footnote w:id="37">
    <w:p w14:paraId="728EA0D0" w14:textId="1705407E" w:rsidR="001625FE" w:rsidRPr="005F6C0F" w:rsidRDefault="001625F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Human Rights Watch, </w:t>
      </w:r>
      <w:r w:rsidRPr="005F6C0F">
        <w:rPr>
          <w:rFonts w:ascii="MetaPro-Norm" w:hAnsi="MetaPro-Norm"/>
          <w:i/>
          <w:sz w:val="16"/>
          <w:szCs w:val="16"/>
        </w:rPr>
        <w:t>Living in Hell</w:t>
      </w:r>
      <w:r w:rsidRPr="005F6C0F">
        <w:rPr>
          <w:rFonts w:ascii="MetaPro-Norm" w:hAnsi="MetaPro-Norm"/>
          <w:sz w:val="16"/>
          <w:szCs w:val="16"/>
        </w:rPr>
        <w:t xml:space="preserve">, </w:t>
      </w:r>
      <w:r w:rsidR="00EF4D2B" w:rsidRPr="005F6C0F">
        <w:rPr>
          <w:rFonts w:ascii="MetaPro-Norm" w:hAnsi="MetaPro-Norm"/>
          <w:sz w:val="16"/>
          <w:szCs w:val="16"/>
        </w:rPr>
        <w:t>https://www.hrw.org/sites/default/files/report_pdf/indonesia0316web.pdf</w:t>
      </w:r>
      <w:r w:rsidR="00EF4D2B">
        <w:rPr>
          <w:rFonts w:ascii="MetaPro-Norm" w:hAnsi="MetaPro-Norm"/>
          <w:sz w:val="16"/>
          <w:szCs w:val="16"/>
        </w:rPr>
        <w:t>,</w:t>
      </w:r>
      <w:r w:rsidR="00EF4D2B" w:rsidRPr="005F6C0F">
        <w:rPr>
          <w:rFonts w:ascii="MetaPro-Norm" w:hAnsi="MetaPro-Norm"/>
          <w:sz w:val="16"/>
          <w:szCs w:val="16"/>
        </w:rPr>
        <w:t xml:space="preserve"> </w:t>
      </w:r>
      <w:r w:rsidRPr="005F6C0F">
        <w:rPr>
          <w:rFonts w:ascii="MetaPro-Norm" w:hAnsi="MetaPro-Norm"/>
          <w:sz w:val="16"/>
          <w:szCs w:val="16"/>
        </w:rPr>
        <w:t xml:space="preserve">p. 47. </w:t>
      </w:r>
    </w:p>
  </w:footnote>
  <w:footnote w:id="38">
    <w:p w14:paraId="7C8DA189" w14:textId="7B5F632A" w:rsidR="00380E5D" w:rsidRPr="005F6C0F" w:rsidRDefault="00380E5D"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E93189">
        <w:rPr>
          <w:rFonts w:ascii="MetaPro-Norm" w:hAnsi="MetaPro-Norm"/>
          <w:sz w:val="16"/>
          <w:szCs w:val="16"/>
        </w:rPr>
        <w:t>Ibid.</w:t>
      </w:r>
      <w:r w:rsidRPr="005F6C0F">
        <w:rPr>
          <w:rFonts w:ascii="MetaPro-Norm" w:hAnsi="MetaPro-Norm"/>
          <w:sz w:val="16"/>
          <w:szCs w:val="16"/>
        </w:rPr>
        <w:t xml:space="preserve">, p. 47. </w:t>
      </w:r>
    </w:p>
  </w:footnote>
  <w:footnote w:id="39">
    <w:p w14:paraId="65E532F8" w14:textId="71E30134" w:rsidR="00BC694E" w:rsidRPr="005F6C0F" w:rsidRDefault="00BC694E" w:rsidP="005F6C0F">
      <w:pPr>
        <w:pStyle w:val="Funotentext"/>
        <w:jc w:val="both"/>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E93189">
        <w:rPr>
          <w:rFonts w:ascii="MetaPro-Norm" w:hAnsi="MetaPro-Norm"/>
          <w:sz w:val="16"/>
          <w:szCs w:val="16"/>
        </w:rPr>
        <w:t>Ibid.</w:t>
      </w:r>
      <w:r w:rsidRPr="005F6C0F">
        <w:rPr>
          <w:rFonts w:ascii="MetaPro-Norm" w:hAnsi="MetaPro-Norm"/>
          <w:sz w:val="16"/>
          <w:szCs w:val="16"/>
        </w:rPr>
        <w:t xml:space="preserve">, p. 52. </w:t>
      </w:r>
    </w:p>
  </w:footnote>
  <w:footnote w:id="40">
    <w:p w14:paraId="2A916F65" w14:textId="4A570B6D" w:rsidR="00BC694E" w:rsidRPr="005F6C0F" w:rsidRDefault="00BC694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E93189">
        <w:rPr>
          <w:rFonts w:ascii="MetaPro-Norm" w:hAnsi="MetaPro-Norm"/>
          <w:sz w:val="16"/>
          <w:szCs w:val="16"/>
        </w:rPr>
        <w:t>Ibid.</w:t>
      </w:r>
      <w:r w:rsidRPr="005F6C0F">
        <w:rPr>
          <w:rFonts w:ascii="MetaPro-Norm" w:hAnsi="MetaPro-Norm"/>
          <w:sz w:val="16"/>
          <w:szCs w:val="16"/>
        </w:rPr>
        <w:t xml:space="preserve">, p. 52. </w:t>
      </w:r>
    </w:p>
  </w:footnote>
  <w:footnote w:id="41">
    <w:p w14:paraId="07BD628E" w14:textId="22B4D301" w:rsidR="00BC694E" w:rsidRPr="005F6C0F" w:rsidRDefault="00BC694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E93189">
        <w:rPr>
          <w:rFonts w:ascii="MetaPro-Norm" w:hAnsi="MetaPro-Norm"/>
          <w:sz w:val="16"/>
          <w:szCs w:val="16"/>
        </w:rPr>
        <w:t>Ibid.</w:t>
      </w:r>
      <w:r w:rsidRPr="005F6C0F">
        <w:rPr>
          <w:rFonts w:ascii="MetaPro-Norm" w:hAnsi="MetaPro-Norm"/>
          <w:sz w:val="16"/>
          <w:szCs w:val="16"/>
        </w:rPr>
        <w:t xml:space="preserve">, p. 52. </w:t>
      </w:r>
    </w:p>
  </w:footnote>
  <w:footnote w:id="42">
    <w:p w14:paraId="15DA8386" w14:textId="0746C1D2" w:rsidR="00BC694E" w:rsidRPr="005F6C0F" w:rsidRDefault="00BC694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E93189">
        <w:rPr>
          <w:rFonts w:ascii="MetaPro-Norm" w:hAnsi="MetaPro-Norm"/>
          <w:sz w:val="16"/>
          <w:szCs w:val="16"/>
        </w:rPr>
        <w:t>Ibid.</w:t>
      </w:r>
      <w:r w:rsidRPr="005F6C0F">
        <w:rPr>
          <w:rFonts w:ascii="MetaPro-Norm" w:hAnsi="MetaPro-Norm"/>
          <w:sz w:val="16"/>
          <w:szCs w:val="16"/>
        </w:rPr>
        <w:t xml:space="preserve">, p. 52. </w:t>
      </w:r>
    </w:p>
  </w:footnote>
  <w:footnote w:id="43">
    <w:p w14:paraId="05CCA59C" w14:textId="05961192" w:rsidR="00E964E1" w:rsidRPr="005F6C0F" w:rsidRDefault="00E964E1"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Human Rights Watch, </w:t>
      </w:r>
      <w:r w:rsidRPr="005F6C0F">
        <w:rPr>
          <w:rFonts w:ascii="MetaPro-Norm" w:hAnsi="MetaPro-Norm"/>
          <w:i/>
          <w:sz w:val="16"/>
          <w:szCs w:val="16"/>
        </w:rPr>
        <w:t>Living in Hell</w:t>
      </w:r>
      <w:r w:rsidR="00A2356E" w:rsidRPr="005F6C0F">
        <w:rPr>
          <w:rFonts w:ascii="MetaPro-Norm" w:hAnsi="MetaPro-Norm"/>
          <w:sz w:val="16"/>
          <w:szCs w:val="16"/>
        </w:rPr>
        <w:t>,</w:t>
      </w:r>
      <w:r w:rsidR="00B116D9">
        <w:rPr>
          <w:rFonts w:ascii="MetaPro-Norm" w:hAnsi="MetaPro-Norm"/>
          <w:sz w:val="16"/>
          <w:szCs w:val="16"/>
        </w:rPr>
        <w:t xml:space="preserve"> </w:t>
      </w:r>
      <w:r w:rsidR="00B116D9" w:rsidRPr="005F6C0F">
        <w:rPr>
          <w:rFonts w:ascii="MetaPro-Norm" w:hAnsi="MetaPro-Norm"/>
          <w:sz w:val="16"/>
          <w:szCs w:val="16"/>
        </w:rPr>
        <w:t>https://www.hrw.org/sites/default/files/report_pdf/indonesia0316web.pdf</w:t>
      </w:r>
      <w:r w:rsidR="00B116D9">
        <w:rPr>
          <w:rFonts w:ascii="MetaPro-Norm" w:hAnsi="MetaPro-Norm"/>
          <w:sz w:val="16"/>
          <w:szCs w:val="16"/>
        </w:rPr>
        <w:t>,</w:t>
      </w:r>
      <w:r w:rsidR="00A2356E" w:rsidRPr="005F6C0F">
        <w:rPr>
          <w:rFonts w:ascii="MetaPro-Norm" w:hAnsi="MetaPro-Norm"/>
          <w:sz w:val="16"/>
          <w:szCs w:val="16"/>
        </w:rPr>
        <w:t xml:space="preserve"> pp. 5–</w:t>
      </w:r>
      <w:r w:rsidRPr="005F6C0F">
        <w:rPr>
          <w:rFonts w:ascii="MetaPro-Norm" w:hAnsi="MetaPro-Norm"/>
          <w:sz w:val="16"/>
          <w:szCs w:val="16"/>
        </w:rPr>
        <w:t>6.</w:t>
      </w:r>
    </w:p>
  </w:footnote>
  <w:footnote w:id="44">
    <w:p w14:paraId="47277308" w14:textId="1BEA3900" w:rsidR="000E5D38" w:rsidRPr="005F6C0F" w:rsidRDefault="000E5D38" w:rsidP="00707455">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UN</w:t>
      </w:r>
      <w:r w:rsidR="001A713C">
        <w:rPr>
          <w:rFonts w:ascii="MetaPro-Norm" w:hAnsi="MetaPro-Norm"/>
          <w:sz w:val="16"/>
          <w:szCs w:val="16"/>
        </w:rPr>
        <w:t>H</w:t>
      </w:r>
      <w:r w:rsidR="00BD1345">
        <w:rPr>
          <w:rFonts w:ascii="MetaPro-Norm" w:hAnsi="MetaPro-Norm"/>
          <w:sz w:val="16"/>
          <w:szCs w:val="16"/>
        </w:rPr>
        <w:t>RC</w:t>
      </w:r>
      <w:r w:rsidRPr="005F6C0F">
        <w:rPr>
          <w:rFonts w:ascii="MetaPro-Norm" w:hAnsi="MetaPro-Norm"/>
          <w:sz w:val="16"/>
          <w:szCs w:val="16"/>
        </w:rPr>
        <w:t xml:space="preserve">, </w:t>
      </w:r>
      <w:r w:rsidR="00707455" w:rsidRPr="00707455">
        <w:rPr>
          <w:rFonts w:ascii="MetaPro-Norm" w:hAnsi="MetaPro-Norm"/>
          <w:sz w:val="16"/>
          <w:szCs w:val="16"/>
        </w:rPr>
        <w:t>Report of the Special Rapporteur on torture and other cruel, inhuman or degrading treatment or</w:t>
      </w:r>
      <w:r w:rsidR="00877F53">
        <w:rPr>
          <w:rFonts w:ascii="MetaPro-Norm" w:hAnsi="MetaPro-Norm"/>
          <w:sz w:val="16"/>
          <w:szCs w:val="16"/>
        </w:rPr>
        <w:t xml:space="preserve"> </w:t>
      </w:r>
      <w:r w:rsidR="00707455" w:rsidRPr="00707455">
        <w:rPr>
          <w:rFonts w:ascii="MetaPro-Norm" w:hAnsi="MetaPro-Norm"/>
          <w:sz w:val="16"/>
          <w:szCs w:val="16"/>
        </w:rPr>
        <w:t>punishment, Juan E. Méndez</w:t>
      </w:r>
      <w:r w:rsidR="00F748CE">
        <w:rPr>
          <w:rFonts w:ascii="MetaPro-Norm" w:hAnsi="MetaPro-Norm"/>
          <w:sz w:val="16"/>
          <w:szCs w:val="16"/>
        </w:rPr>
        <w:t xml:space="preserve">, </w:t>
      </w:r>
      <w:r w:rsidRPr="005F6C0F">
        <w:rPr>
          <w:rFonts w:ascii="MetaPro-Norm" w:hAnsi="MetaPro-Norm"/>
          <w:sz w:val="16"/>
          <w:szCs w:val="16"/>
        </w:rPr>
        <w:t xml:space="preserve">A/HRC/22/53, </w:t>
      </w:r>
      <w:r w:rsidR="0043743D">
        <w:rPr>
          <w:rFonts w:ascii="MetaPro-Norm" w:hAnsi="MetaPro-Norm"/>
          <w:sz w:val="16"/>
          <w:szCs w:val="16"/>
        </w:rPr>
        <w:t>February 1, 2013,</w:t>
      </w:r>
      <w:r w:rsidR="005A7205">
        <w:rPr>
          <w:rFonts w:ascii="MetaPro-Norm" w:hAnsi="MetaPro-Norm"/>
          <w:sz w:val="16"/>
          <w:szCs w:val="16"/>
        </w:rPr>
        <w:t xml:space="preserve"> </w:t>
      </w:r>
      <w:r w:rsidR="005A7205" w:rsidRPr="005A7205">
        <w:rPr>
          <w:rFonts w:ascii="MetaPro-Norm" w:hAnsi="MetaPro-Norm"/>
          <w:sz w:val="16"/>
          <w:szCs w:val="16"/>
        </w:rPr>
        <w:t xml:space="preserve">https://www.ohchr.org/sites/default/files/Documents/HRBodies/HRCouncil/RegularSession/Session22/A.HRC.22.53_English.pdf </w:t>
      </w:r>
      <w:r w:rsidR="001C1DC6">
        <w:rPr>
          <w:rFonts w:ascii="MetaPro-Norm" w:hAnsi="MetaPro-Norm"/>
          <w:sz w:val="16"/>
          <w:szCs w:val="16"/>
        </w:rPr>
        <w:t xml:space="preserve">(accessed July 28, 2022), </w:t>
      </w:r>
      <w:r w:rsidRPr="005F6C0F">
        <w:rPr>
          <w:rFonts w:ascii="MetaPro-Norm" w:hAnsi="MetaPro-Norm"/>
          <w:sz w:val="16"/>
          <w:szCs w:val="16"/>
        </w:rPr>
        <w:t xml:space="preserve">para. 58.  </w:t>
      </w:r>
    </w:p>
  </w:footnote>
  <w:footnote w:id="45">
    <w:p w14:paraId="7DEAEF66" w14:textId="0DC60609" w:rsidR="00A2356E" w:rsidRPr="005F6C0F" w:rsidRDefault="00A2356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Human Rights Watch, </w:t>
      </w:r>
      <w:r w:rsidRPr="005F6C0F">
        <w:rPr>
          <w:rFonts w:ascii="MetaPro-Norm" w:hAnsi="MetaPro-Norm"/>
          <w:i/>
          <w:sz w:val="16"/>
          <w:szCs w:val="16"/>
        </w:rPr>
        <w:t>Living in Hell</w:t>
      </w:r>
      <w:r w:rsidRPr="005F6C0F">
        <w:rPr>
          <w:rFonts w:ascii="MetaPro-Norm" w:hAnsi="MetaPro-Norm"/>
          <w:sz w:val="16"/>
          <w:szCs w:val="16"/>
        </w:rPr>
        <w:t xml:space="preserve">, </w:t>
      </w:r>
      <w:r w:rsidR="00724581" w:rsidRPr="005F6C0F">
        <w:rPr>
          <w:rFonts w:ascii="MetaPro-Norm" w:hAnsi="MetaPro-Norm"/>
          <w:sz w:val="16"/>
          <w:szCs w:val="16"/>
        </w:rPr>
        <w:t>https://www.hrw.org/sites/default/files/report_pdf/indonesia0316web.pdf</w:t>
      </w:r>
      <w:r w:rsidR="00724581">
        <w:rPr>
          <w:rFonts w:ascii="MetaPro-Norm" w:hAnsi="MetaPro-Norm"/>
          <w:sz w:val="16"/>
          <w:szCs w:val="16"/>
        </w:rPr>
        <w:t>,</w:t>
      </w:r>
      <w:r w:rsidR="00724581" w:rsidRPr="005F6C0F">
        <w:rPr>
          <w:rFonts w:ascii="MetaPro-Norm" w:hAnsi="MetaPro-Norm"/>
          <w:sz w:val="16"/>
          <w:szCs w:val="16"/>
        </w:rPr>
        <w:t xml:space="preserve"> </w:t>
      </w:r>
      <w:r w:rsidRPr="005F6C0F">
        <w:rPr>
          <w:rFonts w:ascii="MetaPro-Norm" w:hAnsi="MetaPro-Norm"/>
          <w:sz w:val="16"/>
          <w:szCs w:val="16"/>
        </w:rPr>
        <w:t xml:space="preserve">p. 53. </w:t>
      </w:r>
    </w:p>
  </w:footnote>
  <w:footnote w:id="46">
    <w:p w14:paraId="38EF1DC2" w14:textId="32A50118" w:rsidR="00A2356E" w:rsidRPr="005F6C0F" w:rsidRDefault="00A2356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724581">
        <w:rPr>
          <w:rFonts w:ascii="MetaPro-Norm" w:hAnsi="MetaPro-Norm"/>
          <w:sz w:val="16"/>
          <w:szCs w:val="16"/>
        </w:rPr>
        <w:t>Ibid</w:t>
      </w:r>
      <w:r w:rsidR="00A111C3">
        <w:rPr>
          <w:rFonts w:ascii="MetaPro-Norm" w:hAnsi="MetaPro-Norm"/>
          <w:sz w:val="16"/>
          <w:szCs w:val="16"/>
        </w:rPr>
        <w:t>.</w:t>
      </w:r>
      <w:r w:rsidRPr="005F6C0F">
        <w:rPr>
          <w:rFonts w:ascii="MetaPro-Norm" w:hAnsi="MetaPro-Norm"/>
          <w:sz w:val="16"/>
          <w:szCs w:val="16"/>
        </w:rPr>
        <w:t xml:space="preserve">, p. 53. </w:t>
      </w:r>
    </w:p>
  </w:footnote>
  <w:footnote w:id="47">
    <w:p w14:paraId="48555F23" w14:textId="3189BE35" w:rsidR="00A2356E" w:rsidRPr="005F6C0F" w:rsidRDefault="00A2356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724581">
        <w:rPr>
          <w:rFonts w:ascii="MetaPro-Norm" w:hAnsi="MetaPro-Norm"/>
          <w:sz w:val="16"/>
          <w:szCs w:val="16"/>
        </w:rPr>
        <w:t>Ibid.</w:t>
      </w:r>
      <w:r w:rsidRPr="005F6C0F">
        <w:rPr>
          <w:rFonts w:ascii="MetaPro-Norm" w:hAnsi="MetaPro-Norm"/>
          <w:sz w:val="16"/>
          <w:szCs w:val="16"/>
        </w:rPr>
        <w:t xml:space="preserve">, p. 53. </w:t>
      </w:r>
    </w:p>
  </w:footnote>
  <w:footnote w:id="48">
    <w:p w14:paraId="0E2F9C62" w14:textId="4A4231FC" w:rsidR="00A2356E" w:rsidRPr="005F6C0F" w:rsidRDefault="00A2356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724581">
        <w:rPr>
          <w:rFonts w:ascii="MetaPro-Norm" w:hAnsi="MetaPro-Norm"/>
          <w:sz w:val="16"/>
          <w:szCs w:val="16"/>
        </w:rPr>
        <w:t>Ibid.</w:t>
      </w:r>
      <w:r w:rsidRPr="005F6C0F">
        <w:rPr>
          <w:rFonts w:ascii="MetaPro-Norm" w:hAnsi="MetaPro-Norm"/>
          <w:sz w:val="16"/>
          <w:szCs w:val="16"/>
        </w:rPr>
        <w:t xml:space="preserve">, p. 54. </w:t>
      </w:r>
    </w:p>
  </w:footnote>
  <w:footnote w:id="49">
    <w:p w14:paraId="538F06D6" w14:textId="38F56087" w:rsidR="00A2356E" w:rsidRPr="005F6C0F" w:rsidRDefault="00A2356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724581">
        <w:rPr>
          <w:rFonts w:ascii="MetaPro-Norm" w:hAnsi="MetaPro-Norm"/>
          <w:sz w:val="16"/>
          <w:szCs w:val="16"/>
        </w:rPr>
        <w:t>Ibid.</w:t>
      </w:r>
      <w:r w:rsidRPr="005F6C0F">
        <w:rPr>
          <w:rFonts w:ascii="MetaPro-Norm" w:hAnsi="MetaPro-Norm"/>
          <w:sz w:val="16"/>
          <w:szCs w:val="16"/>
        </w:rPr>
        <w:t xml:space="preserve">, p. 54. </w:t>
      </w:r>
    </w:p>
  </w:footnote>
  <w:footnote w:id="50">
    <w:p w14:paraId="3106122A" w14:textId="5FB633A4" w:rsidR="00A2356E" w:rsidRPr="005F6C0F" w:rsidRDefault="00A2356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724581">
        <w:rPr>
          <w:rFonts w:ascii="MetaPro-Norm" w:hAnsi="MetaPro-Norm"/>
          <w:sz w:val="16"/>
          <w:szCs w:val="16"/>
        </w:rPr>
        <w:t>Ibid.</w:t>
      </w:r>
      <w:r w:rsidRPr="005F6C0F">
        <w:rPr>
          <w:rFonts w:ascii="MetaPro-Norm" w:hAnsi="MetaPro-Norm"/>
          <w:sz w:val="16"/>
          <w:szCs w:val="16"/>
        </w:rPr>
        <w:t xml:space="preserve">, p. 54. </w:t>
      </w:r>
    </w:p>
  </w:footnote>
  <w:footnote w:id="51">
    <w:p w14:paraId="50F3A79A" w14:textId="41A8E438" w:rsidR="00A2356E" w:rsidRPr="005F6C0F" w:rsidRDefault="00A2356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724581">
        <w:rPr>
          <w:rFonts w:ascii="MetaPro-Norm" w:hAnsi="MetaPro-Norm"/>
          <w:sz w:val="16"/>
          <w:szCs w:val="16"/>
        </w:rPr>
        <w:t>Ibid.</w:t>
      </w:r>
      <w:r w:rsidRPr="005F6C0F">
        <w:rPr>
          <w:rFonts w:ascii="MetaPro-Norm" w:hAnsi="MetaPro-Norm"/>
          <w:sz w:val="16"/>
          <w:szCs w:val="16"/>
        </w:rPr>
        <w:t xml:space="preserve">, p. 54. </w:t>
      </w:r>
    </w:p>
  </w:footnote>
  <w:footnote w:id="52">
    <w:p w14:paraId="2E71B0B0" w14:textId="704DC501" w:rsidR="00A2356E" w:rsidRPr="005F6C0F" w:rsidRDefault="00A2356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724581">
        <w:rPr>
          <w:rFonts w:ascii="MetaPro-Norm" w:hAnsi="MetaPro-Norm"/>
          <w:sz w:val="16"/>
          <w:szCs w:val="16"/>
        </w:rPr>
        <w:t>Ibid.</w:t>
      </w:r>
      <w:r w:rsidRPr="005F6C0F">
        <w:rPr>
          <w:rFonts w:ascii="MetaPro-Norm" w:hAnsi="MetaPro-Norm"/>
          <w:sz w:val="16"/>
          <w:szCs w:val="16"/>
        </w:rPr>
        <w:t xml:space="preserve">, p. 54. </w:t>
      </w:r>
    </w:p>
  </w:footnote>
  <w:footnote w:id="53">
    <w:p w14:paraId="5A941F6F" w14:textId="47DA13AB" w:rsidR="00A2356E" w:rsidRPr="005F6C0F" w:rsidRDefault="00A2356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724581">
        <w:rPr>
          <w:rFonts w:ascii="MetaPro-Norm" w:hAnsi="MetaPro-Norm"/>
          <w:sz w:val="16"/>
          <w:szCs w:val="16"/>
        </w:rPr>
        <w:t>Ibid.</w:t>
      </w:r>
      <w:r w:rsidRPr="005F6C0F">
        <w:rPr>
          <w:rFonts w:ascii="MetaPro-Norm" w:hAnsi="MetaPro-Norm"/>
          <w:sz w:val="16"/>
          <w:szCs w:val="16"/>
        </w:rPr>
        <w:t xml:space="preserve">, p. 54. </w:t>
      </w:r>
    </w:p>
  </w:footnote>
  <w:footnote w:id="54">
    <w:p w14:paraId="7F86DACF" w14:textId="06F5A694" w:rsidR="00A2356E" w:rsidRPr="005F6C0F" w:rsidRDefault="00A2356E" w:rsidP="00A17391">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A17391" w:rsidRPr="005F6C0F">
        <w:rPr>
          <w:rFonts w:ascii="MetaPro-Norm" w:hAnsi="MetaPro-Norm"/>
          <w:sz w:val="16"/>
          <w:szCs w:val="16"/>
        </w:rPr>
        <w:t>UN</w:t>
      </w:r>
      <w:r w:rsidR="00A17391">
        <w:rPr>
          <w:rFonts w:ascii="MetaPro-Norm" w:hAnsi="MetaPro-Norm"/>
          <w:sz w:val="16"/>
          <w:szCs w:val="16"/>
        </w:rPr>
        <w:t>HRC</w:t>
      </w:r>
      <w:r w:rsidR="00A17391" w:rsidRPr="005F6C0F">
        <w:rPr>
          <w:rFonts w:ascii="MetaPro-Norm" w:hAnsi="MetaPro-Norm"/>
          <w:sz w:val="16"/>
          <w:szCs w:val="16"/>
        </w:rPr>
        <w:t xml:space="preserve">, </w:t>
      </w:r>
      <w:r w:rsidR="00A17391" w:rsidRPr="00707455">
        <w:rPr>
          <w:rFonts w:ascii="MetaPro-Norm" w:hAnsi="MetaPro-Norm"/>
          <w:sz w:val="16"/>
          <w:szCs w:val="16"/>
        </w:rPr>
        <w:t>Report of the Special Rapporteur on torture and other cruel, inhuman or degrading treatment or</w:t>
      </w:r>
      <w:r w:rsidR="00EB10A4">
        <w:rPr>
          <w:rFonts w:ascii="MetaPro-Norm" w:hAnsi="MetaPro-Norm"/>
          <w:sz w:val="16"/>
          <w:szCs w:val="16"/>
        </w:rPr>
        <w:t xml:space="preserve"> </w:t>
      </w:r>
      <w:r w:rsidR="00A17391" w:rsidRPr="00707455">
        <w:rPr>
          <w:rFonts w:ascii="MetaPro-Norm" w:hAnsi="MetaPro-Norm"/>
          <w:sz w:val="16"/>
          <w:szCs w:val="16"/>
        </w:rPr>
        <w:t>punishment, Juan E. Méndez</w:t>
      </w:r>
      <w:r w:rsidR="00A17391">
        <w:rPr>
          <w:rFonts w:ascii="MetaPro-Norm" w:hAnsi="MetaPro-Norm"/>
          <w:sz w:val="16"/>
          <w:szCs w:val="16"/>
        </w:rPr>
        <w:t xml:space="preserve">, </w:t>
      </w:r>
      <w:r w:rsidR="00A17391" w:rsidRPr="00EB10A4">
        <w:rPr>
          <w:rFonts w:ascii="MetaPro-Norm" w:hAnsi="MetaPro-Norm"/>
          <w:sz w:val="16"/>
          <w:szCs w:val="16"/>
        </w:rPr>
        <w:t>https://documents-dds-ny.un.org/doc/UNDOC/GEN/G13/105/77/PDF/G1310577.pdf</w:t>
      </w:r>
      <w:r w:rsidRPr="005F6C0F">
        <w:rPr>
          <w:rFonts w:ascii="MetaPro-Norm" w:hAnsi="MetaPro-Norm"/>
          <w:sz w:val="16"/>
          <w:szCs w:val="16"/>
        </w:rPr>
        <w:t xml:space="preserve">, para. 63. </w:t>
      </w:r>
    </w:p>
  </w:footnote>
  <w:footnote w:id="55">
    <w:p w14:paraId="73853035" w14:textId="331B12DA" w:rsidR="00A2356E" w:rsidRPr="005F6C0F" w:rsidRDefault="00A2356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2D0108">
        <w:rPr>
          <w:rFonts w:ascii="MetaPro-Norm" w:hAnsi="MetaPro-Norm"/>
          <w:sz w:val="16"/>
          <w:szCs w:val="16"/>
        </w:rPr>
        <w:t>Ibid.</w:t>
      </w:r>
      <w:r w:rsidRPr="005F6C0F">
        <w:rPr>
          <w:rFonts w:ascii="MetaPro-Norm" w:hAnsi="MetaPro-Norm"/>
          <w:sz w:val="16"/>
          <w:szCs w:val="16"/>
        </w:rPr>
        <w:t xml:space="preserve"> </w:t>
      </w:r>
    </w:p>
  </w:footnote>
  <w:footnote w:id="56">
    <w:p w14:paraId="57974894" w14:textId="2CF46926" w:rsidR="00A2356E" w:rsidRPr="005F6C0F" w:rsidRDefault="00A2356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Human Rights Watch, </w:t>
      </w:r>
      <w:r w:rsidRPr="005F6C0F">
        <w:rPr>
          <w:rFonts w:ascii="MetaPro-Norm" w:hAnsi="MetaPro-Norm"/>
          <w:i/>
          <w:sz w:val="16"/>
          <w:szCs w:val="16"/>
        </w:rPr>
        <w:t>Living in Hell</w:t>
      </w:r>
      <w:r w:rsidRPr="005F6C0F">
        <w:rPr>
          <w:rFonts w:ascii="MetaPro-Norm" w:hAnsi="MetaPro-Norm"/>
          <w:sz w:val="16"/>
          <w:szCs w:val="16"/>
        </w:rPr>
        <w:t xml:space="preserve">, </w:t>
      </w:r>
      <w:r w:rsidR="002D0108" w:rsidRPr="005F6C0F">
        <w:rPr>
          <w:rFonts w:ascii="MetaPro-Norm" w:hAnsi="MetaPro-Norm"/>
          <w:sz w:val="16"/>
          <w:szCs w:val="16"/>
        </w:rPr>
        <w:t>https://www.hrw.org/sites/default/files/report_pdf/indonesia0316web.pdf</w:t>
      </w:r>
      <w:r w:rsidR="002D0108">
        <w:rPr>
          <w:rFonts w:ascii="MetaPro-Norm" w:hAnsi="MetaPro-Norm"/>
          <w:sz w:val="16"/>
          <w:szCs w:val="16"/>
        </w:rPr>
        <w:t>,</w:t>
      </w:r>
      <w:r w:rsidR="002D0108" w:rsidRPr="005F6C0F">
        <w:rPr>
          <w:rFonts w:ascii="MetaPro-Norm" w:hAnsi="MetaPro-Norm"/>
          <w:sz w:val="16"/>
          <w:szCs w:val="16"/>
        </w:rPr>
        <w:t xml:space="preserve"> </w:t>
      </w:r>
      <w:r w:rsidRPr="005F6C0F">
        <w:rPr>
          <w:rFonts w:ascii="MetaPro-Norm" w:hAnsi="MetaPro-Norm"/>
          <w:sz w:val="16"/>
          <w:szCs w:val="16"/>
        </w:rPr>
        <w:t xml:space="preserve">p. 50. </w:t>
      </w:r>
    </w:p>
  </w:footnote>
  <w:footnote w:id="57">
    <w:p w14:paraId="61C8422F" w14:textId="132D4A7E" w:rsidR="00A2356E" w:rsidRPr="005F6C0F" w:rsidRDefault="00A2356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2D0108">
        <w:rPr>
          <w:rFonts w:ascii="MetaPro-Norm" w:hAnsi="MetaPro-Norm"/>
          <w:sz w:val="16"/>
          <w:szCs w:val="16"/>
        </w:rPr>
        <w:t>Ibid.</w:t>
      </w:r>
    </w:p>
  </w:footnote>
  <w:footnote w:id="58">
    <w:p w14:paraId="5A9FFEE8" w14:textId="215AE5E7" w:rsidR="00A2356E" w:rsidRPr="005F6C0F" w:rsidRDefault="00A2356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2D0108">
        <w:rPr>
          <w:rFonts w:ascii="MetaPro-Norm" w:hAnsi="MetaPro-Norm"/>
          <w:sz w:val="16"/>
          <w:szCs w:val="16"/>
        </w:rPr>
        <w:t>Ibid.</w:t>
      </w:r>
      <w:r w:rsidRPr="005F6C0F">
        <w:rPr>
          <w:rFonts w:ascii="MetaPro-Norm" w:hAnsi="MetaPro-Norm"/>
          <w:sz w:val="16"/>
          <w:szCs w:val="16"/>
        </w:rPr>
        <w:t xml:space="preserve"> </w:t>
      </w:r>
    </w:p>
  </w:footnote>
  <w:footnote w:id="59">
    <w:p w14:paraId="4702F175" w14:textId="0E589DD8" w:rsidR="00A2356E" w:rsidRPr="005F6C0F" w:rsidRDefault="00A2356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2D0108">
        <w:rPr>
          <w:rFonts w:ascii="MetaPro-Norm" w:hAnsi="MetaPro-Norm"/>
          <w:sz w:val="16"/>
          <w:szCs w:val="16"/>
        </w:rPr>
        <w:t>Ibid.</w:t>
      </w:r>
      <w:r w:rsidRPr="005F6C0F">
        <w:rPr>
          <w:rFonts w:ascii="MetaPro-Norm" w:hAnsi="MetaPro-Norm"/>
          <w:sz w:val="16"/>
          <w:szCs w:val="16"/>
        </w:rPr>
        <w:t xml:space="preserve"> </w:t>
      </w:r>
    </w:p>
  </w:footnote>
  <w:footnote w:id="60">
    <w:p w14:paraId="56F5F3EA" w14:textId="1CC04C56" w:rsidR="00A2356E" w:rsidRPr="005F6C0F" w:rsidRDefault="00A2356E" w:rsidP="00EE76C7">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w:t>
      </w:r>
      <w:r w:rsidR="003101E0">
        <w:rPr>
          <w:rFonts w:ascii="MetaPro-Norm" w:hAnsi="MetaPro-Norm"/>
          <w:sz w:val="16"/>
          <w:szCs w:val="16"/>
        </w:rPr>
        <w:t xml:space="preserve">UN General Assembly, </w:t>
      </w:r>
      <w:r w:rsidR="00EE76C7" w:rsidRPr="00EE76C7">
        <w:rPr>
          <w:rFonts w:ascii="MetaPro-Norm" w:hAnsi="MetaPro-Norm"/>
          <w:sz w:val="16"/>
          <w:szCs w:val="16"/>
        </w:rPr>
        <w:t>Interim report of the Special Rapporteur on torture and other cruel, inhuman or degrading treatment or punishment</w:t>
      </w:r>
      <w:r w:rsidRPr="005F6C0F">
        <w:rPr>
          <w:rFonts w:ascii="MetaPro-Norm" w:hAnsi="MetaPro-Norm"/>
          <w:sz w:val="16"/>
          <w:szCs w:val="16"/>
        </w:rPr>
        <w:t xml:space="preserve">, A/63/175, July 28, 2008, </w:t>
      </w:r>
      <w:r w:rsidR="003101E0" w:rsidRPr="004E67FD">
        <w:rPr>
          <w:rFonts w:ascii="MetaPro-Norm" w:hAnsi="MetaPro-Norm"/>
          <w:sz w:val="16"/>
          <w:szCs w:val="16"/>
        </w:rPr>
        <w:t>https://documents-dds-ny.un.org/doc/UNDOC/GEN/N08/440/75/PDF/N0844075.pdf</w:t>
      </w:r>
      <w:r w:rsidR="003101E0">
        <w:rPr>
          <w:rFonts w:ascii="MetaPro-Norm" w:hAnsi="MetaPro-Norm"/>
          <w:sz w:val="16"/>
          <w:szCs w:val="16"/>
        </w:rPr>
        <w:t xml:space="preserve"> (accessed July 28, 2022), </w:t>
      </w:r>
      <w:r w:rsidRPr="005F6C0F">
        <w:rPr>
          <w:rFonts w:ascii="MetaPro-Norm" w:hAnsi="MetaPro-Norm"/>
          <w:sz w:val="16"/>
          <w:szCs w:val="16"/>
        </w:rPr>
        <w:t xml:space="preserve">para. 50. </w:t>
      </w:r>
    </w:p>
  </w:footnote>
  <w:footnote w:id="61">
    <w:p w14:paraId="349B2CC1" w14:textId="7A3EA9E9" w:rsidR="00A2356E" w:rsidRPr="005F6C0F" w:rsidRDefault="00A2356E" w:rsidP="005F6C0F">
      <w:pPr>
        <w:pStyle w:val="Funotentext"/>
        <w:rPr>
          <w:rFonts w:ascii="MetaPro-Norm" w:hAnsi="MetaPro-Norm"/>
          <w:sz w:val="16"/>
          <w:szCs w:val="16"/>
        </w:rPr>
      </w:pPr>
      <w:r w:rsidRPr="005F6C0F">
        <w:rPr>
          <w:rStyle w:val="Funotenzeichen"/>
          <w:rFonts w:ascii="MetaPro-Norm" w:hAnsi="MetaPro-Norm"/>
          <w:sz w:val="16"/>
          <w:szCs w:val="16"/>
        </w:rPr>
        <w:footnoteRef/>
      </w:r>
      <w:r w:rsidRPr="005F6C0F">
        <w:rPr>
          <w:rFonts w:ascii="MetaPro-Norm" w:hAnsi="MetaPro-Norm"/>
          <w:sz w:val="16"/>
          <w:szCs w:val="16"/>
        </w:rPr>
        <w:t xml:space="preserve"> Human Rights Watch, </w:t>
      </w:r>
      <w:r w:rsidRPr="005F6C0F">
        <w:rPr>
          <w:rFonts w:ascii="MetaPro-Norm" w:hAnsi="MetaPro-Norm"/>
          <w:i/>
          <w:sz w:val="16"/>
          <w:szCs w:val="16"/>
        </w:rPr>
        <w:t>Living in Hell</w:t>
      </w:r>
      <w:r w:rsidRPr="005F6C0F">
        <w:rPr>
          <w:rFonts w:ascii="MetaPro-Norm" w:hAnsi="MetaPro-Norm"/>
          <w:sz w:val="16"/>
          <w:szCs w:val="16"/>
        </w:rPr>
        <w:t xml:space="preserve">, </w:t>
      </w:r>
      <w:r w:rsidR="003101E0" w:rsidRPr="005F6C0F">
        <w:rPr>
          <w:rFonts w:ascii="MetaPro-Norm" w:hAnsi="MetaPro-Norm"/>
          <w:sz w:val="16"/>
          <w:szCs w:val="16"/>
        </w:rPr>
        <w:t>https://www.hrw.org/sites/default/files/report_pdf/indonesia0316web.pdf</w:t>
      </w:r>
      <w:r w:rsidR="003101E0">
        <w:rPr>
          <w:rFonts w:ascii="MetaPro-Norm" w:hAnsi="MetaPro-Norm"/>
          <w:sz w:val="16"/>
          <w:szCs w:val="16"/>
        </w:rPr>
        <w:t>,</w:t>
      </w:r>
      <w:r w:rsidR="003101E0" w:rsidRPr="005F6C0F">
        <w:rPr>
          <w:rFonts w:ascii="MetaPro-Norm" w:hAnsi="MetaPro-Norm"/>
          <w:sz w:val="16"/>
          <w:szCs w:val="16"/>
        </w:rPr>
        <w:t xml:space="preserve"> </w:t>
      </w:r>
      <w:r w:rsidRPr="005F6C0F">
        <w:rPr>
          <w:rFonts w:ascii="MetaPro-Norm" w:hAnsi="MetaPro-Norm"/>
          <w:sz w:val="16"/>
          <w:szCs w:val="16"/>
        </w:rPr>
        <w:t xml:space="preserve">p. 52.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3101C"/>
    <w:multiLevelType w:val="multilevel"/>
    <w:tmpl w:val="612E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A743DA"/>
    <w:multiLevelType w:val="multilevel"/>
    <w:tmpl w:val="8B6E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E0257B"/>
    <w:multiLevelType w:val="multilevel"/>
    <w:tmpl w:val="1FBE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163E7D"/>
    <w:multiLevelType w:val="hybridMultilevel"/>
    <w:tmpl w:val="061E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00267D"/>
    <w:multiLevelType w:val="hybridMultilevel"/>
    <w:tmpl w:val="32868E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2D35DE"/>
    <w:multiLevelType w:val="hybridMultilevel"/>
    <w:tmpl w:val="852E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FD6745"/>
    <w:multiLevelType w:val="hybridMultilevel"/>
    <w:tmpl w:val="2CAC1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15871795"/>
    <w:multiLevelType w:val="hybridMultilevel"/>
    <w:tmpl w:val="A73A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D795AB7"/>
    <w:multiLevelType w:val="multilevel"/>
    <w:tmpl w:val="AC76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FC3E9A"/>
    <w:multiLevelType w:val="multilevel"/>
    <w:tmpl w:val="98B0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6C7BA3"/>
    <w:multiLevelType w:val="hybridMultilevel"/>
    <w:tmpl w:val="3AA8D1E2"/>
    <w:lvl w:ilvl="0" w:tplc="C7DAA516">
      <w:start w:val="1"/>
      <w:numFmt w:val="bullet"/>
      <w:lvlText w:val=""/>
      <w:lvlJc w:val="left"/>
      <w:pPr>
        <w:ind w:left="72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 w15:restartNumberingAfterBreak="0">
    <w:nsid w:val="26E7161B"/>
    <w:multiLevelType w:val="hybridMultilevel"/>
    <w:tmpl w:val="A3B627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A83B8D"/>
    <w:multiLevelType w:val="hybridMultilevel"/>
    <w:tmpl w:val="A32AF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862E9"/>
    <w:multiLevelType w:val="multilevel"/>
    <w:tmpl w:val="A678B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1C11E4"/>
    <w:multiLevelType w:val="hybridMultilevel"/>
    <w:tmpl w:val="FBA6AD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4166AD"/>
    <w:multiLevelType w:val="hybridMultilevel"/>
    <w:tmpl w:val="9DBCB5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B2C55AA"/>
    <w:multiLevelType w:val="hybridMultilevel"/>
    <w:tmpl w:val="5048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5656D7"/>
    <w:multiLevelType w:val="hybridMultilevel"/>
    <w:tmpl w:val="8C064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E305A"/>
    <w:multiLevelType w:val="hybridMultilevel"/>
    <w:tmpl w:val="521A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031827"/>
    <w:multiLevelType w:val="hybridMultilevel"/>
    <w:tmpl w:val="A67E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7679D9"/>
    <w:multiLevelType w:val="hybridMultilevel"/>
    <w:tmpl w:val="9AD6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524B87"/>
    <w:multiLevelType w:val="multilevel"/>
    <w:tmpl w:val="88B8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D5665E"/>
    <w:multiLevelType w:val="hybridMultilevel"/>
    <w:tmpl w:val="E76C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31891"/>
    <w:multiLevelType w:val="hybridMultilevel"/>
    <w:tmpl w:val="09429A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C661916"/>
    <w:multiLevelType w:val="hybridMultilevel"/>
    <w:tmpl w:val="2F2E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9"/>
  </w:num>
  <w:num w:numId="13">
    <w:abstractNumId w:val="17"/>
  </w:num>
  <w:num w:numId="14">
    <w:abstractNumId w:val="30"/>
  </w:num>
  <w:num w:numId="15">
    <w:abstractNumId w:val="31"/>
  </w:num>
  <w:num w:numId="16">
    <w:abstractNumId w:val="32"/>
  </w:num>
  <w:num w:numId="17">
    <w:abstractNumId w:val="39"/>
  </w:num>
  <w:num w:numId="18">
    <w:abstractNumId w:val="34"/>
  </w:num>
  <w:num w:numId="19">
    <w:abstractNumId w:val="33"/>
  </w:num>
  <w:num w:numId="20">
    <w:abstractNumId w:val="40"/>
  </w:num>
  <w:num w:numId="21">
    <w:abstractNumId w:val="26"/>
  </w:num>
  <w:num w:numId="22">
    <w:abstractNumId w:val="24"/>
  </w:num>
  <w:num w:numId="23">
    <w:abstractNumId w:val="13"/>
  </w:num>
  <w:num w:numId="24">
    <w:abstractNumId w:val="14"/>
  </w:num>
  <w:num w:numId="25">
    <w:abstractNumId w:val="23"/>
  </w:num>
  <w:num w:numId="26">
    <w:abstractNumId w:val="36"/>
  </w:num>
  <w:num w:numId="27">
    <w:abstractNumId w:val="28"/>
  </w:num>
  <w:num w:numId="28">
    <w:abstractNumId w:val="38"/>
  </w:num>
  <w:num w:numId="29">
    <w:abstractNumId w:val="18"/>
  </w:num>
  <w:num w:numId="30">
    <w:abstractNumId w:val="35"/>
  </w:num>
  <w:num w:numId="31">
    <w:abstractNumId w:val="20"/>
  </w:num>
  <w:num w:numId="32">
    <w:abstractNumId w:val="25"/>
  </w:num>
  <w:num w:numId="33">
    <w:abstractNumId w:val="10"/>
  </w:num>
  <w:num w:numId="34">
    <w:abstractNumId w:val="21"/>
  </w:num>
  <w:num w:numId="35">
    <w:abstractNumId w:val="12"/>
  </w:num>
  <w:num w:numId="36">
    <w:abstractNumId w:val="37"/>
  </w:num>
  <w:num w:numId="37">
    <w:abstractNumId w:val="15"/>
  </w:num>
  <w:num w:numId="38">
    <w:abstractNumId w:val="11"/>
  </w:num>
  <w:num w:numId="39">
    <w:abstractNumId w:val="27"/>
  </w:num>
  <w:num w:numId="40">
    <w:abstractNumId w:val="22"/>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NoTrailerPromptID" w:val="OMM_US.79327543.2"/>
  </w:docVars>
  <w:rsids>
    <w:rsidRoot w:val="003B58AD"/>
    <w:rsid w:val="00007703"/>
    <w:rsid w:val="000152A9"/>
    <w:rsid w:val="0001557D"/>
    <w:rsid w:val="000273D4"/>
    <w:rsid w:val="00030CBD"/>
    <w:rsid w:val="00047309"/>
    <w:rsid w:val="000512DB"/>
    <w:rsid w:val="00057F09"/>
    <w:rsid w:val="00062D18"/>
    <w:rsid w:val="000664C7"/>
    <w:rsid w:val="000673D4"/>
    <w:rsid w:val="00072192"/>
    <w:rsid w:val="00074757"/>
    <w:rsid w:val="00082871"/>
    <w:rsid w:val="00085686"/>
    <w:rsid w:val="000911EB"/>
    <w:rsid w:val="00091C48"/>
    <w:rsid w:val="00092149"/>
    <w:rsid w:val="000A6059"/>
    <w:rsid w:val="000A663B"/>
    <w:rsid w:val="000B5781"/>
    <w:rsid w:val="000B7BCF"/>
    <w:rsid w:val="000C0ED7"/>
    <w:rsid w:val="000C2143"/>
    <w:rsid w:val="000D0F0A"/>
    <w:rsid w:val="000D3052"/>
    <w:rsid w:val="000D33DB"/>
    <w:rsid w:val="000D6114"/>
    <w:rsid w:val="000E0C3F"/>
    <w:rsid w:val="000E0F8F"/>
    <w:rsid w:val="000E2944"/>
    <w:rsid w:val="000E5D38"/>
    <w:rsid w:val="000F12A7"/>
    <w:rsid w:val="000F178D"/>
    <w:rsid w:val="000F4140"/>
    <w:rsid w:val="000F46B1"/>
    <w:rsid w:val="0010481E"/>
    <w:rsid w:val="0010530E"/>
    <w:rsid w:val="00106435"/>
    <w:rsid w:val="0011226A"/>
    <w:rsid w:val="001168CE"/>
    <w:rsid w:val="00117CF9"/>
    <w:rsid w:val="00123587"/>
    <w:rsid w:val="001261FB"/>
    <w:rsid w:val="00142656"/>
    <w:rsid w:val="001437B6"/>
    <w:rsid w:val="00145809"/>
    <w:rsid w:val="00162253"/>
    <w:rsid w:val="001625FE"/>
    <w:rsid w:val="00162614"/>
    <w:rsid w:val="001626D2"/>
    <w:rsid w:val="001700D7"/>
    <w:rsid w:val="00170EEF"/>
    <w:rsid w:val="00171A63"/>
    <w:rsid w:val="00177296"/>
    <w:rsid w:val="0019405B"/>
    <w:rsid w:val="001A30EE"/>
    <w:rsid w:val="001A538B"/>
    <w:rsid w:val="001A713C"/>
    <w:rsid w:val="001B1BB3"/>
    <w:rsid w:val="001B56DA"/>
    <w:rsid w:val="001B6B46"/>
    <w:rsid w:val="001B7F0B"/>
    <w:rsid w:val="001C1DC6"/>
    <w:rsid w:val="001C5D12"/>
    <w:rsid w:val="001C726F"/>
    <w:rsid w:val="001D32A6"/>
    <w:rsid w:val="001D3E77"/>
    <w:rsid w:val="001F0D0B"/>
    <w:rsid w:val="001F7CA3"/>
    <w:rsid w:val="002009AA"/>
    <w:rsid w:val="002063E1"/>
    <w:rsid w:val="00206F77"/>
    <w:rsid w:val="002154C5"/>
    <w:rsid w:val="002154F8"/>
    <w:rsid w:val="00221D91"/>
    <w:rsid w:val="002241C9"/>
    <w:rsid w:val="00240446"/>
    <w:rsid w:val="0024200C"/>
    <w:rsid w:val="00242C56"/>
    <w:rsid w:val="002555F9"/>
    <w:rsid w:val="00255E39"/>
    <w:rsid w:val="0026470A"/>
    <w:rsid w:val="002663AE"/>
    <w:rsid w:val="00273487"/>
    <w:rsid w:val="002736DA"/>
    <w:rsid w:val="00277F5B"/>
    <w:rsid w:val="00282B90"/>
    <w:rsid w:val="00286650"/>
    <w:rsid w:val="00292702"/>
    <w:rsid w:val="00295AB1"/>
    <w:rsid w:val="0029609C"/>
    <w:rsid w:val="002A16B2"/>
    <w:rsid w:val="002B02C5"/>
    <w:rsid w:val="002B226C"/>
    <w:rsid w:val="002C1E0B"/>
    <w:rsid w:val="002C3002"/>
    <w:rsid w:val="002C3C52"/>
    <w:rsid w:val="002C5D45"/>
    <w:rsid w:val="002C7688"/>
    <w:rsid w:val="002D0108"/>
    <w:rsid w:val="002D10B6"/>
    <w:rsid w:val="002D1A77"/>
    <w:rsid w:val="002D2E06"/>
    <w:rsid w:val="002D4F50"/>
    <w:rsid w:val="002D7B65"/>
    <w:rsid w:val="002E23F3"/>
    <w:rsid w:val="002E487D"/>
    <w:rsid w:val="002E7F7C"/>
    <w:rsid w:val="002F10C0"/>
    <w:rsid w:val="002F2FD9"/>
    <w:rsid w:val="002F40DD"/>
    <w:rsid w:val="002F60E8"/>
    <w:rsid w:val="00305827"/>
    <w:rsid w:val="00305A64"/>
    <w:rsid w:val="0030723E"/>
    <w:rsid w:val="003101E0"/>
    <w:rsid w:val="0031024D"/>
    <w:rsid w:val="00312C73"/>
    <w:rsid w:val="00314212"/>
    <w:rsid w:val="0032693F"/>
    <w:rsid w:val="003274E5"/>
    <w:rsid w:val="00327BDC"/>
    <w:rsid w:val="00333E97"/>
    <w:rsid w:val="00336D3E"/>
    <w:rsid w:val="00340F20"/>
    <w:rsid w:val="0034160C"/>
    <w:rsid w:val="00341F3B"/>
    <w:rsid w:val="0034418D"/>
    <w:rsid w:val="00344533"/>
    <w:rsid w:val="003445AC"/>
    <w:rsid w:val="003452FA"/>
    <w:rsid w:val="00353837"/>
    <w:rsid w:val="00355F89"/>
    <w:rsid w:val="00356615"/>
    <w:rsid w:val="00363760"/>
    <w:rsid w:val="00367236"/>
    <w:rsid w:val="0037264F"/>
    <w:rsid w:val="00374D66"/>
    <w:rsid w:val="0038037F"/>
    <w:rsid w:val="00380E5D"/>
    <w:rsid w:val="00385448"/>
    <w:rsid w:val="00387BFC"/>
    <w:rsid w:val="00396B8B"/>
    <w:rsid w:val="003A0569"/>
    <w:rsid w:val="003A2CF5"/>
    <w:rsid w:val="003A5F95"/>
    <w:rsid w:val="003B0891"/>
    <w:rsid w:val="003B58AD"/>
    <w:rsid w:val="003B6809"/>
    <w:rsid w:val="003B72E6"/>
    <w:rsid w:val="003C1475"/>
    <w:rsid w:val="003C1AD8"/>
    <w:rsid w:val="003C2C91"/>
    <w:rsid w:val="003D2FF5"/>
    <w:rsid w:val="003D5F63"/>
    <w:rsid w:val="003E5C12"/>
    <w:rsid w:val="003E760A"/>
    <w:rsid w:val="003F1384"/>
    <w:rsid w:val="003F6AD4"/>
    <w:rsid w:val="00403AE0"/>
    <w:rsid w:val="00405ED7"/>
    <w:rsid w:val="00412DB8"/>
    <w:rsid w:val="00417218"/>
    <w:rsid w:val="00423232"/>
    <w:rsid w:val="00430AA3"/>
    <w:rsid w:val="0043743D"/>
    <w:rsid w:val="004376DE"/>
    <w:rsid w:val="0044509F"/>
    <w:rsid w:val="00456E6A"/>
    <w:rsid w:val="004575BA"/>
    <w:rsid w:val="00486BF5"/>
    <w:rsid w:val="00487E4B"/>
    <w:rsid w:val="00491D23"/>
    <w:rsid w:val="004929C4"/>
    <w:rsid w:val="004A0395"/>
    <w:rsid w:val="004A756B"/>
    <w:rsid w:val="004A7E24"/>
    <w:rsid w:val="004B27C7"/>
    <w:rsid w:val="004B3273"/>
    <w:rsid w:val="004C50BF"/>
    <w:rsid w:val="004C5E7D"/>
    <w:rsid w:val="004D39DC"/>
    <w:rsid w:val="004D6180"/>
    <w:rsid w:val="004D7226"/>
    <w:rsid w:val="004E0253"/>
    <w:rsid w:val="004E67FD"/>
    <w:rsid w:val="004E7017"/>
    <w:rsid w:val="004E731C"/>
    <w:rsid w:val="004F160D"/>
    <w:rsid w:val="00501150"/>
    <w:rsid w:val="00502AAA"/>
    <w:rsid w:val="00515621"/>
    <w:rsid w:val="005157A4"/>
    <w:rsid w:val="005179A8"/>
    <w:rsid w:val="005221CF"/>
    <w:rsid w:val="00533062"/>
    <w:rsid w:val="00541299"/>
    <w:rsid w:val="00545593"/>
    <w:rsid w:val="0054631D"/>
    <w:rsid w:val="00561D57"/>
    <w:rsid w:val="00564618"/>
    <w:rsid w:val="0058000E"/>
    <w:rsid w:val="0059138C"/>
    <w:rsid w:val="005932CC"/>
    <w:rsid w:val="005932E5"/>
    <w:rsid w:val="005A1AC7"/>
    <w:rsid w:val="005A6CF1"/>
    <w:rsid w:val="005A7205"/>
    <w:rsid w:val="005C0013"/>
    <w:rsid w:val="005C1EF7"/>
    <w:rsid w:val="005C525B"/>
    <w:rsid w:val="005D1543"/>
    <w:rsid w:val="005E5A8E"/>
    <w:rsid w:val="005E5C96"/>
    <w:rsid w:val="005F0AD9"/>
    <w:rsid w:val="005F6C0F"/>
    <w:rsid w:val="0060032B"/>
    <w:rsid w:val="00600DBC"/>
    <w:rsid w:val="00607A92"/>
    <w:rsid w:val="00611424"/>
    <w:rsid w:val="00630A8C"/>
    <w:rsid w:val="006350FC"/>
    <w:rsid w:val="0064015E"/>
    <w:rsid w:val="00642F3B"/>
    <w:rsid w:val="00643144"/>
    <w:rsid w:val="00662FAF"/>
    <w:rsid w:val="00664A61"/>
    <w:rsid w:val="00671D19"/>
    <w:rsid w:val="00673F58"/>
    <w:rsid w:val="00675E6C"/>
    <w:rsid w:val="006773C3"/>
    <w:rsid w:val="0068045C"/>
    <w:rsid w:val="00681CE2"/>
    <w:rsid w:val="006844DC"/>
    <w:rsid w:val="006900D6"/>
    <w:rsid w:val="0069044E"/>
    <w:rsid w:val="00693644"/>
    <w:rsid w:val="006A05B6"/>
    <w:rsid w:val="006B48B4"/>
    <w:rsid w:val="006C0371"/>
    <w:rsid w:val="006C29B4"/>
    <w:rsid w:val="006C4B1D"/>
    <w:rsid w:val="006C685A"/>
    <w:rsid w:val="006D367C"/>
    <w:rsid w:val="006D3B56"/>
    <w:rsid w:val="006E60BE"/>
    <w:rsid w:val="006F6E31"/>
    <w:rsid w:val="00700340"/>
    <w:rsid w:val="00707455"/>
    <w:rsid w:val="00714F6B"/>
    <w:rsid w:val="007154AC"/>
    <w:rsid w:val="00717980"/>
    <w:rsid w:val="007179C0"/>
    <w:rsid w:val="0072123C"/>
    <w:rsid w:val="00722BAB"/>
    <w:rsid w:val="00722DD0"/>
    <w:rsid w:val="00724581"/>
    <w:rsid w:val="00743B9A"/>
    <w:rsid w:val="007479D6"/>
    <w:rsid w:val="007545C3"/>
    <w:rsid w:val="007568A8"/>
    <w:rsid w:val="0076552F"/>
    <w:rsid w:val="00775DCE"/>
    <w:rsid w:val="00782251"/>
    <w:rsid w:val="00783779"/>
    <w:rsid w:val="007867DF"/>
    <w:rsid w:val="007878B2"/>
    <w:rsid w:val="00787AEA"/>
    <w:rsid w:val="00795DF4"/>
    <w:rsid w:val="00797246"/>
    <w:rsid w:val="00797509"/>
    <w:rsid w:val="007A0C34"/>
    <w:rsid w:val="007A4606"/>
    <w:rsid w:val="007A4EAE"/>
    <w:rsid w:val="007A54D7"/>
    <w:rsid w:val="007B2DA0"/>
    <w:rsid w:val="007C437D"/>
    <w:rsid w:val="007C64C5"/>
    <w:rsid w:val="007C65D4"/>
    <w:rsid w:val="007C6D07"/>
    <w:rsid w:val="007D7D20"/>
    <w:rsid w:val="007E01A6"/>
    <w:rsid w:val="007E4CEE"/>
    <w:rsid w:val="007E7730"/>
    <w:rsid w:val="00800604"/>
    <w:rsid w:val="008008D5"/>
    <w:rsid w:val="00804BCB"/>
    <w:rsid w:val="00823E1A"/>
    <w:rsid w:val="00831B64"/>
    <w:rsid w:val="00835BAC"/>
    <w:rsid w:val="0083608C"/>
    <w:rsid w:val="00845867"/>
    <w:rsid w:val="00845C55"/>
    <w:rsid w:val="00847308"/>
    <w:rsid w:val="00851749"/>
    <w:rsid w:val="008523B0"/>
    <w:rsid w:val="00860AFF"/>
    <w:rsid w:val="0086702D"/>
    <w:rsid w:val="008732FF"/>
    <w:rsid w:val="00877F53"/>
    <w:rsid w:val="00880BFD"/>
    <w:rsid w:val="008862CF"/>
    <w:rsid w:val="00893A34"/>
    <w:rsid w:val="00893B4C"/>
    <w:rsid w:val="00895202"/>
    <w:rsid w:val="008A3471"/>
    <w:rsid w:val="008B2778"/>
    <w:rsid w:val="008B4195"/>
    <w:rsid w:val="008C0DE3"/>
    <w:rsid w:val="008C500E"/>
    <w:rsid w:val="008D1390"/>
    <w:rsid w:val="008F062C"/>
    <w:rsid w:val="008F166E"/>
    <w:rsid w:val="008F1B7E"/>
    <w:rsid w:val="008F2C65"/>
    <w:rsid w:val="008F2D6E"/>
    <w:rsid w:val="008F5984"/>
    <w:rsid w:val="0090042E"/>
    <w:rsid w:val="00903F4B"/>
    <w:rsid w:val="009128F2"/>
    <w:rsid w:val="0091322A"/>
    <w:rsid w:val="00913C14"/>
    <w:rsid w:val="00920D3F"/>
    <w:rsid w:val="009275DC"/>
    <w:rsid w:val="00930759"/>
    <w:rsid w:val="00940A11"/>
    <w:rsid w:val="00943E7A"/>
    <w:rsid w:val="009474E3"/>
    <w:rsid w:val="0095568D"/>
    <w:rsid w:val="00956635"/>
    <w:rsid w:val="0096115A"/>
    <w:rsid w:val="009627FC"/>
    <w:rsid w:val="00963400"/>
    <w:rsid w:val="00973716"/>
    <w:rsid w:val="00982DCD"/>
    <w:rsid w:val="00982EAB"/>
    <w:rsid w:val="00993803"/>
    <w:rsid w:val="009A2EA6"/>
    <w:rsid w:val="009B1235"/>
    <w:rsid w:val="009B363E"/>
    <w:rsid w:val="009D2C2D"/>
    <w:rsid w:val="009D3D33"/>
    <w:rsid w:val="009D4156"/>
    <w:rsid w:val="009D415F"/>
    <w:rsid w:val="009E14BA"/>
    <w:rsid w:val="009E4955"/>
    <w:rsid w:val="009E5670"/>
    <w:rsid w:val="009E6553"/>
    <w:rsid w:val="009F2296"/>
    <w:rsid w:val="009F4C8C"/>
    <w:rsid w:val="00A00342"/>
    <w:rsid w:val="00A00471"/>
    <w:rsid w:val="00A0441F"/>
    <w:rsid w:val="00A05E9A"/>
    <w:rsid w:val="00A1012B"/>
    <w:rsid w:val="00A111C3"/>
    <w:rsid w:val="00A116BA"/>
    <w:rsid w:val="00A11EF4"/>
    <w:rsid w:val="00A171DD"/>
    <w:rsid w:val="00A17391"/>
    <w:rsid w:val="00A2356E"/>
    <w:rsid w:val="00A4091F"/>
    <w:rsid w:val="00A428FA"/>
    <w:rsid w:val="00A519CA"/>
    <w:rsid w:val="00A540D9"/>
    <w:rsid w:val="00A71A34"/>
    <w:rsid w:val="00A72036"/>
    <w:rsid w:val="00A753AF"/>
    <w:rsid w:val="00A800E2"/>
    <w:rsid w:val="00A80CEC"/>
    <w:rsid w:val="00A86510"/>
    <w:rsid w:val="00A87D55"/>
    <w:rsid w:val="00A940D8"/>
    <w:rsid w:val="00AA05F3"/>
    <w:rsid w:val="00AA14CC"/>
    <w:rsid w:val="00AA31A6"/>
    <w:rsid w:val="00AA722C"/>
    <w:rsid w:val="00AB670C"/>
    <w:rsid w:val="00AC2684"/>
    <w:rsid w:val="00AC2C59"/>
    <w:rsid w:val="00AC2F94"/>
    <w:rsid w:val="00AD1568"/>
    <w:rsid w:val="00AD7149"/>
    <w:rsid w:val="00AD79D0"/>
    <w:rsid w:val="00AE1C50"/>
    <w:rsid w:val="00AF08E9"/>
    <w:rsid w:val="00AF1677"/>
    <w:rsid w:val="00B0095F"/>
    <w:rsid w:val="00B116D9"/>
    <w:rsid w:val="00B118B3"/>
    <w:rsid w:val="00B12601"/>
    <w:rsid w:val="00B126C4"/>
    <w:rsid w:val="00B16D04"/>
    <w:rsid w:val="00B22CFF"/>
    <w:rsid w:val="00B24146"/>
    <w:rsid w:val="00B25F29"/>
    <w:rsid w:val="00B26DE6"/>
    <w:rsid w:val="00B31C52"/>
    <w:rsid w:val="00B3669F"/>
    <w:rsid w:val="00B36DE9"/>
    <w:rsid w:val="00B41973"/>
    <w:rsid w:val="00B45003"/>
    <w:rsid w:val="00B46DFE"/>
    <w:rsid w:val="00B60802"/>
    <w:rsid w:val="00B60ECC"/>
    <w:rsid w:val="00B63416"/>
    <w:rsid w:val="00B744A2"/>
    <w:rsid w:val="00B76485"/>
    <w:rsid w:val="00B77873"/>
    <w:rsid w:val="00B77998"/>
    <w:rsid w:val="00B80BE1"/>
    <w:rsid w:val="00B82E31"/>
    <w:rsid w:val="00B90E6D"/>
    <w:rsid w:val="00B964C7"/>
    <w:rsid w:val="00BA5C43"/>
    <w:rsid w:val="00BA64DF"/>
    <w:rsid w:val="00BB02EA"/>
    <w:rsid w:val="00BB030A"/>
    <w:rsid w:val="00BB5AC9"/>
    <w:rsid w:val="00BC25E1"/>
    <w:rsid w:val="00BC30F3"/>
    <w:rsid w:val="00BC694E"/>
    <w:rsid w:val="00BD1345"/>
    <w:rsid w:val="00BD199B"/>
    <w:rsid w:val="00BD7BC0"/>
    <w:rsid w:val="00BD7F97"/>
    <w:rsid w:val="00BE14CA"/>
    <w:rsid w:val="00BE26B1"/>
    <w:rsid w:val="00BE41EF"/>
    <w:rsid w:val="00BE461C"/>
    <w:rsid w:val="00BF6A71"/>
    <w:rsid w:val="00C0040B"/>
    <w:rsid w:val="00C03AC3"/>
    <w:rsid w:val="00C10167"/>
    <w:rsid w:val="00C172CE"/>
    <w:rsid w:val="00C17D11"/>
    <w:rsid w:val="00C24630"/>
    <w:rsid w:val="00C24D3D"/>
    <w:rsid w:val="00C2576D"/>
    <w:rsid w:val="00C3005A"/>
    <w:rsid w:val="00C325E8"/>
    <w:rsid w:val="00C37555"/>
    <w:rsid w:val="00C4070B"/>
    <w:rsid w:val="00C41767"/>
    <w:rsid w:val="00C4406A"/>
    <w:rsid w:val="00C52C68"/>
    <w:rsid w:val="00C539A5"/>
    <w:rsid w:val="00C57C53"/>
    <w:rsid w:val="00C6005F"/>
    <w:rsid w:val="00C66D8E"/>
    <w:rsid w:val="00C82A8A"/>
    <w:rsid w:val="00C85B11"/>
    <w:rsid w:val="00C9599C"/>
    <w:rsid w:val="00CB0A24"/>
    <w:rsid w:val="00CB1B82"/>
    <w:rsid w:val="00CB6764"/>
    <w:rsid w:val="00CC07F8"/>
    <w:rsid w:val="00CC3AB9"/>
    <w:rsid w:val="00CD7605"/>
    <w:rsid w:val="00CE1A42"/>
    <w:rsid w:val="00CE44F1"/>
    <w:rsid w:val="00CE51D2"/>
    <w:rsid w:val="00CF28B0"/>
    <w:rsid w:val="00D0297C"/>
    <w:rsid w:val="00D16E18"/>
    <w:rsid w:val="00D20F8A"/>
    <w:rsid w:val="00D21601"/>
    <w:rsid w:val="00D2556E"/>
    <w:rsid w:val="00D271B7"/>
    <w:rsid w:val="00D513CA"/>
    <w:rsid w:val="00D61E1C"/>
    <w:rsid w:val="00D63273"/>
    <w:rsid w:val="00D72362"/>
    <w:rsid w:val="00D74AA8"/>
    <w:rsid w:val="00D7697F"/>
    <w:rsid w:val="00D8355E"/>
    <w:rsid w:val="00D85D0A"/>
    <w:rsid w:val="00D934D8"/>
    <w:rsid w:val="00D94171"/>
    <w:rsid w:val="00DA7058"/>
    <w:rsid w:val="00DB0450"/>
    <w:rsid w:val="00DB2A7D"/>
    <w:rsid w:val="00DB2F36"/>
    <w:rsid w:val="00DB7022"/>
    <w:rsid w:val="00DC2657"/>
    <w:rsid w:val="00DC47EA"/>
    <w:rsid w:val="00DC4DCF"/>
    <w:rsid w:val="00DC4E77"/>
    <w:rsid w:val="00DC75B7"/>
    <w:rsid w:val="00DD010D"/>
    <w:rsid w:val="00DD0F5A"/>
    <w:rsid w:val="00DD59FD"/>
    <w:rsid w:val="00DD60EE"/>
    <w:rsid w:val="00DE1894"/>
    <w:rsid w:val="00DE5BBE"/>
    <w:rsid w:val="00DF57D8"/>
    <w:rsid w:val="00E03A39"/>
    <w:rsid w:val="00E05C73"/>
    <w:rsid w:val="00E07492"/>
    <w:rsid w:val="00E1349E"/>
    <w:rsid w:val="00E15ACA"/>
    <w:rsid w:val="00E27982"/>
    <w:rsid w:val="00E325EE"/>
    <w:rsid w:val="00E35E87"/>
    <w:rsid w:val="00E371C3"/>
    <w:rsid w:val="00E42A81"/>
    <w:rsid w:val="00E42AA4"/>
    <w:rsid w:val="00E44F01"/>
    <w:rsid w:val="00E67288"/>
    <w:rsid w:val="00E82494"/>
    <w:rsid w:val="00E93189"/>
    <w:rsid w:val="00E96005"/>
    <w:rsid w:val="00E964E1"/>
    <w:rsid w:val="00EA12BA"/>
    <w:rsid w:val="00EB10A4"/>
    <w:rsid w:val="00EB269F"/>
    <w:rsid w:val="00EB512A"/>
    <w:rsid w:val="00ED4659"/>
    <w:rsid w:val="00ED54C6"/>
    <w:rsid w:val="00EE6CE3"/>
    <w:rsid w:val="00EE76C7"/>
    <w:rsid w:val="00EF3A7E"/>
    <w:rsid w:val="00EF4CEB"/>
    <w:rsid w:val="00EF4D2B"/>
    <w:rsid w:val="00EF5088"/>
    <w:rsid w:val="00EF5BF8"/>
    <w:rsid w:val="00F12AF1"/>
    <w:rsid w:val="00F14903"/>
    <w:rsid w:val="00F2513B"/>
    <w:rsid w:val="00F259C6"/>
    <w:rsid w:val="00F26E1B"/>
    <w:rsid w:val="00F3287B"/>
    <w:rsid w:val="00F3318B"/>
    <w:rsid w:val="00F33262"/>
    <w:rsid w:val="00F364A4"/>
    <w:rsid w:val="00F42165"/>
    <w:rsid w:val="00F47CE0"/>
    <w:rsid w:val="00F50A50"/>
    <w:rsid w:val="00F554FD"/>
    <w:rsid w:val="00F65A06"/>
    <w:rsid w:val="00F748CE"/>
    <w:rsid w:val="00F752D6"/>
    <w:rsid w:val="00F80980"/>
    <w:rsid w:val="00F92BC9"/>
    <w:rsid w:val="00F95433"/>
    <w:rsid w:val="00FA5011"/>
    <w:rsid w:val="00FA584D"/>
    <w:rsid w:val="00FB35AD"/>
    <w:rsid w:val="00FB391D"/>
    <w:rsid w:val="00FC059C"/>
    <w:rsid w:val="00FC19F9"/>
    <w:rsid w:val="00FC1E03"/>
    <w:rsid w:val="00FD2BA6"/>
    <w:rsid w:val="00FD496E"/>
    <w:rsid w:val="00FE03CB"/>
    <w:rsid w:val="00FE0648"/>
    <w:rsid w:val="00FE2C7A"/>
    <w:rsid w:val="00FF5826"/>
    <w:rsid w:val="00FF5F6F"/>
    <w:rsid w:val="0153A126"/>
    <w:rsid w:val="02BA512C"/>
    <w:rsid w:val="03350329"/>
    <w:rsid w:val="056D23C3"/>
    <w:rsid w:val="071189EE"/>
    <w:rsid w:val="076E7A4A"/>
    <w:rsid w:val="084BD441"/>
    <w:rsid w:val="08700C25"/>
    <w:rsid w:val="0979A876"/>
    <w:rsid w:val="0AB32111"/>
    <w:rsid w:val="0C560AFB"/>
    <w:rsid w:val="10D00EF6"/>
    <w:rsid w:val="10D12D34"/>
    <w:rsid w:val="173D4945"/>
    <w:rsid w:val="17CB2D40"/>
    <w:rsid w:val="17E68A9F"/>
    <w:rsid w:val="1D32A9CD"/>
    <w:rsid w:val="1DFD12A9"/>
    <w:rsid w:val="1E5E4C25"/>
    <w:rsid w:val="1E62C759"/>
    <w:rsid w:val="1ED0F954"/>
    <w:rsid w:val="1EDB8033"/>
    <w:rsid w:val="1EEE64CC"/>
    <w:rsid w:val="1F667957"/>
    <w:rsid w:val="201B6DDC"/>
    <w:rsid w:val="20257F84"/>
    <w:rsid w:val="241C31EF"/>
    <w:rsid w:val="246BAC94"/>
    <w:rsid w:val="280BF0AC"/>
    <w:rsid w:val="28D788C6"/>
    <w:rsid w:val="2A15DA69"/>
    <w:rsid w:val="2A513039"/>
    <w:rsid w:val="2AD06341"/>
    <w:rsid w:val="2C3B45D5"/>
    <w:rsid w:val="2D2D9414"/>
    <w:rsid w:val="2FE566F0"/>
    <w:rsid w:val="34666F8B"/>
    <w:rsid w:val="3506627A"/>
    <w:rsid w:val="363B2703"/>
    <w:rsid w:val="3742BB49"/>
    <w:rsid w:val="390802F5"/>
    <w:rsid w:val="39E06172"/>
    <w:rsid w:val="3AA2909D"/>
    <w:rsid w:val="3BB745C9"/>
    <w:rsid w:val="3C098EE0"/>
    <w:rsid w:val="3CBED824"/>
    <w:rsid w:val="3D7B70FB"/>
    <w:rsid w:val="3E205F80"/>
    <w:rsid w:val="3E628675"/>
    <w:rsid w:val="4339FA9C"/>
    <w:rsid w:val="44E8D0DF"/>
    <w:rsid w:val="45AE6EE9"/>
    <w:rsid w:val="4807A3C8"/>
    <w:rsid w:val="48F775CA"/>
    <w:rsid w:val="494E77CE"/>
    <w:rsid w:val="4ACC5FFF"/>
    <w:rsid w:val="4D21EE1F"/>
    <w:rsid w:val="4D97A723"/>
    <w:rsid w:val="4E64A34C"/>
    <w:rsid w:val="4E985AB4"/>
    <w:rsid w:val="4F57D8D6"/>
    <w:rsid w:val="4F9140DE"/>
    <w:rsid w:val="50572045"/>
    <w:rsid w:val="51406156"/>
    <w:rsid w:val="5196004A"/>
    <w:rsid w:val="54BDA9B6"/>
    <w:rsid w:val="56B1CFA8"/>
    <w:rsid w:val="56C6E756"/>
    <w:rsid w:val="57E55730"/>
    <w:rsid w:val="59122D1E"/>
    <w:rsid w:val="5B0937FD"/>
    <w:rsid w:val="5CDAAC27"/>
    <w:rsid w:val="5E35FC78"/>
    <w:rsid w:val="5E93C6B1"/>
    <w:rsid w:val="605775AE"/>
    <w:rsid w:val="60DB3BCA"/>
    <w:rsid w:val="61CC3CDA"/>
    <w:rsid w:val="650A6964"/>
    <w:rsid w:val="689F970D"/>
    <w:rsid w:val="68F2F607"/>
    <w:rsid w:val="69B56031"/>
    <w:rsid w:val="6B100558"/>
    <w:rsid w:val="6D3DF639"/>
    <w:rsid w:val="6D40F779"/>
    <w:rsid w:val="6F62AD56"/>
    <w:rsid w:val="6FC7BAB0"/>
    <w:rsid w:val="7106BE5F"/>
    <w:rsid w:val="749634B8"/>
    <w:rsid w:val="74A12020"/>
    <w:rsid w:val="74CCFF00"/>
    <w:rsid w:val="7672A735"/>
    <w:rsid w:val="781B2484"/>
    <w:rsid w:val="79FFE6EB"/>
    <w:rsid w:val="7ABA1A45"/>
    <w:rsid w:val="7C442BAC"/>
    <w:rsid w:val="7F6C4E22"/>
    <w:rsid w:val="7FA20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917E"/>
  <w15:chartTrackingRefBased/>
  <w15:docId w15:val="{646B3091-2297-4031-B525-3D8D6D8D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68CE"/>
    <w:pPr>
      <w:spacing w:after="0"/>
    </w:pPr>
  </w:style>
  <w:style w:type="paragraph" w:styleId="berschrift1">
    <w:name w:val="heading 1"/>
    <w:basedOn w:val="Standard"/>
    <w:next w:val="Textkrper"/>
    <w:link w:val="berschrift1Zchn"/>
    <w:qFormat/>
    <w:rsid w:val="001168CE"/>
    <w:pPr>
      <w:keepNext/>
      <w:keepLines/>
      <w:outlineLvl w:val="0"/>
    </w:pPr>
    <w:rPr>
      <w:rFonts w:eastAsia="MS Gothic" w:cs="Times New Roman"/>
      <w:b/>
      <w:bCs/>
      <w:szCs w:val="28"/>
    </w:rPr>
  </w:style>
  <w:style w:type="paragraph" w:styleId="berschrift2">
    <w:name w:val="heading 2"/>
    <w:basedOn w:val="berschrift1"/>
    <w:next w:val="Textkrper"/>
    <w:link w:val="berschrift2Zchn"/>
    <w:qFormat/>
    <w:rsid w:val="001168CE"/>
    <w:pPr>
      <w:outlineLvl w:val="1"/>
    </w:pPr>
    <w:rPr>
      <w:bCs w:val="0"/>
      <w:szCs w:val="26"/>
    </w:rPr>
  </w:style>
  <w:style w:type="paragraph" w:styleId="berschrift3">
    <w:name w:val="heading 3"/>
    <w:basedOn w:val="berschrift2"/>
    <w:next w:val="Textkrper"/>
    <w:link w:val="berschrift3Zchn"/>
    <w:qFormat/>
    <w:rsid w:val="001168CE"/>
    <w:pPr>
      <w:outlineLvl w:val="2"/>
    </w:pPr>
    <w:rPr>
      <w:bCs/>
    </w:rPr>
  </w:style>
  <w:style w:type="paragraph" w:styleId="berschrift4">
    <w:name w:val="heading 4"/>
    <w:basedOn w:val="Standard"/>
    <w:next w:val="Textkrper"/>
    <w:link w:val="berschrift4Zchn"/>
    <w:semiHidden/>
    <w:unhideWhenUsed/>
    <w:qFormat/>
    <w:rsid w:val="001168CE"/>
    <w:pPr>
      <w:keepNext/>
      <w:spacing w:before="240" w:after="60"/>
      <w:outlineLvl w:val="3"/>
    </w:pPr>
    <w:rPr>
      <w:rFonts w:eastAsiaTheme="majorEastAsia" w:cs="Times New Roman"/>
      <w:b/>
      <w:bCs/>
      <w:szCs w:val="28"/>
    </w:rPr>
  </w:style>
  <w:style w:type="paragraph" w:styleId="berschrift5">
    <w:name w:val="heading 5"/>
    <w:basedOn w:val="Standard"/>
    <w:next w:val="Standard"/>
    <w:link w:val="berschrift5Zchn"/>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4406A"/>
    <w:pPr>
      <w:tabs>
        <w:tab w:val="center" w:pos="4680"/>
        <w:tab w:val="right" w:pos="9360"/>
      </w:tabs>
    </w:pPr>
  </w:style>
  <w:style w:type="character" w:customStyle="1" w:styleId="KopfzeileZchn">
    <w:name w:val="Kopfzeile Zchn"/>
    <w:basedOn w:val="Absatz-Standardschriftart"/>
    <w:link w:val="Kopfzeile"/>
    <w:rsid w:val="00C4406A"/>
    <w:rPr>
      <w:rFonts w:ascii="Times New Roman" w:eastAsiaTheme="minorEastAsia" w:hAnsi="Times New Roman" w:cs="Times New Roman"/>
      <w:sz w:val="24"/>
      <w:szCs w:val="24"/>
      <w:lang w:eastAsia="zh-CN"/>
    </w:rPr>
  </w:style>
  <w:style w:type="paragraph" w:styleId="Fuzeile">
    <w:name w:val="footer"/>
    <w:basedOn w:val="Standard"/>
    <w:link w:val="FuzeileZchn"/>
    <w:uiPriority w:val="99"/>
    <w:rsid w:val="00C4406A"/>
    <w:pPr>
      <w:tabs>
        <w:tab w:val="center" w:pos="4680"/>
        <w:tab w:val="right" w:pos="9360"/>
      </w:tabs>
    </w:pPr>
  </w:style>
  <w:style w:type="character" w:customStyle="1" w:styleId="FuzeileZchn">
    <w:name w:val="Fußzeile Zchn"/>
    <w:basedOn w:val="Absatz-Standardschriftart"/>
    <w:link w:val="Fuzeile"/>
    <w:uiPriority w:val="99"/>
    <w:rsid w:val="00C4406A"/>
    <w:rPr>
      <w:rFonts w:ascii="Times New Roman" w:eastAsiaTheme="minorEastAsia" w:hAnsi="Times New Roman" w:cs="Times New Roman"/>
      <w:sz w:val="24"/>
      <w:szCs w:val="24"/>
      <w:lang w:eastAsia="zh-CN"/>
    </w:rPr>
  </w:style>
  <w:style w:type="paragraph" w:styleId="Textkrper">
    <w:name w:val="Body Text"/>
    <w:basedOn w:val="Standard"/>
    <w:link w:val="TextkrperZchn"/>
    <w:uiPriority w:val="9"/>
    <w:qFormat/>
    <w:rsid w:val="001168CE"/>
    <w:pPr>
      <w:ind w:firstLine="720"/>
    </w:pPr>
  </w:style>
  <w:style w:type="character" w:customStyle="1" w:styleId="TextkrperZchn">
    <w:name w:val="Textkörper Zchn"/>
    <w:basedOn w:val="Absatz-Standardschriftart"/>
    <w:link w:val="Textkrper"/>
    <w:uiPriority w:val="9"/>
    <w:rsid w:val="001168CE"/>
  </w:style>
  <w:style w:type="paragraph" w:customStyle="1" w:styleId="BodyTextContinued">
    <w:name w:val="Body Text Continued"/>
    <w:basedOn w:val="Textkrper"/>
    <w:next w:val="Textkrper"/>
    <w:uiPriority w:val="9"/>
    <w:qFormat/>
    <w:rsid w:val="001168CE"/>
    <w:pPr>
      <w:ind w:firstLine="0"/>
    </w:pPr>
  </w:style>
  <w:style w:type="character" w:styleId="Seitenzahl">
    <w:name w:val="page number"/>
    <w:basedOn w:val="Absatz-Standardschriftart"/>
    <w:rsid w:val="00847308"/>
    <w:rPr>
      <w:rFonts w:ascii="Arial" w:hAnsi="Arial"/>
    </w:rPr>
  </w:style>
  <w:style w:type="paragraph" w:styleId="Zitat">
    <w:name w:val="Quote"/>
    <w:basedOn w:val="Standard"/>
    <w:next w:val="Standard"/>
    <w:link w:val="ZitatZchn"/>
    <w:uiPriority w:val="29"/>
    <w:qFormat/>
    <w:rsid w:val="001168CE"/>
    <w:rPr>
      <w:iCs/>
      <w:color w:val="000000" w:themeColor="text1"/>
    </w:rPr>
  </w:style>
  <w:style w:type="character" w:customStyle="1" w:styleId="ZitatZchn">
    <w:name w:val="Zitat Zchn"/>
    <w:basedOn w:val="Absatz-Standardschriftart"/>
    <w:link w:val="Zitat"/>
    <w:uiPriority w:val="29"/>
    <w:rsid w:val="001168CE"/>
    <w:rPr>
      <w:iCs/>
      <w:color w:val="000000" w:themeColor="text1"/>
    </w:rPr>
  </w:style>
  <w:style w:type="paragraph" w:styleId="Blocktext">
    <w:name w:val="Block Text"/>
    <w:basedOn w:val="Standard"/>
    <w:uiPriority w:val="9"/>
    <w:rsid w:val="00DB2F36"/>
    <w:pPr>
      <w:ind w:left="1440" w:right="1440"/>
    </w:pPr>
    <w:rPr>
      <w:rFonts w:eastAsiaTheme="minorEastAsia"/>
      <w:iCs/>
    </w:rPr>
  </w:style>
  <w:style w:type="paragraph" w:styleId="Textkrper2">
    <w:name w:val="Body Text 2"/>
    <w:basedOn w:val="Textkrper"/>
    <w:link w:val="Textkrper2Zchn"/>
    <w:uiPriority w:val="9"/>
    <w:qFormat/>
    <w:rsid w:val="001168CE"/>
    <w:pPr>
      <w:spacing w:line="480" w:lineRule="auto"/>
    </w:pPr>
  </w:style>
  <w:style w:type="character" w:customStyle="1" w:styleId="Textkrper2Zchn">
    <w:name w:val="Textkörper 2 Zchn"/>
    <w:basedOn w:val="Absatz-Standardschriftart"/>
    <w:link w:val="Textkrper2"/>
    <w:uiPriority w:val="9"/>
    <w:rsid w:val="001168CE"/>
  </w:style>
  <w:style w:type="paragraph" w:styleId="Textkrper-Zeileneinzug">
    <w:name w:val="Body Text Indent"/>
    <w:basedOn w:val="Standard"/>
    <w:link w:val="Textkrper-ZeileneinzugZchn"/>
    <w:uiPriority w:val="9"/>
    <w:rsid w:val="00DB2F36"/>
    <w:pPr>
      <w:spacing w:after="120"/>
      <w:ind w:left="360"/>
    </w:pPr>
  </w:style>
  <w:style w:type="character" w:customStyle="1" w:styleId="Textkrper-ZeileneinzugZchn">
    <w:name w:val="Textkörper-Zeileneinzug Zchn"/>
    <w:basedOn w:val="Absatz-Standardschriftart"/>
    <w:link w:val="Textkrper-Zeileneinzug"/>
    <w:uiPriority w:val="9"/>
    <w:rsid w:val="00DB2F36"/>
    <w:rPr>
      <w:rFonts w:ascii="Times New Roman" w:hAnsi="Times New Roman"/>
      <w:sz w:val="24"/>
      <w:szCs w:val="24"/>
    </w:rPr>
  </w:style>
  <w:style w:type="paragraph" w:styleId="Textkrper-Erstzeileneinzug2">
    <w:name w:val="Body Text First Indent 2"/>
    <w:basedOn w:val="Textkrper-Zeileneinzug"/>
    <w:link w:val="Textkrper-Erstzeileneinzug2Zchn"/>
    <w:uiPriority w:val="9"/>
    <w:qFormat/>
    <w:rsid w:val="001168CE"/>
    <w:pPr>
      <w:spacing w:after="240"/>
      <w:ind w:firstLine="360"/>
    </w:pPr>
    <w:rPr>
      <w:rFonts w:ascii="Times New Roman" w:hAnsi="Times New Roman"/>
    </w:rPr>
  </w:style>
  <w:style w:type="character" w:customStyle="1" w:styleId="Textkrper-Erstzeileneinzug2Zchn">
    <w:name w:val="Textkörper-Erstzeileneinzug 2 Zchn"/>
    <w:basedOn w:val="Textkrper-ZeileneinzugZchn"/>
    <w:link w:val="Textkrper-Erstzeileneinzug2"/>
    <w:uiPriority w:val="9"/>
    <w:rsid w:val="001168CE"/>
    <w:rPr>
      <w:rFonts w:ascii="Times New Roman" w:hAnsi="Times New Roman"/>
      <w:sz w:val="24"/>
      <w:szCs w:val="24"/>
    </w:rPr>
  </w:style>
  <w:style w:type="paragraph" w:styleId="Textkrper-Erstzeileneinzug">
    <w:name w:val="Body Text First Indent"/>
    <w:basedOn w:val="Textkrper"/>
    <w:link w:val="Textkrper-ErstzeileneinzugZchn"/>
    <w:uiPriority w:val="9"/>
    <w:qFormat/>
    <w:rsid w:val="001168CE"/>
    <w:pPr>
      <w:ind w:firstLine="360"/>
    </w:pPr>
  </w:style>
  <w:style w:type="character" w:customStyle="1" w:styleId="Textkrper-ErstzeileneinzugZchn">
    <w:name w:val="Textkörper-Erstzeileneinzug Zchn"/>
    <w:basedOn w:val="TextkrperZchn"/>
    <w:link w:val="Textkrper-Erstzeileneinzug"/>
    <w:uiPriority w:val="9"/>
    <w:rsid w:val="001168CE"/>
  </w:style>
  <w:style w:type="character" w:styleId="Funotenzeichen">
    <w:name w:val="footnote reference"/>
    <w:basedOn w:val="Absatz-Standardschriftart"/>
    <w:uiPriority w:val="11"/>
    <w:qFormat/>
    <w:rsid w:val="001168CE"/>
    <w:rPr>
      <w:vertAlign w:val="superscript"/>
    </w:rPr>
  </w:style>
  <w:style w:type="paragraph" w:styleId="Funotentext">
    <w:name w:val="footnote text"/>
    <w:basedOn w:val="Standard"/>
    <w:link w:val="FunotentextZchn"/>
    <w:uiPriority w:val="99"/>
    <w:qFormat/>
    <w:rsid w:val="001168CE"/>
    <w:rPr>
      <w:sz w:val="20"/>
      <w:szCs w:val="20"/>
    </w:rPr>
  </w:style>
  <w:style w:type="character" w:customStyle="1" w:styleId="FunotentextZchn">
    <w:name w:val="Fußnotentext Zchn"/>
    <w:basedOn w:val="Absatz-Standardschriftart"/>
    <w:link w:val="Funotentext"/>
    <w:uiPriority w:val="99"/>
    <w:rsid w:val="001168CE"/>
    <w:rPr>
      <w:sz w:val="20"/>
      <w:szCs w:val="20"/>
    </w:rPr>
  </w:style>
  <w:style w:type="character" w:customStyle="1" w:styleId="berschrift1Zchn">
    <w:name w:val="Überschrift 1 Zchn"/>
    <w:link w:val="berschrift1"/>
    <w:rsid w:val="001168CE"/>
    <w:rPr>
      <w:rFonts w:eastAsia="MS Gothic" w:cs="Times New Roman"/>
      <w:b/>
      <w:bCs/>
      <w:szCs w:val="28"/>
    </w:rPr>
  </w:style>
  <w:style w:type="character" w:customStyle="1" w:styleId="berschrift2Zchn">
    <w:name w:val="Überschrift 2 Zchn"/>
    <w:link w:val="berschrift2"/>
    <w:rsid w:val="001168CE"/>
    <w:rPr>
      <w:rFonts w:eastAsia="MS Gothic" w:cs="Times New Roman"/>
      <w:b/>
      <w:szCs w:val="26"/>
    </w:rPr>
  </w:style>
  <w:style w:type="character" w:customStyle="1" w:styleId="berschrift3Zchn">
    <w:name w:val="Überschrift 3 Zchn"/>
    <w:link w:val="berschrift3"/>
    <w:rsid w:val="001168CE"/>
    <w:rPr>
      <w:rFonts w:eastAsia="MS Gothic" w:cs="Times New Roman"/>
      <w:b/>
      <w:bCs/>
      <w:szCs w:val="26"/>
    </w:rPr>
  </w:style>
  <w:style w:type="paragraph" w:styleId="Titel">
    <w:name w:val="Title"/>
    <w:basedOn w:val="Standard"/>
    <w:next w:val="Standard"/>
    <w:link w:val="TitelZchn"/>
    <w:uiPriority w:val="12"/>
    <w:qFormat/>
    <w:rsid w:val="001168CE"/>
    <w:pPr>
      <w:spacing w:after="480"/>
      <w:contextualSpacing/>
      <w:jc w:val="center"/>
    </w:pPr>
    <w:rPr>
      <w:rFonts w:eastAsiaTheme="majorEastAsia" w:cstheme="majorBidi"/>
      <w:spacing w:val="5"/>
      <w:kern w:val="28"/>
      <w:sz w:val="48"/>
      <w:szCs w:val="52"/>
    </w:rPr>
  </w:style>
  <w:style w:type="character" w:customStyle="1" w:styleId="TitelZchn">
    <w:name w:val="Titel Zchn"/>
    <w:basedOn w:val="Absatz-Standardschriftart"/>
    <w:link w:val="Titel"/>
    <w:uiPriority w:val="12"/>
    <w:rsid w:val="001168CE"/>
    <w:rPr>
      <w:rFonts w:eastAsiaTheme="majorEastAsia" w:cstheme="majorBidi"/>
      <w:spacing w:val="5"/>
      <w:kern w:val="28"/>
      <w:sz w:val="48"/>
      <w:szCs w:val="52"/>
    </w:rPr>
  </w:style>
  <w:style w:type="paragraph" w:styleId="Untertitel">
    <w:name w:val="Subtitle"/>
    <w:basedOn w:val="Titel"/>
    <w:next w:val="Standard"/>
    <w:link w:val="UntertitelZchn"/>
    <w:uiPriority w:val="13"/>
    <w:qFormat/>
    <w:rsid w:val="001168CE"/>
    <w:pPr>
      <w:numPr>
        <w:ilvl w:val="1"/>
      </w:numPr>
    </w:pPr>
    <w:rPr>
      <w:iCs/>
      <w:spacing w:val="15"/>
      <w:sz w:val="36"/>
    </w:rPr>
  </w:style>
  <w:style w:type="character" w:customStyle="1" w:styleId="UntertitelZchn">
    <w:name w:val="Untertitel Zchn"/>
    <w:basedOn w:val="Absatz-Standardschriftart"/>
    <w:link w:val="Untertitel"/>
    <w:uiPriority w:val="13"/>
    <w:rsid w:val="001168CE"/>
    <w:rPr>
      <w:rFonts w:eastAsiaTheme="majorEastAsia" w:cstheme="majorBidi"/>
      <w:iCs/>
      <w:spacing w:val="15"/>
      <w:kern w:val="28"/>
      <w:sz w:val="36"/>
      <w:szCs w:val="52"/>
    </w:rPr>
  </w:style>
  <w:style w:type="character" w:customStyle="1" w:styleId="berschrift4Zchn">
    <w:name w:val="Überschrift 4 Zchn"/>
    <w:link w:val="berschrift4"/>
    <w:semiHidden/>
    <w:rsid w:val="001168CE"/>
    <w:rPr>
      <w:rFonts w:eastAsiaTheme="majorEastAsia" w:cs="Times New Roman"/>
      <w:b/>
      <w:bCs/>
      <w:szCs w:val="28"/>
    </w:rPr>
  </w:style>
  <w:style w:type="character" w:customStyle="1" w:styleId="berschrift5Zchn">
    <w:name w:val="Überschrift 5 Zchn"/>
    <w:basedOn w:val="Absatz-Standardschriftart"/>
    <w:link w:val="berschrift5"/>
    <w:uiPriority w:val="9"/>
    <w:semiHidden/>
    <w:rsid w:val="001168C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168C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168C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168C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168CE"/>
    <w:pPr>
      <w:spacing w:after="200"/>
    </w:pPr>
    <w:rPr>
      <w:b/>
      <w:bCs/>
      <w:color w:val="4F81BD" w:themeColor="accent1"/>
      <w:sz w:val="18"/>
      <w:szCs w:val="18"/>
    </w:rPr>
  </w:style>
  <w:style w:type="character" w:styleId="Fett">
    <w:name w:val="Strong"/>
    <w:basedOn w:val="Absatz-Standardschriftart"/>
    <w:uiPriority w:val="22"/>
    <w:semiHidden/>
    <w:unhideWhenUsed/>
    <w:qFormat/>
    <w:rsid w:val="001168CE"/>
    <w:rPr>
      <w:b/>
      <w:bCs/>
    </w:rPr>
  </w:style>
  <w:style w:type="character" w:styleId="Hervorhebung">
    <w:name w:val="Emphasis"/>
    <w:basedOn w:val="Absatz-Standardschriftart"/>
    <w:uiPriority w:val="20"/>
    <w:semiHidden/>
    <w:unhideWhenUsed/>
    <w:qFormat/>
    <w:rsid w:val="001168CE"/>
    <w:rPr>
      <w:i/>
      <w:iCs/>
    </w:rPr>
  </w:style>
  <w:style w:type="paragraph" w:styleId="KeinLeerraum">
    <w:name w:val="No Spacing"/>
    <w:uiPriority w:val="1"/>
    <w:qFormat/>
    <w:rsid w:val="001168CE"/>
    <w:pPr>
      <w:spacing w:after="0"/>
    </w:pPr>
  </w:style>
  <w:style w:type="paragraph" w:styleId="Listenabsatz">
    <w:name w:val="List Paragraph"/>
    <w:basedOn w:val="Standard"/>
    <w:uiPriority w:val="34"/>
    <w:unhideWhenUsed/>
    <w:qFormat/>
    <w:rsid w:val="001168CE"/>
    <w:pPr>
      <w:ind w:left="720"/>
      <w:contextualSpacing/>
    </w:pPr>
  </w:style>
  <w:style w:type="paragraph" w:styleId="IntensivesZitat">
    <w:name w:val="Intense Quote"/>
    <w:basedOn w:val="Standard"/>
    <w:next w:val="Standard"/>
    <w:link w:val="IntensivesZitatZchn"/>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1168CE"/>
    <w:rPr>
      <w:b/>
      <w:bCs/>
      <w:i/>
      <w:iCs/>
      <w:color w:val="4F81BD" w:themeColor="accent1"/>
    </w:rPr>
  </w:style>
  <w:style w:type="character" w:styleId="SchwacheHervorhebung">
    <w:name w:val="Subtle Emphasis"/>
    <w:basedOn w:val="Absatz-Standardschriftart"/>
    <w:uiPriority w:val="19"/>
    <w:semiHidden/>
    <w:unhideWhenUsed/>
    <w:qFormat/>
    <w:rsid w:val="001168CE"/>
    <w:rPr>
      <w:i/>
      <w:iCs/>
      <w:color w:val="808080" w:themeColor="text1" w:themeTint="7F"/>
    </w:rPr>
  </w:style>
  <w:style w:type="character" w:styleId="IntensiveHervorhebung">
    <w:name w:val="Intense Emphasis"/>
    <w:basedOn w:val="Absatz-Standardschriftart"/>
    <w:uiPriority w:val="21"/>
    <w:unhideWhenUsed/>
    <w:qFormat/>
    <w:rsid w:val="001168CE"/>
    <w:rPr>
      <w:b/>
      <w:bCs/>
      <w:i/>
      <w:iCs/>
      <w:color w:val="4F81BD" w:themeColor="accent1"/>
    </w:rPr>
  </w:style>
  <w:style w:type="character" w:styleId="SchwacherVerweis">
    <w:name w:val="Subtle Reference"/>
    <w:basedOn w:val="Absatz-Standardschriftart"/>
    <w:uiPriority w:val="31"/>
    <w:semiHidden/>
    <w:unhideWhenUsed/>
    <w:qFormat/>
    <w:rsid w:val="001168CE"/>
    <w:rPr>
      <w:smallCaps/>
      <w:color w:val="C0504D" w:themeColor="accent2"/>
      <w:u w:val="single"/>
    </w:rPr>
  </w:style>
  <w:style w:type="character" w:styleId="IntensiverVerweis">
    <w:name w:val="Intense Reference"/>
    <w:basedOn w:val="Absatz-Standardschriftart"/>
    <w:uiPriority w:val="32"/>
    <w:semiHidden/>
    <w:unhideWhenUsed/>
    <w:qFormat/>
    <w:rsid w:val="001168CE"/>
    <w:rPr>
      <w:b/>
      <w:bCs/>
      <w:smallCaps/>
      <w:color w:val="C0504D" w:themeColor="accent2"/>
      <w:spacing w:val="5"/>
      <w:u w:val="single"/>
    </w:rPr>
  </w:style>
  <w:style w:type="character" w:styleId="Buchtitel">
    <w:name w:val="Book Title"/>
    <w:basedOn w:val="Absatz-Standardschriftart"/>
    <w:uiPriority w:val="33"/>
    <w:semiHidden/>
    <w:unhideWhenUsed/>
    <w:qFormat/>
    <w:rsid w:val="001168CE"/>
    <w:rPr>
      <w:b/>
      <w:bCs/>
      <w:smallCaps/>
      <w:spacing w:val="5"/>
    </w:rPr>
  </w:style>
  <w:style w:type="paragraph" w:styleId="Inhaltsverzeichnisberschrift">
    <w:name w:val="TOC Heading"/>
    <w:basedOn w:val="berschrift1"/>
    <w:next w:val="Standard"/>
    <w:uiPriority w:val="39"/>
    <w:semiHidden/>
    <w:unhideWhenUsed/>
    <w:qFormat/>
    <w:rsid w:val="001168CE"/>
    <w:pPr>
      <w:outlineLvl w:val="9"/>
    </w:pPr>
    <w:rPr>
      <w:rFonts w:cstheme="minorBidi"/>
    </w:rPr>
  </w:style>
  <w:style w:type="paragraph" w:styleId="StandardWeb">
    <w:name w:val="Normal (Web)"/>
    <w:basedOn w:val="Standard"/>
    <w:uiPriority w:val="99"/>
    <w:unhideWhenUsed/>
    <w:rsid w:val="00430AA3"/>
    <w:rPr>
      <w:rFonts w:cs="Times New Roman"/>
    </w:rPr>
  </w:style>
  <w:style w:type="paragraph" w:styleId="RGV-berschrift">
    <w:name w:val="toa heading"/>
    <w:basedOn w:val="Standard"/>
    <w:next w:val="Standard"/>
    <w:uiPriority w:val="99"/>
    <w:unhideWhenUsed/>
    <w:rsid w:val="005D1543"/>
    <w:pPr>
      <w:spacing w:before="120"/>
    </w:pPr>
    <w:rPr>
      <w:rFonts w:eastAsiaTheme="majorEastAsia" w:cstheme="majorBidi"/>
      <w:b/>
      <w:bCs/>
    </w:rPr>
  </w:style>
  <w:style w:type="paragraph" w:styleId="Index1">
    <w:name w:val="index 1"/>
    <w:basedOn w:val="Standard"/>
    <w:next w:val="Standard"/>
    <w:autoRedefine/>
    <w:uiPriority w:val="99"/>
    <w:semiHidden/>
    <w:unhideWhenUsed/>
    <w:rsid w:val="005D1543"/>
    <w:pPr>
      <w:ind w:left="240" w:hanging="240"/>
    </w:pPr>
  </w:style>
  <w:style w:type="paragraph" w:styleId="Indexberschrift">
    <w:name w:val="index heading"/>
    <w:basedOn w:val="Standard"/>
    <w:next w:val="Index1"/>
    <w:uiPriority w:val="99"/>
    <w:unhideWhenUsed/>
    <w:rsid w:val="005D1543"/>
    <w:rPr>
      <w:rFonts w:eastAsiaTheme="majorEastAsia" w:cstheme="majorBidi"/>
      <w:b/>
      <w:bCs/>
    </w:rPr>
  </w:style>
  <w:style w:type="paragraph" w:styleId="Umschlagadresse">
    <w:name w:val="envelope address"/>
    <w:basedOn w:val="Standard"/>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Umschlagabsenderadresse">
    <w:name w:val="envelope return"/>
    <w:basedOn w:val="Standard"/>
    <w:uiPriority w:val="99"/>
    <w:semiHidden/>
    <w:unhideWhenUsed/>
    <w:rsid w:val="005D1543"/>
    <w:rPr>
      <w:rFonts w:eastAsiaTheme="majorEastAsia" w:cstheme="majorBidi"/>
      <w:sz w:val="20"/>
      <w:szCs w:val="20"/>
    </w:rPr>
  </w:style>
  <w:style w:type="paragraph" w:styleId="Dokumentstruktur">
    <w:name w:val="Document Map"/>
    <w:basedOn w:val="Standard"/>
    <w:link w:val="DokumentstrukturZchn"/>
    <w:uiPriority w:val="99"/>
    <w:semiHidden/>
    <w:unhideWhenUsed/>
    <w:rsid w:val="005D1543"/>
    <w:rPr>
      <w:rFonts w:cs="Segoe UI"/>
      <w:sz w:val="16"/>
      <w:szCs w:val="16"/>
    </w:rPr>
  </w:style>
  <w:style w:type="character" w:customStyle="1" w:styleId="DokumentstrukturZchn">
    <w:name w:val="Dokumentstruktur Zchn"/>
    <w:basedOn w:val="Absatz-Standardschriftart"/>
    <w:link w:val="Dokumentstruktur"/>
    <w:uiPriority w:val="99"/>
    <w:semiHidden/>
    <w:rsid w:val="005D1543"/>
    <w:rPr>
      <w:rFonts w:cs="Segoe UI"/>
      <w:sz w:val="16"/>
      <w:szCs w:val="16"/>
    </w:rPr>
  </w:style>
  <w:style w:type="paragraph" w:styleId="Sprechblasentext">
    <w:name w:val="Balloon Text"/>
    <w:basedOn w:val="Standard"/>
    <w:link w:val="SprechblasentextZchn"/>
    <w:uiPriority w:val="99"/>
    <w:semiHidden/>
    <w:unhideWhenUsed/>
    <w:rsid w:val="005D1543"/>
    <w:rPr>
      <w:rFonts w:cs="Segoe UI"/>
      <w:sz w:val="18"/>
      <w:szCs w:val="18"/>
    </w:rPr>
  </w:style>
  <w:style w:type="character" w:customStyle="1" w:styleId="SprechblasentextZchn">
    <w:name w:val="Sprechblasentext Zchn"/>
    <w:basedOn w:val="Absatz-Standardschriftart"/>
    <w:link w:val="Sprechblasentext"/>
    <w:uiPriority w:val="99"/>
    <w:semiHidden/>
    <w:rsid w:val="005D1543"/>
    <w:rPr>
      <w:rFonts w:cs="Segoe UI"/>
      <w:sz w:val="18"/>
      <w:szCs w:val="18"/>
    </w:rPr>
  </w:style>
  <w:style w:type="paragraph" w:styleId="Makrotext">
    <w:name w:val="macro"/>
    <w:link w:val="MakrotextZchn"/>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krotextZchn">
    <w:name w:val="Makrotext Zchn"/>
    <w:basedOn w:val="Absatz-Standardschriftart"/>
    <w:link w:val="Makrotext"/>
    <w:uiPriority w:val="99"/>
    <w:semiHidden/>
    <w:rsid w:val="005D1543"/>
    <w:rPr>
      <w:sz w:val="20"/>
      <w:szCs w:val="20"/>
    </w:rPr>
  </w:style>
  <w:style w:type="table" w:styleId="MittleresRaster2">
    <w:name w:val="Medium Grid 2"/>
    <w:basedOn w:val="NormaleTabelle"/>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Liste2">
    <w:name w:val="Medium List 2"/>
    <w:basedOn w:val="NormaleTabelle"/>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Kommentarzeichen">
    <w:name w:val="annotation reference"/>
    <w:basedOn w:val="Absatz-Standardschriftart"/>
    <w:uiPriority w:val="99"/>
    <w:semiHidden/>
    <w:unhideWhenUsed/>
    <w:rsid w:val="0091322A"/>
    <w:rPr>
      <w:sz w:val="16"/>
      <w:szCs w:val="16"/>
    </w:rPr>
  </w:style>
  <w:style w:type="paragraph" w:styleId="Kommentartext">
    <w:name w:val="annotation text"/>
    <w:basedOn w:val="Standard"/>
    <w:link w:val="KommentartextZchn"/>
    <w:uiPriority w:val="99"/>
    <w:unhideWhenUsed/>
    <w:rsid w:val="0091322A"/>
    <w:rPr>
      <w:sz w:val="20"/>
      <w:szCs w:val="20"/>
    </w:rPr>
  </w:style>
  <w:style w:type="character" w:customStyle="1" w:styleId="KommentartextZchn">
    <w:name w:val="Kommentartext Zchn"/>
    <w:basedOn w:val="Absatz-Standardschriftart"/>
    <w:link w:val="Kommentartext"/>
    <w:uiPriority w:val="99"/>
    <w:rsid w:val="0091322A"/>
    <w:rPr>
      <w:sz w:val="20"/>
      <w:szCs w:val="20"/>
    </w:rPr>
  </w:style>
  <w:style w:type="paragraph" w:styleId="Kommentarthema">
    <w:name w:val="annotation subject"/>
    <w:basedOn w:val="Kommentartext"/>
    <w:next w:val="Kommentartext"/>
    <w:link w:val="KommentarthemaZchn"/>
    <w:uiPriority w:val="99"/>
    <w:semiHidden/>
    <w:unhideWhenUsed/>
    <w:rsid w:val="0091322A"/>
    <w:rPr>
      <w:b/>
      <w:bCs/>
    </w:rPr>
  </w:style>
  <w:style w:type="character" w:customStyle="1" w:styleId="KommentarthemaZchn">
    <w:name w:val="Kommentarthema Zchn"/>
    <w:basedOn w:val="KommentartextZchn"/>
    <w:link w:val="Kommentarthema"/>
    <w:uiPriority w:val="99"/>
    <w:semiHidden/>
    <w:rsid w:val="0091322A"/>
    <w:rPr>
      <w:b/>
      <w:bCs/>
      <w:sz w:val="20"/>
      <w:szCs w:val="20"/>
    </w:rPr>
  </w:style>
  <w:style w:type="character" w:styleId="Hyperlink">
    <w:name w:val="Hyperlink"/>
    <w:basedOn w:val="Absatz-Standardschriftart"/>
    <w:uiPriority w:val="99"/>
    <w:unhideWhenUsed/>
    <w:rsid w:val="0091322A"/>
    <w:rPr>
      <w:color w:val="0000FF" w:themeColor="hyperlink"/>
      <w:u w:val="single"/>
    </w:rPr>
  </w:style>
  <w:style w:type="paragraph" w:styleId="berarbeitung">
    <w:name w:val="Revision"/>
    <w:hidden/>
    <w:uiPriority w:val="99"/>
    <w:semiHidden/>
    <w:rsid w:val="00314212"/>
    <w:pPr>
      <w:spacing w:after="0"/>
    </w:pPr>
  </w:style>
  <w:style w:type="character" w:styleId="BesuchterLink">
    <w:name w:val="FollowedHyperlink"/>
    <w:basedOn w:val="Absatz-Standardschriftart"/>
    <w:uiPriority w:val="99"/>
    <w:semiHidden/>
    <w:unhideWhenUsed/>
    <w:rsid w:val="005F0AD9"/>
    <w:rPr>
      <w:color w:val="800080" w:themeColor="followedHyperlink"/>
      <w:u w:val="single"/>
    </w:rPr>
  </w:style>
  <w:style w:type="paragraph" w:customStyle="1" w:styleId="paragraph">
    <w:name w:val="paragraph"/>
    <w:basedOn w:val="Standard"/>
    <w:rsid w:val="00B46DF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Absatz-Standardschriftart"/>
    <w:rsid w:val="00B46DFE"/>
  </w:style>
  <w:style w:type="character" w:customStyle="1" w:styleId="eop">
    <w:name w:val="eop"/>
    <w:basedOn w:val="Absatz-Standardschriftart"/>
    <w:rsid w:val="00B46DFE"/>
  </w:style>
  <w:style w:type="character" w:customStyle="1" w:styleId="superscript">
    <w:name w:val="superscript"/>
    <w:basedOn w:val="Absatz-Standardschriftart"/>
    <w:rsid w:val="00B46DFE"/>
  </w:style>
  <w:style w:type="character" w:customStyle="1" w:styleId="UnresolvedMention">
    <w:name w:val="Unresolved Mention"/>
    <w:basedOn w:val="Absatz-Standardschriftart"/>
    <w:uiPriority w:val="99"/>
    <w:semiHidden/>
    <w:unhideWhenUsed/>
    <w:rsid w:val="00961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6615">
      <w:bodyDiv w:val="1"/>
      <w:marLeft w:val="0"/>
      <w:marRight w:val="0"/>
      <w:marTop w:val="0"/>
      <w:marBottom w:val="0"/>
      <w:divBdr>
        <w:top w:val="none" w:sz="0" w:space="0" w:color="auto"/>
        <w:left w:val="none" w:sz="0" w:space="0" w:color="auto"/>
        <w:bottom w:val="none" w:sz="0" w:space="0" w:color="auto"/>
        <w:right w:val="none" w:sz="0" w:space="0" w:color="auto"/>
      </w:divBdr>
    </w:div>
    <w:div w:id="121655709">
      <w:bodyDiv w:val="1"/>
      <w:marLeft w:val="0"/>
      <w:marRight w:val="0"/>
      <w:marTop w:val="0"/>
      <w:marBottom w:val="0"/>
      <w:divBdr>
        <w:top w:val="none" w:sz="0" w:space="0" w:color="auto"/>
        <w:left w:val="none" w:sz="0" w:space="0" w:color="auto"/>
        <w:bottom w:val="none" w:sz="0" w:space="0" w:color="auto"/>
        <w:right w:val="none" w:sz="0" w:space="0" w:color="auto"/>
      </w:divBdr>
    </w:div>
    <w:div w:id="342783278">
      <w:bodyDiv w:val="1"/>
      <w:marLeft w:val="0"/>
      <w:marRight w:val="0"/>
      <w:marTop w:val="0"/>
      <w:marBottom w:val="0"/>
      <w:divBdr>
        <w:top w:val="none" w:sz="0" w:space="0" w:color="auto"/>
        <w:left w:val="none" w:sz="0" w:space="0" w:color="auto"/>
        <w:bottom w:val="none" w:sz="0" w:space="0" w:color="auto"/>
        <w:right w:val="none" w:sz="0" w:space="0" w:color="auto"/>
      </w:divBdr>
      <w:divsChild>
        <w:div w:id="294606445">
          <w:marLeft w:val="0"/>
          <w:marRight w:val="0"/>
          <w:marTop w:val="0"/>
          <w:marBottom w:val="0"/>
          <w:divBdr>
            <w:top w:val="none" w:sz="0" w:space="0" w:color="auto"/>
            <w:left w:val="none" w:sz="0" w:space="0" w:color="auto"/>
            <w:bottom w:val="none" w:sz="0" w:space="0" w:color="auto"/>
            <w:right w:val="none" w:sz="0" w:space="0" w:color="auto"/>
          </w:divBdr>
        </w:div>
        <w:div w:id="938410505">
          <w:marLeft w:val="0"/>
          <w:marRight w:val="0"/>
          <w:marTop w:val="0"/>
          <w:marBottom w:val="0"/>
          <w:divBdr>
            <w:top w:val="none" w:sz="0" w:space="0" w:color="auto"/>
            <w:left w:val="none" w:sz="0" w:space="0" w:color="auto"/>
            <w:bottom w:val="none" w:sz="0" w:space="0" w:color="auto"/>
            <w:right w:val="none" w:sz="0" w:space="0" w:color="auto"/>
          </w:divBdr>
        </w:div>
        <w:div w:id="1297221821">
          <w:marLeft w:val="0"/>
          <w:marRight w:val="0"/>
          <w:marTop w:val="0"/>
          <w:marBottom w:val="0"/>
          <w:divBdr>
            <w:top w:val="none" w:sz="0" w:space="0" w:color="auto"/>
            <w:left w:val="none" w:sz="0" w:space="0" w:color="auto"/>
            <w:bottom w:val="none" w:sz="0" w:space="0" w:color="auto"/>
            <w:right w:val="none" w:sz="0" w:space="0" w:color="auto"/>
          </w:divBdr>
        </w:div>
        <w:div w:id="1557282691">
          <w:marLeft w:val="0"/>
          <w:marRight w:val="0"/>
          <w:marTop w:val="0"/>
          <w:marBottom w:val="0"/>
          <w:divBdr>
            <w:top w:val="none" w:sz="0" w:space="0" w:color="auto"/>
            <w:left w:val="none" w:sz="0" w:space="0" w:color="auto"/>
            <w:bottom w:val="none" w:sz="0" w:space="0" w:color="auto"/>
            <w:right w:val="none" w:sz="0" w:space="0" w:color="auto"/>
          </w:divBdr>
        </w:div>
        <w:div w:id="1770347051">
          <w:marLeft w:val="0"/>
          <w:marRight w:val="0"/>
          <w:marTop w:val="0"/>
          <w:marBottom w:val="0"/>
          <w:divBdr>
            <w:top w:val="none" w:sz="0" w:space="0" w:color="auto"/>
            <w:left w:val="none" w:sz="0" w:space="0" w:color="auto"/>
            <w:bottom w:val="none" w:sz="0" w:space="0" w:color="auto"/>
            <w:right w:val="none" w:sz="0" w:space="0" w:color="auto"/>
          </w:divBdr>
        </w:div>
      </w:divsChild>
    </w:div>
    <w:div w:id="778109087">
      <w:bodyDiv w:val="1"/>
      <w:marLeft w:val="0"/>
      <w:marRight w:val="0"/>
      <w:marTop w:val="0"/>
      <w:marBottom w:val="0"/>
      <w:divBdr>
        <w:top w:val="none" w:sz="0" w:space="0" w:color="auto"/>
        <w:left w:val="none" w:sz="0" w:space="0" w:color="auto"/>
        <w:bottom w:val="none" w:sz="0" w:space="0" w:color="auto"/>
        <w:right w:val="none" w:sz="0" w:space="0" w:color="auto"/>
      </w:divBdr>
    </w:div>
    <w:div w:id="785540043">
      <w:bodyDiv w:val="1"/>
      <w:marLeft w:val="0"/>
      <w:marRight w:val="0"/>
      <w:marTop w:val="0"/>
      <w:marBottom w:val="0"/>
      <w:divBdr>
        <w:top w:val="none" w:sz="0" w:space="0" w:color="auto"/>
        <w:left w:val="none" w:sz="0" w:space="0" w:color="auto"/>
        <w:bottom w:val="none" w:sz="0" w:space="0" w:color="auto"/>
        <w:right w:val="none" w:sz="0" w:space="0" w:color="auto"/>
      </w:divBdr>
    </w:div>
    <w:div w:id="971136657">
      <w:bodyDiv w:val="1"/>
      <w:marLeft w:val="0"/>
      <w:marRight w:val="0"/>
      <w:marTop w:val="0"/>
      <w:marBottom w:val="0"/>
      <w:divBdr>
        <w:top w:val="none" w:sz="0" w:space="0" w:color="auto"/>
        <w:left w:val="none" w:sz="0" w:space="0" w:color="auto"/>
        <w:bottom w:val="none" w:sz="0" w:space="0" w:color="auto"/>
        <w:right w:val="none" w:sz="0" w:space="0" w:color="auto"/>
      </w:divBdr>
    </w:div>
    <w:div w:id="1359314922">
      <w:bodyDiv w:val="1"/>
      <w:marLeft w:val="0"/>
      <w:marRight w:val="0"/>
      <w:marTop w:val="0"/>
      <w:marBottom w:val="0"/>
      <w:divBdr>
        <w:top w:val="none" w:sz="0" w:space="0" w:color="auto"/>
        <w:left w:val="none" w:sz="0" w:space="0" w:color="auto"/>
        <w:bottom w:val="none" w:sz="0" w:space="0" w:color="auto"/>
        <w:right w:val="none" w:sz="0" w:space="0" w:color="auto"/>
      </w:divBdr>
      <w:divsChild>
        <w:div w:id="582225238">
          <w:marLeft w:val="0"/>
          <w:marRight w:val="0"/>
          <w:marTop w:val="0"/>
          <w:marBottom w:val="0"/>
          <w:divBdr>
            <w:top w:val="none" w:sz="0" w:space="0" w:color="auto"/>
            <w:left w:val="none" w:sz="0" w:space="0" w:color="auto"/>
            <w:bottom w:val="none" w:sz="0" w:space="0" w:color="auto"/>
            <w:right w:val="none" w:sz="0" w:space="0" w:color="auto"/>
          </w:divBdr>
        </w:div>
        <w:div w:id="645738949">
          <w:marLeft w:val="0"/>
          <w:marRight w:val="0"/>
          <w:marTop w:val="0"/>
          <w:marBottom w:val="0"/>
          <w:divBdr>
            <w:top w:val="none" w:sz="0" w:space="0" w:color="auto"/>
            <w:left w:val="none" w:sz="0" w:space="0" w:color="auto"/>
            <w:bottom w:val="none" w:sz="0" w:space="0" w:color="auto"/>
            <w:right w:val="none" w:sz="0" w:space="0" w:color="auto"/>
          </w:divBdr>
        </w:div>
        <w:div w:id="696082693">
          <w:marLeft w:val="0"/>
          <w:marRight w:val="0"/>
          <w:marTop w:val="0"/>
          <w:marBottom w:val="0"/>
          <w:divBdr>
            <w:top w:val="none" w:sz="0" w:space="0" w:color="auto"/>
            <w:left w:val="none" w:sz="0" w:space="0" w:color="auto"/>
            <w:bottom w:val="none" w:sz="0" w:space="0" w:color="auto"/>
            <w:right w:val="none" w:sz="0" w:space="0" w:color="auto"/>
          </w:divBdr>
        </w:div>
        <w:div w:id="716780604">
          <w:marLeft w:val="0"/>
          <w:marRight w:val="0"/>
          <w:marTop w:val="0"/>
          <w:marBottom w:val="0"/>
          <w:divBdr>
            <w:top w:val="none" w:sz="0" w:space="0" w:color="auto"/>
            <w:left w:val="none" w:sz="0" w:space="0" w:color="auto"/>
            <w:bottom w:val="none" w:sz="0" w:space="0" w:color="auto"/>
            <w:right w:val="none" w:sz="0" w:space="0" w:color="auto"/>
          </w:divBdr>
        </w:div>
        <w:div w:id="789057908">
          <w:marLeft w:val="0"/>
          <w:marRight w:val="0"/>
          <w:marTop w:val="0"/>
          <w:marBottom w:val="0"/>
          <w:divBdr>
            <w:top w:val="none" w:sz="0" w:space="0" w:color="auto"/>
            <w:left w:val="none" w:sz="0" w:space="0" w:color="auto"/>
            <w:bottom w:val="none" w:sz="0" w:space="0" w:color="auto"/>
            <w:right w:val="none" w:sz="0" w:space="0" w:color="auto"/>
          </w:divBdr>
        </w:div>
        <w:div w:id="931353214">
          <w:marLeft w:val="0"/>
          <w:marRight w:val="0"/>
          <w:marTop w:val="0"/>
          <w:marBottom w:val="0"/>
          <w:divBdr>
            <w:top w:val="none" w:sz="0" w:space="0" w:color="auto"/>
            <w:left w:val="none" w:sz="0" w:space="0" w:color="auto"/>
            <w:bottom w:val="none" w:sz="0" w:space="0" w:color="auto"/>
            <w:right w:val="none" w:sz="0" w:space="0" w:color="auto"/>
          </w:divBdr>
        </w:div>
        <w:div w:id="980116806">
          <w:marLeft w:val="0"/>
          <w:marRight w:val="0"/>
          <w:marTop w:val="0"/>
          <w:marBottom w:val="0"/>
          <w:divBdr>
            <w:top w:val="none" w:sz="0" w:space="0" w:color="auto"/>
            <w:left w:val="none" w:sz="0" w:space="0" w:color="auto"/>
            <w:bottom w:val="none" w:sz="0" w:space="0" w:color="auto"/>
            <w:right w:val="none" w:sz="0" w:space="0" w:color="auto"/>
          </w:divBdr>
        </w:div>
        <w:div w:id="993097136">
          <w:marLeft w:val="0"/>
          <w:marRight w:val="0"/>
          <w:marTop w:val="0"/>
          <w:marBottom w:val="0"/>
          <w:divBdr>
            <w:top w:val="none" w:sz="0" w:space="0" w:color="auto"/>
            <w:left w:val="none" w:sz="0" w:space="0" w:color="auto"/>
            <w:bottom w:val="none" w:sz="0" w:space="0" w:color="auto"/>
            <w:right w:val="none" w:sz="0" w:space="0" w:color="auto"/>
          </w:divBdr>
        </w:div>
        <w:div w:id="1026057202">
          <w:marLeft w:val="0"/>
          <w:marRight w:val="0"/>
          <w:marTop w:val="0"/>
          <w:marBottom w:val="0"/>
          <w:divBdr>
            <w:top w:val="none" w:sz="0" w:space="0" w:color="auto"/>
            <w:left w:val="none" w:sz="0" w:space="0" w:color="auto"/>
            <w:bottom w:val="none" w:sz="0" w:space="0" w:color="auto"/>
            <w:right w:val="none" w:sz="0" w:space="0" w:color="auto"/>
          </w:divBdr>
        </w:div>
        <w:div w:id="1036855304">
          <w:marLeft w:val="0"/>
          <w:marRight w:val="0"/>
          <w:marTop w:val="0"/>
          <w:marBottom w:val="0"/>
          <w:divBdr>
            <w:top w:val="none" w:sz="0" w:space="0" w:color="auto"/>
            <w:left w:val="none" w:sz="0" w:space="0" w:color="auto"/>
            <w:bottom w:val="none" w:sz="0" w:space="0" w:color="auto"/>
            <w:right w:val="none" w:sz="0" w:space="0" w:color="auto"/>
          </w:divBdr>
        </w:div>
        <w:div w:id="1103115827">
          <w:marLeft w:val="0"/>
          <w:marRight w:val="0"/>
          <w:marTop w:val="0"/>
          <w:marBottom w:val="0"/>
          <w:divBdr>
            <w:top w:val="none" w:sz="0" w:space="0" w:color="auto"/>
            <w:left w:val="none" w:sz="0" w:space="0" w:color="auto"/>
            <w:bottom w:val="none" w:sz="0" w:space="0" w:color="auto"/>
            <w:right w:val="none" w:sz="0" w:space="0" w:color="auto"/>
          </w:divBdr>
        </w:div>
        <w:div w:id="1210729542">
          <w:marLeft w:val="0"/>
          <w:marRight w:val="0"/>
          <w:marTop w:val="0"/>
          <w:marBottom w:val="0"/>
          <w:divBdr>
            <w:top w:val="none" w:sz="0" w:space="0" w:color="auto"/>
            <w:left w:val="none" w:sz="0" w:space="0" w:color="auto"/>
            <w:bottom w:val="none" w:sz="0" w:space="0" w:color="auto"/>
            <w:right w:val="none" w:sz="0" w:space="0" w:color="auto"/>
          </w:divBdr>
        </w:div>
        <w:div w:id="1285766054">
          <w:marLeft w:val="0"/>
          <w:marRight w:val="0"/>
          <w:marTop w:val="0"/>
          <w:marBottom w:val="0"/>
          <w:divBdr>
            <w:top w:val="none" w:sz="0" w:space="0" w:color="auto"/>
            <w:left w:val="none" w:sz="0" w:space="0" w:color="auto"/>
            <w:bottom w:val="none" w:sz="0" w:space="0" w:color="auto"/>
            <w:right w:val="none" w:sz="0" w:space="0" w:color="auto"/>
          </w:divBdr>
        </w:div>
        <w:div w:id="1488590877">
          <w:marLeft w:val="0"/>
          <w:marRight w:val="0"/>
          <w:marTop w:val="0"/>
          <w:marBottom w:val="0"/>
          <w:divBdr>
            <w:top w:val="none" w:sz="0" w:space="0" w:color="auto"/>
            <w:left w:val="none" w:sz="0" w:space="0" w:color="auto"/>
            <w:bottom w:val="none" w:sz="0" w:space="0" w:color="auto"/>
            <w:right w:val="none" w:sz="0" w:space="0" w:color="auto"/>
          </w:divBdr>
        </w:div>
        <w:div w:id="1660962779">
          <w:marLeft w:val="0"/>
          <w:marRight w:val="0"/>
          <w:marTop w:val="0"/>
          <w:marBottom w:val="0"/>
          <w:divBdr>
            <w:top w:val="none" w:sz="0" w:space="0" w:color="auto"/>
            <w:left w:val="none" w:sz="0" w:space="0" w:color="auto"/>
            <w:bottom w:val="none" w:sz="0" w:space="0" w:color="auto"/>
            <w:right w:val="none" w:sz="0" w:space="0" w:color="auto"/>
          </w:divBdr>
        </w:div>
        <w:div w:id="1935212644">
          <w:marLeft w:val="0"/>
          <w:marRight w:val="0"/>
          <w:marTop w:val="0"/>
          <w:marBottom w:val="0"/>
          <w:divBdr>
            <w:top w:val="none" w:sz="0" w:space="0" w:color="auto"/>
            <w:left w:val="none" w:sz="0" w:space="0" w:color="auto"/>
            <w:bottom w:val="none" w:sz="0" w:space="0" w:color="auto"/>
            <w:right w:val="none" w:sz="0" w:space="0" w:color="auto"/>
          </w:divBdr>
        </w:div>
        <w:div w:id="1948195596">
          <w:marLeft w:val="0"/>
          <w:marRight w:val="0"/>
          <w:marTop w:val="0"/>
          <w:marBottom w:val="0"/>
          <w:divBdr>
            <w:top w:val="none" w:sz="0" w:space="0" w:color="auto"/>
            <w:left w:val="none" w:sz="0" w:space="0" w:color="auto"/>
            <w:bottom w:val="none" w:sz="0" w:space="0" w:color="auto"/>
            <w:right w:val="none" w:sz="0" w:space="0" w:color="auto"/>
          </w:divBdr>
        </w:div>
        <w:div w:id="1997297177">
          <w:marLeft w:val="0"/>
          <w:marRight w:val="0"/>
          <w:marTop w:val="0"/>
          <w:marBottom w:val="0"/>
          <w:divBdr>
            <w:top w:val="none" w:sz="0" w:space="0" w:color="auto"/>
            <w:left w:val="none" w:sz="0" w:space="0" w:color="auto"/>
            <w:bottom w:val="none" w:sz="0" w:space="0" w:color="auto"/>
            <w:right w:val="none" w:sz="0" w:space="0" w:color="auto"/>
          </w:divBdr>
        </w:div>
        <w:div w:id="2132429404">
          <w:marLeft w:val="0"/>
          <w:marRight w:val="0"/>
          <w:marTop w:val="0"/>
          <w:marBottom w:val="0"/>
          <w:divBdr>
            <w:top w:val="none" w:sz="0" w:space="0" w:color="auto"/>
            <w:left w:val="none" w:sz="0" w:space="0" w:color="auto"/>
            <w:bottom w:val="none" w:sz="0" w:space="0" w:color="auto"/>
            <w:right w:val="none" w:sz="0" w:space="0" w:color="auto"/>
          </w:divBdr>
        </w:div>
      </w:divsChild>
    </w:div>
    <w:div w:id="1442408340">
      <w:bodyDiv w:val="1"/>
      <w:marLeft w:val="0"/>
      <w:marRight w:val="0"/>
      <w:marTop w:val="0"/>
      <w:marBottom w:val="0"/>
      <w:divBdr>
        <w:top w:val="none" w:sz="0" w:space="0" w:color="auto"/>
        <w:left w:val="none" w:sz="0" w:space="0" w:color="auto"/>
        <w:bottom w:val="none" w:sz="0" w:space="0" w:color="auto"/>
        <w:right w:val="none" w:sz="0" w:space="0" w:color="auto"/>
      </w:divBdr>
      <w:divsChild>
        <w:div w:id="239027464">
          <w:marLeft w:val="0"/>
          <w:marRight w:val="0"/>
          <w:marTop w:val="0"/>
          <w:marBottom w:val="0"/>
          <w:divBdr>
            <w:top w:val="none" w:sz="0" w:space="0" w:color="auto"/>
            <w:left w:val="none" w:sz="0" w:space="0" w:color="auto"/>
            <w:bottom w:val="none" w:sz="0" w:space="0" w:color="auto"/>
            <w:right w:val="none" w:sz="0" w:space="0" w:color="auto"/>
          </w:divBdr>
        </w:div>
        <w:div w:id="264269772">
          <w:marLeft w:val="0"/>
          <w:marRight w:val="0"/>
          <w:marTop w:val="0"/>
          <w:marBottom w:val="0"/>
          <w:divBdr>
            <w:top w:val="none" w:sz="0" w:space="0" w:color="auto"/>
            <w:left w:val="none" w:sz="0" w:space="0" w:color="auto"/>
            <w:bottom w:val="none" w:sz="0" w:space="0" w:color="auto"/>
            <w:right w:val="none" w:sz="0" w:space="0" w:color="auto"/>
          </w:divBdr>
        </w:div>
        <w:div w:id="280691456">
          <w:marLeft w:val="0"/>
          <w:marRight w:val="0"/>
          <w:marTop w:val="0"/>
          <w:marBottom w:val="0"/>
          <w:divBdr>
            <w:top w:val="none" w:sz="0" w:space="0" w:color="auto"/>
            <w:left w:val="none" w:sz="0" w:space="0" w:color="auto"/>
            <w:bottom w:val="none" w:sz="0" w:space="0" w:color="auto"/>
            <w:right w:val="none" w:sz="0" w:space="0" w:color="auto"/>
          </w:divBdr>
        </w:div>
        <w:div w:id="359858385">
          <w:marLeft w:val="0"/>
          <w:marRight w:val="0"/>
          <w:marTop w:val="0"/>
          <w:marBottom w:val="0"/>
          <w:divBdr>
            <w:top w:val="none" w:sz="0" w:space="0" w:color="auto"/>
            <w:left w:val="none" w:sz="0" w:space="0" w:color="auto"/>
            <w:bottom w:val="none" w:sz="0" w:space="0" w:color="auto"/>
            <w:right w:val="none" w:sz="0" w:space="0" w:color="auto"/>
          </w:divBdr>
        </w:div>
        <w:div w:id="469637156">
          <w:marLeft w:val="0"/>
          <w:marRight w:val="0"/>
          <w:marTop w:val="0"/>
          <w:marBottom w:val="0"/>
          <w:divBdr>
            <w:top w:val="none" w:sz="0" w:space="0" w:color="auto"/>
            <w:left w:val="none" w:sz="0" w:space="0" w:color="auto"/>
            <w:bottom w:val="none" w:sz="0" w:space="0" w:color="auto"/>
            <w:right w:val="none" w:sz="0" w:space="0" w:color="auto"/>
          </w:divBdr>
        </w:div>
        <w:div w:id="485630191">
          <w:marLeft w:val="0"/>
          <w:marRight w:val="0"/>
          <w:marTop w:val="0"/>
          <w:marBottom w:val="0"/>
          <w:divBdr>
            <w:top w:val="none" w:sz="0" w:space="0" w:color="auto"/>
            <w:left w:val="none" w:sz="0" w:space="0" w:color="auto"/>
            <w:bottom w:val="none" w:sz="0" w:space="0" w:color="auto"/>
            <w:right w:val="none" w:sz="0" w:space="0" w:color="auto"/>
          </w:divBdr>
        </w:div>
        <w:div w:id="924648759">
          <w:marLeft w:val="0"/>
          <w:marRight w:val="0"/>
          <w:marTop w:val="0"/>
          <w:marBottom w:val="0"/>
          <w:divBdr>
            <w:top w:val="none" w:sz="0" w:space="0" w:color="auto"/>
            <w:left w:val="none" w:sz="0" w:space="0" w:color="auto"/>
            <w:bottom w:val="none" w:sz="0" w:space="0" w:color="auto"/>
            <w:right w:val="none" w:sz="0" w:space="0" w:color="auto"/>
          </w:divBdr>
        </w:div>
        <w:div w:id="925922460">
          <w:marLeft w:val="0"/>
          <w:marRight w:val="0"/>
          <w:marTop w:val="0"/>
          <w:marBottom w:val="0"/>
          <w:divBdr>
            <w:top w:val="none" w:sz="0" w:space="0" w:color="auto"/>
            <w:left w:val="none" w:sz="0" w:space="0" w:color="auto"/>
            <w:bottom w:val="none" w:sz="0" w:space="0" w:color="auto"/>
            <w:right w:val="none" w:sz="0" w:space="0" w:color="auto"/>
          </w:divBdr>
        </w:div>
        <w:div w:id="1313556240">
          <w:marLeft w:val="0"/>
          <w:marRight w:val="0"/>
          <w:marTop w:val="0"/>
          <w:marBottom w:val="0"/>
          <w:divBdr>
            <w:top w:val="none" w:sz="0" w:space="0" w:color="auto"/>
            <w:left w:val="none" w:sz="0" w:space="0" w:color="auto"/>
            <w:bottom w:val="none" w:sz="0" w:space="0" w:color="auto"/>
            <w:right w:val="none" w:sz="0" w:space="0" w:color="auto"/>
          </w:divBdr>
        </w:div>
        <w:div w:id="1338076096">
          <w:marLeft w:val="0"/>
          <w:marRight w:val="0"/>
          <w:marTop w:val="0"/>
          <w:marBottom w:val="0"/>
          <w:divBdr>
            <w:top w:val="none" w:sz="0" w:space="0" w:color="auto"/>
            <w:left w:val="none" w:sz="0" w:space="0" w:color="auto"/>
            <w:bottom w:val="none" w:sz="0" w:space="0" w:color="auto"/>
            <w:right w:val="none" w:sz="0" w:space="0" w:color="auto"/>
          </w:divBdr>
        </w:div>
        <w:div w:id="1356224907">
          <w:marLeft w:val="0"/>
          <w:marRight w:val="0"/>
          <w:marTop w:val="0"/>
          <w:marBottom w:val="0"/>
          <w:divBdr>
            <w:top w:val="none" w:sz="0" w:space="0" w:color="auto"/>
            <w:left w:val="none" w:sz="0" w:space="0" w:color="auto"/>
            <w:bottom w:val="none" w:sz="0" w:space="0" w:color="auto"/>
            <w:right w:val="none" w:sz="0" w:space="0" w:color="auto"/>
          </w:divBdr>
        </w:div>
        <w:div w:id="1430085616">
          <w:marLeft w:val="0"/>
          <w:marRight w:val="0"/>
          <w:marTop w:val="0"/>
          <w:marBottom w:val="0"/>
          <w:divBdr>
            <w:top w:val="none" w:sz="0" w:space="0" w:color="auto"/>
            <w:left w:val="none" w:sz="0" w:space="0" w:color="auto"/>
            <w:bottom w:val="none" w:sz="0" w:space="0" w:color="auto"/>
            <w:right w:val="none" w:sz="0" w:space="0" w:color="auto"/>
          </w:divBdr>
        </w:div>
        <w:div w:id="1478302865">
          <w:marLeft w:val="0"/>
          <w:marRight w:val="0"/>
          <w:marTop w:val="0"/>
          <w:marBottom w:val="0"/>
          <w:divBdr>
            <w:top w:val="none" w:sz="0" w:space="0" w:color="auto"/>
            <w:left w:val="none" w:sz="0" w:space="0" w:color="auto"/>
            <w:bottom w:val="none" w:sz="0" w:space="0" w:color="auto"/>
            <w:right w:val="none" w:sz="0" w:space="0" w:color="auto"/>
          </w:divBdr>
        </w:div>
        <w:div w:id="1494494217">
          <w:marLeft w:val="0"/>
          <w:marRight w:val="0"/>
          <w:marTop w:val="0"/>
          <w:marBottom w:val="0"/>
          <w:divBdr>
            <w:top w:val="none" w:sz="0" w:space="0" w:color="auto"/>
            <w:left w:val="none" w:sz="0" w:space="0" w:color="auto"/>
            <w:bottom w:val="none" w:sz="0" w:space="0" w:color="auto"/>
            <w:right w:val="none" w:sz="0" w:space="0" w:color="auto"/>
          </w:divBdr>
        </w:div>
        <w:div w:id="1530070661">
          <w:marLeft w:val="0"/>
          <w:marRight w:val="0"/>
          <w:marTop w:val="0"/>
          <w:marBottom w:val="0"/>
          <w:divBdr>
            <w:top w:val="none" w:sz="0" w:space="0" w:color="auto"/>
            <w:left w:val="none" w:sz="0" w:space="0" w:color="auto"/>
            <w:bottom w:val="none" w:sz="0" w:space="0" w:color="auto"/>
            <w:right w:val="none" w:sz="0" w:space="0" w:color="auto"/>
          </w:divBdr>
        </w:div>
        <w:div w:id="1780373300">
          <w:marLeft w:val="0"/>
          <w:marRight w:val="0"/>
          <w:marTop w:val="0"/>
          <w:marBottom w:val="0"/>
          <w:divBdr>
            <w:top w:val="none" w:sz="0" w:space="0" w:color="auto"/>
            <w:left w:val="none" w:sz="0" w:space="0" w:color="auto"/>
            <w:bottom w:val="none" w:sz="0" w:space="0" w:color="auto"/>
            <w:right w:val="none" w:sz="0" w:space="0" w:color="auto"/>
          </w:divBdr>
        </w:div>
        <w:div w:id="2102483110">
          <w:marLeft w:val="0"/>
          <w:marRight w:val="0"/>
          <w:marTop w:val="0"/>
          <w:marBottom w:val="0"/>
          <w:divBdr>
            <w:top w:val="none" w:sz="0" w:space="0" w:color="auto"/>
            <w:left w:val="none" w:sz="0" w:space="0" w:color="auto"/>
            <w:bottom w:val="none" w:sz="0" w:space="0" w:color="auto"/>
            <w:right w:val="none" w:sz="0" w:space="0" w:color="auto"/>
          </w:divBdr>
        </w:div>
        <w:div w:id="2105296703">
          <w:marLeft w:val="0"/>
          <w:marRight w:val="0"/>
          <w:marTop w:val="0"/>
          <w:marBottom w:val="0"/>
          <w:divBdr>
            <w:top w:val="none" w:sz="0" w:space="0" w:color="auto"/>
            <w:left w:val="none" w:sz="0" w:space="0" w:color="auto"/>
            <w:bottom w:val="none" w:sz="0" w:space="0" w:color="auto"/>
            <w:right w:val="none" w:sz="0" w:space="0" w:color="auto"/>
          </w:divBdr>
        </w:div>
        <w:div w:id="2109695640">
          <w:marLeft w:val="0"/>
          <w:marRight w:val="0"/>
          <w:marTop w:val="0"/>
          <w:marBottom w:val="0"/>
          <w:divBdr>
            <w:top w:val="none" w:sz="0" w:space="0" w:color="auto"/>
            <w:left w:val="none" w:sz="0" w:space="0" w:color="auto"/>
            <w:bottom w:val="none" w:sz="0" w:space="0" w:color="auto"/>
            <w:right w:val="none" w:sz="0" w:space="0" w:color="auto"/>
          </w:divBdr>
        </w:div>
      </w:divsChild>
    </w:div>
    <w:div w:id="1795322489">
      <w:bodyDiv w:val="1"/>
      <w:marLeft w:val="0"/>
      <w:marRight w:val="0"/>
      <w:marTop w:val="0"/>
      <w:marBottom w:val="0"/>
      <w:divBdr>
        <w:top w:val="none" w:sz="0" w:space="0" w:color="auto"/>
        <w:left w:val="none" w:sz="0" w:space="0" w:color="auto"/>
        <w:bottom w:val="none" w:sz="0" w:space="0" w:color="auto"/>
        <w:right w:val="none" w:sz="0" w:space="0" w:color="auto"/>
      </w:divBdr>
    </w:div>
    <w:div w:id="1826432666">
      <w:bodyDiv w:val="1"/>
      <w:marLeft w:val="0"/>
      <w:marRight w:val="0"/>
      <w:marTop w:val="0"/>
      <w:marBottom w:val="0"/>
      <w:divBdr>
        <w:top w:val="none" w:sz="0" w:space="0" w:color="auto"/>
        <w:left w:val="none" w:sz="0" w:space="0" w:color="auto"/>
        <w:bottom w:val="none" w:sz="0" w:space="0" w:color="auto"/>
        <w:right w:val="none" w:sz="0" w:space="0" w:color="auto"/>
      </w:divBdr>
      <w:divsChild>
        <w:div w:id="389310761">
          <w:marLeft w:val="0"/>
          <w:marRight w:val="0"/>
          <w:marTop w:val="0"/>
          <w:marBottom w:val="0"/>
          <w:divBdr>
            <w:top w:val="none" w:sz="0" w:space="0" w:color="auto"/>
            <w:left w:val="none" w:sz="0" w:space="0" w:color="auto"/>
            <w:bottom w:val="none" w:sz="0" w:space="0" w:color="auto"/>
            <w:right w:val="none" w:sz="0" w:space="0" w:color="auto"/>
          </w:divBdr>
        </w:div>
        <w:div w:id="1166555550">
          <w:marLeft w:val="0"/>
          <w:marRight w:val="0"/>
          <w:marTop w:val="0"/>
          <w:marBottom w:val="0"/>
          <w:divBdr>
            <w:top w:val="none" w:sz="0" w:space="0" w:color="auto"/>
            <w:left w:val="none" w:sz="0" w:space="0" w:color="auto"/>
            <w:bottom w:val="none" w:sz="0" w:space="0" w:color="auto"/>
            <w:right w:val="none" w:sz="0" w:space="0" w:color="auto"/>
          </w:divBdr>
        </w:div>
        <w:div w:id="1629360523">
          <w:marLeft w:val="0"/>
          <w:marRight w:val="0"/>
          <w:marTop w:val="0"/>
          <w:marBottom w:val="0"/>
          <w:divBdr>
            <w:top w:val="none" w:sz="0" w:space="0" w:color="auto"/>
            <w:left w:val="none" w:sz="0" w:space="0" w:color="auto"/>
            <w:bottom w:val="none" w:sz="0" w:space="0" w:color="auto"/>
            <w:right w:val="none" w:sz="0" w:space="0" w:color="auto"/>
          </w:divBdr>
        </w:div>
        <w:div w:id="1762994649">
          <w:marLeft w:val="0"/>
          <w:marRight w:val="0"/>
          <w:marTop w:val="0"/>
          <w:marBottom w:val="0"/>
          <w:divBdr>
            <w:top w:val="none" w:sz="0" w:space="0" w:color="auto"/>
            <w:left w:val="none" w:sz="0" w:space="0" w:color="auto"/>
            <w:bottom w:val="none" w:sz="0" w:space="0" w:color="auto"/>
            <w:right w:val="none" w:sz="0" w:space="0" w:color="auto"/>
          </w:divBdr>
        </w:div>
        <w:div w:id="1994793325">
          <w:marLeft w:val="0"/>
          <w:marRight w:val="0"/>
          <w:marTop w:val="0"/>
          <w:marBottom w:val="0"/>
          <w:divBdr>
            <w:top w:val="none" w:sz="0" w:space="0" w:color="auto"/>
            <w:left w:val="none" w:sz="0" w:space="0" w:color="auto"/>
            <w:bottom w:val="none" w:sz="0" w:space="0" w:color="auto"/>
            <w:right w:val="none" w:sz="0" w:space="0" w:color="auto"/>
          </w:divBdr>
        </w:div>
      </w:divsChild>
    </w:div>
    <w:div w:id="2087923162">
      <w:bodyDiv w:val="1"/>
      <w:marLeft w:val="0"/>
      <w:marRight w:val="0"/>
      <w:marTop w:val="0"/>
      <w:marBottom w:val="0"/>
      <w:divBdr>
        <w:top w:val="none" w:sz="0" w:space="0" w:color="auto"/>
        <w:left w:val="none" w:sz="0" w:space="0" w:color="auto"/>
        <w:bottom w:val="none" w:sz="0" w:space="0" w:color="auto"/>
        <w:right w:val="none" w:sz="0" w:space="0" w:color="auto"/>
      </w:divBdr>
    </w:div>
    <w:div w:id="21278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w.org/news/2018/10/02/indonesia-shackling-reduced-persis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rw.org/report/2016/03/20/living-hell/abuses-against-people-psychosocial-disabilities-indones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w.org/sites/default/files/media_2020/10/global_shackling1020_web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F7581-6F0F-4489-983D-9151A2127133}">
  <ds:schemaRefs>
    <ds:schemaRef ds:uri="http://schemas.microsoft.com/sharepoint/v3/contenttype/forms"/>
  </ds:schemaRefs>
</ds:datastoreItem>
</file>

<file path=customXml/itemProps2.xml><?xml version="1.0" encoding="utf-8"?>
<ds:datastoreItem xmlns:ds="http://schemas.openxmlformats.org/officeDocument/2006/customXml" ds:itemID="{EDA3970E-BBE0-4B11-BA5A-C27E7C96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428D07-B555-4734-A80B-EC6F414FDF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62E3A9-9E6A-4C17-A974-4530E35B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4030</Words>
  <Characters>25395</Characters>
  <Application>Microsoft Office Word</Application>
  <DocSecurity>0</DocSecurity>
  <Lines>211</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Kriti Sharma</dc:creator>
  <cp:keywords/>
  <cp:lastModifiedBy>Allacher Harald (OeRK)</cp:lastModifiedBy>
  <cp:revision>2</cp:revision>
  <dcterms:created xsi:type="dcterms:W3CDTF">2022-10-19T13:45:00Z</dcterms:created>
  <dcterms:modified xsi:type="dcterms:W3CDTF">2022-10-19T13:45:00Z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