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F1FB5" w14:textId="77777777" w:rsidR="00726E6B" w:rsidRDefault="00726E6B" w:rsidP="002570C9">
      <w:pPr>
        <w:jc w:val="center"/>
      </w:pPr>
      <w:bookmarkStart w:id="0" w:name="_GoBack"/>
      <w:bookmarkEnd w:id="0"/>
    </w:p>
    <w:p w14:paraId="66A2680D" w14:textId="77777777" w:rsidR="00726E6B" w:rsidRDefault="00726E6B" w:rsidP="002570C9">
      <w:pPr>
        <w:jc w:val="center"/>
      </w:pPr>
    </w:p>
    <w:p w14:paraId="1513675A" w14:textId="40004D4D" w:rsidR="002570C9" w:rsidRPr="00E91883" w:rsidRDefault="002570C9" w:rsidP="002570C9">
      <w:pPr>
        <w:jc w:val="center"/>
        <w:rPr>
          <w:rFonts w:ascii="Verdana" w:hAnsi="Verdana"/>
          <w:b/>
          <w:bCs/>
        </w:rPr>
      </w:pPr>
      <w:r w:rsidRPr="00E91883">
        <w:rPr>
          <w:rFonts w:ascii="Verdana" w:hAnsi="Verdana"/>
          <w:b/>
          <w:bCs/>
        </w:rPr>
        <w:t>UNITED NATIONS COMMITTEE ON THE ELIMINATION OF DISCRIMINATION AGAINST WOMEN</w:t>
      </w:r>
    </w:p>
    <w:p w14:paraId="31DCF8D2" w14:textId="77777777" w:rsidR="00C303F5" w:rsidRPr="00E91883" w:rsidRDefault="00C303F5" w:rsidP="002570C9">
      <w:pPr>
        <w:jc w:val="center"/>
        <w:rPr>
          <w:rFonts w:ascii="Verdana" w:hAnsi="Verdana"/>
        </w:rPr>
      </w:pPr>
    </w:p>
    <w:p w14:paraId="6B494BB8" w14:textId="696E2098" w:rsidR="002570C9" w:rsidRPr="00E91883" w:rsidRDefault="002570C9" w:rsidP="002570C9">
      <w:pPr>
        <w:jc w:val="center"/>
        <w:rPr>
          <w:rFonts w:ascii="Verdana" w:hAnsi="Verdana"/>
        </w:rPr>
      </w:pPr>
      <w:r w:rsidRPr="00E91883">
        <w:rPr>
          <w:rFonts w:ascii="Verdana" w:hAnsi="Verdana"/>
        </w:rPr>
        <w:t>8</w:t>
      </w:r>
      <w:r w:rsidR="00726E6B" w:rsidRPr="00E91883">
        <w:rPr>
          <w:rFonts w:ascii="Verdana" w:hAnsi="Verdana"/>
        </w:rPr>
        <w:t>2</w:t>
      </w:r>
      <w:r w:rsidR="00726E6B" w:rsidRPr="00E91883">
        <w:rPr>
          <w:rFonts w:ascii="Verdana" w:hAnsi="Verdana"/>
          <w:vertAlign w:val="superscript"/>
        </w:rPr>
        <w:t>nd</w:t>
      </w:r>
      <w:r w:rsidRPr="00E91883">
        <w:rPr>
          <w:rFonts w:ascii="Verdana" w:hAnsi="Verdana"/>
        </w:rPr>
        <w:t xml:space="preserve"> Session of the CEDAW Committee </w:t>
      </w:r>
      <w:r w:rsidR="00726E6B" w:rsidRPr="00E91883">
        <w:rPr>
          <w:rFonts w:ascii="Verdana" w:hAnsi="Verdana"/>
        </w:rPr>
        <w:t>13 June</w:t>
      </w:r>
      <w:r w:rsidR="001B76BB" w:rsidRPr="00E91883">
        <w:rPr>
          <w:rFonts w:ascii="Verdana" w:hAnsi="Verdana"/>
        </w:rPr>
        <w:t xml:space="preserve"> </w:t>
      </w:r>
      <w:r w:rsidR="00726E6B" w:rsidRPr="00E91883">
        <w:rPr>
          <w:rFonts w:ascii="Verdana" w:hAnsi="Verdana"/>
        </w:rPr>
        <w:t>–</w:t>
      </w:r>
      <w:r w:rsidR="001B76BB" w:rsidRPr="00E91883">
        <w:rPr>
          <w:rFonts w:ascii="Verdana" w:hAnsi="Verdana"/>
        </w:rPr>
        <w:t xml:space="preserve"> </w:t>
      </w:r>
      <w:r w:rsidR="00726E6B" w:rsidRPr="00E91883">
        <w:rPr>
          <w:rFonts w:ascii="Verdana" w:hAnsi="Verdana"/>
        </w:rPr>
        <w:t>1 July 2022</w:t>
      </w:r>
    </w:p>
    <w:p w14:paraId="227AD5BC" w14:textId="77777777" w:rsidR="00726E6B" w:rsidRPr="00E91883" w:rsidRDefault="00726E6B" w:rsidP="002570C9">
      <w:pPr>
        <w:jc w:val="center"/>
        <w:rPr>
          <w:rFonts w:ascii="Verdana" w:hAnsi="Verdana"/>
        </w:rPr>
      </w:pPr>
    </w:p>
    <w:p w14:paraId="369BFFEE" w14:textId="77777777" w:rsidR="00726E6B" w:rsidRPr="00E91883" w:rsidRDefault="00726E6B" w:rsidP="002570C9">
      <w:pPr>
        <w:jc w:val="center"/>
        <w:rPr>
          <w:rFonts w:ascii="Verdana" w:hAnsi="Verdana"/>
        </w:rPr>
      </w:pPr>
    </w:p>
    <w:p w14:paraId="31DCBCE7" w14:textId="18F40EF8" w:rsidR="002570C9" w:rsidRPr="00E91883" w:rsidRDefault="002570C9" w:rsidP="002570C9">
      <w:pPr>
        <w:jc w:val="center"/>
        <w:rPr>
          <w:rFonts w:ascii="Verdana" w:hAnsi="Verdana"/>
          <w:b/>
          <w:bCs/>
        </w:rPr>
      </w:pPr>
      <w:r w:rsidRPr="00E91883">
        <w:rPr>
          <w:rFonts w:ascii="Verdana" w:hAnsi="Verdana"/>
          <w:b/>
          <w:bCs/>
        </w:rPr>
        <w:t xml:space="preserve">SUBMISSION OF THE INTERNATIONAL COMMISSION OF JURISTS TO THE UN COMMITTEE ON THE ELIMINATION OF DISCRIMINATION AGAINST WOMEN IN VIEW OF ITS EXAMINATION OF THE EIGHT PERIODIC REPORT OF </w:t>
      </w:r>
      <w:r w:rsidR="00726E6B" w:rsidRPr="00E91883">
        <w:rPr>
          <w:rFonts w:ascii="Verdana" w:hAnsi="Verdana"/>
          <w:b/>
          <w:bCs/>
        </w:rPr>
        <w:t>TURKEY</w:t>
      </w:r>
      <w:r w:rsidRPr="00E91883">
        <w:rPr>
          <w:rFonts w:ascii="Verdana" w:hAnsi="Verdana"/>
          <w:b/>
          <w:bCs/>
        </w:rPr>
        <w:t xml:space="preserve"> UNDER THE CONVENTION ON THE ELIMINATION OF ALL FORMS OF DISCRIMINATION AGAINST WOMEN </w:t>
      </w:r>
    </w:p>
    <w:p w14:paraId="1B7034CD" w14:textId="77777777" w:rsidR="00726E6B" w:rsidRPr="00E91883" w:rsidRDefault="00726E6B" w:rsidP="002570C9">
      <w:pPr>
        <w:jc w:val="center"/>
        <w:rPr>
          <w:rFonts w:ascii="Verdana" w:hAnsi="Verdana"/>
        </w:rPr>
      </w:pPr>
    </w:p>
    <w:p w14:paraId="63FD8B63" w14:textId="203E03EB" w:rsidR="002570C9" w:rsidRPr="00E91883" w:rsidRDefault="002570C9" w:rsidP="002570C9">
      <w:pPr>
        <w:jc w:val="center"/>
        <w:rPr>
          <w:rFonts w:ascii="Verdana" w:hAnsi="Verdana"/>
        </w:rPr>
      </w:pPr>
      <w:r w:rsidRPr="00E91883">
        <w:rPr>
          <w:rFonts w:ascii="Verdana" w:hAnsi="Verdana"/>
        </w:rPr>
        <w:t xml:space="preserve">Submitted on </w:t>
      </w:r>
      <w:r w:rsidR="0005621C">
        <w:rPr>
          <w:rFonts w:ascii="Verdana" w:hAnsi="Verdana"/>
        </w:rPr>
        <w:t>13</w:t>
      </w:r>
      <w:r w:rsidR="008321BA" w:rsidRPr="00E91883">
        <w:rPr>
          <w:rFonts w:ascii="Verdana" w:hAnsi="Verdana"/>
        </w:rPr>
        <w:t xml:space="preserve"> May</w:t>
      </w:r>
      <w:r w:rsidRPr="00E91883">
        <w:rPr>
          <w:rFonts w:ascii="Verdana" w:hAnsi="Verdana"/>
        </w:rPr>
        <w:t xml:space="preserve"> 202</w:t>
      </w:r>
      <w:r w:rsidR="008321BA" w:rsidRPr="00E91883">
        <w:rPr>
          <w:rFonts w:ascii="Verdana" w:hAnsi="Verdana"/>
        </w:rPr>
        <w:t>2</w:t>
      </w:r>
      <w:r w:rsidRPr="00E91883">
        <w:rPr>
          <w:rFonts w:ascii="Verdana" w:hAnsi="Verdana"/>
        </w:rPr>
        <w:t xml:space="preserve"> </w:t>
      </w:r>
    </w:p>
    <w:p w14:paraId="7B9B8BD0" w14:textId="77777777" w:rsidR="00726E6B" w:rsidRPr="00E91883" w:rsidRDefault="00726E6B" w:rsidP="002570C9">
      <w:pPr>
        <w:jc w:val="both"/>
        <w:rPr>
          <w:rFonts w:ascii="Verdana" w:hAnsi="Verdana"/>
          <w:i/>
          <w:iCs/>
        </w:rPr>
      </w:pPr>
    </w:p>
    <w:p w14:paraId="21FAA012" w14:textId="77777777" w:rsidR="00726E6B" w:rsidRPr="00E91883" w:rsidRDefault="00726E6B" w:rsidP="002570C9">
      <w:pPr>
        <w:jc w:val="both"/>
        <w:rPr>
          <w:rFonts w:ascii="Verdana" w:hAnsi="Verdana"/>
          <w:i/>
          <w:iCs/>
        </w:rPr>
      </w:pPr>
    </w:p>
    <w:p w14:paraId="517CD8EC" w14:textId="77777777" w:rsidR="00726E6B" w:rsidRPr="00E91883" w:rsidRDefault="00726E6B" w:rsidP="002570C9">
      <w:pPr>
        <w:jc w:val="both"/>
        <w:rPr>
          <w:rFonts w:ascii="Verdana" w:hAnsi="Verdana"/>
          <w:i/>
          <w:iCs/>
        </w:rPr>
      </w:pPr>
    </w:p>
    <w:p w14:paraId="7D30B38C" w14:textId="26DB98AC" w:rsidR="00A827B4" w:rsidRPr="00E91883" w:rsidRDefault="002570C9" w:rsidP="002570C9">
      <w:pPr>
        <w:jc w:val="both"/>
        <w:rPr>
          <w:rFonts w:ascii="Verdana" w:hAnsi="Verdana"/>
          <w:i/>
          <w:iCs/>
        </w:rPr>
      </w:pPr>
      <w:r w:rsidRPr="00E91883">
        <w:rPr>
          <w:rFonts w:ascii="Verdana" w:hAnsi="Verdana"/>
          <w:i/>
          <w:iCs/>
        </w:rPr>
        <w:t>Composed of 60 eminent judges and lawyers from all regions of the world, the International Commission of Jurists (ICJ) promotes and protects human rights through the Rule of Law, by using its unique legal expertise to develop and strengthen national and international justice systems. Established in 1952, in consultative status with the Economic and Social Council since 1957, and active on five continents, the ICJ aims to ensure the progressive development and effective implementation of international human rights and international humanitarian law; secure the realization of civil, cultural, economic, political and social rights; safeguard the separation of powers; and guarantee the independence of the judiciary and legal profession.</w:t>
      </w:r>
    </w:p>
    <w:p w14:paraId="3A3CFF6B" w14:textId="511F8C74" w:rsidR="008321BA" w:rsidRPr="00E91883" w:rsidRDefault="008321BA" w:rsidP="002570C9">
      <w:pPr>
        <w:jc w:val="both"/>
        <w:rPr>
          <w:rFonts w:ascii="Verdana" w:hAnsi="Verdana"/>
          <w:i/>
          <w:iCs/>
        </w:rPr>
      </w:pPr>
    </w:p>
    <w:p w14:paraId="73AFFC2A" w14:textId="77777777" w:rsidR="00726E6B" w:rsidRPr="00E91883" w:rsidRDefault="00726E6B" w:rsidP="002570C9">
      <w:pPr>
        <w:jc w:val="both"/>
        <w:rPr>
          <w:rFonts w:ascii="Verdana" w:hAnsi="Verdana"/>
        </w:rPr>
      </w:pPr>
    </w:p>
    <w:p w14:paraId="708C9996" w14:textId="77777777" w:rsidR="00726E6B" w:rsidRPr="00E91883" w:rsidRDefault="00726E6B" w:rsidP="002570C9">
      <w:pPr>
        <w:jc w:val="both"/>
        <w:rPr>
          <w:rFonts w:ascii="Verdana" w:hAnsi="Verdana"/>
        </w:rPr>
      </w:pPr>
    </w:p>
    <w:p w14:paraId="08D70703" w14:textId="77777777" w:rsidR="00726E6B" w:rsidRPr="00E91883" w:rsidRDefault="00726E6B" w:rsidP="002570C9">
      <w:pPr>
        <w:jc w:val="both"/>
        <w:rPr>
          <w:rFonts w:ascii="Verdana" w:hAnsi="Verdana"/>
        </w:rPr>
      </w:pPr>
    </w:p>
    <w:p w14:paraId="4A1195EE" w14:textId="77777777" w:rsidR="00726E6B" w:rsidRPr="00E91883" w:rsidRDefault="00726E6B" w:rsidP="002570C9">
      <w:pPr>
        <w:jc w:val="both"/>
        <w:rPr>
          <w:rFonts w:ascii="Verdana" w:hAnsi="Verdana"/>
        </w:rPr>
      </w:pPr>
    </w:p>
    <w:p w14:paraId="18CBF529" w14:textId="6388DEEA" w:rsidR="00726E6B" w:rsidRPr="00E91883" w:rsidRDefault="008321BA" w:rsidP="00E91883">
      <w:pPr>
        <w:spacing w:after="0"/>
        <w:contextualSpacing/>
        <w:jc w:val="center"/>
        <w:rPr>
          <w:rFonts w:ascii="Verdana" w:hAnsi="Verdana"/>
        </w:rPr>
      </w:pPr>
      <w:r w:rsidRPr="00E91883">
        <w:rPr>
          <w:rFonts w:ascii="Verdana" w:hAnsi="Verdana"/>
        </w:rPr>
        <w:t>P.O. Box, 1740, Rue des Buis 3, 1211 Geneva 1, Switzerland</w:t>
      </w:r>
    </w:p>
    <w:p w14:paraId="6907B67A" w14:textId="77777777" w:rsidR="00726E6B" w:rsidRPr="00E91883" w:rsidRDefault="008321BA" w:rsidP="00E91883">
      <w:pPr>
        <w:spacing w:after="0"/>
        <w:contextualSpacing/>
        <w:jc w:val="center"/>
        <w:rPr>
          <w:rFonts w:ascii="Verdana" w:hAnsi="Verdana"/>
        </w:rPr>
      </w:pPr>
      <w:r w:rsidRPr="00E91883">
        <w:rPr>
          <w:rFonts w:ascii="Verdana" w:hAnsi="Verdana"/>
        </w:rPr>
        <w:t xml:space="preserve">Tel: +41(0) 22 979 3800 – Fax: +41(0) 22 979 3801 – Website: </w:t>
      </w:r>
      <w:hyperlink r:id="rId11" w:history="1">
        <w:r w:rsidRPr="00E91883">
          <w:rPr>
            <w:rStyle w:val="Hyperlink"/>
            <w:rFonts w:ascii="Verdana" w:hAnsi="Verdana"/>
          </w:rPr>
          <w:t>http://www.icj.org</w:t>
        </w:r>
      </w:hyperlink>
      <w:r w:rsidRPr="00E91883">
        <w:rPr>
          <w:rFonts w:ascii="Verdana" w:hAnsi="Verdana"/>
        </w:rPr>
        <w:t xml:space="preserve"> </w:t>
      </w:r>
    </w:p>
    <w:p w14:paraId="425C1D26" w14:textId="5A82DA90" w:rsidR="008321BA" w:rsidRPr="00E91883" w:rsidRDefault="008321BA" w:rsidP="00726E6B">
      <w:pPr>
        <w:jc w:val="center"/>
        <w:rPr>
          <w:rFonts w:ascii="Verdana" w:hAnsi="Verdana"/>
        </w:rPr>
      </w:pPr>
      <w:r w:rsidRPr="00E91883">
        <w:rPr>
          <w:rFonts w:ascii="Verdana" w:hAnsi="Verdana"/>
        </w:rPr>
        <w:t xml:space="preserve">E-mail: </w:t>
      </w:r>
      <w:hyperlink r:id="rId12" w:history="1">
        <w:r w:rsidRPr="00E91883">
          <w:rPr>
            <w:rStyle w:val="Hyperlink"/>
            <w:rFonts w:ascii="Verdana" w:hAnsi="Verdana"/>
          </w:rPr>
          <w:t>info@icj.org</w:t>
        </w:r>
      </w:hyperlink>
    </w:p>
    <w:p w14:paraId="760812EE" w14:textId="62A3A657" w:rsidR="00363CAE" w:rsidRPr="00E91883" w:rsidRDefault="00363CAE">
      <w:pPr>
        <w:rPr>
          <w:rFonts w:ascii="Verdana" w:hAnsi="Verdana"/>
          <w:sz w:val="19"/>
          <w:szCs w:val="19"/>
        </w:rPr>
      </w:pPr>
    </w:p>
    <w:sdt>
      <w:sdtPr>
        <w:rPr>
          <w:rFonts w:ascii="Verdana" w:eastAsiaTheme="minorHAnsi" w:hAnsi="Verdana" w:cs="Times New Roman"/>
          <w:color w:val="auto"/>
          <w:sz w:val="19"/>
          <w:szCs w:val="19"/>
          <w:lang w:val="fr-FR"/>
        </w:rPr>
        <w:id w:val="-340857055"/>
        <w:docPartObj>
          <w:docPartGallery w:val="Table of Contents"/>
          <w:docPartUnique/>
        </w:docPartObj>
      </w:sdtPr>
      <w:sdtEndPr>
        <w:rPr>
          <w:b/>
          <w:bCs/>
        </w:rPr>
      </w:sdtEndPr>
      <w:sdtContent>
        <w:p w14:paraId="788CBD51" w14:textId="4A47BFD1" w:rsidR="00363CAE" w:rsidRPr="00E91883" w:rsidRDefault="00363CAE" w:rsidP="00363CAE">
          <w:pPr>
            <w:pStyle w:val="Inhaltsverzeichnisberschrift"/>
            <w:spacing w:line="360" w:lineRule="auto"/>
            <w:rPr>
              <w:rFonts w:ascii="Verdana" w:hAnsi="Verdana" w:cs="Times New Roman"/>
              <w:b/>
              <w:bCs/>
              <w:color w:val="auto"/>
              <w:sz w:val="19"/>
              <w:szCs w:val="19"/>
            </w:rPr>
          </w:pPr>
          <w:r w:rsidRPr="00E91883">
            <w:rPr>
              <w:rFonts w:ascii="Verdana" w:hAnsi="Verdana" w:cs="Times New Roman"/>
              <w:b/>
              <w:bCs/>
              <w:color w:val="auto"/>
              <w:sz w:val="19"/>
              <w:szCs w:val="19"/>
            </w:rPr>
            <w:t>Table of Contents</w:t>
          </w:r>
        </w:p>
        <w:p w14:paraId="0950CD2F" w14:textId="18FBD541" w:rsidR="009C28F5" w:rsidRPr="00E91883" w:rsidRDefault="00363CAE">
          <w:pPr>
            <w:pStyle w:val="Verzeichnis1"/>
            <w:tabs>
              <w:tab w:val="left" w:pos="440"/>
              <w:tab w:val="right" w:leader="dot" w:pos="9016"/>
            </w:tabs>
            <w:rPr>
              <w:rFonts w:ascii="Verdana" w:eastAsiaTheme="minorEastAsia" w:hAnsi="Verdana" w:cstheme="minorBidi"/>
              <w:noProof/>
              <w:sz w:val="19"/>
              <w:szCs w:val="19"/>
            </w:rPr>
          </w:pPr>
          <w:r w:rsidRPr="00E91883">
            <w:rPr>
              <w:rFonts w:ascii="Verdana" w:hAnsi="Verdana"/>
              <w:sz w:val="19"/>
              <w:szCs w:val="19"/>
            </w:rPr>
            <w:fldChar w:fldCharType="begin"/>
          </w:r>
          <w:r w:rsidRPr="00E91883">
            <w:rPr>
              <w:rFonts w:ascii="Verdana" w:hAnsi="Verdana"/>
              <w:sz w:val="19"/>
              <w:szCs w:val="19"/>
            </w:rPr>
            <w:instrText xml:space="preserve"> TOC \o "1-3" \h \z \u </w:instrText>
          </w:r>
          <w:r w:rsidRPr="00E91883">
            <w:rPr>
              <w:rFonts w:ascii="Verdana" w:hAnsi="Verdana"/>
              <w:sz w:val="19"/>
              <w:szCs w:val="19"/>
            </w:rPr>
            <w:fldChar w:fldCharType="separate"/>
          </w:r>
          <w:hyperlink w:anchor="_Toc102735052" w:history="1">
            <w:r w:rsidR="009C28F5" w:rsidRPr="00E91883">
              <w:rPr>
                <w:rStyle w:val="Hyperlink"/>
                <w:rFonts w:ascii="Verdana" w:hAnsi="Verdana"/>
                <w:noProof/>
                <w:sz w:val="19"/>
                <w:szCs w:val="19"/>
              </w:rPr>
              <w:t>I.</w:t>
            </w:r>
            <w:r w:rsidR="009C28F5" w:rsidRPr="00E91883">
              <w:rPr>
                <w:rFonts w:ascii="Verdana" w:eastAsiaTheme="minorEastAsia" w:hAnsi="Verdana" w:cstheme="minorBidi"/>
                <w:noProof/>
                <w:sz w:val="19"/>
                <w:szCs w:val="19"/>
              </w:rPr>
              <w:tab/>
            </w:r>
            <w:r w:rsidR="009C28F5" w:rsidRPr="00E91883">
              <w:rPr>
                <w:rStyle w:val="Hyperlink"/>
                <w:rFonts w:ascii="Verdana" w:hAnsi="Verdana"/>
                <w:noProof/>
                <w:sz w:val="19"/>
                <w:szCs w:val="19"/>
              </w:rPr>
              <w:t>Introduction</w:t>
            </w:r>
            <w:r w:rsidR="009C28F5" w:rsidRPr="00E91883">
              <w:rPr>
                <w:rFonts w:ascii="Verdana" w:hAnsi="Verdana"/>
                <w:noProof/>
                <w:webHidden/>
                <w:sz w:val="19"/>
                <w:szCs w:val="19"/>
              </w:rPr>
              <w:tab/>
            </w:r>
            <w:r w:rsidR="009C28F5" w:rsidRPr="00E91883">
              <w:rPr>
                <w:rFonts w:ascii="Verdana" w:hAnsi="Verdana"/>
                <w:noProof/>
                <w:webHidden/>
                <w:sz w:val="19"/>
                <w:szCs w:val="19"/>
              </w:rPr>
              <w:fldChar w:fldCharType="begin"/>
            </w:r>
            <w:r w:rsidR="009C28F5" w:rsidRPr="00E91883">
              <w:rPr>
                <w:rFonts w:ascii="Verdana" w:hAnsi="Verdana"/>
                <w:noProof/>
                <w:webHidden/>
                <w:sz w:val="19"/>
                <w:szCs w:val="19"/>
              </w:rPr>
              <w:instrText xml:space="preserve"> PAGEREF _Toc102735052 \h </w:instrText>
            </w:r>
            <w:r w:rsidR="009C28F5" w:rsidRPr="00E91883">
              <w:rPr>
                <w:rFonts w:ascii="Verdana" w:hAnsi="Verdana"/>
                <w:noProof/>
                <w:webHidden/>
                <w:sz w:val="19"/>
                <w:szCs w:val="19"/>
              </w:rPr>
            </w:r>
            <w:r w:rsidR="009C28F5" w:rsidRPr="00E91883">
              <w:rPr>
                <w:rFonts w:ascii="Verdana" w:hAnsi="Verdana"/>
                <w:noProof/>
                <w:webHidden/>
                <w:sz w:val="19"/>
                <w:szCs w:val="19"/>
              </w:rPr>
              <w:fldChar w:fldCharType="separate"/>
            </w:r>
            <w:r w:rsidR="00877C50" w:rsidRPr="00E91883">
              <w:rPr>
                <w:rFonts w:ascii="Verdana" w:hAnsi="Verdana"/>
                <w:noProof/>
                <w:webHidden/>
                <w:sz w:val="19"/>
                <w:szCs w:val="19"/>
              </w:rPr>
              <w:t>3</w:t>
            </w:r>
            <w:r w:rsidR="009C28F5" w:rsidRPr="00E91883">
              <w:rPr>
                <w:rFonts w:ascii="Verdana" w:hAnsi="Verdana"/>
                <w:noProof/>
                <w:webHidden/>
                <w:sz w:val="19"/>
                <w:szCs w:val="19"/>
              </w:rPr>
              <w:fldChar w:fldCharType="end"/>
            </w:r>
          </w:hyperlink>
        </w:p>
        <w:p w14:paraId="7BDC403D" w14:textId="3B3236F4" w:rsidR="009C28F5" w:rsidRPr="00E91883" w:rsidRDefault="00D74436">
          <w:pPr>
            <w:pStyle w:val="Verzeichnis1"/>
            <w:tabs>
              <w:tab w:val="left" w:pos="440"/>
              <w:tab w:val="right" w:leader="dot" w:pos="9016"/>
            </w:tabs>
            <w:rPr>
              <w:rFonts w:ascii="Verdana" w:eastAsiaTheme="minorEastAsia" w:hAnsi="Verdana" w:cstheme="minorBidi"/>
              <w:noProof/>
              <w:sz w:val="19"/>
              <w:szCs w:val="19"/>
            </w:rPr>
          </w:pPr>
          <w:hyperlink w:anchor="_Toc102735053" w:history="1">
            <w:r w:rsidR="009C28F5" w:rsidRPr="00E91883">
              <w:rPr>
                <w:rStyle w:val="Hyperlink"/>
                <w:rFonts w:ascii="Verdana" w:hAnsi="Verdana"/>
                <w:noProof/>
                <w:sz w:val="19"/>
                <w:szCs w:val="19"/>
              </w:rPr>
              <w:t>II.</w:t>
            </w:r>
            <w:r w:rsidR="009C28F5" w:rsidRPr="00E91883">
              <w:rPr>
                <w:rFonts w:ascii="Verdana" w:eastAsiaTheme="minorEastAsia" w:hAnsi="Verdana" w:cstheme="minorBidi"/>
                <w:noProof/>
                <w:sz w:val="19"/>
                <w:szCs w:val="19"/>
              </w:rPr>
              <w:tab/>
            </w:r>
            <w:r w:rsidR="009C28F5" w:rsidRPr="00E91883">
              <w:rPr>
                <w:rStyle w:val="Hyperlink"/>
                <w:rFonts w:ascii="Verdana" w:hAnsi="Verdana"/>
                <w:noProof/>
                <w:sz w:val="19"/>
                <w:szCs w:val="19"/>
              </w:rPr>
              <w:t>Turkey’s Withdrawal from the Istanbul Convention</w:t>
            </w:r>
            <w:r w:rsidR="009C28F5" w:rsidRPr="00E91883">
              <w:rPr>
                <w:rFonts w:ascii="Verdana" w:hAnsi="Verdana"/>
                <w:noProof/>
                <w:webHidden/>
                <w:sz w:val="19"/>
                <w:szCs w:val="19"/>
              </w:rPr>
              <w:tab/>
            </w:r>
            <w:r w:rsidR="009C28F5" w:rsidRPr="00E91883">
              <w:rPr>
                <w:rFonts w:ascii="Verdana" w:hAnsi="Verdana"/>
                <w:noProof/>
                <w:webHidden/>
                <w:sz w:val="19"/>
                <w:szCs w:val="19"/>
              </w:rPr>
              <w:fldChar w:fldCharType="begin"/>
            </w:r>
            <w:r w:rsidR="009C28F5" w:rsidRPr="00E91883">
              <w:rPr>
                <w:rFonts w:ascii="Verdana" w:hAnsi="Verdana"/>
                <w:noProof/>
                <w:webHidden/>
                <w:sz w:val="19"/>
                <w:szCs w:val="19"/>
              </w:rPr>
              <w:instrText xml:space="preserve"> PAGEREF _Toc102735053 \h </w:instrText>
            </w:r>
            <w:r w:rsidR="009C28F5" w:rsidRPr="00E91883">
              <w:rPr>
                <w:rFonts w:ascii="Verdana" w:hAnsi="Verdana"/>
                <w:noProof/>
                <w:webHidden/>
                <w:sz w:val="19"/>
                <w:szCs w:val="19"/>
              </w:rPr>
            </w:r>
            <w:r w:rsidR="009C28F5" w:rsidRPr="00E91883">
              <w:rPr>
                <w:rFonts w:ascii="Verdana" w:hAnsi="Verdana"/>
                <w:noProof/>
                <w:webHidden/>
                <w:sz w:val="19"/>
                <w:szCs w:val="19"/>
              </w:rPr>
              <w:fldChar w:fldCharType="separate"/>
            </w:r>
            <w:r w:rsidR="00877C50" w:rsidRPr="00E91883">
              <w:rPr>
                <w:rFonts w:ascii="Verdana" w:hAnsi="Verdana"/>
                <w:noProof/>
                <w:webHidden/>
                <w:sz w:val="19"/>
                <w:szCs w:val="19"/>
              </w:rPr>
              <w:t>3</w:t>
            </w:r>
            <w:r w:rsidR="009C28F5" w:rsidRPr="00E91883">
              <w:rPr>
                <w:rFonts w:ascii="Verdana" w:hAnsi="Verdana"/>
                <w:noProof/>
                <w:webHidden/>
                <w:sz w:val="19"/>
                <w:szCs w:val="19"/>
              </w:rPr>
              <w:fldChar w:fldCharType="end"/>
            </w:r>
          </w:hyperlink>
        </w:p>
        <w:p w14:paraId="4B995EE4" w14:textId="24A6B00F" w:rsidR="009C28F5" w:rsidRPr="00E91883" w:rsidRDefault="00D74436">
          <w:pPr>
            <w:pStyle w:val="Verzeichnis1"/>
            <w:tabs>
              <w:tab w:val="left" w:pos="660"/>
              <w:tab w:val="right" w:leader="dot" w:pos="9016"/>
            </w:tabs>
            <w:rPr>
              <w:rFonts w:ascii="Verdana" w:eastAsiaTheme="minorEastAsia" w:hAnsi="Verdana" w:cstheme="minorBidi"/>
              <w:noProof/>
              <w:sz w:val="19"/>
              <w:szCs w:val="19"/>
            </w:rPr>
          </w:pPr>
          <w:hyperlink w:anchor="_Toc102735054" w:history="1">
            <w:r w:rsidR="009C28F5" w:rsidRPr="00E91883">
              <w:rPr>
                <w:rStyle w:val="Hyperlink"/>
                <w:rFonts w:ascii="Verdana" w:hAnsi="Verdana"/>
                <w:noProof/>
                <w:sz w:val="19"/>
                <w:szCs w:val="19"/>
              </w:rPr>
              <w:t>III.</w:t>
            </w:r>
            <w:r w:rsidR="009C28F5" w:rsidRPr="00E91883">
              <w:rPr>
                <w:rFonts w:ascii="Verdana" w:eastAsiaTheme="minorEastAsia" w:hAnsi="Verdana" w:cstheme="minorBidi"/>
                <w:noProof/>
                <w:sz w:val="19"/>
                <w:szCs w:val="19"/>
              </w:rPr>
              <w:tab/>
            </w:r>
            <w:r w:rsidR="009C28F5" w:rsidRPr="00E91883">
              <w:rPr>
                <w:rStyle w:val="Hyperlink"/>
                <w:rFonts w:ascii="Verdana" w:hAnsi="Verdana"/>
                <w:noProof/>
                <w:sz w:val="19"/>
                <w:szCs w:val="19"/>
              </w:rPr>
              <w:t>Access to Justice and Effective Remedy for Violations of Women’s Rights</w:t>
            </w:r>
            <w:r w:rsidR="009C28F5" w:rsidRPr="00E91883">
              <w:rPr>
                <w:rFonts w:ascii="Verdana" w:hAnsi="Verdana"/>
                <w:noProof/>
                <w:webHidden/>
                <w:sz w:val="19"/>
                <w:szCs w:val="19"/>
              </w:rPr>
              <w:tab/>
            </w:r>
            <w:r w:rsidR="009C28F5" w:rsidRPr="00E91883">
              <w:rPr>
                <w:rFonts w:ascii="Verdana" w:hAnsi="Verdana"/>
                <w:noProof/>
                <w:webHidden/>
                <w:sz w:val="19"/>
                <w:szCs w:val="19"/>
              </w:rPr>
              <w:fldChar w:fldCharType="begin"/>
            </w:r>
            <w:r w:rsidR="009C28F5" w:rsidRPr="00E91883">
              <w:rPr>
                <w:rFonts w:ascii="Verdana" w:hAnsi="Verdana"/>
                <w:noProof/>
                <w:webHidden/>
                <w:sz w:val="19"/>
                <w:szCs w:val="19"/>
              </w:rPr>
              <w:instrText xml:space="preserve"> PAGEREF _Toc102735054 \h </w:instrText>
            </w:r>
            <w:r w:rsidR="009C28F5" w:rsidRPr="00E91883">
              <w:rPr>
                <w:rFonts w:ascii="Verdana" w:hAnsi="Verdana"/>
                <w:noProof/>
                <w:webHidden/>
                <w:sz w:val="19"/>
                <w:szCs w:val="19"/>
              </w:rPr>
            </w:r>
            <w:r w:rsidR="009C28F5" w:rsidRPr="00E91883">
              <w:rPr>
                <w:rFonts w:ascii="Verdana" w:hAnsi="Verdana"/>
                <w:noProof/>
                <w:webHidden/>
                <w:sz w:val="19"/>
                <w:szCs w:val="19"/>
              </w:rPr>
              <w:fldChar w:fldCharType="separate"/>
            </w:r>
            <w:r w:rsidR="00877C50" w:rsidRPr="00E91883">
              <w:rPr>
                <w:rFonts w:ascii="Verdana" w:hAnsi="Verdana"/>
                <w:noProof/>
                <w:webHidden/>
                <w:sz w:val="19"/>
                <w:szCs w:val="19"/>
              </w:rPr>
              <w:t>5</w:t>
            </w:r>
            <w:r w:rsidR="009C28F5" w:rsidRPr="00E91883">
              <w:rPr>
                <w:rFonts w:ascii="Verdana" w:hAnsi="Verdana"/>
                <w:noProof/>
                <w:webHidden/>
                <w:sz w:val="19"/>
                <w:szCs w:val="19"/>
              </w:rPr>
              <w:fldChar w:fldCharType="end"/>
            </w:r>
          </w:hyperlink>
        </w:p>
        <w:p w14:paraId="55DA3F0C" w14:textId="53E94FC1" w:rsidR="009C28F5" w:rsidRPr="00E91883" w:rsidRDefault="00D74436">
          <w:pPr>
            <w:pStyle w:val="Verzeichnis2"/>
            <w:tabs>
              <w:tab w:val="left" w:pos="660"/>
              <w:tab w:val="right" w:leader="dot" w:pos="9016"/>
            </w:tabs>
            <w:rPr>
              <w:rFonts w:ascii="Verdana" w:eastAsiaTheme="minorEastAsia" w:hAnsi="Verdana" w:cstheme="minorBidi"/>
              <w:noProof/>
              <w:sz w:val="19"/>
              <w:szCs w:val="19"/>
            </w:rPr>
          </w:pPr>
          <w:hyperlink w:anchor="_Toc102735055" w:history="1">
            <w:r w:rsidR="009C28F5" w:rsidRPr="00E91883">
              <w:rPr>
                <w:rStyle w:val="Hyperlink"/>
                <w:rFonts w:ascii="Verdana" w:hAnsi="Verdana"/>
                <w:noProof/>
                <w:sz w:val="19"/>
                <w:szCs w:val="19"/>
              </w:rPr>
              <w:t>a.</w:t>
            </w:r>
            <w:r w:rsidR="009C28F5" w:rsidRPr="00E91883">
              <w:rPr>
                <w:rFonts w:ascii="Verdana" w:eastAsiaTheme="minorEastAsia" w:hAnsi="Verdana" w:cstheme="minorBidi"/>
                <w:noProof/>
                <w:sz w:val="19"/>
                <w:szCs w:val="19"/>
              </w:rPr>
              <w:tab/>
            </w:r>
            <w:r w:rsidR="009C28F5" w:rsidRPr="00E91883">
              <w:rPr>
                <w:rStyle w:val="Hyperlink"/>
                <w:rFonts w:ascii="Verdana" w:hAnsi="Verdana"/>
                <w:noProof/>
                <w:sz w:val="19"/>
                <w:szCs w:val="19"/>
              </w:rPr>
              <w:t>Attack against the rule of law in Turkey</w:t>
            </w:r>
            <w:r w:rsidR="009C28F5" w:rsidRPr="00E91883">
              <w:rPr>
                <w:rFonts w:ascii="Verdana" w:hAnsi="Verdana"/>
                <w:noProof/>
                <w:webHidden/>
                <w:sz w:val="19"/>
                <w:szCs w:val="19"/>
              </w:rPr>
              <w:tab/>
            </w:r>
            <w:r w:rsidR="009C28F5" w:rsidRPr="00E91883">
              <w:rPr>
                <w:rFonts w:ascii="Verdana" w:hAnsi="Verdana"/>
                <w:noProof/>
                <w:webHidden/>
                <w:sz w:val="19"/>
                <w:szCs w:val="19"/>
              </w:rPr>
              <w:fldChar w:fldCharType="begin"/>
            </w:r>
            <w:r w:rsidR="009C28F5" w:rsidRPr="00E91883">
              <w:rPr>
                <w:rFonts w:ascii="Verdana" w:hAnsi="Verdana"/>
                <w:noProof/>
                <w:webHidden/>
                <w:sz w:val="19"/>
                <w:szCs w:val="19"/>
              </w:rPr>
              <w:instrText xml:space="preserve"> PAGEREF _Toc102735055 \h </w:instrText>
            </w:r>
            <w:r w:rsidR="009C28F5" w:rsidRPr="00E91883">
              <w:rPr>
                <w:rFonts w:ascii="Verdana" w:hAnsi="Verdana"/>
                <w:noProof/>
                <w:webHidden/>
                <w:sz w:val="19"/>
                <w:szCs w:val="19"/>
              </w:rPr>
            </w:r>
            <w:r w:rsidR="009C28F5" w:rsidRPr="00E91883">
              <w:rPr>
                <w:rFonts w:ascii="Verdana" w:hAnsi="Verdana"/>
                <w:noProof/>
                <w:webHidden/>
                <w:sz w:val="19"/>
                <w:szCs w:val="19"/>
              </w:rPr>
              <w:fldChar w:fldCharType="separate"/>
            </w:r>
            <w:r w:rsidR="00877C50" w:rsidRPr="00E91883">
              <w:rPr>
                <w:rFonts w:ascii="Verdana" w:hAnsi="Verdana"/>
                <w:noProof/>
                <w:webHidden/>
                <w:sz w:val="19"/>
                <w:szCs w:val="19"/>
              </w:rPr>
              <w:t>5</w:t>
            </w:r>
            <w:r w:rsidR="009C28F5" w:rsidRPr="00E91883">
              <w:rPr>
                <w:rFonts w:ascii="Verdana" w:hAnsi="Verdana"/>
                <w:noProof/>
                <w:webHidden/>
                <w:sz w:val="19"/>
                <w:szCs w:val="19"/>
              </w:rPr>
              <w:fldChar w:fldCharType="end"/>
            </w:r>
          </w:hyperlink>
        </w:p>
        <w:p w14:paraId="30B1909E" w14:textId="3E0CE699" w:rsidR="009C28F5" w:rsidRPr="00E91883" w:rsidRDefault="00D74436">
          <w:pPr>
            <w:pStyle w:val="Verzeichnis2"/>
            <w:tabs>
              <w:tab w:val="left" w:pos="660"/>
              <w:tab w:val="right" w:leader="dot" w:pos="9016"/>
            </w:tabs>
            <w:rPr>
              <w:rFonts w:ascii="Verdana" w:eastAsiaTheme="minorEastAsia" w:hAnsi="Verdana" w:cstheme="minorBidi"/>
              <w:noProof/>
              <w:sz w:val="19"/>
              <w:szCs w:val="19"/>
            </w:rPr>
          </w:pPr>
          <w:hyperlink w:anchor="_Toc102735056" w:history="1">
            <w:r w:rsidR="009C28F5" w:rsidRPr="00E91883">
              <w:rPr>
                <w:rStyle w:val="Hyperlink"/>
                <w:rFonts w:ascii="Verdana" w:hAnsi="Verdana"/>
                <w:noProof/>
                <w:sz w:val="19"/>
                <w:szCs w:val="19"/>
              </w:rPr>
              <w:t>b.</w:t>
            </w:r>
            <w:r w:rsidR="009C28F5" w:rsidRPr="00E91883">
              <w:rPr>
                <w:rFonts w:ascii="Verdana" w:eastAsiaTheme="minorEastAsia" w:hAnsi="Verdana" w:cstheme="minorBidi"/>
                <w:noProof/>
                <w:sz w:val="19"/>
                <w:szCs w:val="19"/>
              </w:rPr>
              <w:tab/>
            </w:r>
            <w:r w:rsidR="009C28F5" w:rsidRPr="00E91883">
              <w:rPr>
                <w:rStyle w:val="Hyperlink"/>
                <w:rFonts w:ascii="Verdana" w:hAnsi="Verdana"/>
                <w:noProof/>
                <w:sz w:val="19"/>
                <w:szCs w:val="19"/>
              </w:rPr>
              <w:t>Access to justice in relation to environmental human rights issues</w:t>
            </w:r>
            <w:r w:rsidR="009C28F5" w:rsidRPr="00E91883">
              <w:rPr>
                <w:rFonts w:ascii="Verdana" w:hAnsi="Verdana"/>
                <w:noProof/>
                <w:webHidden/>
                <w:sz w:val="19"/>
                <w:szCs w:val="19"/>
              </w:rPr>
              <w:tab/>
            </w:r>
            <w:r w:rsidR="009C28F5" w:rsidRPr="00E91883">
              <w:rPr>
                <w:rFonts w:ascii="Verdana" w:hAnsi="Verdana"/>
                <w:noProof/>
                <w:webHidden/>
                <w:sz w:val="19"/>
                <w:szCs w:val="19"/>
              </w:rPr>
              <w:fldChar w:fldCharType="begin"/>
            </w:r>
            <w:r w:rsidR="009C28F5" w:rsidRPr="00E91883">
              <w:rPr>
                <w:rFonts w:ascii="Verdana" w:hAnsi="Verdana"/>
                <w:noProof/>
                <w:webHidden/>
                <w:sz w:val="19"/>
                <w:szCs w:val="19"/>
              </w:rPr>
              <w:instrText xml:space="preserve"> PAGEREF _Toc102735056 \h </w:instrText>
            </w:r>
            <w:r w:rsidR="009C28F5" w:rsidRPr="00E91883">
              <w:rPr>
                <w:rFonts w:ascii="Verdana" w:hAnsi="Verdana"/>
                <w:noProof/>
                <w:webHidden/>
                <w:sz w:val="19"/>
                <w:szCs w:val="19"/>
              </w:rPr>
            </w:r>
            <w:r w:rsidR="009C28F5" w:rsidRPr="00E91883">
              <w:rPr>
                <w:rFonts w:ascii="Verdana" w:hAnsi="Verdana"/>
                <w:noProof/>
                <w:webHidden/>
                <w:sz w:val="19"/>
                <w:szCs w:val="19"/>
              </w:rPr>
              <w:fldChar w:fldCharType="separate"/>
            </w:r>
            <w:r w:rsidR="00877C50" w:rsidRPr="00E91883">
              <w:rPr>
                <w:rFonts w:ascii="Verdana" w:hAnsi="Verdana"/>
                <w:noProof/>
                <w:webHidden/>
                <w:sz w:val="19"/>
                <w:szCs w:val="19"/>
              </w:rPr>
              <w:t>7</w:t>
            </w:r>
            <w:r w:rsidR="009C28F5" w:rsidRPr="00E91883">
              <w:rPr>
                <w:rFonts w:ascii="Verdana" w:hAnsi="Verdana"/>
                <w:noProof/>
                <w:webHidden/>
                <w:sz w:val="19"/>
                <w:szCs w:val="19"/>
              </w:rPr>
              <w:fldChar w:fldCharType="end"/>
            </w:r>
          </w:hyperlink>
        </w:p>
        <w:p w14:paraId="2705CE66" w14:textId="1FB1751B" w:rsidR="009C28F5" w:rsidRPr="00E91883" w:rsidRDefault="00D74436">
          <w:pPr>
            <w:pStyle w:val="Verzeichnis1"/>
            <w:tabs>
              <w:tab w:val="left" w:pos="660"/>
              <w:tab w:val="right" w:leader="dot" w:pos="9016"/>
            </w:tabs>
            <w:rPr>
              <w:rFonts w:ascii="Verdana" w:eastAsiaTheme="minorEastAsia" w:hAnsi="Verdana" w:cstheme="minorBidi"/>
              <w:noProof/>
              <w:sz w:val="19"/>
              <w:szCs w:val="19"/>
            </w:rPr>
          </w:pPr>
          <w:hyperlink w:anchor="_Toc102735057" w:history="1">
            <w:r w:rsidR="009C28F5" w:rsidRPr="00E91883">
              <w:rPr>
                <w:rStyle w:val="Hyperlink"/>
                <w:rFonts w:ascii="Verdana" w:hAnsi="Verdana"/>
                <w:noProof/>
                <w:sz w:val="19"/>
                <w:szCs w:val="19"/>
              </w:rPr>
              <w:t>IV.</w:t>
            </w:r>
            <w:r w:rsidR="009C28F5" w:rsidRPr="00E91883">
              <w:rPr>
                <w:rFonts w:ascii="Verdana" w:eastAsiaTheme="minorEastAsia" w:hAnsi="Verdana" w:cstheme="minorBidi"/>
                <w:noProof/>
                <w:sz w:val="19"/>
                <w:szCs w:val="19"/>
              </w:rPr>
              <w:tab/>
            </w:r>
            <w:r w:rsidR="009C28F5" w:rsidRPr="00E91883">
              <w:rPr>
                <w:rStyle w:val="Hyperlink"/>
                <w:rFonts w:ascii="Verdana" w:hAnsi="Verdana"/>
                <w:noProof/>
                <w:sz w:val="19"/>
                <w:szCs w:val="19"/>
              </w:rPr>
              <w:t>Recommendations</w:t>
            </w:r>
            <w:r w:rsidR="009C28F5" w:rsidRPr="00E91883">
              <w:rPr>
                <w:rFonts w:ascii="Verdana" w:hAnsi="Verdana"/>
                <w:noProof/>
                <w:webHidden/>
                <w:sz w:val="19"/>
                <w:szCs w:val="19"/>
              </w:rPr>
              <w:tab/>
            </w:r>
            <w:r w:rsidR="009C28F5" w:rsidRPr="00E91883">
              <w:rPr>
                <w:rFonts w:ascii="Verdana" w:hAnsi="Verdana"/>
                <w:noProof/>
                <w:webHidden/>
                <w:sz w:val="19"/>
                <w:szCs w:val="19"/>
              </w:rPr>
              <w:fldChar w:fldCharType="begin"/>
            </w:r>
            <w:r w:rsidR="009C28F5" w:rsidRPr="00E91883">
              <w:rPr>
                <w:rFonts w:ascii="Verdana" w:hAnsi="Verdana"/>
                <w:noProof/>
                <w:webHidden/>
                <w:sz w:val="19"/>
                <w:szCs w:val="19"/>
              </w:rPr>
              <w:instrText xml:space="preserve"> PAGEREF _Toc102735057 \h </w:instrText>
            </w:r>
            <w:r w:rsidR="009C28F5" w:rsidRPr="00E91883">
              <w:rPr>
                <w:rFonts w:ascii="Verdana" w:hAnsi="Verdana"/>
                <w:noProof/>
                <w:webHidden/>
                <w:sz w:val="19"/>
                <w:szCs w:val="19"/>
              </w:rPr>
            </w:r>
            <w:r w:rsidR="009C28F5" w:rsidRPr="00E91883">
              <w:rPr>
                <w:rFonts w:ascii="Verdana" w:hAnsi="Verdana"/>
                <w:noProof/>
                <w:webHidden/>
                <w:sz w:val="19"/>
                <w:szCs w:val="19"/>
              </w:rPr>
              <w:fldChar w:fldCharType="separate"/>
            </w:r>
            <w:r w:rsidR="00877C50" w:rsidRPr="00E91883">
              <w:rPr>
                <w:rFonts w:ascii="Verdana" w:hAnsi="Verdana"/>
                <w:noProof/>
                <w:webHidden/>
                <w:sz w:val="19"/>
                <w:szCs w:val="19"/>
              </w:rPr>
              <w:t>9</w:t>
            </w:r>
            <w:r w:rsidR="009C28F5" w:rsidRPr="00E91883">
              <w:rPr>
                <w:rFonts w:ascii="Verdana" w:hAnsi="Verdana"/>
                <w:noProof/>
                <w:webHidden/>
                <w:sz w:val="19"/>
                <w:szCs w:val="19"/>
              </w:rPr>
              <w:fldChar w:fldCharType="end"/>
            </w:r>
          </w:hyperlink>
        </w:p>
        <w:p w14:paraId="5E999C0C" w14:textId="24CBE018" w:rsidR="00363CAE" w:rsidRPr="00E91883" w:rsidRDefault="00363CAE">
          <w:pPr>
            <w:rPr>
              <w:rFonts w:ascii="Verdana" w:hAnsi="Verdana"/>
              <w:sz w:val="19"/>
              <w:szCs w:val="19"/>
            </w:rPr>
          </w:pPr>
          <w:r w:rsidRPr="00E91883">
            <w:rPr>
              <w:rFonts w:ascii="Verdana" w:hAnsi="Verdana"/>
              <w:b/>
              <w:bCs/>
              <w:sz w:val="19"/>
              <w:szCs w:val="19"/>
              <w:lang w:val="fr-FR"/>
            </w:rPr>
            <w:fldChar w:fldCharType="end"/>
          </w:r>
        </w:p>
      </w:sdtContent>
    </w:sdt>
    <w:p w14:paraId="75B77BC7" w14:textId="117CA664" w:rsidR="008321BA" w:rsidRPr="00E91883" w:rsidRDefault="008321BA">
      <w:pPr>
        <w:rPr>
          <w:rFonts w:ascii="Verdana" w:hAnsi="Verdana"/>
          <w:sz w:val="19"/>
          <w:szCs w:val="19"/>
        </w:rPr>
      </w:pPr>
      <w:r w:rsidRPr="00E91883">
        <w:rPr>
          <w:rFonts w:ascii="Verdana" w:hAnsi="Verdana"/>
          <w:sz w:val="19"/>
          <w:szCs w:val="19"/>
        </w:rPr>
        <w:br w:type="page"/>
      </w:r>
    </w:p>
    <w:p w14:paraId="749E38B3" w14:textId="78C241F2" w:rsidR="004A1FED" w:rsidRPr="00E91883" w:rsidRDefault="004A1FED" w:rsidP="00F86F6A">
      <w:pPr>
        <w:pStyle w:val="berschrift1"/>
        <w:rPr>
          <w:rFonts w:ascii="Verdana" w:hAnsi="Verdana"/>
          <w:sz w:val="19"/>
          <w:szCs w:val="19"/>
        </w:rPr>
      </w:pPr>
      <w:bookmarkStart w:id="1" w:name="_Toc102735052"/>
      <w:r w:rsidRPr="00E91883">
        <w:rPr>
          <w:rFonts w:ascii="Verdana" w:hAnsi="Verdana"/>
          <w:sz w:val="19"/>
          <w:szCs w:val="19"/>
        </w:rPr>
        <w:lastRenderedPageBreak/>
        <w:t>Introduction</w:t>
      </w:r>
      <w:bookmarkEnd w:id="1"/>
    </w:p>
    <w:p w14:paraId="649505D9" w14:textId="1CCDFD5D" w:rsidR="004A1FED" w:rsidRPr="00BA7D56" w:rsidRDefault="004A1FED" w:rsidP="00735DEE">
      <w:pPr>
        <w:pStyle w:val="Listenabsatz"/>
        <w:numPr>
          <w:ilvl w:val="0"/>
          <w:numId w:val="6"/>
        </w:numPr>
        <w:spacing w:after="120"/>
        <w:ind w:left="357" w:hanging="357"/>
        <w:contextualSpacing w:val="0"/>
        <w:jc w:val="both"/>
        <w:rPr>
          <w:rFonts w:ascii="Verdana" w:hAnsi="Verdana"/>
          <w:sz w:val="19"/>
          <w:szCs w:val="19"/>
        </w:rPr>
      </w:pPr>
      <w:r w:rsidRPr="00E91883">
        <w:rPr>
          <w:rFonts w:ascii="Verdana" w:hAnsi="Verdana"/>
          <w:sz w:val="19"/>
          <w:szCs w:val="19"/>
        </w:rPr>
        <w:t>During its 82</w:t>
      </w:r>
      <w:r w:rsidRPr="00BA7D56">
        <w:rPr>
          <w:rFonts w:ascii="Verdana" w:hAnsi="Verdana"/>
          <w:sz w:val="19"/>
          <w:szCs w:val="19"/>
          <w:vertAlign w:val="superscript"/>
        </w:rPr>
        <w:t>nd</w:t>
      </w:r>
      <w:r w:rsidRPr="00BA7D56">
        <w:rPr>
          <w:rFonts w:ascii="Verdana" w:hAnsi="Verdana"/>
          <w:sz w:val="19"/>
          <w:szCs w:val="19"/>
        </w:rPr>
        <w:t xml:space="preserve"> session, from 13</w:t>
      </w:r>
      <w:r w:rsidR="00735DEE" w:rsidRPr="00E91883">
        <w:rPr>
          <w:rFonts w:ascii="Verdana" w:hAnsi="Verdana"/>
          <w:sz w:val="19"/>
          <w:szCs w:val="19"/>
          <w:vertAlign w:val="superscript"/>
        </w:rPr>
        <w:t>th</w:t>
      </w:r>
      <w:r w:rsidR="00735DEE">
        <w:rPr>
          <w:rFonts w:ascii="Verdana" w:hAnsi="Verdana"/>
          <w:sz w:val="19"/>
          <w:szCs w:val="19"/>
        </w:rPr>
        <w:t xml:space="preserve"> </w:t>
      </w:r>
      <w:r w:rsidRPr="00BA7D56">
        <w:rPr>
          <w:rFonts w:ascii="Verdana" w:hAnsi="Verdana"/>
          <w:sz w:val="19"/>
          <w:szCs w:val="19"/>
        </w:rPr>
        <w:t>June</w:t>
      </w:r>
      <w:r w:rsidR="00735DEE">
        <w:rPr>
          <w:rFonts w:ascii="Verdana" w:hAnsi="Verdana"/>
          <w:sz w:val="19"/>
          <w:szCs w:val="19"/>
        </w:rPr>
        <w:t xml:space="preserve"> to </w:t>
      </w:r>
      <w:r w:rsidRPr="00BA7D56">
        <w:rPr>
          <w:rFonts w:ascii="Verdana" w:hAnsi="Verdana"/>
          <w:sz w:val="19"/>
          <w:szCs w:val="19"/>
        </w:rPr>
        <w:t>1</w:t>
      </w:r>
      <w:r w:rsidR="00735DEE" w:rsidRPr="00E01D62">
        <w:rPr>
          <w:rFonts w:ascii="Verdana" w:hAnsi="Verdana"/>
          <w:sz w:val="19"/>
          <w:szCs w:val="19"/>
          <w:vertAlign w:val="superscript"/>
        </w:rPr>
        <w:t>st</w:t>
      </w:r>
      <w:r w:rsidRPr="00BA7D56">
        <w:rPr>
          <w:rFonts w:ascii="Verdana" w:hAnsi="Verdana"/>
          <w:sz w:val="19"/>
          <w:szCs w:val="19"/>
        </w:rPr>
        <w:t xml:space="preserve"> July 2022, the United Nations Committee on the Elimination of Discrimination against Women (the Committee) is scheduled to examine Turkey’s implementation of and compliance with its obligations under the Convention on the Elimination of all Forms of Discrimination against Women (“CEDAW’) in light of the State party’s eight</w:t>
      </w:r>
      <w:r w:rsidR="0005621C">
        <w:rPr>
          <w:rFonts w:ascii="Verdana" w:hAnsi="Verdana"/>
          <w:sz w:val="19"/>
          <w:szCs w:val="19"/>
        </w:rPr>
        <w:t>h</w:t>
      </w:r>
      <w:r w:rsidRPr="00BA7D56">
        <w:rPr>
          <w:rFonts w:ascii="Verdana" w:hAnsi="Verdana"/>
          <w:sz w:val="19"/>
          <w:szCs w:val="19"/>
        </w:rPr>
        <w:t xml:space="preserve"> periodic report under Article 18 of the Convention, including the “Replies of Turkey to the list of issues and questions in relation to its eighth periodic report.”</w:t>
      </w:r>
      <w:r w:rsidRPr="00BA7D56">
        <w:rPr>
          <w:rStyle w:val="Funotenzeichen"/>
          <w:rFonts w:ascii="Verdana" w:hAnsi="Verdana"/>
          <w:sz w:val="19"/>
          <w:szCs w:val="19"/>
        </w:rPr>
        <w:footnoteReference w:id="1"/>
      </w:r>
    </w:p>
    <w:p w14:paraId="152D3CA4" w14:textId="77777777" w:rsidR="00293048" w:rsidRPr="00BA7D56" w:rsidRDefault="004A1FED" w:rsidP="004E5E93">
      <w:pPr>
        <w:pStyle w:val="Listenabsatz"/>
        <w:numPr>
          <w:ilvl w:val="0"/>
          <w:numId w:val="6"/>
        </w:numPr>
        <w:spacing w:after="120"/>
        <w:ind w:left="357" w:hanging="357"/>
        <w:contextualSpacing w:val="0"/>
        <w:jc w:val="both"/>
        <w:rPr>
          <w:rFonts w:ascii="Verdana" w:hAnsi="Verdana"/>
          <w:sz w:val="19"/>
          <w:szCs w:val="19"/>
        </w:rPr>
      </w:pPr>
      <w:r w:rsidRPr="00BA7D56">
        <w:rPr>
          <w:rFonts w:ascii="Verdana" w:hAnsi="Verdana"/>
          <w:sz w:val="19"/>
          <w:szCs w:val="19"/>
        </w:rPr>
        <w:t xml:space="preserve">In this context, the International Commission of Jurists (ICJ) welcomes the opportunity to present this submission to the Committee with a view to assisting its review of </w:t>
      </w:r>
      <w:r w:rsidR="00293048" w:rsidRPr="00BA7D56">
        <w:rPr>
          <w:rFonts w:ascii="Verdana" w:hAnsi="Verdana"/>
          <w:sz w:val="19"/>
          <w:szCs w:val="19"/>
        </w:rPr>
        <w:t>Turkey’s</w:t>
      </w:r>
      <w:r w:rsidRPr="00BA7D56">
        <w:rPr>
          <w:rFonts w:ascii="Verdana" w:hAnsi="Verdana"/>
          <w:sz w:val="19"/>
          <w:szCs w:val="19"/>
        </w:rPr>
        <w:t xml:space="preserve"> human rights record under CEDAW. </w:t>
      </w:r>
    </w:p>
    <w:p w14:paraId="30FAAA7D" w14:textId="05C71625" w:rsidR="00293048" w:rsidRPr="00BA7D56" w:rsidRDefault="004A1FED" w:rsidP="004E5E93">
      <w:pPr>
        <w:pStyle w:val="Listenabsatz"/>
        <w:numPr>
          <w:ilvl w:val="0"/>
          <w:numId w:val="6"/>
        </w:numPr>
        <w:spacing w:after="120"/>
        <w:ind w:left="357" w:hanging="357"/>
        <w:contextualSpacing w:val="0"/>
        <w:jc w:val="both"/>
        <w:rPr>
          <w:rFonts w:ascii="Verdana" w:hAnsi="Verdana"/>
          <w:sz w:val="19"/>
          <w:szCs w:val="19"/>
        </w:rPr>
      </w:pPr>
      <w:r w:rsidRPr="00BA7D56">
        <w:rPr>
          <w:rFonts w:ascii="Verdana" w:hAnsi="Verdana"/>
          <w:sz w:val="19"/>
          <w:szCs w:val="19"/>
        </w:rPr>
        <w:t>In this submission, the ICJ highlights two</w:t>
      </w:r>
      <w:r w:rsidR="00A04AFA" w:rsidRPr="00BA7D56">
        <w:rPr>
          <w:rFonts w:ascii="Verdana" w:hAnsi="Verdana"/>
          <w:sz w:val="19"/>
          <w:szCs w:val="19"/>
        </w:rPr>
        <w:t xml:space="preserve"> main</w:t>
      </w:r>
      <w:r w:rsidRPr="00BA7D56">
        <w:rPr>
          <w:rFonts w:ascii="Verdana" w:hAnsi="Verdana"/>
          <w:sz w:val="19"/>
          <w:szCs w:val="19"/>
        </w:rPr>
        <w:t xml:space="preserve"> areas of concern: </w:t>
      </w:r>
    </w:p>
    <w:p w14:paraId="0D42DD93" w14:textId="078DA97E" w:rsidR="00293048" w:rsidRPr="00BA7D56" w:rsidRDefault="00293048" w:rsidP="004E5E93">
      <w:pPr>
        <w:pStyle w:val="Listenabsatz"/>
        <w:numPr>
          <w:ilvl w:val="1"/>
          <w:numId w:val="6"/>
        </w:numPr>
        <w:spacing w:after="120"/>
        <w:contextualSpacing w:val="0"/>
        <w:jc w:val="both"/>
        <w:rPr>
          <w:rFonts w:ascii="Verdana" w:hAnsi="Verdana"/>
          <w:sz w:val="19"/>
          <w:szCs w:val="19"/>
        </w:rPr>
      </w:pPr>
      <w:r w:rsidRPr="00BA7D56">
        <w:rPr>
          <w:rFonts w:ascii="Verdana" w:hAnsi="Verdana"/>
          <w:sz w:val="19"/>
          <w:szCs w:val="19"/>
        </w:rPr>
        <w:t>Turkey’s withdrawal from the Council of Europe Convention on Preventing and Combating Violence against Women and Domestic Violence (Istanbul Convention)</w:t>
      </w:r>
      <w:r w:rsidR="00A04AFA" w:rsidRPr="00BA7D56">
        <w:rPr>
          <w:rFonts w:ascii="Verdana" w:hAnsi="Verdana"/>
          <w:sz w:val="19"/>
          <w:szCs w:val="19"/>
        </w:rPr>
        <w:t xml:space="preserve"> and its implications on the prevention</w:t>
      </w:r>
      <w:r w:rsidR="00CC2426" w:rsidRPr="00BA7D56">
        <w:rPr>
          <w:rFonts w:ascii="Verdana" w:hAnsi="Verdana"/>
          <w:sz w:val="19"/>
          <w:szCs w:val="19"/>
        </w:rPr>
        <w:t xml:space="preserve"> of</w:t>
      </w:r>
      <w:r w:rsidR="00A04AFA" w:rsidRPr="00BA7D56">
        <w:rPr>
          <w:rFonts w:ascii="Verdana" w:hAnsi="Verdana"/>
          <w:sz w:val="19"/>
          <w:szCs w:val="19"/>
        </w:rPr>
        <w:t xml:space="preserve">, protection </w:t>
      </w:r>
      <w:r w:rsidR="00CC2426" w:rsidRPr="00BA7D56">
        <w:rPr>
          <w:rFonts w:ascii="Verdana" w:hAnsi="Verdana"/>
          <w:sz w:val="19"/>
          <w:szCs w:val="19"/>
        </w:rPr>
        <w:t xml:space="preserve">against </w:t>
      </w:r>
      <w:r w:rsidR="00A04AFA" w:rsidRPr="00BA7D56">
        <w:rPr>
          <w:rFonts w:ascii="Verdana" w:hAnsi="Verdana"/>
          <w:sz w:val="19"/>
          <w:szCs w:val="19"/>
        </w:rPr>
        <w:t>and response to violence against women in the country</w:t>
      </w:r>
      <w:r w:rsidR="004A1FED" w:rsidRPr="00BA7D56">
        <w:rPr>
          <w:rFonts w:ascii="Verdana" w:hAnsi="Verdana"/>
          <w:sz w:val="19"/>
          <w:szCs w:val="19"/>
        </w:rPr>
        <w:t>;</w:t>
      </w:r>
      <w:r w:rsidRPr="00BA7D56">
        <w:rPr>
          <w:rFonts w:ascii="Verdana" w:hAnsi="Verdana"/>
          <w:sz w:val="19"/>
          <w:szCs w:val="19"/>
        </w:rPr>
        <w:t xml:space="preserve"> and</w:t>
      </w:r>
    </w:p>
    <w:p w14:paraId="7F72D46B" w14:textId="476A99AC" w:rsidR="00CE1825" w:rsidRPr="00BA7D56" w:rsidRDefault="00293048" w:rsidP="00CE1825">
      <w:pPr>
        <w:pStyle w:val="Listenabsatz"/>
        <w:numPr>
          <w:ilvl w:val="1"/>
          <w:numId w:val="6"/>
        </w:numPr>
        <w:spacing w:after="120"/>
        <w:contextualSpacing w:val="0"/>
        <w:jc w:val="both"/>
        <w:rPr>
          <w:rFonts w:ascii="Verdana" w:hAnsi="Verdana"/>
          <w:sz w:val="19"/>
          <w:szCs w:val="19"/>
        </w:rPr>
      </w:pPr>
      <w:r w:rsidRPr="00BA7D56">
        <w:rPr>
          <w:rFonts w:ascii="Verdana" w:hAnsi="Verdana"/>
          <w:sz w:val="19"/>
          <w:szCs w:val="19"/>
        </w:rPr>
        <w:t xml:space="preserve">The lack of access to justice and effective remedies for violations of women’s </w:t>
      </w:r>
      <w:r w:rsidR="00735DEE">
        <w:rPr>
          <w:rFonts w:ascii="Verdana" w:hAnsi="Verdana"/>
          <w:sz w:val="19"/>
          <w:szCs w:val="19"/>
        </w:rPr>
        <w:t xml:space="preserve">human </w:t>
      </w:r>
      <w:r w:rsidRPr="00BA7D56">
        <w:rPr>
          <w:rFonts w:ascii="Verdana" w:hAnsi="Verdana"/>
          <w:sz w:val="19"/>
          <w:szCs w:val="19"/>
        </w:rPr>
        <w:t>rights, particularly in the context of the ongoing deterioration of the rule of law and independence of the judiciary in Turkey, and of environmental human rights challenges</w:t>
      </w:r>
      <w:r w:rsidR="00CE1825" w:rsidRPr="00BA7D56">
        <w:rPr>
          <w:rFonts w:ascii="Verdana" w:hAnsi="Verdana"/>
          <w:sz w:val="19"/>
          <w:szCs w:val="19"/>
        </w:rPr>
        <w:t>.</w:t>
      </w:r>
    </w:p>
    <w:p w14:paraId="776F0454" w14:textId="77777777" w:rsidR="00CE1825" w:rsidRPr="00BA7D56" w:rsidRDefault="00CE1825" w:rsidP="00CE1825">
      <w:pPr>
        <w:spacing w:after="120"/>
        <w:jc w:val="both"/>
        <w:rPr>
          <w:rFonts w:ascii="Verdana" w:hAnsi="Verdana"/>
          <w:sz w:val="19"/>
          <w:szCs w:val="19"/>
        </w:rPr>
      </w:pPr>
    </w:p>
    <w:p w14:paraId="4B04D47A" w14:textId="47BEF9F2" w:rsidR="00A827B4" w:rsidRPr="00BA7D56" w:rsidRDefault="00A827B4" w:rsidP="00F86F6A">
      <w:pPr>
        <w:pStyle w:val="berschrift1"/>
        <w:rPr>
          <w:rFonts w:ascii="Verdana" w:hAnsi="Verdana"/>
          <w:sz w:val="19"/>
          <w:szCs w:val="19"/>
        </w:rPr>
      </w:pPr>
      <w:bookmarkStart w:id="2" w:name="_Toc102735053"/>
      <w:r w:rsidRPr="00BA7D56">
        <w:rPr>
          <w:rFonts w:ascii="Verdana" w:hAnsi="Verdana"/>
          <w:sz w:val="19"/>
          <w:szCs w:val="19"/>
        </w:rPr>
        <w:t>Turkey’s Withdrawal from the Istanbul Convention</w:t>
      </w:r>
      <w:bookmarkEnd w:id="2"/>
      <w:r w:rsidR="00CC2426" w:rsidRPr="00BA7D56">
        <w:rPr>
          <w:rFonts w:ascii="Verdana" w:hAnsi="Verdana"/>
          <w:sz w:val="19"/>
          <w:szCs w:val="19"/>
        </w:rPr>
        <w:t xml:space="preserve"> (articles 1 and 2 CEDAW)</w:t>
      </w:r>
    </w:p>
    <w:p w14:paraId="2E6FF49A" w14:textId="2959900C" w:rsidR="00776E62" w:rsidRPr="00BA7D56" w:rsidRDefault="00261368" w:rsidP="004E5E93">
      <w:pPr>
        <w:pStyle w:val="Listenabsatz"/>
        <w:numPr>
          <w:ilvl w:val="0"/>
          <w:numId w:val="6"/>
        </w:numPr>
        <w:contextualSpacing w:val="0"/>
        <w:jc w:val="both"/>
        <w:rPr>
          <w:rFonts w:ascii="Verdana" w:hAnsi="Verdana"/>
          <w:sz w:val="19"/>
          <w:szCs w:val="19"/>
        </w:rPr>
      </w:pPr>
      <w:r w:rsidRPr="00BA7D56">
        <w:rPr>
          <w:rFonts w:ascii="Verdana" w:hAnsi="Verdana"/>
          <w:sz w:val="19"/>
          <w:szCs w:val="19"/>
        </w:rPr>
        <w:t xml:space="preserve">As widely recognized by the international community, </w:t>
      </w:r>
      <w:r w:rsidR="00735DEE">
        <w:rPr>
          <w:rFonts w:ascii="Verdana" w:hAnsi="Verdana"/>
          <w:sz w:val="19"/>
          <w:szCs w:val="19"/>
        </w:rPr>
        <w:t xml:space="preserve">as well as </w:t>
      </w:r>
      <w:r w:rsidRPr="00BA7D56">
        <w:rPr>
          <w:rFonts w:ascii="Verdana" w:hAnsi="Verdana"/>
          <w:sz w:val="19"/>
          <w:szCs w:val="19"/>
        </w:rPr>
        <w:t xml:space="preserve">by the Committee in its </w:t>
      </w:r>
      <w:r w:rsidR="00887A44">
        <w:rPr>
          <w:rFonts w:ascii="Verdana" w:hAnsi="Verdana"/>
          <w:sz w:val="19"/>
          <w:szCs w:val="19"/>
        </w:rPr>
        <w:t xml:space="preserve">trailblazing </w:t>
      </w:r>
      <w:r w:rsidRPr="00BA7D56">
        <w:rPr>
          <w:rFonts w:ascii="Verdana" w:hAnsi="Verdana"/>
          <w:sz w:val="19"/>
          <w:szCs w:val="19"/>
        </w:rPr>
        <w:t>General Recommendation No. 19</w:t>
      </w:r>
      <w:r w:rsidR="00887A44">
        <w:rPr>
          <w:rFonts w:ascii="Verdana" w:hAnsi="Verdana"/>
          <w:sz w:val="19"/>
          <w:szCs w:val="19"/>
        </w:rPr>
        <w:t xml:space="preserve"> and its update, General Recommendation</w:t>
      </w:r>
      <w:r w:rsidRPr="00BA7D56">
        <w:rPr>
          <w:rFonts w:ascii="Verdana" w:hAnsi="Verdana"/>
          <w:sz w:val="19"/>
          <w:szCs w:val="19"/>
        </w:rPr>
        <w:t xml:space="preserve"> 35, gender-based violence against women amounts to discrimination against women in contravention of CEDAW.</w:t>
      </w:r>
      <w:r w:rsidRPr="00BA7D56">
        <w:rPr>
          <w:rStyle w:val="Funotenzeichen"/>
          <w:rFonts w:ascii="Verdana" w:hAnsi="Verdana"/>
          <w:sz w:val="19"/>
          <w:szCs w:val="19"/>
        </w:rPr>
        <w:footnoteReference w:id="2"/>
      </w:r>
      <w:r w:rsidR="008374C7" w:rsidRPr="00BA7D56">
        <w:rPr>
          <w:rFonts w:ascii="Verdana" w:hAnsi="Verdana"/>
          <w:sz w:val="19"/>
          <w:szCs w:val="19"/>
        </w:rPr>
        <w:t xml:space="preserve"> Despite the advances in the recognition of violence against women as a serious </w:t>
      </w:r>
      <w:r w:rsidR="002B0A96">
        <w:rPr>
          <w:rFonts w:ascii="Verdana" w:hAnsi="Verdana"/>
          <w:sz w:val="19"/>
          <w:szCs w:val="19"/>
        </w:rPr>
        <w:t xml:space="preserve">violation of their </w:t>
      </w:r>
      <w:r w:rsidR="008374C7" w:rsidRPr="00BA7D56">
        <w:rPr>
          <w:rFonts w:ascii="Verdana" w:hAnsi="Verdana"/>
          <w:sz w:val="19"/>
          <w:szCs w:val="19"/>
        </w:rPr>
        <w:t xml:space="preserve">human rights, such violence remains a pervasive global </w:t>
      </w:r>
      <w:r w:rsidR="00887A44">
        <w:rPr>
          <w:rFonts w:ascii="Verdana" w:hAnsi="Verdana"/>
          <w:sz w:val="19"/>
          <w:szCs w:val="19"/>
        </w:rPr>
        <w:t>plight</w:t>
      </w:r>
      <w:r w:rsidR="008374C7" w:rsidRPr="00BA7D56">
        <w:rPr>
          <w:rFonts w:ascii="Verdana" w:hAnsi="Verdana"/>
          <w:sz w:val="19"/>
          <w:szCs w:val="19"/>
        </w:rPr>
        <w:t>.</w:t>
      </w:r>
      <w:r w:rsidR="008374C7" w:rsidRPr="00BA7D56">
        <w:rPr>
          <w:rStyle w:val="Funotenzeichen"/>
          <w:rFonts w:ascii="Verdana" w:hAnsi="Verdana"/>
          <w:sz w:val="19"/>
          <w:szCs w:val="19"/>
        </w:rPr>
        <w:footnoteReference w:id="3"/>
      </w:r>
      <w:r w:rsidR="00A13A6D">
        <w:rPr>
          <w:rFonts w:ascii="Verdana" w:hAnsi="Verdana"/>
          <w:sz w:val="19"/>
          <w:szCs w:val="19"/>
        </w:rPr>
        <w:t xml:space="preserve"> Turkey is no exception, registering high levels of gender-based violence against women.</w:t>
      </w:r>
      <w:r w:rsidR="00E336CA" w:rsidRPr="00E336CA">
        <w:rPr>
          <w:rStyle w:val="Funotenzeichen"/>
          <w:rFonts w:ascii="Verdana" w:hAnsi="Verdana"/>
          <w:sz w:val="19"/>
          <w:szCs w:val="19"/>
        </w:rPr>
        <w:t xml:space="preserve"> </w:t>
      </w:r>
      <w:r w:rsidR="00E336CA" w:rsidRPr="00BA7D56">
        <w:rPr>
          <w:rStyle w:val="Funotenzeichen"/>
          <w:rFonts w:ascii="Verdana" w:hAnsi="Verdana"/>
          <w:sz w:val="19"/>
          <w:szCs w:val="19"/>
        </w:rPr>
        <w:footnoteReference w:id="4"/>
      </w:r>
    </w:p>
    <w:p w14:paraId="383104CD" w14:textId="553DB1F7" w:rsidR="003E149A" w:rsidRPr="00BA7D56" w:rsidRDefault="007251C2" w:rsidP="004E5E93">
      <w:pPr>
        <w:pStyle w:val="Listenabsatz"/>
        <w:numPr>
          <w:ilvl w:val="0"/>
          <w:numId w:val="6"/>
        </w:numPr>
        <w:contextualSpacing w:val="0"/>
        <w:jc w:val="both"/>
        <w:rPr>
          <w:rFonts w:ascii="Verdana" w:hAnsi="Verdana"/>
          <w:sz w:val="19"/>
          <w:szCs w:val="19"/>
        </w:rPr>
      </w:pPr>
      <w:r>
        <w:rPr>
          <w:rFonts w:ascii="Verdana" w:hAnsi="Verdana"/>
          <w:sz w:val="19"/>
          <w:szCs w:val="19"/>
        </w:rPr>
        <w:t>The above notwithstanding, o</w:t>
      </w:r>
      <w:r w:rsidR="005B64EA" w:rsidRPr="00BA7D56">
        <w:rPr>
          <w:rFonts w:ascii="Verdana" w:hAnsi="Verdana"/>
          <w:sz w:val="19"/>
          <w:szCs w:val="19"/>
        </w:rPr>
        <w:t>n 20 Marc</w:t>
      </w:r>
      <w:r w:rsidR="00706F12" w:rsidRPr="00BA7D56">
        <w:rPr>
          <w:rFonts w:ascii="Verdana" w:hAnsi="Verdana"/>
          <w:sz w:val="19"/>
          <w:szCs w:val="19"/>
        </w:rPr>
        <w:t>h</w:t>
      </w:r>
      <w:r w:rsidR="005B64EA" w:rsidRPr="00BA7D56">
        <w:rPr>
          <w:rFonts w:ascii="Verdana" w:hAnsi="Verdana"/>
          <w:sz w:val="19"/>
          <w:szCs w:val="19"/>
        </w:rPr>
        <w:t xml:space="preserve"> 2021, Turkey unilaterally withdrew from the Istanbul Convention by presidential decree</w:t>
      </w:r>
      <w:r w:rsidR="00363CAE" w:rsidRPr="00BA7D56">
        <w:rPr>
          <w:rFonts w:ascii="Verdana" w:hAnsi="Verdana"/>
          <w:sz w:val="19"/>
          <w:szCs w:val="19"/>
        </w:rPr>
        <w:t>.</w:t>
      </w:r>
      <w:r w:rsidR="002570C9" w:rsidRPr="00BA7D56">
        <w:rPr>
          <w:rStyle w:val="Funotenzeichen"/>
          <w:rFonts w:ascii="Verdana" w:hAnsi="Verdana"/>
          <w:sz w:val="19"/>
          <w:szCs w:val="19"/>
        </w:rPr>
        <w:footnoteReference w:id="5"/>
      </w:r>
      <w:r w:rsidR="005B64EA" w:rsidRPr="00BA7D56">
        <w:rPr>
          <w:rFonts w:ascii="Verdana" w:hAnsi="Verdana"/>
          <w:sz w:val="19"/>
          <w:szCs w:val="19"/>
        </w:rPr>
        <w:t xml:space="preserve"> </w:t>
      </w:r>
      <w:r w:rsidR="00363CAE" w:rsidRPr="00BA7D56">
        <w:rPr>
          <w:rFonts w:ascii="Verdana" w:hAnsi="Verdana"/>
          <w:sz w:val="19"/>
          <w:szCs w:val="19"/>
        </w:rPr>
        <w:t>The withdrawal has been widely criticized both internationally and domestically, with</w:t>
      </w:r>
      <w:r w:rsidR="005B64EA" w:rsidRPr="00BA7D56">
        <w:rPr>
          <w:rFonts w:ascii="Verdana" w:hAnsi="Verdana"/>
          <w:sz w:val="19"/>
          <w:szCs w:val="19"/>
        </w:rPr>
        <w:t xml:space="preserve"> </w:t>
      </w:r>
      <w:r w:rsidR="00363CAE" w:rsidRPr="00BA7D56">
        <w:rPr>
          <w:rFonts w:ascii="Verdana" w:hAnsi="Verdana"/>
          <w:sz w:val="19"/>
          <w:szCs w:val="19"/>
        </w:rPr>
        <w:t>experts</w:t>
      </w:r>
      <w:r w:rsidR="005B64EA" w:rsidRPr="00BA7D56">
        <w:rPr>
          <w:rFonts w:ascii="Verdana" w:hAnsi="Verdana"/>
          <w:sz w:val="19"/>
          <w:szCs w:val="19"/>
        </w:rPr>
        <w:t xml:space="preserve"> </w:t>
      </w:r>
      <w:r w:rsidR="00875A9B">
        <w:rPr>
          <w:rFonts w:ascii="Verdana" w:hAnsi="Verdana"/>
          <w:sz w:val="19"/>
          <w:szCs w:val="19"/>
        </w:rPr>
        <w:t>considering</w:t>
      </w:r>
      <w:r w:rsidR="00875A9B" w:rsidRPr="00BA7D56">
        <w:rPr>
          <w:rFonts w:ascii="Verdana" w:hAnsi="Verdana"/>
          <w:sz w:val="19"/>
          <w:szCs w:val="19"/>
        </w:rPr>
        <w:t xml:space="preserve"> </w:t>
      </w:r>
      <w:r w:rsidR="00363CAE" w:rsidRPr="00BA7D56">
        <w:rPr>
          <w:rFonts w:ascii="Verdana" w:hAnsi="Verdana"/>
          <w:sz w:val="19"/>
          <w:szCs w:val="19"/>
        </w:rPr>
        <w:t>the decree to be</w:t>
      </w:r>
      <w:r w:rsidR="005B64EA" w:rsidRPr="00BA7D56">
        <w:rPr>
          <w:rFonts w:ascii="Verdana" w:hAnsi="Verdana"/>
          <w:sz w:val="19"/>
          <w:szCs w:val="19"/>
        </w:rPr>
        <w:t xml:space="preserve"> unconstitutional.</w:t>
      </w:r>
      <w:r w:rsidR="00363CAE" w:rsidRPr="00BA7D56">
        <w:rPr>
          <w:rStyle w:val="Funotenzeichen"/>
          <w:rFonts w:ascii="Verdana" w:hAnsi="Verdana"/>
          <w:sz w:val="19"/>
          <w:szCs w:val="19"/>
        </w:rPr>
        <w:footnoteReference w:id="6"/>
      </w:r>
      <w:r w:rsidR="005D06B7" w:rsidRPr="00BA7D56">
        <w:rPr>
          <w:rFonts w:ascii="Verdana" w:hAnsi="Verdana"/>
          <w:sz w:val="19"/>
          <w:szCs w:val="19"/>
        </w:rPr>
        <w:t xml:space="preserve"> </w:t>
      </w:r>
    </w:p>
    <w:p w14:paraId="470B4817" w14:textId="1FFE531A" w:rsidR="005B64EA" w:rsidRPr="00BA7D56" w:rsidRDefault="00EA49E1" w:rsidP="004E5E93">
      <w:pPr>
        <w:pStyle w:val="Listenabsatz"/>
        <w:numPr>
          <w:ilvl w:val="0"/>
          <w:numId w:val="6"/>
        </w:numPr>
        <w:contextualSpacing w:val="0"/>
        <w:jc w:val="both"/>
        <w:rPr>
          <w:rFonts w:ascii="Verdana" w:hAnsi="Verdana"/>
          <w:sz w:val="19"/>
          <w:szCs w:val="19"/>
        </w:rPr>
      </w:pPr>
      <w:r w:rsidRPr="00BA7D56">
        <w:rPr>
          <w:rFonts w:ascii="Verdana" w:hAnsi="Verdana"/>
          <w:sz w:val="19"/>
          <w:szCs w:val="19"/>
        </w:rPr>
        <w:t xml:space="preserve">Turkey’s withdrawal from the Istanbul Convention </w:t>
      </w:r>
      <w:r w:rsidR="003E149A" w:rsidRPr="00BA7D56">
        <w:rPr>
          <w:rFonts w:ascii="Verdana" w:hAnsi="Verdana"/>
          <w:sz w:val="19"/>
          <w:szCs w:val="19"/>
        </w:rPr>
        <w:t>depriv</w:t>
      </w:r>
      <w:r w:rsidR="004009A7">
        <w:rPr>
          <w:rFonts w:ascii="Verdana" w:hAnsi="Verdana"/>
          <w:sz w:val="19"/>
          <w:szCs w:val="19"/>
        </w:rPr>
        <w:t>es</w:t>
      </w:r>
      <w:r w:rsidR="003E149A" w:rsidRPr="00BA7D56">
        <w:rPr>
          <w:rFonts w:ascii="Verdana" w:hAnsi="Verdana"/>
          <w:sz w:val="19"/>
          <w:szCs w:val="19"/>
        </w:rPr>
        <w:t xml:space="preserve"> women and girls</w:t>
      </w:r>
      <w:r w:rsidR="00E336CA">
        <w:rPr>
          <w:rStyle w:val="Funotenzeichen"/>
          <w:rFonts w:ascii="Verdana" w:hAnsi="Verdana"/>
          <w:sz w:val="19"/>
          <w:szCs w:val="19"/>
        </w:rPr>
        <w:footnoteReference w:id="7"/>
      </w:r>
      <w:r w:rsidR="003E149A" w:rsidRPr="00BA7D56">
        <w:rPr>
          <w:rFonts w:ascii="Verdana" w:hAnsi="Verdana"/>
          <w:sz w:val="19"/>
          <w:szCs w:val="19"/>
        </w:rPr>
        <w:t xml:space="preserve"> </w:t>
      </w:r>
      <w:r w:rsidR="0001758F">
        <w:rPr>
          <w:rFonts w:ascii="Verdana" w:hAnsi="Verdana"/>
          <w:sz w:val="19"/>
          <w:szCs w:val="19"/>
        </w:rPr>
        <w:t xml:space="preserve">in the country </w:t>
      </w:r>
      <w:r w:rsidR="00F2125C" w:rsidRPr="00BA7D56">
        <w:rPr>
          <w:rFonts w:ascii="Verdana" w:hAnsi="Verdana"/>
          <w:sz w:val="19"/>
          <w:szCs w:val="19"/>
        </w:rPr>
        <w:t>of</w:t>
      </w:r>
      <w:r w:rsidR="00945FB7" w:rsidRPr="00BA7D56">
        <w:rPr>
          <w:rFonts w:ascii="Verdana" w:hAnsi="Verdana"/>
          <w:sz w:val="19"/>
          <w:szCs w:val="19"/>
        </w:rPr>
        <w:t xml:space="preserve"> </w:t>
      </w:r>
      <w:r w:rsidR="003E149A" w:rsidRPr="00BA7D56">
        <w:rPr>
          <w:rFonts w:ascii="Verdana" w:hAnsi="Verdana"/>
          <w:sz w:val="19"/>
          <w:szCs w:val="19"/>
        </w:rPr>
        <w:t>the benefits of a vital and comprehensive legal framework intended to protect the</w:t>
      </w:r>
      <w:r w:rsidR="004009A7">
        <w:rPr>
          <w:rFonts w:ascii="Verdana" w:hAnsi="Verdana"/>
          <w:sz w:val="19"/>
          <w:szCs w:val="19"/>
        </w:rPr>
        <w:t>m</w:t>
      </w:r>
      <w:r w:rsidR="003E149A" w:rsidRPr="00BA7D56">
        <w:rPr>
          <w:rFonts w:ascii="Verdana" w:hAnsi="Verdana"/>
          <w:sz w:val="19"/>
          <w:szCs w:val="19"/>
        </w:rPr>
        <w:t xml:space="preserve"> from </w:t>
      </w:r>
      <w:r w:rsidR="003E149A" w:rsidRPr="00BA7D56">
        <w:rPr>
          <w:rFonts w:ascii="Verdana" w:hAnsi="Verdana"/>
          <w:sz w:val="19"/>
          <w:szCs w:val="19"/>
        </w:rPr>
        <w:lastRenderedPageBreak/>
        <w:t>all forms of violence, and</w:t>
      </w:r>
      <w:r w:rsidR="00A571CC" w:rsidRPr="00BA7D56">
        <w:rPr>
          <w:rFonts w:ascii="Verdana" w:hAnsi="Verdana"/>
          <w:sz w:val="19"/>
          <w:szCs w:val="19"/>
        </w:rPr>
        <w:t xml:space="preserve"> to</w:t>
      </w:r>
      <w:r w:rsidR="003E149A" w:rsidRPr="00BA7D56">
        <w:rPr>
          <w:rFonts w:ascii="Verdana" w:hAnsi="Verdana"/>
          <w:sz w:val="19"/>
          <w:szCs w:val="19"/>
        </w:rPr>
        <w:t xml:space="preserve"> prevent, prosecute and eliminate violence against them, including domestic violence. </w:t>
      </w:r>
      <w:r w:rsidR="005410B1" w:rsidRPr="00BA7D56">
        <w:rPr>
          <w:rFonts w:ascii="Verdana" w:hAnsi="Verdana"/>
          <w:sz w:val="19"/>
          <w:szCs w:val="19"/>
        </w:rPr>
        <w:t>Turkey’s withdrawal</w:t>
      </w:r>
      <w:r w:rsidR="003E149A" w:rsidRPr="00BA7D56">
        <w:rPr>
          <w:rFonts w:ascii="Verdana" w:hAnsi="Verdana"/>
          <w:sz w:val="19"/>
          <w:szCs w:val="19"/>
        </w:rPr>
        <w:t xml:space="preserve"> is </w:t>
      </w:r>
      <w:r w:rsidR="000D70E2" w:rsidRPr="00BA7D56">
        <w:rPr>
          <w:rFonts w:ascii="Verdana" w:hAnsi="Verdana"/>
          <w:sz w:val="19"/>
          <w:szCs w:val="19"/>
        </w:rPr>
        <w:t xml:space="preserve">a clear signal of the </w:t>
      </w:r>
      <w:r w:rsidR="00197637">
        <w:rPr>
          <w:rFonts w:ascii="Verdana" w:hAnsi="Verdana"/>
          <w:sz w:val="19"/>
          <w:szCs w:val="19"/>
        </w:rPr>
        <w:t xml:space="preserve">government’s </w:t>
      </w:r>
      <w:r w:rsidR="000D70E2" w:rsidRPr="00BA7D56">
        <w:rPr>
          <w:rFonts w:ascii="Verdana" w:hAnsi="Verdana"/>
          <w:sz w:val="19"/>
          <w:szCs w:val="19"/>
        </w:rPr>
        <w:t xml:space="preserve">lack of </w:t>
      </w:r>
      <w:r w:rsidR="00197637">
        <w:rPr>
          <w:rFonts w:ascii="Verdana" w:hAnsi="Verdana"/>
          <w:sz w:val="19"/>
          <w:szCs w:val="19"/>
        </w:rPr>
        <w:t xml:space="preserve">interest in guaranteeing </w:t>
      </w:r>
      <w:r w:rsidR="000D70E2" w:rsidRPr="00BA7D56">
        <w:rPr>
          <w:rFonts w:ascii="Verdana" w:hAnsi="Verdana"/>
          <w:sz w:val="19"/>
          <w:szCs w:val="19"/>
        </w:rPr>
        <w:t>human rights in general</w:t>
      </w:r>
      <w:r w:rsidR="00197637">
        <w:rPr>
          <w:rFonts w:ascii="Verdana" w:hAnsi="Verdana"/>
          <w:sz w:val="19"/>
          <w:szCs w:val="19"/>
        </w:rPr>
        <w:t>,</w:t>
      </w:r>
      <w:r w:rsidR="000D70E2" w:rsidRPr="00BA7D56">
        <w:rPr>
          <w:rFonts w:ascii="Verdana" w:hAnsi="Verdana"/>
          <w:sz w:val="19"/>
          <w:szCs w:val="19"/>
        </w:rPr>
        <w:t xml:space="preserve"> and women’s </w:t>
      </w:r>
      <w:r w:rsidR="00197637">
        <w:rPr>
          <w:rFonts w:ascii="Verdana" w:hAnsi="Verdana"/>
          <w:sz w:val="19"/>
          <w:szCs w:val="19"/>
        </w:rPr>
        <w:t xml:space="preserve">human </w:t>
      </w:r>
      <w:r w:rsidR="000D70E2" w:rsidRPr="00BA7D56">
        <w:rPr>
          <w:rFonts w:ascii="Verdana" w:hAnsi="Verdana"/>
          <w:sz w:val="19"/>
          <w:szCs w:val="19"/>
        </w:rPr>
        <w:t>rights in particular</w:t>
      </w:r>
      <w:r w:rsidR="00197637">
        <w:rPr>
          <w:rFonts w:ascii="Verdana" w:hAnsi="Verdana"/>
          <w:sz w:val="19"/>
          <w:szCs w:val="19"/>
        </w:rPr>
        <w:t>,</w:t>
      </w:r>
      <w:r w:rsidR="005410B1" w:rsidRPr="00BA7D56">
        <w:rPr>
          <w:rFonts w:ascii="Verdana" w:hAnsi="Verdana"/>
          <w:sz w:val="19"/>
          <w:szCs w:val="19"/>
        </w:rPr>
        <w:t xml:space="preserve"> </w:t>
      </w:r>
      <w:r w:rsidR="000D70E2" w:rsidRPr="00BA7D56">
        <w:rPr>
          <w:rFonts w:ascii="Verdana" w:hAnsi="Verdana"/>
          <w:sz w:val="19"/>
          <w:szCs w:val="19"/>
        </w:rPr>
        <w:t xml:space="preserve">showing </w:t>
      </w:r>
      <w:r w:rsidR="00946B87">
        <w:rPr>
          <w:rFonts w:ascii="Verdana" w:hAnsi="Verdana"/>
          <w:sz w:val="19"/>
          <w:szCs w:val="19"/>
        </w:rPr>
        <w:t xml:space="preserve">its </w:t>
      </w:r>
      <w:r w:rsidR="000D70E2" w:rsidRPr="00BA7D56">
        <w:rPr>
          <w:rFonts w:ascii="Verdana" w:hAnsi="Verdana"/>
          <w:sz w:val="19"/>
          <w:szCs w:val="19"/>
        </w:rPr>
        <w:t xml:space="preserve">lack of </w:t>
      </w:r>
      <w:r w:rsidR="00946B87">
        <w:rPr>
          <w:rFonts w:ascii="Verdana" w:hAnsi="Verdana"/>
          <w:sz w:val="19"/>
          <w:szCs w:val="19"/>
        </w:rPr>
        <w:t>commitment to</w:t>
      </w:r>
      <w:r w:rsidR="000D70E2" w:rsidRPr="00BA7D56">
        <w:rPr>
          <w:rFonts w:ascii="Verdana" w:hAnsi="Verdana"/>
          <w:sz w:val="19"/>
          <w:szCs w:val="19"/>
        </w:rPr>
        <w:t xml:space="preserve"> protecting women from gender-based violence, including femicide and domestic violence.</w:t>
      </w:r>
      <w:r w:rsidR="00197BEC" w:rsidRPr="00BA7D56">
        <w:rPr>
          <w:rFonts w:ascii="Verdana" w:hAnsi="Verdana"/>
          <w:sz w:val="19"/>
          <w:szCs w:val="19"/>
        </w:rPr>
        <w:t xml:space="preserve"> It also amounts to</w:t>
      </w:r>
      <w:r w:rsidR="00536826" w:rsidRPr="00BA7D56">
        <w:rPr>
          <w:rFonts w:ascii="Verdana" w:hAnsi="Verdana"/>
          <w:sz w:val="19"/>
          <w:szCs w:val="19"/>
        </w:rPr>
        <w:t>, in the words of the Committee,</w:t>
      </w:r>
      <w:r w:rsidR="00197BEC" w:rsidRPr="00BA7D56">
        <w:rPr>
          <w:rFonts w:ascii="Verdana" w:hAnsi="Verdana"/>
          <w:sz w:val="19"/>
          <w:szCs w:val="19"/>
        </w:rPr>
        <w:t xml:space="preserve"> a deliberately retrogressive measure</w:t>
      </w:r>
      <w:r w:rsidR="00991B93" w:rsidRPr="00BA7D56">
        <w:rPr>
          <w:rFonts w:ascii="Verdana" w:hAnsi="Verdana"/>
          <w:sz w:val="19"/>
          <w:szCs w:val="19"/>
        </w:rPr>
        <w:t xml:space="preserve"> and</w:t>
      </w:r>
      <w:r w:rsidR="00197BEC" w:rsidRPr="00BA7D56">
        <w:rPr>
          <w:rFonts w:ascii="Verdana" w:hAnsi="Verdana"/>
          <w:sz w:val="19"/>
          <w:szCs w:val="19"/>
        </w:rPr>
        <w:t xml:space="preserve"> is inconsistent with Turkey’s due diligence obligations under </w:t>
      </w:r>
      <w:r w:rsidR="00A571CC" w:rsidRPr="00BA7D56">
        <w:rPr>
          <w:rFonts w:ascii="Verdana" w:hAnsi="Verdana"/>
          <w:sz w:val="19"/>
          <w:szCs w:val="19"/>
        </w:rPr>
        <w:t>CEDAW</w:t>
      </w:r>
      <w:r w:rsidR="00197BEC" w:rsidRPr="00BA7D56">
        <w:rPr>
          <w:rFonts w:ascii="Verdana" w:hAnsi="Verdana"/>
          <w:sz w:val="19"/>
          <w:szCs w:val="19"/>
        </w:rPr>
        <w:t>.</w:t>
      </w:r>
      <w:r w:rsidR="00536826" w:rsidRPr="00BA7D56">
        <w:rPr>
          <w:rStyle w:val="Funotenzeichen"/>
          <w:rFonts w:ascii="Verdana" w:hAnsi="Verdana"/>
          <w:sz w:val="19"/>
          <w:szCs w:val="19"/>
        </w:rPr>
        <w:footnoteReference w:id="8"/>
      </w:r>
      <w:r w:rsidR="00197BEC" w:rsidRPr="00BA7D56">
        <w:rPr>
          <w:rFonts w:ascii="Verdana" w:hAnsi="Verdana"/>
          <w:sz w:val="19"/>
          <w:szCs w:val="19"/>
        </w:rPr>
        <w:t xml:space="preserve"> </w:t>
      </w:r>
      <w:r w:rsidR="00B43CFB">
        <w:rPr>
          <w:rFonts w:ascii="Verdana" w:hAnsi="Verdana"/>
          <w:sz w:val="19"/>
          <w:szCs w:val="19"/>
        </w:rPr>
        <w:t xml:space="preserve">The </w:t>
      </w:r>
      <w:r w:rsidR="00197BEC" w:rsidRPr="00BA7D56">
        <w:rPr>
          <w:rFonts w:ascii="Verdana" w:hAnsi="Verdana"/>
          <w:sz w:val="19"/>
          <w:szCs w:val="19"/>
        </w:rPr>
        <w:t xml:space="preserve">ICJ therefore welcomes the Committee’s concern </w:t>
      </w:r>
      <w:r w:rsidR="00A77B7C" w:rsidRPr="00BA7D56">
        <w:rPr>
          <w:rFonts w:ascii="Verdana" w:hAnsi="Verdana"/>
          <w:sz w:val="19"/>
          <w:szCs w:val="19"/>
        </w:rPr>
        <w:t>for</w:t>
      </w:r>
      <w:r w:rsidR="005410B1" w:rsidRPr="00BA7D56">
        <w:rPr>
          <w:rFonts w:ascii="Verdana" w:hAnsi="Verdana"/>
          <w:sz w:val="19"/>
          <w:szCs w:val="19"/>
        </w:rPr>
        <w:t xml:space="preserve"> </w:t>
      </w:r>
      <w:r w:rsidR="00197BEC" w:rsidRPr="00BA7D56">
        <w:rPr>
          <w:rFonts w:ascii="Verdana" w:hAnsi="Verdana"/>
          <w:sz w:val="19"/>
          <w:szCs w:val="19"/>
        </w:rPr>
        <w:t>th</w:t>
      </w:r>
      <w:r w:rsidR="00B43CFB">
        <w:rPr>
          <w:rFonts w:ascii="Verdana" w:hAnsi="Verdana"/>
          <w:sz w:val="19"/>
          <w:szCs w:val="19"/>
        </w:rPr>
        <w:t>is</w:t>
      </w:r>
      <w:r w:rsidR="00197BEC" w:rsidRPr="00BA7D56">
        <w:rPr>
          <w:rFonts w:ascii="Verdana" w:hAnsi="Verdana"/>
          <w:sz w:val="19"/>
          <w:szCs w:val="19"/>
        </w:rPr>
        <w:t xml:space="preserve"> matter</w:t>
      </w:r>
      <w:r w:rsidR="005410B1" w:rsidRPr="00BA7D56">
        <w:rPr>
          <w:rFonts w:ascii="Verdana" w:hAnsi="Verdana"/>
          <w:sz w:val="19"/>
          <w:szCs w:val="19"/>
        </w:rPr>
        <w:t xml:space="preserve"> highlighted in the List of issues</w:t>
      </w:r>
      <w:r w:rsidR="00197BEC" w:rsidRPr="00BA7D56">
        <w:rPr>
          <w:rFonts w:ascii="Verdana" w:hAnsi="Verdana"/>
          <w:sz w:val="19"/>
          <w:szCs w:val="19"/>
        </w:rPr>
        <w:t>.</w:t>
      </w:r>
      <w:r w:rsidR="00197BEC" w:rsidRPr="00BA7D56">
        <w:rPr>
          <w:rStyle w:val="Funotenzeichen"/>
          <w:rFonts w:ascii="Verdana" w:hAnsi="Verdana"/>
          <w:sz w:val="19"/>
          <w:szCs w:val="19"/>
        </w:rPr>
        <w:footnoteReference w:id="9"/>
      </w:r>
    </w:p>
    <w:p w14:paraId="44A553B3" w14:textId="25CFE7F3" w:rsidR="00D02EAC" w:rsidRPr="00BA7D56" w:rsidRDefault="00D02EAC" w:rsidP="004E5E93">
      <w:pPr>
        <w:pStyle w:val="Listenabsatz"/>
        <w:numPr>
          <w:ilvl w:val="0"/>
          <w:numId w:val="6"/>
        </w:numPr>
        <w:contextualSpacing w:val="0"/>
        <w:jc w:val="both"/>
        <w:rPr>
          <w:rFonts w:ascii="Verdana" w:hAnsi="Verdana"/>
          <w:sz w:val="19"/>
          <w:szCs w:val="19"/>
        </w:rPr>
      </w:pPr>
      <w:r w:rsidRPr="00BA7D56">
        <w:rPr>
          <w:rFonts w:ascii="Verdana" w:hAnsi="Verdana"/>
          <w:sz w:val="19"/>
          <w:szCs w:val="19"/>
        </w:rPr>
        <w:t xml:space="preserve">In its replies to the List of issues, Turkey has submitted that the denunciation of the Istanbul Convention has not had any negative implications for the legal and administrative structures established in relation to violence against women, and that the protection and prevention mechanisms foreseen by the </w:t>
      </w:r>
      <w:r w:rsidR="005D06B7" w:rsidRPr="00BA7D56">
        <w:rPr>
          <w:rFonts w:ascii="Verdana" w:hAnsi="Verdana"/>
          <w:sz w:val="19"/>
          <w:szCs w:val="19"/>
        </w:rPr>
        <w:t>Convention are and remain available in domestic law.</w:t>
      </w:r>
      <w:r w:rsidRPr="00BA7D56">
        <w:rPr>
          <w:rStyle w:val="Funotenzeichen"/>
          <w:rFonts w:ascii="Verdana" w:hAnsi="Verdana"/>
          <w:sz w:val="19"/>
          <w:szCs w:val="19"/>
        </w:rPr>
        <w:footnoteReference w:id="10"/>
      </w:r>
      <w:r w:rsidRPr="00BA7D56">
        <w:rPr>
          <w:rFonts w:ascii="Verdana" w:hAnsi="Verdana"/>
          <w:sz w:val="19"/>
          <w:szCs w:val="19"/>
        </w:rPr>
        <w:t xml:space="preserve"> </w:t>
      </w:r>
      <w:r w:rsidR="00635063" w:rsidRPr="00BA7D56">
        <w:rPr>
          <w:rFonts w:ascii="Verdana" w:hAnsi="Verdana"/>
          <w:sz w:val="19"/>
          <w:szCs w:val="19"/>
        </w:rPr>
        <w:t xml:space="preserve">Law No. 6284 to Protect </w:t>
      </w:r>
      <w:r w:rsidR="00B43CFB">
        <w:rPr>
          <w:rFonts w:ascii="Verdana" w:hAnsi="Verdana"/>
          <w:sz w:val="19"/>
          <w:szCs w:val="19"/>
        </w:rPr>
        <w:t xml:space="preserve">the </w:t>
      </w:r>
      <w:r w:rsidR="00635063" w:rsidRPr="00BA7D56">
        <w:rPr>
          <w:rFonts w:ascii="Verdana" w:hAnsi="Verdana"/>
          <w:sz w:val="19"/>
          <w:szCs w:val="19"/>
        </w:rPr>
        <w:t xml:space="preserve">Family and Prevent Violence against Women, </w:t>
      </w:r>
      <w:r w:rsidR="00B43CFB">
        <w:rPr>
          <w:rFonts w:ascii="Verdana" w:hAnsi="Verdana"/>
          <w:sz w:val="19"/>
          <w:szCs w:val="19"/>
        </w:rPr>
        <w:t xml:space="preserve">to which </w:t>
      </w:r>
      <w:r w:rsidR="00635063" w:rsidRPr="00BA7D56">
        <w:rPr>
          <w:rFonts w:ascii="Verdana" w:hAnsi="Verdana"/>
          <w:sz w:val="19"/>
          <w:szCs w:val="19"/>
        </w:rPr>
        <w:t>the government</w:t>
      </w:r>
      <w:r w:rsidR="00B43CFB">
        <w:rPr>
          <w:rFonts w:ascii="Verdana" w:hAnsi="Verdana"/>
          <w:sz w:val="19"/>
          <w:szCs w:val="19"/>
        </w:rPr>
        <w:t xml:space="preserve"> refers in its reply</w:t>
      </w:r>
      <w:r w:rsidR="00635063" w:rsidRPr="00BA7D56">
        <w:rPr>
          <w:rFonts w:ascii="Verdana" w:hAnsi="Verdana"/>
          <w:sz w:val="19"/>
          <w:szCs w:val="19"/>
        </w:rPr>
        <w:t xml:space="preserve">, was however enacted precisely pursuant to </w:t>
      </w:r>
      <w:r w:rsidR="008A369E">
        <w:rPr>
          <w:rFonts w:ascii="Verdana" w:hAnsi="Verdana"/>
          <w:sz w:val="19"/>
          <w:szCs w:val="19"/>
        </w:rPr>
        <w:t>Turkey’s</w:t>
      </w:r>
      <w:r w:rsidR="008A369E" w:rsidRPr="00BA7D56">
        <w:rPr>
          <w:rFonts w:ascii="Verdana" w:hAnsi="Verdana"/>
          <w:sz w:val="19"/>
          <w:szCs w:val="19"/>
        </w:rPr>
        <w:t xml:space="preserve"> </w:t>
      </w:r>
      <w:r w:rsidR="00635063" w:rsidRPr="00BA7D56">
        <w:rPr>
          <w:rFonts w:ascii="Verdana" w:hAnsi="Verdana"/>
          <w:sz w:val="19"/>
          <w:szCs w:val="19"/>
        </w:rPr>
        <w:t>obligations under the Istanbul Convention</w:t>
      </w:r>
      <w:r w:rsidR="00A571CC" w:rsidRPr="00BA7D56">
        <w:rPr>
          <w:rFonts w:ascii="Verdana" w:hAnsi="Verdana"/>
          <w:sz w:val="19"/>
          <w:szCs w:val="19"/>
        </w:rPr>
        <w:t>.</w:t>
      </w:r>
      <w:r w:rsidR="00635063" w:rsidRPr="00BA7D56">
        <w:rPr>
          <w:rStyle w:val="Funotenzeichen"/>
          <w:rFonts w:ascii="Verdana" w:hAnsi="Verdana"/>
          <w:sz w:val="19"/>
          <w:szCs w:val="19"/>
        </w:rPr>
        <w:footnoteReference w:id="11"/>
      </w:r>
      <w:r w:rsidR="00635063" w:rsidRPr="00BA7D56">
        <w:rPr>
          <w:rFonts w:ascii="Verdana" w:hAnsi="Verdana"/>
          <w:sz w:val="19"/>
          <w:szCs w:val="19"/>
        </w:rPr>
        <w:t xml:space="preserve"> </w:t>
      </w:r>
      <w:r w:rsidR="008A369E">
        <w:rPr>
          <w:rFonts w:ascii="Verdana" w:hAnsi="Verdana"/>
          <w:sz w:val="19"/>
          <w:szCs w:val="19"/>
        </w:rPr>
        <w:t xml:space="preserve">In light of this, </w:t>
      </w:r>
      <w:r w:rsidR="00635063" w:rsidRPr="00BA7D56">
        <w:rPr>
          <w:rFonts w:ascii="Verdana" w:hAnsi="Verdana"/>
          <w:sz w:val="19"/>
          <w:szCs w:val="19"/>
        </w:rPr>
        <w:t xml:space="preserve">why </w:t>
      </w:r>
      <w:r w:rsidR="008A369E">
        <w:rPr>
          <w:rFonts w:ascii="Verdana" w:hAnsi="Verdana"/>
          <w:sz w:val="19"/>
          <w:szCs w:val="19"/>
        </w:rPr>
        <w:t xml:space="preserve">did the government consider necessary to </w:t>
      </w:r>
      <w:r w:rsidR="00635063" w:rsidRPr="00BA7D56">
        <w:rPr>
          <w:rFonts w:ascii="Verdana" w:hAnsi="Verdana"/>
          <w:sz w:val="19"/>
          <w:szCs w:val="19"/>
        </w:rPr>
        <w:t>withdraw</w:t>
      </w:r>
      <w:r w:rsidR="008A369E">
        <w:rPr>
          <w:rFonts w:ascii="Verdana" w:hAnsi="Verdana"/>
          <w:sz w:val="19"/>
          <w:szCs w:val="19"/>
        </w:rPr>
        <w:t xml:space="preserve"> from the Istanbul Convention </w:t>
      </w:r>
      <w:r w:rsidR="00635063" w:rsidRPr="00BA7D56">
        <w:rPr>
          <w:rFonts w:ascii="Verdana" w:hAnsi="Verdana"/>
          <w:sz w:val="19"/>
          <w:szCs w:val="19"/>
        </w:rPr>
        <w:t xml:space="preserve">if Turkey intends to abide by </w:t>
      </w:r>
      <w:r w:rsidR="008A369E">
        <w:rPr>
          <w:rFonts w:ascii="Verdana" w:hAnsi="Verdana"/>
          <w:sz w:val="19"/>
          <w:szCs w:val="19"/>
        </w:rPr>
        <w:t xml:space="preserve">its </w:t>
      </w:r>
      <w:r w:rsidR="00635063" w:rsidRPr="00BA7D56">
        <w:rPr>
          <w:rFonts w:ascii="Verdana" w:hAnsi="Verdana"/>
          <w:sz w:val="19"/>
          <w:szCs w:val="19"/>
        </w:rPr>
        <w:t xml:space="preserve">obligations </w:t>
      </w:r>
      <w:r w:rsidR="008A369E">
        <w:rPr>
          <w:rFonts w:ascii="Verdana" w:hAnsi="Verdana"/>
          <w:sz w:val="19"/>
          <w:szCs w:val="19"/>
        </w:rPr>
        <w:t xml:space="preserve">under the treaty, </w:t>
      </w:r>
      <w:r w:rsidR="00635063" w:rsidRPr="00BA7D56">
        <w:rPr>
          <w:rFonts w:ascii="Verdana" w:hAnsi="Verdana"/>
          <w:sz w:val="19"/>
          <w:szCs w:val="19"/>
        </w:rPr>
        <w:t>even after</w:t>
      </w:r>
      <w:r w:rsidR="007B22A5" w:rsidRPr="00BA7D56">
        <w:rPr>
          <w:rFonts w:ascii="Verdana" w:hAnsi="Verdana"/>
          <w:sz w:val="19"/>
          <w:szCs w:val="19"/>
        </w:rPr>
        <w:t xml:space="preserve"> their</w:t>
      </w:r>
      <w:r w:rsidR="00635063" w:rsidRPr="00BA7D56">
        <w:rPr>
          <w:rFonts w:ascii="Verdana" w:hAnsi="Verdana"/>
          <w:sz w:val="19"/>
          <w:szCs w:val="19"/>
        </w:rPr>
        <w:t xml:space="preserve"> denouncement</w:t>
      </w:r>
      <w:r w:rsidR="008A369E">
        <w:rPr>
          <w:rFonts w:ascii="Verdana" w:hAnsi="Verdana"/>
          <w:sz w:val="19"/>
          <w:szCs w:val="19"/>
        </w:rPr>
        <w:t>?</w:t>
      </w:r>
      <w:r w:rsidR="00A571CC" w:rsidRPr="00BA7D56">
        <w:rPr>
          <w:rFonts w:ascii="Verdana" w:hAnsi="Verdana"/>
          <w:sz w:val="19"/>
          <w:szCs w:val="19"/>
        </w:rPr>
        <w:t xml:space="preserve"> </w:t>
      </w:r>
    </w:p>
    <w:p w14:paraId="2D717E2B" w14:textId="6ACA9B70" w:rsidR="00FB732B" w:rsidRPr="00BA7D56" w:rsidRDefault="00FB732B" w:rsidP="004E5E93">
      <w:pPr>
        <w:pStyle w:val="Listenabsatz"/>
        <w:numPr>
          <w:ilvl w:val="0"/>
          <w:numId w:val="6"/>
        </w:numPr>
        <w:contextualSpacing w:val="0"/>
        <w:jc w:val="both"/>
        <w:rPr>
          <w:rFonts w:ascii="Verdana" w:hAnsi="Verdana"/>
          <w:sz w:val="19"/>
          <w:szCs w:val="19"/>
        </w:rPr>
      </w:pPr>
      <w:r w:rsidRPr="00BA7D56">
        <w:rPr>
          <w:rFonts w:ascii="Verdana" w:hAnsi="Verdana"/>
          <w:sz w:val="19"/>
          <w:szCs w:val="19"/>
        </w:rPr>
        <w:t xml:space="preserve">In addition, </w:t>
      </w:r>
      <w:r w:rsidR="00994093">
        <w:rPr>
          <w:rFonts w:ascii="Verdana" w:hAnsi="Verdana"/>
          <w:sz w:val="19"/>
          <w:szCs w:val="19"/>
        </w:rPr>
        <w:t>in recent years</w:t>
      </w:r>
      <w:r w:rsidRPr="00BA7D56">
        <w:rPr>
          <w:rFonts w:ascii="Verdana" w:hAnsi="Verdana"/>
          <w:sz w:val="19"/>
          <w:szCs w:val="19"/>
        </w:rPr>
        <w:t xml:space="preserve">, the rates of violence against women in Turkey have reached alarming levels. Although there are no </w:t>
      </w:r>
      <w:r w:rsidR="00A571CC" w:rsidRPr="00BA7D56">
        <w:rPr>
          <w:rFonts w:ascii="Verdana" w:hAnsi="Verdana"/>
          <w:sz w:val="19"/>
          <w:szCs w:val="19"/>
        </w:rPr>
        <w:t>official</w:t>
      </w:r>
      <w:r w:rsidRPr="00BA7D56">
        <w:rPr>
          <w:rFonts w:ascii="Verdana" w:hAnsi="Verdana"/>
          <w:sz w:val="19"/>
          <w:szCs w:val="19"/>
        </w:rPr>
        <w:t xml:space="preserve"> statistics for the number of femicides in the country, the </w:t>
      </w:r>
      <w:r w:rsidR="00994093">
        <w:rPr>
          <w:rFonts w:ascii="Verdana" w:hAnsi="Verdana"/>
          <w:sz w:val="19"/>
          <w:szCs w:val="19"/>
        </w:rPr>
        <w:t>“</w:t>
      </w:r>
      <w:r w:rsidRPr="00BA7D56">
        <w:rPr>
          <w:rFonts w:ascii="Verdana" w:hAnsi="Verdana"/>
          <w:sz w:val="19"/>
          <w:szCs w:val="19"/>
        </w:rPr>
        <w:t>We Will Stop Femicides Platform of Turkey</w:t>
      </w:r>
      <w:r w:rsidR="00994093">
        <w:rPr>
          <w:rFonts w:ascii="Verdana" w:hAnsi="Verdana"/>
          <w:sz w:val="19"/>
          <w:szCs w:val="19"/>
        </w:rPr>
        <w:t>”</w:t>
      </w:r>
      <w:r w:rsidRPr="00BA7D56">
        <w:rPr>
          <w:rFonts w:ascii="Verdana" w:hAnsi="Verdana"/>
          <w:sz w:val="19"/>
          <w:szCs w:val="19"/>
        </w:rPr>
        <w:t xml:space="preserve"> reported 280 femicides and 217 suspicious deaths of women during 2021, with the majority of femicides taking place in the home.</w:t>
      </w:r>
      <w:r w:rsidRPr="00BA7D56">
        <w:rPr>
          <w:rStyle w:val="Funotenzeichen"/>
          <w:rFonts w:ascii="Verdana" w:hAnsi="Verdana"/>
          <w:sz w:val="19"/>
          <w:szCs w:val="19"/>
        </w:rPr>
        <w:footnoteReference w:id="12"/>
      </w:r>
      <w:r w:rsidRPr="00BA7D56">
        <w:rPr>
          <w:rFonts w:ascii="Verdana" w:hAnsi="Verdana"/>
          <w:sz w:val="19"/>
          <w:szCs w:val="19"/>
        </w:rPr>
        <w:t xml:space="preserve"> </w:t>
      </w:r>
      <w:r w:rsidR="00994093">
        <w:rPr>
          <w:rFonts w:ascii="Verdana" w:hAnsi="Verdana"/>
          <w:sz w:val="19"/>
          <w:szCs w:val="19"/>
        </w:rPr>
        <w:t xml:space="preserve">Such high statistics </w:t>
      </w:r>
      <w:r w:rsidRPr="00BA7D56">
        <w:rPr>
          <w:rFonts w:ascii="Verdana" w:hAnsi="Verdana"/>
          <w:sz w:val="19"/>
          <w:szCs w:val="19"/>
        </w:rPr>
        <w:t xml:space="preserve">indicate the existence of weaknesses in the system of prevention, protection and response in relation to violence against women, particularly </w:t>
      </w:r>
      <w:r w:rsidR="00994093">
        <w:rPr>
          <w:rFonts w:ascii="Verdana" w:hAnsi="Verdana"/>
          <w:sz w:val="19"/>
          <w:szCs w:val="19"/>
        </w:rPr>
        <w:t xml:space="preserve">with respect </w:t>
      </w:r>
      <w:r w:rsidRPr="00BA7D56">
        <w:rPr>
          <w:rFonts w:ascii="Verdana" w:hAnsi="Verdana"/>
          <w:sz w:val="19"/>
          <w:szCs w:val="19"/>
        </w:rPr>
        <w:t xml:space="preserve">to domestic violence. </w:t>
      </w:r>
      <w:r w:rsidR="00D138DC" w:rsidRPr="00BA7D56">
        <w:rPr>
          <w:rFonts w:ascii="Verdana" w:hAnsi="Verdana"/>
          <w:sz w:val="19"/>
          <w:szCs w:val="19"/>
        </w:rPr>
        <w:t>T</w:t>
      </w:r>
      <w:r w:rsidRPr="00BA7D56">
        <w:rPr>
          <w:rFonts w:ascii="Verdana" w:hAnsi="Verdana"/>
          <w:sz w:val="19"/>
          <w:szCs w:val="19"/>
        </w:rPr>
        <w:t xml:space="preserve">he domestic framework put in place to comply with the Istanbul Convention </w:t>
      </w:r>
      <w:r w:rsidR="00D138DC" w:rsidRPr="00BA7D56">
        <w:rPr>
          <w:rFonts w:ascii="Verdana" w:hAnsi="Verdana"/>
          <w:sz w:val="19"/>
          <w:szCs w:val="19"/>
        </w:rPr>
        <w:t xml:space="preserve">appears therefore to be </w:t>
      </w:r>
      <w:r w:rsidRPr="00BA7D56">
        <w:rPr>
          <w:rFonts w:ascii="Verdana" w:hAnsi="Verdana"/>
          <w:sz w:val="19"/>
          <w:szCs w:val="19"/>
        </w:rPr>
        <w:t xml:space="preserve">insufficient to prevent serious violations of women’s </w:t>
      </w:r>
      <w:r w:rsidR="00260804">
        <w:rPr>
          <w:rFonts w:ascii="Verdana" w:hAnsi="Verdana"/>
          <w:sz w:val="19"/>
          <w:szCs w:val="19"/>
        </w:rPr>
        <w:t xml:space="preserve">human </w:t>
      </w:r>
      <w:r w:rsidRPr="00BA7D56">
        <w:rPr>
          <w:rFonts w:ascii="Verdana" w:hAnsi="Verdana"/>
          <w:sz w:val="19"/>
          <w:szCs w:val="19"/>
        </w:rPr>
        <w:t xml:space="preserve">rights </w:t>
      </w:r>
      <w:r w:rsidR="00260804">
        <w:rPr>
          <w:rFonts w:ascii="Verdana" w:hAnsi="Verdana"/>
          <w:sz w:val="19"/>
          <w:szCs w:val="19"/>
        </w:rPr>
        <w:t xml:space="preserve">as a result of </w:t>
      </w:r>
      <w:r w:rsidRPr="00BA7D56">
        <w:rPr>
          <w:rFonts w:ascii="Verdana" w:hAnsi="Verdana"/>
          <w:sz w:val="19"/>
          <w:szCs w:val="19"/>
        </w:rPr>
        <w:t xml:space="preserve">violence against </w:t>
      </w:r>
      <w:r w:rsidR="00260804">
        <w:rPr>
          <w:rFonts w:ascii="Verdana" w:hAnsi="Verdana"/>
          <w:sz w:val="19"/>
          <w:szCs w:val="19"/>
        </w:rPr>
        <w:t>them</w:t>
      </w:r>
      <w:r w:rsidRPr="00BA7D56">
        <w:rPr>
          <w:rFonts w:ascii="Verdana" w:hAnsi="Verdana"/>
          <w:sz w:val="19"/>
          <w:szCs w:val="19"/>
        </w:rPr>
        <w:t>. Turkey’s withdrawal from the Convention is likely to exacerbate the situation</w:t>
      </w:r>
      <w:r w:rsidR="00260804">
        <w:rPr>
          <w:rFonts w:ascii="Verdana" w:hAnsi="Verdana"/>
          <w:sz w:val="19"/>
          <w:szCs w:val="19"/>
        </w:rPr>
        <w:t>,</w:t>
      </w:r>
      <w:r w:rsidRPr="00BA7D56">
        <w:rPr>
          <w:rFonts w:ascii="Verdana" w:hAnsi="Verdana"/>
          <w:sz w:val="19"/>
          <w:szCs w:val="19"/>
        </w:rPr>
        <w:t xml:space="preserve"> and lead to further undermining of the systems in place to prevent, protect and respond to violence against women.</w:t>
      </w:r>
    </w:p>
    <w:p w14:paraId="300BCDA9" w14:textId="440F4292" w:rsidR="0055658F" w:rsidRPr="00BA7D56" w:rsidRDefault="005410B1" w:rsidP="00BA4223">
      <w:pPr>
        <w:pStyle w:val="Listenabsatz"/>
        <w:numPr>
          <w:ilvl w:val="0"/>
          <w:numId w:val="6"/>
        </w:numPr>
        <w:contextualSpacing w:val="0"/>
        <w:jc w:val="both"/>
        <w:rPr>
          <w:rFonts w:ascii="Verdana" w:hAnsi="Verdana"/>
          <w:sz w:val="19"/>
          <w:szCs w:val="19"/>
        </w:rPr>
      </w:pPr>
      <w:r w:rsidRPr="00BA7D56">
        <w:rPr>
          <w:rFonts w:ascii="Verdana" w:hAnsi="Verdana"/>
          <w:sz w:val="19"/>
          <w:szCs w:val="19"/>
        </w:rPr>
        <w:t xml:space="preserve">Turkey’s highest administrative court, the Council of State, is currently in the process of deciding a case combining ten appeals submitted against the withdrawal by bar associations, women’s and human rights organisations, trade unions and opposition representatives. The opinion submitted by the prosecutor of the Council of State </w:t>
      </w:r>
      <w:r w:rsidR="00260804">
        <w:rPr>
          <w:rFonts w:ascii="Verdana" w:hAnsi="Verdana"/>
          <w:sz w:val="19"/>
          <w:szCs w:val="19"/>
        </w:rPr>
        <w:t xml:space="preserve">in the context of the case opined </w:t>
      </w:r>
      <w:r w:rsidRPr="00BA7D56">
        <w:rPr>
          <w:rFonts w:ascii="Verdana" w:hAnsi="Verdana"/>
          <w:sz w:val="19"/>
          <w:szCs w:val="19"/>
        </w:rPr>
        <w:t>that the withdrawal by presidential decree without parliamentary approval was unconstitutional and must be annulled. The case is historic in Turkey</w:t>
      </w:r>
      <w:r w:rsidR="00ED43A4">
        <w:rPr>
          <w:rFonts w:ascii="Verdana" w:hAnsi="Verdana"/>
          <w:sz w:val="19"/>
          <w:szCs w:val="19"/>
        </w:rPr>
        <w:t>,</w:t>
      </w:r>
      <w:r w:rsidRPr="00BA7D56">
        <w:rPr>
          <w:rFonts w:ascii="Verdana" w:hAnsi="Verdana"/>
          <w:sz w:val="19"/>
          <w:szCs w:val="19"/>
        </w:rPr>
        <w:t xml:space="preserve"> and is being followed </w:t>
      </w:r>
      <w:r w:rsidR="00A571CC" w:rsidRPr="00BA7D56">
        <w:rPr>
          <w:rFonts w:ascii="Verdana" w:hAnsi="Verdana"/>
          <w:sz w:val="19"/>
          <w:szCs w:val="19"/>
        </w:rPr>
        <w:t>widely</w:t>
      </w:r>
      <w:r w:rsidRPr="00BA7D56">
        <w:rPr>
          <w:rFonts w:ascii="Verdana" w:hAnsi="Verdana"/>
          <w:sz w:val="19"/>
          <w:szCs w:val="19"/>
        </w:rPr>
        <w:t>, with large numbers of women’s groups, women lawyers and human rights defenders mobiliz</w:t>
      </w:r>
      <w:r w:rsidR="00ED43A4">
        <w:rPr>
          <w:rFonts w:ascii="Verdana" w:hAnsi="Verdana"/>
          <w:sz w:val="19"/>
          <w:szCs w:val="19"/>
        </w:rPr>
        <w:t>ed</w:t>
      </w:r>
      <w:r w:rsidRPr="00BA7D56">
        <w:rPr>
          <w:rFonts w:ascii="Verdana" w:hAnsi="Verdana"/>
          <w:sz w:val="19"/>
          <w:szCs w:val="19"/>
        </w:rPr>
        <w:t xml:space="preserve"> against the withdrawal.</w:t>
      </w:r>
      <w:r w:rsidRPr="00BA7D56">
        <w:rPr>
          <w:rStyle w:val="Funotenzeichen"/>
          <w:rFonts w:ascii="Verdana" w:hAnsi="Verdana"/>
          <w:sz w:val="19"/>
          <w:szCs w:val="19"/>
        </w:rPr>
        <w:footnoteReference w:id="13"/>
      </w:r>
      <w:r w:rsidR="00776E62" w:rsidRPr="00BA7D56">
        <w:rPr>
          <w:rFonts w:ascii="Verdana" w:hAnsi="Verdana"/>
          <w:sz w:val="19"/>
          <w:szCs w:val="19"/>
        </w:rPr>
        <w:t xml:space="preserve"> </w:t>
      </w:r>
      <w:r w:rsidR="00531E7F" w:rsidRPr="00BA7D56">
        <w:rPr>
          <w:rFonts w:ascii="Verdana" w:hAnsi="Verdana"/>
          <w:sz w:val="19"/>
          <w:szCs w:val="19"/>
        </w:rPr>
        <w:t>Nonetheless,</w:t>
      </w:r>
      <w:r w:rsidR="00ED43A4">
        <w:rPr>
          <w:rFonts w:ascii="Verdana" w:hAnsi="Verdana"/>
          <w:sz w:val="19"/>
          <w:szCs w:val="19"/>
        </w:rPr>
        <w:t xml:space="preserve"> in 2021</w:t>
      </w:r>
      <w:r w:rsidR="00531E7F" w:rsidRPr="00BA7D56">
        <w:rPr>
          <w:rFonts w:ascii="Verdana" w:hAnsi="Verdana"/>
          <w:sz w:val="19"/>
          <w:szCs w:val="19"/>
        </w:rPr>
        <w:t xml:space="preserve"> it the Council of State rejected </w:t>
      </w:r>
      <w:r w:rsidR="00ED43A4">
        <w:rPr>
          <w:rFonts w:ascii="Verdana" w:hAnsi="Verdana"/>
          <w:sz w:val="19"/>
          <w:szCs w:val="19"/>
        </w:rPr>
        <w:t>a</w:t>
      </w:r>
      <w:r w:rsidR="00531E7F" w:rsidRPr="00BA7D56">
        <w:rPr>
          <w:rFonts w:ascii="Verdana" w:hAnsi="Verdana" w:cs="Calibri"/>
          <w:color w:val="000000"/>
          <w:sz w:val="19"/>
          <w:szCs w:val="19"/>
          <w:shd w:val="clear" w:color="auto" w:fill="FFFFFF"/>
        </w:rPr>
        <w:t xml:space="preserve"> request for </w:t>
      </w:r>
      <w:r w:rsidR="00402BD5">
        <w:rPr>
          <w:rFonts w:ascii="Verdana" w:hAnsi="Verdana" w:cs="Calibri"/>
          <w:color w:val="000000"/>
          <w:sz w:val="19"/>
          <w:szCs w:val="19"/>
          <w:shd w:val="clear" w:color="auto" w:fill="FFFFFF"/>
        </w:rPr>
        <w:t>a</w:t>
      </w:r>
      <w:r w:rsidR="00402BD5" w:rsidRPr="00BA7D56">
        <w:rPr>
          <w:rFonts w:ascii="Verdana" w:hAnsi="Verdana" w:cs="Calibri"/>
          <w:color w:val="000000"/>
          <w:sz w:val="19"/>
          <w:szCs w:val="19"/>
          <w:shd w:val="clear" w:color="auto" w:fill="FFFFFF"/>
        </w:rPr>
        <w:t xml:space="preserve"> </w:t>
      </w:r>
      <w:r w:rsidR="00531E7F" w:rsidRPr="00BA7D56">
        <w:rPr>
          <w:rFonts w:ascii="Verdana" w:hAnsi="Verdana" w:cs="Calibri"/>
          <w:color w:val="000000"/>
          <w:sz w:val="19"/>
          <w:szCs w:val="19"/>
          <w:shd w:val="clear" w:color="auto" w:fill="FFFFFF"/>
        </w:rPr>
        <w:t>stay of execution of the withdrawal decision.</w:t>
      </w:r>
      <w:r w:rsidR="00531E7F" w:rsidRPr="00BA7D56">
        <w:rPr>
          <w:rStyle w:val="Funotenzeichen"/>
          <w:rFonts w:ascii="Verdana" w:hAnsi="Verdana" w:cs="Calibri"/>
          <w:color w:val="000000"/>
          <w:sz w:val="19"/>
          <w:szCs w:val="19"/>
          <w:shd w:val="clear" w:color="auto" w:fill="FFFFFF"/>
        </w:rPr>
        <w:footnoteReference w:id="14"/>
      </w:r>
      <w:r w:rsidR="00531E7F" w:rsidRPr="00BA7D56">
        <w:rPr>
          <w:rFonts w:ascii="Verdana" w:hAnsi="Verdana" w:cs="Calibri"/>
          <w:color w:val="000000"/>
          <w:sz w:val="19"/>
          <w:szCs w:val="19"/>
          <w:shd w:val="clear" w:color="auto" w:fill="FFFFFF"/>
        </w:rPr>
        <w:t xml:space="preserve"> </w:t>
      </w:r>
    </w:p>
    <w:p w14:paraId="64D4AA2A" w14:textId="29F81FB6" w:rsidR="00A827B4" w:rsidRPr="00F76857" w:rsidRDefault="009C1484" w:rsidP="00A36455">
      <w:pPr>
        <w:pStyle w:val="Listenabsatz"/>
        <w:numPr>
          <w:ilvl w:val="0"/>
          <w:numId w:val="6"/>
        </w:numPr>
        <w:contextualSpacing w:val="0"/>
        <w:jc w:val="both"/>
        <w:rPr>
          <w:rFonts w:ascii="Verdana" w:hAnsi="Verdana"/>
          <w:sz w:val="19"/>
          <w:szCs w:val="19"/>
        </w:rPr>
      </w:pPr>
      <w:r>
        <w:rPr>
          <w:rFonts w:ascii="Verdana" w:hAnsi="Verdana" w:cs="Calibri"/>
          <w:color w:val="000000"/>
          <w:sz w:val="19"/>
          <w:szCs w:val="19"/>
          <w:shd w:val="clear" w:color="auto" w:fill="FFFFFF"/>
        </w:rPr>
        <w:t xml:space="preserve">In light of </w:t>
      </w:r>
      <w:r w:rsidRPr="00BA7D56">
        <w:rPr>
          <w:rFonts w:ascii="Verdana" w:hAnsi="Verdana" w:cs="Calibri"/>
          <w:color w:val="000000"/>
          <w:sz w:val="19"/>
          <w:szCs w:val="19"/>
          <w:shd w:val="clear" w:color="auto" w:fill="FFFFFF"/>
        </w:rPr>
        <w:t xml:space="preserve">widespread violence against women in </w:t>
      </w:r>
      <w:r>
        <w:rPr>
          <w:rFonts w:ascii="Verdana" w:hAnsi="Verdana" w:cs="Calibri"/>
          <w:color w:val="000000"/>
          <w:sz w:val="19"/>
          <w:szCs w:val="19"/>
          <w:shd w:val="clear" w:color="auto" w:fill="FFFFFF"/>
        </w:rPr>
        <w:t>the country,</w:t>
      </w:r>
      <w:r w:rsidRPr="00BA7D56">
        <w:rPr>
          <w:rFonts w:ascii="Verdana" w:hAnsi="Verdana" w:cs="Calibri"/>
          <w:color w:val="000000"/>
          <w:sz w:val="19"/>
          <w:szCs w:val="19"/>
          <w:shd w:val="clear" w:color="auto" w:fill="FFFFFF"/>
        </w:rPr>
        <w:t xml:space="preserve"> </w:t>
      </w:r>
      <w:r w:rsidR="0055658F" w:rsidRPr="00BA7D56">
        <w:rPr>
          <w:rFonts w:ascii="Verdana" w:hAnsi="Verdana" w:cs="Calibri"/>
          <w:color w:val="000000"/>
          <w:sz w:val="19"/>
          <w:szCs w:val="19"/>
          <w:shd w:val="clear" w:color="auto" w:fill="FFFFFF"/>
        </w:rPr>
        <w:t>the ICJ</w:t>
      </w:r>
      <w:r w:rsidR="00402BD5">
        <w:rPr>
          <w:rFonts w:ascii="Verdana" w:hAnsi="Verdana" w:cs="Calibri"/>
          <w:color w:val="000000"/>
          <w:sz w:val="19"/>
          <w:szCs w:val="19"/>
          <w:shd w:val="clear" w:color="auto" w:fill="FFFFFF"/>
        </w:rPr>
        <w:t xml:space="preserve"> considers that</w:t>
      </w:r>
      <w:r w:rsidR="0055658F" w:rsidRPr="00BA7D56">
        <w:rPr>
          <w:rFonts w:ascii="Verdana" w:hAnsi="Verdana" w:cs="Calibri"/>
          <w:color w:val="000000"/>
          <w:sz w:val="19"/>
          <w:szCs w:val="19"/>
          <w:shd w:val="clear" w:color="auto" w:fill="FFFFFF"/>
        </w:rPr>
        <w:t xml:space="preserve">, </w:t>
      </w:r>
      <w:r w:rsidR="006B293E" w:rsidRPr="00BA7D56">
        <w:rPr>
          <w:rFonts w:ascii="Verdana" w:hAnsi="Verdana" w:cs="Calibri"/>
          <w:color w:val="000000"/>
          <w:sz w:val="19"/>
          <w:szCs w:val="19"/>
          <w:shd w:val="clear" w:color="auto" w:fill="FFFFFF"/>
        </w:rPr>
        <w:t>Turkey’s withdrawal from the Istanbul Convention</w:t>
      </w:r>
      <w:r w:rsidR="0055658F" w:rsidRPr="00BA7D56">
        <w:rPr>
          <w:rFonts w:ascii="Verdana" w:hAnsi="Verdana" w:cs="Calibri"/>
          <w:color w:val="000000"/>
          <w:sz w:val="19"/>
          <w:szCs w:val="19"/>
          <w:shd w:val="clear" w:color="auto" w:fill="FFFFFF"/>
        </w:rPr>
        <w:t xml:space="preserve"> runs</w:t>
      </w:r>
      <w:r w:rsidR="006B293E" w:rsidRPr="00BA7D56">
        <w:rPr>
          <w:rFonts w:ascii="Verdana" w:hAnsi="Verdana" w:cs="Calibri"/>
          <w:color w:val="000000"/>
          <w:sz w:val="19"/>
          <w:szCs w:val="19"/>
          <w:shd w:val="clear" w:color="auto" w:fill="FFFFFF"/>
        </w:rPr>
        <w:t xml:space="preserve"> contrary to its obligations under Article 2 CEDAW to pursue by all appropriate means a policy of eliminating discrimination </w:t>
      </w:r>
      <w:r w:rsidR="006B293E" w:rsidRPr="00BA7D56">
        <w:rPr>
          <w:rFonts w:ascii="Verdana" w:hAnsi="Verdana" w:cs="Calibri"/>
          <w:color w:val="000000"/>
          <w:sz w:val="19"/>
          <w:szCs w:val="19"/>
          <w:shd w:val="clear" w:color="auto" w:fill="FFFFFF"/>
        </w:rPr>
        <w:lastRenderedPageBreak/>
        <w:t xml:space="preserve">against women, </w:t>
      </w:r>
      <w:r w:rsidR="00BA4223" w:rsidRPr="00BA7D56">
        <w:rPr>
          <w:rFonts w:ascii="Verdana" w:hAnsi="Verdana" w:cs="Calibri"/>
          <w:color w:val="000000"/>
          <w:sz w:val="19"/>
          <w:szCs w:val="19"/>
          <w:shd w:val="clear" w:color="auto" w:fill="FFFFFF"/>
        </w:rPr>
        <w:t>including by adopting legislative and other measures (Article 2.b)</w:t>
      </w:r>
      <w:r w:rsidR="00365C63">
        <w:rPr>
          <w:rFonts w:ascii="Verdana" w:hAnsi="Verdana" w:cs="Calibri"/>
          <w:color w:val="000000"/>
          <w:sz w:val="19"/>
          <w:szCs w:val="19"/>
          <w:shd w:val="clear" w:color="auto" w:fill="FFFFFF"/>
        </w:rPr>
        <w:t>,</w:t>
      </w:r>
      <w:r w:rsidR="0055658F" w:rsidRPr="00BA7D56">
        <w:rPr>
          <w:rStyle w:val="Funotenzeichen"/>
          <w:rFonts w:ascii="Verdana" w:hAnsi="Verdana" w:cs="Calibri"/>
          <w:color w:val="000000"/>
          <w:sz w:val="19"/>
          <w:szCs w:val="19"/>
          <w:shd w:val="clear" w:color="auto" w:fill="FFFFFF"/>
        </w:rPr>
        <w:footnoteReference w:id="15"/>
      </w:r>
      <w:r w:rsidR="00BA4223" w:rsidRPr="00BA7D56">
        <w:rPr>
          <w:rFonts w:ascii="Verdana" w:hAnsi="Verdana" w:cs="Calibri"/>
          <w:color w:val="000000"/>
          <w:sz w:val="19"/>
          <w:szCs w:val="19"/>
          <w:shd w:val="clear" w:color="auto" w:fill="FFFFFF"/>
        </w:rPr>
        <w:t xml:space="preserve"> and to take all appropriate measures to eliminate discrimination against women by non-State actors  (Article 2.e).</w:t>
      </w:r>
      <w:r w:rsidR="00BA4223" w:rsidRPr="00BA7D56">
        <w:rPr>
          <w:rStyle w:val="Funotenzeichen"/>
          <w:rFonts w:ascii="Verdana" w:hAnsi="Verdana" w:cs="Calibri"/>
          <w:color w:val="000000"/>
          <w:sz w:val="19"/>
          <w:szCs w:val="19"/>
          <w:shd w:val="clear" w:color="auto" w:fill="FFFFFF"/>
        </w:rPr>
        <w:footnoteReference w:id="16"/>
      </w:r>
    </w:p>
    <w:p w14:paraId="458CB947" w14:textId="2BBA78FB" w:rsidR="00A827B4" w:rsidRPr="00BA7D56" w:rsidRDefault="00A827B4" w:rsidP="00F86F6A">
      <w:pPr>
        <w:pStyle w:val="berschrift1"/>
        <w:rPr>
          <w:rFonts w:ascii="Verdana" w:hAnsi="Verdana"/>
          <w:sz w:val="19"/>
          <w:szCs w:val="19"/>
        </w:rPr>
      </w:pPr>
      <w:bookmarkStart w:id="3" w:name="_Toc102735054"/>
      <w:r w:rsidRPr="00BA7D56">
        <w:rPr>
          <w:rFonts w:ascii="Verdana" w:hAnsi="Verdana"/>
          <w:sz w:val="19"/>
          <w:szCs w:val="19"/>
        </w:rPr>
        <w:t>Access to Justice and Effective Remed</w:t>
      </w:r>
      <w:r w:rsidR="000203DF">
        <w:rPr>
          <w:rFonts w:ascii="Verdana" w:hAnsi="Verdana"/>
          <w:sz w:val="19"/>
          <w:szCs w:val="19"/>
        </w:rPr>
        <w:t>ies</w:t>
      </w:r>
      <w:r w:rsidRPr="00BA7D56">
        <w:rPr>
          <w:rFonts w:ascii="Verdana" w:hAnsi="Verdana"/>
          <w:sz w:val="19"/>
          <w:szCs w:val="19"/>
        </w:rPr>
        <w:t xml:space="preserve"> for Violations of Women’s </w:t>
      </w:r>
      <w:r w:rsidR="000203DF">
        <w:rPr>
          <w:rFonts w:ascii="Verdana" w:hAnsi="Verdana"/>
          <w:sz w:val="19"/>
          <w:szCs w:val="19"/>
        </w:rPr>
        <w:t xml:space="preserve">Human </w:t>
      </w:r>
      <w:r w:rsidRPr="00BA7D56">
        <w:rPr>
          <w:rFonts w:ascii="Verdana" w:hAnsi="Verdana"/>
          <w:sz w:val="19"/>
          <w:szCs w:val="19"/>
        </w:rPr>
        <w:t>Rights</w:t>
      </w:r>
      <w:bookmarkEnd w:id="3"/>
      <w:r w:rsidRPr="00BA7D56">
        <w:rPr>
          <w:rFonts w:ascii="Verdana" w:hAnsi="Verdana"/>
          <w:sz w:val="19"/>
          <w:szCs w:val="19"/>
        </w:rPr>
        <w:t xml:space="preserve"> </w:t>
      </w:r>
      <w:r w:rsidR="00C038E3" w:rsidRPr="00BA7D56">
        <w:rPr>
          <w:rFonts w:ascii="Verdana" w:hAnsi="Verdana"/>
          <w:sz w:val="19"/>
          <w:szCs w:val="19"/>
        </w:rPr>
        <w:t>(Articles 2, 3, 5 and 15 CEDAW)</w:t>
      </w:r>
    </w:p>
    <w:p w14:paraId="6A0A2CED" w14:textId="1B6139F7" w:rsidR="00BB320F" w:rsidRPr="00A56F7B" w:rsidRDefault="00CF13CB" w:rsidP="003C251A">
      <w:pPr>
        <w:pStyle w:val="Listenabsatz"/>
        <w:numPr>
          <w:ilvl w:val="0"/>
          <w:numId w:val="6"/>
        </w:numPr>
        <w:spacing w:after="120"/>
        <w:contextualSpacing w:val="0"/>
        <w:jc w:val="both"/>
        <w:rPr>
          <w:rFonts w:ascii="Verdana" w:hAnsi="Verdana"/>
          <w:sz w:val="19"/>
          <w:szCs w:val="19"/>
        </w:rPr>
      </w:pPr>
      <w:r w:rsidRPr="00BA7D56">
        <w:rPr>
          <w:rFonts w:ascii="Verdana" w:hAnsi="Verdana"/>
          <w:sz w:val="19"/>
          <w:szCs w:val="19"/>
        </w:rPr>
        <w:t xml:space="preserve">As highlighted by the Committee in its General </w:t>
      </w:r>
      <w:r w:rsidR="002709F1" w:rsidRPr="00BA7D56">
        <w:rPr>
          <w:rFonts w:ascii="Verdana" w:hAnsi="Verdana"/>
          <w:sz w:val="19"/>
          <w:szCs w:val="19"/>
        </w:rPr>
        <w:t>Recommendation</w:t>
      </w:r>
      <w:r w:rsidRPr="00BA7D56">
        <w:rPr>
          <w:rFonts w:ascii="Verdana" w:hAnsi="Verdana"/>
          <w:sz w:val="19"/>
          <w:szCs w:val="19"/>
        </w:rPr>
        <w:t xml:space="preserve"> No. 33, the right to access to justice is essential to the reali</w:t>
      </w:r>
      <w:r w:rsidR="009B74EF">
        <w:rPr>
          <w:rFonts w:ascii="Verdana" w:hAnsi="Verdana"/>
          <w:sz w:val="19"/>
          <w:szCs w:val="19"/>
        </w:rPr>
        <w:t>z</w:t>
      </w:r>
      <w:r w:rsidRPr="00BA7D56">
        <w:rPr>
          <w:rFonts w:ascii="Verdana" w:hAnsi="Verdana"/>
          <w:sz w:val="19"/>
          <w:szCs w:val="19"/>
        </w:rPr>
        <w:t xml:space="preserve">ation of </w:t>
      </w:r>
      <w:r w:rsidR="009B74EF">
        <w:rPr>
          <w:rFonts w:ascii="Verdana" w:hAnsi="Verdana"/>
          <w:sz w:val="19"/>
          <w:szCs w:val="19"/>
        </w:rPr>
        <w:t xml:space="preserve">women’s human </w:t>
      </w:r>
      <w:r w:rsidRPr="00BA7D56">
        <w:rPr>
          <w:rFonts w:ascii="Verdana" w:hAnsi="Verdana"/>
          <w:sz w:val="19"/>
          <w:szCs w:val="19"/>
        </w:rPr>
        <w:t xml:space="preserve">rights </w:t>
      </w:r>
      <w:r w:rsidR="009B74EF">
        <w:rPr>
          <w:rFonts w:ascii="Verdana" w:hAnsi="Verdana"/>
          <w:sz w:val="19"/>
          <w:szCs w:val="19"/>
        </w:rPr>
        <w:t xml:space="preserve">guaranteed </w:t>
      </w:r>
      <w:r w:rsidRPr="00BA7D56">
        <w:rPr>
          <w:rFonts w:ascii="Verdana" w:hAnsi="Verdana"/>
          <w:sz w:val="19"/>
          <w:szCs w:val="19"/>
        </w:rPr>
        <w:t>by the CEDAW Convention</w:t>
      </w:r>
      <w:r w:rsidR="00C038E3" w:rsidRPr="00BA7D56">
        <w:rPr>
          <w:rFonts w:ascii="Verdana" w:hAnsi="Verdana"/>
          <w:sz w:val="19"/>
          <w:szCs w:val="19"/>
        </w:rPr>
        <w:t xml:space="preserve">, including </w:t>
      </w:r>
      <w:r w:rsidR="009B74EF">
        <w:rPr>
          <w:rFonts w:ascii="Verdana" w:hAnsi="Verdana"/>
          <w:sz w:val="19"/>
          <w:szCs w:val="19"/>
        </w:rPr>
        <w:t xml:space="preserve">their </w:t>
      </w:r>
      <w:r w:rsidR="00C038E3" w:rsidRPr="00BA7D56">
        <w:rPr>
          <w:rFonts w:ascii="Verdana" w:hAnsi="Verdana"/>
          <w:sz w:val="19"/>
          <w:szCs w:val="19"/>
        </w:rPr>
        <w:t>rights to equal protection of the law</w:t>
      </w:r>
      <w:r w:rsidR="00BB320F" w:rsidRPr="00BA7D56">
        <w:rPr>
          <w:rFonts w:ascii="Verdana" w:hAnsi="Verdana"/>
          <w:sz w:val="19"/>
          <w:szCs w:val="19"/>
        </w:rPr>
        <w:t xml:space="preserve"> under Article 15 CEDAW and the obligation under Article 2.c CEDAW to ensure through competent national tribunals and other public institutions the effective protection of women against any act of </w:t>
      </w:r>
      <w:r w:rsidR="00BB320F" w:rsidRPr="00A56F7B">
        <w:rPr>
          <w:rFonts w:ascii="Verdana" w:hAnsi="Verdana"/>
          <w:sz w:val="19"/>
          <w:szCs w:val="19"/>
        </w:rPr>
        <w:t>discrimination.</w:t>
      </w:r>
      <w:r w:rsidR="00BB320F" w:rsidRPr="00A56F7B">
        <w:rPr>
          <w:rStyle w:val="Funotenzeichen"/>
          <w:rFonts w:ascii="Verdana" w:hAnsi="Verdana"/>
          <w:sz w:val="19"/>
          <w:szCs w:val="19"/>
        </w:rPr>
        <w:footnoteReference w:id="17"/>
      </w:r>
    </w:p>
    <w:p w14:paraId="2182078B" w14:textId="2F5D4DD6" w:rsidR="00A827B4" w:rsidRPr="00A56F7B" w:rsidRDefault="00BB320F" w:rsidP="009751AF">
      <w:pPr>
        <w:pStyle w:val="Listenabsatz"/>
        <w:numPr>
          <w:ilvl w:val="0"/>
          <w:numId w:val="6"/>
        </w:numPr>
        <w:jc w:val="both"/>
        <w:rPr>
          <w:rFonts w:ascii="Verdana" w:hAnsi="Verdana"/>
          <w:sz w:val="19"/>
          <w:szCs w:val="19"/>
        </w:rPr>
      </w:pPr>
      <w:r w:rsidRPr="00A56F7B">
        <w:rPr>
          <w:rFonts w:ascii="Verdana" w:hAnsi="Verdana"/>
          <w:sz w:val="19"/>
          <w:szCs w:val="19"/>
        </w:rPr>
        <w:t xml:space="preserve"> Access to justice is essential </w:t>
      </w:r>
      <w:r w:rsidR="009B74EF" w:rsidRPr="00A56F7B">
        <w:rPr>
          <w:rFonts w:ascii="Verdana" w:hAnsi="Verdana"/>
          <w:sz w:val="19"/>
          <w:szCs w:val="19"/>
        </w:rPr>
        <w:t xml:space="preserve">for </w:t>
      </w:r>
      <w:r w:rsidR="00DF4651" w:rsidRPr="00A56F7B">
        <w:rPr>
          <w:rFonts w:ascii="Verdana" w:hAnsi="Verdana"/>
          <w:sz w:val="19"/>
          <w:szCs w:val="19"/>
        </w:rPr>
        <w:t xml:space="preserve">the rule of law and </w:t>
      </w:r>
      <w:r w:rsidR="009B74EF" w:rsidRPr="00A56F7B">
        <w:rPr>
          <w:rFonts w:ascii="Verdana" w:hAnsi="Verdana"/>
          <w:sz w:val="19"/>
          <w:szCs w:val="19"/>
        </w:rPr>
        <w:t>requires</w:t>
      </w:r>
      <w:r w:rsidR="009751AF" w:rsidRPr="00A56F7B">
        <w:rPr>
          <w:rFonts w:ascii="Verdana" w:hAnsi="Verdana"/>
          <w:sz w:val="19"/>
          <w:szCs w:val="19"/>
        </w:rPr>
        <w:t>, among other things,</w:t>
      </w:r>
      <w:r w:rsidR="009B74EF" w:rsidRPr="00A56F7B">
        <w:rPr>
          <w:rFonts w:ascii="Verdana" w:hAnsi="Verdana"/>
          <w:sz w:val="19"/>
          <w:szCs w:val="19"/>
        </w:rPr>
        <w:t xml:space="preserve"> an </w:t>
      </w:r>
      <w:r w:rsidR="00DF4651" w:rsidRPr="00A56F7B">
        <w:rPr>
          <w:rFonts w:ascii="Verdana" w:hAnsi="Verdana"/>
          <w:sz w:val="19"/>
          <w:szCs w:val="19"/>
        </w:rPr>
        <w:t>independen</w:t>
      </w:r>
      <w:r w:rsidR="009B74EF" w:rsidRPr="00A56F7B">
        <w:rPr>
          <w:rFonts w:ascii="Verdana" w:hAnsi="Verdana"/>
          <w:sz w:val="19"/>
          <w:szCs w:val="19"/>
        </w:rPr>
        <w:t xml:space="preserve">t </w:t>
      </w:r>
      <w:r w:rsidR="00DF4651" w:rsidRPr="00A56F7B">
        <w:rPr>
          <w:rFonts w:ascii="Verdana" w:hAnsi="Verdana"/>
          <w:sz w:val="19"/>
          <w:szCs w:val="19"/>
        </w:rPr>
        <w:t>judiciary</w:t>
      </w:r>
      <w:r w:rsidR="009B74EF" w:rsidRPr="00A56F7B">
        <w:rPr>
          <w:rFonts w:ascii="Verdana" w:hAnsi="Verdana"/>
          <w:sz w:val="19"/>
          <w:szCs w:val="19"/>
        </w:rPr>
        <w:t xml:space="preserve"> capable of </w:t>
      </w:r>
      <w:r w:rsidR="009751AF" w:rsidRPr="00A56F7B">
        <w:rPr>
          <w:rFonts w:ascii="Verdana" w:hAnsi="Verdana"/>
          <w:sz w:val="19"/>
          <w:szCs w:val="19"/>
        </w:rPr>
        <w:t xml:space="preserve">ensuring </w:t>
      </w:r>
      <w:r w:rsidRPr="00A56F7B">
        <w:rPr>
          <w:rFonts w:ascii="Verdana" w:hAnsi="Verdana"/>
          <w:sz w:val="19"/>
          <w:szCs w:val="19"/>
        </w:rPr>
        <w:t xml:space="preserve">accountability and </w:t>
      </w:r>
      <w:r w:rsidR="009B74EF" w:rsidRPr="00A56F7B">
        <w:rPr>
          <w:rFonts w:ascii="Verdana" w:hAnsi="Verdana"/>
          <w:sz w:val="19"/>
          <w:szCs w:val="19"/>
        </w:rPr>
        <w:t xml:space="preserve">effective </w:t>
      </w:r>
      <w:r w:rsidRPr="00A56F7B">
        <w:rPr>
          <w:rFonts w:ascii="Verdana" w:hAnsi="Verdana"/>
          <w:sz w:val="19"/>
          <w:szCs w:val="19"/>
        </w:rPr>
        <w:t xml:space="preserve">remedies </w:t>
      </w:r>
      <w:r w:rsidR="00DF4651" w:rsidRPr="00A56F7B">
        <w:rPr>
          <w:rFonts w:ascii="Verdana" w:hAnsi="Verdana"/>
          <w:sz w:val="19"/>
          <w:szCs w:val="19"/>
        </w:rPr>
        <w:t xml:space="preserve">for </w:t>
      </w:r>
      <w:r w:rsidRPr="00A56F7B">
        <w:rPr>
          <w:rFonts w:ascii="Verdana" w:hAnsi="Verdana"/>
          <w:sz w:val="19"/>
          <w:szCs w:val="19"/>
        </w:rPr>
        <w:t>violations of</w:t>
      </w:r>
      <w:r w:rsidRPr="00A56F7B" w:rsidDel="00BB320F">
        <w:rPr>
          <w:rFonts w:ascii="Verdana" w:hAnsi="Verdana"/>
          <w:sz w:val="19"/>
          <w:szCs w:val="19"/>
        </w:rPr>
        <w:t xml:space="preserve"> </w:t>
      </w:r>
      <w:r w:rsidR="00DF4651" w:rsidRPr="00A56F7B">
        <w:rPr>
          <w:rFonts w:ascii="Verdana" w:hAnsi="Verdana"/>
          <w:sz w:val="19"/>
          <w:szCs w:val="19"/>
        </w:rPr>
        <w:t>human rights.</w:t>
      </w:r>
      <w:r w:rsidR="00DF4651" w:rsidRPr="00A56F7B">
        <w:rPr>
          <w:rStyle w:val="Funotenzeichen"/>
          <w:rFonts w:ascii="Verdana" w:hAnsi="Verdana"/>
          <w:sz w:val="19"/>
          <w:szCs w:val="19"/>
        </w:rPr>
        <w:footnoteReference w:id="18"/>
      </w:r>
      <w:r w:rsidR="00BE1F59" w:rsidRPr="00A56F7B">
        <w:rPr>
          <w:rFonts w:ascii="Verdana" w:hAnsi="Verdana"/>
          <w:sz w:val="19"/>
          <w:szCs w:val="19"/>
        </w:rPr>
        <w:t xml:space="preserve"> However, in Turkey, women’s right</w:t>
      </w:r>
      <w:r w:rsidR="00A77B7C" w:rsidRPr="00A56F7B">
        <w:rPr>
          <w:rFonts w:ascii="Verdana" w:hAnsi="Verdana"/>
          <w:sz w:val="19"/>
          <w:szCs w:val="19"/>
        </w:rPr>
        <w:t>s</w:t>
      </w:r>
      <w:r w:rsidR="00BE1F59" w:rsidRPr="00A56F7B">
        <w:rPr>
          <w:rFonts w:ascii="Verdana" w:hAnsi="Verdana"/>
          <w:sz w:val="19"/>
          <w:szCs w:val="19"/>
        </w:rPr>
        <w:t xml:space="preserve"> to access to justice and effective remedies for violations of </w:t>
      </w:r>
      <w:r w:rsidR="009751AF" w:rsidRPr="00A56F7B">
        <w:rPr>
          <w:rFonts w:ascii="Verdana" w:hAnsi="Verdana"/>
          <w:sz w:val="19"/>
          <w:szCs w:val="19"/>
        </w:rPr>
        <w:t xml:space="preserve">their </w:t>
      </w:r>
      <w:r w:rsidR="00BE1F59" w:rsidRPr="00A56F7B">
        <w:rPr>
          <w:rFonts w:ascii="Verdana" w:hAnsi="Verdana"/>
          <w:sz w:val="19"/>
          <w:szCs w:val="19"/>
        </w:rPr>
        <w:t xml:space="preserve">human rights </w:t>
      </w:r>
      <w:r w:rsidR="00A57DDD" w:rsidRPr="00A56F7B">
        <w:rPr>
          <w:rFonts w:ascii="Verdana" w:hAnsi="Verdana"/>
          <w:sz w:val="19"/>
          <w:szCs w:val="19"/>
        </w:rPr>
        <w:t>have been seriously eroded</w:t>
      </w:r>
      <w:r w:rsidR="00A77B7C" w:rsidRPr="00A56F7B">
        <w:rPr>
          <w:rFonts w:ascii="Verdana" w:hAnsi="Verdana"/>
          <w:sz w:val="19"/>
          <w:szCs w:val="19"/>
        </w:rPr>
        <w:t>,</w:t>
      </w:r>
      <w:r w:rsidR="00141DBA" w:rsidRPr="00A56F7B">
        <w:rPr>
          <w:rFonts w:ascii="Verdana" w:hAnsi="Verdana"/>
          <w:sz w:val="19"/>
          <w:szCs w:val="19"/>
        </w:rPr>
        <w:t xml:space="preserve"> including</w:t>
      </w:r>
      <w:r w:rsidR="00BE1F59" w:rsidRPr="00A56F7B">
        <w:rPr>
          <w:rFonts w:ascii="Verdana" w:hAnsi="Verdana"/>
          <w:sz w:val="19"/>
          <w:szCs w:val="19"/>
        </w:rPr>
        <w:t xml:space="preserve"> </w:t>
      </w:r>
      <w:r w:rsidR="00A57DDD" w:rsidRPr="00A56F7B">
        <w:rPr>
          <w:rFonts w:ascii="Verdana" w:hAnsi="Verdana"/>
          <w:sz w:val="19"/>
          <w:szCs w:val="19"/>
        </w:rPr>
        <w:t xml:space="preserve">as a result of </w:t>
      </w:r>
      <w:r w:rsidR="00BE1F59" w:rsidRPr="00A56F7B">
        <w:rPr>
          <w:rFonts w:ascii="Verdana" w:hAnsi="Verdana"/>
          <w:sz w:val="19"/>
          <w:szCs w:val="19"/>
        </w:rPr>
        <w:t xml:space="preserve">the widespread degradation of the rule of law and </w:t>
      </w:r>
      <w:r w:rsidR="00A57DDD" w:rsidRPr="00A56F7B">
        <w:rPr>
          <w:rFonts w:ascii="Verdana" w:hAnsi="Verdana"/>
          <w:sz w:val="19"/>
          <w:szCs w:val="19"/>
        </w:rPr>
        <w:t xml:space="preserve">undermining of </w:t>
      </w:r>
      <w:r w:rsidR="00BE1F59" w:rsidRPr="00A56F7B">
        <w:rPr>
          <w:rFonts w:ascii="Verdana" w:hAnsi="Verdana"/>
          <w:sz w:val="19"/>
          <w:szCs w:val="19"/>
        </w:rPr>
        <w:t>judicial independence in the country</w:t>
      </w:r>
      <w:r w:rsidR="009751AF" w:rsidRPr="00A56F7B">
        <w:rPr>
          <w:rFonts w:ascii="Verdana" w:hAnsi="Verdana"/>
          <w:sz w:val="19"/>
          <w:szCs w:val="19"/>
        </w:rPr>
        <w:t xml:space="preserve">. The same concerns arise </w:t>
      </w:r>
      <w:r w:rsidR="00CE1825" w:rsidRPr="00A56F7B">
        <w:rPr>
          <w:rFonts w:ascii="Verdana" w:hAnsi="Verdana"/>
          <w:sz w:val="19"/>
          <w:szCs w:val="19"/>
        </w:rPr>
        <w:t>in relation to access to justice in environmental matters.</w:t>
      </w:r>
    </w:p>
    <w:p w14:paraId="4E9E146A" w14:textId="297FDCB7" w:rsidR="00A827B4" w:rsidRPr="00A56F7B" w:rsidRDefault="00A827B4" w:rsidP="00F86F6A">
      <w:pPr>
        <w:pStyle w:val="berschrift2"/>
        <w:rPr>
          <w:rFonts w:ascii="Verdana" w:hAnsi="Verdana"/>
          <w:sz w:val="19"/>
          <w:szCs w:val="19"/>
        </w:rPr>
      </w:pPr>
      <w:bookmarkStart w:id="4" w:name="_Toc102735055"/>
      <w:r w:rsidRPr="00A56F7B">
        <w:rPr>
          <w:rFonts w:ascii="Verdana" w:hAnsi="Verdana"/>
          <w:sz w:val="19"/>
          <w:szCs w:val="19"/>
        </w:rPr>
        <w:t>Attack against the rule of law</w:t>
      </w:r>
      <w:bookmarkEnd w:id="4"/>
    </w:p>
    <w:p w14:paraId="6BC122B2" w14:textId="23DFE589" w:rsidR="00703EA6" w:rsidRPr="009751AF" w:rsidRDefault="009751AF" w:rsidP="009751AF">
      <w:pPr>
        <w:pStyle w:val="Listenabsatz"/>
        <w:numPr>
          <w:ilvl w:val="0"/>
          <w:numId w:val="6"/>
        </w:numPr>
        <w:spacing w:after="120"/>
        <w:contextualSpacing w:val="0"/>
        <w:jc w:val="both"/>
        <w:rPr>
          <w:rFonts w:ascii="Verdana" w:hAnsi="Verdana"/>
          <w:sz w:val="19"/>
          <w:szCs w:val="19"/>
          <w:lang w:val="en-US"/>
        </w:rPr>
      </w:pPr>
      <w:r w:rsidRPr="00A56F7B">
        <w:rPr>
          <w:rFonts w:ascii="Verdana" w:hAnsi="Verdana"/>
          <w:sz w:val="19"/>
          <w:szCs w:val="19"/>
          <w:lang w:val="en-US"/>
        </w:rPr>
        <w:t>D</w:t>
      </w:r>
      <w:r w:rsidR="006E3808" w:rsidRPr="00A56F7B">
        <w:rPr>
          <w:rFonts w:ascii="Verdana" w:hAnsi="Verdana"/>
          <w:sz w:val="19"/>
          <w:szCs w:val="19"/>
          <w:lang w:val="en-US"/>
        </w:rPr>
        <w:t>uring the past several years,</w:t>
      </w:r>
      <w:r w:rsidR="00007A32" w:rsidRPr="00A56F7B">
        <w:rPr>
          <w:rFonts w:ascii="Verdana" w:hAnsi="Verdana"/>
          <w:sz w:val="19"/>
          <w:szCs w:val="19"/>
          <w:lang w:val="en-US"/>
        </w:rPr>
        <w:t xml:space="preserve"> as the ICJ has documented in a ser</w:t>
      </w:r>
      <w:r w:rsidR="007A1E7D" w:rsidRPr="00A56F7B">
        <w:rPr>
          <w:rFonts w:ascii="Verdana" w:hAnsi="Verdana"/>
          <w:sz w:val="19"/>
          <w:szCs w:val="19"/>
          <w:lang w:val="en-US"/>
        </w:rPr>
        <w:t>ie</w:t>
      </w:r>
      <w:r w:rsidR="00007A32" w:rsidRPr="00A56F7B">
        <w:rPr>
          <w:rFonts w:ascii="Verdana" w:hAnsi="Verdana"/>
          <w:sz w:val="19"/>
          <w:szCs w:val="19"/>
          <w:lang w:val="en-US"/>
        </w:rPr>
        <w:t>s of reports,</w:t>
      </w:r>
      <w:r w:rsidR="006E3808" w:rsidRPr="00A56F7B">
        <w:rPr>
          <w:rFonts w:ascii="Verdana" w:hAnsi="Verdana"/>
          <w:sz w:val="19"/>
          <w:szCs w:val="19"/>
          <w:lang w:val="en-US"/>
        </w:rPr>
        <w:t xml:space="preserve"> Turkey has seen an alarmingly negative trend in relation to the rule of law and judicial independence </w:t>
      </w:r>
      <w:r w:rsidR="008F6852" w:rsidRPr="00A56F7B">
        <w:rPr>
          <w:rFonts w:ascii="Verdana" w:hAnsi="Verdana"/>
          <w:sz w:val="19"/>
          <w:szCs w:val="19"/>
          <w:lang w:val="en-US"/>
        </w:rPr>
        <w:t>due to</w:t>
      </w:r>
      <w:r w:rsidR="006E3808" w:rsidRPr="00A56F7B">
        <w:rPr>
          <w:rFonts w:ascii="Verdana" w:hAnsi="Verdana"/>
          <w:sz w:val="19"/>
          <w:szCs w:val="19"/>
          <w:lang w:val="en-US"/>
        </w:rPr>
        <w:t xml:space="preserve"> what </w:t>
      </w:r>
      <w:r w:rsidR="007A1E7D" w:rsidRPr="00A56F7B">
        <w:rPr>
          <w:rFonts w:ascii="Verdana" w:hAnsi="Verdana"/>
          <w:sz w:val="19"/>
          <w:szCs w:val="19"/>
          <w:lang w:val="en-US"/>
        </w:rPr>
        <w:t xml:space="preserve">the organization considers </w:t>
      </w:r>
      <w:r w:rsidR="006E3808" w:rsidRPr="00A56F7B">
        <w:rPr>
          <w:rFonts w:ascii="Verdana" w:hAnsi="Verdana"/>
          <w:sz w:val="19"/>
          <w:szCs w:val="19"/>
          <w:lang w:val="en-US"/>
        </w:rPr>
        <w:t>a</w:t>
      </w:r>
      <w:r w:rsidR="007A1E7D" w:rsidRPr="00A56F7B">
        <w:rPr>
          <w:rFonts w:ascii="Verdana" w:hAnsi="Verdana"/>
          <w:sz w:val="19"/>
          <w:szCs w:val="19"/>
          <w:lang w:val="en-US"/>
        </w:rPr>
        <w:t xml:space="preserve"> deliberate </w:t>
      </w:r>
      <w:r w:rsidR="006E3808" w:rsidRPr="00A56F7B">
        <w:rPr>
          <w:rFonts w:ascii="Verdana" w:hAnsi="Verdana"/>
          <w:sz w:val="19"/>
          <w:szCs w:val="19"/>
          <w:lang w:val="en-US"/>
        </w:rPr>
        <w:t>attack against the rule of law</w:t>
      </w:r>
      <w:r w:rsidR="002709F1" w:rsidRPr="00A56F7B">
        <w:rPr>
          <w:rFonts w:ascii="Verdana" w:hAnsi="Verdana"/>
          <w:sz w:val="19"/>
          <w:szCs w:val="19"/>
          <w:lang w:val="en-US"/>
        </w:rPr>
        <w:t xml:space="preserve"> conducted by the government.</w:t>
      </w:r>
      <w:r w:rsidR="006E3808" w:rsidRPr="00A56F7B">
        <w:rPr>
          <w:rFonts w:ascii="Verdana" w:hAnsi="Verdana"/>
          <w:sz w:val="19"/>
          <w:szCs w:val="19"/>
          <w:lang w:val="en-US"/>
        </w:rPr>
        <w:t xml:space="preserve"> </w:t>
      </w:r>
      <w:r w:rsidR="00794548" w:rsidRPr="00A56F7B">
        <w:rPr>
          <w:rFonts w:ascii="Verdana" w:hAnsi="Verdana"/>
          <w:sz w:val="19"/>
          <w:szCs w:val="19"/>
          <w:lang w:val="en-US"/>
        </w:rPr>
        <w:t>F</w:t>
      </w:r>
      <w:r w:rsidR="006E3808" w:rsidRPr="00A56F7B">
        <w:rPr>
          <w:rFonts w:ascii="Verdana" w:hAnsi="Verdana"/>
          <w:sz w:val="19"/>
          <w:szCs w:val="19"/>
          <w:lang w:val="en-US"/>
        </w:rPr>
        <w:t>or instance</w:t>
      </w:r>
      <w:r w:rsidR="00794548" w:rsidRPr="00A56F7B">
        <w:rPr>
          <w:rFonts w:ascii="Verdana" w:hAnsi="Verdana"/>
          <w:sz w:val="19"/>
          <w:szCs w:val="19"/>
          <w:lang w:val="en-US"/>
        </w:rPr>
        <w:t>,</w:t>
      </w:r>
      <w:r w:rsidR="006E3808" w:rsidRPr="009751AF">
        <w:rPr>
          <w:rFonts w:ascii="Verdana" w:hAnsi="Verdana"/>
          <w:sz w:val="19"/>
          <w:szCs w:val="19"/>
          <w:lang w:val="en-US"/>
        </w:rPr>
        <w:t xml:space="preserve"> </w:t>
      </w:r>
      <w:r w:rsidR="00794548">
        <w:rPr>
          <w:rFonts w:ascii="Verdana" w:hAnsi="Verdana"/>
          <w:sz w:val="19"/>
          <w:szCs w:val="19"/>
          <w:lang w:val="en-US"/>
        </w:rPr>
        <w:t xml:space="preserve">the authorities have adopted </w:t>
      </w:r>
      <w:r w:rsidR="006E3808" w:rsidRPr="009751AF">
        <w:rPr>
          <w:rFonts w:ascii="Verdana" w:hAnsi="Verdana"/>
          <w:sz w:val="19"/>
          <w:szCs w:val="19"/>
          <w:lang w:val="en-US"/>
        </w:rPr>
        <w:t>retrogressive legislati</w:t>
      </w:r>
      <w:r w:rsidR="00794548">
        <w:rPr>
          <w:rFonts w:ascii="Verdana" w:hAnsi="Verdana"/>
          <w:sz w:val="19"/>
          <w:szCs w:val="19"/>
          <w:lang w:val="en-US"/>
        </w:rPr>
        <w:t>on</w:t>
      </w:r>
      <w:r w:rsidR="006E3808" w:rsidRPr="009751AF">
        <w:rPr>
          <w:rFonts w:ascii="Verdana" w:hAnsi="Verdana"/>
          <w:sz w:val="19"/>
          <w:szCs w:val="19"/>
          <w:lang w:val="en-US"/>
        </w:rPr>
        <w:t>, increased executive control</w:t>
      </w:r>
      <w:r w:rsidR="00794548">
        <w:rPr>
          <w:rFonts w:ascii="Verdana" w:hAnsi="Verdana"/>
          <w:sz w:val="19"/>
          <w:szCs w:val="19"/>
          <w:lang w:val="en-US"/>
        </w:rPr>
        <w:t xml:space="preserve">; there has also been an increase in </w:t>
      </w:r>
      <w:r w:rsidR="006E3808" w:rsidRPr="009751AF">
        <w:rPr>
          <w:rFonts w:ascii="Verdana" w:hAnsi="Verdana"/>
          <w:sz w:val="19"/>
          <w:szCs w:val="19"/>
          <w:lang w:val="en-US"/>
        </w:rPr>
        <w:t>harassment, violence and threats directed at opposition politicians, dissenters and legal professionals. The</w:t>
      </w:r>
      <w:r w:rsidR="00794548">
        <w:rPr>
          <w:rFonts w:ascii="Verdana" w:hAnsi="Verdana"/>
          <w:sz w:val="19"/>
          <w:szCs w:val="19"/>
          <w:lang w:val="en-US"/>
        </w:rPr>
        <w:t>se</w:t>
      </w:r>
      <w:r w:rsidR="006E3808" w:rsidRPr="009751AF">
        <w:rPr>
          <w:rFonts w:ascii="Verdana" w:hAnsi="Verdana"/>
          <w:sz w:val="19"/>
          <w:szCs w:val="19"/>
          <w:lang w:val="en-US"/>
        </w:rPr>
        <w:t xml:space="preserve"> developments have been accompanied by severe curtailment of human rights, including freedom of expression and media</w:t>
      </w:r>
      <w:r w:rsidR="008531DF">
        <w:rPr>
          <w:rFonts w:ascii="Verdana" w:hAnsi="Verdana"/>
          <w:sz w:val="19"/>
          <w:szCs w:val="19"/>
          <w:lang w:val="en-US"/>
        </w:rPr>
        <w:t xml:space="preserve"> freedom</w:t>
      </w:r>
      <w:r w:rsidR="006E3808" w:rsidRPr="009751AF">
        <w:rPr>
          <w:rFonts w:ascii="Verdana" w:hAnsi="Verdana"/>
          <w:sz w:val="19"/>
          <w:szCs w:val="19"/>
          <w:lang w:val="en-US"/>
        </w:rPr>
        <w:t xml:space="preserve">, and </w:t>
      </w:r>
      <w:r w:rsidR="008531DF">
        <w:rPr>
          <w:rFonts w:ascii="Verdana" w:hAnsi="Verdana"/>
          <w:sz w:val="19"/>
          <w:szCs w:val="19"/>
          <w:lang w:val="en-US"/>
        </w:rPr>
        <w:t xml:space="preserve">a </w:t>
      </w:r>
      <w:r w:rsidR="006E3808" w:rsidRPr="009751AF">
        <w:rPr>
          <w:rFonts w:ascii="Verdana" w:hAnsi="Verdana"/>
          <w:sz w:val="19"/>
          <w:szCs w:val="19"/>
          <w:lang w:val="en-US"/>
        </w:rPr>
        <w:t>crack</w:t>
      </w:r>
      <w:r w:rsidR="008531DF">
        <w:rPr>
          <w:rFonts w:ascii="Verdana" w:hAnsi="Verdana"/>
          <w:sz w:val="19"/>
          <w:szCs w:val="19"/>
          <w:lang w:val="en-US"/>
        </w:rPr>
        <w:t>-</w:t>
      </w:r>
      <w:r w:rsidR="006E3808" w:rsidRPr="009751AF">
        <w:rPr>
          <w:rFonts w:ascii="Verdana" w:hAnsi="Verdana"/>
          <w:sz w:val="19"/>
          <w:szCs w:val="19"/>
          <w:lang w:val="en-US"/>
        </w:rPr>
        <w:t xml:space="preserve">down on various forms of dissent through closure of civil society organizations, </w:t>
      </w:r>
      <w:r w:rsidR="008531DF">
        <w:rPr>
          <w:rFonts w:ascii="Verdana" w:hAnsi="Verdana"/>
          <w:sz w:val="19"/>
          <w:szCs w:val="19"/>
          <w:lang w:val="en-US"/>
        </w:rPr>
        <w:t xml:space="preserve">unwarranted </w:t>
      </w:r>
      <w:r w:rsidR="006E3808" w:rsidRPr="009751AF">
        <w:rPr>
          <w:rFonts w:ascii="Verdana" w:hAnsi="Verdana"/>
          <w:sz w:val="19"/>
          <w:szCs w:val="19"/>
          <w:lang w:val="en-US"/>
        </w:rPr>
        <w:t>prosecutions</w:t>
      </w:r>
      <w:r w:rsidR="008531DF">
        <w:rPr>
          <w:rFonts w:ascii="Verdana" w:hAnsi="Verdana"/>
          <w:sz w:val="19"/>
          <w:szCs w:val="19"/>
          <w:lang w:val="en-US"/>
        </w:rPr>
        <w:t xml:space="preserve"> </w:t>
      </w:r>
      <w:r w:rsidR="006E3808" w:rsidRPr="009751AF">
        <w:rPr>
          <w:rFonts w:ascii="Verdana" w:hAnsi="Verdana"/>
          <w:sz w:val="19"/>
          <w:szCs w:val="19"/>
          <w:lang w:val="en-US"/>
        </w:rPr>
        <w:t xml:space="preserve">and other </w:t>
      </w:r>
      <w:r w:rsidR="008531DF">
        <w:rPr>
          <w:rFonts w:ascii="Verdana" w:hAnsi="Verdana"/>
          <w:sz w:val="19"/>
          <w:szCs w:val="19"/>
          <w:lang w:val="en-US"/>
        </w:rPr>
        <w:t xml:space="preserve">forms of </w:t>
      </w:r>
      <w:r w:rsidR="006E3808" w:rsidRPr="009751AF">
        <w:rPr>
          <w:rFonts w:ascii="Verdana" w:hAnsi="Verdana"/>
          <w:sz w:val="19"/>
          <w:szCs w:val="19"/>
          <w:lang w:val="en-US"/>
        </w:rPr>
        <w:t>harassment.</w:t>
      </w:r>
      <w:r w:rsidR="006E3808" w:rsidRPr="00BA7D56">
        <w:rPr>
          <w:rStyle w:val="Funotenzeichen"/>
          <w:rFonts w:ascii="Verdana" w:hAnsi="Verdana"/>
          <w:sz w:val="19"/>
          <w:szCs w:val="19"/>
          <w:lang w:val="en-US"/>
        </w:rPr>
        <w:footnoteReference w:id="19"/>
      </w:r>
      <w:r w:rsidR="006E3808" w:rsidRPr="009751AF">
        <w:rPr>
          <w:rFonts w:ascii="Verdana" w:hAnsi="Verdana"/>
          <w:sz w:val="19"/>
          <w:szCs w:val="19"/>
          <w:lang w:val="en-US"/>
        </w:rPr>
        <w:t xml:space="preserve"> </w:t>
      </w:r>
    </w:p>
    <w:p w14:paraId="6677DD84" w14:textId="5D96638F" w:rsidR="00C35B71" w:rsidRPr="00BA7D56" w:rsidRDefault="006E3808" w:rsidP="00C35B71">
      <w:pPr>
        <w:pStyle w:val="Listenabsatz"/>
        <w:numPr>
          <w:ilvl w:val="0"/>
          <w:numId w:val="6"/>
        </w:numPr>
        <w:spacing w:after="120"/>
        <w:contextualSpacing w:val="0"/>
        <w:jc w:val="both"/>
        <w:rPr>
          <w:rFonts w:ascii="Verdana" w:hAnsi="Verdana"/>
          <w:sz w:val="19"/>
          <w:szCs w:val="19"/>
          <w:lang w:val="en-US"/>
        </w:rPr>
      </w:pPr>
      <w:r w:rsidRPr="00BA7D56">
        <w:rPr>
          <w:rFonts w:ascii="Verdana" w:hAnsi="Verdana"/>
          <w:sz w:val="19"/>
          <w:szCs w:val="19"/>
          <w:lang w:val="en-US"/>
        </w:rPr>
        <w:t xml:space="preserve">The negative trend escalated particularly in connection with a two-year state of emergency implemented following an attempted </w:t>
      </w:r>
      <w:r w:rsidRPr="00E9606F">
        <w:rPr>
          <w:rFonts w:ascii="Verdana" w:hAnsi="Verdana"/>
          <w:i/>
          <w:sz w:val="19"/>
          <w:szCs w:val="19"/>
          <w:lang w:val="en-US"/>
        </w:rPr>
        <w:t>coup d’état</w:t>
      </w:r>
      <w:r w:rsidRPr="00BA7D56">
        <w:rPr>
          <w:rFonts w:ascii="Verdana" w:hAnsi="Verdana"/>
          <w:sz w:val="19"/>
          <w:szCs w:val="19"/>
          <w:lang w:val="en-US"/>
        </w:rPr>
        <w:t xml:space="preserve"> in July 2016. The extended period of emergency rule had a devastating effect on human rights and the rule of law in Turkey and led to </w:t>
      </w:r>
      <w:r w:rsidR="008531DF">
        <w:rPr>
          <w:rFonts w:ascii="Verdana" w:hAnsi="Verdana"/>
          <w:sz w:val="19"/>
          <w:szCs w:val="19"/>
          <w:lang w:val="en-US"/>
        </w:rPr>
        <w:t xml:space="preserve">the adoption of </w:t>
      </w:r>
      <w:r w:rsidRPr="00BA7D56">
        <w:rPr>
          <w:rFonts w:ascii="Verdana" w:hAnsi="Verdana"/>
          <w:sz w:val="19"/>
          <w:szCs w:val="19"/>
          <w:lang w:val="en-US"/>
        </w:rPr>
        <w:t xml:space="preserve">various repressive measures in the name of </w:t>
      </w:r>
      <w:r w:rsidR="008531DF">
        <w:rPr>
          <w:rFonts w:ascii="Verdana" w:hAnsi="Verdana"/>
          <w:sz w:val="19"/>
          <w:szCs w:val="19"/>
          <w:lang w:val="en-US"/>
        </w:rPr>
        <w:t>“</w:t>
      </w:r>
      <w:r w:rsidRPr="00BA7D56">
        <w:rPr>
          <w:rFonts w:ascii="Verdana" w:hAnsi="Verdana"/>
          <w:sz w:val="19"/>
          <w:szCs w:val="19"/>
          <w:lang w:val="en-US"/>
        </w:rPr>
        <w:t>counterterrorism</w:t>
      </w:r>
      <w:r w:rsidR="008531DF">
        <w:rPr>
          <w:rFonts w:ascii="Verdana" w:hAnsi="Verdana"/>
          <w:sz w:val="19"/>
          <w:szCs w:val="19"/>
          <w:lang w:val="en-US"/>
        </w:rPr>
        <w:t>”</w:t>
      </w:r>
      <w:r w:rsidRPr="00BA7D56">
        <w:rPr>
          <w:rFonts w:ascii="Verdana" w:hAnsi="Verdana"/>
          <w:sz w:val="19"/>
          <w:szCs w:val="19"/>
          <w:lang w:val="en-US"/>
        </w:rPr>
        <w:t xml:space="preserve"> and </w:t>
      </w:r>
      <w:r w:rsidR="008531DF">
        <w:rPr>
          <w:rFonts w:ascii="Verdana" w:hAnsi="Verdana"/>
          <w:sz w:val="19"/>
          <w:szCs w:val="19"/>
          <w:lang w:val="en-US"/>
        </w:rPr>
        <w:t>“</w:t>
      </w:r>
      <w:r w:rsidRPr="00BA7D56">
        <w:rPr>
          <w:rFonts w:ascii="Verdana" w:hAnsi="Verdana"/>
          <w:sz w:val="19"/>
          <w:szCs w:val="19"/>
          <w:lang w:val="en-US"/>
        </w:rPr>
        <w:t>protecting democracy</w:t>
      </w:r>
      <w:r w:rsidR="008531DF">
        <w:rPr>
          <w:rFonts w:ascii="Verdana" w:hAnsi="Verdana"/>
          <w:sz w:val="19"/>
          <w:szCs w:val="19"/>
          <w:lang w:val="en-US"/>
        </w:rPr>
        <w:t>”</w:t>
      </w:r>
      <w:r w:rsidRPr="00BA7D56">
        <w:rPr>
          <w:rFonts w:ascii="Verdana" w:hAnsi="Verdana"/>
          <w:sz w:val="19"/>
          <w:szCs w:val="19"/>
          <w:lang w:val="en-US"/>
        </w:rPr>
        <w:t xml:space="preserve">. </w:t>
      </w:r>
      <w:r w:rsidR="008531DF">
        <w:rPr>
          <w:rFonts w:ascii="Verdana" w:hAnsi="Verdana"/>
          <w:sz w:val="19"/>
          <w:szCs w:val="19"/>
          <w:lang w:val="en-US"/>
        </w:rPr>
        <w:t>They</w:t>
      </w:r>
      <w:r w:rsidRPr="00BA7D56">
        <w:rPr>
          <w:rFonts w:ascii="Verdana" w:hAnsi="Verdana"/>
          <w:sz w:val="19"/>
          <w:szCs w:val="19"/>
          <w:lang w:val="en-US"/>
        </w:rPr>
        <w:t xml:space="preserve"> included</w:t>
      </w:r>
      <w:r w:rsidR="008531DF">
        <w:rPr>
          <w:rFonts w:ascii="Verdana" w:hAnsi="Verdana"/>
          <w:sz w:val="19"/>
          <w:szCs w:val="19"/>
          <w:lang w:val="en-US"/>
        </w:rPr>
        <w:t>,</w:t>
      </w:r>
      <w:r w:rsidRPr="00BA7D56">
        <w:rPr>
          <w:rFonts w:ascii="Verdana" w:hAnsi="Verdana"/>
          <w:sz w:val="19"/>
          <w:szCs w:val="19"/>
          <w:lang w:val="en-US"/>
        </w:rPr>
        <w:t xml:space="preserve"> for instance</w:t>
      </w:r>
      <w:r w:rsidR="008531DF">
        <w:rPr>
          <w:rFonts w:ascii="Verdana" w:hAnsi="Verdana"/>
          <w:sz w:val="19"/>
          <w:szCs w:val="19"/>
          <w:lang w:val="en-US"/>
        </w:rPr>
        <w:t>,</w:t>
      </w:r>
      <w:r w:rsidRPr="00BA7D56">
        <w:rPr>
          <w:rFonts w:ascii="Verdana" w:hAnsi="Verdana"/>
          <w:sz w:val="19"/>
          <w:szCs w:val="19"/>
          <w:lang w:val="en-US"/>
        </w:rPr>
        <w:t xml:space="preserve"> the “purging”</w:t>
      </w:r>
      <w:r w:rsidR="00B9688F" w:rsidRPr="00BA7D56">
        <w:rPr>
          <w:rFonts w:ascii="Verdana" w:hAnsi="Verdana"/>
          <w:sz w:val="19"/>
          <w:szCs w:val="19"/>
          <w:lang w:val="en-US"/>
        </w:rPr>
        <w:t xml:space="preserve"> of</w:t>
      </w:r>
      <w:r w:rsidRPr="00BA7D56">
        <w:rPr>
          <w:rFonts w:ascii="Verdana" w:hAnsi="Verdana"/>
          <w:sz w:val="19"/>
          <w:szCs w:val="19"/>
          <w:lang w:val="en-US"/>
        </w:rPr>
        <w:t xml:space="preserve"> </w:t>
      </w:r>
      <w:r w:rsidR="00B9688F" w:rsidRPr="00BA7D56">
        <w:rPr>
          <w:rFonts w:ascii="Verdana" w:hAnsi="Verdana"/>
          <w:sz w:val="19"/>
          <w:szCs w:val="19"/>
          <w:lang w:val="en-US"/>
        </w:rPr>
        <w:t>S</w:t>
      </w:r>
      <w:r w:rsidRPr="00BA7D56">
        <w:rPr>
          <w:rFonts w:ascii="Verdana" w:hAnsi="Verdana"/>
          <w:sz w:val="19"/>
          <w:szCs w:val="19"/>
          <w:lang w:val="en-US"/>
        </w:rPr>
        <w:t>tate institutions</w:t>
      </w:r>
      <w:r w:rsidR="008531DF">
        <w:rPr>
          <w:rFonts w:ascii="Verdana" w:hAnsi="Verdana"/>
          <w:sz w:val="19"/>
          <w:szCs w:val="19"/>
          <w:lang w:val="en-US"/>
        </w:rPr>
        <w:t>,</w:t>
      </w:r>
      <w:r w:rsidRPr="00BA7D56">
        <w:rPr>
          <w:rFonts w:ascii="Verdana" w:hAnsi="Verdana"/>
          <w:sz w:val="19"/>
          <w:szCs w:val="19"/>
          <w:lang w:val="en-US"/>
        </w:rPr>
        <w:t xml:space="preserve"> </w:t>
      </w:r>
      <w:r w:rsidR="00F22339" w:rsidRPr="00BA7D56">
        <w:rPr>
          <w:rFonts w:ascii="Verdana" w:hAnsi="Verdana"/>
          <w:sz w:val="19"/>
          <w:szCs w:val="19"/>
          <w:lang w:val="en-US"/>
        </w:rPr>
        <w:t>leading</w:t>
      </w:r>
      <w:r w:rsidRPr="00BA7D56">
        <w:rPr>
          <w:rFonts w:ascii="Verdana" w:hAnsi="Verdana"/>
          <w:sz w:val="19"/>
          <w:szCs w:val="19"/>
          <w:lang w:val="en-US"/>
        </w:rPr>
        <w:t xml:space="preserve"> to the dismissal of hundreds of thousands of people from their jobs, including civil servants, judges, military personnel and academics; widespread arrests</w:t>
      </w:r>
      <w:r w:rsidR="002709F1" w:rsidRPr="00BA7D56">
        <w:rPr>
          <w:rFonts w:ascii="Verdana" w:hAnsi="Verdana"/>
          <w:sz w:val="19"/>
          <w:szCs w:val="19"/>
          <w:lang w:val="en-US"/>
        </w:rPr>
        <w:t xml:space="preserve">; </w:t>
      </w:r>
      <w:r w:rsidRPr="00BA7D56">
        <w:rPr>
          <w:rFonts w:ascii="Verdana" w:hAnsi="Verdana"/>
          <w:sz w:val="19"/>
          <w:szCs w:val="19"/>
          <w:lang w:val="en-US"/>
        </w:rPr>
        <w:t xml:space="preserve">convictions of </w:t>
      </w:r>
      <w:r w:rsidRPr="00BA7D56">
        <w:rPr>
          <w:rFonts w:ascii="Verdana" w:hAnsi="Verdana"/>
          <w:sz w:val="19"/>
          <w:szCs w:val="19"/>
          <w:lang w:val="en-US"/>
        </w:rPr>
        <w:lastRenderedPageBreak/>
        <w:t xml:space="preserve">thousands of people through unfair trials; and overhauls of key </w:t>
      </w:r>
      <w:r w:rsidR="008531DF">
        <w:rPr>
          <w:rFonts w:ascii="Verdana" w:hAnsi="Verdana"/>
          <w:sz w:val="19"/>
          <w:szCs w:val="19"/>
          <w:lang w:val="en-US"/>
        </w:rPr>
        <w:t>S</w:t>
      </w:r>
      <w:r w:rsidRPr="00BA7D56">
        <w:rPr>
          <w:rFonts w:ascii="Verdana" w:hAnsi="Verdana"/>
          <w:sz w:val="19"/>
          <w:szCs w:val="19"/>
          <w:lang w:val="en-US"/>
        </w:rPr>
        <w:t>tate institutions, bringing them under stronger executive control.</w:t>
      </w:r>
      <w:r w:rsidR="00703EA6" w:rsidRPr="00BA7D56">
        <w:rPr>
          <w:rFonts w:ascii="Verdana" w:hAnsi="Verdana"/>
          <w:sz w:val="19"/>
          <w:szCs w:val="19"/>
          <w:lang w:val="en-US"/>
        </w:rPr>
        <w:t xml:space="preserve"> The reforms and measures adopted during the state of emergency continue to have a strongly negative impact on human rights and the rule of law in Turkey today</w:t>
      </w:r>
      <w:r w:rsidRPr="00BA7D56">
        <w:rPr>
          <w:rFonts w:ascii="Verdana" w:hAnsi="Verdana"/>
          <w:sz w:val="19"/>
          <w:szCs w:val="19"/>
          <w:lang w:val="en-US"/>
        </w:rPr>
        <w:t>.</w:t>
      </w:r>
      <w:r w:rsidRPr="00BA7D56">
        <w:rPr>
          <w:rStyle w:val="Funotenzeichen"/>
          <w:rFonts w:ascii="Verdana" w:hAnsi="Verdana"/>
          <w:sz w:val="19"/>
          <w:szCs w:val="19"/>
          <w:lang w:val="en-US"/>
        </w:rPr>
        <w:footnoteReference w:id="20"/>
      </w:r>
      <w:r w:rsidRPr="00BA7D56">
        <w:rPr>
          <w:rFonts w:ascii="Verdana" w:hAnsi="Verdana"/>
          <w:sz w:val="19"/>
          <w:szCs w:val="19"/>
          <w:lang w:val="en-US"/>
        </w:rPr>
        <w:t xml:space="preserve"> </w:t>
      </w:r>
    </w:p>
    <w:p w14:paraId="0735F587" w14:textId="4506B1DF" w:rsidR="007629CB" w:rsidRPr="002860DC" w:rsidRDefault="00703EA6" w:rsidP="009B6A2A">
      <w:pPr>
        <w:pStyle w:val="Listenabsatz"/>
        <w:numPr>
          <w:ilvl w:val="0"/>
          <w:numId w:val="6"/>
        </w:numPr>
        <w:spacing w:after="120"/>
        <w:contextualSpacing w:val="0"/>
        <w:jc w:val="both"/>
        <w:rPr>
          <w:rFonts w:ascii="Verdana" w:hAnsi="Verdana"/>
          <w:sz w:val="19"/>
          <w:szCs w:val="19"/>
          <w:lang w:val="en-US"/>
        </w:rPr>
      </w:pPr>
      <w:r w:rsidRPr="009B6A2A">
        <w:rPr>
          <w:rFonts w:ascii="Verdana" w:hAnsi="Verdana"/>
          <w:sz w:val="19"/>
          <w:szCs w:val="19"/>
          <w:lang w:val="en-US"/>
        </w:rPr>
        <w:t>The</w:t>
      </w:r>
      <w:r w:rsidR="0086570B" w:rsidRPr="009B6A2A">
        <w:rPr>
          <w:rFonts w:ascii="Verdana" w:hAnsi="Verdana"/>
          <w:sz w:val="19"/>
          <w:szCs w:val="19"/>
          <w:lang w:val="en-US"/>
        </w:rPr>
        <w:t xml:space="preserve"> detrimental impact of the above-mentioned </w:t>
      </w:r>
      <w:r w:rsidR="009B6A2A" w:rsidRPr="009B6A2A">
        <w:rPr>
          <w:rFonts w:ascii="Verdana" w:hAnsi="Verdana"/>
          <w:sz w:val="19"/>
          <w:szCs w:val="19"/>
          <w:lang w:val="en-US"/>
        </w:rPr>
        <w:t>steps</w:t>
      </w:r>
      <w:r w:rsidR="0086570B" w:rsidRPr="009B6A2A">
        <w:rPr>
          <w:rFonts w:ascii="Verdana" w:hAnsi="Verdana"/>
          <w:sz w:val="19"/>
          <w:szCs w:val="19"/>
          <w:lang w:val="en-US"/>
        </w:rPr>
        <w:t xml:space="preserve"> on the human rights situation in the country was</w:t>
      </w:r>
      <w:r w:rsidRPr="009B6A2A">
        <w:rPr>
          <w:rFonts w:ascii="Verdana" w:hAnsi="Verdana"/>
          <w:sz w:val="19"/>
          <w:szCs w:val="19"/>
          <w:lang w:val="en-US"/>
        </w:rPr>
        <w:t xml:space="preserve"> further exacerbated through </w:t>
      </w:r>
      <w:r w:rsidR="0086570B" w:rsidRPr="009B6A2A">
        <w:rPr>
          <w:rFonts w:ascii="Verdana" w:hAnsi="Verdana"/>
          <w:sz w:val="19"/>
          <w:szCs w:val="19"/>
          <w:lang w:val="en-US"/>
        </w:rPr>
        <w:t xml:space="preserve">the adoption of </w:t>
      </w:r>
      <w:r w:rsidRPr="009B6A2A">
        <w:rPr>
          <w:rFonts w:ascii="Verdana" w:hAnsi="Verdana"/>
          <w:sz w:val="19"/>
          <w:szCs w:val="19"/>
          <w:lang w:val="en-US"/>
        </w:rPr>
        <w:t xml:space="preserve">constitutional amendments in 2017, </w:t>
      </w:r>
      <w:r w:rsidR="009B6A2A" w:rsidRPr="009B6A2A">
        <w:rPr>
          <w:rFonts w:ascii="Verdana" w:hAnsi="Verdana"/>
          <w:sz w:val="19"/>
          <w:szCs w:val="19"/>
          <w:lang w:val="en-US"/>
        </w:rPr>
        <w:t xml:space="preserve">which </w:t>
      </w:r>
      <w:r w:rsidR="00934BB0">
        <w:rPr>
          <w:rFonts w:ascii="Verdana" w:hAnsi="Verdana"/>
          <w:sz w:val="19"/>
          <w:szCs w:val="19"/>
          <w:lang w:val="en-US"/>
        </w:rPr>
        <w:t>included</w:t>
      </w:r>
      <w:r w:rsidR="000D43C5">
        <w:rPr>
          <w:rFonts w:ascii="Verdana" w:hAnsi="Verdana"/>
          <w:sz w:val="19"/>
          <w:szCs w:val="19"/>
          <w:lang w:val="en-US"/>
        </w:rPr>
        <w:t xml:space="preserve"> a</w:t>
      </w:r>
      <w:r w:rsidR="000D43C5" w:rsidRPr="009B6A2A">
        <w:rPr>
          <w:rFonts w:ascii="Verdana" w:hAnsi="Verdana"/>
          <w:sz w:val="19"/>
          <w:szCs w:val="19"/>
        </w:rPr>
        <w:t xml:space="preserve"> significant overhaul of the justice system</w:t>
      </w:r>
      <w:r w:rsidR="000D43C5">
        <w:rPr>
          <w:rFonts w:ascii="Verdana" w:hAnsi="Verdana"/>
          <w:sz w:val="19"/>
          <w:szCs w:val="19"/>
        </w:rPr>
        <w:t>,</w:t>
      </w:r>
      <w:r w:rsidR="000D43C5" w:rsidRPr="009B6A2A">
        <w:rPr>
          <w:rFonts w:ascii="Verdana" w:hAnsi="Verdana"/>
          <w:sz w:val="19"/>
          <w:szCs w:val="19"/>
          <w:lang w:val="en-US"/>
        </w:rPr>
        <w:t xml:space="preserve"> </w:t>
      </w:r>
      <w:r w:rsidR="009B6A2A" w:rsidRPr="009B6A2A">
        <w:rPr>
          <w:rFonts w:ascii="Verdana" w:hAnsi="Verdana"/>
          <w:sz w:val="19"/>
          <w:szCs w:val="19"/>
          <w:lang w:val="en-US"/>
        </w:rPr>
        <w:t xml:space="preserve">and </w:t>
      </w:r>
      <w:r w:rsidRPr="009B6A2A">
        <w:rPr>
          <w:rFonts w:ascii="Verdana" w:hAnsi="Verdana"/>
          <w:sz w:val="19"/>
          <w:szCs w:val="19"/>
          <w:lang w:val="en-US"/>
        </w:rPr>
        <w:t xml:space="preserve">which </w:t>
      </w:r>
      <w:r w:rsidR="000D43C5">
        <w:rPr>
          <w:rFonts w:ascii="Verdana" w:hAnsi="Verdana"/>
          <w:sz w:val="19"/>
          <w:szCs w:val="19"/>
          <w:lang w:val="en-US"/>
        </w:rPr>
        <w:t xml:space="preserve">had the overall result of a </w:t>
      </w:r>
      <w:r w:rsidRPr="009B6A2A">
        <w:rPr>
          <w:rFonts w:ascii="Verdana" w:hAnsi="Verdana"/>
          <w:sz w:val="19"/>
          <w:szCs w:val="19"/>
          <w:lang w:val="en-US"/>
        </w:rPr>
        <w:t xml:space="preserve">further consolidation of power </w:t>
      </w:r>
      <w:r w:rsidR="000D43C5">
        <w:rPr>
          <w:rFonts w:ascii="Verdana" w:hAnsi="Verdana"/>
          <w:sz w:val="19"/>
          <w:szCs w:val="19"/>
          <w:lang w:val="en-US"/>
        </w:rPr>
        <w:t xml:space="preserve">in the hands of </w:t>
      </w:r>
      <w:r w:rsidRPr="009B6A2A">
        <w:rPr>
          <w:rFonts w:ascii="Verdana" w:hAnsi="Verdana"/>
          <w:sz w:val="19"/>
          <w:szCs w:val="19"/>
          <w:lang w:val="en-US"/>
        </w:rPr>
        <w:t>the executive</w:t>
      </w:r>
      <w:r w:rsidRPr="009B6A2A">
        <w:rPr>
          <w:rFonts w:ascii="Verdana" w:hAnsi="Verdana"/>
          <w:sz w:val="19"/>
          <w:szCs w:val="19"/>
        </w:rPr>
        <w:t>.</w:t>
      </w:r>
      <w:r w:rsidR="006E3808" w:rsidRPr="009B6A2A">
        <w:rPr>
          <w:rFonts w:ascii="Verdana" w:hAnsi="Verdana"/>
          <w:sz w:val="19"/>
          <w:szCs w:val="19"/>
        </w:rPr>
        <w:t xml:space="preserve"> </w:t>
      </w:r>
      <w:r w:rsidR="008B0885" w:rsidRPr="009B6A2A">
        <w:rPr>
          <w:rFonts w:ascii="Verdana" w:hAnsi="Verdana"/>
          <w:sz w:val="19"/>
          <w:szCs w:val="19"/>
        </w:rPr>
        <w:t>These changes</w:t>
      </w:r>
      <w:r w:rsidR="006E3808" w:rsidRPr="009B6A2A">
        <w:rPr>
          <w:rFonts w:ascii="Verdana" w:hAnsi="Verdana"/>
          <w:sz w:val="19"/>
          <w:szCs w:val="19"/>
        </w:rPr>
        <w:t xml:space="preserve"> </w:t>
      </w:r>
      <w:r w:rsidR="00315AD1" w:rsidRPr="009B6A2A">
        <w:rPr>
          <w:rFonts w:ascii="Verdana" w:hAnsi="Verdana"/>
          <w:sz w:val="19"/>
          <w:szCs w:val="19"/>
        </w:rPr>
        <w:t xml:space="preserve">have </w:t>
      </w:r>
      <w:r w:rsidR="006E3808" w:rsidRPr="009B6A2A">
        <w:rPr>
          <w:rFonts w:ascii="Verdana" w:hAnsi="Verdana"/>
          <w:sz w:val="19"/>
          <w:szCs w:val="19"/>
        </w:rPr>
        <w:t>considerably undermined the Turkish judiciary’s ability to administer justice</w:t>
      </w:r>
      <w:r w:rsidR="000D43C5">
        <w:rPr>
          <w:rFonts w:ascii="Verdana" w:hAnsi="Verdana"/>
          <w:sz w:val="19"/>
          <w:szCs w:val="19"/>
        </w:rPr>
        <w:t>,</w:t>
      </w:r>
      <w:r w:rsidR="006E3808" w:rsidRPr="009B6A2A">
        <w:rPr>
          <w:rFonts w:ascii="Verdana" w:hAnsi="Verdana"/>
          <w:sz w:val="19"/>
          <w:szCs w:val="19"/>
        </w:rPr>
        <w:t xml:space="preserve"> and provide effective remed</w:t>
      </w:r>
      <w:r w:rsidR="000D43C5">
        <w:rPr>
          <w:rFonts w:ascii="Verdana" w:hAnsi="Verdana"/>
          <w:sz w:val="19"/>
          <w:szCs w:val="19"/>
        </w:rPr>
        <w:t>ies</w:t>
      </w:r>
      <w:r w:rsidR="006E3808" w:rsidRPr="009B6A2A">
        <w:rPr>
          <w:rFonts w:ascii="Verdana" w:hAnsi="Verdana"/>
          <w:sz w:val="19"/>
          <w:szCs w:val="19"/>
        </w:rPr>
        <w:t xml:space="preserve"> for human rights violations</w:t>
      </w:r>
      <w:r w:rsidR="000D43C5">
        <w:rPr>
          <w:rFonts w:ascii="Verdana" w:hAnsi="Verdana"/>
          <w:sz w:val="19"/>
          <w:szCs w:val="19"/>
        </w:rPr>
        <w:t>, including violations of women’s human rights</w:t>
      </w:r>
      <w:r w:rsidR="006E3808" w:rsidRPr="009B6A2A">
        <w:rPr>
          <w:rFonts w:ascii="Verdana" w:hAnsi="Verdana"/>
          <w:sz w:val="19"/>
          <w:szCs w:val="19"/>
        </w:rPr>
        <w:t>. The mass dismissal of about 30 percent of active judges and prosecutors in Turkey</w:t>
      </w:r>
      <w:r w:rsidR="00451FC2" w:rsidRPr="00451FC2">
        <w:rPr>
          <w:rFonts w:ascii="Verdana" w:hAnsi="Verdana"/>
          <w:sz w:val="19"/>
          <w:szCs w:val="19"/>
        </w:rPr>
        <w:t xml:space="preserve"> </w:t>
      </w:r>
      <w:r w:rsidR="00451FC2" w:rsidRPr="009B6A2A">
        <w:rPr>
          <w:rFonts w:ascii="Verdana" w:hAnsi="Verdana"/>
          <w:sz w:val="19"/>
          <w:szCs w:val="19"/>
        </w:rPr>
        <w:t xml:space="preserve">during the state of emergency </w:t>
      </w:r>
      <w:r w:rsidR="00451FC2">
        <w:rPr>
          <w:rFonts w:ascii="Verdana" w:hAnsi="Verdana"/>
          <w:sz w:val="19"/>
          <w:szCs w:val="19"/>
        </w:rPr>
        <w:t xml:space="preserve">imposed in the aftermath of the attempted </w:t>
      </w:r>
      <w:r w:rsidR="00451FC2" w:rsidRPr="005A54B6">
        <w:rPr>
          <w:rFonts w:ascii="Verdana" w:hAnsi="Verdana"/>
          <w:i/>
          <w:sz w:val="19"/>
          <w:szCs w:val="19"/>
        </w:rPr>
        <w:t>coup</w:t>
      </w:r>
      <w:r w:rsidR="00451FC2" w:rsidRPr="009B6A2A">
        <w:rPr>
          <w:rFonts w:ascii="Verdana" w:hAnsi="Verdana"/>
          <w:sz w:val="19"/>
          <w:szCs w:val="19"/>
        </w:rPr>
        <w:t xml:space="preserve">, </w:t>
      </w:r>
      <w:r w:rsidR="006E3808" w:rsidRPr="009B6A2A">
        <w:rPr>
          <w:rFonts w:ascii="Verdana" w:hAnsi="Verdana"/>
          <w:sz w:val="19"/>
          <w:szCs w:val="19"/>
        </w:rPr>
        <w:t xml:space="preserve"> including judges of the highest courts, </w:t>
      </w:r>
      <w:r w:rsidR="00451FC2" w:rsidRPr="009B6A2A">
        <w:rPr>
          <w:rFonts w:ascii="Verdana" w:hAnsi="Verdana"/>
          <w:sz w:val="19"/>
          <w:szCs w:val="19"/>
        </w:rPr>
        <w:t xml:space="preserve">on unclear or vague grounds of </w:t>
      </w:r>
      <w:r w:rsidR="00451FC2">
        <w:rPr>
          <w:rFonts w:ascii="Verdana" w:hAnsi="Verdana"/>
          <w:sz w:val="19"/>
          <w:szCs w:val="19"/>
        </w:rPr>
        <w:t>“</w:t>
      </w:r>
      <w:r w:rsidR="00451FC2" w:rsidRPr="009B6A2A">
        <w:rPr>
          <w:rFonts w:ascii="Verdana" w:hAnsi="Verdana"/>
          <w:sz w:val="19"/>
          <w:szCs w:val="19"/>
        </w:rPr>
        <w:t>association with</w:t>
      </w:r>
      <w:r w:rsidR="00451FC2">
        <w:rPr>
          <w:rFonts w:ascii="Verdana" w:hAnsi="Verdana"/>
          <w:sz w:val="19"/>
          <w:szCs w:val="19"/>
        </w:rPr>
        <w:t xml:space="preserve"> </w:t>
      </w:r>
      <w:r w:rsidR="00451FC2" w:rsidRPr="009B6A2A">
        <w:rPr>
          <w:rFonts w:ascii="Verdana" w:hAnsi="Verdana"/>
          <w:sz w:val="19"/>
          <w:szCs w:val="19"/>
        </w:rPr>
        <w:t>terrorism</w:t>
      </w:r>
      <w:r w:rsidR="00451FC2">
        <w:rPr>
          <w:rFonts w:ascii="Verdana" w:hAnsi="Verdana"/>
          <w:sz w:val="19"/>
          <w:szCs w:val="19"/>
        </w:rPr>
        <w:t>”</w:t>
      </w:r>
      <w:r w:rsidR="00451FC2" w:rsidRPr="009B6A2A">
        <w:rPr>
          <w:rFonts w:ascii="Verdana" w:hAnsi="Verdana"/>
          <w:sz w:val="19"/>
          <w:szCs w:val="19"/>
        </w:rPr>
        <w:t xml:space="preserve">, </w:t>
      </w:r>
      <w:r w:rsidR="006E3808" w:rsidRPr="009B6A2A">
        <w:rPr>
          <w:rFonts w:ascii="Verdana" w:hAnsi="Verdana"/>
          <w:sz w:val="19"/>
          <w:szCs w:val="19"/>
        </w:rPr>
        <w:t>significantly weakened the already strained justice system</w:t>
      </w:r>
      <w:r w:rsidR="00451FC2">
        <w:rPr>
          <w:rFonts w:ascii="Verdana" w:hAnsi="Verdana"/>
          <w:sz w:val="19"/>
          <w:szCs w:val="19"/>
        </w:rPr>
        <w:t>,</w:t>
      </w:r>
      <w:r w:rsidR="006E3808" w:rsidRPr="009B6A2A">
        <w:rPr>
          <w:rFonts w:ascii="Verdana" w:hAnsi="Verdana"/>
          <w:sz w:val="19"/>
          <w:szCs w:val="19"/>
        </w:rPr>
        <w:t xml:space="preserve"> and created an atmosphere of fear among the remaining judges and prosecutors.</w:t>
      </w:r>
      <w:r w:rsidR="006E3808" w:rsidRPr="00BA7D56">
        <w:rPr>
          <w:rStyle w:val="Funotenzeichen"/>
          <w:rFonts w:ascii="Verdana" w:hAnsi="Verdana"/>
          <w:sz w:val="19"/>
          <w:szCs w:val="19"/>
        </w:rPr>
        <w:footnoteReference w:id="21"/>
      </w:r>
      <w:r w:rsidR="006E3808" w:rsidRPr="009B6A2A">
        <w:rPr>
          <w:rFonts w:ascii="Verdana" w:hAnsi="Verdana"/>
          <w:sz w:val="19"/>
          <w:szCs w:val="19"/>
        </w:rPr>
        <w:t xml:space="preserve"> Furthermore, the need to recruit thousands of new judges and prosecutors to fill the positions </w:t>
      </w:r>
      <w:r w:rsidR="00451FC2">
        <w:rPr>
          <w:rFonts w:ascii="Verdana" w:hAnsi="Verdana"/>
          <w:sz w:val="19"/>
          <w:szCs w:val="19"/>
        </w:rPr>
        <w:t xml:space="preserve">left vacant in the aftermath of the widespread </w:t>
      </w:r>
      <w:r w:rsidR="006E3808" w:rsidRPr="009B6A2A">
        <w:rPr>
          <w:rFonts w:ascii="Verdana" w:hAnsi="Verdana"/>
          <w:sz w:val="19"/>
          <w:szCs w:val="19"/>
        </w:rPr>
        <w:t>dismiss</w:t>
      </w:r>
      <w:r w:rsidR="00451FC2">
        <w:rPr>
          <w:rFonts w:ascii="Verdana" w:hAnsi="Verdana"/>
          <w:sz w:val="19"/>
          <w:szCs w:val="19"/>
        </w:rPr>
        <w:t>als</w:t>
      </w:r>
      <w:r w:rsidR="006E3808" w:rsidRPr="009B6A2A">
        <w:rPr>
          <w:rFonts w:ascii="Verdana" w:hAnsi="Verdana"/>
          <w:sz w:val="19"/>
          <w:szCs w:val="19"/>
        </w:rPr>
        <w:t xml:space="preserve">, the relative inexperience of new recruits, and </w:t>
      </w:r>
      <w:r w:rsidR="00451FC2">
        <w:rPr>
          <w:rFonts w:ascii="Verdana" w:hAnsi="Verdana"/>
          <w:sz w:val="19"/>
          <w:szCs w:val="19"/>
        </w:rPr>
        <w:t xml:space="preserve">the </w:t>
      </w:r>
      <w:r w:rsidR="006E3808" w:rsidRPr="009B6A2A">
        <w:rPr>
          <w:rFonts w:ascii="Verdana" w:hAnsi="Verdana"/>
          <w:sz w:val="19"/>
          <w:szCs w:val="19"/>
        </w:rPr>
        <w:t>h</w:t>
      </w:r>
      <w:r w:rsidR="00A66558">
        <w:rPr>
          <w:rFonts w:ascii="Verdana" w:hAnsi="Verdana"/>
          <w:sz w:val="19"/>
          <w:szCs w:val="19"/>
        </w:rPr>
        <w:t>eavy</w:t>
      </w:r>
      <w:r w:rsidR="006E3808" w:rsidRPr="009B6A2A">
        <w:rPr>
          <w:rFonts w:ascii="Verdana" w:hAnsi="Verdana"/>
          <w:sz w:val="19"/>
          <w:szCs w:val="19"/>
        </w:rPr>
        <w:t xml:space="preserve"> caseload brought on by emergency measures have </w:t>
      </w:r>
      <w:r w:rsidR="00451FC2">
        <w:rPr>
          <w:rFonts w:ascii="Verdana" w:hAnsi="Verdana"/>
          <w:sz w:val="19"/>
          <w:szCs w:val="19"/>
        </w:rPr>
        <w:t xml:space="preserve">all </w:t>
      </w:r>
      <w:r w:rsidR="006E3808" w:rsidRPr="009B6A2A">
        <w:rPr>
          <w:rFonts w:ascii="Verdana" w:hAnsi="Verdana"/>
          <w:sz w:val="19"/>
          <w:szCs w:val="19"/>
        </w:rPr>
        <w:t>had a serious negative impact on the effectiveness, competence and fairness of the Turkish justice system.</w:t>
      </w:r>
      <w:r w:rsidR="006E3808" w:rsidRPr="00BA7D56">
        <w:rPr>
          <w:rStyle w:val="Funotenzeichen"/>
          <w:rFonts w:ascii="Verdana" w:hAnsi="Verdana"/>
          <w:sz w:val="19"/>
          <w:szCs w:val="19"/>
        </w:rPr>
        <w:footnoteReference w:id="22"/>
      </w:r>
      <w:r w:rsidR="006E3808" w:rsidRPr="009B6A2A">
        <w:rPr>
          <w:rFonts w:ascii="Verdana" w:hAnsi="Verdana"/>
          <w:sz w:val="19"/>
          <w:szCs w:val="19"/>
        </w:rPr>
        <w:t xml:space="preserve"> </w:t>
      </w:r>
      <w:r w:rsidR="00382B07">
        <w:rPr>
          <w:rFonts w:ascii="Verdana" w:hAnsi="Verdana"/>
          <w:sz w:val="19"/>
          <w:szCs w:val="19"/>
        </w:rPr>
        <w:t>In addition, s</w:t>
      </w:r>
      <w:r w:rsidR="00726F87" w:rsidRPr="009B6A2A">
        <w:rPr>
          <w:rFonts w:ascii="Verdana" w:hAnsi="Verdana"/>
          <w:sz w:val="19"/>
          <w:szCs w:val="19"/>
        </w:rPr>
        <w:t xml:space="preserve">tructural changes to both the </w:t>
      </w:r>
      <w:r w:rsidR="008F6852" w:rsidRPr="009B6A2A">
        <w:rPr>
          <w:rFonts w:ascii="Verdana" w:hAnsi="Verdana"/>
          <w:sz w:val="19"/>
          <w:szCs w:val="19"/>
        </w:rPr>
        <w:t xml:space="preserve">Turkish </w:t>
      </w:r>
      <w:r w:rsidR="007629CB">
        <w:rPr>
          <w:rFonts w:ascii="Verdana" w:hAnsi="Verdana"/>
          <w:sz w:val="19"/>
          <w:szCs w:val="19"/>
        </w:rPr>
        <w:t>S</w:t>
      </w:r>
      <w:r w:rsidR="008F6852" w:rsidRPr="009B6A2A">
        <w:rPr>
          <w:rFonts w:ascii="Verdana" w:hAnsi="Verdana"/>
          <w:sz w:val="19"/>
          <w:szCs w:val="19"/>
        </w:rPr>
        <w:t xml:space="preserve">upreme </w:t>
      </w:r>
      <w:r w:rsidR="007629CB">
        <w:rPr>
          <w:rFonts w:ascii="Verdana" w:hAnsi="Verdana"/>
          <w:sz w:val="19"/>
          <w:szCs w:val="19"/>
        </w:rPr>
        <w:t>C</w:t>
      </w:r>
      <w:r w:rsidR="008F6852" w:rsidRPr="009B6A2A">
        <w:rPr>
          <w:rFonts w:ascii="Verdana" w:hAnsi="Verdana"/>
          <w:sz w:val="19"/>
          <w:szCs w:val="19"/>
        </w:rPr>
        <w:t xml:space="preserve">ourts and the Council of Judges and Prosecutors, </w:t>
      </w:r>
      <w:r w:rsidR="002709F1" w:rsidRPr="009B6A2A">
        <w:rPr>
          <w:rFonts w:ascii="Verdana" w:hAnsi="Verdana"/>
          <w:sz w:val="19"/>
          <w:szCs w:val="19"/>
        </w:rPr>
        <w:t>in charge of the judiciary’s self-governance</w:t>
      </w:r>
      <w:r w:rsidR="008F6852" w:rsidRPr="009B6A2A">
        <w:rPr>
          <w:rFonts w:ascii="Verdana" w:hAnsi="Verdana"/>
          <w:sz w:val="19"/>
          <w:szCs w:val="19"/>
        </w:rPr>
        <w:t xml:space="preserve">, have </w:t>
      </w:r>
      <w:r w:rsidR="003055C8" w:rsidRPr="009B6A2A">
        <w:rPr>
          <w:rFonts w:ascii="Verdana" w:hAnsi="Verdana"/>
          <w:sz w:val="19"/>
          <w:szCs w:val="19"/>
        </w:rPr>
        <w:t xml:space="preserve">seriously </w:t>
      </w:r>
      <w:r w:rsidR="008F6852" w:rsidRPr="009B6A2A">
        <w:rPr>
          <w:rFonts w:ascii="Verdana" w:hAnsi="Verdana"/>
          <w:sz w:val="19"/>
          <w:szCs w:val="19"/>
        </w:rPr>
        <w:t>undermined the independence of the judiciary</w:t>
      </w:r>
      <w:r w:rsidR="007629CB">
        <w:rPr>
          <w:rFonts w:ascii="Verdana" w:hAnsi="Verdana"/>
          <w:sz w:val="19"/>
          <w:szCs w:val="19"/>
        </w:rPr>
        <w:t>,</w:t>
      </w:r>
      <w:r w:rsidR="008F6852" w:rsidRPr="009B6A2A">
        <w:rPr>
          <w:rFonts w:ascii="Verdana" w:hAnsi="Verdana"/>
          <w:sz w:val="19"/>
          <w:szCs w:val="19"/>
        </w:rPr>
        <w:t xml:space="preserve"> and brought it under stronger executive control</w:t>
      </w:r>
      <w:r w:rsidR="006E3808" w:rsidRPr="009B6A2A">
        <w:rPr>
          <w:rFonts w:ascii="Verdana" w:hAnsi="Verdana"/>
          <w:sz w:val="19"/>
          <w:szCs w:val="19"/>
        </w:rPr>
        <w:t>.</w:t>
      </w:r>
      <w:r w:rsidR="006E3808" w:rsidRPr="00BA7D56">
        <w:rPr>
          <w:rStyle w:val="Funotenzeichen"/>
          <w:rFonts w:ascii="Verdana" w:hAnsi="Verdana"/>
          <w:sz w:val="19"/>
          <w:szCs w:val="19"/>
        </w:rPr>
        <w:footnoteReference w:id="23"/>
      </w:r>
      <w:r w:rsidR="003055C8" w:rsidRPr="009B6A2A">
        <w:rPr>
          <w:rFonts w:ascii="Verdana" w:hAnsi="Verdana"/>
          <w:sz w:val="19"/>
          <w:szCs w:val="19"/>
        </w:rPr>
        <w:t xml:space="preserve"> </w:t>
      </w:r>
    </w:p>
    <w:p w14:paraId="06EB24D3" w14:textId="1A61FFEB" w:rsidR="00C35B71" w:rsidRPr="009B6A2A" w:rsidRDefault="00AC3163" w:rsidP="009B6A2A">
      <w:pPr>
        <w:pStyle w:val="Listenabsatz"/>
        <w:numPr>
          <w:ilvl w:val="0"/>
          <w:numId w:val="6"/>
        </w:numPr>
        <w:spacing w:after="120"/>
        <w:contextualSpacing w:val="0"/>
        <w:jc w:val="both"/>
        <w:rPr>
          <w:rFonts w:ascii="Verdana" w:hAnsi="Verdana"/>
          <w:sz w:val="19"/>
          <w:szCs w:val="19"/>
          <w:lang w:val="en-US"/>
        </w:rPr>
      </w:pPr>
      <w:r w:rsidRPr="009B6A2A">
        <w:rPr>
          <w:rFonts w:ascii="Verdana" w:hAnsi="Verdana"/>
          <w:sz w:val="19"/>
          <w:szCs w:val="19"/>
        </w:rPr>
        <w:t>O</w:t>
      </w:r>
      <w:r w:rsidR="006E3808" w:rsidRPr="009B6A2A">
        <w:rPr>
          <w:rFonts w:ascii="Verdana" w:hAnsi="Verdana"/>
          <w:sz w:val="19"/>
          <w:szCs w:val="19"/>
        </w:rPr>
        <w:t xml:space="preserve">ther systemic </w:t>
      </w:r>
      <w:r w:rsidR="00382B07">
        <w:rPr>
          <w:rFonts w:ascii="Verdana" w:hAnsi="Verdana"/>
          <w:sz w:val="19"/>
          <w:szCs w:val="19"/>
        </w:rPr>
        <w:t>flaws</w:t>
      </w:r>
      <w:r w:rsidR="00382B07" w:rsidRPr="009B6A2A">
        <w:rPr>
          <w:rFonts w:ascii="Verdana" w:hAnsi="Verdana"/>
          <w:sz w:val="19"/>
          <w:szCs w:val="19"/>
        </w:rPr>
        <w:t xml:space="preserve"> </w:t>
      </w:r>
      <w:r w:rsidR="006E3808" w:rsidRPr="009B6A2A">
        <w:rPr>
          <w:rFonts w:ascii="Verdana" w:hAnsi="Verdana"/>
          <w:sz w:val="19"/>
          <w:szCs w:val="19"/>
        </w:rPr>
        <w:t xml:space="preserve">prevalent in the Turkish justice system </w:t>
      </w:r>
      <w:r w:rsidRPr="009B6A2A">
        <w:rPr>
          <w:rFonts w:ascii="Verdana" w:hAnsi="Verdana"/>
          <w:sz w:val="19"/>
          <w:szCs w:val="19"/>
        </w:rPr>
        <w:t xml:space="preserve">that </w:t>
      </w:r>
      <w:r w:rsidR="006E3808" w:rsidRPr="009B6A2A">
        <w:rPr>
          <w:rFonts w:ascii="Verdana" w:hAnsi="Verdana"/>
          <w:sz w:val="19"/>
          <w:szCs w:val="19"/>
        </w:rPr>
        <w:t>undermine the independence of the judiciary include</w:t>
      </w:r>
      <w:r w:rsidR="00382B07">
        <w:rPr>
          <w:rFonts w:ascii="Verdana" w:hAnsi="Verdana"/>
          <w:sz w:val="19"/>
          <w:szCs w:val="19"/>
        </w:rPr>
        <w:t>:</w:t>
      </w:r>
      <w:r w:rsidR="006E3808" w:rsidRPr="009B6A2A">
        <w:rPr>
          <w:rFonts w:ascii="Verdana" w:hAnsi="Verdana"/>
          <w:sz w:val="19"/>
          <w:szCs w:val="19"/>
        </w:rPr>
        <w:t xml:space="preserve"> the lack of objective, merit-based, pre-established and uniform criteria for the </w:t>
      </w:r>
      <w:r w:rsidRPr="009B6A2A">
        <w:rPr>
          <w:rFonts w:ascii="Verdana" w:hAnsi="Verdana"/>
          <w:sz w:val="19"/>
          <w:szCs w:val="19"/>
        </w:rPr>
        <w:t>selection and appointmen</w:t>
      </w:r>
      <w:r w:rsidR="009B3F1C" w:rsidRPr="009B6A2A">
        <w:rPr>
          <w:rFonts w:ascii="Verdana" w:hAnsi="Verdana"/>
          <w:sz w:val="19"/>
          <w:szCs w:val="19"/>
        </w:rPr>
        <w:t>t</w:t>
      </w:r>
      <w:r w:rsidRPr="009B6A2A">
        <w:rPr>
          <w:rFonts w:ascii="Verdana" w:hAnsi="Verdana"/>
          <w:sz w:val="19"/>
          <w:szCs w:val="19"/>
        </w:rPr>
        <w:t xml:space="preserve"> </w:t>
      </w:r>
      <w:r w:rsidR="006E3808" w:rsidRPr="009B6A2A">
        <w:rPr>
          <w:rFonts w:ascii="Verdana" w:hAnsi="Verdana"/>
          <w:sz w:val="19"/>
          <w:szCs w:val="19"/>
        </w:rPr>
        <w:t>of judges</w:t>
      </w:r>
      <w:r w:rsidR="00382B07">
        <w:rPr>
          <w:rFonts w:ascii="Verdana" w:hAnsi="Verdana"/>
          <w:sz w:val="19"/>
          <w:szCs w:val="19"/>
        </w:rPr>
        <w:t>;</w:t>
      </w:r>
      <w:r w:rsidR="006E3808" w:rsidRPr="009B6A2A">
        <w:rPr>
          <w:rFonts w:ascii="Verdana" w:hAnsi="Verdana"/>
          <w:sz w:val="19"/>
          <w:szCs w:val="19"/>
        </w:rPr>
        <w:t xml:space="preserve"> </w:t>
      </w:r>
      <w:r w:rsidRPr="009B6A2A">
        <w:rPr>
          <w:rFonts w:ascii="Verdana" w:hAnsi="Verdana"/>
          <w:sz w:val="19"/>
          <w:szCs w:val="19"/>
        </w:rPr>
        <w:t>the role of</w:t>
      </w:r>
      <w:r w:rsidR="006E3808" w:rsidRPr="009B6A2A">
        <w:rPr>
          <w:rFonts w:ascii="Verdana" w:hAnsi="Verdana"/>
          <w:sz w:val="19"/>
          <w:szCs w:val="19"/>
        </w:rPr>
        <w:t xml:space="preserve"> the Ministry of Justice</w:t>
      </w:r>
      <w:r w:rsidR="00AE288A">
        <w:rPr>
          <w:rFonts w:ascii="Verdana" w:hAnsi="Verdana"/>
          <w:sz w:val="19"/>
          <w:szCs w:val="19"/>
        </w:rPr>
        <w:t xml:space="preserve"> </w:t>
      </w:r>
      <w:r w:rsidR="005E4A3E">
        <w:rPr>
          <w:rFonts w:ascii="Verdana" w:hAnsi="Verdana"/>
          <w:sz w:val="19"/>
          <w:szCs w:val="19"/>
        </w:rPr>
        <w:t>in judicial appointments</w:t>
      </w:r>
      <w:r w:rsidR="006E3808" w:rsidRPr="009B6A2A">
        <w:rPr>
          <w:rFonts w:ascii="Verdana" w:hAnsi="Verdana"/>
          <w:sz w:val="19"/>
          <w:szCs w:val="19"/>
        </w:rPr>
        <w:t xml:space="preserve">; the non-reinstatement of judges dismissed following the </w:t>
      </w:r>
      <w:r w:rsidR="00382B07">
        <w:rPr>
          <w:rFonts w:ascii="Verdana" w:hAnsi="Verdana"/>
          <w:sz w:val="19"/>
          <w:szCs w:val="19"/>
        </w:rPr>
        <w:t xml:space="preserve">attempted </w:t>
      </w:r>
      <w:r w:rsidR="006E3808" w:rsidRPr="002860DC">
        <w:rPr>
          <w:rFonts w:ascii="Verdana" w:hAnsi="Verdana"/>
          <w:i/>
          <w:sz w:val="19"/>
          <w:szCs w:val="19"/>
        </w:rPr>
        <w:t>coup</w:t>
      </w:r>
      <w:r w:rsidR="006E3808" w:rsidRPr="009B6A2A">
        <w:rPr>
          <w:rFonts w:ascii="Verdana" w:hAnsi="Verdana"/>
          <w:sz w:val="19"/>
          <w:szCs w:val="19"/>
        </w:rPr>
        <w:t xml:space="preserve"> despite their acquittal fro</w:t>
      </w:r>
      <w:r w:rsidRPr="009B6A2A">
        <w:rPr>
          <w:rFonts w:ascii="Verdana" w:hAnsi="Verdana"/>
          <w:sz w:val="19"/>
          <w:szCs w:val="19"/>
        </w:rPr>
        <w:t xml:space="preserve">m </w:t>
      </w:r>
      <w:r w:rsidR="009B3F1C" w:rsidRPr="009B6A2A">
        <w:rPr>
          <w:rFonts w:ascii="Verdana" w:hAnsi="Verdana"/>
          <w:sz w:val="19"/>
          <w:szCs w:val="19"/>
        </w:rPr>
        <w:t xml:space="preserve">criminal </w:t>
      </w:r>
      <w:r w:rsidR="006E3808" w:rsidRPr="009B6A2A">
        <w:rPr>
          <w:rFonts w:ascii="Verdana" w:hAnsi="Verdana"/>
          <w:sz w:val="19"/>
          <w:szCs w:val="19"/>
        </w:rPr>
        <w:t xml:space="preserve">charges; obstacles to the work and </w:t>
      </w:r>
      <w:r w:rsidR="006E3808" w:rsidRPr="009B6A2A">
        <w:rPr>
          <w:rFonts w:ascii="Verdana" w:hAnsi="Verdana"/>
          <w:sz w:val="19"/>
          <w:szCs w:val="19"/>
        </w:rPr>
        <w:lastRenderedPageBreak/>
        <w:t>independence of lawyers; and lack of implementation of</w:t>
      </w:r>
      <w:r w:rsidR="00382B07">
        <w:rPr>
          <w:rFonts w:ascii="Verdana" w:hAnsi="Verdana"/>
          <w:sz w:val="19"/>
          <w:szCs w:val="19"/>
        </w:rPr>
        <w:t>,</w:t>
      </w:r>
      <w:r w:rsidR="006E3808" w:rsidRPr="009B6A2A">
        <w:rPr>
          <w:rFonts w:ascii="Verdana" w:hAnsi="Verdana"/>
          <w:sz w:val="19"/>
          <w:szCs w:val="19"/>
        </w:rPr>
        <w:t xml:space="preserve"> and statements of open rejection of</w:t>
      </w:r>
      <w:r w:rsidR="00382B07">
        <w:rPr>
          <w:rFonts w:ascii="Verdana" w:hAnsi="Verdana"/>
          <w:sz w:val="19"/>
          <w:szCs w:val="19"/>
        </w:rPr>
        <w:t>,</w:t>
      </w:r>
      <w:r w:rsidR="006E3808" w:rsidRPr="009B6A2A">
        <w:rPr>
          <w:rFonts w:ascii="Verdana" w:hAnsi="Verdana"/>
          <w:sz w:val="19"/>
          <w:szCs w:val="19"/>
        </w:rPr>
        <w:t xml:space="preserve"> the </w:t>
      </w:r>
      <w:r w:rsidR="00382B07">
        <w:rPr>
          <w:rFonts w:ascii="Verdana" w:hAnsi="Verdana"/>
          <w:sz w:val="19"/>
          <w:szCs w:val="19"/>
        </w:rPr>
        <w:t xml:space="preserve">European Court of Human Rights’ </w:t>
      </w:r>
      <w:r w:rsidR="006E3808" w:rsidRPr="009B6A2A">
        <w:rPr>
          <w:rFonts w:ascii="Verdana" w:hAnsi="Verdana"/>
          <w:sz w:val="19"/>
          <w:szCs w:val="19"/>
        </w:rPr>
        <w:t>judgments.</w:t>
      </w:r>
      <w:r w:rsidR="006E3808" w:rsidRPr="00BA7D56">
        <w:rPr>
          <w:rStyle w:val="Funotenzeichen"/>
          <w:rFonts w:ascii="Verdana" w:hAnsi="Verdana"/>
          <w:sz w:val="19"/>
          <w:szCs w:val="19"/>
        </w:rPr>
        <w:footnoteReference w:id="24"/>
      </w:r>
    </w:p>
    <w:p w14:paraId="69BBD732" w14:textId="3B60E75B" w:rsidR="002809D7" w:rsidRPr="00BA7D56" w:rsidRDefault="006E3808" w:rsidP="00C35B71">
      <w:pPr>
        <w:pStyle w:val="Listenabsatz"/>
        <w:numPr>
          <w:ilvl w:val="0"/>
          <w:numId w:val="6"/>
        </w:numPr>
        <w:spacing w:after="120"/>
        <w:contextualSpacing w:val="0"/>
        <w:jc w:val="both"/>
        <w:rPr>
          <w:rFonts w:ascii="Verdana" w:hAnsi="Verdana"/>
          <w:sz w:val="19"/>
          <w:szCs w:val="19"/>
          <w:lang w:val="en-US"/>
        </w:rPr>
      </w:pPr>
      <w:r w:rsidRPr="00BA7D56">
        <w:rPr>
          <w:rFonts w:ascii="Verdana" w:hAnsi="Verdana"/>
          <w:sz w:val="19"/>
          <w:szCs w:val="19"/>
        </w:rPr>
        <w:t>Various international actors have raised serious concern about the state of the rule of law</w:t>
      </w:r>
      <w:r w:rsidR="002809D7" w:rsidRPr="00BA7D56">
        <w:rPr>
          <w:rFonts w:ascii="Verdana" w:hAnsi="Verdana"/>
          <w:sz w:val="19"/>
          <w:szCs w:val="19"/>
        </w:rPr>
        <w:t>, human rights</w:t>
      </w:r>
      <w:r w:rsidRPr="00BA7D56">
        <w:rPr>
          <w:rFonts w:ascii="Verdana" w:hAnsi="Verdana"/>
          <w:sz w:val="19"/>
          <w:szCs w:val="19"/>
        </w:rPr>
        <w:t xml:space="preserve"> and independence of the judiciary in Turkey</w:t>
      </w:r>
      <w:r w:rsidR="00A704ED">
        <w:rPr>
          <w:rFonts w:ascii="Verdana" w:hAnsi="Verdana"/>
          <w:sz w:val="19"/>
          <w:szCs w:val="19"/>
        </w:rPr>
        <w:t>,</w:t>
      </w:r>
      <w:r w:rsidR="002809D7" w:rsidRPr="00BA7D56">
        <w:rPr>
          <w:rFonts w:ascii="Verdana" w:hAnsi="Verdana"/>
          <w:sz w:val="19"/>
          <w:szCs w:val="19"/>
        </w:rPr>
        <w:t xml:space="preserve"> </w:t>
      </w:r>
      <w:r w:rsidRPr="00BA7D56">
        <w:rPr>
          <w:rFonts w:ascii="Verdana" w:hAnsi="Verdana"/>
          <w:sz w:val="19"/>
          <w:szCs w:val="19"/>
        </w:rPr>
        <w:t xml:space="preserve">and </w:t>
      </w:r>
      <w:r w:rsidR="00A704ED">
        <w:rPr>
          <w:rFonts w:ascii="Verdana" w:hAnsi="Verdana"/>
          <w:sz w:val="19"/>
          <w:szCs w:val="19"/>
        </w:rPr>
        <w:t xml:space="preserve">have </w:t>
      </w:r>
      <w:r w:rsidR="00AC3163" w:rsidRPr="00BA7D56">
        <w:rPr>
          <w:rFonts w:ascii="Verdana" w:hAnsi="Verdana"/>
          <w:sz w:val="19"/>
          <w:szCs w:val="19"/>
        </w:rPr>
        <w:t xml:space="preserve">called on </w:t>
      </w:r>
      <w:r w:rsidRPr="00BA7D56">
        <w:rPr>
          <w:rFonts w:ascii="Verdana" w:hAnsi="Verdana"/>
          <w:sz w:val="19"/>
          <w:szCs w:val="19"/>
        </w:rPr>
        <w:t>the State to take decisive measures to remedy the situation</w:t>
      </w:r>
      <w:r w:rsidR="00A704ED">
        <w:rPr>
          <w:rFonts w:ascii="Verdana" w:hAnsi="Verdana"/>
          <w:sz w:val="19"/>
          <w:szCs w:val="19"/>
        </w:rPr>
        <w:t>,</w:t>
      </w:r>
      <w:r w:rsidRPr="00BA7D56">
        <w:rPr>
          <w:rFonts w:ascii="Verdana" w:hAnsi="Verdana"/>
          <w:sz w:val="19"/>
          <w:szCs w:val="19"/>
        </w:rPr>
        <w:t xml:space="preserve"> and rever</w:t>
      </w:r>
      <w:r w:rsidR="00AC3163" w:rsidRPr="00BA7D56">
        <w:rPr>
          <w:rFonts w:ascii="Verdana" w:hAnsi="Verdana"/>
          <w:sz w:val="19"/>
          <w:szCs w:val="19"/>
        </w:rPr>
        <w:t>se</w:t>
      </w:r>
      <w:r w:rsidRPr="00BA7D56">
        <w:rPr>
          <w:rFonts w:ascii="Verdana" w:hAnsi="Verdana"/>
          <w:sz w:val="19"/>
          <w:szCs w:val="19"/>
        </w:rPr>
        <w:t xml:space="preserve"> the problematic changes and practices adopted</w:t>
      </w:r>
      <w:r w:rsidR="00AC3163" w:rsidRPr="00BA7D56">
        <w:rPr>
          <w:rFonts w:ascii="Verdana" w:hAnsi="Verdana"/>
          <w:sz w:val="19"/>
          <w:szCs w:val="19"/>
        </w:rPr>
        <w:t xml:space="preserve"> in relation to the judiciary</w:t>
      </w:r>
      <w:r w:rsidRPr="00BA7D56">
        <w:rPr>
          <w:rFonts w:ascii="Verdana" w:hAnsi="Verdana"/>
          <w:sz w:val="19"/>
          <w:szCs w:val="19"/>
        </w:rPr>
        <w:t>.</w:t>
      </w:r>
      <w:r w:rsidRPr="00BA7D56">
        <w:rPr>
          <w:rStyle w:val="Funotenzeichen"/>
          <w:rFonts w:ascii="Verdana" w:hAnsi="Verdana"/>
          <w:sz w:val="19"/>
          <w:szCs w:val="19"/>
        </w:rPr>
        <w:footnoteReference w:id="25"/>
      </w:r>
      <w:r w:rsidRPr="00BA7D56">
        <w:rPr>
          <w:rFonts w:ascii="Verdana" w:hAnsi="Verdana"/>
          <w:sz w:val="19"/>
          <w:szCs w:val="19"/>
        </w:rPr>
        <w:t xml:space="preserve"> </w:t>
      </w:r>
    </w:p>
    <w:p w14:paraId="72BD73A5" w14:textId="0DFBB99A" w:rsidR="008C6961" w:rsidRPr="002860DC" w:rsidRDefault="00200E1A" w:rsidP="0047349B">
      <w:pPr>
        <w:pStyle w:val="Listenabsatz"/>
        <w:numPr>
          <w:ilvl w:val="0"/>
          <w:numId w:val="6"/>
        </w:numPr>
        <w:contextualSpacing w:val="0"/>
        <w:jc w:val="both"/>
        <w:rPr>
          <w:rFonts w:ascii="Verdana" w:hAnsi="Verdana"/>
          <w:sz w:val="19"/>
          <w:szCs w:val="19"/>
          <w:lang w:val="en-US"/>
        </w:rPr>
      </w:pPr>
      <w:r w:rsidRPr="00BA7D56">
        <w:rPr>
          <w:rFonts w:ascii="Verdana" w:hAnsi="Verdana"/>
          <w:sz w:val="19"/>
          <w:szCs w:val="19"/>
        </w:rPr>
        <w:t>T</w:t>
      </w:r>
      <w:r w:rsidR="00DD7811" w:rsidRPr="00BA7D56">
        <w:rPr>
          <w:rFonts w:ascii="Verdana" w:hAnsi="Verdana"/>
          <w:sz w:val="19"/>
          <w:szCs w:val="19"/>
        </w:rPr>
        <w:t xml:space="preserve">he </w:t>
      </w:r>
      <w:r w:rsidR="00AC3163" w:rsidRPr="00BA7D56">
        <w:rPr>
          <w:rFonts w:ascii="Verdana" w:hAnsi="Verdana"/>
          <w:sz w:val="19"/>
          <w:szCs w:val="19"/>
        </w:rPr>
        <w:t xml:space="preserve">systemic lack of independence of the judicial system </w:t>
      </w:r>
      <w:r w:rsidR="00DD7811" w:rsidRPr="00BA7D56">
        <w:rPr>
          <w:rFonts w:ascii="Verdana" w:hAnsi="Verdana"/>
          <w:sz w:val="19"/>
          <w:szCs w:val="19"/>
        </w:rPr>
        <w:t>negatively impact</w:t>
      </w:r>
      <w:r w:rsidR="00A704ED">
        <w:rPr>
          <w:rFonts w:ascii="Verdana" w:hAnsi="Verdana"/>
          <w:sz w:val="19"/>
          <w:szCs w:val="19"/>
        </w:rPr>
        <w:t>s</w:t>
      </w:r>
      <w:r w:rsidR="00DD7811" w:rsidRPr="00BA7D56">
        <w:rPr>
          <w:rFonts w:ascii="Verdana" w:hAnsi="Verdana"/>
          <w:sz w:val="19"/>
          <w:szCs w:val="19"/>
        </w:rPr>
        <w:t xml:space="preserve"> </w:t>
      </w:r>
      <w:r w:rsidR="00A704ED">
        <w:rPr>
          <w:rFonts w:ascii="Verdana" w:hAnsi="Verdana"/>
          <w:sz w:val="19"/>
          <w:szCs w:val="19"/>
        </w:rPr>
        <w:t xml:space="preserve">women’s </w:t>
      </w:r>
      <w:r w:rsidR="00DD7811" w:rsidRPr="00BA7D56">
        <w:rPr>
          <w:rFonts w:ascii="Verdana" w:hAnsi="Verdana"/>
          <w:sz w:val="19"/>
          <w:szCs w:val="19"/>
        </w:rPr>
        <w:t>access to justice and effective remed</w:t>
      </w:r>
      <w:r w:rsidR="00A704ED">
        <w:rPr>
          <w:rFonts w:ascii="Verdana" w:hAnsi="Verdana"/>
          <w:sz w:val="19"/>
          <w:szCs w:val="19"/>
        </w:rPr>
        <w:t>ies</w:t>
      </w:r>
      <w:r w:rsidR="00DD7811" w:rsidRPr="00BA7D56">
        <w:rPr>
          <w:rFonts w:ascii="Verdana" w:hAnsi="Verdana"/>
          <w:sz w:val="19"/>
          <w:szCs w:val="19"/>
        </w:rPr>
        <w:t xml:space="preserve"> for </w:t>
      </w:r>
      <w:r w:rsidR="00A704ED">
        <w:rPr>
          <w:rFonts w:ascii="Verdana" w:hAnsi="Verdana"/>
          <w:sz w:val="19"/>
          <w:szCs w:val="19"/>
        </w:rPr>
        <w:t xml:space="preserve">violations of their human </w:t>
      </w:r>
      <w:r w:rsidR="00DD7811" w:rsidRPr="00BA7D56">
        <w:rPr>
          <w:rFonts w:ascii="Verdana" w:hAnsi="Verdana"/>
          <w:sz w:val="19"/>
          <w:szCs w:val="19"/>
        </w:rPr>
        <w:t>rights and</w:t>
      </w:r>
      <w:r w:rsidR="00A704ED">
        <w:rPr>
          <w:rFonts w:ascii="Verdana" w:hAnsi="Verdana"/>
          <w:sz w:val="19"/>
          <w:szCs w:val="19"/>
        </w:rPr>
        <w:t>,</w:t>
      </w:r>
      <w:r w:rsidR="00DD7811" w:rsidRPr="00BA7D56">
        <w:rPr>
          <w:rFonts w:ascii="Verdana" w:hAnsi="Verdana"/>
          <w:sz w:val="19"/>
          <w:szCs w:val="19"/>
        </w:rPr>
        <w:t xml:space="preserve"> therefore</w:t>
      </w:r>
      <w:r w:rsidR="00A704ED">
        <w:rPr>
          <w:rFonts w:ascii="Verdana" w:hAnsi="Verdana"/>
          <w:sz w:val="19"/>
          <w:szCs w:val="19"/>
        </w:rPr>
        <w:t>,</w:t>
      </w:r>
      <w:r w:rsidR="00DD7811" w:rsidRPr="00BA7D56">
        <w:rPr>
          <w:rFonts w:ascii="Verdana" w:hAnsi="Verdana"/>
          <w:sz w:val="19"/>
          <w:szCs w:val="19"/>
        </w:rPr>
        <w:t xml:space="preserve"> undermine</w:t>
      </w:r>
      <w:r w:rsidR="00A704ED">
        <w:rPr>
          <w:rFonts w:ascii="Verdana" w:hAnsi="Verdana"/>
          <w:sz w:val="19"/>
          <w:szCs w:val="19"/>
        </w:rPr>
        <w:t>s</w:t>
      </w:r>
      <w:r w:rsidR="00DD7811" w:rsidRPr="00BA7D56">
        <w:rPr>
          <w:rFonts w:ascii="Verdana" w:hAnsi="Verdana"/>
          <w:sz w:val="19"/>
          <w:szCs w:val="19"/>
        </w:rPr>
        <w:t xml:space="preserve"> the efficiency of the mechanisms to protect women’s </w:t>
      </w:r>
      <w:r w:rsidR="00A704ED">
        <w:rPr>
          <w:rFonts w:ascii="Verdana" w:hAnsi="Verdana"/>
          <w:sz w:val="19"/>
          <w:szCs w:val="19"/>
        </w:rPr>
        <w:t xml:space="preserve">human </w:t>
      </w:r>
      <w:r w:rsidR="00DD7811" w:rsidRPr="00BA7D56">
        <w:rPr>
          <w:rFonts w:ascii="Verdana" w:hAnsi="Verdana"/>
          <w:sz w:val="19"/>
          <w:szCs w:val="19"/>
        </w:rPr>
        <w:t xml:space="preserve">rights. </w:t>
      </w:r>
    </w:p>
    <w:p w14:paraId="491C17A0" w14:textId="374F8BA9" w:rsidR="002809D7" w:rsidRPr="00BA7D56" w:rsidRDefault="00DD7811" w:rsidP="0047349B">
      <w:pPr>
        <w:pStyle w:val="Listenabsatz"/>
        <w:numPr>
          <w:ilvl w:val="0"/>
          <w:numId w:val="6"/>
        </w:numPr>
        <w:contextualSpacing w:val="0"/>
        <w:jc w:val="both"/>
        <w:rPr>
          <w:rFonts w:ascii="Verdana" w:hAnsi="Verdana"/>
          <w:sz w:val="19"/>
          <w:szCs w:val="19"/>
          <w:lang w:val="en-US"/>
        </w:rPr>
      </w:pPr>
      <w:r w:rsidRPr="00BA7D56">
        <w:rPr>
          <w:rFonts w:ascii="Verdana" w:hAnsi="Verdana"/>
          <w:sz w:val="19"/>
          <w:szCs w:val="19"/>
        </w:rPr>
        <w:t>Th</w:t>
      </w:r>
      <w:r w:rsidR="008C6961">
        <w:rPr>
          <w:rFonts w:ascii="Verdana" w:hAnsi="Verdana"/>
          <w:sz w:val="19"/>
          <w:szCs w:val="19"/>
        </w:rPr>
        <w:t xml:space="preserve">e above </w:t>
      </w:r>
      <w:r w:rsidRPr="00BA7D56">
        <w:rPr>
          <w:rFonts w:ascii="Verdana" w:hAnsi="Verdana"/>
          <w:sz w:val="19"/>
          <w:szCs w:val="19"/>
        </w:rPr>
        <w:t xml:space="preserve">is particularly concerning in light of the government’s </w:t>
      </w:r>
      <w:r w:rsidR="00A704ED">
        <w:rPr>
          <w:rFonts w:ascii="Verdana" w:hAnsi="Verdana"/>
          <w:sz w:val="19"/>
          <w:szCs w:val="19"/>
        </w:rPr>
        <w:t xml:space="preserve">hostile </w:t>
      </w:r>
      <w:r w:rsidRPr="00BA7D56">
        <w:rPr>
          <w:rFonts w:ascii="Verdana" w:hAnsi="Verdana"/>
          <w:sz w:val="19"/>
          <w:szCs w:val="19"/>
        </w:rPr>
        <w:t xml:space="preserve">attitude towards women’s </w:t>
      </w:r>
      <w:r w:rsidR="00A704ED">
        <w:rPr>
          <w:rFonts w:ascii="Verdana" w:hAnsi="Verdana"/>
          <w:sz w:val="19"/>
          <w:szCs w:val="19"/>
        </w:rPr>
        <w:t xml:space="preserve">human </w:t>
      </w:r>
      <w:r w:rsidRPr="00BA7D56">
        <w:rPr>
          <w:rFonts w:ascii="Verdana" w:hAnsi="Verdana"/>
          <w:sz w:val="19"/>
          <w:szCs w:val="19"/>
        </w:rPr>
        <w:t>rights</w:t>
      </w:r>
      <w:r w:rsidR="008C6961">
        <w:rPr>
          <w:rFonts w:ascii="Verdana" w:hAnsi="Verdana"/>
          <w:sz w:val="19"/>
          <w:szCs w:val="19"/>
        </w:rPr>
        <w:t>, as</w:t>
      </w:r>
      <w:r w:rsidRPr="00BA7D56">
        <w:rPr>
          <w:rFonts w:ascii="Verdana" w:hAnsi="Verdana"/>
          <w:sz w:val="19"/>
          <w:szCs w:val="19"/>
        </w:rPr>
        <w:t xml:space="preserve"> illustrated by </w:t>
      </w:r>
      <w:r w:rsidR="008C6961">
        <w:rPr>
          <w:rFonts w:ascii="Verdana" w:hAnsi="Verdana"/>
          <w:sz w:val="19"/>
          <w:szCs w:val="19"/>
        </w:rPr>
        <w:t xml:space="preserve">its </w:t>
      </w:r>
      <w:r w:rsidRPr="00BA7D56">
        <w:rPr>
          <w:rFonts w:ascii="Verdana" w:hAnsi="Verdana"/>
          <w:sz w:val="19"/>
          <w:szCs w:val="19"/>
        </w:rPr>
        <w:t xml:space="preserve">withdrawal from the Istanbul Convention, and </w:t>
      </w:r>
      <w:r w:rsidR="008C6961">
        <w:rPr>
          <w:rFonts w:ascii="Verdana" w:hAnsi="Verdana"/>
          <w:sz w:val="19"/>
          <w:szCs w:val="19"/>
        </w:rPr>
        <w:t xml:space="preserve">its </w:t>
      </w:r>
      <w:r w:rsidR="004A1FED" w:rsidRPr="00BA7D56">
        <w:rPr>
          <w:rFonts w:ascii="Verdana" w:hAnsi="Verdana"/>
          <w:sz w:val="19"/>
          <w:szCs w:val="19"/>
        </w:rPr>
        <w:t xml:space="preserve">discourse </w:t>
      </w:r>
      <w:r w:rsidR="005F74F5">
        <w:rPr>
          <w:rFonts w:ascii="Verdana" w:hAnsi="Verdana"/>
          <w:sz w:val="19"/>
          <w:szCs w:val="19"/>
        </w:rPr>
        <w:t xml:space="preserve">depicting women’s human rights as </w:t>
      </w:r>
      <w:r w:rsidR="004A1FED" w:rsidRPr="00BA7D56">
        <w:rPr>
          <w:rFonts w:ascii="Verdana" w:hAnsi="Verdana"/>
          <w:sz w:val="19"/>
          <w:szCs w:val="19"/>
        </w:rPr>
        <w:t>posing a threat to “traditional family values”</w:t>
      </w:r>
      <w:r w:rsidR="003D12A8" w:rsidRPr="00BA7D56">
        <w:rPr>
          <w:rFonts w:ascii="Verdana" w:hAnsi="Verdana"/>
          <w:sz w:val="19"/>
          <w:szCs w:val="19"/>
        </w:rPr>
        <w:t>.</w:t>
      </w:r>
      <w:r w:rsidR="00536826" w:rsidRPr="00BA7D56">
        <w:rPr>
          <w:rStyle w:val="Funotenzeichen"/>
          <w:rFonts w:ascii="Verdana" w:hAnsi="Verdana"/>
          <w:sz w:val="19"/>
          <w:szCs w:val="19"/>
        </w:rPr>
        <w:footnoteReference w:id="26"/>
      </w:r>
    </w:p>
    <w:p w14:paraId="53DB994D" w14:textId="01AD9D7A" w:rsidR="00AA679D" w:rsidRPr="00BA7D56" w:rsidRDefault="00A827B4" w:rsidP="0047349B">
      <w:pPr>
        <w:pStyle w:val="berschrift2"/>
        <w:spacing w:before="240" w:after="120"/>
        <w:contextualSpacing w:val="0"/>
        <w:rPr>
          <w:rFonts w:ascii="Verdana" w:hAnsi="Verdana"/>
          <w:sz w:val="19"/>
          <w:szCs w:val="19"/>
        </w:rPr>
      </w:pPr>
      <w:bookmarkStart w:id="5" w:name="_Toc102735056"/>
      <w:r w:rsidRPr="00BA7D56">
        <w:rPr>
          <w:rFonts w:ascii="Verdana" w:hAnsi="Verdana"/>
          <w:sz w:val="19"/>
          <w:szCs w:val="19"/>
        </w:rPr>
        <w:t xml:space="preserve">Access to justice in relation to environmental </w:t>
      </w:r>
      <w:r w:rsidR="005757B0" w:rsidRPr="00BA7D56">
        <w:rPr>
          <w:rFonts w:ascii="Verdana" w:hAnsi="Verdana"/>
          <w:sz w:val="19"/>
          <w:szCs w:val="19"/>
        </w:rPr>
        <w:t xml:space="preserve">human </w:t>
      </w:r>
      <w:r w:rsidR="005757B0" w:rsidRPr="002860DC">
        <w:rPr>
          <w:rFonts w:ascii="Verdana" w:hAnsi="Verdana"/>
          <w:sz w:val="19"/>
          <w:szCs w:val="19"/>
        </w:rPr>
        <w:t xml:space="preserve">rights </w:t>
      </w:r>
      <w:bookmarkEnd w:id="5"/>
      <w:r w:rsidR="00C81352" w:rsidRPr="002860DC">
        <w:rPr>
          <w:rFonts w:ascii="Verdana" w:hAnsi="Verdana"/>
          <w:sz w:val="19"/>
          <w:szCs w:val="19"/>
        </w:rPr>
        <w:t>challenges</w:t>
      </w:r>
    </w:p>
    <w:p w14:paraId="1F22732F" w14:textId="6224C207" w:rsidR="00A827B4" w:rsidRPr="00BA7D56" w:rsidRDefault="002A00CA" w:rsidP="00C35B71">
      <w:pPr>
        <w:pStyle w:val="Listenabsatz"/>
        <w:numPr>
          <w:ilvl w:val="0"/>
          <w:numId w:val="6"/>
        </w:numPr>
        <w:spacing w:after="120"/>
        <w:contextualSpacing w:val="0"/>
        <w:jc w:val="both"/>
        <w:rPr>
          <w:rFonts w:ascii="Verdana" w:hAnsi="Verdana"/>
          <w:sz w:val="19"/>
          <w:szCs w:val="19"/>
        </w:rPr>
      </w:pPr>
      <w:r w:rsidRPr="00BA7D56">
        <w:rPr>
          <w:rFonts w:ascii="Verdana" w:hAnsi="Verdana"/>
          <w:sz w:val="19"/>
          <w:szCs w:val="19"/>
        </w:rPr>
        <w:t xml:space="preserve">As recognized by the CEDAW Committee in its General </w:t>
      </w:r>
      <w:r w:rsidR="00261368" w:rsidRPr="00BA7D56">
        <w:rPr>
          <w:rFonts w:ascii="Verdana" w:hAnsi="Verdana"/>
          <w:sz w:val="19"/>
          <w:szCs w:val="19"/>
        </w:rPr>
        <w:t>Recommendation</w:t>
      </w:r>
      <w:r w:rsidRPr="00BA7D56">
        <w:rPr>
          <w:rFonts w:ascii="Verdana" w:hAnsi="Verdana"/>
          <w:sz w:val="19"/>
          <w:szCs w:val="19"/>
        </w:rPr>
        <w:t xml:space="preserve"> No. 37, </w:t>
      </w:r>
      <w:r w:rsidR="008035F2" w:rsidRPr="00BA7D56">
        <w:rPr>
          <w:rFonts w:ascii="Verdana" w:hAnsi="Verdana"/>
          <w:sz w:val="19"/>
          <w:szCs w:val="19"/>
        </w:rPr>
        <w:t xml:space="preserve">in the context of climate change and environmental degradation, </w:t>
      </w:r>
      <w:r w:rsidRPr="00BA7D56">
        <w:rPr>
          <w:rFonts w:ascii="Verdana" w:hAnsi="Verdana"/>
          <w:sz w:val="19"/>
          <w:szCs w:val="19"/>
        </w:rPr>
        <w:t xml:space="preserve">many women and girls are facing </w:t>
      </w:r>
      <w:r w:rsidR="00A36455" w:rsidRPr="00BA7D56">
        <w:rPr>
          <w:rFonts w:ascii="Verdana" w:hAnsi="Verdana"/>
          <w:sz w:val="19"/>
          <w:szCs w:val="19"/>
        </w:rPr>
        <w:t xml:space="preserve">particular risks to their human rights. Not only do the harmful impacts of environmental degradation affect groups differently, but situations of crisis also exacerbate existing inequalities and compound existing discrimination against marginalized and </w:t>
      </w:r>
      <w:r w:rsidR="00C81352">
        <w:rPr>
          <w:rFonts w:ascii="Verdana" w:hAnsi="Verdana"/>
          <w:sz w:val="19"/>
          <w:szCs w:val="19"/>
        </w:rPr>
        <w:t>at-risk</w:t>
      </w:r>
      <w:r w:rsidR="00C81352" w:rsidRPr="00BA7D56">
        <w:rPr>
          <w:rFonts w:ascii="Verdana" w:hAnsi="Verdana"/>
          <w:sz w:val="19"/>
          <w:szCs w:val="19"/>
        </w:rPr>
        <w:t xml:space="preserve"> </w:t>
      </w:r>
      <w:r w:rsidR="00A36455" w:rsidRPr="00BA7D56">
        <w:rPr>
          <w:rFonts w:ascii="Verdana" w:hAnsi="Verdana"/>
          <w:sz w:val="19"/>
          <w:szCs w:val="19"/>
        </w:rPr>
        <w:t>women.</w:t>
      </w:r>
      <w:r w:rsidR="00A36455" w:rsidRPr="00BA7D56">
        <w:rPr>
          <w:rStyle w:val="Funotenzeichen"/>
          <w:rFonts w:ascii="Verdana" w:hAnsi="Verdana"/>
          <w:sz w:val="19"/>
          <w:szCs w:val="19"/>
        </w:rPr>
        <w:footnoteReference w:id="27"/>
      </w:r>
      <w:r w:rsidR="00A36455" w:rsidRPr="00BA7D56">
        <w:rPr>
          <w:rFonts w:ascii="Verdana" w:hAnsi="Verdana"/>
          <w:sz w:val="19"/>
          <w:szCs w:val="19"/>
        </w:rPr>
        <w:t xml:space="preserve"> </w:t>
      </w:r>
      <w:r w:rsidR="00141E7D" w:rsidRPr="00BA7D56">
        <w:rPr>
          <w:rFonts w:ascii="Verdana" w:hAnsi="Verdana"/>
          <w:sz w:val="19"/>
          <w:szCs w:val="19"/>
        </w:rPr>
        <w:t xml:space="preserve">Considering that women often face particular barriers to their access to justice and </w:t>
      </w:r>
      <w:r w:rsidR="00C81352">
        <w:rPr>
          <w:rFonts w:ascii="Verdana" w:hAnsi="Verdana"/>
          <w:sz w:val="19"/>
          <w:szCs w:val="19"/>
        </w:rPr>
        <w:t xml:space="preserve">to securing </w:t>
      </w:r>
      <w:r w:rsidR="00141E7D" w:rsidRPr="00BA7D56">
        <w:rPr>
          <w:rFonts w:ascii="Verdana" w:hAnsi="Verdana"/>
          <w:sz w:val="19"/>
          <w:szCs w:val="19"/>
        </w:rPr>
        <w:t>effective remed</w:t>
      </w:r>
      <w:r w:rsidR="00C81352">
        <w:rPr>
          <w:rFonts w:ascii="Verdana" w:hAnsi="Verdana"/>
          <w:sz w:val="19"/>
          <w:szCs w:val="19"/>
        </w:rPr>
        <w:t xml:space="preserve">ies for violations of </w:t>
      </w:r>
      <w:r w:rsidR="00141E7D" w:rsidRPr="00BA7D56">
        <w:rPr>
          <w:rFonts w:ascii="Verdana" w:hAnsi="Verdana"/>
          <w:sz w:val="19"/>
          <w:szCs w:val="19"/>
        </w:rPr>
        <w:t xml:space="preserve">their human rights, </w:t>
      </w:r>
      <w:r w:rsidR="00791A67">
        <w:rPr>
          <w:rFonts w:ascii="Verdana" w:hAnsi="Verdana"/>
          <w:sz w:val="19"/>
          <w:szCs w:val="19"/>
        </w:rPr>
        <w:t xml:space="preserve">the following section focuses on </w:t>
      </w:r>
      <w:r w:rsidR="00A36455" w:rsidRPr="00BA7D56">
        <w:rPr>
          <w:rFonts w:ascii="Verdana" w:hAnsi="Verdana"/>
          <w:sz w:val="19"/>
          <w:szCs w:val="19"/>
        </w:rPr>
        <w:t>women’s access to justice and effective remed</w:t>
      </w:r>
      <w:r w:rsidR="00791A67">
        <w:rPr>
          <w:rFonts w:ascii="Verdana" w:hAnsi="Verdana"/>
          <w:sz w:val="19"/>
          <w:szCs w:val="19"/>
        </w:rPr>
        <w:t xml:space="preserve">ies </w:t>
      </w:r>
      <w:r w:rsidR="00A36455" w:rsidRPr="00BA7D56">
        <w:rPr>
          <w:rFonts w:ascii="Verdana" w:hAnsi="Verdana"/>
          <w:sz w:val="19"/>
          <w:szCs w:val="19"/>
        </w:rPr>
        <w:t xml:space="preserve">in </w:t>
      </w:r>
      <w:r w:rsidR="00791A67">
        <w:rPr>
          <w:rFonts w:ascii="Verdana" w:hAnsi="Verdana"/>
          <w:sz w:val="19"/>
          <w:szCs w:val="19"/>
        </w:rPr>
        <w:t xml:space="preserve">the context of </w:t>
      </w:r>
      <w:r w:rsidR="00A36455" w:rsidRPr="00BA7D56">
        <w:rPr>
          <w:rFonts w:ascii="Verdana" w:hAnsi="Verdana"/>
          <w:sz w:val="19"/>
          <w:szCs w:val="19"/>
        </w:rPr>
        <w:t>environment</w:t>
      </w:r>
      <w:r w:rsidR="00141E7D" w:rsidRPr="00BA7D56">
        <w:rPr>
          <w:rFonts w:ascii="Verdana" w:hAnsi="Verdana"/>
          <w:sz w:val="19"/>
          <w:szCs w:val="19"/>
        </w:rPr>
        <w:t xml:space="preserve">al human rights </w:t>
      </w:r>
      <w:r w:rsidR="00791A67">
        <w:rPr>
          <w:rFonts w:ascii="Verdana" w:hAnsi="Verdana"/>
          <w:sz w:val="19"/>
          <w:szCs w:val="19"/>
        </w:rPr>
        <w:t>challenges</w:t>
      </w:r>
      <w:r w:rsidR="00141E7D" w:rsidRPr="00BA7D56">
        <w:rPr>
          <w:rFonts w:ascii="Verdana" w:hAnsi="Verdana"/>
          <w:sz w:val="19"/>
          <w:szCs w:val="19"/>
        </w:rPr>
        <w:t>.</w:t>
      </w:r>
      <w:r w:rsidR="00141E7D" w:rsidRPr="00BA7D56">
        <w:rPr>
          <w:rStyle w:val="Funotenzeichen"/>
          <w:rFonts w:ascii="Verdana" w:hAnsi="Verdana"/>
          <w:sz w:val="19"/>
          <w:szCs w:val="19"/>
        </w:rPr>
        <w:footnoteReference w:id="28"/>
      </w:r>
    </w:p>
    <w:p w14:paraId="7F22221D" w14:textId="244612AD" w:rsidR="00AF3556" w:rsidRPr="00BA7D56" w:rsidRDefault="000215A9" w:rsidP="00AF3556">
      <w:pPr>
        <w:pStyle w:val="Listenabsatz"/>
        <w:numPr>
          <w:ilvl w:val="0"/>
          <w:numId w:val="6"/>
        </w:numPr>
        <w:spacing w:after="120"/>
        <w:contextualSpacing w:val="0"/>
        <w:jc w:val="both"/>
        <w:rPr>
          <w:rFonts w:ascii="Verdana" w:hAnsi="Verdana"/>
          <w:sz w:val="19"/>
          <w:szCs w:val="19"/>
        </w:rPr>
      </w:pPr>
      <w:r w:rsidRPr="00BA7D56">
        <w:rPr>
          <w:rFonts w:ascii="Verdana" w:hAnsi="Verdana"/>
          <w:sz w:val="19"/>
          <w:szCs w:val="19"/>
        </w:rPr>
        <w:t xml:space="preserve">The right to a healthy environment is protected </w:t>
      </w:r>
      <w:r w:rsidR="009C4DA7">
        <w:rPr>
          <w:rFonts w:ascii="Verdana" w:hAnsi="Verdana"/>
          <w:sz w:val="19"/>
          <w:szCs w:val="19"/>
        </w:rPr>
        <w:t xml:space="preserve">under </w:t>
      </w:r>
      <w:r w:rsidRPr="00BA7D56">
        <w:rPr>
          <w:rFonts w:ascii="Verdana" w:hAnsi="Verdana"/>
          <w:sz w:val="19"/>
          <w:szCs w:val="19"/>
        </w:rPr>
        <w:t>the Environment Law No. 2872, which grants a right to request administrative authorities to take necessary precautions</w:t>
      </w:r>
      <w:r>
        <w:rPr>
          <w:rFonts w:ascii="Verdana" w:hAnsi="Verdana"/>
          <w:sz w:val="19"/>
          <w:szCs w:val="19"/>
        </w:rPr>
        <w:t>,</w:t>
      </w:r>
      <w:r w:rsidRPr="00BA7D56">
        <w:rPr>
          <w:rFonts w:ascii="Verdana" w:hAnsi="Verdana"/>
          <w:sz w:val="19"/>
          <w:szCs w:val="19"/>
        </w:rPr>
        <w:t xml:space="preserve"> and to stop activities that damage the environment.</w:t>
      </w:r>
      <w:r w:rsidRPr="00BA7D56">
        <w:rPr>
          <w:rStyle w:val="Funotenzeichen"/>
          <w:rFonts w:ascii="Verdana" w:hAnsi="Verdana"/>
          <w:sz w:val="19"/>
          <w:szCs w:val="19"/>
        </w:rPr>
        <w:footnoteReference w:id="29"/>
      </w:r>
      <w:r>
        <w:rPr>
          <w:rFonts w:ascii="Verdana" w:hAnsi="Verdana"/>
          <w:sz w:val="19"/>
          <w:szCs w:val="19"/>
        </w:rPr>
        <w:t xml:space="preserve"> In addition, t</w:t>
      </w:r>
      <w:r w:rsidR="00AF3556" w:rsidRPr="00BA7D56">
        <w:rPr>
          <w:rFonts w:ascii="Verdana" w:hAnsi="Verdana"/>
          <w:sz w:val="19"/>
          <w:szCs w:val="19"/>
        </w:rPr>
        <w:t>he Turkish Constitution recognizes a right to live in a health</w:t>
      </w:r>
      <w:r w:rsidR="00B46400" w:rsidRPr="00BA7D56">
        <w:rPr>
          <w:rFonts w:ascii="Verdana" w:hAnsi="Verdana"/>
          <w:sz w:val="19"/>
          <w:szCs w:val="19"/>
        </w:rPr>
        <w:t>y</w:t>
      </w:r>
      <w:r w:rsidR="00AF3556" w:rsidRPr="00BA7D56">
        <w:rPr>
          <w:rFonts w:ascii="Verdana" w:hAnsi="Verdana"/>
          <w:sz w:val="19"/>
          <w:szCs w:val="19"/>
        </w:rPr>
        <w:t xml:space="preserve"> and balanced environment, and the duty of the </w:t>
      </w:r>
      <w:r w:rsidR="00B87441" w:rsidRPr="00BA7D56">
        <w:rPr>
          <w:rFonts w:ascii="Verdana" w:hAnsi="Verdana"/>
          <w:sz w:val="19"/>
          <w:szCs w:val="19"/>
        </w:rPr>
        <w:t xml:space="preserve">State </w:t>
      </w:r>
      <w:r w:rsidR="00AF3556" w:rsidRPr="00BA7D56">
        <w:rPr>
          <w:rFonts w:ascii="Verdana" w:hAnsi="Verdana"/>
          <w:sz w:val="19"/>
          <w:szCs w:val="19"/>
        </w:rPr>
        <w:t>to improve the natural environment, protect environmental health and prevent pollution.</w:t>
      </w:r>
      <w:r w:rsidR="00AF3556" w:rsidRPr="00BA7D56">
        <w:rPr>
          <w:rStyle w:val="Funotenzeichen"/>
          <w:rFonts w:ascii="Verdana" w:hAnsi="Verdana"/>
          <w:sz w:val="19"/>
          <w:szCs w:val="19"/>
        </w:rPr>
        <w:footnoteReference w:id="30"/>
      </w:r>
      <w:r w:rsidR="00AF3556" w:rsidRPr="00BA7D56">
        <w:rPr>
          <w:rFonts w:ascii="Verdana" w:hAnsi="Verdana"/>
          <w:sz w:val="19"/>
          <w:szCs w:val="19"/>
        </w:rPr>
        <w:t xml:space="preserve"> The Constitution also recognizes a</w:t>
      </w:r>
      <w:r w:rsidR="00571615" w:rsidRPr="00BA7D56">
        <w:rPr>
          <w:rFonts w:ascii="Verdana" w:hAnsi="Verdana"/>
          <w:sz w:val="19"/>
          <w:szCs w:val="19"/>
        </w:rPr>
        <w:t>n individual</w:t>
      </w:r>
      <w:r w:rsidR="00AF3556" w:rsidRPr="00BA7D56">
        <w:rPr>
          <w:rFonts w:ascii="Verdana" w:hAnsi="Verdana"/>
          <w:sz w:val="19"/>
          <w:szCs w:val="19"/>
        </w:rPr>
        <w:t xml:space="preserve"> right to apply to the Constitutional Court on the basis of alleged human rights violations falling within the ambit of the European Convention of Human Rights</w:t>
      </w:r>
      <w:r w:rsidR="00571615" w:rsidRPr="00BA7D56">
        <w:rPr>
          <w:rFonts w:ascii="Verdana" w:hAnsi="Verdana"/>
          <w:sz w:val="19"/>
          <w:szCs w:val="19"/>
        </w:rPr>
        <w:t xml:space="preserve"> (“ECHR”).</w:t>
      </w:r>
      <w:r w:rsidR="00AF3556" w:rsidRPr="00BA7D56">
        <w:rPr>
          <w:rStyle w:val="Funotenzeichen"/>
          <w:rFonts w:ascii="Verdana" w:hAnsi="Verdana"/>
          <w:sz w:val="19"/>
          <w:szCs w:val="19"/>
        </w:rPr>
        <w:footnoteReference w:id="31"/>
      </w:r>
      <w:r w:rsidR="00AF3556" w:rsidRPr="00BA7D56">
        <w:rPr>
          <w:rFonts w:ascii="Verdana" w:hAnsi="Verdana"/>
          <w:sz w:val="19"/>
          <w:szCs w:val="19"/>
        </w:rPr>
        <w:t xml:space="preserve"> </w:t>
      </w:r>
      <w:r w:rsidR="00571615" w:rsidRPr="00BA7D56">
        <w:rPr>
          <w:rFonts w:ascii="Verdana" w:hAnsi="Verdana"/>
          <w:sz w:val="19"/>
          <w:szCs w:val="19"/>
        </w:rPr>
        <w:t>However,</w:t>
      </w:r>
      <w:r w:rsidR="00AF3556" w:rsidRPr="00BA7D56">
        <w:rPr>
          <w:rFonts w:ascii="Verdana" w:hAnsi="Verdana"/>
          <w:sz w:val="19"/>
          <w:szCs w:val="19"/>
        </w:rPr>
        <w:t xml:space="preserve"> since the ECHR</w:t>
      </w:r>
      <w:r w:rsidR="00791A67">
        <w:rPr>
          <w:rFonts w:ascii="Verdana" w:hAnsi="Verdana"/>
          <w:sz w:val="19"/>
          <w:szCs w:val="19"/>
        </w:rPr>
        <w:t xml:space="preserve"> </w:t>
      </w:r>
      <w:r w:rsidR="00791A67" w:rsidRPr="00791A67">
        <w:rPr>
          <w:rFonts w:ascii="Verdana" w:hAnsi="Verdana"/>
          <w:sz w:val="19"/>
          <w:szCs w:val="19"/>
          <w:lang w:val="en-IN"/>
        </w:rPr>
        <w:t>guarantees specific rights and freedoms and prohibits unfair and harmful practices</w:t>
      </w:r>
      <w:r w:rsidR="00AF3556" w:rsidRPr="00BA7D56">
        <w:rPr>
          <w:rFonts w:ascii="Verdana" w:hAnsi="Verdana"/>
          <w:sz w:val="19"/>
          <w:szCs w:val="19"/>
        </w:rPr>
        <w:t xml:space="preserve">, environmental claims must </w:t>
      </w:r>
      <w:r w:rsidR="00AF3556" w:rsidRPr="00BA7D56">
        <w:rPr>
          <w:rFonts w:ascii="Verdana" w:hAnsi="Verdana"/>
          <w:sz w:val="19"/>
          <w:szCs w:val="19"/>
        </w:rPr>
        <w:lastRenderedPageBreak/>
        <w:t xml:space="preserve">be based on an ECHR right, such as the right to life (Art 2) or </w:t>
      </w:r>
      <w:r w:rsidR="00571615" w:rsidRPr="00BA7D56">
        <w:rPr>
          <w:rFonts w:ascii="Verdana" w:hAnsi="Verdana"/>
          <w:sz w:val="19"/>
          <w:szCs w:val="19"/>
        </w:rPr>
        <w:t xml:space="preserve">the right to </w:t>
      </w:r>
      <w:r w:rsidR="00791A67" w:rsidRPr="00791A67">
        <w:rPr>
          <w:rFonts w:ascii="Verdana" w:hAnsi="Verdana"/>
          <w:sz w:val="19"/>
          <w:szCs w:val="19"/>
          <w:lang w:val="en-IN"/>
        </w:rPr>
        <w:t>respect for</w:t>
      </w:r>
      <w:r w:rsidR="00791A67">
        <w:rPr>
          <w:rFonts w:ascii="Verdana" w:hAnsi="Verdana"/>
          <w:sz w:val="19"/>
          <w:szCs w:val="19"/>
          <w:lang w:val="en-IN"/>
        </w:rPr>
        <w:t xml:space="preserve"> </w:t>
      </w:r>
      <w:r w:rsidR="00AF3556" w:rsidRPr="00BA7D56">
        <w:rPr>
          <w:rFonts w:ascii="Verdana" w:hAnsi="Verdana"/>
          <w:sz w:val="19"/>
          <w:szCs w:val="19"/>
        </w:rPr>
        <w:t xml:space="preserve">private and family life (Art 8). </w:t>
      </w:r>
    </w:p>
    <w:p w14:paraId="02EA3EDC" w14:textId="70DBFAC2" w:rsidR="00EF17E0" w:rsidRDefault="00AF3556" w:rsidP="007E334C">
      <w:pPr>
        <w:pStyle w:val="Listenabsatz"/>
        <w:numPr>
          <w:ilvl w:val="0"/>
          <w:numId w:val="6"/>
        </w:numPr>
        <w:spacing w:after="120"/>
        <w:contextualSpacing w:val="0"/>
        <w:jc w:val="both"/>
        <w:rPr>
          <w:rFonts w:ascii="Verdana" w:hAnsi="Verdana"/>
          <w:sz w:val="19"/>
          <w:szCs w:val="19"/>
        </w:rPr>
      </w:pPr>
      <w:r w:rsidRPr="00BA7D56">
        <w:rPr>
          <w:rFonts w:ascii="Verdana" w:hAnsi="Verdana"/>
          <w:sz w:val="19"/>
          <w:szCs w:val="19"/>
        </w:rPr>
        <w:t xml:space="preserve">However, </w:t>
      </w:r>
      <w:r w:rsidR="00EC070F" w:rsidRPr="00BA7D56">
        <w:rPr>
          <w:rFonts w:ascii="Verdana" w:hAnsi="Verdana"/>
          <w:sz w:val="19"/>
          <w:szCs w:val="19"/>
        </w:rPr>
        <w:t xml:space="preserve">as established by the ICJ in its report </w:t>
      </w:r>
      <w:r w:rsidR="007F2E36" w:rsidRPr="00BA7D56">
        <w:rPr>
          <w:rFonts w:ascii="Verdana" w:hAnsi="Verdana"/>
          <w:sz w:val="19"/>
          <w:szCs w:val="19"/>
        </w:rPr>
        <w:t xml:space="preserve">“The </w:t>
      </w:r>
      <w:r w:rsidR="00571615" w:rsidRPr="00BA7D56">
        <w:rPr>
          <w:rFonts w:ascii="Verdana" w:hAnsi="Verdana"/>
          <w:sz w:val="19"/>
          <w:szCs w:val="19"/>
        </w:rPr>
        <w:t>S</w:t>
      </w:r>
      <w:r w:rsidR="007F2E36" w:rsidRPr="00BA7D56">
        <w:rPr>
          <w:rFonts w:ascii="Verdana" w:hAnsi="Verdana"/>
          <w:sz w:val="19"/>
          <w:szCs w:val="19"/>
        </w:rPr>
        <w:t>tate of</w:t>
      </w:r>
      <w:r w:rsidR="00EC070F" w:rsidRPr="00BA7D56">
        <w:rPr>
          <w:rFonts w:ascii="Verdana" w:hAnsi="Verdana"/>
          <w:sz w:val="19"/>
          <w:szCs w:val="19"/>
        </w:rPr>
        <w:t xml:space="preserve"> </w:t>
      </w:r>
      <w:r w:rsidR="00571615" w:rsidRPr="00BA7D56">
        <w:rPr>
          <w:rFonts w:ascii="Verdana" w:hAnsi="Verdana"/>
          <w:sz w:val="19"/>
          <w:szCs w:val="19"/>
        </w:rPr>
        <w:t>A</w:t>
      </w:r>
      <w:r w:rsidR="00EC070F" w:rsidRPr="00BA7D56">
        <w:rPr>
          <w:rFonts w:ascii="Verdana" w:hAnsi="Verdana"/>
          <w:sz w:val="19"/>
          <w:szCs w:val="19"/>
        </w:rPr>
        <w:t xml:space="preserve">ccess to </w:t>
      </w:r>
      <w:r w:rsidR="00571615" w:rsidRPr="00BA7D56">
        <w:rPr>
          <w:rFonts w:ascii="Verdana" w:hAnsi="Verdana"/>
          <w:sz w:val="19"/>
          <w:szCs w:val="19"/>
        </w:rPr>
        <w:t>J</w:t>
      </w:r>
      <w:r w:rsidR="00EC070F" w:rsidRPr="00BA7D56">
        <w:rPr>
          <w:rFonts w:ascii="Verdana" w:hAnsi="Verdana"/>
          <w:sz w:val="19"/>
          <w:szCs w:val="19"/>
        </w:rPr>
        <w:t xml:space="preserve">ustice </w:t>
      </w:r>
      <w:r w:rsidR="007F2E36" w:rsidRPr="00BA7D56">
        <w:rPr>
          <w:rFonts w:ascii="Verdana" w:hAnsi="Verdana"/>
          <w:sz w:val="19"/>
          <w:szCs w:val="19"/>
        </w:rPr>
        <w:t xml:space="preserve">to </w:t>
      </w:r>
      <w:r w:rsidR="00571615" w:rsidRPr="00BA7D56">
        <w:rPr>
          <w:rFonts w:ascii="Verdana" w:hAnsi="Verdana"/>
          <w:sz w:val="19"/>
          <w:szCs w:val="19"/>
        </w:rPr>
        <w:t>P</w:t>
      </w:r>
      <w:r w:rsidR="007F2E36" w:rsidRPr="00BA7D56">
        <w:rPr>
          <w:rFonts w:ascii="Verdana" w:hAnsi="Verdana"/>
          <w:sz w:val="19"/>
          <w:szCs w:val="19"/>
        </w:rPr>
        <w:t xml:space="preserve">rotect </w:t>
      </w:r>
      <w:r w:rsidR="00571615" w:rsidRPr="00BA7D56">
        <w:rPr>
          <w:rFonts w:ascii="Verdana" w:hAnsi="Verdana"/>
          <w:sz w:val="19"/>
          <w:szCs w:val="19"/>
        </w:rPr>
        <w:t>H</w:t>
      </w:r>
      <w:r w:rsidR="007F2E36" w:rsidRPr="00BA7D56">
        <w:rPr>
          <w:rFonts w:ascii="Verdana" w:hAnsi="Verdana"/>
          <w:sz w:val="19"/>
          <w:szCs w:val="19"/>
        </w:rPr>
        <w:t xml:space="preserve">uman </w:t>
      </w:r>
      <w:r w:rsidR="00571615" w:rsidRPr="00BA7D56">
        <w:rPr>
          <w:rFonts w:ascii="Verdana" w:hAnsi="Verdana"/>
          <w:sz w:val="19"/>
          <w:szCs w:val="19"/>
        </w:rPr>
        <w:t>R</w:t>
      </w:r>
      <w:r w:rsidR="007F2E36" w:rsidRPr="00BA7D56">
        <w:rPr>
          <w:rFonts w:ascii="Verdana" w:hAnsi="Verdana"/>
          <w:sz w:val="19"/>
          <w:szCs w:val="19"/>
        </w:rPr>
        <w:t xml:space="preserve">ights and the </w:t>
      </w:r>
      <w:r w:rsidR="00571615" w:rsidRPr="00BA7D56">
        <w:rPr>
          <w:rFonts w:ascii="Verdana" w:hAnsi="Verdana"/>
          <w:sz w:val="19"/>
          <w:szCs w:val="19"/>
        </w:rPr>
        <w:t>E</w:t>
      </w:r>
      <w:r w:rsidR="007F2E36" w:rsidRPr="00BA7D56">
        <w:rPr>
          <w:rFonts w:ascii="Verdana" w:hAnsi="Verdana"/>
          <w:sz w:val="19"/>
          <w:szCs w:val="19"/>
        </w:rPr>
        <w:t>nvironment</w:t>
      </w:r>
      <w:r w:rsidR="00EC070F" w:rsidRPr="00BA7D56">
        <w:rPr>
          <w:rFonts w:ascii="Verdana" w:hAnsi="Verdana"/>
          <w:sz w:val="19"/>
          <w:szCs w:val="19"/>
        </w:rPr>
        <w:t xml:space="preserve"> </w:t>
      </w:r>
      <w:r w:rsidRPr="00BA7D56">
        <w:rPr>
          <w:rFonts w:ascii="Verdana" w:hAnsi="Verdana"/>
          <w:sz w:val="19"/>
          <w:szCs w:val="19"/>
        </w:rPr>
        <w:t>in</w:t>
      </w:r>
      <w:r w:rsidR="00AA679D" w:rsidRPr="00BA7D56">
        <w:rPr>
          <w:rFonts w:ascii="Verdana" w:hAnsi="Verdana"/>
          <w:sz w:val="19"/>
          <w:szCs w:val="19"/>
        </w:rPr>
        <w:t xml:space="preserve"> Turkey</w:t>
      </w:r>
      <w:r w:rsidR="007F2E36" w:rsidRPr="00BA7D56">
        <w:rPr>
          <w:rFonts w:ascii="Verdana" w:hAnsi="Verdana"/>
          <w:sz w:val="19"/>
          <w:szCs w:val="19"/>
        </w:rPr>
        <w:t>”</w:t>
      </w:r>
      <w:r w:rsidR="00AA679D" w:rsidRPr="00BA7D56">
        <w:rPr>
          <w:rFonts w:ascii="Verdana" w:hAnsi="Verdana"/>
          <w:sz w:val="19"/>
          <w:szCs w:val="19"/>
        </w:rPr>
        <w:t>,</w:t>
      </w:r>
      <w:r w:rsidR="007F2E36" w:rsidRPr="00BA7D56">
        <w:rPr>
          <w:rStyle w:val="Funotenzeichen"/>
          <w:rFonts w:ascii="Verdana" w:hAnsi="Verdana"/>
          <w:sz w:val="19"/>
          <w:szCs w:val="19"/>
        </w:rPr>
        <w:footnoteReference w:id="32"/>
      </w:r>
      <w:r w:rsidR="00AA679D" w:rsidRPr="00BA7D56">
        <w:rPr>
          <w:rFonts w:ascii="Verdana" w:hAnsi="Verdana"/>
          <w:sz w:val="19"/>
          <w:szCs w:val="19"/>
        </w:rPr>
        <w:t xml:space="preserve"> </w:t>
      </w:r>
      <w:r w:rsidR="00097A5A">
        <w:rPr>
          <w:rFonts w:ascii="Verdana" w:hAnsi="Verdana"/>
          <w:sz w:val="19"/>
          <w:szCs w:val="19"/>
        </w:rPr>
        <w:t xml:space="preserve">several serious concerns arise </w:t>
      </w:r>
      <w:r w:rsidR="00347709" w:rsidRPr="00BA7D56">
        <w:rPr>
          <w:rFonts w:ascii="Verdana" w:hAnsi="Verdana"/>
          <w:sz w:val="19"/>
          <w:szCs w:val="19"/>
        </w:rPr>
        <w:t xml:space="preserve">not only </w:t>
      </w:r>
      <w:r w:rsidR="00097A5A">
        <w:rPr>
          <w:rFonts w:ascii="Verdana" w:hAnsi="Verdana"/>
          <w:sz w:val="19"/>
          <w:szCs w:val="19"/>
        </w:rPr>
        <w:t xml:space="preserve">with respect to </w:t>
      </w:r>
      <w:r w:rsidR="00AA679D" w:rsidRPr="00BA7D56">
        <w:rPr>
          <w:rFonts w:ascii="Verdana" w:hAnsi="Verdana"/>
          <w:sz w:val="19"/>
          <w:szCs w:val="19"/>
        </w:rPr>
        <w:t xml:space="preserve">access to justice in </w:t>
      </w:r>
      <w:r w:rsidRPr="00BA7D56">
        <w:rPr>
          <w:rFonts w:ascii="Verdana" w:hAnsi="Verdana"/>
          <w:sz w:val="19"/>
          <w:szCs w:val="19"/>
        </w:rPr>
        <w:t xml:space="preserve">general, as discussed above, </w:t>
      </w:r>
      <w:r w:rsidR="00347709" w:rsidRPr="00BA7D56">
        <w:rPr>
          <w:rFonts w:ascii="Verdana" w:hAnsi="Verdana"/>
          <w:sz w:val="19"/>
          <w:szCs w:val="19"/>
        </w:rPr>
        <w:t>but also</w:t>
      </w:r>
      <w:r w:rsidRPr="00BA7D56">
        <w:rPr>
          <w:rFonts w:ascii="Verdana" w:hAnsi="Verdana"/>
          <w:sz w:val="19"/>
          <w:szCs w:val="19"/>
        </w:rPr>
        <w:t xml:space="preserve"> in </w:t>
      </w:r>
      <w:r w:rsidR="00AA679D" w:rsidRPr="00BA7D56">
        <w:rPr>
          <w:rFonts w:ascii="Verdana" w:hAnsi="Verdana"/>
          <w:sz w:val="19"/>
          <w:szCs w:val="19"/>
        </w:rPr>
        <w:t>relation to environmental matters</w:t>
      </w:r>
      <w:r w:rsidRPr="00BA7D56">
        <w:rPr>
          <w:rFonts w:ascii="Verdana" w:hAnsi="Verdana"/>
          <w:sz w:val="19"/>
          <w:szCs w:val="19"/>
        </w:rPr>
        <w:t xml:space="preserve"> in particular. </w:t>
      </w:r>
    </w:p>
    <w:p w14:paraId="1EE4859B" w14:textId="249127E6" w:rsidR="00EF17E0" w:rsidRPr="00BA7D56" w:rsidRDefault="00EF17E0" w:rsidP="00EF17E0">
      <w:pPr>
        <w:pStyle w:val="Listenabsatz"/>
        <w:numPr>
          <w:ilvl w:val="0"/>
          <w:numId w:val="6"/>
        </w:numPr>
        <w:spacing w:after="120"/>
        <w:contextualSpacing w:val="0"/>
        <w:jc w:val="both"/>
        <w:rPr>
          <w:rFonts w:ascii="Verdana" w:hAnsi="Verdana"/>
          <w:sz w:val="19"/>
          <w:szCs w:val="19"/>
        </w:rPr>
      </w:pPr>
      <w:r w:rsidRPr="00BA7D56">
        <w:rPr>
          <w:rFonts w:ascii="Verdana" w:hAnsi="Verdana"/>
          <w:sz w:val="19"/>
          <w:szCs w:val="19"/>
        </w:rPr>
        <w:t xml:space="preserve">Turkey has one of the highest rates of premature deaths caused by pollution in Europe, </w:t>
      </w:r>
      <w:r>
        <w:rPr>
          <w:rFonts w:ascii="Verdana" w:hAnsi="Verdana"/>
          <w:sz w:val="19"/>
          <w:szCs w:val="19"/>
        </w:rPr>
        <w:t xml:space="preserve">and </w:t>
      </w:r>
      <w:r w:rsidRPr="00BA7D56">
        <w:rPr>
          <w:rFonts w:ascii="Verdana" w:hAnsi="Verdana"/>
          <w:sz w:val="19"/>
          <w:szCs w:val="19"/>
        </w:rPr>
        <w:t>ranks second globally in the number of coal-fired power plant projects planned, indicating a disregard for the health harms caused by coal burning.</w:t>
      </w:r>
      <w:r w:rsidRPr="00BA7D56">
        <w:rPr>
          <w:rStyle w:val="Funotenzeichen"/>
          <w:rFonts w:ascii="Verdana" w:hAnsi="Verdana"/>
          <w:sz w:val="19"/>
          <w:szCs w:val="19"/>
        </w:rPr>
        <w:footnoteReference w:id="33"/>
      </w:r>
      <w:r w:rsidRPr="00BA7D56">
        <w:rPr>
          <w:rFonts w:ascii="Verdana" w:hAnsi="Verdana"/>
          <w:sz w:val="19"/>
          <w:szCs w:val="19"/>
        </w:rPr>
        <w:t xml:space="preserve"> In addition, negative health impacts are likely to disproportionately impact </w:t>
      </w:r>
      <w:r>
        <w:rPr>
          <w:rFonts w:ascii="Verdana" w:hAnsi="Verdana"/>
          <w:sz w:val="19"/>
          <w:szCs w:val="19"/>
        </w:rPr>
        <w:t xml:space="preserve">at-risk </w:t>
      </w:r>
      <w:r w:rsidRPr="00BA7D56">
        <w:rPr>
          <w:rFonts w:ascii="Verdana" w:hAnsi="Verdana"/>
          <w:sz w:val="19"/>
          <w:szCs w:val="19"/>
        </w:rPr>
        <w:t>and marginalized groups, such as women with disabilities, children and elderly women, as well as groups particularly exposed to pollution due to</w:t>
      </w:r>
      <w:r>
        <w:rPr>
          <w:rFonts w:ascii="Verdana" w:hAnsi="Verdana"/>
          <w:sz w:val="19"/>
          <w:szCs w:val="19"/>
        </w:rPr>
        <w:t>,</w:t>
      </w:r>
      <w:r w:rsidRPr="00BA7D56">
        <w:rPr>
          <w:rFonts w:ascii="Verdana" w:hAnsi="Verdana"/>
          <w:sz w:val="19"/>
          <w:szCs w:val="19"/>
        </w:rPr>
        <w:t xml:space="preserve"> for instance</w:t>
      </w:r>
      <w:r>
        <w:rPr>
          <w:rFonts w:ascii="Verdana" w:hAnsi="Verdana"/>
          <w:sz w:val="19"/>
          <w:szCs w:val="19"/>
        </w:rPr>
        <w:t>,</w:t>
      </w:r>
      <w:r w:rsidRPr="00BA7D56">
        <w:rPr>
          <w:rFonts w:ascii="Verdana" w:hAnsi="Verdana"/>
          <w:sz w:val="19"/>
          <w:szCs w:val="19"/>
        </w:rPr>
        <w:t xml:space="preserve"> living close to a polluting factory or power</w:t>
      </w:r>
      <w:r>
        <w:rPr>
          <w:rFonts w:ascii="Verdana" w:hAnsi="Verdana"/>
          <w:sz w:val="19"/>
          <w:szCs w:val="19"/>
        </w:rPr>
        <w:t xml:space="preserve"> </w:t>
      </w:r>
      <w:r w:rsidRPr="00BA7D56">
        <w:rPr>
          <w:rFonts w:ascii="Verdana" w:hAnsi="Verdana"/>
          <w:sz w:val="19"/>
          <w:szCs w:val="19"/>
        </w:rPr>
        <w:t>plant. The Turkish legal system lacks a system for Health Impact Assessments to preventatively assess potential negative health impacts of plans or projects, meaning that permits are generally provided without any health assessment.</w:t>
      </w:r>
      <w:r w:rsidRPr="00BA7D56">
        <w:rPr>
          <w:rStyle w:val="Funotenzeichen"/>
          <w:rFonts w:ascii="Verdana" w:hAnsi="Verdana"/>
          <w:sz w:val="19"/>
          <w:szCs w:val="19"/>
        </w:rPr>
        <w:footnoteReference w:id="34"/>
      </w:r>
      <w:r w:rsidRPr="00BA7D56">
        <w:rPr>
          <w:rFonts w:ascii="Verdana" w:hAnsi="Verdana"/>
          <w:sz w:val="19"/>
          <w:szCs w:val="19"/>
        </w:rPr>
        <w:t xml:space="preserve"> </w:t>
      </w:r>
    </w:p>
    <w:p w14:paraId="035FFCDB" w14:textId="41AF8727" w:rsidR="007E334C" w:rsidRPr="00BA7D56" w:rsidRDefault="002E6DEF" w:rsidP="007E334C">
      <w:pPr>
        <w:pStyle w:val="Listenabsatz"/>
        <w:numPr>
          <w:ilvl w:val="0"/>
          <w:numId w:val="6"/>
        </w:numPr>
        <w:spacing w:after="120"/>
        <w:contextualSpacing w:val="0"/>
        <w:jc w:val="both"/>
        <w:rPr>
          <w:rFonts w:ascii="Verdana" w:hAnsi="Verdana"/>
          <w:sz w:val="19"/>
          <w:szCs w:val="19"/>
        </w:rPr>
      </w:pPr>
      <w:r w:rsidRPr="00BA7D56">
        <w:rPr>
          <w:rFonts w:ascii="Verdana" w:hAnsi="Verdana"/>
          <w:sz w:val="19"/>
          <w:szCs w:val="19"/>
        </w:rPr>
        <w:t>The</w:t>
      </w:r>
      <w:r w:rsidR="003D12A8" w:rsidRPr="00BA7D56">
        <w:rPr>
          <w:rFonts w:ascii="Verdana" w:hAnsi="Verdana"/>
          <w:sz w:val="19"/>
          <w:szCs w:val="19"/>
        </w:rPr>
        <w:t xml:space="preserve"> </w:t>
      </w:r>
      <w:r w:rsidRPr="00BA7D56">
        <w:rPr>
          <w:rFonts w:ascii="Verdana" w:hAnsi="Verdana"/>
          <w:sz w:val="19"/>
          <w:szCs w:val="19"/>
        </w:rPr>
        <w:t>lack of independence in the judiciary</w:t>
      </w:r>
      <w:r w:rsidR="00571615" w:rsidRPr="00BA7D56">
        <w:rPr>
          <w:rFonts w:ascii="Verdana" w:hAnsi="Verdana"/>
          <w:sz w:val="19"/>
          <w:szCs w:val="19"/>
        </w:rPr>
        <w:t xml:space="preserve"> </w:t>
      </w:r>
      <w:r w:rsidR="003D12A8" w:rsidRPr="00BA7D56">
        <w:rPr>
          <w:rFonts w:ascii="Verdana" w:hAnsi="Verdana"/>
          <w:sz w:val="19"/>
          <w:szCs w:val="19"/>
        </w:rPr>
        <w:t>allows</w:t>
      </w:r>
      <w:r w:rsidRPr="00BA7D56">
        <w:rPr>
          <w:rFonts w:ascii="Verdana" w:hAnsi="Verdana"/>
          <w:sz w:val="19"/>
          <w:szCs w:val="19"/>
        </w:rPr>
        <w:t xml:space="preserve"> the executive to exercise control over judicial decision</w:t>
      </w:r>
      <w:r w:rsidR="003D12A8" w:rsidRPr="00BA7D56">
        <w:rPr>
          <w:rFonts w:ascii="Verdana" w:hAnsi="Verdana"/>
          <w:sz w:val="19"/>
          <w:szCs w:val="19"/>
        </w:rPr>
        <w:t>-</w:t>
      </w:r>
      <w:r w:rsidRPr="00BA7D56">
        <w:rPr>
          <w:rFonts w:ascii="Verdana" w:hAnsi="Verdana"/>
          <w:sz w:val="19"/>
          <w:szCs w:val="19"/>
        </w:rPr>
        <w:t>making through direct and indirect means</w:t>
      </w:r>
      <w:r w:rsidR="003D12A8" w:rsidRPr="00BA7D56">
        <w:rPr>
          <w:rFonts w:ascii="Verdana" w:hAnsi="Verdana"/>
          <w:sz w:val="19"/>
          <w:szCs w:val="19"/>
        </w:rPr>
        <w:t>.</w:t>
      </w:r>
      <w:r w:rsidRPr="00BA7D56">
        <w:rPr>
          <w:rFonts w:ascii="Verdana" w:hAnsi="Verdana"/>
          <w:sz w:val="19"/>
          <w:szCs w:val="19"/>
        </w:rPr>
        <w:t xml:space="preserve"> </w:t>
      </w:r>
      <w:r w:rsidR="003D12A8" w:rsidRPr="00BA7D56">
        <w:rPr>
          <w:rFonts w:ascii="Verdana" w:hAnsi="Verdana"/>
          <w:sz w:val="19"/>
          <w:szCs w:val="19"/>
        </w:rPr>
        <w:t xml:space="preserve">This </w:t>
      </w:r>
      <w:r w:rsidRPr="00BA7D56">
        <w:rPr>
          <w:rFonts w:ascii="Verdana" w:hAnsi="Verdana"/>
          <w:sz w:val="19"/>
          <w:szCs w:val="19"/>
        </w:rPr>
        <w:t xml:space="preserve">creates an enabling environment for corruption in government agencies, and for collusion between the government and contracting companies, </w:t>
      </w:r>
      <w:r w:rsidR="00571615" w:rsidRPr="00BA7D56">
        <w:rPr>
          <w:rFonts w:ascii="Verdana" w:hAnsi="Verdana"/>
          <w:sz w:val="19"/>
          <w:szCs w:val="19"/>
        </w:rPr>
        <w:t xml:space="preserve">who work together </w:t>
      </w:r>
      <w:r w:rsidRPr="00BA7D56">
        <w:rPr>
          <w:rFonts w:ascii="Verdana" w:hAnsi="Verdana"/>
          <w:sz w:val="19"/>
          <w:szCs w:val="19"/>
        </w:rPr>
        <w:t xml:space="preserve">against local stakeholders and environmental </w:t>
      </w:r>
      <w:r w:rsidR="00097A5A">
        <w:rPr>
          <w:rFonts w:ascii="Verdana" w:hAnsi="Verdana"/>
          <w:sz w:val="19"/>
          <w:szCs w:val="19"/>
        </w:rPr>
        <w:t xml:space="preserve">human </w:t>
      </w:r>
      <w:r w:rsidRPr="00BA7D56">
        <w:rPr>
          <w:rFonts w:ascii="Verdana" w:hAnsi="Verdana"/>
          <w:sz w:val="19"/>
          <w:szCs w:val="19"/>
        </w:rPr>
        <w:t>rights defenders. Many environmental claims in Turkey relate to large</w:t>
      </w:r>
      <w:r w:rsidR="00097A5A">
        <w:rPr>
          <w:rFonts w:ascii="Verdana" w:hAnsi="Verdana"/>
          <w:sz w:val="19"/>
          <w:szCs w:val="19"/>
        </w:rPr>
        <w:t>-</w:t>
      </w:r>
      <w:r w:rsidRPr="00BA7D56">
        <w:rPr>
          <w:rFonts w:ascii="Verdana" w:hAnsi="Verdana"/>
          <w:sz w:val="19"/>
          <w:szCs w:val="19"/>
        </w:rPr>
        <w:t>scale construction and infrastructure projects, such as dams, mines and energy facilities</w:t>
      </w:r>
      <w:r w:rsidR="00097A5A">
        <w:rPr>
          <w:rFonts w:ascii="Verdana" w:hAnsi="Verdana"/>
          <w:sz w:val="19"/>
          <w:szCs w:val="19"/>
        </w:rPr>
        <w:t>. C</w:t>
      </w:r>
      <w:r w:rsidRPr="00BA7D56">
        <w:rPr>
          <w:rFonts w:ascii="Verdana" w:hAnsi="Verdana"/>
          <w:sz w:val="19"/>
          <w:szCs w:val="19"/>
        </w:rPr>
        <w:t>orruption allegations related to such environmentally degrading construction projects have increased significantly during the past decade.</w:t>
      </w:r>
      <w:r w:rsidR="00476B21" w:rsidRPr="00BA7D56">
        <w:rPr>
          <w:rFonts w:ascii="Verdana" w:hAnsi="Verdana"/>
          <w:sz w:val="19"/>
          <w:szCs w:val="19"/>
        </w:rPr>
        <w:t xml:space="preserve"> The lack of judicial independence provides space for corruption, which results in environmental degradation, which</w:t>
      </w:r>
      <w:r w:rsidR="00097A5A">
        <w:rPr>
          <w:rFonts w:ascii="Verdana" w:hAnsi="Verdana"/>
          <w:sz w:val="19"/>
          <w:szCs w:val="19"/>
        </w:rPr>
        <w:t>,</w:t>
      </w:r>
      <w:r w:rsidR="00476B21" w:rsidRPr="00BA7D56">
        <w:rPr>
          <w:rFonts w:ascii="Verdana" w:hAnsi="Verdana"/>
          <w:sz w:val="19"/>
          <w:szCs w:val="19"/>
        </w:rPr>
        <w:t xml:space="preserve"> in turn</w:t>
      </w:r>
      <w:r w:rsidR="00097A5A">
        <w:rPr>
          <w:rFonts w:ascii="Verdana" w:hAnsi="Verdana"/>
          <w:sz w:val="19"/>
          <w:szCs w:val="19"/>
        </w:rPr>
        <w:t xml:space="preserve">, </w:t>
      </w:r>
      <w:r w:rsidR="00476B21" w:rsidRPr="00BA7D56">
        <w:rPr>
          <w:rFonts w:ascii="Verdana" w:hAnsi="Verdana"/>
          <w:sz w:val="19"/>
          <w:szCs w:val="19"/>
        </w:rPr>
        <w:t xml:space="preserve">negatively affects </w:t>
      </w:r>
      <w:r w:rsidR="00097A5A">
        <w:rPr>
          <w:rFonts w:ascii="Verdana" w:hAnsi="Verdana"/>
          <w:sz w:val="19"/>
          <w:szCs w:val="19"/>
        </w:rPr>
        <w:t xml:space="preserve">women’s </w:t>
      </w:r>
      <w:r w:rsidR="00476B21" w:rsidRPr="00BA7D56">
        <w:rPr>
          <w:rFonts w:ascii="Verdana" w:hAnsi="Verdana"/>
          <w:sz w:val="19"/>
          <w:szCs w:val="19"/>
        </w:rPr>
        <w:t xml:space="preserve">enjoyment of </w:t>
      </w:r>
      <w:r w:rsidR="00097A5A">
        <w:rPr>
          <w:rFonts w:ascii="Verdana" w:hAnsi="Verdana"/>
          <w:sz w:val="19"/>
          <w:szCs w:val="19"/>
        </w:rPr>
        <w:t xml:space="preserve">their </w:t>
      </w:r>
      <w:r w:rsidR="00476B21" w:rsidRPr="00BA7D56">
        <w:rPr>
          <w:rFonts w:ascii="Verdana" w:hAnsi="Verdana"/>
          <w:sz w:val="19"/>
          <w:szCs w:val="19"/>
        </w:rPr>
        <w:t>human rights.</w:t>
      </w:r>
      <w:r w:rsidR="00476B21" w:rsidRPr="00BA7D56">
        <w:rPr>
          <w:rStyle w:val="Funotenzeichen"/>
          <w:rFonts w:ascii="Verdana" w:hAnsi="Verdana"/>
          <w:sz w:val="19"/>
          <w:szCs w:val="19"/>
        </w:rPr>
        <w:footnoteReference w:id="35"/>
      </w:r>
      <w:r w:rsidR="00A85F47" w:rsidRPr="00BA7D56">
        <w:rPr>
          <w:rFonts w:ascii="Verdana" w:hAnsi="Verdana"/>
          <w:sz w:val="19"/>
          <w:szCs w:val="19"/>
        </w:rPr>
        <w:t xml:space="preserve"> </w:t>
      </w:r>
    </w:p>
    <w:p w14:paraId="2E7EE4E7" w14:textId="773327F9" w:rsidR="00A85F47" w:rsidRPr="00BA7D56" w:rsidRDefault="0067679D" w:rsidP="007E334C">
      <w:pPr>
        <w:pStyle w:val="Listenabsatz"/>
        <w:numPr>
          <w:ilvl w:val="0"/>
          <w:numId w:val="6"/>
        </w:numPr>
        <w:spacing w:after="120"/>
        <w:contextualSpacing w:val="0"/>
        <w:jc w:val="both"/>
        <w:rPr>
          <w:rFonts w:ascii="Verdana" w:hAnsi="Verdana"/>
          <w:sz w:val="19"/>
          <w:szCs w:val="19"/>
        </w:rPr>
      </w:pPr>
      <w:r w:rsidRPr="00BA7D56">
        <w:rPr>
          <w:rFonts w:ascii="Verdana" w:hAnsi="Verdana"/>
          <w:sz w:val="19"/>
          <w:szCs w:val="19"/>
        </w:rPr>
        <w:t xml:space="preserve">Furthermore, </w:t>
      </w:r>
      <w:r w:rsidR="00A85F47" w:rsidRPr="00BA7D56">
        <w:rPr>
          <w:rFonts w:ascii="Verdana" w:hAnsi="Verdana"/>
          <w:sz w:val="19"/>
          <w:szCs w:val="19"/>
        </w:rPr>
        <w:t xml:space="preserve">other systemic issues hamper </w:t>
      </w:r>
      <w:r w:rsidR="00097A5A">
        <w:rPr>
          <w:rFonts w:ascii="Verdana" w:hAnsi="Verdana"/>
          <w:sz w:val="19"/>
          <w:szCs w:val="19"/>
        </w:rPr>
        <w:t xml:space="preserve">women’s </w:t>
      </w:r>
      <w:r w:rsidR="00A85F47" w:rsidRPr="00BA7D56">
        <w:rPr>
          <w:rFonts w:ascii="Verdana" w:hAnsi="Verdana"/>
          <w:sz w:val="19"/>
          <w:szCs w:val="19"/>
        </w:rPr>
        <w:t>access to justice</w:t>
      </w:r>
      <w:r w:rsidR="00097A5A">
        <w:rPr>
          <w:rFonts w:ascii="Verdana" w:hAnsi="Verdana"/>
          <w:sz w:val="19"/>
          <w:szCs w:val="19"/>
        </w:rPr>
        <w:t xml:space="preserve"> </w:t>
      </w:r>
      <w:r w:rsidR="00A85F47" w:rsidRPr="00BA7D56">
        <w:rPr>
          <w:rFonts w:ascii="Verdana" w:hAnsi="Verdana"/>
          <w:sz w:val="19"/>
          <w:szCs w:val="19"/>
        </w:rPr>
        <w:t>in environmental matters. These include</w:t>
      </w:r>
      <w:r w:rsidR="00097A5A">
        <w:rPr>
          <w:rFonts w:ascii="Verdana" w:hAnsi="Verdana"/>
          <w:sz w:val="19"/>
          <w:szCs w:val="19"/>
        </w:rPr>
        <w:t>:</w:t>
      </w:r>
      <w:r w:rsidR="00A85F47" w:rsidRPr="00BA7D56">
        <w:rPr>
          <w:rFonts w:ascii="Verdana" w:hAnsi="Verdana"/>
          <w:sz w:val="19"/>
          <w:szCs w:val="19"/>
        </w:rPr>
        <w:t xml:space="preserve"> </w:t>
      </w:r>
      <w:r w:rsidR="001E274E" w:rsidRPr="00BA7D56">
        <w:rPr>
          <w:rFonts w:ascii="Verdana" w:hAnsi="Verdana"/>
          <w:sz w:val="19"/>
          <w:szCs w:val="19"/>
        </w:rPr>
        <w:t xml:space="preserve">non-implementation of court judgments, including judgments by the European Court of Human Rights; the widespread use of summary procedures and urgent expropriations to rush through decisions leading to environmental degradation and violations of human rights, such as forced evictions; and </w:t>
      </w:r>
      <w:r w:rsidR="00097A5A">
        <w:rPr>
          <w:rFonts w:ascii="Verdana" w:hAnsi="Verdana"/>
          <w:sz w:val="19"/>
          <w:szCs w:val="19"/>
        </w:rPr>
        <w:t xml:space="preserve">the judiciary’s </w:t>
      </w:r>
      <w:r w:rsidR="001E274E" w:rsidRPr="00BA7D56">
        <w:rPr>
          <w:rFonts w:ascii="Verdana" w:hAnsi="Verdana"/>
          <w:sz w:val="19"/>
          <w:szCs w:val="19"/>
        </w:rPr>
        <w:t>narrow interpretation of the concept of interest, needed to bring an action</w:t>
      </w:r>
      <w:r w:rsidR="00097A5A">
        <w:rPr>
          <w:rFonts w:ascii="Verdana" w:hAnsi="Verdana"/>
          <w:sz w:val="19"/>
          <w:szCs w:val="19"/>
        </w:rPr>
        <w:t xml:space="preserve"> before the courts</w:t>
      </w:r>
      <w:r w:rsidR="001E274E" w:rsidRPr="00BA7D56">
        <w:rPr>
          <w:rFonts w:ascii="Verdana" w:hAnsi="Verdana"/>
          <w:sz w:val="19"/>
          <w:szCs w:val="19"/>
        </w:rPr>
        <w:t>.</w:t>
      </w:r>
      <w:r w:rsidR="001E274E" w:rsidRPr="00BA7D56">
        <w:rPr>
          <w:rStyle w:val="Funotenzeichen"/>
          <w:rFonts w:ascii="Verdana" w:hAnsi="Verdana"/>
          <w:sz w:val="19"/>
          <w:szCs w:val="19"/>
        </w:rPr>
        <w:footnoteReference w:id="36"/>
      </w:r>
      <w:r w:rsidR="001E274E" w:rsidRPr="00BA7D56">
        <w:rPr>
          <w:rFonts w:ascii="Verdana" w:hAnsi="Verdana"/>
          <w:sz w:val="19"/>
          <w:szCs w:val="19"/>
        </w:rPr>
        <w:t xml:space="preserve"> </w:t>
      </w:r>
      <w:r w:rsidR="00E36B9F" w:rsidRPr="00BA7D56">
        <w:rPr>
          <w:rFonts w:ascii="Verdana" w:hAnsi="Verdana"/>
          <w:sz w:val="19"/>
          <w:szCs w:val="19"/>
        </w:rPr>
        <w:t xml:space="preserve">Limitations to individual standing in environmental matters, </w:t>
      </w:r>
      <w:r w:rsidR="003041A9" w:rsidRPr="00BA7D56">
        <w:rPr>
          <w:rFonts w:ascii="Verdana" w:hAnsi="Verdana"/>
          <w:sz w:val="19"/>
          <w:szCs w:val="19"/>
        </w:rPr>
        <w:t xml:space="preserve">the </w:t>
      </w:r>
      <w:r w:rsidR="00E36B9F" w:rsidRPr="00BA7D56">
        <w:rPr>
          <w:rFonts w:ascii="Verdana" w:hAnsi="Verdana"/>
          <w:sz w:val="19"/>
          <w:szCs w:val="19"/>
        </w:rPr>
        <w:t xml:space="preserve">lack of </w:t>
      </w:r>
      <w:r w:rsidR="003041A9" w:rsidRPr="00BA7D56">
        <w:rPr>
          <w:rFonts w:ascii="Verdana" w:hAnsi="Verdana"/>
          <w:sz w:val="19"/>
          <w:szCs w:val="19"/>
        </w:rPr>
        <w:t xml:space="preserve">effective </w:t>
      </w:r>
      <w:r w:rsidR="00E36B9F" w:rsidRPr="00BA7D56">
        <w:rPr>
          <w:rFonts w:ascii="Verdana" w:hAnsi="Verdana"/>
          <w:sz w:val="19"/>
          <w:szCs w:val="19"/>
        </w:rPr>
        <w:t>mechanisms for public participation</w:t>
      </w:r>
      <w:r w:rsidR="003041A9" w:rsidRPr="00BA7D56">
        <w:rPr>
          <w:rFonts w:ascii="Verdana" w:hAnsi="Verdana"/>
          <w:sz w:val="19"/>
          <w:szCs w:val="19"/>
        </w:rPr>
        <w:t xml:space="preserve">, as well as </w:t>
      </w:r>
      <w:r w:rsidR="00097A5A">
        <w:rPr>
          <w:rFonts w:ascii="Verdana" w:hAnsi="Verdana"/>
          <w:sz w:val="19"/>
          <w:szCs w:val="19"/>
        </w:rPr>
        <w:t xml:space="preserve">a </w:t>
      </w:r>
      <w:r w:rsidR="003041A9" w:rsidRPr="00BA7D56">
        <w:rPr>
          <w:rFonts w:ascii="Verdana" w:hAnsi="Verdana"/>
          <w:sz w:val="19"/>
          <w:szCs w:val="19"/>
        </w:rPr>
        <w:t xml:space="preserve">lack of transparency and attacks on the freedom of the media also pose a challenge to </w:t>
      </w:r>
      <w:r w:rsidR="00097A5A">
        <w:rPr>
          <w:rFonts w:ascii="Verdana" w:hAnsi="Verdana"/>
          <w:sz w:val="19"/>
          <w:szCs w:val="19"/>
        </w:rPr>
        <w:t xml:space="preserve">women’s </w:t>
      </w:r>
      <w:r w:rsidR="003041A9" w:rsidRPr="00BA7D56">
        <w:rPr>
          <w:rFonts w:ascii="Verdana" w:hAnsi="Verdana"/>
          <w:sz w:val="19"/>
          <w:szCs w:val="19"/>
        </w:rPr>
        <w:t>access to justice</w:t>
      </w:r>
      <w:r w:rsidR="00097A5A">
        <w:rPr>
          <w:rFonts w:ascii="Verdana" w:hAnsi="Verdana"/>
          <w:sz w:val="19"/>
          <w:szCs w:val="19"/>
        </w:rPr>
        <w:t xml:space="preserve"> and effective remedies</w:t>
      </w:r>
      <w:r w:rsidR="003041A9" w:rsidRPr="00BA7D56">
        <w:rPr>
          <w:rFonts w:ascii="Verdana" w:hAnsi="Verdana"/>
          <w:sz w:val="19"/>
          <w:szCs w:val="19"/>
        </w:rPr>
        <w:t xml:space="preserve"> in </w:t>
      </w:r>
      <w:r w:rsidR="00097A5A">
        <w:rPr>
          <w:rFonts w:ascii="Verdana" w:hAnsi="Verdana"/>
          <w:sz w:val="19"/>
          <w:szCs w:val="19"/>
        </w:rPr>
        <w:t xml:space="preserve">the context of </w:t>
      </w:r>
      <w:r w:rsidR="003041A9" w:rsidRPr="00BA7D56">
        <w:rPr>
          <w:rFonts w:ascii="Verdana" w:hAnsi="Verdana"/>
          <w:sz w:val="19"/>
          <w:szCs w:val="19"/>
        </w:rPr>
        <w:t xml:space="preserve">environmental </w:t>
      </w:r>
      <w:r w:rsidR="00097A5A">
        <w:rPr>
          <w:rFonts w:ascii="Verdana" w:hAnsi="Verdana"/>
          <w:sz w:val="19"/>
          <w:szCs w:val="19"/>
        </w:rPr>
        <w:t>human rights challenges</w:t>
      </w:r>
      <w:r w:rsidR="003041A9" w:rsidRPr="00BA7D56">
        <w:rPr>
          <w:rFonts w:ascii="Verdana" w:hAnsi="Verdana"/>
          <w:sz w:val="19"/>
          <w:szCs w:val="19"/>
        </w:rPr>
        <w:t>.</w:t>
      </w:r>
      <w:r w:rsidR="003041A9" w:rsidRPr="00BA7D56">
        <w:rPr>
          <w:rStyle w:val="Funotenzeichen"/>
          <w:rFonts w:ascii="Verdana" w:hAnsi="Verdana"/>
          <w:sz w:val="19"/>
          <w:szCs w:val="19"/>
        </w:rPr>
        <w:footnoteReference w:id="37"/>
      </w:r>
    </w:p>
    <w:p w14:paraId="3838D6DB" w14:textId="6C51DA8D" w:rsidR="005757B0" w:rsidRDefault="005757B0" w:rsidP="005757B0">
      <w:pPr>
        <w:spacing w:after="120"/>
        <w:jc w:val="both"/>
        <w:rPr>
          <w:rFonts w:ascii="Verdana" w:hAnsi="Verdana"/>
          <w:sz w:val="19"/>
          <w:szCs w:val="19"/>
        </w:rPr>
      </w:pPr>
    </w:p>
    <w:p w14:paraId="1B3A4C62" w14:textId="26911A81" w:rsidR="003A5DF3" w:rsidRDefault="003A5DF3" w:rsidP="005757B0">
      <w:pPr>
        <w:spacing w:after="120"/>
        <w:jc w:val="both"/>
        <w:rPr>
          <w:rFonts w:ascii="Verdana" w:hAnsi="Verdana"/>
          <w:sz w:val="19"/>
          <w:szCs w:val="19"/>
        </w:rPr>
      </w:pPr>
    </w:p>
    <w:p w14:paraId="27B2849B" w14:textId="77777777" w:rsidR="003A5DF3" w:rsidRPr="00BA7D56" w:rsidRDefault="003A5DF3" w:rsidP="005757B0">
      <w:pPr>
        <w:spacing w:after="120"/>
        <w:jc w:val="both"/>
        <w:rPr>
          <w:rFonts w:ascii="Verdana" w:hAnsi="Verdana"/>
          <w:sz w:val="19"/>
          <w:szCs w:val="19"/>
        </w:rPr>
      </w:pPr>
    </w:p>
    <w:p w14:paraId="405F3288" w14:textId="0F3B662E" w:rsidR="00A827B4" w:rsidRPr="00BA7D56" w:rsidRDefault="00AA679D" w:rsidP="003155B8">
      <w:pPr>
        <w:pStyle w:val="berschrift1"/>
        <w:spacing w:after="120"/>
        <w:rPr>
          <w:rFonts w:ascii="Verdana" w:hAnsi="Verdana"/>
          <w:sz w:val="19"/>
          <w:szCs w:val="19"/>
        </w:rPr>
      </w:pPr>
      <w:bookmarkStart w:id="6" w:name="_Toc102735057"/>
      <w:r w:rsidRPr="00BA7D56">
        <w:rPr>
          <w:rFonts w:ascii="Verdana" w:hAnsi="Verdana"/>
          <w:sz w:val="19"/>
          <w:szCs w:val="19"/>
        </w:rPr>
        <w:lastRenderedPageBreak/>
        <w:t>Recommendations</w:t>
      </w:r>
      <w:bookmarkEnd w:id="6"/>
    </w:p>
    <w:p w14:paraId="5EED20E7" w14:textId="4B7C3215" w:rsidR="004C5162" w:rsidRPr="00BA7D56" w:rsidRDefault="004C5162" w:rsidP="006C7C65">
      <w:pPr>
        <w:pStyle w:val="Listenabsatz"/>
        <w:numPr>
          <w:ilvl w:val="0"/>
          <w:numId w:val="6"/>
        </w:numPr>
        <w:spacing w:after="120"/>
        <w:ind w:left="357" w:hanging="357"/>
        <w:contextualSpacing w:val="0"/>
        <w:jc w:val="both"/>
        <w:rPr>
          <w:rFonts w:ascii="Verdana" w:hAnsi="Verdana"/>
          <w:sz w:val="19"/>
          <w:szCs w:val="19"/>
        </w:rPr>
      </w:pPr>
      <w:r w:rsidRPr="00BA7D56">
        <w:rPr>
          <w:rFonts w:ascii="Verdana" w:hAnsi="Verdana"/>
          <w:sz w:val="19"/>
          <w:szCs w:val="19"/>
        </w:rPr>
        <w:t xml:space="preserve">In light of the information and human rights concerns discussed above, the ICJ calls on the Committee to </w:t>
      </w:r>
      <w:r w:rsidR="00C4360C" w:rsidRPr="00BA7D56">
        <w:rPr>
          <w:rFonts w:ascii="Verdana" w:hAnsi="Verdana"/>
          <w:sz w:val="19"/>
          <w:szCs w:val="19"/>
        </w:rPr>
        <w:t>recommend</w:t>
      </w:r>
      <w:r w:rsidR="00DB37A0" w:rsidRPr="00BA7D56">
        <w:rPr>
          <w:rFonts w:ascii="Verdana" w:hAnsi="Verdana"/>
          <w:sz w:val="19"/>
          <w:szCs w:val="19"/>
        </w:rPr>
        <w:t xml:space="preserve"> that</w:t>
      </w:r>
      <w:r w:rsidR="00C4360C" w:rsidRPr="00BA7D56">
        <w:rPr>
          <w:rFonts w:ascii="Verdana" w:hAnsi="Verdana"/>
          <w:sz w:val="19"/>
          <w:szCs w:val="19"/>
        </w:rPr>
        <w:t xml:space="preserve"> </w:t>
      </w:r>
      <w:r w:rsidRPr="00BA7D56">
        <w:rPr>
          <w:rFonts w:ascii="Verdana" w:hAnsi="Verdana"/>
          <w:sz w:val="19"/>
          <w:szCs w:val="19"/>
        </w:rPr>
        <w:t>the government of Turkey implement</w:t>
      </w:r>
      <w:r w:rsidR="00DB37A0" w:rsidRPr="00BA7D56">
        <w:rPr>
          <w:rFonts w:ascii="Verdana" w:hAnsi="Verdana"/>
          <w:sz w:val="19"/>
          <w:szCs w:val="19"/>
        </w:rPr>
        <w:t>s</w:t>
      </w:r>
      <w:r w:rsidRPr="00BA7D56">
        <w:rPr>
          <w:rFonts w:ascii="Verdana" w:hAnsi="Verdana"/>
          <w:sz w:val="19"/>
          <w:szCs w:val="19"/>
        </w:rPr>
        <w:t xml:space="preserve"> the following recommendations in order to </w:t>
      </w:r>
      <w:r w:rsidR="00DB37A0" w:rsidRPr="00BA7D56">
        <w:rPr>
          <w:rFonts w:ascii="Verdana" w:hAnsi="Verdana"/>
          <w:sz w:val="19"/>
          <w:szCs w:val="19"/>
        </w:rPr>
        <w:t xml:space="preserve">comply with </w:t>
      </w:r>
      <w:r w:rsidRPr="00BA7D56">
        <w:rPr>
          <w:rFonts w:ascii="Verdana" w:hAnsi="Verdana"/>
          <w:sz w:val="19"/>
          <w:szCs w:val="19"/>
        </w:rPr>
        <w:t xml:space="preserve">its international legal obligations under CEDAW: </w:t>
      </w:r>
    </w:p>
    <w:p w14:paraId="12A45D2B" w14:textId="747280E3" w:rsidR="00B2644A" w:rsidRPr="00BA7D56" w:rsidRDefault="00B2644A" w:rsidP="006C7C65">
      <w:pPr>
        <w:pStyle w:val="Listenabsatz"/>
        <w:numPr>
          <w:ilvl w:val="0"/>
          <w:numId w:val="6"/>
        </w:numPr>
        <w:spacing w:after="120"/>
        <w:ind w:left="357" w:hanging="357"/>
        <w:contextualSpacing w:val="0"/>
        <w:jc w:val="both"/>
        <w:rPr>
          <w:rFonts w:ascii="Verdana" w:hAnsi="Verdana"/>
          <w:sz w:val="19"/>
          <w:szCs w:val="19"/>
          <w:u w:val="single"/>
        </w:rPr>
      </w:pPr>
      <w:r w:rsidRPr="00BA7D56">
        <w:rPr>
          <w:rFonts w:ascii="Verdana" w:hAnsi="Verdana"/>
          <w:sz w:val="19"/>
          <w:szCs w:val="19"/>
          <w:u w:val="single"/>
        </w:rPr>
        <w:t>On</w:t>
      </w:r>
      <w:r w:rsidR="005939DD" w:rsidRPr="00BA7D56">
        <w:rPr>
          <w:rFonts w:ascii="Verdana" w:hAnsi="Verdana"/>
          <w:sz w:val="19"/>
          <w:szCs w:val="19"/>
          <w:u w:val="single"/>
        </w:rPr>
        <w:t xml:space="preserve"> Turkey’s withdrawal from</w:t>
      </w:r>
      <w:r w:rsidRPr="00BA7D56">
        <w:rPr>
          <w:rFonts w:ascii="Verdana" w:hAnsi="Verdana"/>
          <w:sz w:val="19"/>
          <w:szCs w:val="19"/>
          <w:u w:val="single"/>
        </w:rPr>
        <w:t xml:space="preserve"> the Istanbul Convention:</w:t>
      </w:r>
    </w:p>
    <w:p w14:paraId="474651FE" w14:textId="69C9A9C0" w:rsidR="005757B0" w:rsidRPr="00BA7D56" w:rsidRDefault="00C7785F" w:rsidP="00295D83">
      <w:pPr>
        <w:pStyle w:val="Listenabsatz"/>
        <w:numPr>
          <w:ilvl w:val="0"/>
          <w:numId w:val="9"/>
        </w:numPr>
        <w:spacing w:after="120"/>
        <w:ind w:left="1077"/>
        <w:contextualSpacing w:val="0"/>
        <w:jc w:val="both"/>
        <w:rPr>
          <w:rFonts w:ascii="Verdana" w:hAnsi="Verdana"/>
          <w:sz w:val="19"/>
          <w:szCs w:val="19"/>
        </w:rPr>
      </w:pPr>
      <w:r w:rsidRPr="00BA7D56">
        <w:rPr>
          <w:rFonts w:ascii="Verdana" w:hAnsi="Verdana"/>
          <w:sz w:val="19"/>
          <w:szCs w:val="19"/>
        </w:rPr>
        <w:t>Reverse</w:t>
      </w:r>
      <w:r w:rsidR="005757B0" w:rsidRPr="00BA7D56">
        <w:rPr>
          <w:rFonts w:ascii="Verdana" w:hAnsi="Verdana"/>
          <w:sz w:val="19"/>
          <w:szCs w:val="19"/>
        </w:rPr>
        <w:t xml:space="preserve"> its decision to withdraw from the Istanbul Convention.</w:t>
      </w:r>
    </w:p>
    <w:p w14:paraId="7D93E6A7" w14:textId="47446C5D" w:rsidR="009279F8" w:rsidRPr="00BA7D56" w:rsidRDefault="004C5162" w:rsidP="00295D83">
      <w:pPr>
        <w:pStyle w:val="Listenabsatz"/>
        <w:numPr>
          <w:ilvl w:val="0"/>
          <w:numId w:val="9"/>
        </w:numPr>
        <w:spacing w:after="120"/>
        <w:ind w:left="1077"/>
        <w:contextualSpacing w:val="0"/>
        <w:jc w:val="both"/>
        <w:rPr>
          <w:rFonts w:ascii="Verdana" w:hAnsi="Verdana"/>
          <w:sz w:val="19"/>
          <w:szCs w:val="19"/>
        </w:rPr>
      </w:pPr>
      <w:r w:rsidRPr="00BA7D56">
        <w:rPr>
          <w:rFonts w:ascii="Verdana" w:hAnsi="Verdana"/>
          <w:sz w:val="19"/>
          <w:szCs w:val="19"/>
        </w:rPr>
        <w:t>S</w:t>
      </w:r>
      <w:r w:rsidR="009279F8" w:rsidRPr="00BA7D56">
        <w:rPr>
          <w:rFonts w:ascii="Verdana" w:hAnsi="Verdana"/>
          <w:sz w:val="19"/>
          <w:szCs w:val="19"/>
        </w:rPr>
        <w:t>trengthen the existing domestic legal framework and mechanisms for preventing, responding to and remedying violence against women, and to take serious action in cases of femicide and other serious violations of women’s</w:t>
      </w:r>
      <w:r w:rsidR="00C30148">
        <w:rPr>
          <w:rFonts w:ascii="Verdana" w:hAnsi="Verdana"/>
          <w:sz w:val="19"/>
          <w:szCs w:val="19"/>
        </w:rPr>
        <w:t xml:space="preserve"> human</w:t>
      </w:r>
      <w:r w:rsidR="009279F8" w:rsidRPr="00BA7D56">
        <w:rPr>
          <w:rFonts w:ascii="Verdana" w:hAnsi="Verdana"/>
          <w:sz w:val="19"/>
          <w:szCs w:val="19"/>
        </w:rPr>
        <w:t xml:space="preserve"> rights.</w:t>
      </w:r>
    </w:p>
    <w:p w14:paraId="7C5E568A" w14:textId="2F899640" w:rsidR="00B2644A" w:rsidRPr="00BA7D56" w:rsidRDefault="00B2644A" w:rsidP="006C7C65">
      <w:pPr>
        <w:pStyle w:val="Listenabsatz"/>
        <w:numPr>
          <w:ilvl w:val="0"/>
          <w:numId w:val="6"/>
        </w:numPr>
        <w:spacing w:after="0"/>
        <w:contextualSpacing w:val="0"/>
        <w:jc w:val="both"/>
        <w:rPr>
          <w:rFonts w:ascii="Verdana" w:hAnsi="Verdana"/>
          <w:sz w:val="19"/>
          <w:szCs w:val="19"/>
          <w:u w:val="single"/>
        </w:rPr>
      </w:pPr>
      <w:r w:rsidRPr="00BA7D56">
        <w:rPr>
          <w:rFonts w:ascii="Verdana" w:hAnsi="Verdana"/>
          <w:sz w:val="19"/>
          <w:szCs w:val="19"/>
          <w:u w:val="single"/>
        </w:rPr>
        <w:t xml:space="preserve">On </w:t>
      </w:r>
      <w:r w:rsidR="00332981" w:rsidRPr="00BA7D56">
        <w:rPr>
          <w:rFonts w:ascii="Verdana" w:hAnsi="Verdana"/>
          <w:sz w:val="19"/>
          <w:szCs w:val="19"/>
          <w:u w:val="single"/>
        </w:rPr>
        <w:t xml:space="preserve">the rule of law and </w:t>
      </w:r>
      <w:r w:rsidRPr="00BA7D56">
        <w:rPr>
          <w:rFonts w:ascii="Verdana" w:hAnsi="Verdana"/>
          <w:sz w:val="19"/>
          <w:szCs w:val="19"/>
          <w:u w:val="single"/>
        </w:rPr>
        <w:t>access to justice and effective remed</w:t>
      </w:r>
      <w:r w:rsidR="00C30148">
        <w:rPr>
          <w:rFonts w:ascii="Verdana" w:hAnsi="Verdana"/>
          <w:sz w:val="19"/>
          <w:szCs w:val="19"/>
          <w:u w:val="single"/>
        </w:rPr>
        <w:t>ies</w:t>
      </w:r>
      <w:r w:rsidRPr="00BA7D56">
        <w:rPr>
          <w:rFonts w:ascii="Verdana" w:hAnsi="Verdana"/>
          <w:sz w:val="19"/>
          <w:szCs w:val="19"/>
          <w:u w:val="single"/>
        </w:rPr>
        <w:t>:</w:t>
      </w:r>
    </w:p>
    <w:p w14:paraId="61FE2357" w14:textId="1307ED7A" w:rsidR="00332981" w:rsidRPr="00BA7D56" w:rsidRDefault="004C5162" w:rsidP="006C7C65">
      <w:pPr>
        <w:pStyle w:val="Listenabsatz"/>
        <w:numPr>
          <w:ilvl w:val="0"/>
          <w:numId w:val="9"/>
        </w:numPr>
        <w:spacing w:before="100" w:beforeAutospacing="1"/>
        <w:contextualSpacing w:val="0"/>
        <w:jc w:val="both"/>
        <w:rPr>
          <w:rFonts w:ascii="Verdana" w:hAnsi="Verdana"/>
          <w:sz w:val="19"/>
          <w:szCs w:val="19"/>
          <w:lang w:val="en-US"/>
        </w:rPr>
      </w:pPr>
      <w:r w:rsidRPr="00BA7D56">
        <w:rPr>
          <w:rFonts w:ascii="Verdana" w:hAnsi="Verdana"/>
          <w:sz w:val="19"/>
          <w:szCs w:val="19"/>
          <w:lang w:val="en-US"/>
        </w:rPr>
        <w:t>Take</w:t>
      </w:r>
      <w:r w:rsidR="00332981" w:rsidRPr="00BA7D56">
        <w:rPr>
          <w:rFonts w:ascii="Verdana" w:hAnsi="Verdana"/>
          <w:sz w:val="19"/>
          <w:szCs w:val="19"/>
          <w:lang w:val="en-US"/>
        </w:rPr>
        <w:t xml:space="preserve"> decisive measures to ensure the independence of the judiciary and </w:t>
      </w:r>
      <w:r w:rsidR="00C30148">
        <w:rPr>
          <w:rFonts w:ascii="Verdana" w:hAnsi="Verdana"/>
          <w:sz w:val="19"/>
          <w:szCs w:val="19"/>
          <w:lang w:val="en-US"/>
        </w:rPr>
        <w:t xml:space="preserve">the </w:t>
      </w:r>
      <w:r w:rsidR="00332981" w:rsidRPr="00BA7D56">
        <w:rPr>
          <w:rFonts w:ascii="Verdana" w:hAnsi="Verdana"/>
          <w:sz w:val="19"/>
          <w:szCs w:val="19"/>
          <w:lang w:val="en-US"/>
        </w:rPr>
        <w:t>rule of law, including by</w:t>
      </w:r>
      <w:r w:rsidR="005939DD" w:rsidRPr="00BA7D56">
        <w:rPr>
          <w:rFonts w:ascii="Verdana" w:hAnsi="Verdana"/>
          <w:sz w:val="19"/>
          <w:szCs w:val="19"/>
          <w:lang w:val="en-US"/>
        </w:rPr>
        <w:t xml:space="preserve"> amending the </w:t>
      </w:r>
      <w:r w:rsidR="00C30148">
        <w:rPr>
          <w:rFonts w:ascii="Verdana" w:hAnsi="Verdana"/>
          <w:sz w:val="19"/>
          <w:szCs w:val="19"/>
          <w:lang w:val="en-US"/>
        </w:rPr>
        <w:t>C</w:t>
      </w:r>
      <w:r w:rsidR="005939DD" w:rsidRPr="00BA7D56">
        <w:rPr>
          <w:rFonts w:ascii="Verdana" w:hAnsi="Verdana"/>
          <w:sz w:val="19"/>
          <w:szCs w:val="19"/>
          <w:lang w:val="en-US"/>
        </w:rPr>
        <w:t xml:space="preserve">onstitution to </w:t>
      </w:r>
      <w:r w:rsidR="00332981" w:rsidRPr="00BA7D56">
        <w:rPr>
          <w:rFonts w:ascii="Verdana" w:hAnsi="Verdana"/>
          <w:sz w:val="19"/>
          <w:szCs w:val="19"/>
          <w:lang w:val="en-US"/>
        </w:rPr>
        <w:t>put in place safeguards to insulate decision</w:t>
      </w:r>
      <w:r w:rsidR="00C30148">
        <w:rPr>
          <w:rFonts w:ascii="Verdana" w:hAnsi="Verdana"/>
          <w:sz w:val="19"/>
          <w:szCs w:val="19"/>
          <w:lang w:val="en-US"/>
        </w:rPr>
        <w:t>-</w:t>
      </w:r>
      <w:r w:rsidR="00332981" w:rsidRPr="00BA7D56">
        <w:rPr>
          <w:rFonts w:ascii="Verdana" w:hAnsi="Verdana"/>
          <w:sz w:val="19"/>
          <w:szCs w:val="19"/>
          <w:lang w:val="en-US"/>
        </w:rPr>
        <w:t>making about the judiciary and its function from executive influence.</w:t>
      </w:r>
    </w:p>
    <w:p w14:paraId="6D9EAB4D" w14:textId="625F0F21" w:rsidR="00332981" w:rsidRPr="00BA7D56" w:rsidRDefault="004C5162" w:rsidP="006C7C65">
      <w:pPr>
        <w:pStyle w:val="Listenabsatz"/>
        <w:numPr>
          <w:ilvl w:val="0"/>
          <w:numId w:val="9"/>
        </w:numPr>
        <w:spacing w:before="100" w:beforeAutospacing="1"/>
        <w:contextualSpacing w:val="0"/>
        <w:jc w:val="both"/>
        <w:rPr>
          <w:rFonts w:ascii="Verdana" w:hAnsi="Verdana"/>
          <w:sz w:val="19"/>
          <w:szCs w:val="19"/>
          <w:lang w:val="en-US"/>
        </w:rPr>
      </w:pPr>
      <w:r w:rsidRPr="00BA7D56">
        <w:rPr>
          <w:rFonts w:ascii="Verdana" w:hAnsi="Verdana"/>
          <w:sz w:val="19"/>
          <w:szCs w:val="19"/>
          <w:lang w:val="en-US"/>
        </w:rPr>
        <w:t>R</w:t>
      </w:r>
      <w:r w:rsidR="00332981" w:rsidRPr="00BA7D56">
        <w:rPr>
          <w:rFonts w:ascii="Verdana" w:hAnsi="Verdana"/>
          <w:sz w:val="19"/>
          <w:szCs w:val="19"/>
          <w:lang w:val="en-US"/>
        </w:rPr>
        <w:t xml:space="preserve">eform </w:t>
      </w:r>
      <w:r w:rsidR="007B4ECD" w:rsidRPr="00BA7D56">
        <w:rPr>
          <w:rFonts w:ascii="Verdana" w:hAnsi="Verdana"/>
          <w:sz w:val="19"/>
          <w:szCs w:val="19"/>
          <w:lang w:val="en-US"/>
        </w:rPr>
        <w:t xml:space="preserve">key </w:t>
      </w:r>
      <w:r w:rsidR="00332981" w:rsidRPr="00BA7D56">
        <w:rPr>
          <w:rFonts w:ascii="Verdana" w:hAnsi="Verdana"/>
          <w:sz w:val="19"/>
          <w:szCs w:val="19"/>
          <w:lang w:val="en-US"/>
        </w:rPr>
        <w:t>judicial institutions, such as the Council of Judges and Prosecutors, to ensure their independence from the executive</w:t>
      </w:r>
      <w:r w:rsidR="003100A9" w:rsidRPr="00BA7D56">
        <w:rPr>
          <w:rFonts w:ascii="Verdana" w:hAnsi="Verdana"/>
          <w:sz w:val="19"/>
          <w:szCs w:val="19"/>
          <w:lang w:val="en-US"/>
        </w:rPr>
        <w:t>, and to ensure the independence of the legal profession.</w:t>
      </w:r>
    </w:p>
    <w:p w14:paraId="7B1E9BFC" w14:textId="322E1CF7" w:rsidR="00332981" w:rsidRPr="00BA7D56" w:rsidRDefault="007B4ECD" w:rsidP="006C7C65">
      <w:pPr>
        <w:pStyle w:val="Listenabsatz"/>
        <w:numPr>
          <w:ilvl w:val="0"/>
          <w:numId w:val="9"/>
        </w:numPr>
        <w:spacing w:before="100" w:beforeAutospacing="1"/>
        <w:contextualSpacing w:val="0"/>
        <w:jc w:val="both"/>
        <w:rPr>
          <w:rFonts w:ascii="Verdana" w:hAnsi="Verdana"/>
          <w:sz w:val="19"/>
          <w:szCs w:val="19"/>
          <w:lang w:val="en-US"/>
        </w:rPr>
      </w:pPr>
      <w:r w:rsidRPr="00BA7D56">
        <w:rPr>
          <w:rFonts w:ascii="Verdana" w:hAnsi="Verdana"/>
          <w:sz w:val="19"/>
          <w:szCs w:val="19"/>
          <w:lang w:val="en-US"/>
        </w:rPr>
        <w:t xml:space="preserve">End executive </w:t>
      </w:r>
      <w:r w:rsidR="00332981" w:rsidRPr="00BA7D56">
        <w:rPr>
          <w:rFonts w:ascii="Verdana" w:hAnsi="Verdana"/>
          <w:sz w:val="19"/>
          <w:szCs w:val="19"/>
          <w:lang w:val="en-US"/>
        </w:rPr>
        <w:t>interfer</w:t>
      </w:r>
      <w:r w:rsidRPr="00BA7D56">
        <w:rPr>
          <w:rFonts w:ascii="Verdana" w:hAnsi="Verdana"/>
          <w:sz w:val="19"/>
          <w:szCs w:val="19"/>
          <w:lang w:val="en-US"/>
        </w:rPr>
        <w:t>ence</w:t>
      </w:r>
      <w:r w:rsidR="00332981" w:rsidRPr="00BA7D56">
        <w:rPr>
          <w:rFonts w:ascii="Verdana" w:hAnsi="Verdana"/>
          <w:sz w:val="19"/>
          <w:szCs w:val="19"/>
          <w:lang w:val="en-US"/>
        </w:rPr>
        <w:t xml:space="preserve"> in judicial matters, </w:t>
      </w:r>
      <w:r w:rsidR="00C30148">
        <w:rPr>
          <w:rFonts w:ascii="Verdana" w:hAnsi="Verdana"/>
          <w:sz w:val="19"/>
          <w:szCs w:val="19"/>
          <w:lang w:val="en-US"/>
        </w:rPr>
        <w:t xml:space="preserve">since it </w:t>
      </w:r>
      <w:r w:rsidR="00332981" w:rsidRPr="00BA7D56">
        <w:rPr>
          <w:rFonts w:ascii="Verdana" w:hAnsi="Verdana"/>
          <w:sz w:val="19"/>
          <w:szCs w:val="19"/>
          <w:lang w:val="en-US"/>
        </w:rPr>
        <w:t>pos</w:t>
      </w:r>
      <w:r w:rsidR="00C30148">
        <w:rPr>
          <w:rFonts w:ascii="Verdana" w:hAnsi="Verdana"/>
          <w:sz w:val="19"/>
          <w:szCs w:val="19"/>
          <w:lang w:val="en-US"/>
        </w:rPr>
        <w:t xml:space="preserve">es </w:t>
      </w:r>
      <w:r w:rsidR="00332981" w:rsidRPr="00BA7D56">
        <w:rPr>
          <w:rFonts w:ascii="Verdana" w:hAnsi="Verdana"/>
          <w:sz w:val="19"/>
          <w:szCs w:val="19"/>
          <w:lang w:val="en-US"/>
        </w:rPr>
        <w:t xml:space="preserve">a </w:t>
      </w:r>
      <w:r w:rsidR="00C30148">
        <w:rPr>
          <w:rFonts w:ascii="Verdana" w:hAnsi="Verdana"/>
          <w:sz w:val="19"/>
          <w:szCs w:val="19"/>
          <w:lang w:val="en-US"/>
        </w:rPr>
        <w:t xml:space="preserve">real </w:t>
      </w:r>
      <w:r w:rsidR="00332981" w:rsidRPr="00BA7D56">
        <w:rPr>
          <w:rFonts w:ascii="Verdana" w:hAnsi="Verdana"/>
          <w:sz w:val="19"/>
          <w:szCs w:val="19"/>
          <w:lang w:val="en-US"/>
        </w:rPr>
        <w:t>risk to the independence of the judiciary and the rule of law.</w:t>
      </w:r>
    </w:p>
    <w:p w14:paraId="6CFAAD64" w14:textId="2E19F9B0" w:rsidR="00332981" w:rsidRPr="00BA7D56" w:rsidRDefault="004C5162" w:rsidP="006C7C65">
      <w:pPr>
        <w:pStyle w:val="Listenabsatz"/>
        <w:numPr>
          <w:ilvl w:val="0"/>
          <w:numId w:val="9"/>
        </w:numPr>
        <w:spacing w:before="100" w:beforeAutospacing="1"/>
        <w:contextualSpacing w:val="0"/>
        <w:jc w:val="both"/>
        <w:rPr>
          <w:rFonts w:ascii="Verdana" w:hAnsi="Verdana"/>
          <w:sz w:val="19"/>
          <w:szCs w:val="19"/>
          <w:lang w:val="en-US"/>
        </w:rPr>
      </w:pPr>
      <w:r w:rsidRPr="00BA7D56">
        <w:rPr>
          <w:rFonts w:ascii="Verdana" w:hAnsi="Verdana"/>
          <w:sz w:val="19"/>
          <w:szCs w:val="19"/>
          <w:lang w:val="en-US"/>
        </w:rPr>
        <w:t>Put</w:t>
      </w:r>
      <w:r w:rsidR="00332981" w:rsidRPr="00BA7D56">
        <w:rPr>
          <w:rFonts w:ascii="Verdana" w:hAnsi="Verdana"/>
          <w:sz w:val="19"/>
          <w:szCs w:val="19"/>
          <w:lang w:val="en-US"/>
        </w:rPr>
        <w:t xml:space="preserve"> in place independent mechanisms to ensure and support access to justice and effective remedies </w:t>
      </w:r>
      <w:r w:rsidR="00C30148">
        <w:rPr>
          <w:rFonts w:ascii="Verdana" w:hAnsi="Verdana"/>
          <w:sz w:val="19"/>
          <w:szCs w:val="19"/>
          <w:lang w:val="en-US"/>
        </w:rPr>
        <w:t xml:space="preserve">for violations </w:t>
      </w:r>
      <w:r w:rsidR="00332981" w:rsidRPr="00BA7D56">
        <w:rPr>
          <w:rFonts w:ascii="Verdana" w:hAnsi="Verdana"/>
          <w:sz w:val="19"/>
          <w:szCs w:val="19"/>
          <w:lang w:val="en-US"/>
        </w:rPr>
        <w:t>of women</w:t>
      </w:r>
      <w:r w:rsidR="00C30148">
        <w:rPr>
          <w:rFonts w:ascii="Verdana" w:hAnsi="Verdana"/>
          <w:sz w:val="19"/>
          <w:szCs w:val="19"/>
          <w:lang w:val="en-US"/>
        </w:rPr>
        <w:t>’s human rights</w:t>
      </w:r>
      <w:r w:rsidR="00332981" w:rsidRPr="00BA7D56">
        <w:rPr>
          <w:rFonts w:ascii="Verdana" w:hAnsi="Verdana"/>
          <w:sz w:val="19"/>
          <w:szCs w:val="19"/>
          <w:lang w:val="en-US"/>
        </w:rPr>
        <w:t xml:space="preserve">, particularly marginalized and </w:t>
      </w:r>
      <w:r w:rsidR="00C30148">
        <w:rPr>
          <w:rFonts w:ascii="Verdana" w:hAnsi="Verdana"/>
          <w:sz w:val="19"/>
          <w:szCs w:val="19"/>
          <w:lang w:val="en-US"/>
        </w:rPr>
        <w:t>at-risk</w:t>
      </w:r>
      <w:r w:rsidR="00332981" w:rsidRPr="00BA7D56">
        <w:rPr>
          <w:rFonts w:ascii="Verdana" w:hAnsi="Verdana"/>
          <w:sz w:val="19"/>
          <w:szCs w:val="19"/>
          <w:lang w:val="en-US"/>
        </w:rPr>
        <w:t xml:space="preserve"> women, including in relation to violence against women and other serious human rig</w:t>
      </w:r>
      <w:r w:rsidR="003F5B71" w:rsidRPr="00BA7D56">
        <w:rPr>
          <w:rFonts w:ascii="Verdana" w:hAnsi="Verdana"/>
          <w:sz w:val="19"/>
          <w:szCs w:val="19"/>
          <w:lang w:val="en-US"/>
        </w:rPr>
        <w:t>h</w:t>
      </w:r>
      <w:r w:rsidR="00332981" w:rsidRPr="00BA7D56">
        <w:rPr>
          <w:rFonts w:ascii="Verdana" w:hAnsi="Verdana"/>
          <w:sz w:val="19"/>
          <w:szCs w:val="19"/>
          <w:lang w:val="en-US"/>
        </w:rPr>
        <w:t>ts violations.</w:t>
      </w:r>
    </w:p>
    <w:p w14:paraId="43DE5260" w14:textId="6B7D82AA" w:rsidR="00BE5D2F" w:rsidRPr="00BA7D56" w:rsidRDefault="004C5162" w:rsidP="006C7C65">
      <w:pPr>
        <w:pStyle w:val="Listenabsatz"/>
        <w:numPr>
          <w:ilvl w:val="0"/>
          <w:numId w:val="9"/>
        </w:numPr>
        <w:spacing w:before="100" w:beforeAutospacing="1"/>
        <w:contextualSpacing w:val="0"/>
        <w:jc w:val="both"/>
        <w:rPr>
          <w:rFonts w:ascii="Verdana" w:hAnsi="Verdana"/>
          <w:sz w:val="19"/>
          <w:szCs w:val="19"/>
          <w:lang w:val="en-US"/>
        </w:rPr>
      </w:pPr>
      <w:r w:rsidRPr="00BA7D56">
        <w:rPr>
          <w:rFonts w:ascii="Verdana" w:hAnsi="Verdana"/>
          <w:sz w:val="19"/>
          <w:szCs w:val="19"/>
        </w:rPr>
        <w:t>Take</w:t>
      </w:r>
      <w:r w:rsidR="00BE5D2F" w:rsidRPr="00BA7D56">
        <w:rPr>
          <w:rFonts w:ascii="Verdana" w:hAnsi="Verdana"/>
          <w:sz w:val="19"/>
          <w:szCs w:val="19"/>
        </w:rPr>
        <w:t xml:space="preserve"> specific measures to ensure women’s access to justice, including reviewing the existing legal framework; putting in place </w:t>
      </w:r>
      <w:r w:rsidR="00567DC6" w:rsidRPr="00BA7D56">
        <w:rPr>
          <w:rFonts w:ascii="Verdana" w:hAnsi="Verdana"/>
          <w:sz w:val="19"/>
          <w:szCs w:val="19"/>
        </w:rPr>
        <w:t xml:space="preserve">legal literacy and </w:t>
      </w:r>
      <w:r w:rsidR="00BE5D2F" w:rsidRPr="00BA7D56">
        <w:rPr>
          <w:rFonts w:ascii="Verdana" w:hAnsi="Verdana"/>
          <w:sz w:val="19"/>
          <w:szCs w:val="19"/>
        </w:rPr>
        <w:t>awareness</w:t>
      </w:r>
      <w:r w:rsidR="00C30148">
        <w:rPr>
          <w:rFonts w:ascii="Verdana" w:hAnsi="Verdana"/>
          <w:sz w:val="19"/>
          <w:szCs w:val="19"/>
        </w:rPr>
        <w:t>-</w:t>
      </w:r>
      <w:r w:rsidR="00BE5D2F" w:rsidRPr="00BA7D56">
        <w:rPr>
          <w:rFonts w:ascii="Verdana" w:hAnsi="Verdana"/>
          <w:sz w:val="19"/>
          <w:szCs w:val="19"/>
        </w:rPr>
        <w:t>raising measures among women</w:t>
      </w:r>
      <w:r w:rsidR="00567DC6" w:rsidRPr="00BA7D56">
        <w:rPr>
          <w:rFonts w:ascii="Verdana" w:hAnsi="Verdana"/>
          <w:sz w:val="19"/>
          <w:szCs w:val="19"/>
        </w:rPr>
        <w:t xml:space="preserve"> to educate them about their </w:t>
      </w:r>
      <w:r w:rsidR="00C30148">
        <w:rPr>
          <w:rFonts w:ascii="Verdana" w:hAnsi="Verdana"/>
          <w:sz w:val="19"/>
          <w:szCs w:val="19"/>
        </w:rPr>
        <w:t xml:space="preserve">human </w:t>
      </w:r>
      <w:r w:rsidR="00567DC6" w:rsidRPr="00BA7D56">
        <w:rPr>
          <w:rFonts w:ascii="Verdana" w:hAnsi="Verdana"/>
          <w:sz w:val="19"/>
          <w:szCs w:val="19"/>
        </w:rPr>
        <w:t>rights</w:t>
      </w:r>
      <w:r w:rsidR="00C30148">
        <w:rPr>
          <w:rFonts w:ascii="Verdana" w:hAnsi="Verdana"/>
          <w:sz w:val="19"/>
          <w:szCs w:val="19"/>
        </w:rPr>
        <w:t xml:space="preserve">, including their right to </w:t>
      </w:r>
      <w:r w:rsidR="00567DC6" w:rsidRPr="00BA7D56">
        <w:rPr>
          <w:rFonts w:ascii="Verdana" w:hAnsi="Verdana"/>
          <w:sz w:val="19"/>
          <w:szCs w:val="19"/>
        </w:rPr>
        <w:t>access justice and effective remedies</w:t>
      </w:r>
      <w:r w:rsidR="00BE5D2F" w:rsidRPr="00BA7D56">
        <w:rPr>
          <w:rFonts w:ascii="Verdana" w:hAnsi="Verdana"/>
          <w:sz w:val="19"/>
          <w:szCs w:val="19"/>
        </w:rPr>
        <w:t xml:space="preserve">; ensuring affordable access to legal and administrative services, including legal aid; </w:t>
      </w:r>
      <w:r w:rsidR="00567DC6" w:rsidRPr="00BA7D56">
        <w:rPr>
          <w:rFonts w:ascii="Verdana" w:hAnsi="Verdana"/>
          <w:sz w:val="19"/>
          <w:szCs w:val="19"/>
        </w:rPr>
        <w:t xml:space="preserve">and </w:t>
      </w:r>
      <w:r w:rsidR="00BE5D2F" w:rsidRPr="00BA7D56">
        <w:rPr>
          <w:rFonts w:ascii="Verdana" w:hAnsi="Verdana"/>
          <w:sz w:val="19"/>
          <w:szCs w:val="19"/>
        </w:rPr>
        <w:t>develop and scrupulously implement measures to prevent reprisals and other harassment of women, including women human rights defenders</w:t>
      </w:r>
      <w:r w:rsidR="00567DC6" w:rsidRPr="00BA7D56">
        <w:rPr>
          <w:rFonts w:ascii="Verdana" w:hAnsi="Verdana"/>
          <w:sz w:val="19"/>
          <w:szCs w:val="19"/>
        </w:rPr>
        <w:t>.</w:t>
      </w:r>
    </w:p>
    <w:p w14:paraId="14137DAF" w14:textId="51E60A59" w:rsidR="005939DD" w:rsidRPr="00BA7D56" w:rsidRDefault="005939DD" w:rsidP="006C7C65">
      <w:pPr>
        <w:pStyle w:val="Listenabsatz"/>
        <w:numPr>
          <w:ilvl w:val="0"/>
          <w:numId w:val="9"/>
        </w:numPr>
        <w:spacing w:before="100" w:beforeAutospacing="1"/>
        <w:contextualSpacing w:val="0"/>
        <w:jc w:val="both"/>
        <w:rPr>
          <w:rFonts w:ascii="Verdana" w:hAnsi="Verdana"/>
          <w:sz w:val="19"/>
          <w:szCs w:val="19"/>
          <w:lang w:val="en-US"/>
        </w:rPr>
      </w:pPr>
      <w:r w:rsidRPr="00BA7D56">
        <w:rPr>
          <w:rFonts w:ascii="Verdana" w:hAnsi="Verdana"/>
          <w:sz w:val="19"/>
          <w:szCs w:val="19"/>
        </w:rPr>
        <w:t>Continue monitoring the situation o</w:t>
      </w:r>
      <w:r w:rsidR="00C30148">
        <w:rPr>
          <w:rFonts w:ascii="Verdana" w:hAnsi="Verdana"/>
          <w:sz w:val="19"/>
          <w:szCs w:val="19"/>
        </w:rPr>
        <w:t>f</w:t>
      </w:r>
      <w:r w:rsidRPr="00BA7D56">
        <w:rPr>
          <w:rFonts w:ascii="Verdana" w:hAnsi="Verdana"/>
          <w:sz w:val="19"/>
          <w:szCs w:val="19"/>
        </w:rPr>
        <w:t xml:space="preserve"> the rule of law and independence of the judiciary in Turkey</w:t>
      </w:r>
      <w:r w:rsidR="00C30148">
        <w:rPr>
          <w:rFonts w:ascii="Verdana" w:hAnsi="Verdana"/>
          <w:sz w:val="19"/>
          <w:szCs w:val="19"/>
        </w:rPr>
        <w:t>,</w:t>
      </w:r>
      <w:r w:rsidRPr="00BA7D56">
        <w:rPr>
          <w:rFonts w:ascii="Verdana" w:hAnsi="Verdana"/>
          <w:sz w:val="19"/>
          <w:szCs w:val="19"/>
        </w:rPr>
        <w:t xml:space="preserve"> in general, </w:t>
      </w:r>
      <w:r w:rsidR="00C30148">
        <w:rPr>
          <w:rFonts w:ascii="Verdana" w:hAnsi="Verdana"/>
          <w:sz w:val="19"/>
          <w:szCs w:val="19"/>
        </w:rPr>
        <w:t xml:space="preserve">and </w:t>
      </w:r>
      <w:r w:rsidRPr="00BA7D56">
        <w:rPr>
          <w:rFonts w:ascii="Verdana" w:hAnsi="Verdana"/>
          <w:sz w:val="19"/>
          <w:szCs w:val="19"/>
        </w:rPr>
        <w:t>in relation to particular reforms required to strengthen access to justice for women.</w:t>
      </w:r>
      <w:r w:rsidRPr="00BA7D56">
        <w:rPr>
          <w:rStyle w:val="Funotenzeichen"/>
          <w:rFonts w:ascii="Verdana" w:hAnsi="Verdana"/>
          <w:sz w:val="19"/>
          <w:szCs w:val="19"/>
        </w:rPr>
        <w:footnoteReference w:id="38"/>
      </w:r>
    </w:p>
    <w:p w14:paraId="6DA7DABE" w14:textId="7DD1D248" w:rsidR="00B2644A" w:rsidRPr="00BA7D56" w:rsidRDefault="00B2644A" w:rsidP="006C7C65">
      <w:pPr>
        <w:pStyle w:val="Listenabsatz"/>
        <w:numPr>
          <w:ilvl w:val="0"/>
          <w:numId w:val="6"/>
        </w:numPr>
        <w:spacing w:after="120"/>
        <w:contextualSpacing w:val="0"/>
        <w:jc w:val="both"/>
        <w:rPr>
          <w:rFonts w:ascii="Verdana" w:hAnsi="Verdana"/>
          <w:sz w:val="19"/>
          <w:szCs w:val="19"/>
          <w:u w:val="single"/>
        </w:rPr>
      </w:pPr>
      <w:r w:rsidRPr="00BA7D56">
        <w:rPr>
          <w:rFonts w:ascii="Verdana" w:hAnsi="Verdana"/>
          <w:sz w:val="19"/>
          <w:szCs w:val="19"/>
          <w:u w:val="single"/>
        </w:rPr>
        <w:t>On access to justice and effective remed</w:t>
      </w:r>
      <w:r w:rsidR="00C30148">
        <w:rPr>
          <w:rFonts w:ascii="Verdana" w:hAnsi="Verdana"/>
          <w:sz w:val="19"/>
          <w:szCs w:val="19"/>
          <w:u w:val="single"/>
        </w:rPr>
        <w:t>ies</w:t>
      </w:r>
      <w:r w:rsidRPr="00BA7D56">
        <w:rPr>
          <w:rFonts w:ascii="Verdana" w:hAnsi="Verdana"/>
          <w:sz w:val="19"/>
          <w:szCs w:val="19"/>
          <w:u w:val="single"/>
        </w:rPr>
        <w:t xml:space="preserve"> in environmental matters:</w:t>
      </w:r>
    </w:p>
    <w:p w14:paraId="77C0BF89" w14:textId="17E329C9" w:rsidR="00D06EF0" w:rsidRPr="00BA7D56" w:rsidRDefault="00850F34" w:rsidP="006C7C65">
      <w:pPr>
        <w:pStyle w:val="Listenabsatz"/>
        <w:numPr>
          <w:ilvl w:val="0"/>
          <w:numId w:val="9"/>
        </w:numPr>
        <w:spacing w:after="120"/>
        <w:ind w:left="1077"/>
        <w:contextualSpacing w:val="0"/>
        <w:jc w:val="both"/>
        <w:rPr>
          <w:rFonts w:ascii="Verdana" w:hAnsi="Verdana"/>
          <w:sz w:val="19"/>
          <w:szCs w:val="19"/>
        </w:rPr>
      </w:pPr>
      <w:r w:rsidRPr="00BA7D56">
        <w:rPr>
          <w:rFonts w:ascii="Verdana" w:hAnsi="Verdana"/>
          <w:sz w:val="19"/>
          <w:szCs w:val="19"/>
        </w:rPr>
        <w:t>S</w:t>
      </w:r>
      <w:r w:rsidR="00AE63C7" w:rsidRPr="00BA7D56">
        <w:rPr>
          <w:rFonts w:ascii="Verdana" w:hAnsi="Verdana"/>
          <w:sz w:val="19"/>
          <w:szCs w:val="19"/>
        </w:rPr>
        <w:t>pecifically assess issues related to access to justice, transparency and corruption in environmentally significant decision</w:t>
      </w:r>
      <w:r w:rsidR="00C30148">
        <w:rPr>
          <w:rFonts w:ascii="Verdana" w:hAnsi="Verdana"/>
          <w:sz w:val="19"/>
          <w:szCs w:val="19"/>
        </w:rPr>
        <w:t>-</w:t>
      </w:r>
      <w:r w:rsidR="00AE63C7" w:rsidRPr="00BA7D56">
        <w:rPr>
          <w:rFonts w:ascii="Verdana" w:hAnsi="Verdana"/>
          <w:sz w:val="19"/>
          <w:szCs w:val="19"/>
        </w:rPr>
        <w:t>making</w:t>
      </w:r>
      <w:r w:rsidR="008E4FC9" w:rsidRPr="00BA7D56">
        <w:rPr>
          <w:rFonts w:ascii="Verdana" w:hAnsi="Verdana"/>
          <w:sz w:val="19"/>
          <w:szCs w:val="19"/>
        </w:rPr>
        <w:t>, with a particular focus on women’s access to justice and effective remed</w:t>
      </w:r>
      <w:r w:rsidR="00C30148">
        <w:rPr>
          <w:rFonts w:ascii="Verdana" w:hAnsi="Verdana"/>
          <w:sz w:val="19"/>
          <w:szCs w:val="19"/>
        </w:rPr>
        <w:t xml:space="preserve">ies </w:t>
      </w:r>
      <w:r w:rsidR="008E4FC9" w:rsidRPr="00BA7D56">
        <w:rPr>
          <w:rFonts w:ascii="Verdana" w:hAnsi="Verdana"/>
          <w:sz w:val="19"/>
          <w:szCs w:val="19"/>
        </w:rPr>
        <w:t xml:space="preserve">in </w:t>
      </w:r>
      <w:r w:rsidR="00C30148">
        <w:rPr>
          <w:rFonts w:ascii="Verdana" w:hAnsi="Verdana"/>
          <w:sz w:val="19"/>
          <w:szCs w:val="19"/>
        </w:rPr>
        <w:t xml:space="preserve">the context </w:t>
      </w:r>
      <w:r w:rsidR="008E4FC9" w:rsidRPr="00BA7D56">
        <w:rPr>
          <w:rFonts w:ascii="Verdana" w:hAnsi="Verdana"/>
          <w:sz w:val="19"/>
          <w:szCs w:val="19"/>
        </w:rPr>
        <w:t>of existing or potential environmental harm.</w:t>
      </w:r>
    </w:p>
    <w:p w14:paraId="58E4214B" w14:textId="48497863" w:rsidR="003100A9" w:rsidRPr="00BA7D56" w:rsidRDefault="00850F34" w:rsidP="003100A9">
      <w:pPr>
        <w:pStyle w:val="Listenabsatz"/>
        <w:numPr>
          <w:ilvl w:val="0"/>
          <w:numId w:val="9"/>
        </w:numPr>
        <w:spacing w:after="120"/>
        <w:ind w:left="1077"/>
        <w:contextualSpacing w:val="0"/>
        <w:jc w:val="both"/>
        <w:rPr>
          <w:rFonts w:ascii="Verdana" w:hAnsi="Verdana"/>
          <w:sz w:val="19"/>
          <w:szCs w:val="19"/>
        </w:rPr>
      </w:pPr>
      <w:r w:rsidRPr="00BA7D56">
        <w:rPr>
          <w:rFonts w:ascii="Verdana" w:hAnsi="Verdana"/>
          <w:sz w:val="19"/>
          <w:szCs w:val="19"/>
        </w:rPr>
        <w:t>C</w:t>
      </w:r>
      <w:r w:rsidR="003100A9" w:rsidRPr="00BA7D56">
        <w:rPr>
          <w:rFonts w:ascii="Verdana" w:hAnsi="Verdana"/>
          <w:sz w:val="19"/>
          <w:szCs w:val="19"/>
        </w:rPr>
        <w:t>onsider reforming the system of individual applications to the Constitutional Court so as to include all rights guaranteed by the Turkish Constitution, including the right to a healthy environment.</w:t>
      </w:r>
    </w:p>
    <w:p w14:paraId="414C16BE" w14:textId="61834AB9" w:rsidR="001F5CCD" w:rsidRPr="00BA7D56" w:rsidRDefault="00850F34" w:rsidP="003100A9">
      <w:pPr>
        <w:pStyle w:val="Listenabsatz"/>
        <w:numPr>
          <w:ilvl w:val="0"/>
          <w:numId w:val="9"/>
        </w:numPr>
        <w:spacing w:after="120"/>
        <w:ind w:left="1077"/>
        <w:contextualSpacing w:val="0"/>
        <w:jc w:val="both"/>
        <w:rPr>
          <w:rFonts w:ascii="Verdana" w:hAnsi="Verdana"/>
          <w:sz w:val="19"/>
          <w:szCs w:val="19"/>
        </w:rPr>
      </w:pPr>
      <w:r w:rsidRPr="00BA7D56">
        <w:rPr>
          <w:rFonts w:ascii="Verdana" w:hAnsi="Verdana"/>
          <w:sz w:val="19"/>
          <w:szCs w:val="19"/>
        </w:rPr>
        <w:t>E</w:t>
      </w:r>
      <w:r w:rsidR="001F5CCD" w:rsidRPr="00BA7D56">
        <w:rPr>
          <w:rFonts w:ascii="Verdana" w:hAnsi="Verdana"/>
          <w:sz w:val="19"/>
          <w:szCs w:val="19"/>
        </w:rPr>
        <w:t>nsure that major construction projects having a significant effect on human rights and the environment should only proceed following an effective and participative and accessible environmental, health and human rights impact assessment</w:t>
      </w:r>
      <w:r w:rsidR="00795763">
        <w:rPr>
          <w:rFonts w:ascii="Verdana" w:hAnsi="Verdana"/>
          <w:sz w:val="19"/>
          <w:szCs w:val="19"/>
        </w:rPr>
        <w:t>,</w:t>
      </w:r>
      <w:r w:rsidR="001F5CCD" w:rsidRPr="00BA7D56">
        <w:rPr>
          <w:rFonts w:ascii="Verdana" w:hAnsi="Verdana"/>
          <w:sz w:val="19"/>
          <w:szCs w:val="19"/>
        </w:rPr>
        <w:t xml:space="preserve"> and </w:t>
      </w:r>
      <w:r w:rsidR="001F5CCD" w:rsidRPr="00BA7D56">
        <w:rPr>
          <w:rFonts w:ascii="Verdana" w:hAnsi="Verdana"/>
          <w:sz w:val="19"/>
          <w:szCs w:val="19"/>
        </w:rPr>
        <w:lastRenderedPageBreak/>
        <w:t xml:space="preserve">that any person or entity expressing an interest in the protection of the environment and the potential harm arising from the project has the right to </w:t>
      </w:r>
      <w:r w:rsidR="0008006F">
        <w:rPr>
          <w:rFonts w:ascii="Verdana" w:hAnsi="Verdana"/>
          <w:sz w:val="19"/>
          <w:szCs w:val="19"/>
        </w:rPr>
        <w:t>access</w:t>
      </w:r>
      <w:r w:rsidR="00143171">
        <w:rPr>
          <w:rFonts w:ascii="Verdana" w:hAnsi="Verdana"/>
          <w:sz w:val="19"/>
          <w:szCs w:val="19"/>
        </w:rPr>
        <w:t xml:space="preserve"> to</w:t>
      </w:r>
      <w:r w:rsidR="001F5CCD" w:rsidRPr="00BA7D56">
        <w:rPr>
          <w:rFonts w:ascii="Verdana" w:hAnsi="Verdana"/>
          <w:sz w:val="19"/>
          <w:szCs w:val="19"/>
        </w:rPr>
        <w:t xml:space="preserve"> </w:t>
      </w:r>
      <w:r w:rsidR="00795763">
        <w:rPr>
          <w:rFonts w:ascii="Verdana" w:hAnsi="Verdana"/>
          <w:sz w:val="19"/>
          <w:szCs w:val="19"/>
        </w:rPr>
        <w:t xml:space="preserve">the </w:t>
      </w:r>
      <w:r w:rsidR="001F5CCD" w:rsidRPr="00BA7D56">
        <w:rPr>
          <w:rFonts w:ascii="Verdana" w:hAnsi="Verdana"/>
          <w:sz w:val="19"/>
          <w:szCs w:val="19"/>
        </w:rPr>
        <w:t>administrative court</w:t>
      </w:r>
      <w:r w:rsidR="00795763">
        <w:rPr>
          <w:rFonts w:ascii="Verdana" w:hAnsi="Verdana"/>
          <w:sz w:val="19"/>
          <w:szCs w:val="19"/>
        </w:rPr>
        <w:t>s</w:t>
      </w:r>
      <w:r w:rsidR="001F5CCD" w:rsidRPr="00BA7D56">
        <w:rPr>
          <w:rFonts w:ascii="Verdana" w:hAnsi="Verdana"/>
          <w:sz w:val="19"/>
          <w:szCs w:val="19"/>
        </w:rPr>
        <w:t xml:space="preserve"> to challenge the project and its assessment both in terms of procedure and merit.</w:t>
      </w:r>
      <w:r w:rsidR="00A415D0">
        <w:rPr>
          <w:rFonts w:ascii="Verdana" w:hAnsi="Verdana"/>
          <w:sz w:val="19"/>
          <w:szCs w:val="19"/>
        </w:rPr>
        <w:t xml:space="preserve"> Furthermore, Turkey should p</w:t>
      </w:r>
      <w:r w:rsidR="00A415D0" w:rsidRPr="00BA7D56">
        <w:rPr>
          <w:rFonts w:ascii="Verdana" w:hAnsi="Verdana"/>
          <w:sz w:val="19"/>
          <w:szCs w:val="19"/>
        </w:rPr>
        <w:t>ut in place a system integrating independent Health Impact Assessments, in compliance with international standards, into legislation to prevent serious negative effects of climate change and environmental harm on the health of individuals</w:t>
      </w:r>
    </w:p>
    <w:p w14:paraId="1D3A0B66" w14:textId="1CC6E5D2" w:rsidR="00037825" w:rsidRPr="00143171" w:rsidRDefault="00037825" w:rsidP="00143171">
      <w:pPr>
        <w:spacing w:after="120"/>
        <w:jc w:val="both"/>
        <w:rPr>
          <w:rFonts w:ascii="Verdana" w:hAnsi="Verdana"/>
          <w:sz w:val="19"/>
          <w:szCs w:val="19"/>
        </w:rPr>
      </w:pPr>
    </w:p>
    <w:p w14:paraId="444D4995" w14:textId="77777777" w:rsidR="00D06EF0" w:rsidRPr="002A00CA" w:rsidRDefault="00D06EF0" w:rsidP="00B2644A">
      <w:pPr>
        <w:spacing w:after="120"/>
        <w:jc w:val="both"/>
      </w:pPr>
    </w:p>
    <w:sectPr w:rsidR="00D06EF0" w:rsidRPr="002A00C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0BE56" w14:textId="77777777" w:rsidR="00D74436" w:rsidRDefault="00D74436" w:rsidP="00A36455">
      <w:r>
        <w:separator/>
      </w:r>
    </w:p>
  </w:endnote>
  <w:endnote w:type="continuationSeparator" w:id="0">
    <w:p w14:paraId="43C99D81" w14:textId="77777777" w:rsidR="00D74436" w:rsidRDefault="00D74436" w:rsidP="00A3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503312"/>
      <w:docPartObj>
        <w:docPartGallery w:val="Page Numbers (Bottom of Page)"/>
        <w:docPartUnique/>
      </w:docPartObj>
    </w:sdtPr>
    <w:sdtEndPr/>
    <w:sdtContent>
      <w:p w14:paraId="0375BF9E" w14:textId="006DC7FE" w:rsidR="003A5DF3" w:rsidRDefault="003A5DF3">
        <w:pPr>
          <w:pStyle w:val="Fuzeile"/>
          <w:jc w:val="center"/>
        </w:pPr>
        <w:r>
          <w:fldChar w:fldCharType="begin"/>
        </w:r>
        <w:r>
          <w:instrText>PAGE   \* MERGEFORMAT</w:instrText>
        </w:r>
        <w:r>
          <w:fldChar w:fldCharType="separate"/>
        </w:r>
        <w:r w:rsidR="00103750" w:rsidRPr="00103750">
          <w:rPr>
            <w:noProof/>
            <w:lang w:val="fr-FR"/>
          </w:rPr>
          <w:t>4</w:t>
        </w:r>
        <w:r>
          <w:fldChar w:fldCharType="end"/>
        </w:r>
      </w:p>
    </w:sdtContent>
  </w:sdt>
  <w:p w14:paraId="1D7F200B" w14:textId="77777777" w:rsidR="003A5DF3" w:rsidRDefault="003A5D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1C6A9" w14:textId="77777777" w:rsidR="00D74436" w:rsidRDefault="00D74436" w:rsidP="00A36455">
      <w:r>
        <w:separator/>
      </w:r>
    </w:p>
  </w:footnote>
  <w:footnote w:type="continuationSeparator" w:id="0">
    <w:p w14:paraId="595E1DC8" w14:textId="77777777" w:rsidR="00D74436" w:rsidRDefault="00D74436" w:rsidP="00A36455">
      <w:r>
        <w:continuationSeparator/>
      </w:r>
    </w:p>
  </w:footnote>
  <w:footnote w:id="1">
    <w:p w14:paraId="7186914A" w14:textId="0F6B1872"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w:t>
      </w:r>
      <w:hyperlink r:id="rId1" w:history="1">
        <w:r w:rsidRPr="00BA7D56">
          <w:rPr>
            <w:rStyle w:val="Hyperlink"/>
            <w:rFonts w:ascii="Verdana" w:hAnsi="Verdana"/>
            <w:i/>
            <w:iCs/>
            <w:sz w:val="18"/>
            <w:szCs w:val="18"/>
          </w:rPr>
          <w:t>Replies of Turkey to the list of issues and questions in relation to its eighth periodic report</w:t>
        </w:r>
      </w:hyperlink>
      <w:r w:rsidRPr="00BA7D56">
        <w:rPr>
          <w:rFonts w:ascii="Verdana" w:hAnsi="Verdana"/>
          <w:sz w:val="18"/>
          <w:szCs w:val="18"/>
        </w:rPr>
        <w:t>, Committee on the Elimination of Discrimination against Women Eighty-second session, CEDAW/C/TUR/RQ/8 [Replies of Turkey].</w:t>
      </w:r>
    </w:p>
  </w:footnote>
  <w:footnote w:id="2">
    <w:p w14:paraId="6EE33DFD" w14:textId="2F713C94"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CEDAW Committee, General Recommendation No. 19, 1992; CEDAW Committee, General Recommendation No. 35, CEDAW/C/GC/35, 2017.</w:t>
      </w:r>
    </w:p>
  </w:footnote>
  <w:footnote w:id="3">
    <w:p w14:paraId="6E515425" w14:textId="0158743A"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CEDAW Committee, General Recommendation No. 35, CEDAW/C/GC/35, 2017, para. </w:t>
      </w:r>
      <w:r>
        <w:rPr>
          <w:rFonts w:ascii="Verdana" w:hAnsi="Verdana"/>
          <w:sz w:val="18"/>
          <w:szCs w:val="18"/>
        </w:rPr>
        <w:t xml:space="preserve">1 and </w:t>
      </w:r>
      <w:r w:rsidRPr="00BA7D56">
        <w:rPr>
          <w:rFonts w:ascii="Verdana" w:hAnsi="Verdana"/>
          <w:sz w:val="18"/>
          <w:szCs w:val="18"/>
        </w:rPr>
        <w:t>6.</w:t>
      </w:r>
    </w:p>
  </w:footnote>
  <w:footnote w:id="4">
    <w:p w14:paraId="64F86C24" w14:textId="3CB92189" w:rsidR="00E336CA" w:rsidRPr="00143171" w:rsidRDefault="00E336CA" w:rsidP="00143171">
      <w:pPr>
        <w:pStyle w:val="xmsonormal"/>
        <w:shd w:val="clear" w:color="auto" w:fill="FFFFFF"/>
        <w:spacing w:before="0" w:beforeAutospacing="0" w:after="0" w:afterAutospacing="0"/>
        <w:rPr>
          <w:rFonts w:ascii="Calibri" w:hAnsi="Calibri" w:cs="Calibri"/>
          <w:color w:val="201F1E"/>
          <w:sz w:val="22"/>
          <w:szCs w:val="22"/>
        </w:rPr>
      </w:pPr>
      <w:r w:rsidRPr="00BA7D56">
        <w:rPr>
          <w:rStyle w:val="Funotenzeichen"/>
          <w:rFonts w:ascii="Verdana" w:hAnsi="Verdana"/>
          <w:sz w:val="18"/>
          <w:szCs w:val="18"/>
        </w:rPr>
        <w:footnoteRef/>
      </w:r>
      <w:r w:rsidRPr="00BA7D56">
        <w:rPr>
          <w:rFonts w:ascii="Verdana" w:hAnsi="Verdana"/>
          <w:sz w:val="18"/>
          <w:szCs w:val="18"/>
        </w:rPr>
        <w:t xml:space="preserve"> </w:t>
      </w:r>
      <w:r>
        <w:rPr>
          <w:rFonts w:ascii="Verdana" w:hAnsi="Verdana"/>
          <w:sz w:val="18"/>
          <w:szCs w:val="18"/>
        </w:rPr>
        <w:t>See,</w:t>
      </w:r>
      <w:r w:rsidR="004D74CF" w:rsidRPr="004D74CF">
        <w:rPr>
          <w:rFonts w:ascii="Verdana" w:hAnsi="Verdana" w:cs="Calibri"/>
          <w:color w:val="201F1E"/>
          <w:sz w:val="18"/>
          <w:szCs w:val="18"/>
          <w:bdr w:val="none" w:sz="0" w:space="0" w:color="auto" w:frame="1"/>
        </w:rPr>
        <w:t xml:space="preserve"> </w:t>
      </w:r>
      <w:r w:rsidR="004D74CF">
        <w:rPr>
          <w:rFonts w:ascii="Verdana" w:hAnsi="Verdana" w:cs="Calibri"/>
          <w:color w:val="201F1E"/>
          <w:sz w:val="18"/>
          <w:szCs w:val="18"/>
          <w:bdr w:val="none" w:sz="0" w:space="0" w:color="auto" w:frame="1"/>
        </w:rPr>
        <w:t>UN Women, </w:t>
      </w:r>
      <w:hyperlink r:id="rId2" w:tgtFrame="_blank" w:tooltip="Original URL: https://evaw-global-database.unwomen.org/es/countries/asia/turkey. Click or tap if you trust this link." w:history="1">
        <w:r w:rsidR="004D74CF">
          <w:rPr>
            <w:rStyle w:val="Hyperlink"/>
            <w:rFonts w:ascii="Verdana" w:hAnsi="Verdana" w:cs="Calibri"/>
            <w:sz w:val="18"/>
            <w:szCs w:val="18"/>
            <w:bdr w:val="none" w:sz="0" w:space="0" w:color="auto" w:frame="1"/>
          </w:rPr>
          <w:t>Global Database on Violence Against Women: Turkey</w:t>
        </w:r>
      </w:hyperlink>
      <w:r w:rsidR="004D74CF">
        <w:rPr>
          <w:rFonts w:ascii="Verdana" w:hAnsi="Verdana" w:cs="Calibri"/>
          <w:color w:val="201F1E"/>
          <w:sz w:val="18"/>
          <w:szCs w:val="18"/>
          <w:bdr w:val="none" w:sz="0" w:space="0" w:color="auto" w:frame="1"/>
        </w:rPr>
        <w:t>, accessed 13 May 2022</w:t>
      </w:r>
      <w:r w:rsidRPr="00BA7D56">
        <w:rPr>
          <w:rFonts w:ascii="Verdana" w:hAnsi="Verdana"/>
          <w:sz w:val="18"/>
          <w:szCs w:val="18"/>
        </w:rPr>
        <w:t>.</w:t>
      </w:r>
    </w:p>
  </w:footnote>
  <w:footnote w:id="5">
    <w:p w14:paraId="3B567D7D" w14:textId="5271FEFB"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w:t>
      </w:r>
      <w:hyperlink r:id="rId3" w:history="1">
        <w:r w:rsidRPr="00BA7D56">
          <w:rPr>
            <w:rStyle w:val="Hyperlink"/>
            <w:rFonts w:ascii="Verdana" w:hAnsi="Verdana"/>
            <w:sz w:val="18"/>
            <w:szCs w:val="18"/>
          </w:rPr>
          <w:t>Presidential Decision No. 3718</w:t>
        </w:r>
      </w:hyperlink>
      <w:r w:rsidRPr="00BA7D56">
        <w:rPr>
          <w:rFonts w:ascii="Verdana" w:hAnsi="Verdana"/>
          <w:sz w:val="18"/>
          <w:szCs w:val="18"/>
        </w:rPr>
        <w:t xml:space="preserve"> of 20 March 2021. </w:t>
      </w:r>
    </w:p>
  </w:footnote>
  <w:footnote w:id="6">
    <w:p w14:paraId="3D80F03A" w14:textId="1987143C"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See e.g. OHCHR, </w:t>
      </w:r>
      <w:hyperlink r:id="rId4" w:history="1">
        <w:r w:rsidRPr="00BA7D56">
          <w:rPr>
            <w:rStyle w:val="Hyperlink"/>
            <w:rFonts w:ascii="Verdana" w:hAnsi="Verdana"/>
            <w:i/>
            <w:iCs/>
            <w:sz w:val="18"/>
            <w:szCs w:val="18"/>
          </w:rPr>
          <w:t>Turkey: Withdrawal from Istanbul Convention is a pushback against women’s rights, say human rights experts | OHCHR</w:t>
        </w:r>
      </w:hyperlink>
      <w:r w:rsidRPr="00BA7D56">
        <w:rPr>
          <w:rFonts w:ascii="Verdana" w:hAnsi="Verdana"/>
          <w:sz w:val="18"/>
          <w:szCs w:val="18"/>
        </w:rPr>
        <w:t xml:space="preserve">, 23 March 2021; Council of Europe Commissioner for Human Rights, </w:t>
      </w:r>
      <w:hyperlink r:id="rId5" w:history="1">
        <w:r w:rsidRPr="00BA7D56">
          <w:rPr>
            <w:rStyle w:val="Hyperlink"/>
            <w:rFonts w:ascii="Verdana" w:hAnsi="Verdana"/>
            <w:i/>
            <w:iCs/>
            <w:sz w:val="18"/>
            <w:szCs w:val="18"/>
          </w:rPr>
          <w:t>Turkey’s announced withdrawal from the Istanbul Convention endangers women’s rights</w:t>
        </w:r>
      </w:hyperlink>
      <w:r w:rsidRPr="00BA7D56">
        <w:rPr>
          <w:rFonts w:ascii="Verdana" w:hAnsi="Verdana"/>
          <w:sz w:val="18"/>
          <w:szCs w:val="18"/>
        </w:rPr>
        <w:t xml:space="preserve">, 22 March 2021; </w:t>
      </w:r>
      <w:r w:rsidRPr="00BA7D56">
        <w:rPr>
          <w:rFonts w:ascii="Verdana" w:hAnsi="Verdana"/>
          <w:i/>
          <w:iCs/>
          <w:sz w:val="18"/>
          <w:szCs w:val="18"/>
        </w:rPr>
        <w:t>BIA News Desk</w:t>
      </w:r>
      <w:r w:rsidRPr="00BA7D56">
        <w:rPr>
          <w:rFonts w:ascii="Verdana" w:hAnsi="Verdana"/>
          <w:sz w:val="18"/>
          <w:szCs w:val="18"/>
        </w:rPr>
        <w:t>, “</w:t>
      </w:r>
      <w:hyperlink r:id="rId6" w:history="1">
        <w:r w:rsidRPr="00BA7D56">
          <w:rPr>
            <w:rStyle w:val="Hyperlink"/>
            <w:rFonts w:ascii="Verdana" w:hAnsi="Verdana"/>
            <w:sz w:val="18"/>
            <w:szCs w:val="18"/>
          </w:rPr>
          <w:t>Turkey has withdrawn from the Istanbul Convention</w:t>
        </w:r>
      </w:hyperlink>
      <w:r w:rsidRPr="00BA7D56">
        <w:rPr>
          <w:rFonts w:ascii="Verdana" w:hAnsi="Verdana"/>
          <w:sz w:val="18"/>
          <w:szCs w:val="18"/>
        </w:rPr>
        <w:t xml:space="preserve">”, 20 march 2021; ICJ, </w:t>
      </w:r>
      <w:hyperlink r:id="rId7" w:history="1">
        <w:r w:rsidRPr="00BA7D56">
          <w:rPr>
            <w:rStyle w:val="Hyperlink"/>
            <w:rFonts w:ascii="Verdana" w:hAnsi="Verdana"/>
            <w:i/>
            <w:iCs/>
            <w:sz w:val="18"/>
            <w:szCs w:val="18"/>
          </w:rPr>
          <w:t>Turkey’s Withdrawal from Istanbul Convention a Setback for Women and Girls’ Human Rights</w:t>
        </w:r>
      </w:hyperlink>
      <w:r w:rsidRPr="00BA7D56">
        <w:rPr>
          <w:rFonts w:ascii="Verdana" w:hAnsi="Verdana"/>
          <w:sz w:val="18"/>
          <w:szCs w:val="18"/>
        </w:rPr>
        <w:t>, 1 July 2021.</w:t>
      </w:r>
    </w:p>
  </w:footnote>
  <w:footnote w:id="7">
    <w:p w14:paraId="7AC6CD41" w14:textId="03676140" w:rsidR="00E336CA" w:rsidRPr="00E336CA" w:rsidRDefault="00E336CA">
      <w:pPr>
        <w:pStyle w:val="Funotentext"/>
      </w:pPr>
      <w:r>
        <w:rPr>
          <w:rStyle w:val="Funotenzeichen"/>
        </w:rPr>
        <w:footnoteRef/>
      </w:r>
      <w:r>
        <w:t xml:space="preserve"> From here onwards, this submission will refer to “women” as including also girls, unless expressly stated</w:t>
      </w:r>
    </w:p>
  </w:footnote>
  <w:footnote w:id="8">
    <w:p w14:paraId="557C583C" w14:textId="3D146AE9"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Committee on the Elimination of Discrimination against Women, </w:t>
      </w:r>
      <w:r w:rsidRPr="00BA7D56">
        <w:rPr>
          <w:rFonts w:ascii="Verdana" w:hAnsi="Verdana"/>
          <w:i/>
          <w:iCs/>
          <w:sz w:val="18"/>
          <w:szCs w:val="18"/>
        </w:rPr>
        <w:t>List of issues and questions in relation to the eighth periodic report of Turkey</w:t>
      </w:r>
      <w:r w:rsidRPr="00BA7D56">
        <w:rPr>
          <w:rFonts w:ascii="Verdana" w:hAnsi="Verdana"/>
          <w:sz w:val="18"/>
          <w:szCs w:val="18"/>
        </w:rPr>
        <w:t>, CEDAW/C/TUR/Q/8, para. 2.</w:t>
      </w:r>
    </w:p>
  </w:footnote>
  <w:footnote w:id="9">
    <w:p w14:paraId="1808124E" w14:textId="6E1C7AFB"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Committee on the Elimination of Discrimination against Women, </w:t>
      </w:r>
      <w:r w:rsidRPr="00BA7D56">
        <w:rPr>
          <w:rFonts w:ascii="Verdana" w:hAnsi="Verdana"/>
          <w:i/>
          <w:iCs/>
          <w:sz w:val="18"/>
          <w:szCs w:val="18"/>
        </w:rPr>
        <w:t>List of issues and questions in relation to the eighth periodic report of Turkey</w:t>
      </w:r>
      <w:r w:rsidRPr="00BA7D56">
        <w:rPr>
          <w:rFonts w:ascii="Verdana" w:hAnsi="Verdana"/>
          <w:sz w:val="18"/>
          <w:szCs w:val="18"/>
        </w:rPr>
        <w:t>, CEDAW/C/TUR/Q/8.</w:t>
      </w:r>
    </w:p>
  </w:footnote>
  <w:footnote w:id="10">
    <w:p w14:paraId="7E4222A5" w14:textId="0423A300"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Replies of Turkey, para. 12-13.</w:t>
      </w:r>
    </w:p>
  </w:footnote>
  <w:footnote w:id="11">
    <w:p w14:paraId="2BDA0F78" w14:textId="12AF18D6"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İlayda Eskitaşçıoğlu, “</w:t>
      </w:r>
      <w:hyperlink r:id="rId8" w:history="1">
        <w:r w:rsidRPr="00BA7D56">
          <w:rPr>
            <w:rStyle w:val="Hyperlink"/>
            <w:rFonts w:ascii="Verdana" w:hAnsi="Verdana"/>
            <w:sz w:val="18"/>
            <w:szCs w:val="18"/>
          </w:rPr>
          <w:t>Turkey’s Withdrawal from the Istanbul Convention: A Sudden Presidential Decision in the Dead of the Night and an Alarming Setback</w:t>
        </w:r>
      </w:hyperlink>
      <w:r w:rsidRPr="00BA7D56">
        <w:rPr>
          <w:rFonts w:ascii="Verdana" w:hAnsi="Verdana"/>
          <w:sz w:val="18"/>
          <w:szCs w:val="18"/>
        </w:rPr>
        <w:t xml:space="preserve">”, </w:t>
      </w:r>
      <w:r w:rsidRPr="00BA7D56">
        <w:rPr>
          <w:rFonts w:ascii="Verdana" w:hAnsi="Verdana"/>
          <w:i/>
          <w:iCs/>
          <w:sz w:val="18"/>
          <w:szCs w:val="18"/>
        </w:rPr>
        <w:t>Völkerrechtsblog</w:t>
      </w:r>
      <w:r w:rsidRPr="00BA7D56">
        <w:rPr>
          <w:rFonts w:ascii="Verdana" w:hAnsi="Verdana"/>
          <w:sz w:val="18"/>
          <w:szCs w:val="18"/>
        </w:rPr>
        <w:t>, 27 March 2021.</w:t>
      </w:r>
    </w:p>
  </w:footnote>
  <w:footnote w:id="12">
    <w:p w14:paraId="46E37EDE" w14:textId="77777777"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We Will Stop Femicides Platform of Turkey, </w:t>
      </w:r>
      <w:hyperlink r:id="rId9" w:history="1">
        <w:r w:rsidRPr="00BA7D56">
          <w:rPr>
            <w:rStyle w:val="Hyperlink"/>
            <w:rFonts w:ascii="Verdana" w:hAnsi="Verdana"/>
            <w:i/>
            <w:iCs/>
            <w:sz w:val="18"/>
            <w:szCs w:val="18"/>
          </w:rPr>
          <w:t>2021 Annual Report</w:t>
        </w:r>
      </w:hyperlink>
      <w:r w:rsidRPr="00BA7D56">
        <w:rPr>
          <w:rFonts w:ascii="Verdana" w:hAnsi="Verdana"/>
          <w:sz w:val="18"/>
          <w:szCs w:val="18"/>
        </w:rPr>
        <w:t>, 28 January 2022.</w:t>
      </w:r>
    </w:p>
  </w:footnote>
  <w:footnote w:id="13">
    <w:p w14:paraId="4B61FE29" w14:textId="77777777"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w:t>
      </w:r>
      <w:r w:rsidRPr="00BA7D56">
        <w:rPr>
          <w:rFonts w:ascii="Verdana" w:hAnsi="Verdana"/>
          <w:i/>
          <w:iCs/>
          <w:sz w:val="18"/>
          <w:szCs w:val="18"/>
        </w:rPr>
        <w:t>BIA News Desk</w:t>
      </w:r>
      <w:r w:rsidRPr="00BA7D56">
        <w:rPr>
          <w:rFonts w:ascii="Verdana" w:hAnsi="Verdana"/>
          <w:sz w:val="18"/>
          <w:szCs w:val="18"/>
        </w:rPr>
        <w:t>, “</w:t>
      </w:r>
      <w:hyperlink r:id="rId10" w:history="1">
        <w:r w:rsidRPr="00BA7D56">
          <w:rPr>
            <w:rStyle w:val="Hyperlink"/>
            <w:rFonts w:ascii="Verdana" w:hAnsi="Verdana"/>
            <w:sz w:val="18"/>
            <w:szCs w:val="18"/>
          </w:rPr>
          <w:t>Turkey’s withdrawal from Istanbul Convention ‘unlawful’, says Council of State prosecutor</w:t>
        </w:r>
      </w:hyperlink>
      <w:r w:rsidRPr="00BA7D56">
        <w:rPr>
          <w:rFonts w:ascii="Verdana" w:hAnsi="Verdana"/>
          <w:sz w:val="18"/>
          <w:szCs w:val="18"/>
        </w:rPr>
        <w:t xml:space="preserve">”, 29 April 2022; </w:t>
      </w:r>
      <w:r w:rsidRPr="00BA7D56">
        <w:rPr>
          <w:rFonts w:ascii="Verdana" w:hAnsi="Verdana"/>
          <w:i/>
          <w:iCs/>
          <w:sz w:val="18"/>
          <w:szCs w:val="18"/>
        </w:rPr>
        <w:t>MedyaNews</w:t>
      </w:r>
      <w:r w:rsidRPr="00BA7D56">
        <w:rPr>
          <w:rFonts w:ascii="Verdana" w:hAnsi="Verdana"/>
          <w:sz w:val="18"/>
          <w:szCs w:val="18"/>
        </w:rPr>
        <w:t>, “</w:t>
      </w:r>
      <w:hyperlink r:id="rId11" w:anchor=":~:text=Turkey%E2%80%99s%20withdrawal%20from%20the%20Council%20of%20Europe%E2%80%99s%20Istanbul,State%20said%20in%20an%20appeal%20hearing%20on%20Thursday." w:history="1">
        <w:r w:rsidRPr="00BA7D56">
          <w:rPr>
            <w:rStyle w:val="Hyperlink"/>
            <w:rFonts w:ascii="Verdana" w:hAnsi="Verdana"/>
            <w:sz w:val="18"/>
            <w:szCs w:val="18"/>
          </w:rPr>
          <w:t>Top Turkish court’s prosecutor says Istanbul Convention withdrawal unlawful</w:t>
        </w:r>
      </w:hyperlink>
      <w:r w:rsidRPr="00BA7D56">
        <w:rPr>
          <w:rFonts w:ascii="Verdana" w:hAnsi="Verdana"/>
          <w:sz w:val="18"/>
          <w:szCs w:val="18"/>
        </w:rPr>
        <w:t>”, 29 April 2022.</w:t>
      </w:r>
    </w:p>
  </w:footnote>
  <w:footnote w:id="14">
    <w:p w14:paraId="6F5D0FEE" w14:textId="4930D4BE"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w:t>
      </w:r>
      <w:hyperlink r:id="rId12" w:tgtFrame="_blank" w:tooltip="Original URL: https://bianet.org/english/politics/246496-council-of-state-doesn-t-halt-execution-of-withdrawal-from-istanbul-convention. Click or tap if you trust this link." w:history="1">
        <w:r w:rsidRPr="00BA7D56">
          <w:rPr>
            <w:rStyle w:val="Hyperlink"/>
            <w:rFonts w:ascii="Verdana" w:hAnsi="Verdana" w:cs="Calibri"/>
            <w:sz w:val="18"/>
            <w:szCs w:val="18"/>
            <w:bdr w:val="none" w:sz="0" w:space="0" w:color="auto" w:frame="1"/>
            <w:shd w:val="clear" w:color="auto" w:fill="FFFFFF"/>
          </w:rPr>
          <w:t>https://bianet.org/english/politics/246496-council-of-state-doesn-t-halt-execution-of-withdrawal-from-istanbul-convention</w:t>
        </w:r>
      </w:hyperlink>
      <w:r w:rsidRPr="00BA7D56">
        <w:rPr>
          <w:rFonts w:ascii="Verdana" w:hAnsi="Verdana"/>
          <w:sz w:val="18"/>
          <w:szCs w:val="18"/>
        </w:rPr>
        <w:t xml:space="preserve"> </w:t>
      </w:r>
    </w:p>
  </w:footnote>
  <w:footnote w:id="15">
    <w:p w14:paraId="3030C2B8" w14:textId="3AC071FF"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CEDAW General Recommendation No.35, op cit, paras.22-23</w:t>
      </w:r>
    </w:p>
  </w:footnote>
  <w:footnote w:id="16">
    <w:p w14:paraId="0D2E9D23" w14:textId="4B544792"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CEDAW General Recommendation No.35, op cit para.24</w:t>
      </w:r>
    </w:p>
  </w:footnote>
  <w:footnote w:id="17">
    <w:p w14:paraId="4FC65DC6" w14:textId="6C734DB3"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CEDAW General Recommendation No.33, op cit para.6</w:t>
      </w:r>
    </w:p>
  </w:footnote>
  <w:footnote w:id="18">
    <w:p w14:paraId="05C2AF75" w14:textId="33C32C3F"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CEDAW Committee, </w:t>
      </w:r>
      <w:r w:rsidRPr="00BA7D56">
        <w:rPr>
          <w:rFonts w:ascii="Verdana" w:hAnsi="Verdana"/>
          <w:i/>
          <w:iCs/>
          <w:sz w:val="18"/>
          <w:szCs w:val="18"/>
        </w:rPr>
        <w:t>General Recommendation No. 33</w:t>
      </w:r>
      <w:r w:rsidRPr="00BA7D56">
        <w:rPr>
          <w:rFonts w:ascii="Verdana" w:hAnsi="Verdana"/>
          <w:sz w:val="18"/>
          <w:szCs w:val="18"/>
        </w:rPr>
        <w:t>, CEDAW/C/GC/33, 2015 para. 1.</w:t>
      </w:r>
    </w:p>
  </w:footnote>
  <w:footnote w:id="19">
    <w:p w14:paraId="5C7D91C3" w14:textId="3E1EE60D"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See e.g. . ICJ, </w:t>
      </w:r>
      <w:hyperlink r:id="rId13" w:history="1">
        <w:r w:rsidRPr="00BA7D56">
          <w:rPr>
            <w:rStyle w:val="Hyperlink"/>
            <w:rFonts w:ascii="Verdana" w:hAnsi="Verdana"/>
            <w:i/>
            <w:iCs/>
            <w:sz w:val="18"/>
            <w:szCs w:val="18"/>
          </w:rPr>
          <w:t>Justice Suspended: Access to Justice and the State of Emergency in Turkey</w:t>
        </w:r>
      </w:hyperlink>
      <w:r w:rsidRPr="00BA7D56">
        <w:rPr>
          <w:rFonts w:ascii="Verdana" w:hAnsi="Verdana"/>
          <w:sz w:val="18"/>
          <w:szCs w:val="18"/>
        </w:rPr>
        <w:t xml:space="preserve">, 2018; ICJ, </w:t>
      </w:r>
      <w:hyperlink r:id="rId14" w:history="1">
        <w:r w:rsidRPr="00BA7D56">
          <w:rPr>
            <w:rStyle w:val="Hyperlink"/>
            <w:rFonts w:ascii="Verdana" w:hAnsi="Verdana"/>
            <w:i/>
            <w:iCs/>
            <w:sz w:val="18"/>
            <w:szCs w:val="18"/>
          </w:rPr>
          <w:t>Turkey’s Judicial Reform Strategy and Judicial Independence</w:t>
        </w:r>
      </w:hyperlink>
      <w:r w:rsidRPr="00BA7D56">
        <w:rPr>
          <w:rFonts w:ascii="Verdana" w:hAnsi="Verdana"/>
          <w:sz w:val="18"/>
          <w:szCs w:val="18"/>
        </w:rPr>
        <w:t xml:space="preserve">, November 2019; International Commission of Jurists (ICJ), </w:t>
      </w:r>
      <w:hyperlink r:id="rId15" w:history="1">
        <w:r w:rsidRPr="00BA7D56">
          <w:rPr>
            <w:rStyle w:val="Hyperlink"/>
            <w:rFonts w:ascii="Verdana" w:hAnsi="Verdana"/>
            <w:i/>
            <w:iCs/>
            <w:sz w:val="18"/>
            <w:szCs w:val="18"/>
          </w:rPr>
          <w:t>Turkey: the Judicial System in Peril</w:t>
        </w:r>
      </w:hyperlink>
      <w:r w:rsidRPr="00BA7D56">
        <w:rPr>
          <w:rFonts w:ascii="Verdana" w:hAnsi="Verdana"/>
          <w:sz w:val="18"/>
          <w:szCs w:val="18"/>
        </w:rPr>
        <w:t xml:space="preserve">, 2016, p. 3-4; Parliamentary Assembly of the Council of Europe (PACE), </w:t>
      </w:r>
      <w:hyperlink r:id="rId16" w:history="1">
        <w:r w:rsidRPr="00BA7D56">
          <w:rPr>
            <w:rStyle w:val="Hyperlink"/>
            <w:rFonts w:ascii="Verdana" w:hAnsi="Verdana"/>
            <w:i/>
            <w:iCs/>
            <w:sz w:val="18"/>
            <w:szCs w:val="18"/>
          </w:rPr>
          <w:t>Resolution 2376 (2021) The functioning of democratic institutions in Turkey</w:t>
        </w:r>
      </w:hyperlink>
      <w:r w:rsidRPr="00BA7D56">
        <w:rPr>
          <w:rFonts w:ascii="Verdana" w:hAnsi="Verdana"/>
          <w:sz w:val="18"/>
          <w:szCs w:val="18"/>
        </w:rPr>
        <w:t xml:space="preserve">, 22 April 2021; PACE, </w:t>
      </w:r>
      <w:hyperlink r:id="rId17" w:history="1">
        <w:r w:rsidRPr="00BA7D56">
          <w:rPr>
            <w:rStyle w:val="Hyperlink"/>
            <w:rFonts w:ascii="Verdana" w:hAnsi="Verdana"/>
            <w:i/>
            <w:iCs/>
            <w:sz w:val="18"/>
            <w:szCs w:val="18"/>
          </w:rPr>
          <w:t>Resolution 2156 (2017) The functioning of democratic institutions in Turkey</w:t>
        </w:r>
      </w:hyperlink>
      <w:r w:rsidRPr="00BA7D56">
        <w:rPr>
          <w:rFonts w:ascii="Verdana" w:hAnsi="Verdana"/>
          <w:sz w:val="18"/>
          <w:szCs w:val="18"/>
        </w:rPr>
        <w:t xml:space="preserve">, 25 April 2017;  PACE, </w:t>
      </w:r>
      <w:hyperlink r:id="rId18" w:history="1">
        <w:r w:rsidRPr="00BA7D56">
          <w:rPr>
            <w:rStyle w:val="Hyperlink"/>
            <w:rFonts w:ascii="Verdana" w:hAnsi="Verdana"/>
            <w:i/>
            <w:iCs/>
            <w:sz w:val="18"/>
            <w:szCs w:val="18"/>
          </w:rPr>
          <w:t>Resolution 2121 (2016) The functioning of democratic institutions in Turkey</w:t>
        </w:r>
      </w:hyperlink>
      <w:r w:rsidRPr="00BA7D56">
        <w:rPr>
          <w:rFonts w:ascii="Verdana" w:hAnsi="Verdana"/>
          <w:sz w:val="18"/>
          <w:szCs w:val="18"/>
        </w:rPr>
        <w:t xml:space="preserve">, 22 June 2016; UN Special Rapporteur on the independence of the judiciary, </w:t>
      </w:r>
      <w:hyperlink r:id="rId19" w:history="1">
        <w:r w:rsidRPr="00BA7D56">
          <w:rPr>
            <w:rStyle w:val="Hyperlink"/>
            <w:rFonts w:ascii="Verdana" w:hAnsi="Verdana"/>
            <w:i/>
            <w:iCs/>
            <w:sz w:val="18"/>
            <w:szCs w:val="18"/>
          </w:rPr>
          <w:t>Press Release: Turkey must ensure fair appeal for Judge Murat Arslan after gross attack on judicial independence, says UN expert</w:t>
        </w:r>
      </w:hyperlink>
      <w:r w:rsidRPr="00BA7D56">
        <w:rPr>
          <w:rFonts w:ascii="Verdana" w:hAnsi="Verdana"/>
          <w:sz w:val="18"/>
          <w:szCs w:val="18"/>
        </w:rPr>
        <w:t xml:space="preserve">, 6 February 2019; PACE, Resolution 2260 (2019) </w:t>
      </w:r>
      <w:hyperlink r:id="rId20" w:history="1">
        <w:r w:rsidRPr="00BA7D56">
          <w:rPr>
            <w:rStyle w:val="Hyperlink"/>
            <w:rFonts w:ascii="Verdana" w:hAnsi="Verdana"/>
            <w:i/>
            <w:iCs/>
            <w:sz w:val="18"/>
            <w:szCs w:val="18"/>
          </w:rPr>
          <w:t>The worsening situation of opposition politicians in Turkey: what can be done to protect their fundamental rights in a Council of Europe member State?</w:t>
        </w:r>
      </w:hyperlink>
      <w:r w:rsidRPr="00BA7D56">
        <w:rPr>
          <w:rFonts w:ascii="Verdana" w:hAnsi="Verdana"/>
          <w:sz w:val="18"/>
          <w:szCs w:val="18"/>
        </w:rPr>
        <w:t xml:space="preserve">; PACE, </w:t>
      </w:r>
      <w:hyperlink r:id="rId21" w:history="1">
        <w:r w:rsidRPr="00BA7D56">
          <w:rPr>
            <w:rStyle w:val="Hyperlink"/>
            <w:rFonts w:ascii="Verdana" w:hAnsi="Verdana"/>
            <w:i/>
            <w:iCs/>
            <w:sz w:val="18"/>
            <w:szCs w:val="18"/>
          </w:rPr>
          <w:t>Resolution 2347 (2020) New crackdown on political opposition and civil dissent in Turkey: urgent need to safeguard Council of Europe standards</w:t>
        </w:r>
      </w:hyperlink>
      <w:r w:rsidRPr="00BA7D56">
        <w:rPr>
          <w:rFonts w:ascii="Verdana" w:hAnsi="Verdana"/>
          <w:sz w:val="18"/>
          <w:szCs w:val="18"/>
        </w:rPr>
        <w:t xml:space="preserve">.. </w:t>
      </w:r>
    </w:p>
  </w:footnote>
  <w:footnote w:id="20">
    <w:p w14:paraId="584DCD77" w14:textId="6B0A7E98"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See further e.g. ICJ, </w:t>
      </w:r>
      <w:hyperlink r:id="rId22" w:history="1">
        <w:r w:rsidRPr="00BA7D56">
          <w:rPr>
            <w:rStyle w:val="Hyperlink"/>
            <w:rFonts w:ascii="Verdana" w:hAnsi="Verdana"/>
            <w:i/>
            <w:iCs/>
            <w:sz w:val="18"/>
            <w:szCs w:val="18"/>
          </w:rPr>
          <w:t>Justice Suspended: Access to Justice and the State of Emergency in Turkey</w:t>
        </w:r>
      </w:hyperlink>
      <w:r w:rsidRPr="00BA7D56">
        <w:rPr>
          <w:rFonts w:ascii="Verdana" w:hAnsi="Verdana"/>
          <w:sz w:val="18"/>
          <w:szCs w:val="18"/>
        </w:rPr>
        <w:t xml:space="preserve">, 2018; Venice Commission, </w:t>
      </w:r>
      <w:hyperlink r:id="rId23" w:history="1">
        <w:r w:rsidRPr="00BA7D56">
          <w:rPr>
            <w:rStyle w:val="Hyperlink"/>
            <w:rFonts w:ascii="Verdana" w:hAnsi="Verdana"/>
            <w:i/>
            <w:iCs/>
            <w:sz w:val="18"/>
            <w:szCs w:val="18"/>
          </w:rPr>
          <w:t>Opinion on the amendments to the Constitution adopted by the Grand National Assembly on 21 January 2017 and to be submitted to a National Referendum on 16 April 2017</w:t>
        </w:r>
      </w:hyperlink>
      <w:r w:rsidRPr="00BA7D56">
        <w:rPr>
          <w:rFonts w:ascii="Verdana" w:hAnsi="Verdana"/>
          <w:sz w:val="18"/>
          <w:szCs w:val="18"/>
        </w:rPr>
        <w:t xml:space="preserve">, CDL-AD(2017)005-e; PACE, </w:t>
      </w:r>
      <w:hyperlink r:id="rId24" w:history="1">
        <w:r w:rsidRPr="00BA7D56">
          <w:rPr>
            <w:rStyle w:val="Hyperlink"/>
            <w:rFonts w:ascii="Verdana" w:hAnsi="Verdana"/>
            <w:i/>
            <w:iCs/>
            <w:sz w:val="18"/>
            <w:szCs w:val="18"/>
          </w:rPr>
          <w:t>Resolution 2156 (2017) The functioning of democratic institutions in Turkey</w:t>
        </w:r>
      </w:hyperlink>
      <w:r w:rsidRPr="00BA7D56">
        <w:rPr>
          <w:rFonts w:ascii="Verdana" w:hAnsi="Verdana"/>
          <w:sz w:val="18"/>
          <w:szCs w:val="18"/>
        </w:rPr>
        <w:t xml:space="preserve">, 25 April 2017; OHCHR, </w:t>
      </w:r>
      <w:hyperlink r:id="rId25" w:history="1">
        <w:r w:rsidRPr="00BA7D56">
          <w:rPr>
            <w:rStyle w:val="Hyperlink"/>
            <w:rFonts w:ascii="Verdana" w:hAnsi="Verdana"/>
            <w:i/>
            <w:iCs/>
            <w:sz w:val="18"/>
            <w:szCs w:val="18"/>
          </w:rPr>
          <w:t>Report on the impact of the state of emergency on human rights in Turkey, including an update on the South-East January – December 2017</w:t>
        </w:r>
      </w:hyperlink>
      <w:r w:rsidRPr="00BA7D56">
        <w:rPr>
          <w:rFonts w:ascii="Verdana" w:hAnsi="Verdana"/>
          <w:sz w:val="18"/>
          <w:szCs w:val="18"/>
        </w:rPr>
        <w:t xml:space="preserve">. For criticism regarding the procedure for the adoption of the constitutional amendments see e.g. See e.g. OSCE/ODIHR Limited Referendum Observation Mission, </w:t>
      </w:r>
      <w:hyperlink r:id="rId26" w:history="1">
        <w:r w:rsidRPr="00BA7D56">
          <w:rPr>
            <w:rStyle w:val="Hyperlink"/>
            <w:rFonts w:ascii="Verdana" w:hAnsi="Verdana"/>
            <w:i/>
            <w:iCs/>
            <w:sz w:val="18"/>
            <w:szCs w:val="18"/>
          </w:rPr>
          <w:t>Final Report, Republic of Turkey Constitutional Referendum of 16 April 2017</w:t>
        </w:r>
      </w:hyperlink>
      <w:r w:rsidRPr="00BA7D56">
        <w:rPr>
          <w:rFonts w:ascii="Verdana" w:hAnsi="Verdana"/>
          <w:sz w:val="18"/>
          <w:szCs w:val="18"/>
        </w:rPr>
        <w:t xml:space="preserve">, 22 June 2017; Venice Commission, </w:t>
      </w:r>
      <w:hyperlink r:id="rId27" w:history="1">
        <w:r w:rsidRPr="00BA7D56">
          <w:rPr>
            <w:rStyle w:val="Hyperlink"/>
            <w:rFonts w:ascii="Verdana" w:hAnsi="Verdana"/>
            <w:i/>
            <w:iCs/>
            <w:sz w:val="18"/>
            <w:szCs w:val="18"/>
          </w:rPr>
          <w:t>Opinion on the amendments to the Constitution adopted by the Grand National Assembly on 21 January 2017 and to be submitted to a National Referendum on 16 April 2017</w:t>
        </w:r>
      </w:hyperlink>
      <w:r w:rsidRPr="00BA7D56">
        <w:rPr>
          <w:rFonts w:ascii="Verdana" w:hAnsi="Verdana"/>
          <w:sz w:val="18"/>
          <w:szCs w:val="18"/>
        </w:rPr>
        <w:t>, CDL-AD(2017)005-e.</w:t>
      </w:r>
    </w:p>
  </w:footnote>
  <w:footnote w:id="21">
    <w:p w14:paraId="50B58F4F" w14:textId="74132E32"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ICJ, </w:t>
      </w:r>
      <w:hyperlink r:id="rId28" w:history="1">
        <w:r w:rsidRPr="00BA7D56">
          <w:rPr>
            <w:rStyle w:val="Hyperlink"/>
            <w:rFonts w:ascii="Verdana" w:hAnsi="Verdana"/>
            <w:i/>
            <w:iCs/>
            <w:sz w:val="18"/>
            <w:szCs w:val="18"/>
          </w:rPr>
          <w:t>Justice Suspended: Access to Justice and the State of Emergency in Turkey</w:t>
        </w:r>
      </w:hyperlink>
      <w:r w:rsidRPr="00BA7D56">
        <w:rPr>
          <w:rFonts w:ascii="Verdana" w:hAnsi="Verdana"/>
          <w:sz w:val="18"/>
          <w:szCs w:val="18"/>
        </w:rPr>
        <w:t xml:space="preserve">, 2018, p. 15-17. Exact numbers of dismissed judges vary somewhat between sources, see European Commission, </w:t>
      </w:r>
      <w:hyperlink r:id="rId29" w:history="1">
        <w:r w:rsidRPr="00BA7D56">
          <w:rPr>
            <w:rStyle w:val="Hyperlink"/>
            <w:rFonts w:ascii="Verdana" w:hAnsi="Verdana"/>
            <w:i/>
            <w:iCs/>
            <w:sz w:val="18"/>
            <w:szCs w:val="18"/>
          </w:rPr>
          <w:t>Turkey 2021 Report</w:t>
        </w:r>
      </w:hyperlink>
      <w:r w:rsidRPr="00BA7D56">
        <w:rPr>
          <w:rFonts w:ascii="Verdana" w:hAnsi="Verdana"/>
          <w:sz w:val="18"/>
          <w:szCs w:val="18"/>
        </w:rPr>
        <w:t xml:space="preserve">, SWD(2021) 290 final/2, p. 23; Office of the United Nations High Commissioner for Human Rights (OHCHR), </w:t>
      </w:r>
      <w:hyperlink r:id="rId30" w:history="1">
        <w:r w:rsidRPr="00BA7D56">
          <w:rPr>
            <w:rStyle w:val="Hyperlink"/>
            <w:rFonts w:ascii="Verdana" w:hAnsi="Verdana"/>
            <w:i/>
            <w:iCs/>
            <w:sz w:val="18"/>
            <w:szCs w:val="18"/>
          </w:rPr>
          <w:t>Report on the impact of the state of emergency on human rights in Turkey, including an update on the South-East - January - December 2017</w:t>
        </w:r>
      </w:hyperlink>
      <w:r w:rsidRPr="00BA7D56">
        <w:rPr>
          <w:rFonts w:ascii="Verdana" w:hAnsi="Verdana"/>
          <w:sz w:val="18"/>
          <w:szCs w:val="18"/>
        </w:rPr>
        <w:t>, March 2018, para. 49.</w:t>
      </w:r>
    </w:p>
  </w:footnote>
  <w:footnote w:id="22">
    <w:p w14:paraId="35DE47E0" w14:textId="77777777"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ICJ, </w:t>
      </w:r>
      <w:hyperlink r:id="rId31" w:history="1">
        <w:r w:rsidRPr="00BA7D56">
          <w:rPr>
            <w:rStyle w:val="Hyperlink"/>
            <w:rFonts w:ascii="Verdana" w:hAnsi="Verdana"/>
            <w:i/>
            <w:iCs/>
            <w:sz w:val="18"/>
            <w:szCs w:val="18"/>
          </w:rPr>
          <w:t>Turkey’s Judicial Reform Strategy and Judicial Independence</w:t>
        </w:r>
      </w:hyperlink>
      <w:r w:rsidRPr="00BA7D56">
        <w:rPr>
          <w:rFonts w:ascii="Verdana" w:hAnsi="Verdana"/>
          <w:sz w:val="18"/>
          <w:szCs w:val="18"/>
        </w:rPr>
        <w:t>, November 2019, p. 8.</w:t>
      </w:r>
    </w:p>
  </w:footnote>
  <w:footnote w:id="23">
    <w:p w14:paraId="78D9341C" w14:textId="07F90997"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Venice Commission, </w:t>
      </w:r>
      <w:hyperlink r:id="rId32" w:history="1">
        <w:r w:rsidRPr="00BA7D56">
          <w:rPr>
            <w:rStyle w:val="Hyperlink"/>
            <w:rFonts w:ascii="Verdana" w:hAnsi="Verdana"/>
            <w:i/>
            <w:iCs/>
            <w:sz w:val="18"/>
            <w:szCs w:val="18"/>
          </w:rPr>
          <w:t>Opinion on the amendments to the Constitution adopted by the Grand National Assembly on 21 January 2017 and to be submitted to a National Referendum on 16 April 2007</w:t>
        </w:r>
      </w:hyperlink>
      <w:r w:rsidRPr="00BA7D56">
        <w:rPr>
          <w:rFonts w:ascii="Verdana" w:hAnsi="Verdana"/>
          <w:sz w:val="18"/>
          <w:szCs w:val="18"/>
        </w:rPr>
        <w:t>, adopted at its plenary session, 10-11 March 2017, Doc. CDL-AD(2017)005-e, in particular paras 114-119; Council of Europe Commissioner for Human Rights</w:t>
      </w:r>
      <w:r w:rsidRPr="00BA7D56">
        <w:rPr>
          <w:rFonts w:ascii="Verdana" w:hAnsi="Verdana"/>
          <w:i/>
          <w:iCs/>
          <w:sz w:val="18"/>
          <w:szCs w:val="18"/>
        </w:rPr>
        <w:t xml:space="preserve">, </w:t>
      </w:r>
      <w:hyperlink r:id="rId33" w:history="1">
        <w:r w:rsidRPr="00BA7D56">
          <w:rPr>
            <w:rStyle w:val="Hyperlink"/>
            <w:rFonts w:ascii="Verdana" w:hAnsi="Verdana"/>
            <w:i/>
            <w:iCs/>
            <w:sz w:val="18"/>
            <w:szCs w:val="18"/>
          </w:rPr>
          <w:t>Statement of 7 June 2017</w:t>
        </w:r>
      </w:hyperlink>
      <w:r w:rsidRPr="00BA7D56">
        <w:rPr>
          <w:rFonts w:ascii="Verdana" w:hAnsi="Verdana"/>
          <w:sz w:val="18"/>
          <w:szCs w:val="18"/>
        </w:rPr>
        <w:t xml:space="preserve">. See also Office of the United Nations High Commissioner for Human Rights (OHCHR), </w:t>
      </w:r>
      <w:hyperlink r:id="rId34" w:history="1">
        <w:r w:rsidRPr="00BA7D56">
          <w:rPr>
            <w:rStyle w:val="Hyperlink"/>
            <w:rFonts w:ascii="Verdana" w:hAnsi="Verdana"/>
            <w:i/>
            <w:iCs/>
            <w:sz w:val="18"/>
            <w:szCs w:val="18"/>
          </w:rPr>
          <w:t>Report on the impact of the state of emergency on human rights in Turkey, including an update on the South-East - January - December 2017</w:t>
        </w:r>
      </w:hyperlink>
      <w:r w:rsidRPr="00BA7D56">
        <w:rPr>
          <w:rFonts w:ascii="Verdana" w:hAnsi="Verdana"/>
          <w:sz w:val="18"/>
          <w:szCs w:val="18"/>
        </w:rPr>
        <w:t xml:space="preserve">, March 2018, para. 34; European Commission, </w:t>
      </w:r>
      <w:hyperlink r:id="rId35" w:history="1">
        <w:r w:rsidRPr="00BA7D56">
          <w:rPr>
            <w:rStyle w:val="Hyperlink"/>
            <w:rFonts w:ascii="Verdana" w:hAnsi="Verdana"/>
            <w:i/>
            <w:iCs/>
            <w:sz w:val="18"/>
            <w:szCs w:val="18"/>
          </w:rPr>
          <w:t>Turkey 2018 Report</w:t>
        </w:r>
      </w:hyperlink>
      <w:r w:rsidRPr="00BA7D56">
        <w:rPr>
          <w:rFonts w:ascii="Verdana" w:hAnsi="Verdana"/>
          <w:sz w:val="18"/>
          <w:szCs w:val="18"/>
        </w:rPr>
        <w:t xml:space="preserve">, Doc. No. SWD(2018) 153 final, 17 April 2018, p. 22-27; ICJ, </w:t>
      </w:r>
      <w:hyperlink r:id="rId36" w:history="1">
        <w:r w:rsidRPr="00BA7D56">
          <w:rPr>
            <w:rStyle w:val="Hyperlink"/>
            <w:rFonts w:ascii="Verdana" w:hAnsi="Verdana"/>
            <w:i/>
            <w:iCs/>
            <w:sz w:val="18"/>
            <w:szCs w:val="18"/>
          </w:rPr>
          <w:t>Turkey’s Judicial Reform Strategy and Judicial Independence</w:t>
        </w:r>
      </w:hyperlink>
      <w:r w:rsidRPr="00BA7D56">
        <w:rPr>
          <w:rFonts w:ascii="Verdana" w:hAnsi="Verdana"/>
          <w:sz w:val="18"/>
          <w:szCs w:val="18"/>
        </w:rPr>
        <w:t xml:space="preserve">, November 2019, p. 7; Venice Commission, </w:t>
      </w:r>
      <w:hyperlink r:id="rId37" w:history="1">
        <w:r w:rsidRPr="00BA7D56">
          <w:rPr>
            <w:rStyle w:val="Hyperlink"/>
            <w:rFonts w:ascii="Verdana" w:hAnsi="Verdana"/>
            <w:i/>
            <w:iCs/>
            <w:sz w:val="18"/>
            <w:szCs w:val="18"/>
          </w:rPr>
          <w:t>Opinion on the amendments to the Constitution adopted by the Grand National Assembly on 21 January 2017 and to be submitted to a National Referendum on 16 April 2007</w:t>
        </w:r>
      </w:hyperlink>
      <w:r w:rsidRPr="00BA7D56">
        <w:rPr>
          <w:rFonts w:ascii="Verdana" w:hAnsi="Verdana"/>
          <w:sz w:val="18"/>
          <w:szCs w:val="18"/>
        </w:rPr>
        <w:t>, adopted at its plenary session, 10-11 March 2017, Doc. CDL-AD(2017)005-e, paras 120-134.</w:t>
      </w:r>
    </w:p>
  </w:footnote>
  <w:footnote w:id="24">
    <w:p w14:paraId="6703C7E7" w14:textId="77777777"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European Commission, </w:t>
      </w:r>
      <w:hyperlink r:id="rId38" w:history="1">
        <w:r w:rsidRPr="00BA7D56">
          <w:rPr>
            <w:rStyle w:val="Hyperlink"/>
            <w:rFonts w:ascii="Verdana" w:hAnsi="Verdana"/>
            <w:i/>
            <w:iCs/>
            <w:sz w:val="18"/>
            <w:szCs w:val="18"/>
          </w:rPr>
          <w:t>Turkey 2021 Report</w:t>
        </w:r>
      </w:hyperlink>
      <w:r w:rsidRPr="00BA7D56">
        <w:rPr>
          <w:rFonts w:ascii="Verdana" w:hAnsi="Verdana"/>
          <w:sz w:val="18"/>
          <w:szCs w:val="18"/>
        </w:rPr>
        <w:t xml:space="preserve">, SWD(2021) 290 final/2, p. 23-24; ICJ, </w:t>
      </w:r>
      <w:hyperlink r:id="rId39" w:history="1">
        <w:r w:rsidRPr="00BA7D56">
          <w:rPr>
            <w:rStyle w:val="Hyperlink"/>
            <w:rFonts w:ascii="Verdana" w:hAnsi="Verdana"/>
            <w:i/>
            <w:iCs/>
            <w:sz w:val="18"/>
            <w:szCs w:val="18"/>
          </w:rPr>
          <w:t>Turkey’s Judicial Reform Strategy and Judicial Independence</w:t>
        </w:r>
      </w:hyperlink>
      <w:r w:rsidRPr="00BA7D56">
        <w:rPr>
          <w:rFonts w:ascii="Verdana" w:hAnsi="Verdana"/>
          <w:sz w:val="18"/>
          <w:szCs w:val="18"/>
        </w:rPr>
        <w:t>, November 2019, p. 7-9.</w:t>
      </w:r>
    </w:p>
  </w:footnote>
  <w:footnote w:id="25">
    <w:p w14:paraId="1718DDA9" w14:textId="77777777"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See e.g. Commissioner for Human Rights of the Council of Europe, </w:t>
      </w:r>
      <w:hyperlink r:id="rId40" w:history="1">
        <w:r w:rsidRPr="00BA7D56">
          <w:rPr>
            <w:rStyle w:val="Hyperlink"/>
            <w:rFonts w:ascii="Verdana" w:hAnsi="Verdana"/>
            <w:i/>
            <w:iCs/>
            <w:sz w:val="18"/>
            <w:szCs w:val="18"/>
          </w:rPr>
          <w:t>Country Report Turkey</w:t>
        </w:r>
      </w:hyperlink>
      <w:r w:rsidRPr="00BA7D56">
        <w:rPr>
          <w:rFonts w:ascii="Verdana" w:hAnsi="Verdana"/>
          <w:sz w:val="18"/>
          <w:szCs w:val="18"/>
        </w:rPr>
        <w:t xml:space="preserve">, 19 February 2020; Venice Commission, </w:t>
      </w:r>
      <w:hyperlink r:id="rId41" w:history="1">
        <w:r w:rsidRPr="00BA7D56">
          <w:rPr>
            <w:rStyle w:val="Hyperlink"/>
            <w:rFonts w:ascii="Verdana" w:hAnsi="Verdana"/>
            <w:i/>
            <w:iCs/>
            <w:sz w:val="18"/>
            <w:szCs w:val="18"/>
          </w:rPr>
          <w:t>Opinion on the Emergency Decree Laws Nos. 667-676 adopted following the failed coup of 15 July 2016</w:t>
        </w:r>
      </w:hyperlink>
      <w:r w:rsidRPr="00BA7D56">
        <w:rPr>
          <w:rFonts w:ascii="Verdana" w:hAnsi="Verdana"/>
          <w:sz w:val="18"/>
          <w:szCs w:val="18"/>
        </w:rPr>
        <w:t xml:space="preserve">, adopted at its 109th plenary session, 9-10 December 2016; European Commission, </w:t>
      </w:r>
      <w:hyperlink r:id="rId42" w:history="1">
        <w:r w:rsidRPr="00BA7D56">
          <w:rPr>
            <w:rStyle w:val="Hyperlink"/>
            <w:rFonts w:ascii="Verdana" w:hAnsi="Verdana"/>
            <w:i/>
            <w:iCs/>
            <w:sz w:val="18"/>
            <w:szCs w:val="18"/>
          </w:rPr>
          <w:t>Turkey 2018 Report</w:t>
        </w:r>
      </w:hyperlink>
      <w:r w:rsidRPr="00BA7D56">
        <w:rPr>
          <w:rFonts w:ascii="Verdana" w:hAnsi="Verdana"/>
          <w:sz w:val="18"/>
          <w:szCs w:val="18"/>
        </w:rPr>
        <w:t xml:space="preserve">, Doc. No. SWD(2018) 153 final, 17 April 2018; and Office of the United Nations High Commissioner for Human Rights (OHCHR), </w:t>
      </w:r>
      <w:hyperlink r:id="rId43" w:history="1">
        <w:r w:rsidRPr="00BA7D56">
          <w:rPr>
            <w:rStyle w:val="Hyperlink"/>
            <w:rFonts w:ascii="Verdana" w:hAnsi="Verdana"/>
            <w:i/>
            <w:iCs/>
            <w:sz w:val="18"/>
            <w:szCs w:val="18"/>
          </w:rPr>
          <w:t>Report on the impact of the state of emergency on human rights in Turkey, including an update on the South-East - January - December 2017</w:t>
        </w:r>
      </w:hyperlink>
      <w:r w:rsidRPr="00BA7D56">
        <w:rPr>
          <w:rFonts w:ascii="Verdana" w:hAnsi="Verdana"/>
          <w:sz w:val="18"/>
          <w:szCs w:val="18"/>
        </w:rPr>
        <w:t>, March 2018.</w:t>
      </w:r>
    </w:p>
  </w:footnote>
  <w:footnote w:id="26">
    <w:p w14:paraId="18914C39" w14:textId="05483F03"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See e.g. EuromedRights, “</w:t>
      </w:r>
      <w:hyperlink r:id="rId44" w:history="1">
        <w:r w:rsidRPr="00BA7D56">
          <w:rPr>
            <w:rStyle w:val="Hyperlink"/>
            <w:rFonts w:ascii="Verdana" w:hAnsi="Verdana"/>
            <w:sz w:val="18"/>
            <w:szCs w:val="18"/>
          </w:rPr>
          <w:t>Turkey: The Long Way Back to the Istanbul Convention</w:t>
        </w:r>
      </w:hyperlink>
      <w:r w:rsidRPr="00BA7D56">
        <w:rPr>
          <w:rFonts w:ascii="Verdana" w:hAnsi="Verdana"/>
          <w:sz w:val="18"/>
          <w:szCs w:val="18"/>
        </w:rPr>
        <w:t>”, 28 June 2021; İlayda Eskitaşçıoğlu, “</w:t>
      </w:r>
      <w:hyperlink r:id="rId45" w:history="1">
        <w:r w:rsidRPr="00BA7D56">
          <w:rPr>
            <w:rStyle w:val="Hyperlink"/>
            <w:rFonts w:ascii="Verdana" w:hAnsi="Verdana"/>
            <w:sz w:val="18"/>
            <w:szCs w:val="18"/>
          </w:rPr>
          <w:t>Turkey’s Withdrawal from the Istanbul Convention: A Sudden Presidential Decision in the Dead of the Night and an Alarming Setback</w:t>
        </w:r>
      </w:hyperlink>
      <w:r w:rsidRPr="00BA7D56">
        <w:rPr>
          <w:rFonts w:ascii="Verdana" w:hAnsi="Verdana"/>
          <w:sz w:val="18"/>
          <w:szCs w:val="18"/>
        </w:rPr>
        <w:t xml:space="preserve">”, </w:t>
      </w:r>
      <w:r w:rsidRPr="00BA7D56">
        <w:rPr>
          <w:rFonts w:ascii="Verdana" w:hAnsi="Verdana"/>
          <w:i/>
          <w:iCs/>
          <w:sz w:val="18"/>
          <w:szCs w:val="18"/>
        </w:rPr>
        <w:t>Völkerrechtsblog</w:t>
      </w:r>
      <w:r w:rsidRPr="00BA7D56">
        <w:rPr>
          <w:rFonts w:ascii="Verdana" w:hAnsi="Verdana"/>
          <w:sz w:val="18"/>
          <w:szCs w:val="18"/>
        </w:rPr>
        <w:t>, 27 March 2021; Serkan Demirtaş, “</w:t>
      </w:r>
      <w:hyperlink r:id="rId46" w:history="1">
        <w:r w:rsidRPr="00BA7D56">
          <w:rPr>
            <w:rStyle w:val="Hyperlink"/>
            <w:rFonts w:ascii="Verdana" w:hAnsi="Verdana"/>
            <w:sz w:val="18"/>
            <w:szCs w:val="18"/>
          </w:rPr>
          <w:t>Istanbul Convention Stirs Debate among Turkey’s Conservatives</w:t>
        </w:r>
      </w:hyperlink>
      <w:r w:rsidRPr="00BA7D56">
        <w:rPr>
          <w:rFonts w:ascii="Verdana" w:hAnsi="Verdana"/>
          <w:sz w:val="18"/>
          <w:szCs w:val="18"/>
        </w:rPr>
        <w:t xml:space="preserve">”, </w:t>
      </w:r>
      <w:r w:rsidRPr="00BA7D56">
        <w:rPr>
          <w:rFonts w:ascii="Verdana" w:hAnsi="Verdana"/>
          <w:i/>
          <w:iCs/>
          <w:sz w:val="18"/>
          <w:szCs w:val="18"/>
        </w:rPr>
        <w:t>Hurriyet Daily News</w:t>
      </w:r>
      <w:r w:rsidRPr="00BA7D56">
        <w:rPr>
          <w:rFonts w:ascii="Verdana" w:hAnsi="Verdana"/>
          <w:sz w:val="18"/>
          <w:szCs w:val="18"/>
        </w:rPr>
        <w:t>, 3 August 2020.</w:t>
      </w:r>
    </w:p>
  </w:footnote>
  <w:footnote w:id="27">
    <w:p w14:paraId="66989242" w14:textId="7E612861"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CEDAW Committee, General Recommendation No. 37, CEDAW/C/GC/37, 2018, para. 2.</w:t>
      </w:r>
    </w:p>
  </w:footnote>
  <w:footnote w:id="28">
    <w:p w14:paraId="7E6A0671" w14:textId="0A22B599"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CEDAW Committee, General Recommendation No. 37, CEDAW/C/GC/37, 2018, para. 37.</w:t>
      </w:r>
    </w:p>
  </w:footnote>
  <w:footnote w:id="29">
    <w:p w14:paraId="1DF3B9C2" w14:textId="77777777" w:rsidR="00DA7F78" w:rsidRPr="00BA7D56" w:rsidRDefault="00DA7F78" w:rsidP="000215A9">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Turkey, </w:t>
      </w:r>
      <w:hyperlink r:id="rId47" w:history="1">
        <w:r w:rsidRPr="00BA7D56">
          <w:rPr>
            <w:rStyle w:val="Hyperlink"/>
            <w:rFonts w:ascii="Verdana" w:hAnsi="Verdana"/>
            <w:i/>
            <w:iCs/>
            <w:sz w:val="18"/>
            <w:szCs w:val="18"/>
          </w:rPr>
          <w:t>Environment Law No. 2872</w:t>
        </w:r>
      </w:hyperlink>
      <w:r w:rsidRPr="00BA7D56">
        <w:rPr>
          <w:rFonts w:ascii="Verdana" w:hAnsi="Verdana"/>
          <w:sz w:val="18"/>
          <w:szCs w:val="18"/>
        </w:rPr>
        <w:t>, 1983.</w:t>
      </w:r>
    </w:p>
  </w:footnote>
  <w:footnote w:id="30">
    <w:p w14:paraId="671666D9" w14:textId="77777777"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Constitution of the Republic of Turkey, Art 56.</w:t>
      </w:r>
    </w:p>
  </w:footnote>
  <w:footnote w:id="31">
    <w:p w14:paraId="6174938F" w14:textId="77777777"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Constitution of the Republic of Turkey, Art 148.</w:t>
      </w:r>
    </w:p>
  </w:footnote>
  <w:footnote w:id="32">
    <w:p w14:paraId="3AE50590" w14:textId="5999E5FB"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ICJ, “</w:t>
      </w:r>
      <w:hyperlink r:id="rId48" w:history="1">
        <w:r w:rsidRPr="00BA7D56">
          <w:rPr>
            <w:rStyle w:val="Hyperlink"/>
            <w:rFonts w:ascii="Verdana" w:hAnsi="Verdana"/>
            <w:sz w:val="18"/>
            <w:szCs w:val="18"/>
          </w:rPr>
          <w:t>The state of access to justice to protect human rights and the environment in Turkey</w:t>
        </w:r>
      </w:hyperlink>
      <w:r w:rsidRPr="00BA7D56">
        <w:rPr>
          <w:rFonts w:ascii="Verdana" w:hAnsi="Verdana"/>
          <w:sz w:val="18"/>
          <w:szCs w:val="18"/>
        </w:rPr>
        <w:t>”, 7 March 2022.</w:t>
      </w:r>
    </w:p>
  </w:footnote>
  <w:footnote w:id="33">
    <w:p w14:paraId="3FE652B7" w14:textId="77777777" w:rsidR="00DA7F78" w:rsidRPr="00BA7D56" w:rsidRDefault="00DA7F78" w:rsidP="00EF17E0">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Clean Air Platform, </w:t>
      </w:r>
      <w:hyperlink r:id="rId49" w:history="1">
        <w:r w:rsidRPr="00BA7D56">
          <w:rPr>
            <w:rStyle w:val="Hyperlink"/>
            <w:rFonts w:ascii="Verdana" w:hAnsi="Verdana"/>
            <w:sz w:val="18"/>
            <w:szCs w:val="18"/>
          </w:rPr>
          <w:t>Coal Fired Power Plant Health Impact Assessment Report</w:t>
        </w:r>
      </w:hyperlink>
      <w:r w:rsidRPr="00BA7D56">
        <w:rPr>
          <w:rFonts w:ascii="Verdana" w:hAnsi="Verdana"/>
          <w:sz w:val="18"/>
          <w:szCs w:val="18"/>
        </w:rPr>
        <w:t xml:space="preserve">, p. 9; Turkish Academy of Sciences, </w:t>
      </w:r>
      <w:hyperlink r:id="rId50" w:history="1">
        <w:r w:rsidRPr="00BA7D56">
          <w:rPr>
            <w:rStyle w:val="Hyperlink"/>
            <w:rFonts w:ascii="Verdana" w:hAnsi="Verdana"/>
            <w:sz w:val="18"/>
            <w:szCs w:val="18"/>
          </w:rPr>
          <w:t>Climate Change and Public Health in Turkey</w:t>
        </w:r>
      </w:hyperlink>
      <w:r w:rsidRPr="00BA7D56">
        <w:rPr>
          <w:rFonts w:ascii="Verdana" w:hAnsi="Verdana"/>
          <w:sz w:val="18"/>
          <w:szCs w:val="18"/>
        </w:rPr>
        <w:t xml:space="preserve">, 2020; HEAL, </w:t>
      </w:r>
      <w:hyperlink r:id="rId51" w:history="1">
        <w:r w:rsidRPr="00BA7D56">
          <w:rPr>
            <w:rStyle w:val="Hyperlink"/>
            <w:rFonts w:ascii="Verdana" w:hAnsi="Verdana"/>
            <w:sz w:val="18"/>
            <w:szCs w:val="18"/>
          </w:rPr>
          <w:t>Air Pollution and Health in Turkey</w:t>
        </w:r>
      </w:hyperlink>
      <w:r w:rsidRPr="00BA7D56">
        <w:rPr>
          <w:rFonts w:ascii="Verdana" w:hAnsi="Verdana"/>
          <w:sz w:val="18"/>
          <w:szCs w:val="18"/>
        </w:rPr>
        <w:t xml:space="preserve">, 2015; Daily Shabah, </w:t>
      </w:r>
      <w:hyperlink r:id="rId52" w:history="1">
        <w:r w:rsidRPr="00BA7D56">
          <w:rPr>
            <w:rStyle w:val="Hyperlink"/>
            <w:rFonts w:ascii="Verdana" w:hAnsi="Verdana"/>
            <w:sz w:val="18"/>
            <w:szCs w:val="18"/>
          </w:rPr>
          <w:t>Turkey’s 13 Cities Had High Air Pollution in 2020</w:t>
        </w:r>
      </w:hyperlink>
      <w:r w:rsidRPr="00BA7D56">
        <w:rPr>
          <w:rFonts w:ascii="Verdana" w:hAnsi="Verdana"/>
          <w:sz w:val="18"/>
          <w:szCs w:val="18"/>
        </w:rPr>
        <w:t>, 1 October 2021.</w:t>
      </w:r>
    </w:p>
  </w:footnote>
  <w:footnote w:id="34">
    <w:p w14:paraId="0200144B" w14:textId="77777777" w:rsidR="00DA7F78" w:rsidRPr="00BA7D56" w:rsidRDefault="00DA7F78" w:rsidP="00EF17E0">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ICJ, “</w:t>
      </w:r>
      <w:hyperlink r:id="rId53" w:history="1">
        <w:r w:rsidRPr="00BA7D56">
          <w:rPr>
            <w:rStyle w:val="Hyperlink"/>
            <w:rFonts w:ascii="Verdana" w:hAnsi="Verdana"/>
            <w:sz w:val="18"/>
            <w:szCs w:val="18"/>
          </w:rPr>
          <w:t>The State of Access to Justice to Protect Human Rights and the Environment in Turkey</w:t>
        </w:r>
      </w:hyperlink>
      <w:r w:rsidRPr="00BA7D56">
        <w:rPr>
          <w:rFonts w:ascii="Verdana" w:hAnsi="Verdana"/>
          <w:sz w:val="18"/>
          <w:szCs w:val="18"/>
        </w:rPr>
        <w:t>”, 7 March 2022, p. 40.</w:t>
      </w:r>
    </w:p>
  </w:footnote>
  <w:footnote w:id="35">
    <w:p w14:paraId="36B84376" w14:textId="0BD6A30E"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Ibid. p. 27-28, Gunduz, Murat &amp; Onder, Oytun. (2012), “Corruption and Internal Fraud in the Turkish Construction Industry”, </w:t>
      </w:r>
      <w:r w:rsidRPr="00BA7D56">
        <w:rPr>
          <w:rFonts w:ascii="Verdana" w:hAnsi="Verdana"/>
          <w:i/>
          <w:iCs/>
          <w:sz w:val="18"/>
          <w:szCs w:val="18"/>
        </w:rPr>
        <w:t>Science and engineering ethics</w:t>
      </w:r>
      <w:r w:rsidRPr="00BA7D56">
        <w:rPr>
          <w:rFonts w:ascii="Verdana" w:hAnsi="Verdana"/>
          <w:sz w:val="18"/>
          <w:szCs w:val="18"/>
        </w:rPr>
        <w:t>, 19. 10.1007/s11948-012-9356-9.</w:t>
      </w:r>
    </w:p>
  </w:footnote>
  <w:footnote w:id="36">
    <w:p w14:paraId="5914ABA5" w14:textId="643E4C7F"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ICJ, “</w:t>
      </w:r>
      <w:hyperlink r:id="rId54" w:history="1">
        <w:r w:rsidRPr="00BA7D56">
          <w:rPr>
            <w:rStyle w:val="Hyperlink"/>
            <w:rFonts w:ascii="Verdana" w:hAnsi="Verdana"/>
            <w:sz w:val="18"/>
            <w:szCs w:val="18"/>
          </w:rPr>
          <w:t>The State of Access to Justice to Protect Human Rights and the Environment in Turkey</w:t>
        </w:r>
      </w:hyperlink>
      <w:r w:rsidRPr="00BA7D56">
        <w:rPr>
          <w:rFonts w:ascii="Verdana" w:hAnsi="Verdana"/>
          <w:sz w:val="18"/>
          <w:szCs w:val="18"/>
        </w:rPr>
        <w:t>”, 7 March 2022, p. 28-34.</w:t>
      </w:r>
    </w:p>
  </w:footnote>
  <w:footnote w:id="37">
    <w:p w14:paraId="575F1E86" w14:textId="1089E115"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Ibid. p. 34-40.</w:t>
      </w:r>
    </w:p>
  </w:footnote>
  <w:footnote w:id="38">
    <w:p w14:paraId="29C8D8F5" w14:textId="77777777" w:rsidR="00DA7F78" w:rsidRPr="00BA7D56" w:rsidRDefault="00DA7F78" w:rsidP="00BA7D56">
      <w:pPr>
        <w:pStyle w:val="Funotentext"/>
        <w:jc w:val="both"/>
        <w:rPr>
          <w:rFonts w:ascii="Verdana" w:hAnsi="Verdana"/>
          <w:sz w:val="18"/>
          <w:szCs w:val="18"/>
        </w:rPr>
      </w:pPr>
      <w:r w:rsidRPr="00BA7D56">
        <w:rPr>
          <w:rStyle w:val="Funotenzeichen"/>
          <w:rFonts w:ascii="Verdana" w:hAnsi="Verdana"/>
          <w:sz w:val="18"/>
          <w:szCs w:val="18"/>
        </w:rPr>
        <w:footnoteRef/>
      </w:r>
      <w:r w:rsidRPr="00BA7D56">
        <w:rPr>
          <w:rFonts w:ascii="Verdana" w:hAnsi="Verdana"/>
          <w:sz w:val="18"/>
          <w:szCs w:val="18"/>
        </w:rPr>
        <w:t xml:space="preserve"> Ministry of Justice of the Republic of Turkey, </w:t>
      </w:r>
      <w:hyperlink r:id="rId55" w:history="1">
        <w:r w:rsidRPr="00BA7D56">
          <w:rPr>
            <w:rStyle w:val="Hyperlink"/>
            <w:rFonts w:ascii="Verdana" w:hAnsi="Verdana"/>
            <w:sz w:val="18"/>
            <w:szCs w:val="18"/>
          </w:rPr>
          <w:t>Judicial Reform Strategy</w:t>
        </w:r>
      </w:hyperlink>
      <w:r w:rsidRPr="00BA7D56">
        <w:rPr>
          <w:rFonts w:ascii="Verdana" w:hAnsi="Verdana"/>
          <w:sz w:val="18"/>
          <w:szCs w:val="18"/>
        </w:rPr>
        <w:t xml:space="preserve">, May 2019; Ministry of Justice of the Republic of Turkey, </w:t>
      </w:r>
      <w:hyperlink r:id="rId56" w:history="1">
        <w:r w:rsidRPr="00BA7D56">
          <w:rPr>
            <w:rStyle w:val="Hyperlink"/>
            <w:rFonts w:ascii="Verdana" w:hAnsi="Verdana"/>
            <w:sz w:val="18"/>
            <w:szCs w:val="18"/>
          </w:rPr>
          <w:t>Action Plan on Human Rights</w:t>
        </w:r>
      </w:hyperlink>
      <w:r w:rsidRPr="00BA7D56">
        <w:rPr>
          <w:rFonts w:ascii="Verdana" w:hAnsi="Verdana"/>
          <w:sz w:val="18"/>
          <w:szCs w:val="18"/>
        </w:rPr>
        <w:t>, March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24D"/>
    <w:multiLevelType w:val="hybridMultilevel"/>
    <w:tmpl w:val="0478C8EC"/>
    <w:lvl w:ilvl="0" w:tplc="D3063D88">
      <w:start w:val="1"/>
      <w:numFmt w:val="lowerRoman"/>
      <w:lvlText w:val="%1."/>
      <w:lvlJc w:val="left"/>
      <w:pPr>
        <w:ind w:left="1080" w:hanging="72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7D2ECE"/>
    <w:multiLevelType w:val="hybridMultilevel"/>
    <w:tmpl w:val="4392A56E"/>
    <w:lvl w:ilvl="0" w:tplc="BFDE176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BD4000D"/>
    <w:multiLevelType w:val="hybridMultilevel"/>
    <w:tmpl w:val="615EBDDE"/>
    <w:lvl w:ilvl="0" w:tplc="764CB6C6">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6BE30EB"/>
    <w:multiLevelType w:val="hybridMultilevel"/>
    <w:tmpl w:val="5C06C65A"/>
    <w:lvl w:ilvl="0" w:tplc="764CB6C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8692D6B"/>
    <w:multiLevelType w:val="hybridMultilevel"/>
    <w:tmpl w:val="F39AE5BE"/>
    <w:lvl w:ilvl="0" w:tplc="350EEB44">
      <w:start w:val="1"/>
      <w:numFmt w:val="decimal"/>
      <w:lvlText w:val="%1."/>
      <w:lvlJc w:val="left"/>
      <w:pPr>
        <w:ind w:left="360" w:hanging="360"/>
      </w:pPr>
      <w:rPr>
        <w:rFonts w:hint="default"/>
        <w:b w:val="0"/>
        <w:bCs w:val="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55DE5B79"/>
    <w:multiLevelType w:val="hybridMultilevel"/>
    <w:tmpl w:val="1374AE88"/>
    <w:lvl w:ilvl="0" w:tplc="B0F2C28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51E0982"/>
    <w:multiLevelType w:val="hybridMultilevel"/>
    <w:tmpl w:val="D8FE4666"/>
    <w:lvl w:ilvl="0" w:tplc="B0F2C28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85A07CD"/>
    <w:multiLevelType w:val="hybridMultilevel"/>
    <w:tmpl w:val="076E7AD6"/>
    <w:lvl w:ilvl="0" w:tplc="668A428A">
      <w:start w:val="16"/>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D214CE6"/>
    <w:multiLevelType w:val="hybridMultilevel"/>
    <w:tmpl w:val="BF1C2BE0"/>
    <w:lvl w:ilvl="0" w:tplc="72F0BC7C">
      <w:start w:val="1"/>
      <w:numFmt w:val="upperRoman"/>
      <w:pStyle w:val="berschrift1"/>
      <w:lvlText w:val="%1."/>
      <w:lvlJc w:val="left"/>
      <w:pPr>
        <w:ind w:left="1080" w:hanging="720"/>
      </w:pPr>
      <w:rPr>
        <w:rFonts w:hint="default"/>
      </w:rPr>
    </w:lvl>
    <w:lvl w:ilvl="1" w:tplc="97DC5B18">
      <w:start w:val="1"/>
      <w:numFmt w:val="lowerLetter"/>
      <w:pStyle w:val="berschrift2"/>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8AC301E"/>
    <w:multiLevelType w:val="hybridMultilevel"/>
    <w:tmpl w:val="AC7223D8"/>
    <w:lvl w:ilvl="0" w:tplc="764CB6C6">
      <w:start w:val="1"/>
      <w:numFmt w:val="decimal"/>
      <w:lvlText w:val="%1."/>
      <w:lvlJc w:val="left"/>
      <w:pPr>
        <w:ind w:left="36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7"/>
  </w:num>
  <w:num w:numId="5">
    <w:abstractNumId w:val="3"/>
  </w:num>
  <w:num w:numId="6">
    <w:abstractNumId w:val="9"/>
  </w:num>
  <w:num w:numId="7">
    <w:abstractNumId w:val="2"/>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B4"/>
    <w:rsid w:val="000028DF"/>
    <w:rsid w:val="00007A32"/>
    <w:rsid w:val="00011CAC"/>
    <w:rsid w:val="000145AD"/>
    <w:rsid w:val="0001758F"/>
    <w:rsid w:val="000203DF"/>
    <w:rsid w:val="000207E1"/>
    <w:rsid w:val="000215A9"/>
    <w:rsid w:val="00037825"/>
    <w:rsid w:val="00046A54"/>
    <w:rsid w:val="0005621C"/>
    <w:rsid w:val="00062C74"/>
    <w:rsid w:val="0008006F"/>
    <w:rsid w:val="000807D9"/>
    <w:rsid w:val="00091E4F"/>
    <w:rsid w:val="0009427F"/>
    <w:rsid w:val="00097A5A"/>
    <w:rsid w:val="000C04C1"/>
    <w:rsid w:val="000D43C5"/>
    <w:rsid w:val="000D70E2"/>
    <w:rsid w:val="000E0C9B"/>
    <w:rsid w:val="000E5B3E"/>
    <w:rsid w:val="00103750"/>
    <w:rsid w:val="001038D2"/>
    <w:rsid w:val="00133BA4"/>
    <w:rsid w:val="00141DBA"/>
    <w:rsid w:val="00141E7D"/>
    <w:rsid w:val="00143171"/>
    <w:rsid w:val="001475B8"/>
    <w:rsid w:val="00195EE4"/>
    <w:rsid w:val="00197637"/>
    <w:rsid w:val="00197BEC"/>
    <w:rsid w:val="001B2777"/>
    <w:rsid w:val="001B76BB"/>
    <w:rsid w:val="001E274E"/>
    <w:rsid w:val="001E2FA1"/>
    <w:rsid w:val="001F5CCD"/>
    <w:rsid w:val="00200E1A"/>
    <w:rsid w:val="002527AA"/>
    <w:rsid w:val="002570C9"/>
    <w:rsid w:val="00260804"/>
    <w:rsid w:val="00261368"/>
    <w:rsid w:val="002709F1"/>
    <w:rsid w:val="00271CB9"/>
    <w:rsid w:val="002809D7"/>
    <w:rsid w:val="002860DC"/>
    <w:rsid w:val="00293048"/>
    <w:rsid w:val="00295D83"/>
    <w:rsid w:val="002A00CA"/>
    <w:rsid w:val="002A75B3"/>
    <w:rsid w:val="002B0A96"/>
    <w:rsid w:val="002E2F33"/>
    <w:rsid w:val="002E6DEF"/>
    <w:rsid w:val="003041A9"/>
    <w:rsid w:val="003055C8"/>
    <w:rsid w:val="003100A9"/>
    <w:rsid w:val="003155B8"/>
    <w:rsid w:val="00315AD1"/>
    <w:rsid w:val="00317DB4"/>
    <w:rsid w:val="00332981"/>
    <w:rsid w:val="00347709"/>
    <w:rsid w:val="00363CAE"/>
    <w:rsid w:val="00365C63"/>
    <w:rsid w:val="00382B07"/>
    <w:rsid w:val="0039219B"/>
    <w:rsid w:val="003A5DF3"/>
    <w:rsid w:val="003C251A"/>
    <w:rsid w:val="003D12A8"/>
    <w:rsid w:val="003E149A"/>
    <w:rsid w:val="003F5B71"/>
    <w:rsid w:val="004009A7"/>
    <w:rsid w:val="00402BD5"/>
    <w:rsid w:val="00416D41"/>
    <w:rsid w:val="00422279"/>
    <w:rsid w:val="00451FC2"/>
    <w:rsid w:val="004625A6"/>
    <w:rsid w:val="0047349B"/>
    <w:rsid w:val="00476B21"/>
    <w:rsid w:val="004969EC"/>
    <w:rsid w:val="004A1FED"/>
    <w:rsid w:val="004B6B2C"/>
    <w:rsid w:val="004C295E"/>
    <w:rsid w:val="004C2FD4"/>
    <w:rsid w:val="004C5162"/>
    <w:rsid w:val="004D2F82"/>
    <w:rsid w:val="004D74CF"/>
    <w:rsid w:val="004E5E93"/>
    <w:rsid w:val="004F5160"/>
    <w:rsid w:val="004F674A"/>
    <w:rsid w:val="005128DC"/>
    <w:rsid w:val="00531E7F"/>
    <w:rsid w:val="00536826"/>
    <w:rsid w:val="005410B1"/>
    <w:rsid w:val="0055658F"/>
    <w:rsid w:val="00567DC6"/>
    <w:rsid w:val="00571615"/>
    <w:rsid w:val="005757B0"/>
    <w:rsid w:val="00590288"/>
    <w:rsid w:val="005939DD"/>
    <w:rsid w:val="005B64EA"/>
    <w:rsid w:val="005D06B7"/>
    <w:rsid w:val="005E4A3E"/>
    <w:rsid w:val="005E756E"/>
    <w:rsid w:val="005F3DD9"/>
    <w:rsid w:val="005F4F8B"/>
    <w:rsid w:val="005F74F5"/>
    <w:rsid w:val="00635063"/>
    <w:rsid w:val="00652077"/>
    <w:rsid w:val="0066391C"/>
    <w:rsid w:val="0067679D"/>
    <w:rsid w:val="006B293E"/>
    <w:rsid w:val="006B548F"/>
    <w:rsid w:val="006C7C65"/>
    <w:rsid w:val="006D2E94"/>
    <w:rsid w:val="006E3808"/>
    <w:rsid w:val="006F0440"/>
    <w:rsid w:val="00703EA6"/>
    <w:rsid w:val="00706F12"/>
    <w:rsid w:val="007251C2"/>
    <w:rsid w:val="00726E6B"/>
    <w:rsid w:val="00726F87"/>
    <w:rsid w:val="00735DEE"/>
    <w:rsid w:val="00746696"/>
    <w:rsid w:val="007469AB"/>
    <w:rsid w:val="00760D74"/>
    <w:rsid w:val="007629CB"/>
    <w:rsid w:val="00776E62"/>
    <w:rsid w:val="007777A5"/>
    <w:rsid w:val="00785D00"/>
    <w:rsid w:val="00791A67"/>
    <w:rsid w:val="00794548"/>
    <w:rsid w:val="00795763"/>
    <w:rsid w:val="007A1E7D"/>
    <w:rsid w:val="007B22A5"/>
    <w:rsid w:val="007B4ECD"/>
    <w:rsid w:val="007C5A42"/>
    <w:rsid w:val="007D4F2F"/>
    <w:rsid w:val="007E212C"/>
    <w:rsid w:val="007E334C"/>
    <w:rsid w:val="007F2E36"/>
    <w:rsid w:val="008035F2"/>
    <w:rsid w:val="008321BA"/>
    <w:rsid w:val="008332C7"/>
    <w:rsid w:val="008374C7"/>
    <w:rsid w:val="00850F34"/>
    <w:rsid w:val="008531DF"/>
    <w:rsid w:val="0086570B"/>
    <w:rsid w:val="00875A9B"/>
    <w:rsid w:val="00877C50"/>
    <w:rsid w:val="00887A44"/>
    <w:rsid w:val="00891164"/>
    <w:rsid w:val="008A369E"/>
    <w:rsid w:val="008B0885"/>
    <w:rsid w:val="008C6961"/>
    <w:rsid w:val="008E4FC9"/>
    <w:rsid w:val="008F1052"/>
    <w:rsid w:val="008F6852"/>
    <w:rsid w:val="00910366"/>
    <w:rsid w:val="009140B8"/>
    <w:rsid w:val="00925041"/>
    <w:rsid w:val="00926E40"/>
    <w:rsid w:val="009279F8"/>
    <w:rsid w:val="00934BB0"/>
    <w:rsid w:val="009361FA"/>
    <w:rsid w:val="00945FB7"/>
    <w:rsid w:val="00946B87"/>
    <w:rsid w:val="00947D52"/>
    <w:rsid w:val="009751AF"/>
    <w:rsid w:val="00991B93"/>
    <w:rsid w:val="00994093"/>
    <w:rsid w:val="009B3F1C"/>
    <w:rsid w:val="009B6A2A"/>
    <w:rsid w:val="009B74EF"/>
    <w:rsid w:val="009C1484"/>
    <w:rsid w:val="009C28F5"/>
    <w:rsid w:val="009C4DA7"/>
    <w:rsid w:val="009C68A7"/>
    <w:rsid w:val="00A04AFA"/>
    <w:rsid w:val="00A13A6D"/>
    <w:rsid w:val="00A36455"/>
    <w:rsid w:val="00A415D0"/>
    <w:rsid w:val="00A43402"/>
    <w:rsid w:val="00A56F7B"/>
    <w:rsid w:val="00A571CC"/>
    <w:rsid w:val="00A57DDD"/>
    <w:rsid w:val="00A66558"/>
    <w:rsid w:val="00A704ED"/>
    <w:rsid w:val="00A77B7C"/>
    <w:rsid w:val="00A827B4"/>
    <w:rsid w:val="00A85F47"/>
    <w:rsid w:val="00AA4D72"/>
    <w:rsid w:val="00AA679D"/>
    <w:rsid w:val="00AC3163"/>
    <w:rsid w:val="00AE288A"/>
    <w:rsid w:val="00AE63C7"/>
    <w:rsid w:val="00AF0CD4"/>
    <w:rsid w:val="00AF1F82"/>
    <w:rsid w:val="00AF3556"/>
    <w:rsid w:val="00B07D92"/>
    <w:rsid w:val="00B2644A"/>
    <w:rsid w:val="00B27A4A"/>
    <w:rsid w:val="00B43CFB"/>
    <w:rsid w:val="00B46400"/>
    <w:rsid w:val="00B57189"/>
    <w:rsid w:val="00B75A38"/>
    <w:rsid w:val="00B812EC"/>
    <w:rsid w:val="00B87441"/>
    <w:rsid w:val="00B9688F"/>
    <w:rsid w:val="00BA4223"/>
    <w:rsid w:val="00BA7C17"/>
    <w:rsid w:val="00BA7D56"/>
    <w:rsid w:val="00BB320F"/>
    <w:rsid w:val="00BC002D"/>
    <w:rsid w:val="00BC0C64"/>
    <w:rsid w:val="00BD720A"/>
    <w:rsid w:val="00BE1F59"/>
    <w:rsid w:val="00BE5D2F"/>
    <w:rsid w:val="00C01E3B"/>
    <w:rsid w:val="00C038E3"/>
    <w:rsid w:val="00C26FE5"/>
    <w:rsid w:val="00C30148"/>
    <w:rsid w:val="00C303F5"/>
    <w:rsid w:val="00C34C83"/>
    <w:rsid w:val="00C35B71"/>
    <w:rsid w:val="00C4360C"/>
    <w:rsid w:val="00C628CF"/>
    <w:rsid w:val="00C7785F"/>
    <w:rsid w:val="00C81352"/>
    <w:rsid w:val="00CC2426"/>
    <w:rsid w:val="00CC4A76"/>
    <w:rsid w:val="00CD1732"/>
    <w:rsid w:val="00CE1825"/>
    <w:rsid w:val="00CF13CB"/>
    <w:rsid w:val="00CF2122"/>
    <w:rsid w:val="00D02EAC"/>
    <w:rsid w:val="00D06EF0"/>
    <w:rsid w:val="00D138DC"/>
    <w:rsid w:val="00D444C4"/>
    <w:rsid w:val="00D60556"/>
    <w:rsid w:val="00D74436"/>
    <w:rsid w:val="00DA1F88"/>
    <w:rsid w:val="00DA7F78"/>
    <w:rsid w:val="00DB37A0"/>
    <w:rsid w:val="00DB5D0C"/>
    <w:rsid w:val="00DB6BFD"/>
    <w:rsid w:val="00DD7811"/>
    <w:rsid w:val="00DF4651"/>
    <w:rsid w:val="00E01D62"/>
    <w:rsid w:val="00E03F0C"/>
    <w:rsid w:val="00E336CA"/>
    <w:rsid w:val="00E3422A"/>
    <w:rsid w:val="00E36B9F"/>
    <w:rsid w:val="00E9114F"/>
    <w:rsid w:val="00E91883"/>
    <w:rsid w:val="00E9606F"/>
    <w:rsid w:val="00EA49E1"/>
    <w:rsid w:val="00EB09E6"/>
    <w:rsid w:val="00EB3493"/>
    <w:rsid w:val="00EC070F"/>
    <w:rsid w:val="00EC62C5"/>
    <w:rsid w:val="00ED1A01"/>
    <w:rsid w:val="00ED43A4"/>
    <w:rsid w:val="00EF17E0"/>
    <w:rsid w:val="00EF3803"/>
    <w:rsid w:val="00F07A2B"/>
    <w:rsid w:val="00F2125C"/>
    <w:rsid w:val="00F22339"/>
    <w:rsid w:val="00F26410"/>
    <w:rsid w:val="00F30507"/>
    <w:rsid w:val="00F73890"/>
    <w:rsid w:val="00F76857"/>
    <w:rsid w:val="00F86F6A"/>
    <w:rsid w:val="00FB5F01"/>
    <w:rsid w:val="00FB732B"/>
    <w:rsid w:val="00FE08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CD9FD1"/>
  <w15:docId w15:val="{59BC0EC3-6F98-4A89-AC58-54AF095F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6455"/>
    <w:rPr>
      <w:rFonts w:ascii="Times New Roman" w:hAnsi="Times New Roman" w:cs="Times New Roman"/>
    </w:rPr>
  </w:style>
  <w:style w:type="paragraph" w:styleId="berschrift1">
    <w:name w:val="heading 1"/>
    <w:basedOn w:val="Listenabsatz"/>
    <w:next w:val="Standard"/>
    <w:link w:val="berschrift1Zchn"/>
    <w:uiPriority w:val="9"/>
    <w:qFormat/>
    <w:rsid w:val="00F86F6A"/>
    <w:pPr>
      <w:numPr>
        <w:numId w:val="2"/>
      </w:numPr>
      <w:outlineLvl w:val="0"/>
    </w:pPr>
    <w:rPr>
      <w:b/>
      <w:bCs/>
    </w:rPr>
  </w:style>
  <w:style w:type="paragraph" w:styleId="berschrift2">
    <w:name w:val="heading 2"/>
    <w:basedOn w:val="Listenabsatz"/>
    <w:next w:val="Standard"/>
    <w:link w:val="berschrift2Zchn"/>
    <w:uiPriority w:val="9"/>
    <w:unhideWhenUsed/>
    <w:qFormat/>
    <w:rsid w:val="00F86F6A"/>
    <w:pPr>
      <w:numPr>
        <w:ilvl w:val="1"/>
        <w:numId w:val="2"/>
      </w:numPr>
      <w:outlineLvl w:val="1"/>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27B4"/>
    <w:pPr>
      <w:ind w:left="720"/>
      <w:contextualSpacing/>
    </w:pPr>
  </w:style>
  <w:style w:type="paragraph" w:styleId="Funotentext">
    <w:name w:val="footnote text"/>
    <w:basedOn w:val="Standard"/>
    <w:link w:val="FunotentextZchn"/>
    <w:uiPriority w:val="99"/>
    <w:unhideWhenUsed/>
    <w:rsid w:val="00A36455"/>
    <w:pPr>
      <w:spacing w:after="0" w:line="240" w:lineRule="auto"/>
    </w:pPr>
    <w:rPr>
      <w:sz w:val="20"/>
      <w:szCs w:val="20"/>
    </w:rPr>
  </w:style>
  <w:style w:type="character" w:customStyle="1" w:styleId="FunotentextZchn">
    <w:name w:val="Fußnotentext Zchn"/>
    <w:basedOn w:val="Absatz-Standardschriftart"/>
    <w:link w:val="Funotentext"/>
    <w:uiPriority w:val="99"/>
    <w:rsid w:val="00A36455"/>
    <w:rPr>
      <w:sz w:val="20"/>
      <w:szCs w:val="20"/>
    </w:rPr>
  </w:style>
  <w:style w:type="character" w:styleId="Funotenzeichen">
    <w:name w:val="footnote reference"/>
    <w:basedOn w:val="Absatz-Standardschriftart"/>
    <w:uiPriority w:val="99"/>
    <w:semiHidden/>
    <w:unhideWhenUsed/>
    <w:rsid w:val="00A36455"/>
    <w:rPr>
      <w:vertAlign w:val="superscript"/>
    </w:rPr>
  </w:style>
  <w:style w:type="character" w:styleId="Hyperlink">
    <w:name w:val="Hyperlink"/>
    <w:basedOn w:val="Absatz-Standardschriftart"/>
    <w:uiPriority w:val="99"/>
    <w:unhideWhenUsed/>
    <w:rsid w:val="002570C9"/>
    <w:rPr>
      <w:color w:val="0563C1" w:themeColor="hyperlink"/>
      <w:u w:val="single"/>
    </w:rPr>
  </w:style>
  <w:style w:type="character" w:customStyle="1" w:styleId="Mentionnonrsolue1">
    <w:name w:val="Mention non résolue1"/>
    <w:basedOn w:val="Absatz-Standardschriftart"/>
    <w:uiPriority w:val="99"/>
    <w:semiHidden/>
    <w:unhideWhenUsed/>
    <w:rsid w:val="002570C9"/>
    <w:rPr>
      <w:color w:val="605E5C"/>
      <w:shd w:val="clear" w:color="auto" w:fill="E1DFDD"/>
    </w:rPr>
  </w:style>
  <w:style w:type="character" w:customStyle="1" w:styleId="berschrift1Zchn">
    <w:name w:val="Überschrift 1 Zchn"/>
    <w:basedOn w:val="Absatz-Standardschriftart"/>
    <w:link w:val="berschrift1"/>
    <w:uiPriority w:val="9"/>
    <w:rsid w:val="00F86F6A"/>
    <w:rPr>
      <w:rFonts w:ascii="Times New Roman" w:hAnsi="Times New Roman" w:cs="Times New Roman"/>
      <w:b/>
      <w:bCs/>
      <w:lang w:val="en-GB"/>
    </w:rPr>
  </w:style>
  <w:style w:type="character" w:customStyle="1" w:styleId="berschrift2Zchn">
    <w:name w:val="Überschrift 2 Zchn"/>
    <w:basedOn w:val="Absatz-Standardschriftart"/>
    <w:link w:val="berschrift2"/>
    <w:uiPriority w:val="9"/>
    <w:rsid w:val="00F86F6A"/>
    <w:rPr>
      <w:rFonts w:ascii="Times New Roman" w:hAnsi="Times New Roman" w:cs="Times New Roman"/>
      <w:u w:val="single"/>
      <w:lang w:val="en-GB"/>
    </w:rPr>
  </w:style>
  <w:style w:type="paragraph" w:styleId="Inhaltsverzeichnisberschrift">
    <w:name w:val="TOC Heading"/>
    <w:basedOn w:val="berschrift1"/>
    <w:next w:val="Standard"/>
    <w:uiPriority w:val="39"/>
    <w:unhideWhenUsed/>
    <w:qFormat/>
    <w:rsid w:val="00363CAE"/>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rPr>
  </w:style>
  <w:style w:type="paragraph" w:styleId="Verzeichnis1">
    <w:name w:val="toc 1"/>
    <w:basedOn w:val="Standard"/>
    <w:next w:val="Standard"/>
    <w:autoRedefine/>
    <w:uiPriority w:val="39"/>
    <w:unhideWhenUsed/>
    <w:rsid w:val="00363CAE"/>
    <w:pPr>
      <w:spacing w:after="100"/>
    </w:pPr>
  </w:style>
  <w:style w:type="paragraph" w:styleId="Verzeichnis2">
    <w:name w:val="toc 2"/>
    <w:basedOn w:val="Standard"/>
    <w:next w:val="Standard"/>
    <w:autoRedefine/>
    <w:uiPriority w:val="39"/>
    <w:unhideWhenUsed/>
    <w:rsid w:val="00363CAE"/>
    <w:pPr>
      <w:spacing w:after="100"/>
      <w:ind w:left="220"/>
    </w:pPr>
  </w:style>
  <w:style w:type="paragraph" w:styleId="Kopfzeile">
    <w:name w:val="header"/>
    <w:basedOn w:val="Standard"/>
    <w:link w:val="KopfzeileZchn"/>
    <w:uiPriority w:val="99"/>
    <w:unhideWhenUsed/>
    <w:rsid w:val="007B22A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B22A5"/>
    <w:rPr>
      <w:rFonts w:ascii="Times New Roman" w:hAnsi="Times New Roman" w:cs="Times New Roman"/>
      <w:lang w:val="en-GB"/>
    </w:rPr>
  </w:style>
  <w:style w:type="paragraph" w:styleId="Fuzeile">
    <w:name w:val="footer"/>
    <w:basedOn w:val="Standard"/>
    <w:link w:val="FuzeileZchn"/>
    <w:uiPriority w:val="99"/>
    <w:unhideWhenUsed/>
    <w:rsid w:val="007B22A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B22A5"/>
    <w:rPr>
      <w:rFonts w:ascii="Times New Roman" w:hAnsi="Times New Roman" w:cs="Times New Roman"/>
      <w:lang w:val="en-GB"/>
    </w:rPr>
  </w:style>
  <w:style w:type="character" w:styleId="Kommentarzeichen">
    <w:name w:val="annotation reference"/>
    <w:basedOn w:val="Absatz-Standardschriftart"/>
    <w:uiPriority w:val="99"/>
    <w:semiHidden/>
    <w:unhideWhenUsed/>
    <w:rsid w:val="006E3808"/>
    <w:rPr>
      <w:sz w:val="16"/>
      <w:szCs w:val="16"/>
    </w:rPr>
  </w:style>
  <w:style w:type="paragraph" w:styleId="Kommentartext">
    <w:name w:val="annotation text"/>
    <w:basedOn w:val="Standard"/>
    <w:link w:val="KommentartextZchn"/>
    <w:uiPriority w:val="99"/>
    <w:unhideWhenUsed/>
    <w:rsid w:val="006E3808"/>
    <w:pPr>
      <w:spacing w:line="240" w:lineRule="auto"/>
    </w:pPr>
    <w:rPr>
      <w:sz w:val="20"/>
      <w:szCs w:val="20"/>
    </w:rPr>
  </w:style>
  <w:style w:type="character" w:customStyle="1" w:styleId="KommentartextZchn">
    <w:name w:val="Kommentartext Zchn"/>
    <w:basedOn w:val="Absatz-Standardschriftart"/>
    <w:link w:val="Kommentartext"/>
    <w:uiPriority w:val="99"/>
    <w:rsid w:val="006E3808"/>
    <w:rPr>
      <w:rFonts w:ascii="Times New Roman" w:hAnsi="Times New Roman" w:cs="Times New Roman"/>
      <w:sz w:val="20"/>
      <w:szCs w:val="20"/>
    </w:rPr>
  </w:style>
  <w:style w:type="character" w:styleId="BesuchterLink">
    <w:name w:val="FollowedHyperlink"/>
    <w:basedOn w:val="Absatz-Standardschriftart"/>
    <w:uiPriority w:val="99"/>
    <w:semiHidden/>
    <w:unhideWhenUsed/>
    <w:rsid w:val="00590288"/>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652077"/>
    <w:rPr>
      <w:b/>
      <w:bCs/>
    </w:rPr>
  </w:style>
  <w:style w:type="character" w:customStyle="1" w:styleId="KommentarthemaZchn">
    <w:name w:val="Kommentarthema Zchn"/>
    <w:basedOn w:val="KommentartextZchn"/>
    <w:link w:val="Kommentarthema"/>
    <w:uiPriority w:val="99"/>
    <w:semiHidden/>
    <w:rsid w:val="00652077"/>
    <w:rPr>
      <w:rFonts w:ascii="Times New Roman" w:hAnsi="Times New Roman" w:cs="Times New Roman"/>
      <w:b/>
      <w:bCs/>
      <w:sz w:val="20"/>
      <w:szCs w:val="20"/>
    </w:rPr>
  </w:style>
  <w:style w:type="paragraph" w:styleId="berarbeitung">
    <w:name w:val="Revision"/>
    <w:hidden/>
    <w:uiPriority w:val="99"/>
    <w:semiHidden/>
    <w:rsid w:val="00F07A2B"/>
    <w:pPr>
      <w:spacing w:after="0" w:line="240" w:lineRule="auto"/>
    </w:pPr>
    <w:rPr>
      <w:rFonts w:ascii="Times New Roman" w:hAnsi="Times New Roman" w:cs="Times New Roman"/>
    </w:rPr>
  </w:style>
  <w:style w:type="paragraph" w:styleId="Sprechblasentext">
    <w:name w:val="Balloon Text"/>
    <w:basedOn w:val="Standard"/>
    <w:link w:val="SprechblasentextZchn"/>
    <w:uiPriority w:val="99"/>
    <w:semiHidden/>
    <w:unhideWhenUsed/>
    <w:rsid w:val="00EC62C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C62C5"/>
    <w:rPr>
      <w:rFonts w:ascii="Lucida Grande" w:hAnsi="Lucida Grande" w:cs="Lucida Grande"/>
      <w:sz w:val="18"/>
      <w:szCs w:val="18"/>
    </w:rPr>
  </w:style>
  <w:style w:type="paragraph" w:customStyle="1" w:styleId="xmsonormal">
    <w:name w:val="x_msonormal"/>
    <w:basedOn w:val="Standard"/>
    <w:rsid w:val="004D74CF"/>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13692">
      <w:bodyDiv w:val="1"/>
      <w:marLeft w:val="0"/>
      <w:marRight w:val="0"/>
      <w:marTop w:val="0"/>
      <w:marBottom w:val="0"/>
      <w:divBdr>
        <w:top w:val="none" w:sz="0" w:space="0" w:color="auto"/>
        <w:left w:val="none" w:sz="0" w:space="0" w:color="auto"/>
        <w:bottom w:val="none" w:sz="0" w:space="0" w:color="auto"/>
        <w:right w:val="none" w:sz="0" w:space="0" w:color="auto"/>
      </w:divBdr>
    </w:div>
    <w:div w:id="1699701329">
      <w:bodyDiv w:val="1"/>
      <w:marLeft w:val="0"/>
      <w:marRight w:val="0"/>
      <w:marTop w:val="0"/>
      <w:marBottom w:val="0"/>
      <w:divBdr>
        <w:top w:val="none" w:sz="0" w:space="0" w:color="auto"/>
        <w:left w:val="none" w:sz="0" w:space="0" w:color="auto"/>
        <w:bottom w:val="none" w:sz="0" w:space="0" w:color="auto"/>
        <w:right w:val="none" w:sz="0" w:space="0" w:color="auto"/>
      </w:divBdr>
    </w:div>
    <w:div w:id="178299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cj.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j.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icj.org/wp-content/uploads/2018/12/Turkey-Access-to-justice-Publications-Reports-2018-ENG.pdf" TargetMode="External"/><Relationship Id="rId18" Type="http://schemas.openxmlformats.org/officeDocument/2006/relationships/hyperlink" Target="https://pace.coe.int/en/files/22957/html" TargetMode="External"/><Relationship Id="rId26" Type="http://schemas.openxmlformats.org/officeDocument/2006/relationships/hyperlink" Target="https://www.osce.org/files/f/documents/6/2/324816.pdf" TargetMode="External"/><Relationship Id="rId39" Type="http://schemas.openxmlformats.org/officeDocument/2006/relationships/hyperlink" Target="https://www.icj.org/wp-content/uploads/2019/11/Turkey-Justice-Reform-Strat-Advocacy-Analysis-brief-2019-ENG.pdf" TargetMode="External"/><Relationship Id="rId21" Type="http://schemas.openxmlformats.org/officeDocument/2006/relationships/hyperlink" Target="https://pace.coe.int/en/files/28818/html" TargetMode="External"/><Relationship Id="rId34" Type="http://schemas.openxmlformats.org/officeDocument/2006/relationships/hyperlink" Target="https://www.ohchr.org/sites/default/files/Documents/Countries/TR/2018-03-19_Second_OHCHR_Turkey_Report.pdf" TargetMode="External"/><Relationship Id="rId42" Type="http://schemas.openxmlformats.org/officeDocument/2006/relationships/hyperlink" Target="https://eur-lex.europa.eu/legal-content/EN/TXT/HTML/?uri=CELEX:52018SC0153&amp;from=EN" TargetMode="External"/><Relationship Id="rId47" Type="http://schemas.openxmlformats.org/officeDocument/2006/relationships/hyperlink" Target="https://www.informea.org/en/legislation/environment-law-no-2872" TargetMode="External"/><Relationship Id="rId50" Type="http://schemas.openxmlformats.org/officeDocument/2006/relationships/hyperlink" Target="https://www.tuba.gov.tr/files/yayinlar/raporlar/Climate%20Change%20%20and%20%20Public%20Health%20in%20Turkey.pdf" TargetMode="External"/><Relationship Id="rId55" Type="http://schemas.openxmlformats.org/officeDocument/2006/relationships/hyperlink" Target="https://rm.coe.int/judicial-reform-stratetegy-2019-2023/16809f008e" TargetMode="External"/><Relationship Id="rId7" Type="http://schemas.openxmlformats.org/officeDocument/2006/relationships/hyperlink" Target="https://www.icj.org/turkeys-withdrawal-from-istanbul-convention-a-setback-for-women-and-girls-human-rights/" TargetMode="External"/><Relationship Id="rId12" Type="http://schemas.openxmlformats.org/officeDocument/2006/relationships/hyperlink" Target="https://che01.safelinks.protection.outlook.com/?url=https%3A%2F%2Fbianet.org%2Fenglish%2Fpolitics%2F246496-council-of-state-doesn-t-halt-execution-of-withdrawal-from-istanbul-convention&amp;data=05%7C01%7C%7C94b602abbaf042cebaf108da32824b3a%7Cdfcc979a62ca46d5961a49e5581ef0c8%7C0%7C0%7C637877832420940174%7CUnknown%7CTWFpbGZsb3d8eyJWIjoiMC4wLjAwMDAiLCJQIjoiV2luMzIiLCJBTiI6Ik1haWwiLCJXVCI6Mn0%3D%7C3000%7C%7C%7C&amp;sdata=PL7T5mqYLRoUCt1p2PrO9VzXUlTZGMXJtW4BHFnIb6g%3D&amp;reserved=0" TargetMode="External"/><Relationship Id="rId17" Type="http://schemas.openxmlformats.org/officeDocument/2006/relationships/hyperlink" Target="https://pace.coe.int/en/files/23665/html" TargetMode="External"/><Relationship Id="rId25" Type="http://schemas.openxmlformats.org/officeDocument/2006/relationships/hyperlink" Target="https://www.ohchr.org/sites/default/files/Documents/Countries/TR/2018-03-19_Second_OHCHR_Turkey_Report.pdf" TargetMode="External"/><Relationship Id="rId33" Type="http://schemas.openxmlformats.org/officeDocument/2006/relationships/hyperlink" Target="https://www.coe.int/en/web/commissioner/country-monitoring/turkey/-/asset_publisher/lK6iqfNE1t0Z/content/turkey-new-council-of-judges-and-prosecutors-does-not-offer-adequate-safeguards-for-the-independence-of-the-judiciary?inheritRedirect=false&amp;redirect=https%3A%2F%2Fwww.coe.int%2Fen%2Fweb%2Fcommissioner%2Fcountr" TargetMode="External"/><Relationship Id="rId38" Type="http://schemas.openxmlformats.org/officeDocument/2006/relationships/hyperlink" Target="https://ec.europa.eu/neighbourhood-enlargement/turkey-report-2021_en?msclkid=ea754be9c7bd11ecae677eb436d65008" TargetMode="External"/><Relationship Id="rId46" Type="http://schemas.openxmlformats.org/officeDocument/2006/relationships/hyperlink" Target="https://www.hurriyetdailynews.com/opinion/serkan-demirtas/istanbul-convention-stirs-debate-among-turkeys-conservatives-157072" TargetMode="External"/><Relationship Id="rId2" Type="http://schemas.openxmlformats.org/officeDocument/2006/relationships/hyperlink" Target="https://che01.safelinks.protection.outlook.com/?url=https%3A%2F%2Fevaw-global-database.unwomen.org%2Fes%2Fcountries%2Fasia%2Fturkey&amp;data=05%7C01%7C%7C4998c38a2a184b4256ec08da34c2a809%7Cdfcc979a62ca46d5961a49e5581ef0c8%7C0%7C0%7C637880307888517543%7CUnknown%7CTWFpbGZsb3d8eyJWIjoiMC4wLjAwMDAiLCJQIjoiV2luMzIiLCJBTiI6Ik1haWwiLCJXVCI6Mn0%3D%7C3000%7C%7C%7C&amp;sdata=89VmO5cg%2FxOcVddqNPhGNWMffWcIN9c3Zs436Fewlng%3D&amp;reserved=0" TargetMode="External"/><Relationship Id="rId16" Type="http://schemas.openxmlformats.org/officeDocument/2006/relationships/hyperlink" Target="https://pace.coe.int/pdf/c710cf1083fe265694630da3e6ac0ae6241d4e214bf91f522a494ef19e341c07/resolution%202376.pdf" TargetMode="External"/><Relationship Id="rId20" Type="http://schemas.openxmlformats.org/officeDocument/2006/relationships/hyperlink" Target="https://pace.coe.int/en/files/25425/html" TargetMode="External"/><Relationship Id="rId29" Type="http://schemas.openxmlformats.org/officeDocument/2006/relationships/hyperlink" Target="https://ec.europa.eu/neighbourhood-enlargement/turkey-report-2021_en?msclkid=ea754be9c7bd11ecae677eb436d65008" TargetMode="External"/><Relationship Id="rId41" Type="http://schemas.openxmlformats.org/officeDocument/2006/relationships/hyperlink" Target="https://www.venice.coe.int/webforms/documents/?pdf=CDL-AD(2016)037-e&amp;msclkid=7e2c6386c15b11ec90d68eeb20b8d2ef" TargetMode="External"/><Relationship Id="rId54" Type="http://schemas.openxmlformats.org/officeDocument/2006/relationships/hyperlink" Target="https://www.icj.org/icj-report-documents-access-to-justice-obstacles-to-protect-the-environment-in-turkey/" TargetMode="External"/><Relationship Id="rId1" Type="http://schemas.openxmlformats.org/officeDocument/2006/relationships/hyperlink" Target="https://tbinternet.ohchr.org/_layouts/15/treatybodyexternal/Download.aspx?symbolno=CEDAW%2fC%2fTUR%2fRQ%2f8&amp;Lang=en" TargetMode="External"/><Relationship Id="rId6" Type="http://schemas.openxmlformats.org/officeDocument/2006/relationships/hyperlink" Target="https://m.bianet.org/biamag/women/241102-turkey-has-withdrawn-from-istanbul-convention" TargetMode="External"/><Relationship Id="rId11" Type="http://schemas.openxmlformats.org/officeDocument/2006/relationships/hyperlink" Target="https://medyanews.net/top-turkish-courts-prosecutor-says-istanbul-convention-withdrawal-unlawful/" TargetMode="External"/><Relationship Id="rId24" Type="http://schemas.openxmlformats.org/officeDocument/2006/relationships/hyperlink" Target="https://pace.coe.int/en/files/23665/html" TargetMode="External"/><Relationship Id="rId32" Type="http://schemas.openxmlformats.org/officeDocument/2006/relationships/hyperlink" Target="https://www.venice.coe.int/webforms/documents/?pdf=CDL-AD(2017)005-e&amp;msclkid=43d2894bc17911ec83b373b1d31d1bf6" TargetMode="External"/><Relationship Id="rId37" Type="http://schemas.openxmlformats.org/officeDocument/2006/relationships/hyperlink" Target="https://www.venice.coe.int/webforms/documents/?pdf=CDL-AD(2017)005-e&amp;msclkid=43d2894bc17911ec83b373b1d31d1bf6" TargetMode="External"/><Relationship Id="rId40" Type="http://schemas.openxmlformats.org/officeDocument/2006/relationships/hyperlink" Target="https://rm.coe.int/report-on-the-visit-to-turkey-by-dunja-mijatovic-council-of-europe-com/168099823e" TargetMode="External"/><Relationship Id="rId45" Type="http://schemas.openxmlformats.org/officeDocument/2006/relationships/hyperlink" Target="https://voelkerrechtsblog.org/turkeys-withdrawal-from-the-istanbul-convention/" TargetMode="External"/><Relationship Id="rId53" Type="http://schemas.openxmlformats.org/officeDocument/2006/relationships/hyperlink" Target="https://www.icj.org/icj-report-documents-access-to-justice-obstacles-to-protect-the-environment-in-turkey/" TargetMode="External"/><Relationship Id="rId5" Type="http://schemas.openxmlformats.org/officeDocument/2006/relationships/hyperlink" Target="https://www.coe.int/en/web/commissioner/-/turkey-s-announced-withdrawal-from-the-istanbul-convention-endangers-women-s-rights" TargetMode="External"/><Relationship Id="rId15" Type="http://schemas.openxmlformats.org/officeDocument/2006/relationships/hyperlink" Target="https://www.icj.org/wp-content/uploads/2016/07/Turkey-Judiciary-in-Peril-Publications-Reports-Fact-Findings-Mission-Reports-2016-ENG.pdf" TargetMode="External"/><Relationship Id="rId23" Type="http://schemas.openxmlformats.org/officeDocument/2006/relationships/hyperlink" Target="https://www.venice.coe.int/webforms/documents/?pdf=CDL-AD(2017)005-e&amp;msclkid=43d2894bc17911ec83b373b1d31d1bf6" TargetMode="External"/><Relationship Id="rId28" Type="http://schemas.openxmlformats.org/officeDocument/2006/relationships/hyperlink" Target="https://www.icj.org/wp-content/uploads/2018/12/Turkey-Access-to-justice-Publications-Reports-2018-ENG.pdf" TargetMode="External"/><Relationship Id="rId36" Type="http://schemas.openxmlformats.org/officeDocument/2006/relationships/hyperlink" Target="https://www.icj.org/wp-content/uploads/2019/11/Turkey-Justice-Reform-Strat-Advocacy-Analysis-brief-2019-ENG.pdf" TargetMode="External"/><Relationship Id="rId49" Type="http://schemas.openxmlformats.org/officeDocument/2006/relationships/hyperlink" Target="https://www.temizhavahakki.com/wp-content/uploads/2020/11/ALPU-SED-RAPORU-ENG-dusuk.pdf" TargetMode="External"/><Relationship Id="rId10" Type="http://schemas.openxmlformats.org/officeDocument/2006/relationships/hyperlink" Target="https://m.bianet.org/english/women/261194-turkey-s-withdrawal-from-istanbul-convention-unlawful-says-council-of-state-prosecutor" TargetMode="External"/><Relationship Id="rId19" Type="http://schemas.openxmlformats.org/officeDocument/2006/relationships/hyperlink" Target="https://www.ohchr.org/en/press-releases/2019/02/turkey-must-ensure-fair-appeal-judge-murat-arslan-after-gross-attack" TargetMode="External"/><Relationship Id="rId31" Type="http://schemas.openxmlformats.org/officeDocument/2006/relationships/hyperlink" Target="https://www.icj.org/wp-content/uploads/2019/11/Turkey-Justice-Reform-Strat-Advocacy-Analysis-brief-2019-ENG.pdf" TargetMode="External"/><Relationship Id="rId44" Type="http://schemas.openxmlformats.org/officeDocument/2006/relationships/hyperlink" Target="https://euromedrights.org/publication/turkey-the-long-way-back-to-the-istanbul-convention/" TargetMode="External"/><Relationship Id="rId52" Type="http://schemas.openxmlformats.org/officeDocument/2006/relationships/hyperlink" Target="https://www.dailysabah.com/turkey/turkeys-13-cities-had-high-air-pollution-in-2020/news" TargetMode="External"/><Relationship Id="rId4" Type="http://schemas.openxmlformats.org/officeDocument/2006/relationships/hyperlink" Target="https://www.ohchr.org/en/press-releases/2021/03/turkey-withdrawal-istanbul-convention-pushback-against-womens-rights-say" TargetMode="External"/><Relationship Id="rId9" Type="http://schemas.openxmlformats.org/officeDocument/2006/relationships/hyperlink" Target="https://kadincinayetlerinidurduracagiz.net/veriler/3005/2021-annual-report-of-we-will-stop-femicides-platform" TargetMode="External"/><Relationship Id="rId14" Type="http://schemas.openxmlformats.org/officeDocument/2006/relationships/hyperlink" Target="https://www.icj.org/wp-content/uploads/2019/11/Turkey-Justice-Reform-Strat-Advocacy-Analysis-brief-2019-ENG.pdf" TargetMode="External"/><Relationship Id="rId22" Type="http://schemas.openxmlformats.org/officeDocument/2006/relationships/hyperlink" Target="https://www.icj.org/wp-content/uploads/2018/12/Turkey-Access-to-justice-Publications-Reports-2018-ENG.pdf" TargetMode="External"/><Relationship Id="rId27" Type="http://schemas.openxmlformats.org/officeDocument/2006/relationships/hyperlink" Target="https://www.venice.coe.int/webforms/documents/?pdf=CDL-AD(2017)005-e&amp;msclkid=43d2894bc17911ec83b373b1d31d1bf6" TargetMode="External"/><Relationship Id="rId30" Type="http://schemas.openxmlformats.org/officeDocument/2006/relationships/hyperlink" Target="https://www.ohchr.org/sites/default/files/Documents/Countries/TR/2018-03-19_Second_OHCHR_Turkey_Report.pdf" TargetMode="External"/><Relationship Id="rId35" Type="http://schemas.openxmlformats.org/officeDocument/2006/relationships/hyperlink" Target="https://eur-lex.europa.eu/legal-content/EN/TXT/PDF/?uri=CELEX:52018SC0153&amp;from=EN" TargetMode="External"/><Relationship Id="rId43" Type="http://schemas.openxmlformats.org/officeDocument/2006/relationships/hyperlink" Target="https://www.ohchr.org/sites/default/files/Documents/Countries/TR/2018-03-19_Second_OHCHR_Turkey_Report.pdf" TargetMode="External"/><Relationship Id="rId48" Type="http://schemas.openxmlformats.org/officeDocument/2006/relationships/hyperlink" Target="https://www.icj.org/icj-report-documents-access-to-justice-obstacles-to-protect-the-environment-in-turkey/" TargetMode="External"/><Relationship Id="rId56" Type="http://schemas.openxmlformats.org/officeDocument/2006/relationships/hyperlink" Target="https://rayp.adalet.gov.tr/resimler/1/dosya/insan-haklari-ep-eng02-03-202115-16.pdf" TargetMode="External"/><Relationship Id="rId8" Type="http://schemas.openxmlformats.org/officeDocument/2006/relationships/hyperlink" Target="https://voelkerrechtsblog.org/turkeys-withdrawal-from-the-istanbul-convention/" TargetMode="External"/><Relationship Id="rId51" Type="http://schemas.openxmlformats.org/officeDocument/2006/relationships/hyperlink" Target="https://env-health.org/IMG/pdf/150220_factsheet_air_and_health_turkey_en_final.pdf" TargetMode="External"/><Relationship Id="rId3" Type="http://schemas.openxmlformats.org/officeDocument/2006/relationships/hyperlink" Target="https://www.resmigazete.gov.tr/eskiler/2021/03/20210320-49.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94119-5CB2-44AD-89E4-13B4A5BF24B3}">
  <ds:schemaRefs>
    <ds:schemaRef ds:uri="http://schemas.microsoft.com/sharepoint/v3/contenttype/forms"/>
  </ds:schemaRefs>
</ds:datastoreItem>
</file>

<file path=customXml/itemProps2.xml><?xml version="1.0" encoding="utf-8"?>
<ds:datastoreItem xmlns:ds="http://schemas.openxmlformats.org/officeDocument/2006/customXml" ds:itemID="{CC219CD6-B721-4C0A-A740-E5920BEFE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DD4933-76D5-4F7F-9C2D-3AE64F1B3C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002B59-0F4F-4F65-9A1A-60CDAED0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3036</Words>
  <Characters>19134</Characters>
  <Application>Microsoft Office Word</Application>
  <DocSecurity>0</DocSecurity>
  <Lines>159</Lines>
  <Paragraphs>44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Hammarstrom</dc:creator>
  <cp:keywords/>
  <dc:description/>
  <cp:lastModifiedBy>Allacher Harald (OeRK)</cp:lastModifiedBy>
  <cp:revision>2</cp:revision>
  <dcterms:created xsi:type="dcterms:W3CDTF">2022-06-09T12:03:00Z</dcterms:created>
  <dcterms:modified xsi:type="dcterms:W3CDTF">2022-06-09T12:03:00Z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