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B698E" w14:textId="77777777" w:rsidR="00590D85" w:rsidRPr="00B30884" w:rsidRDefault="00590D85" w:rsidP="00590D85">
      <w:pPr>
        <w:widowControl w:val="0"/>
        <w:pBdr>
          <w:top w:val="nil"/>
          <w:left w:val="nil"/>
          <w:bottom w:val="nil"/>
          <w:right w:val="nil"/>
          <w:between w:val="nil"/>
        </w:pBdr>
        <w:spacing w:after="0"/>
        <w:jc w:val="center"/>
        <w:rPr>
          <w:rFonts w:ascii="Times New Roman" w:eastAsia="Times New Roman" w:hAnsi="Times New Roman" w:cs="Times New Roman"/>
          <w:b/>
          <w:color w:val="0D0D0D"/>
          <w:sz w:val="24"/>
          <w:szCs w:val="24"/>
        </w:rPr>
      </w:pPr>
      <w:bookmarkStart w:id="0" w:name="_GoBack"/>
      <w:bookmarkEnd w:id="0"/>
      <w:r w:rsidRPr="00B30884">
        <w:rPr>
          <w:rFonts w:ascii="Times New Roman" w:eastAsia="Times New Roman" w:hAnsi="Times New Roman" w:cs="Times New Roman"/>
          <w:b/>
          <w:color w:val="0D0D0D"/>
          <w:sz w:val="24"/>
          <w:szCs w:val="24"/>
        </w:rPr>
        <w:t xml:space="preserve">Shadow report by women's rights NGOs </w:t>
      </w:r>
    </w:p>
    <w:p w14:paraId="5D1F62ED" w14:textId="77777777" w:rsidR="00590D85" w:rsidRPr="00B30884" w:rsidRDefault="00590D85" w:rsidP="00590D85">
      <w:pPr>
        <w:widowControl w:val="0"/>
        <w:pBdr>
          <w:top w:val="nil"/>
          <w:left w:val="nil"/>
          <w:bottom w:val="nil"/>
          <w:right w:val="nil"/>
          <w:between w:val="nil"/>
        </w:pBdr>
        <w:spacing w:after="0"/>
        <w:jc w:val="center"/>
        <w:rPr>
          <w:rFonts w:ascii="Times New Roman" w:eastAsia="Times New Roman" w:hAnsi="Times New Roman" w:cs="Times New Roman"/>
          <w:b/>
          <w:color w:val="0D0D0D"/>
          <w:sz w:val="24"/>
          <w:szCs w:val="24"/>
        </w:rPr>
      </w:pPr>
      <w:r w:rsidRPr="00B30884">
        <w:rPr>
          <w:rFonts w:ascii="Times New Roman" w:eastAsia="Times New Roman" w:hAnsi="Times New Roman" w:cs="Times New Roman"/>
          <w:b/>
          <w:color w:val="0D0D0D"/>
          <w:sz w:val="24"/>
          <w:szCs w:val="24"/>
        </w:rPr>
        <w:t xml:space="preserve">as part of the review of the Moroccan government's </w:t>
      </w:r>
    </w:p>
    <w:p w14:paraId="7A0DFCED" w14:textId="77777777" w:rsidR="00590D85" w:rsidRPr="00B30884" w:rsidRDefault="00590D85" w:rsidP="00590D85">
      <w:pPr>
        <w:widowControl w:val="0"/>
        <w:pBdr>
          <w:top w:val="nil"/>
          <w:left w:val="nil"/>
          <w:bottom w:val="nil"/>
          <w:right w:val="nil"/>
          <w:between w:val="nil"/>
        </w:pBdr>
        <w:spacing w:after="0"/>
        <w:jc w:val="center"/>
        <w:rPr>
          <w:rFonts w:ascii="Times New Roman" w:eastAsia="Times New Roman" w:hAnsi="Times New Roman" w:cs="Times New Roman"/>
          <w:b/>
          <w:color w:val="0D0D0D"/>
          <w:sz w:val="24"/>
          <w:szCs w:val="24"/>
        </w:rPr>
      </w:pPr>
      <w:r w:rsidRPr="00B30884">
        <w:rPr>
          <w:rFonts w:ascii="Times New Roman" w:eastAsia="Times New Roman" w:hAnsi="Times New Roman" w:cs="Times New Roman"/>
          <w:b/>
          <w:color w:val="0D0D0D"/>
          <w:sz w:val="24"/>
          <w:szCs w:val="24"/>
        </w:rPr>
        <w:t>consolidated 5 and 6 report on Morocco's implementation of the CEDAW Convention</w:t>
      </w:r>
    </w:p>
    <w:p w14:paraId="4E10226E" w14:textId="77777777" w:rsidR="00590D85" w:rsidRPr="00B30884" w:rsidRDefault="00590D85" w:rsidP="00590D85">
      <w:pPr>
        <w:widowControl w:val="0"/>
        <w:pBdr>
          <w:top w:val="nil"/>
          <w:left w:val="nil"/>
          <w:bottom w:val="nil"/>
          <w:right w:val="nil"/>
          <w:between w:val="nil"/>
        </w:pBdr>
        <w:spacing w:after="0"/>
        <w:jc w:val="center"/>
        <w:rPr>
          <w:rFonts w:ascii="Times New Roman" w:eastAsia="Times New Roman" w:hAnsi="Times New Roman" w:cs="Times New Roman"/>
          <w:b/>
          <w:color w:val="0D0D0D"/>
          <w:sz w:val="24"/>
          <w:szCs w:val="24"/>
        </w:rPr>
      </w:pPr>
    </w:p>
    <w:p w14:paraId="11F3B48D"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4"/>
          <w:szCs w:val="24"/>
        </w:rPr>
      </w:pPr>
    </w:p>
    <w:p w14:paraId="596CA9CE"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5CDAD2C8"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793CEBA7"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71A8EBC2"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2B2DE111"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3D3E56CF"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53611645"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55DC162E"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7022BFAC"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412FD375"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1B9D9013"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45DF5192"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2C160A56"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rPr>
      </w:pPr>
    </w:p>
    <w:p w14:paraId="5C53031F" w14:textId="2F3F57BF" w:rsidR="00590D85" w:rsidRPr="00B30884" w:rsidRDefault="00590D85"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4"/>
          <w:szCs w:val="24"/>
        </w:rPr>
      </w:pPr>
      <w:r w:rsidRPr="00B30884">
        <w:rPr>
          <w:rFonts w:ascii="Times New Roman" w:eastAsia="Times New Roman" w:hAnsi="Times New Roman" w:cs="Times New Roman"/>
          <w:bCs/>
          <w:color w:val="0D0D0D"/>
          <w:sz w:val="24"/>
          <w:szCs w:val="24"/>
        </w:rPr>
        <w:t>Developed by</w:t>
      </w:r>
    </w:p>
    <w:p w14:paraId="77ABB3EB" w14:textId="77777777" w:rsidR="00590D85" w:rsidRPr="00B30884" w:rsidRDefault="00590D85" w:rsidP="00590D85">
      <w:pPr>
        <w:widowControl w:val="0"/>
        <w:pBdr>
          <w:top w:val="nil"/>
          <w:left w:val="nil"/>
          <w:bottom w:val="nil"/>
          <w:right w:val="nil"/>
          <w:between w:val="nil"/>
        </w:pBdr>
        <w:spacing w:after="0"/>
        <w:jc w:val="center"/>
        <w:rPr>
          <w:rFonts w:ascii="Times New Roman" w:eastAsia="Times New Roman" w:hAnsi="Times New Roman" w:cs="Times New Roman"/>
          <w:bCs/>
          <w:i/>
          <w:iCs/>
          <w:color w:val="0D0D0D"/>
          <w:sz w:val="24"/>
          <w:szCs w:val="24"/>
        </w:rPr>
      </w:pPr>
      <w:r w:rsidRPr="00B30884">
        <w:rPr>
          <w:rFonts w:ascii="Times New Roman" w:eastAsia="Times New Roman" w:hAnsi="Times New Roman" w:cs="Times New Roman"/>
          <w:bCs/>
          <w:i/>
          <w:iCs/>
          <w:color w:val="0D0D0D"/>
          <w:sz w:val="24"/>
          <w:szCs w:val="24"/>
        </w:rPr>
        <w:t>The HARMONIZATION NOW Dynamic</w:t>
      </w:r>
    </w:p>
    <w:p w14:paraId="112241A6" w14:textId="77777777" w:rsidR="00590D85" w:rsidRPr="00B30884" w:rsidRDefault="00590D85" w:rsidP="00590D85">
      <w:pPr>
        <w:widowControl w:val="0"/>
        <w:pBdr>
          <w:top w:val="nil"/>
          <w:left w:val="nil"/>
          <w:bottom w:val="nil"/>
          <w:right w:val="nil"/>
          <w:between w:val="nil"/>
        </w:pBdr>
        <w:spacing w:after="0"/>
        <w:jc w:val="center"/>
        <w:rPr>
          <w:rFonts w:ascii="Times New Roman" w:eastAsia="Times New Roman" w:hAnsi="Times New Roman" w:cs="Times New Roman"/>
          <w:bCs/>
          <w:i/>
          <w:iCs/>
          <w:color w:val="0D0D0D"/>
          <w:sz w:val="24"/>
          <w:szCs w:val="24"/>
        </w:rPr>
      </w:pPr>
    </w:p>
    <w:p w14:paraId="6A3D39C5" w14:textId="77777777" w:rsidR="00590D85" w:rsidRPr="00B30884" w:rsidRDefault="00590D85"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4"/>
          <w:szCs w:val="24"/>
          <w:lang w:val="fr-FR"/>
        </w:rPr>
      </w:pPr>
      <w:r w:rsidRPr="00B30884">
        <w:rPr>
          <w:rFonts w:ascii="Times New Roman" w:eastAsia="Times New Roman" w:hAnsi="Times New Roman" w:cs="Times New Roman"/>
          <w:bCs/>
          <w:color w:val="0D0D0D"/>
          <w:sz w:val="24"/>
          <w:szCs w:val="24"/>
        </w:rPr>
        <w:t xml:space="preserve"> </w:t>
      </w:r>
      <w:r w:rsidRPr="00B30884">
        <w:rPr>
          <w:rFonts w:ascii="Times New Roman" w:eastAsia="Times New Roman" w:hAnsi="Times New Roman" w:cs="Times New Roman"/>
          <w:bCs/>
          <w:color w:val="0D0D0D"/>
          <w:sz w:val="24"/>
          <w:szCs w:val="24"/>
          <w:lang w:val="fr-FR"/>
        </w:rPr>
        <w:t>Coordinated by</w:t>
      </w:r>
    </w:p>
    <w:p w14:paraId="169EA488" w14:textId="01AF9C41" w:rsidR="00590D85" w:rsidRPr="00B30884" w:rsidRDefault="00590D85" w:rsidP="002B6F9F">
      <w:pPr>
        <w:widowControl w:val="0"/>
        <w:pBdr>
          <w:top w:val="nil"/>
          <w:left w:val="nil"/>
          <w:bottom w:val="nil"/>
          <w:right w:val="nil"/>
          <w:between w:val="nil"/>
        </w:pBdr>
        <w:spacing w:after="0"/>
        <w:jc w:val="center"/>
        <w:rPr>
          <w:rFonts w:ascii="Times New Roman" w:eastAsia="Times New Roman" w:hAnsi="Times New Roman" w:cs="Times New Roman"/>
          <w:bCs/>
          <w:i/>
          <w:iCs/>
          <w:color w:val="0D0D0D"/>
          <w:sz w:val="24"/>
          <w:szCs w:val="24"/>
          <w:lang w:val="fr-FR"/>
        </w:rPr>
      </w:pPr>
      <w:r w:rsidRPr="00B30884">
        <w:rPr>
          <w:rFonts w:ascii="Times New Roman" w:eastAsia="Times New Roman" w:hAnsi="Times New Roman" w:cs="Times New Roman"/>
          <w:bCs/>
          <w:i/>
          <w:iCs/>
          <w:color w:val="0D0D0D"/>
          <w:sz w:val="24"/>
          <w:szCs w:val="24"/>
          <w:lang w:val="fr-FR"/>
        </w:rPr>
        <w:t>The</w:t>
      </w:r>
      <w:r w:rsidR="002B6F9F" w:rsidRPr="00B30884">
        <w:rPr>
          <w:rFonts w:ascii="Times New Roman" w:eastAsia="Times New Roman" w:hAnsi="Times New Roman" w:cs="Times New Roman"/>
          <w:bCs/>
          <w:i/>
          <w:iCs/>
          <w:color w:val="0D0D0D"/>
          <w:sz w:val="24"/>
          <w:szCs w:val="24"/>
          <w:lang w:val="fr-FR"/>
        </w:rPr>
        <w:t xml:space="preserve"> </w:t>
      </w:r>
      <w:r w:rsidRPr="00B30884">
        <w:rPr>
          <w:rFonts w:ascii="Times New Roman" w:eastAsia="Times New Roman" w:hAnsi="Times New Roman" w:cs="Times New Roman"/>
          <w:bCs/>
          <w:i/>
          <w:iCs/>
          <w:color w:val="0D0D0D"/>
          <w:sz w:val="24"/>
          <w:szCs w:val="24"/>
          <w:lang w:val="fr-FR"/>
        </w:rPr>
        <w:t>Association Démocratique des Femmes du Maroc (ADFM)</w:t>
      </w:r>
    </w:p>
    <w:p w14:paraId="7FBFBDEE"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4"/>
          <w:szCs w:val="24"/>
          <w:lang w:val="fr-FR"/>
        </w:rPr>
      </w:pPr>
    </w:p>
    <w:p w14:paraId="05D92FEC"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4"/>
          <w:szCs w:val="24"/>
          <w:lang w:val="fr-FR"/>
        </w:rPr>
      </w:pPr>
    </w:p>
    <w:p w14:paraId="3186FA38"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4"/>
          <w:szCs w:val="24"/>
          <w:lang w:val="fr-FR"/>
        </w:rPr>
      </w:pPr>
    </w:p>
    <w:p w14:paraId="6B18364B"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51691268"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61505134"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6F51FBB2"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0423136E"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6BA835C3"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0BD7C348"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75F7CF25"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6B5DBCB8"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67A6AC96"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4FDFD4C5"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4A449464"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70562ECA"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5E8D5769" w14:textId="77777777" w:rsidR="002B6F9F" w:rsidRPr="00B30884" w:rsidRDefault="002B6F9F"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0"/>
          <w:szCs w:val="20"/>
          <w:lang w:val="fr-FR"/>
        </w:rPr>
      </w:pPr>
    </w:p>
    <w:p w14:paraId="555750AE" w14:textId="665824EC" w:rsidR="005479D2" w:rsidRPr="00B30884" w:rsidRDefault="00590D85" w:rsidP="00590D85">
      <w:pPr>
        <w:widowControl w:val="0"/>
        <w:pBdr>
          <w:top w:val="nil"/>
          <w:left w:val="nil"/>
          <w:bottom w:val="nil"/>
          <w:right w:val="nil"/>
          <w:between w:val="nil"/>
        </w:pBdr>
        <w:spacing w:after="0"/>
        <w:jc w:val="center"/>
        <w:rPr>
          <w:rFonts w:ascii="Times New Roman" w:eastAsia="Times New Roman" w:hAnsi="Times New Roman" w:cs="Times New Roman"/>
          <w:bCs/>
          <w:color w:val="0D0D0D"/>
          <w:sz w:val="24"/>
          <w:szCs w:val="24"/>
        </w:rPr>
      </w:pPr>
      <w:r w:rsidRPr="00B30884">
        <w:rPr>
          <w:rFonts w:ascii="Times New Roman" w:eastAsia="Times New Roman" w:hAnsi="Times New Roman" w:cs="Times New Roman"/>
          <w:bCs/>
          <w:color w:val="0D0D0D"/>
          <w:sz w:val="24"/>
          <w:szCs w:val="24"/>
        </w:rPr>
        <w:t>March 2022</w:t>
      </w:r>
      <w:r w:rsidR="00F51A71">
        <w:rPr>
          <w:rFonts w:ascii="Times New Roman" w:eastAsia="Times New Roman" w:hAnsi="Times New Roman" w:cs="Times New Roman"/>
          <w:bCs/>
          <w:color w:val="0D0D0D"/>
          <w:sz w:val="24"/>
          <w:szCs w:val="24"/>
        </w:rPr>
        <w:pict w14:anchorId="711D0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0pt;height:50pt;z-index:251657728;visibility:hidden;mso-wrap-edited:f;mso-width-percent:0;mso-height-percent:0;mso-position-horizontal-relative:text;mso-position-vertical-relative:text;mso-width-percent:0;mso-height-percent:0">
            <o:lock v:ext="edit" selection="t"/>
          </v:shape>
        </w:pict>
      </w:r>
      <w:r w:rsidR="00F51A71">
        <w:rPr>
          <w:rFonts w:ascii="Times New Roman" w:eastAsia="Times New Roman" w:hAnsi="Times New Roman" w:cs="Times New Roman"/>
          <w:bCs/>
          <w:color w:val="0D0D0D"/>
          <w:sz w:val="24"/>
          <w:szCs w:val="24"/>
        </w:rPr>
        <w:pict w14:anchorId="75E49589">
          <v:shape id="_x0000_s1026" type="#_x0000_t136" alt="" style="position:absolute;left:0;text-align:left;margin-left:0;margin-top:0;width:50pt;height:50pt;z-index:251658752;visibility:hidden;mso-wrap-edited:f;mso-width-percent:0;mso-height-percent:0;mso-position-horizontal-relative:text;mso-position-vertical-relative:text;mso-width-percent:0;mso-height-percent:0">
            <o:lock v:ext="edit" selection="t"/>
          </v:shape>
        </w:pict>
      </w:r>
    </w:p>
    <w:p w14:paraId="11BF11F5" w14:textId="2118C335" w:rsidR="005479D2" w:rsidRPr="00B30884" w:rsidRDefault="005479D2">
      <w:pPr>
        <w:widowControl w:val="0"/>
        <w:pBdr>
          <w:top w:val="nil"/>
          <w:left w:val="nil"/>
          <w:bottom w:val="nil"/>
          <w:right w:val="nil"/>
          <w:between w:val="nil"/>
        </w:pBdr>
        <w:spacing w:after="0"/>
        <w:rPr>
          <w:rFonts w:ascii="Times New Roman" w:eastAsia="Times New Roman" w:hAnsi="Times New Roman" w:cs="Times New Roman"/>
          <w:color w:val="0D0D0D"/>
        </w:rPr>
      </w:pPr>
    </w:p>
    <w:p w14:paraId="14EBDE6F" w14:textId="77777777" w:rsidR="002B6F9F" w:rsidRPr="00B30884" w:rsidRDefault="002B6F9F">
      <w:pPr>
        <w:spacing w:after="0"/>
        <w:jc w:val="both"/>
        <w:rPr>
          <w:rFonts w:ascii="Times New Roman" w:eastAsia="Times New Roman" w:hAnsi="Times New Roman" w:cs="Times New Roman"/>
          <w:b/>
          <w:color w:val="0D0D0D"/>
          <w:sz w:val="20"/>
          <w:szCs w:val="20"/>
        </w:rPr>
      </w:pPr>
    </w:p>
    <w:p w14:paraId="186DC279" w14:textId="77777777" w:rsidR="002B6F9F" w:rsidRPr="00B30884" w:rsidRDefault="002B6F9F">
      <w:pPr>
        <w:spacing w:after="0"/>
        <w:jc w:val="both"/>
        <w:rPr>
          <w:rFonts w:ascii="Times New Roman" w:eastAsia="Times New Roman" w:hAnsi="Times New Roman" w:cs="Times New Roman"/>
          <w:b/>
          <w:color w:val="0D0D0D"/>
          <w:sz w:val="20"/>
          <w:szCs w:val="20"/>
        </w:rPr>
      </w:pPr>
    </w:p>
    <w:p w14:paraId="067520E7" w14:textId="77777777" w:rsidR="002B6F9F" w:rsidRPr="00B30884" w:rsidRDefault="002B6F9F">
      <w:pPr>
        <w:spacing w:after="0"/>
        <w:jc w:val="both"/>
        <w:rPr>
          <w:rFonts w:ascii="Times New Roman" w:eastAsia="Times New Roman" w:hAnsi="Times New Roman" w:cs="Times New Roman"/>
          <w:b/>
          <w:color w:val="0D0D0D"/>
          <w:sz w:val="20"/>
          <w:szCs w:val="20"/>
        </w:rPr>
      </w:pPr>
    </w:p>
    <w:p w14:paraId="7FBC4B62" w14:textId="77777777" w:rsidR="002B6F9F" w:rsidRPr="00B30884" w:rsidRDefault="002B6F9F">
      <w:pPr>
        <w:spacing w:after="0"/>
        <w:jc w:val="both"/>
        <w:rPr>
          <w:rFonts w:ascii="Times New Roman" w:eastAsia="Times New Roman" w:hAnsi="Times New Roman" w:cs="Times New Roman"/>
          <w:b/>
          <w:color w:val="0D0D0D"/>
          <w:sz w:val="20"/>
          <w:szCs w:val="20"/>
        </w:rPr>
      </w:pPr>
    </w:p>
    <w:p w14:paraId="2E5E07CD" w14:textId="77777777" w:rsidR="002B6F9F" w:rsidRPr="00B30884" w:rsidRDefault="002B6F9F">
      <w:pPr>
        <w:spacing w:after="0"/>
        <w:jc w:val="both"/>
        <w:rPr>
          <w:rFonts w:ascii="Times New Roman" w:eastAsia="Times New Roman" w:hAnsi="Times New Roman" w:cs="Times New Roman"/>
          <w:b/>
          <w:color w:val="0D0D0D"/>
          <w:sz w:val="20"/>
          <w:szCs w:val="20"/>
        </w:rPr>
      </w:pPr>
    </w:p>
    <w:p w14:paraId="48DDA893" w14:textId="77777777" w:rsidR="002B6F9F" w:rsidRPr="00B30884" w:rsidRDefault="002B6F9F">
      <w:pPr>
        <w:spacing w:after="0"/>
        <w:jc w:val="both"/>
        <w:rPr>
          <w:rFonts w:ascii="Times New Roman" w:eastAsia="Times New Roman" w:hAnsi="Times New Roman" w:cs="Times New Roman"/>
          <w:b/>
          <w:color w:val="0D0D0D"/>
          <w:sz w:val="20"/>
          <w:szCs w:val="20"/>
        </w:rPr>
      </w:pPr>
    </w:p>
    <w:p w14:paraId="50F33A61" w14:textId="77777777" w:rsidR="002B6F9F" w:rsidRPr="00B30884" w:rsidRDefault="002B6F9F">
      <w:pPr>
        <w:spacing w:after="0"/>
        <w:jc w:val="both"/>
        <w:rPr>
          <w:rFonts w:ascii="Times New Roman" w:eastAsia="Times New Roman" w:hAnsi="Times New Roman" w:cs="Times New Roman"/>
          <w:b/>
          <w:color w:val="0D0D0D"/>
          <w:sz w:val="20"/>
          <w:szCs w:val="20"/>
        </w:rPr>
      </w:pPr>
    </w:p>
    <w:p w14:paraId="4CE80436" w14:textId="77777777" w:rsidR="002B6F9F" w:rsidRPr="00B30884" w:rsidRDefault="002B6F9F">
      <w:pPr>
        <w:spacing w:after="0"/>
        <w:jc w:val="both"/>
        <w:rPr>
          <w:rFonts w:ascii="Times New Roman" w:eastAsia="Times New Roman" w:hAnsi="Times New Roman" w:cs="Times New Roman"/>
          <w:b/>
          <w:color w:val="0D0D0D"/>
          <w:sz w:val="20"/>
          <w:szCs w:val="20"/>
        </w:rPr>
      </w:pPr>
    </w:p>
    <w:p w14:paraId="781A9149" w14:textId="77777777" w:rsidR="00C72042" w:rsidRPr="00B30884" w:rsidRDefault="00C72042" w:rsidP="00C72042">
      <w:pPr>
        <w:pStyle w:val="Listenabsatz"/>
        <w:autoSpaceDE w:val="0"/>
        <w:autoSpaceDN w:val="0"/>
        <w:adjustRightInd w:val="0"/>
        <w:jc w:val="center"/>
        <w:rPr>
          <w:rFonts w:asciiTheme="majorBidi" w:eastAsiaTheme="minorEastAsia" w:hAnsiTheme="majorBidi" w:cstheme="majorBidi"/>
          <w:b/>
          <w:sz w:val="28"/>
          <w:szCs w:val="28"/>
          <w:u w:val="single"/>
        </w:rPr>
      </w:pPr>
      <w:r w:rsidRPr="00B30884">
        <w:rPr>
          <w:rFonts w:asciiTheme="majorBidi" w:eastAsiaTheme="minorEastAsia" w:hAnsiTheme="majorBidi" w:cstheme="majorBidi"/>
          <w:b/>
          <w:sz w:val="28"/>
          <w:szCs w:val="28"/>
          <w:u w:val="single"/>
        </w:rPr>
        <w:lastRenderedPageBreak/>
        <w:t>TABLE OF CONTENTS</w:t>
      </w:r>
    </w:p>
    <w:p w14:paraId="2FD373C3" w14:textId="77777777" w:rsidR="00C72042" w:rsidRPr="00B30884" w:rsidRDefault="00C72042" w:rsidP="007224C8">
      <w:pPr>
        <w:spacing w:after="0"/>
        <w:jc w:val="both"/>
        <w:rPr>
          <w:rFonts w:ascii="Times New Roman" w:eastAsia="Times New Roman" w:hAnsi="Times New Roman" w:cs="Times New Roman"/>
          <w:b/>
          <w:color w:val="0D0D0D"/>
        </w:rPr>
      </w:pPr>
    </w:p>
    <w:p w14:paraId="7DF69613" w14:textId="77777777" w:rsidR="00C72042" w:rsidRPr="00B30884" w:rsidRDefault="00C72042" w:rsidP="007224C8">
      <w:pPr>
        <w:spacing w:after="0"/>
        <w:jc w:val="both"/>
        <w:rPr>
          <w:rFonts w:ascii="Times New Roman" w:eastAsia="Times New Roman" w:hAnsi="Times New Roman" w:cs="Times New Roman"/>
          <w:b/>
          <w:color w:val="0D0D0D"/>
        </w:rPr>
      </w:pPr>
    </w:p>
    <w:p w14:paraId="06ED84A5" w14:textId="5EDF1EC5" w:rsidR="00C72042" w:rsidRPr="00B30884" w:rsidRDefault="008E2775" w:rsidP="007224C8">
      <w:pPr>
        <w:spacing w:after="0"/>
        <w:jc w:val="both"/>
        <w:rPr>
          <w:rFonts w:asciiTheme="majorBidi" w:hAnsiTheme="majorBidi" w:cstheme="majorBidi"/>
          <w:b/>
          <w:bCs/>
          <w:color w:val="0070C0"/>
          <w:sz w:val="20"/>
          <w:szCs w:val="20"/>
        </w:rPr>
      </w:pPr>
      <w:r w:rsidRPr="00B30884">
        <w:rPr>
          <w:rFonts w:asciiTheme="majorBidi" w:hAnsiTheme="majorBidi" w:cstheme="majorBidi"/>
          <w:b/>
          <w:bCs/>
          <w:color w:val="0070C0"/>
          <w:sz w:val="20"/>
          <w:szCs w:val="20"/>
        </w:rPr>
        <w:t xml:space="preserve">CONTRIBUTING AND SIGNING ASSOCIATIONS AND COALITIONS </w:t>
      </w:r>
    </w:p>
    <w:p w14:paraId="574E4A82" w14:textId="77777777" w:rsidR="008E2775" w:rsidRPr="00B30884" w:rsidRDefault="008E2775" w:rsidP="008E2775">
      <w:pPr>
        <w:spacing w:after="0"/>
        <w:jc w:val="both"/>
        <w:rPr>
          <w:rFonts w:asciiTheme="majorBidi" w:hAnsiTheme="majorBidi" w:cstheme="majorBidi"/>
          <w:b/>
          <w:bCs/>
          <w:color w:val="0070C0"/>
          <w:sz w:val="20"/>
          <w:szCs w:val="20"/>
        </w:rPr>
      </w:pPr>
    </w:p>
    <w:p w14:paraId="54C83157" w14:textId="1A1FF6DD" w:rsidR="008E2775" w:rsidRPr="00B30884" w:rsidRDefault="008E2775" w:rsidP="008E2775">
      <w:pPr>
        <w:spacing w:after="0"/>
        <w:jc w:val="both"/>
        <w:rPr>
          <w:rFonts w:ascii="Times New Roman" w:eastAsia="Times New Roman" w:hAnsi="Times New Roman" w:cs="Times New Roman"/>
          <w:b/>
          <w:color w:val="0D0D0D"/>
          <w:sz w:val="20"/>
          <w:szCs w:val="20"/>
        </w:rPr>
      </w:pPr>
      <w:r w:rsidRPr="00B30884">
        <w:rPr>
          <w:rFonts w:asciiTheme="majorBidi" w:hAnsiTheme="majorBidi" w:cstheme="majorBidi"/>
          <w:b/>
          <w:bCs/>
          <w:color w:val="0070C0"/>
          <w:sz w:val="20"/>
          <w:szCs w:val="20"/>
        </w:rPr>
        <w:t>INTRODUCTION</w:t>
      </w:r>
    </w:p>
    <w:p w14:paraId="1F19B611" w14:textId="77777777" w:rsidR="008E2775" w:rsidRPr="00B30884" w:rsidRDefault="008E2775" w:rsidP="008E2775">
      <w:pPr>
        <w:spacing w:after="0"/>
        <w:jc w:val="both"/>
        <w:rPr>
          <w:rFonts w:ascii="Times New Roman" w:eastAsia="Times New Roman" w:hAnsi="Times New Roman" w:cs="Times New Roman"/>
          <w:color w:val="0D0D0D"/>
          <w:sz w:val="20"/>
          <w:szCs w:val="20"/>
        </w:rPr>
      </w:pPr>
    </w:p>
    <w:p w14:paraId="386A6D63" w14:textId="77777777" w:rsidR="008E2775" w:rsidRPr="00B30884" w:rsidRDefault="008E2775" w:rsidP="008E2775">
      <w:pPr>
        <w:rPr>
          <w:rFonts w:asciiTheme="majorBidi" w:eastAsiaTheme="minorHAnsi" w:hAnsiTheme="majorBidi" w:cstheme="majorBidi"/>
          <w:b/>
          <w:bCs/>
          <w:color w:val="0070C0"/>
          <w:sz w:val="20"/>
          <w:szCs w:val="20"/>
          <w:lang w:val="fr-FR"/>
        </w:rPr>
      </w:pPr>
      <w:r w:rsidRPr="00B30884">
        <w:rPr>
          <w:rFonts w:asciiTheme="majorBidi" w:eastAsiaTheme="minorHAnsi" w:hAnsiTheme="majorBidi" w:cstheme="majorBidi"/>
          <w:b/>
          <w:bCs/>
          <w:color w:val="0070C0"/>
          <w:sz w:val="20"/>
          <w:szCs w:val="20"/>
          <w:lang w:val="fr-FR"/>
        </w:rPr>
        <w:t>PART I (Article 1 - 6)</w:t>
      </w:r>
    </w:p>
    <w:p w14:paraId="65F3462E" w14:textId="77777777" w:rsidR="008E2775" w:rsidRPr="00B30884" w:rsidRDefault="008E2775" w:rsidP="008E2775">
      <w:pPr>
        <w:pStyle w:val="Listenabsatz"/>
        <w:numPr>
          <w:ilvl w:val="0"/>
          <w:numId w:val="7"/>
        </w:numPr>
        <w:spacing w:line="240" w:lineRule="auto"/>
        <w:jc w:val="both"/>
        <w:rPr>
          <w:rFonts w:eastAsia="Times New Roman"/>
          <w:color w:val="0D0D0D"/>
          <w:szCs w:val="20"/>
        </w:rPr>
      </w:pPr>
      <w:r w:rsidRPr="00B30884">
        <w:rPr>
          <w:rFonts w:eastAsia="Times New Roman"/>
          <w:b/>
          <w:color w:val="0D0D0D"/>
          <w:szCs w:val="20"/>
        </w:rPr>
        <w:t>Discrimination and the Legislative Arsenal</w:t>
      </w:r>
    </w:p>
    <w:p w14:paraId="40D83D09" w14:textId="77777777" w:rsidR="008E2775" w:rsidRPr="00B30884" w:rsidRDefault="008E2775" w:rsidP="008E2775">
      <w:pPr>
        <w:pStyle w:val="Listenabsatz"/>
        <w:numPr>
          <w:ilvl w:val="0"/>
          <w:numId w:val="7"/>
        </w:numPr>
        <w:spacing w:line="240" w:lineRule="auto"/>
        <w:rPr>
          <w:rFonts w:eastAsia="Times New Roman"/>
          <w:color w:val="0D0D0D"/>
          <w:szCs w:val="20"/>
        </w:rPr>
      </w:pPr>
      <w:r w:rsidRPr="00B30884">
        <w:rPr>
          <w:rFonts w:eastAsia="Times New Roman"/>
          <w:b/>
          <w:color w:val="0D0D0D"/>
          <w:szCs w:val="20"/>
        </w:rPr>
        <w:t>Morocco's International Commitments </w:t>
      </w:r>
    </w:p>
    <w:p w14:paraId="42AA5271" w14:textId="77777777" w:rsidR="008E2775" w:rsidRPr="00B30884" w:rsidRDefault="008E2775" w:rsidP="008E2775">
      <w:pPr>
        <w:pStyle w:val="Listenabsatz"/>
        <w:numPr>
          <w:ilvl w:val="0"/>
          <w:numId w:val="7"/>
        </w:numPr>
        <w:spacing w:line="240" w:lineRule="auto"/>
        <w:rPr>
          <w:rFonts w:eastAsia="Times New Roman"/>
          <w:color w:val="0D0D0D"/>
          <w:szCs w:val="20"/>
        </w:rPr>
      </w:pPr>
      <w:r w:rsidRPr="00B30884">
        <w:rPr>
          <w:rFonts w:eastAsia="Times New Roman"/>
          <w:b/>
          <w:color w:val="0D0D0D"/>
          <w:szCs w:val="20"/>
        </w:rPr>
        <w:t>Access to Justice </w:t>
      </w:r>
    </w:p>
    <w:p w14:paraId="1B29A088" w14:textId="77777777" w:rsidR="008E2775" w:rsidRPr="00B30884" w:rsidRDefault="008E2775" w:rsidP="008E2775">
      <w:pPr>
        <w:pStyle w:val="Listenabsatz"/>
        <w:numPr>
          <w:ilvl w:val="0"/>
          <w:numId w:val="7"/>
        </w:numPr>
        <w:spacing w:line="240" w:lineRule="auto"/>
        <w:rPr>
          <w:rFonts w:eastAsia="Times New Roman"/>
          <w:color w:val="0D0D0D"/>
          <w:szCs w:val="20"/>
        </w:rPr>
      </w:pPr>
      <w:r w:rsidRPr="00B30884">
        <w:rPr>
          <w:rFonts w:eastAsia="Times New Roman"/>
          <w:b/>
          <w:color w:val="0D0D0D"/>
          <w:szCs w:val="20"/>
        </w:rPr>
        <w:t>Institutional Mechanisms and Public Policies for the Advancement of Women </w:t>
      </w:r>
    </w:p>
    <w:p w14:paraId="27002EF7" w14:textId="77777777" w:rsidR="008E2775" w:rsidRPr="00B30884" w:rsidRDefault="008E2775" w:rsidP="008E2775">
      <w:pPr>
        <w:pStyle w:val="Listenabsatz"/>
        <w:numPr>
          <w:ilvl w:val="0"/>
          <w:numId w:val="7"/>
        </w:numPr>
        <w:spacing w:line="240" w:lineRule="auto"/>
        <w:rPr>
          <w:rFonts w:eastAsia="Times New Roman"/>
          <w:color w:val="0D0D0D"/>
          <w:szCs w:val="20"/>
        </w:rPr>
      </w:pPr>
      <w:r w:rsidRPr="00B30884">
        <w:rPr>
          <w:rFonts w:eastAsia="Times New Roman"/>
          <w:b/>
          <w:color w:val="0D0D0D"/>
          <w:szCs w:val="20"/>
        </w:rPr>
        <w:t>Special Temporary Measures</w:t>
      </w:r>
    </w:p>
    <w:p w14:paraId="4D167DFD" w14:textId="77777777" w:rsidR="008E2775" w:rsidRPr="00B30884" w:rsidRDefault="008E2775" w:rsidP="008E2775">
      <w:pPr>
        <w:pStyle w:val="Listenabsatz"/>
        <w:numPr>
          <w:ilvl w:val="0"/>
          <w:numId w:val="7"/>
        </w:numPr>
        <w:spacing w:line="240" w:lineRule="auto"/>
        <w:rPr>
          <w:rFonts w:eastAsia="Times New Roman"/>
          <w:color w:val="0D0D0D"/>
          <w:szCs w:val="20"/>
        </w:rPr>
      </w:pPr>
      <w:r w:rsidRPr="00B30884">
        <w:rPr>
          <w:rFonts w:eastAsia="Times New Roman"/>
          <w:b/>
          <w:color w:val="0D0D0D"/>
          <w:szCs w:val="20"/>
        </w:rPr>
        <w:t>Stereotypes and Harmful Practices</w:t>
      </w:r>
    </w:p>
    <w:p w14:paraId="72EC3EF4" w14:textId="77777777" w:rsidR="008E2775" w:rsidRPr="00B30884" w:rsidRDefault="008E2775" w:rsidP="008E2775">
      <w:pPr>
        <w:pStyle w:val="Listenabsatz"/>
        <w:numPr>
          <w:ilvl w:val="0"/>
          <w:numId w:val="7"/>
        </w:numPr>
        <w:rPr>
          <w:rFonts w:eastAsia="Times New Roman"/>
          <w:b/>
          <w:color w:val="0D0D0D"/>
          <w:szCs w:val="20"/>
        </w:rPr>
      </w:pPr>
      <w:r w:rsidRPr="00B30884">
        <w:rPr>
          <w:rFonts w:eastAsia="Times New Roman"/>
          <w:b/>
          <w:color w:val="0D0D0D"/>
          <w:szCs w:val="20"/>
        </w:rPr>
        <w:t>Trafficking and Prostitution Exploitation</w:t>
      </w:r>
    </w:p>
    <w:p w14:paraId="6C3813FE" w14:textId="77777777" w:rsidR="008E2775" w:rsidRPr="00B30884" w:rsidRDefault="008E2775" w:rsidP="008E2775">
      <w:pPr>
        <w:pStyle w:val="Listenabsatz"/>
        <w:numPr>
          <w:ilvl w:val="0"/>
          <w:numId w:val="7"/>
        </w:numPr>
        <w:rPr>
          <w:rFonts w:eastAsia="Times New Roman"/>
          <w:b/>
          <w:color w:val="0D0D0D"/>
          <w:szCs w:val="20"/>
        </w:rPr>
      </w:pPr>
      <w:r w:rsidRPr="00B30884">
        <w:rPr>
          <w:rFonts w:eastAsia="Times New Roman"/>
          <w:b/>
          <w:color w:val="0D0D0D"/>
          <w:szCs w:val="20"/>
        </w:rPr>
        <w:t>Gender-based Violence</w:t>
      </w:r>
    </w:p>
    <w:p w14:paraId="3E63F321" w14:textId="77777777" w:rsidR="008E2775" w:rsidRPr="00B30884" w:rsidRDefault="008E2775" w:rsidP="008E2775">
      <w:pPr>
        <w:pStyle w:val="Listenabsatz"/>
        <w:numPr>
          <w:ilvl w:val="0"/>
          <w:numId w:val="7"/>
        </w:numPr>
        <w:pBdr>
          <w:top w:val="nil"/>
          <w:left w:val="nil"/>
          <w:bottom w:val="nil"/>
          <w:right w:val="nil"/>
          <w:between w:val="nil"/>
        </w:pBdr>
        <w:spacing w:after="240"/>
        <w:jc w:val="both"/>
        <w:rPr>
          <w:rFonts w:eastAsia="Times New Roman"/>
          <w:color w:val="000000"/>
          <w:szCs w:val="20"/>
        </w:rPr>
      </w:pPr>
      <w:r w:rsidRPr="00B30884">
        <w:rPr>
          <w:rFonts w:eastAsia="Times New Roman"/>
          <w:b/>
          <w:color w:val="0D0D0D"/>
          <w:szCs w:val="20"/>
        </w:rPr>
        <w:t>Recommendations</w:t>
      </w:r>
    </w:p>
    <w:p w14:paraId="1B731C92" w14:textId="77777777" w:rsidR="008E2775" w:rsidRPr="00B30884" w:rsidRDefault="008E2775" w:rsidP="008E2775">
      <w:pPr>
        <w:rPr>
          <w:b/>
          <w:sz w:val="20"/>
          <w:szCs w:val="20"/>
        </w:rPr>
      </w:pPr>
      <w:r w:rsidRPr="00B30884">
        <w:rPr>
          <w:rFonts w:asciiTheme="majorBidi" w:hAnsiTheme="majorBidi" w:cstheme="majorBidi"/>
          <w:b/>
          <w:bCs/>
          <w:color w:val="0070C0"/>
          <w:sz w:val="20"/>
          <w:szCs w:val="20"/>
          <w:lang w:val="fr-FR"/>
        </w:rPr>
        <w:t>PART II (Articles 7-8-9)</w:t>
      </w:r>
    </w:p>
    <w:p w14:paraId="2A1BCFE0" w14:textId="77777777" w:rsidR="008E2775" w:rsidRPr="00B30884" w:rsidRDefault="008E2775" w:rsidP="008E2775">
      <w:pPr>
        <w:pStyle w:val="Listenabsatz"/>
        <w:numPr>
          <w:ilvl w:val="0"/>
          <w:numId w:val="8"/>
        </w:numPr>
        <w:jc w:val="both"/>
        <w:rPr>
          <w:rFonts w:eastAsia="Times New Roman"/>
          <w:b/>
          <w:color w:val="0D0D0D"/>
          <w:szCs w:val="20"/>
        </w:rPr>
      </w:pPr>
      <w:r w:rsidRPr="00B30884">
        <w:rPr>
          <w:rFonts w:eastAsia="Times New Roman"/>
          <w:b/>
          <w:color w:val="0D0D0D"/>
          <w:szCs w:val="20"/>
        </w:rPr>
        <w:t>Participation in Political and Public Life</w:t>
      </w:r>
    </w:p>
    <w:p w14:paraId="08029F1E" w14:textId="77777777" w:rsidR="008E2775" w:rsidRPr="00B30884" w:rsidRDefault="008E2775" w:rsidP="008E2775">
      <w:pPr>
        <w:pStyle w:val="Listenabsatz"/>
        <w:numPr>
          <w:ilvl w:val="0"/>
          <w:numId w:val="8"/>
        </w:numPr>
        <w:tabs>
          <w:tab w:val="left" w:pos="1267"/>
          <w:tab w:val="left" w:pos="1742"/>
          <w:tab w:val="left" w:pos="2218"/>
          <w:tab w:val="left" w:pos="2693"/>
          <w:tab w:val="left" w:pos="3182"/>
          <w:tab w:val="left" w:pos="3658"/>
          <w:tab w:val="left" w:pos="4133"/>
          <w:tab w:val="left" w:pos="4622"/>
          <w:tab w:val="left" w:pos="5098"/>
          <w:tab w:val="left" w:pos="5573"/>
          <w:tab w:val="left" w:pos="6048"/>
        </w:tabs>
        <w:jc w:val="both"/>
        <w:rPr>
          <w:rFonts w:eastAsia="Times New Roman"/>
          <w:b/>
          <w:color w:val="0D0D0D"/>
          <w:szCs w:val="20"/>
        </w:rPr>
      </w:pPr>
      <w:r w:rsidRPr="00B30884">
        <w:rPr>
          <w:rFonts w:eastAsia="Times New Roman"/>
          <w:b/>
          <w:color w:val="0D0D0D"/>
          <w:szCs w:val="20"/>
        </w:rPr>
        <w:t xml:space="preserve">Nationality Code </w:t>
      </w:r>
    </w:p>
    <w:p w14:paraId="679EF419" w14:textId="77777777" w:rsidR="008E2775" w:rsidRPr="00B30884" w:rsidRDefault="008E2775" w:rsidP="008E2775">
      <w:pPr>
        <w:pStyle w:val="Listenabsatz"/>
        <w:numPr>
          <w:ilvl w:val="0"/>
          <w:numId w:val="8"/>
        </w:numPr>
        <w:pBdr>
          <w:top w:val="nil"/>
          <w:left w:val="nil"/>
          <w:bottom w:val="nil"/>
          <w:right w:val="nil"/>
          <w:between w:val="nil"/>
        </w:pBdr>
        <w:spacing w:after="240"/>
        <w:jc w:val="both"/>
        <w:rPr>
          <w:rFonts w:eastAsia="Times New Roman"/>
          <w:color w:val="000000"/>
          <w:szCs w:val="20"/>
        </w:rPr>
      </w:pPr>
      <w:r w:rsidRPr="00B30884">
        <w:rPr>
          <w:rFonts w:eastAsia="Times New Roman"/>
          <w:b/>
          <w:color w:val="0D0D0D"/>
          <w:szCs w:val="20"/>
        </w:rPr>
        <w:t>Recommendations</w:t>
      </w:r>
    </w:p>
    <w:p w14:paraId="580757BF" w14:textId="77777777" w:rsidR="008E2775" w:rsidRPr="00B30884" w:rsidRDefault="008E2775" w:rsidP="008E2775">
      <w:pPr>
        <w:spacing w:after="0"/>
        <w:jc w:val="both"/>
        <w:rPr>
          <w:sz w:val="20"/>
          <w:szCs w:val="20"/>
        </w:rPr>
      </w:pPr>
    </w:p>
    <w:p w14:paraId="2CBE0D1C" w14:textId="77777777" w:rsidR="008E2775" w:rsidRPr="00B30884" w:rsidRDefault="008E2775" w:rsidP="008E2775">
      <w:pPr>
        <w:rPr>
          <w:rFonts w:asciiTheme="majorBidi" w:eastAsiaTheme="minorHAnsi" w:hAnsiTheme="majorBidi" w:cstheme="majorBidi"/>
          <w:b/>
          <w:bCs/>
          <w:color w:val="0070C0"/>
          <w:sz w:val="20"/>
          <w:szCs w:val="20"/>
          <w:lang w:val="fr-FR"/>
        </w:rPr>
      </w:pPr>
      <w:r w:rsidRPr="00B30884">
        <w:rPr>
          <w:rFonts w:asciiTheme="majorBidi" w:eastAsiaTheme="minorHAnsi" w:hAnsiTheme="majorBidi" w:cstheme="majorBidi"/>
          <w:b/>
          <w:bCs/>
          <w:color w:val="0070C0"/>
          <w:sz w:val="20"/>
          <w:szCs w:val="20"/>
          <w:lang w:val="fr-FR"/>
        </w:rPr>
        <w:t>Part III (Article 11 - 14)</w:t>
      </w:r>
    </w:p>
    <w:p w14:paraId="1209B308" w14:textId="77777777" w:rsidR="008E2775" w:rsidRPr="00B30884" w:rsidRDefault="008E2775" w:rsidP="008E2775">
      <w:pPr>
        <w:pStyle w:val="Listenabsatz"/>
        <w:numPr>
          <w:ilvl w:val="0"/>
          <w:numId w:val="9"/>
        </w:numPr>
        <w:spacing w:after="240"/>
        <w:jc w:val="both"/>
        <w:rPr>
          <w:rFonts w:eastAsia="Times New Roman"/>
          <w:b/>
          <w:color w:val="0D0D0D"/>
          <w:szCs w:val="20"/>
        </w:rPr>
      </w:pPr>
      <w:r w:rsidRPr="00B30884">
        <w:rPr>
          <w:rFonts w:eastAsia="Times New Roman"/>
          <w:b/>
          <w:color w:val="0D0D0D"/>
          <w:szCs w:val="20"/>
        </w:rPr>
        <w:t>Education and Training</w:t>
      </w:r>
    </w:p>
    <w:p w14:paraId="1925F4CD" w14:textId="77777777" w:rsidR="008E2775" w:rsidRPr="00B30884" w:rsidRDefault="008E2775" w:rsidP="008E2775">
      <w:pPr>
        <w:pStyle w:val="Listenabsatz"/>
        <w:numPr>
          <w:ilvl w:val="0"/>
          <w:numId w:val="9"/>
        </w:numPr>
        <w:spacing w:line="240" w:lineRule="auto"/>
        <w:jc w:val="both"/>
        <w:rPr>
          <w:rFonts w:eastAsia="Times New Roman"/>
          <w:b/>
          <w:color w:val="0D0D0D"/>
          <w:szCs w:val="20"/>
        </w:rPr>
      </w:pPr>
      <w:r w:rsidRPr="00B30884">
        <w:rPr>
          <w:rFonts w:eastAsia="Times New Roman"/>
          <w:b/>
          <w:color w:val="0D0D0D"/>
          <w:szCs w:val="20"/>
        </w:rPr>
        <w:t>Healthcare</w:t>
      </w:r>
    </w:p>
    <w:p w14:paraId="602D2D78" w14:textId="77777777" w:rsidR="008E2775" w:rsidRPr="00B30884" w:rsidRDefault="008E2775" w:rsidP="008E2775">
      <w:pPr>
        <w:pStyle w:val="Listenabsatz"/>
        <w:numPr>
          <w:ilvl w:val="0"/>
          <w:numId w:val="9"/>
        </w:numPr>
        <w:jc w:val="both"/>
        <w:rPr>
          <w:rFonts w:eastAsia="Times New Roman"/>
          <w:b/>
          <w:color w:val="0D0D0D"/>
          <w:szCs w:val="20"/>
        </w:rPr>
      </w:pPr>
      <w:r w:rsidRPr="00B30884">
        <w:rPr>
          <w:rFonts w:eastAsia="Times New Roman"/>
          <w:b/>
          <w:color w:val="0D0D0D"/>
          <w:szCs w:val="20"/>
        </w:rPr>
        <w:t>Employment</w:t>
      </w:r>
    </w:p>
    <w:p w14:paraId="40363BFF" w14:textId="77777777" w:rsidR="008E2775" w:rsidRPr="00B30884" w:rsidRDefault="008E2775" w:rsidP="008E2775">
      <w:pPr>
        <w:pStyle w:val="Listenabsatz"/>
        <w:numPr>
          <w:ilvl w:val="0"/>
          <w:numId w:val="9"/>
        </w:numPr>
        <w:spacing w:after="240"/>
        <w:jc w:val="both"/>
        <w:rPr>
          <w:rFonts w:eastAsia="Times New Roman"/>
          <w:b/>
          <w:color w:val="0D0D0D"/>
          <w:szCs w:val="20"/>
        </w:rPr>
      </w:pPr>
      <w:r w:rsidRPr="00B30884">
        <w:rPr>
          <w:rFonts w:eastAsia="Times New Roman"/>
          <w:b/>
          <w:color w:val="0D0D0D"/>
          <w:szCs w:val="20"/>
        </w:rPr>
        <w:t xml:space="preserve">Economic and Social Empowerment </w:t>
      </w:r>
    </w:p>
    <w:p w14:paraId="7BA87296" w14:textId="77777777" w:rsidR="008E2775" w:rsidRPr="00B30884" w:rsidRDefault="008E2775" w:rsidP="008E2775">
      <w:pPr>
        <w:pStyle w:val="Listenabsatz"/>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1267"/>
        <w:jc w:val="both"/>
        <w:rPr>
          <w:rFonts w:eastAsia="Times New Roman"/>
          <w:b/>
          <w:color w:val="0D0D0D"/>
          <w:szCs w:val="20"/>
        </w:rPr>
      </w:pPr>
      <w:r w:rsidRPr="00B30884">
        <w:rPr>
          <w:rFonts w:eastAsia="Times New Roman"/>
          <w:b/>
          <w:color w:val="0D0D0D"/>
          <w:szCs w:val="20"/>
        </w:rPr>
        <w:t>Rural Women</w:t>
      </w:r>
    </w:p>
    <w:p w14:paraId="0840D33D" w14:textId="77777777" w:rsidR="008E2775" w:rsidRPr="00B30884" w:rsidRDefault="008E2775" w:rsidP="008E2775">
      <w:pPr>
        <w:pStyle w:val="Listenabsatz"/>
        <w:numPr>
          <w:ilvl w:val="0"/>
          <w:numId w:val="9"/>
        </w:numPr>
        <w:jc w:val="both"/>
        <w:rPr>
          <w:rFonts w:eastAsia="Times New Roman"/>
          <w:b/>
          <w:color w:val="0D0D0D"/>
          <w:szCs w:val="20"/>
        </w:rPr>
      </w:pPr>
      <w:r w:rsidRPr="00B30884">
        <w:rPr>
          <w:rFonts w:eastAsia="Times New Roman"/>
          <w:b/>
          <w:color w:val="0D0D0D"/>
          <w:szCs w:val="20"/>
        </w:rPr>
        <w:t>Other particularly Disadvantaged Categories of Women</w:t>
      </w:r>
    </w:p>
    <w:p w14:paraId="39F4909F" w14:textId="77777777" w:rsidR="008E2775" w:rsidRPr="00B30884" w:rsidRDefault="008E2775" w:rsidP="008E2775">
      <w:pPr>
        <w:pStyle w:val="Listenabsatz"/>
        <w:numPr>
          <w:ilvl w:val="0"/>
          <w:numId w:val="9"/>
        </w:numPr>
        <w:pBdr>
          <w:top w:val="nil"/>
          <w:left w:val="nil"/>
          <w:bottom w:val="nil"/>
          <w:right w:val="nil"/>
          <w:between w:val="nil"/>
        </w:pBdr>
        <w:spacing w:after="240"/>
        <w:jc w:val="both"/>
        <w:rPr>
          <w:rFonts w:eastAsia="Times New Roman"/>
          <w:color w:val="000000"/>
          <w:szCs w:val="20"/>
        </w:rPr>
      </w:pPr>
      <w:r w:rsidRPr="00B30884">
        <w:rPr>
          <w:rFonts w:eastAsia="Times New Roman"/>
          <w:b/>
          <w:color w:val="0D0D0D"/>
          <w:szCs w:val="20"/>
        </w:rPr>
        <w:t>Recommendations</w:t>
      </w:r>
    </w:p>
    <w:p w14:paraId="765CE5D8" w14:textId="77777777" w:rsidR="008E2775" w:rsidRPr="00B30884" w:rsidRDefault="008E2775" w:rsidP="008E2775">
      <w:pPr>
        <w:rPr>
          <w:rFonts w:asciiTheme="majorBidi" w:eastAsiaTheme="minorHAnsi" w:hAnsiTheme="majorBidi" w:cstheme="majorBidi"/>
          <w:b/>
          <w:bCs/>
          <w:color w:val="0070C0"/>
          <w:sz w:val="20"/>
          <w:szCs w:val="20"/>
          <w:lang w:val="fr-FR"/>
        </w:rPr>
      </w:pPr>
      <w:r w:rsidRPr="00B30884">
        <w:rPr>
          <w:rFonts w:asciiTheme="majorBidi" w:eastAsiaTheme="minorHAnsi" w:hAnsiTheme="majorBidi" w:cstheme="majorBidi"/>
          <w:b/>
          <w:bCs/>
          <w:color w:val="0070C0"/>
          <w:sz w:val="20"/>
          <w:szCs w:val="20"/>
          <w:lang w:val="fr-FR"/>
        </w:rPr>
        <w:t>PART IV (Article 15-16)</w:t>
      </w:r>
    </w:p>
    <w:p w14:paraId="64EA979D" w14:textId="77777777" w:rsidR="008E2775" w:rsidRPr="00B30884" w:rsidRDefault="008E2775" w:rsidP="008E2775">
      <w:pPr>
        <w:pStyle w:val="Listenabsatz"/>
        <w:numPr>
          <w:ilvl w:val="0"/>
          <w:numId w:val="10"/>
        </w:numPr>
        <w:spacing w:before="240"/>
        <w:jc w:val="both"/>
        <w:rPr>
          <w:rFonts w:eastAsia="Times New Roman"/>
          <w:b/>
          <w:color w:val="0D0D0D"/>
          <w:szCs w:val="20"/>
        </w:rPr>
      </w:pPr>
      <w:r w:rsidRPr="00B30884">
        <w:rPr>
          <w:rFonts w:eastAsia="Times New Roman"/>
          <w:b/>
          <w:color w:val="0D0D0D"/>
          <w:szCs w:val="20"/>
        </w:rPr>
        <w:t xml:space="preserve">Equality before the law </w:t>
      </w:r>
    </w:p>
    <w:p w14:paraId="16C73D87" w14:textId="77777777" w:rsidR="008E2775" w:rsidRPr="00B30884" w:rsidRDefault="008E2775" w:rsidP="008E2775">
      <w:pPr>
        <w:pStyle w:val="Listenabsatz"/>
        <w:numPr>
          <w:ilvl w:val="0"/>
          <w:numId w:val="10"/>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rFonts w:eastAsia="Times New Roman"/>
          <w:b/>
          <w:color w:val="0D0D0D"/>
          <w:szCs w:val="20"/>
        </w:rPr>
      </w:pPr>
      <w:r w:rsidRPr="00B30884">
        <w:rPr>
          <w:rFonts w:eastAsia="Times New Roman"/>
          <w:b/>
          <w:color w:val="0D0D0D"/>
          <w:szCs w:val="20"/>
        </w:rPr>
        <w:t>Marriage and Family Life</w:t>
      </w:r>
    </w:p>
    <w:p w14:paraId="74900F33" w14:textId="77777777" w:rsidR="008E2775" w:rsidRPr="00B30884" w:rsidRDefault="008E2775" w:rsidP="008E2775">
      <w:pPr>
        <w:pStyle w:val="Listenabsatz"/>
        <w:numPr>
          <w:ilvl w:val="0"/>
          <w:numId w:val="10"/>
        </w:numPr>
        <w:pBdr>
          <w:top w:val="nil"/>
          <w:left w:val="nil"/>
          <w:bottom w:val="nil"/>
          <w:right w:val="nil"/>
          <w:between w:val="nil"/>
        </w:pBdr>
        <w:spacing w:after="240"/>
        <w:jc w:val="both"/>
        <w:rPr>
          <w:rFonts w:eastAsia="Times New Roman"/>
          <w:color w:val="000000"/>
          <w:szCs w:val="20"/>
        </w:rPr>
      </w:pPr>
      <w:r w:rsidRPr="00B30884">
        <w:rPr>
          <w:rFonts w:eastAsia="Times New Roman"/>
          <w:b/>
          <w:color w:val="0D0D0D"/>
          <w:szCs w:val="20"/>
        </w:rPr>
        <w:t>Recommendations</w:t>
      </w:r>
    </w:p>
    <w:p w14:paraId="55A40958" w14:textId="77777777" w:rsidR="008E2775" w:rsidRPr="00B30884" w:rsidRDefault="008E2775" w:rsidP="008E2775">
      <w:pPr>
        <w:jc w:val="both"/>
        <w:rPr>
          <w:rFonts w:ascii="Times New Roman" w:eastAsia="Times New Roman" w:hAnsi="Times New Roman" w:cs="Times New Roman"/>
          <w:color w:val="0D0D0D"/>
          <w:sz w:val="20"/>
          <w:szCs w:val="20"/>
        </w:rPr>
      </w:pPr>
      <w:r w:rsidRPr="00B30884">
        <w:rPr>
          <w:rFonts w:asciiTheme="majorBidi" w:hAnsiTheme="majorBidi" w:cstheme="majorBidi"/>
          <w:b/>
          <w:bCs/>
          <w:color w:val="0070C0"/>
          <w:sz w:val="20"/>
          <w:szCs w:val="20"/>
          <w:lang w:val="fr-FR"/>
        </w:rPr>
        <w:t>APPENDIXES</w:t>
      </w:r>
      <w:r w:rsidRPr="00B30884">
        <w:br w:type="page"/>
      </w:r>
    </w:p>
    <w:p w14:paraId="52EEA303" w14:textId="3BB299B9" w:rsidR="007224C8" w:rsidRPr="00B30884" w:rsidRDefault="008E2775" w:rsidP="007224C8">
      <w:pPr>
        <w:spacing w:after="0"/>
        <w:jc w:val="both"/>
        <w:rPr>
          <w:rFonts w:ascii="Times New Roman" w:eastAsia="Times New Roman" w:hAnsi="Times New Roman" w:cs="Times New Roman"/>
          <w:bCs/>
          <w:i/>
          <w:iCs/>
          <w:color w:val="0D0D0D"/>
        </w:rPr>
      </w:pPr>
      <w:r w:rsidRPr="00B30884">
        <w:rPr>
          <w:rFonts w:ascii="Times New Roman" w:eastAsia="Times New Roman" w:hAnsi="Times New Roman" w:cs="Times New Roman"/>
          <w:b/>
          <w:color w:val="0D0D0D"/>
        </w:rPr>
        <w:lastRenderedPageBreak/>
        <w:t xml:space="preserve">CONTRIBUTING AND SIGNING ASSOCIATIONS AND COALITIONS </w:t>
      </w:r>
      <w:r w:rsidR="007224C8" w:rsidRPr="00B30884">
        <w:rPr>
          <w:rFonts w:ascii="Times New Roman" w:eastAsia="Times New Roman" w:hAnsi="Times New Roman" w:cs="Times New Roman"/>
          <w:bCs/>
          <w:i/>
          <w:iCs/>
          <w:color w:val="0D0D0D"/>
        </w:rPr>
        <w:t>(associations in bold are members of the Harmonization Now Dynamic):</w:t>
      </w:r>
    </w:p>
    <w:p w14:paraId="1C69C07E" w14:textId="77777777" w:rsidR="007224C8" w:rsidRPr="00B30884" w:rsidRDefault="007224C8" w:rsidP="007224C8">
      <w:pPr>
        <w:spacing w:after="0"/>
        <w:jc w:val="both"/>
        <w:rPr>
          <w:rFonts w:ascii="Times New Roman" w:eastAsia="Times New Roman" w:hAnsi="Times New Roman" w:cs="Times New Roman"/>
          <w:bCs/>
          <w:i/>
          <w:iCs/>
          <w:color w:val="0D0D0D"/>
        </w:rPr>
      </w:pPr>
    </w:p>
    <w:p w14:paraId="1BE0A79A" w14:textId="77777777" w:rsidR="00D61E78" w:rsidRPr="00B30884" w:rsidRDefault="00D61E78" w:rsidP="00D61E78">
      <w:pPr>
        <w:spacing w:after="0"/>
        <w:jc w:val="both"/>
        <w:rPr>
          <w:rFonts w:asciiTheme="majorBidi" w:hAnsiTheme="majorBidi" w:cstheme="majorBidi"/>
          <w:b/>
          <w:bCs/>
          <w:sz w:val="20"/>
          <w:szCs w:val="20"/>
        </w:rPr>
      </w:pPr>
    </w:p>
    <w:p w14:paraId="7B1C0E20" w14:textId="0FCAF5CD" w:rsidR="00021572" w:rsidRPr="00B30884" w:rsidRDefault="00021572" w:rsidP="00021572">
      <w:pPr>
        <w:spacing w:after="0"/>
        <w:jc w:val="both"/>
        <w:rPr>
          <w:rFonts w:asciiTheme="majorBidi" w:hAnsiTheme="majorBidi" w:cstheme="majorBidi"/>
          <w:b/>
          <w:bCs/>
          <w:sz w:val="20"/>
          <w:szCs w:val="20"/>
        </w:rPr>
      </w:pPr>
      <w:r w:rsidRPr="00B30884">
        <w:rPr>
          <w:rFonts w:asciiTheme="majorBidi" w:hAnsiTheme="majorBidi" w:cstheme="majorBidi"/>
          <w:b/>
          <w:bCs/>
          <w:sz w:val="20"/>
          <w:szCs w:val="20"/>
          <w:u w:val="single"/>
        </w:rPr>
        <w:t>Coalitions</w:t>
      </w:r>
      <w:r w:rsidRPr="00B30884">
        <w:rPr>
          <w:rFonts w:asciiTheme="majorBidi" w:hAnsiTheme="majorBidi" w:cstheme="majorBidi"/>
          <w:b/>
          <w:bCs/>
          <w:sz w:val="20"/>
          <w:szCs w:val="20"/>
        </w:rPr>
        <w:t>:</w:t>
      </w:r>
    </w:p>
    <w:p w14:paraId="7E56D443" w14:textId="72189BFE" w:rsidR="00021572" w:rsidRPr="00B30884" w:rsidRDefault="00021572" w:rsidP="00021572">
      <w:pPr>
        <w:pStyle w:val="Listenabsatz"/>
        <w:numPr>
          <w:ilvl w:val="0"/>
          <w:numId w:val="11"/>
        </w:numPr>
        <w:jc w:val="both"/>
        <w:rPr>
          <w:rFonts w:asciiTheme="majorBidi" w:hAnsiTheme="majorBidi" w:cstheme="majorBidi"/>
          <w:szCs w:val="20"/>
          <w:lang w:val="fr-FR"/>
        </w:rPr>
      </w:pPr>
      <w:r w:rsidRPr="00B30884">
        <w:rPr>
          <w:rFonts w:asciiTheme="majorBidi" w:hAnsiTheme="majorBidi" w:cstheme="majorBidi"/>
          <w:szCs w:val="20"/>
          <w:lang w:val="fr-FR"/>
        </w:rPr>
        <w:t xml:space="preserve">COALITION PRINTEMPS DE LA DIGNITE </w:t>
      </w:r>
    </w:p>
    <w:p w14:paraId="641A0B3E" w14:textId="77777777" w:rsidR="00021572" w:rsidRPr="00B30884" w:rsidRDefault="00021572" w:rsidP="00021572">
      <w:pPr>
        <w:pStyle w:val="Listenabsatz"/>
        <w:jc w:val="both"/>
        <w:rPr>
          <w:rFonts w:asciiTheme="majorBidi" w:hAnsiTheme="majorBidi" w:cstheme="majorBidi"/>
          <w:szCs w:val="20"/>
          <w:lang w:val="fr-FR"/>
        </w:rPr>
      </w:pPr>
    </w:p>
    <w:p w14:paraId="562E41EF" w14:textId="052DE0DA" w:rsidR="00021572" w:rsidRPr="00B30884" w:rsidRDefault="00021572" w:rsidP="00021572">
      <w:pPr>
        <w:spacing w:after="0"/>
        <w:jc w:val="both"/>
        <w:rPr>
          <w:rFonts w:asciiTheme="majorBidi" w:hAnsiTheme="majorBidi" w:cstheme="majorBidi"/>
          <w:b/>
          <w:bCs/>
          <w:sz w:val="20"/>
          <w:szCs w:val="20"/>
          <w:u w:val="single"/>
        </w:rPr>
      </w:pPr>
      <w:r w:rsidRPr="00B30884">
        <w:rPr>
          <w:rFonts w:asciiTheme="majorBidi" w:hAnsiTheme="majorBidi" w:cstheme="majorBidi"/>
          <w:b/>
          <w:bCs/>
          <w:sz w:val="20"/>
          <w:szCs w:val="20"/>
          <w:u w:val="single"/>
        </w:rPr>
        <w:t xml:space="preserve">Organizations </w:t>
      </w:r>
    </w:p>
    <w:p w14:paraId="47A443B1" w14:textId="77777777" w:rsidR="00021572" w:rsidRPr="00B30884" w:rsidRDefault="00021572" w:rsidP="00021572">
      <w:pPr>
        <w:spacing w:after="0"/>
        <w:jc w:val="both"/>
        <w:rPr>
          <w:rFonts w:asciiTheme="majorBidi" w:hAnsiTheme="majorBidi" w:cstheme="majorBidi"/>
          <w:b/>
          <w:bCs/>
          <w:sz w:val="20"/>
          <w:szCs w:val="20"/>
        </w:rPr>
      </w:pPr>
    </w:p>
    <w:p w14:paraId="1CA69225" w14:textId="77777777" w:rsidR="00BA08B8" w:rsidRPr="00B30884" w:rsidRDefault="00BA08B8" w:rsidP="00BA08B8">
      <w:pPr>
        <w:pStyle w:val="Listenabsatz"/>
        <w:numPr>
          <w:ilvl w:val="0"/>
          <w:numId w:val="6"/>
        </w:numPr>
        <w:ind w:left="426" w:hanging="426"/>
        <w:rPr>
          <w:rFonts w:asciiTheme="majorBidi" w:hAnsiTheme="majorBidi" w:cstheme="majorBidi"/>
          <w:szCs w:val="20"/>
          <w:lang w:val="fr-FR"/>
        </w:rPr>
      </w:pPr>
      <w:r w:rsidRPr="00B30884">
        <w:rPr>
          <w:rFonts w:asciiTheme="majorBidi" w:hAnsiTheme="majorBidi" w:cstheme="majorBidi"/>
          <w:szCs w:val="20"/>
          <w:lang w:val="fr-FR"/>
        </w:rPr>
        <w:t>ACTION FEMMES DES ASSOCIATIONS DE QUARTIERS DU GRAND CASABLANCA (AFAQ).</w:t>
      </w:r>
    </w:p>
    <w:p w14:paraId="3D415043"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szCs w:val="20"/>
          <w:lang w:val="fr-FR"/>
        </w:rPr>
      </w:pPr>
      <w:r w:rsidRPr="00B30884">
        <w:rPr>
          <w:rFonts w:asciiTheme="majorBidi" w:hAnsiTheme="majorBidi" w:cstheme="majorBidi"/>
          <w:szCs w:val="20"/>
          <w:lang w:val="fr-FR"/>
        </w:rPr>
        <w:t>ASSOCIATION ADALA POUR LE DROIT À UN PROCÈS ÉQUITABLE</w:t>
      </w:r>
    </w:p>
    <w:p w14:paraId="0DB0E45F" w14:textId="77777777" w:rsidR="00BA08B8" w:rsidRPr="00B30884" w:rsidRDefault="00BA08B8" w:rsidP="00BA08B8">
      <w:pPr>
        <w:pStyle w:val="Listenabsatz"/>
        <w:numPr>
          <w:ilvl w:val="0"/>
          <w:numId w:val="6"/>
        </w:numPr>
        <w:ind w:left="426" w:hanging="426"/>
        <w:rPr>
          <w:rFonts w:asciiTheme="majorBidi" w:hAnsiTheme="majorBidi" w:cstheme="majorBidi"/>
          <w:szCs w:val="20"/>
        </w:rPr>
      </w:pPr>
      <w:r w:rsidRPr="00B30884">
        <w:rPr>
          <w:rFonts w:asciiTheme="majorBidi" w:hAnsiTheme="majorBidi" w:cstheme="majorBidi"/>
          <w:szCs w:val="20"/>
        </w:rPr>
        <w:t>ASSOCIATION AMAL FEMME</w:t>
      </w:r>
    </w:p>
    <w:p w14:paraId="5635D5AB"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szCs w:val="20"/>
        </w:rPr>
      </w:pPr>
      <w:r w:rsidRPr="00B30884">
        <w:rPr>
          <w:rFonts w:asciiTheme="majorBidi" w:hAnsiTheme="majorBidi" w:cstheme="majorBidi"/>
          <w:szCs w:val="20"/>
        </w:rPr>
        <w:t xml:space="preserve">ASSOCIATION ASPIRATIONS FÉMININES </w:t>
      </w:r>
    </w:p>
    <w:p w14:paraId="6A52F40F"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szCs w:val="20"/>
        </w:rPr>
      </w:pPr>
      <w:r w:rsidRPr="00B30884">
        <w:rPr>
          <w:rFonts w:asciiTheme="majorBidi" w:hAnsiTheme="majorBidi" w:cstheme="majorBidi"/>
          <w:szCs w:val="20"/>
        </w:rPr>
        <w:t>ASSOCIATION ASSANAA </w:t>
      </w:r>
    </w:p>
    <w:p w14:paraId="0B69D5B8" w14:textId="77777777" w:rsidR="00BA08B8" w:rsidRPr="00B30884" w:rsidRDefault="00BA08B8" w:rsidP="00BA08B8">
      <w:pPr>
        <w:pStyle w:val="Listenabsatz"/>
        <w:numPr>
          <w:ilvl w:val="0"/>
          <w:numId w:val="6"/>
        </w:numPr>
        <w:ind w:left="426" w:hanging="426"/>
        <w:rPr>
          <w:rFonts w:asciiTheme="majorBidi" w:hAnsiTheme="majorBidi" w:cstheme="majorBidi"/>
          <w:szCs w:val="20"/>
        </w:rPr>
      </w:pPr>
      <w:r w:rsidRPr="00B30884">
        <w:rPr>
          <w:rFonts w:asciiTheme="majorBidi" w:hAnsiTheme="majorBidi" w:cstheme="majorBidi"/>
          <w:szCs w:val="20"/>
        </w:rPr>
        <w:t>ASSOCIATION AWAL HOURIATE</w:t>
      </w:r>
    </w:p>
    <w:p w14:paraId="7638A764" w14:textId="77777777" w:rsidR="00BA08B8" w:rsidRPr="00B30884" w:rsidRDefault="00BA08B8" w:rsidP="00BA08B8">
      <w:pPr>
        <w:pStyle w:val="Listenabsatz"/>
        <w:numPr>
          <w:ilvl w:val="0"/>
          <w:numId w:val="6"/>
        </w:numPr>
        <w:ind w:left="426" w:hanging="426"/>
        <w:rPr>
          <w:rFonts w:asciiTheme="majorBidi" w:hAnsiTheme="majorBidi" w:cstheme="majorBidi"/>
          <w:szCs w:val="20"/>
          <w:lang w:val="fr-FR"/>
        </w:rPr>
      </w:pPr>
      <w:r w:rsidRPr="00B30884">
        <w:rPr>
          <w:rFonts w:asciiTheme="majorBidi" w:hAnsiTheme="majorBidi" w:cstheme="majorBidi"/>
          <w:szCs w:val="20"/>
          <w:lang w:val="fr-FR"/>
        </w:rPr>
        <w:t>ASSOCIATION DE LUTTE CONTRE LE SIDA (ALCS)</w:t>
      </w:r>
    </w:p>
    <w:p w14:paraId="767AA654"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b/>
          <w:bCs/>
          <w:szCs w:val="20"/>
          <w:lang w:val="fr-FR"/>
        </w:rPr>
      </w:pPr>
      <w:r w:rsidRPr="00B30884">
        <w:rPr>
          <w:rFonts w:asciiTheme="majorBidi" w:hAnsiTheme="majorBidi" w:cstheme="majorBidi"/>
          <w:b/>
          <w:bCs/>
          <w:szCs w:val="20"/>
          <w:lang w:val="fr-FR"/>
        </w:rPr>
        <w:t xml:space="preserve">ASSOCIATION DEMOCRATIQUE DES FEMMES DU MAROC (ADFM) </w:t>
      </w:r>
    </w:p>
    <w:p w14:paraId="5A4BE039"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b/>
          <w:bCs/>
          <w:szCs w:val="20"/>
        </w:rPr>
      </w:pPr>
      <w:r w:rsidRPr="00B30884">
        <w:rPr>
          <w:rFonts w:asciiTheme="majorBidi" w:hAnsiTheme="majorBidi" w:cstheme="majorBidi"/>
          <w:b/>
          <w:bCs/>
          <w:szCs w:val="20"/>
        </w:rPr>
        <w:t xml:space="preserve">ASSOCIATION FEMMES DU SUD </w:t>
      </w:r>
    </w:p>
    <w:p w14:paraId="2BE5C05A"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b/>
          <w:bCs/>
          <w:szCs w:val="20"/>
        </w:rPr>
      </w:pPr>
      <w:r w:rsidRPr="00B30884">
        <w:rPr>
          <w:rFonts w:asciiTheme="majorBidi" w:hAnsiTheme="majorBidi" w:cstheme="majorBidi"/>
          <w:b/>
          <w:bCs/>
          <w:szCs w:val="20"/>
        </w:rPr>
        <w:t>ASSOCIATION FORUM MAROCAIN DES FEMMES</w:t>
      </w:r>
    </w:p>
    <w:p w14:paraId="281107C6"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b/>
          <w:bCs/>
          <w:szCs w:val="20"/>
          <w:lang w:val="fr-FR"/>
        </w:rPr>
      </w:pPr>
      <w:r w:rsidRPr="00B30884">
        <w:rPr>
          <w:rFonts w:asciiTheme="majorBidi" w:hAnsiTheme="majorBidi" w:cstheme="majorBidi"/>
          <w:b/>
          <w:bCs/>
          <w:szCs w:val="20"/>
          <w:lang w:val="fr-FR"/>
        </w:rPr>
        <w:t>ASSOCIATION INITIATIVE POUR LA PROTECTION DES DROITS DES FEMMES (IPDF)</w:t>
      </w:r>
    </w:p>
    <w:p w14:paraId="306410EB" w14:textId="77777777" w:rsidR="00BA08B8" w:rsidRPr="00B30884" w:rsidRDefault="00BA08B8" w:rsidP="00BA08B8">
      <w:pPr>
        <w:pStyle w:val="Listenabsatz"/>
        <w:numPr>
          <w:ilvl w:val="0"/>
          <w:numId w:val="6"/>
        </w:numPr>
        <w:ind w:left="426" w:hanging="426"/>
        <w:rPr>
          <w:rFonts w:asciiTheme="majorBidi" w:hAnsiTheme="majorBidi" w:cstheme="majorBidi"/>
          <w:b/>
          <w:bCs/>
          <w:szCs w:val="20"/>
        </w:rPr>
      </w:pPr>
      <w:r w:rsidRPr="00B30884">
        <w:rPr>
          <w:rFonts w:asciiTheme="majorBidi" w:hAnsiTheme="majorBidi" w:cstheme="majorBidi"/>
          <w:b/>
          <w:bCs/>
          <w:szCs w:val="20"/>
        </w:rPr>
        <w:t>ASSOCIATION INSAT BENI MELLAL</w:t>
      </w:r>
    </w:p>
    <w:p w14:paraId="09E9E6FC" w14:textId="77777777" w:rsidR="00BA08B8" w:rsidRPr="00B30884" w:rsidRDefault="00BA08B8" w:rsidP="00BA08B8">
      <w:pPr>
        <w:pStyle w:val="Listenabsatz"/>
        <w:numPr>
          <w:ilvl w:val="0"/>
          <w:numId w:val="6"/>
        </w:numPr>
        <w:ind w:left="426" w:hanging="426"/>
        <w:rPr>
          <w:rFonts w:asciiTheme="majorBidi" w:hAnsiTheme="majorBidi" w:cstheme="majorBidi"/>
          <w:szCs w:val="20"/>
          <w:lang w:val="fr-FR"/>
        </w:rPr>
      </w:pPr>
      <w:r w:rsidRPr="00B30884">
        <w:rPr>
          <w:rFonts w:asciiTheme="majorBidi" w:hAnsiTheme="majorBidi" w:cstheme="majorBidi"/>
          <w:szCs w:val="20"/>
          <w:lang w:val="fr-FR"/>
        </w:rPr>
        <w:t>ASSOCIATION JEUNESSE DE SEGANGANE POUR LA CULTURE ET LE DEVELOPPEMENT</w:t>
      </w:r>
    </w:p>
    <w:p w14:paraId="6D4EFC54"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b/>
          <w:bCs/>
          <w:szCs w:val="20"/>
        </w:rPr>
      </w:pPr>
      <w:r w:rsidRPr="00B30884">
        <w:rPr>
          <w:rFonts w:asciiTheme="majorBidi" w:hAnsiTheme="majorBidi" w:cstheme="majorBidi"/>
          <w:b/>
          <w:bCs/>
          <w:szCs w:val="20"/>
        </w:rPr>
        <w:t>ASSOCIATION MAINS LIBRES</w:t>
      </w:r>
    </w:p>
    <w:p w14:paraId="0A3317DB" w14:textId="77777777" w:rsidR="00BA08B8" w:rsidRPr="00B30884" w:rsidRDefault="00BA08B8" w:rsidP="00BA08B8">
      <w:pPr>
        <w:pStyle w:val="Listenabsatz"/>
        <w:numPr>
          <w:ilvl w:val="0"/>
          <w:numId w:val="6"/>
        </w:numPr>
        <w:ind w:left="426" w:hanging="426"/>
        <w:rPr>
          <w:rFonts w:asciiTheme="majorBidi" w:hAnsiTheme="majorBidi" w:cstheme="majorBidi"/>
          <w:szCs w:val="20"/>
        </w:rPr>
      </w:pPr>
      <w:r w:rsidRPr="00B30884">
        <w:rPr>
          <w:rFonts w:asciiTheme="majorBidi" w:hAnsiTheme="majorBidi" w:cstheme="majorBidi"/>
          <w:szCs w:val="20"/>
        </w:rPr>
        <w:t>ASSOCIATION MAINS SOLIDAIRES</w:t>
      </w:r>
    </w:p>
    <w:p w14:paraId="6526F16A"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b/>
          <w:bCs/>
          <w:szCs w:val="20"/>
          <w:lang w:val="fr-FR"/>
        </w:rPr>
      </w:pPr>
      <w:r w:rsidRPr="00B30884">
        <w:rPr>
          <w:rFonts w:asciiTheme="majorBidi" w:hAnsiTheme="majorBidi" w:cstheme="majorBidi"/>
          <w:b/>
          <w:bCs/>
          <w:szCs w:val="20"/>
          <w:lang w:val="fr-FR"/>
        </w:rPr>
        <w:t>ASSOCIATION MAROCAINE DES DROITS HUMAINS (AMDH)</w:t>
      </w:r>
    </w:p>
    <w:p w14:paraId="22086CF1"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b/>
          <w:bCs/>
          <w:szCs w:val="20"/>
          <w:lang w:val="fr-FR"/>
        </w:rPr>
      </w:pPr>
      <w:r w:rsidRPr="00B30884">
        <w:rPr>
          <w:rFonts w:asciiTheme="majorBidi" w:hAnsiTheme="majorBidi" w:cstheme="majorBidi"/>
          <w:b/>
          <w:bCs/>
          <w:szCs w:val="20"/>
          <w:lang w:val="fr-FR"/>
        </w:rPr>
        <w:t>ASSOCIATION MAROCAINE POUR LES DROITS DES FEMMES (AMDF)</w:t>
      </w:r>
    </w:p>
    <w:p w14:paraId="38480F93"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b/>
          <w:bCs/>
          <w:szCs w:val="20"/>
        </w:rPr>
      </w:pPr>
      <w:r w:rsidRPr="00B30884">
        <w:rPr>
          <w:rFonts w:asciiTheme="majorBidi" w:hAnsiTheme="majorBidi" w:cstheme="majorBidi"/>
          <w:b/>
          <w:bCs/>
          <w:szCs w:val="20"/>
        </w:rPr>
        <w:t xml:space="preserve">ASSOCIATION NEAMA </w:t>
      </w:r>
    </w:p>
    <w:p w14:paraId="3F8A52D1"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b/>
          <w:bCs/>
          <w:szCs w:val="20"/>
        </w:rPr>
      </w:pPr>
      <w:r w:rsidRPr="00B30884">
        <w:rPr>
          <w:rFonts w:asciiTheme="majorBidi" w:hAnsiTheme="majorBidi" w:cstheme="majorBidi"/>
          <w:b/>
          <w:bCs/>
          <w:szCs w:val="20"/>
        </w:rPr>
        <w:t xml:space="preserve">ASSOCIATION SOLIDARITE FEMININE (ASF) </w:t>
      </w:r>
    </w:p>
    <w:p w14:paraId="389802A7" w14:textId="77777777" w:rsidR="00BA08B8" w:rsidRPr="00B30884" w:rsidRDefault="00BA08B8" w:rsidP="00BA08B8">
      <w:pPr>
        <w:pStyle w:val="Listenabsatz"/>
        <w:numPr>
          <w:ilvl w:val="0"/>
          <w:numId w:val="6"/>
        </w:numPr>
        <w:ind w:left="426" w:hanging="426"/>
        <w:rPr>
          <w:rFonts w:asciiTheme="majorBidi" w:hAnsiTheme="majorBidi" w:cstheme="majorBidi"/>
          <w:szCs w:val="20"/>
          <w:lang w:val="fr-FR"/>
        </w:rPr>
      </w:pPr>
      <w:r w:rsidRPr="00B30884">
        <w:rPr>
          <w:rFonts w:asciiTheme="majorBidi" w:hAnsiTheme="majorBidi" w:cstheme="majorBidi"/>
          <w:szCs w:val="20"/>
          <w:lang w:val="fr-FR"/>
        </w:rPr>
        <w:t xml:space="preserve">ASSOCIATION TAHADI POUR L'ÉGALITE ET LA CITOYENNETE -ATEC </w:t>
      </w:r>
    </w:p>
    <w:p w14:paraId="3AAA9BA2" w14:textId="77777777" w:rsidR="00BA08B8" w:rsidRPr="00B30884" w:rsidRDefault="00BA08B8" w:rsidP="00BA08B8">
      <w:pPr>
        <w:pStyle w:val="Listenabsatz"/>
        <w:numPr>
          <w:ilvl w:val="0"/>
          <w:numId w:val="6"/>
        </w:numPr>
        <w:ind w:left="426" w:hanging="426"/>
        <w:rPr>
          <w:rFonts w:asciiTheme="majorBidi" w:hAnsiTheme="majorBidi" w:cstheme="majorBidi"/>
          <w:szCs w:val="20"/>
        </w:rPr>
      </w:pPr>
      <w:r w:rsidRPr="00B30884">
        <w:rPr>
          <w:rFonts w:asciiTheme="majorBidi" w:hAnsiTheme="majorBidi" w:cstheme="majorBidi"/>
          <w:szCs w:val="20"/>
        </w:rPr>
        <w:t xml:space="preserve">ESPACE ASSOCIATIF </w:t>
      </w:r>
    </w:p>
    <w:p w14:paraId="3E215CF5" w14:textId="77777777" w:rsidR="00BA08B8" w:rsidRPr="00B30884" w:rsidRDefault="00BA08B8" w:rsidP="00BA08B8">
      <w:pPr>
        <w:pStyle w:val="Listenabsatz"/>
        <w:numPr>
          <w:ilvl w:val="0"/>
          <w:numId w:val="6"/>
        </w:numPr>
        <w:ind w:left="426" w:hanging="426"/>
        <w:rPr>
          <w:rFonts w:asciiTheme="majorBidi" w:hAnsiTheme="majorBidi" w:cstheme="majorBidi"/>
          <w:szCs w:val="20"/>
        </w:rPr>
      </w:pPr>
      <w:r w:rsidRPr="00B30884">
        <w:rPr>
          <w:rFonts w:asciiTheme="majorBidi" w:hAnsiTheme="majorBidi" w:cstheme="majorBidi"/>
          <w:szCs w:val="20"/>
        </w:rPr>
        <w:t>EUROMED DROITS</w:t>
      </w:r>
    </w:p>
    <w:p w14:paraId="20F80B4E" w14:textId="77777777" w:rsidR="00BA08B8" w:rsidRPr="00B30884" w:rsidRDefault="00BA08B8" w:rsidP="00BA08B8">
      <w:pPr>
        <w:pStyle w:val="Listenabsatz"/>
        <w:numPr>
          <w:ilvl w:val="0"/>
          <w:numId w:val="6"/>
        </w:numPr>
        <w:ind w:left="426" w:hanging="426"/>
        <w:jc w:val="both"/>
        <w:rPr>
          <w:rFonts w:asciiTheme="majorBidi" w:hAnsiTheme="majorBidi" w:cstheme="majorBidi"/>
          <w:szCs w:val="20"/>
        </w:rPr>
      </w:pPr>
      <w:r w:rsidRPr="00B30884">
        <w:rPr>
          <w:rFonts w:asciiTheme="majorBidi" w:hAnsiTheme="majorBidi" w:cstheme="majorBidi"/>
          <w:szCs w:val="20"/>
        </w:rPr>
        <w:t>FORUM ASSOCIATIF</w:t>
      </w:r>
    </w:p>
    <w:p w14:paraId="66D6832E"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b/>
          <w:bCs/>
          <w:szCs w:val="20"/>
        </w:rPr>
      </w:pPr>
      <w:r w:rsidRPr="00B30884">
        <w:rPr>
          <w:rFonts w:asciiTheme="majorBidi" w:hAnsiTheme="majorBidi" w:cstheme="majorBidi"/>
          <w:b/>
          <w:bCs/>
          <w:szCs w:val="20"/>
        </w:rPr>
        <w:t>FORUM DE LA FAMILLE MAROCAINE</w:t>
      </w:r>
    </w:p>
    <w:p w14:paraId="4E735F5D" w14:textId="77777777" w:rsidR="00BA08B8" w:rsidRPr="00B30884" w:rsidRDefault="00BA08B8" w:rsidP="00BA08B8">
      <w:pPr>
        <w:pStyle w:val="Listenabsatz"/>
        <w:numPr>
          <w:ilvl w:val="0"/>
          <w:numId w:val="6"/>
        </w:numPr>
        <w:ind w:left="426" w:hanging="426"/>
        <w:rPr>
          <w:rFonts w:asciiTheme="majorBidi" w:hAnsiTheme="majorBidi" w:cstheme="majorBidi"/>
          <w:szCs w:val="20"/>
        </w:rPr>
      </w:pPr>
      <w:r w:rsidRPr="00B30884">
        <w:rPr>
          <w:rFonts w:asciiTheme="majorBidi" w:hAnsiTheme="majorBidi" w:cstheme="majorBidi"/>
          <w:szCs w:val="20"/>
        </w:rPr>
        <w:t>FORUM DES ALTERNATIVES MAROC, FMAS</w:t>
      </w:r>
    </w:p>
    <w:p w14:paraId="3B1E62F4"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szCs w:val="20"/>
          <w:lang w:val="fr-FR"/>
        </w:rPr>
      </w:pPr>
      <w:r w:rsidRPr="00B30884">
        <w:rPr>
          <w:rFonts w:asciiTheme="majorBidi" w:hAnsiTheme="majorBidi" w:cstheme="majorBidi"/>
          <w:szCs w:val="20"/>
          <w:lang w:val="fr-FR"/>
        </w:rPr>
        <w:t>FORUM DES FEMMES MAROCAINES (FFM)</w:t>
      </w:r>
    </w:p>
    <w:p w14:paraId="17C70143" w14:textId="77777777" w:rsidR="00BA08B8" w:rsidRPr="00B30884" w:rsidRDefault="00BA08B8" w:rsidP="00BA08B8">
      <w:pPr>
        <w:pStyle w:val="Listenabsatz"/>
        <w:numPr>
          <w:ilvl w:val="0"/>
          <w:numId w:val="6"/>
        </w:numPr>
        <w:ind w:left="426" w:hanging="426"/>
        <w:rPr>
          <w:rFonts w:asciiTheme="majorBidi" w:hAnsiTheme="majorBidi" w:cstheme="majorBidi"/>
          <w:szCs w:val="20"/>
        </w:rPr>
      </w:pPr>
      <w:r w:rsidRPr="00B30884">
        <w:rPr>
          <w:rFonts w:asciiTheme="majorBidi" w:hAnsiTheme="majorBidi" w:cstheme="majorBidi"/>
          <w:szCs w:val="20"/>
        </w:rPr>
        <w:t>MOUVEMENT ALTERNATIVES CITOYENNE, ALCI</w:t>
      </w:r>
    </w:p>
    <w:p w14:paraId="488819EB" w14:textId="77777777" w:rsidR="00BA08B8" w:rsidRPr="00B30884" w:rsidRDefault="00BA08B8" w:rsidP="00BA08B8">
      <w:pPr>
        <w:pStyle w:val="Listenabsatz"/>
        <w:numPr>
          <w:ilvl w:val="0"/>
          <w:numId w:val="6"/>
        </w:numPr>
        <w:ind w:left="426" w:hanging="426"/>
        <w:rPr>
          <w:rFonts w:asciiTheme="majorBidi" w:hAnsiTheme="majorBidi" w:cstheme="majorBidi"/>
          <w:szCs w:val="20"/>
          <w:lang w:val="fr-FR"/>
        </w:rPr>
      </w:pPr>
      <w:r w:rsidRPr="00B30884">
        <w:rPr>
          <w:rFonts w:asciiTheme="majorBidi" w:hAnsiTheme="majorBidi" w:cstheme="majorBidi"/>
          <w:szCs w:val="20"/>
          <w:lang w:val="fr-FR"/>
        </w:rPr>
        <w:t>OBSERVATOIRE MAROCAIN DES PRISONS (OMP)</w:t>
      </w:r>
    </w:p>
    <w:p w14:paraId="28571727" w14:textId="77777777" w:rsidR="00BA08B8" w:rsidRPr="00B30884" w:rsidRDefault="00BA08B8" w:rsidP="00BA08B8">
      <w:pPr>
        <w:pStyle w:val="Listenabsatz"/>
        <w:numPr>
          <w:ilvl w:val="0"/>
          <w:numId w:val="6"/>
        </w:numPr>
        <w:ind w:left="426" w:hanging="426"/>
        <w:rPr>
          <w:rFonts w:asciiTheme="majorBidi" w:hAnsiTheme="majorBidi" w:cstheme="majorBidi"/>
          <w:szCs w:val="20"/>
          <w:lang w:val="fr-FR"/>
        </w:rPr>
      </w:pPr>
      <w:r w:rsidRPr="00B30884">
        <w:rPr>
          <w:rFonts w:asciiTheme="majorBidi" w:hAnsiTheme="majorBidi" w:cstheme="majorBidi"/>
          <w:szCs w:val="20"/>
          <w:lang w:val="fr-FR"/>
        </w:rPr>
        <w:t>ORGANISATION MAROCAINE DES DROITS DE L'HOMME (OMDH)</w:t>
      </w:r>
    </w:p>
    <w:p w14:paraId="301FF149" w14:textId="77777777" w:rsidR="00BA08B8" w:rsidRPr="00B30884" w:rsidRDefault="00BA08B8" w:rsidP="00BA08B8">
      <w:pPr>
        <w:pStyle w:val="Listenabsatz"/>
        <w:numPr>
          <w:ilvl w:val="0"/>
          <w:numId w:val="6"/>
        </w:numPr>
        <w:ind w:left="426" w:hanging="426"/>
        <w:rPr>
          <w:rFonts w:asciiTheme="majorBidi" w:hAnsiTheme="majorBidi" w:cstheme="majorBidi"/>
          <w:szCs w:val="20"/>
          <w:lang w:val="fr-FR"/>
        </w:rPr>
      </w:pPr>
      <w:r w:rsidRPr="00B30884">
        <w:rPr>
          <w:rFonts w:asciiTheme="majorBidi" w:hAnsiTheme="majorBidi" w:cstheme="majorBidi"/>
          <w:szCs w:val="20"/>
          <w:lang w:val="fr-FR"/>
        </w:rPr>
        <w:t>ORGANISATION POUR LES LIBERTÉS D'INFORMATION ET D'EXPRESSION (OLIE)</w:t>
      </w:r>
    </w:p>
    <w:p w14:paraId="54784740" w14:textId="77777777" w:rsidR="00BA08B8" w:rsidRPr="00B30884" w:rsidRDefault="00BA08B8" w:rsidP="00BA08B8">
      <w:pPr>
        <w:pStyle w:val="Listenabsatz"/>
        <w:numPr>
          <w:ilvl w:val="0"/>
          <w:numId w:val="6"/>
        </w:numPr>
        <w:ind w:left="426" w:hanging="426"/>
        <w:rPr>
          <w:rFonts w:asciiTheme="majorBidi" w:hAnsiTheme="majorBidi" w:cstheme="majorBidi"/>
          <w:szCs w:val="20"/>
          <w:lang w:val="fr-FR"/>
        </w:rPr>
      </w:pPr>
      <w:r w:rsidRPr="00B30884">
        <w:rPr>
          <w:rFonts w:asciiTheme="majorBidi" w:hAnsiTheme="majorBidi" w:cstheme="majorBidi"/>
          <w:szCs w:val="20"/>
          <w:lang w:val="fr-FR"/>
        </w:rPr>
        <w:t xml:space="preserve">RESEAU AMAZIGHE POUR LA CITOYENNETE -  AZETTA </w:t>
      </w:r>
    </w:p>
    <w:p w14:paraId="255231E7" w14:textId="77777777" w:rsidR="00BA08B8" w:rsidRPr="00B30884" w:rsidRDefault="00BA08B8" w:rsidP="00BA08B8">
      <w:pPr>
        <w:pStyle w:val="Listenabsatz"/>
        <w:numPr>
          <w:ilvl w:val="0"/>
          <w:numId w:val="6"/>
        </w:numPr>
        <w:spacing w:line="240" w:lineRule="auto"/>
        <w:ind w:left="426" w:hanging="426"/>
        <w:jc w:val="both"/>
        <w:rPr>
          <w:rFonts w:asciiTheme="majorBidi" w:hAnsiTheme="majorBidi" w:cstheme="majorBidi"/>
          <w:szCs w:val="20"/>
          <w:lang w:val="fr-FR"/>
        </w:rPr>
      </w:pPr>
      <w:r w:rsidRPr="00B30884">
        <w:rPr>
          <w:rFonts w:asciiTheme="majorBidi" w:hAnsiTheme="majorBidi" w:cstheme="majorBidi"/>
          <w:szCs w:val="20"/>
          <w:lang w:val="fr-FR"/>
        </w:rPr>
        <w:t>RESEAU ASSOCIATIF POUR LE DEVELOPPEMENT ET LA DEMOCRATIE ZAGORA</w:t>
      </w:r>
    </w:p>
    <w:p w14:paraId="7EED6809" w14:textId="77777777" w:rsidR="00021572" w:rsidRPr="00B30884" w:rsidRDefault="00021572" w:rsidP="00021572">
      <w:pPr>
        <w:pStyle w:val="Listenabsatz"/>
        <w:spacing w:line="240" w:lineRule="auto"/>
        <w:ind w:left="426"/>
        <w:jc w:val="both"/>
        <w:rPr>
          <w:rFonts w:asciiTheme="majorBidi" w:hAnsiTheme="majorBidi" w:cstheme="majorBidi"/>
          <w:szCs w:val="20"/>
          <w:lang w:val="fr-FR"/>
        </w:rPr>
      </w:pPr>
    </w:p>
    <w:p w14:paraId="74BD2032" w14:textId="77777777" w:rsidR="00021572" w:rsidRPr="00B30884" w:rsidRDefault="00021572" w:rsidP="00021572">
      <w:pPr>
        <w:pStyle w:val="Listenabsatz"/>
        <w:spacing w:line="240" w:lineRule="auto"/>
        <w:ind w:left="426"/>
        <w:jc w:val="both"/>
        <w:rPr>
          <w:rFonts w:asciiTheme="majorBidi" w:hAnsiTheme="majorBidi" w:cstheme="majorBidi"/>
          <w:szCs w:val="20"/>
          <w:lang w:val="fr-FR"/>
        </w:rPr>
      </w:pPr>
    </w:p>
    <w:p w14:paraId="219AC303"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609D7BBF"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3BA8FEF2"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259E7DBF"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308B7B59"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47C07725"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64E10E43"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269087E6"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0E9C0023"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7D2C75D4"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0D7D8B63"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5EB29FE5" w14:textId="77777777" w:rsidR="007224C8" w:rsidRPr="00B30884" w:rsidRDefault="007224C8" w:rsidP="007224C8">
      <w:pPr>
        <w:spacing w:after="0"/>
        <w:jc w:val="both"/>
        <w:rPr>
          <w:rFonts w:ascii="Times New Roman" w:eastAsia="Times New Roman" w:hAnsi="Times New Roman" w:cs="Times New Roman"/>
          <w:b/>
          <w:color w:val="0D0D0D"/>
          <w:sz w:val="20"/>
          <w:szCs w:val="20"/>
          <w:lang w:val="fr-FR"/>
        </w:rPr>
      </w:pPr>
    </w:p>
    <w:p w14:paraId="6A20A94F" w14:textId="0D718AFD" w:rsidR="005479D2" w:rsidRPr="00B30884" w:rsidRDefault="00EA346F" w:rsidP="007224C8">
      <w:pPr>
        <w:spacing w:after="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lastRenderedPageBreak/>
        <w:t>Introduction:</w:t>
      </w:r>
    </w:p>
    <w:p w14:paraId="020C3C94" w14:textId="77777777" w:rsidR="005479D2" w:rsidRPr="00B30884" w:rsidRDefault="005479D2">
      <w:pPr>
        <w:spacing w:after="0"/>
        <w:jc w:val="both"/>
        <w:rPr>
          <w:rFonts w:ascii="Times New Roman" w:eastAsia="Times New Roman" w:hAnsi="Times New Roman" w:cs="Times New Roman"/>
          <w:b/>
          <w:color w:val="0D0D0D"/>
          <w:sz w:val="20"/>
          <w:szCs w:val="20"/>
        </w:rPr>
      </w:pPr>
    </w:p>
    <w:p w14:paraId="2A7CBD6D" w14:textId="77777777" w:rsidR="005479D2" w:rsidRPr="00B30884" w:rsidRDefault="005479D2">
      <w:pPr>
        <w:spacing w:after="0"/>
        <w:jc w:val="both"/>
        <w:rPr>
          <w:rFonts w:ascii="Times New Roman" w:eastAsia="Times New Roman" w:hAnsi="Times New Roman" w:cs="Times New Roman"/>
          <w:b/>
          <w:color w:val="0D0D0D"/>
          <w:sz w:val="20"/>
          <w:szCs w:val="20"/>
        </w:rPr>
      </w:pPr>
    </w:p>
    <w:p w14:paraId="0E7BD944" w14:textId="77777777" w:rsidR="005479D2" w:rsidRPr="00B30884" w:rsidRDefault="005479D2">
      <w:pPr>
        <w:pBdr>
          <w:top w:val="nil"/>
          <w:left w:val="nil"/>
          <w:bottom w:val="nil"/>
          <w:right w:val="nil"/>
          <w:between w:val="nil"/>
        </w:pBdr>
        <w:tabs>
          <w:tab w:val="left" w:pos="284"/>
        </w:tabs>
        <w:spacing w:after="0"/>
        <w:jc w:val="both"/>
        <w:rPr>
          <w:rFonts w:ascii="Times New Roman" w:eastAsia="Times New Roman" w:hAnsi="Times New Roman" w:cs="Times New Roman"/>
          <w:b/>
          <w:color w:val="0D0D0D"/>
          <w:sz w:val="20"/>
          <w:szCs w:val="20"/>
        </w:rPr>
      </w:pPr>
    </w:p>
    <w:p w14:paraId="404AC7F1" w14:textId="77777777" w:rsidR="005479D2" w:rsidRPr="00B30884" w:rsidRDefault="00881F9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This parallel report, prepared in conjunction with the review of the Moroccan government's consolidated report 5 and 6, focuses on Morocco's implementation of the CEDAW Convention, the recommendations made during the review of the 3</w:t>
      </w:r>
      <w:r w:rsidRPr="00B30884">
        <w:rPr>
          <w:rFonts w:ascii="Times New Roman" w:eastAsia="Times New Roman" w:hAnsi="Times New Roman" w:cs="Times New Roman"/>
          <w:color w:val="0D0D0D"/>
          <w:sz w:val="20"/>
          <w:szCs w:val="20"/>
          <w:vertAlign w:val="superscript"/>
        </w:rPr>
        <w:t>rd</w:t>
      </w:r>
      <w:r w:rsidRPr="00B30884">
        <w:rPr>
          <w:rFonts w:ascii="Times New Roman" w:eastAsia="Times New Roman" w:hAnsi="Times New Roman" w:cs="Times New Roman"/>
          <w:color w:val="0D0D0D"/>
          <w:sz w:val="20"/>
          <w:szCs w:val="20"/>
        </w:rPr>
        <w:t xml:space="preserve"> and 4</w:t>
      </w:r>
      <w:r w:rsidRPr="00B30884">
        <w:rPr>
          <w:rFonts w:ascii="Times New Roman" w:eastAsia="Times New Roman" w:hAnsi="Times New Roman" w:cs="Times New Roman"/>
          <w:color w:val="0D0D0D"/>
          <w:sz w:val="20"/>
          <w:szCs w:val="20"/>
          <w:vertAlign w:val="superscript"/>
        </w:rPr>
        <w:t>th</w:t>
      </w:r>
      <w:r w:rsidRPr="00B30884">
        <w:rPr>
          <w:rFonts w:ascii="Times New Roman" w:eastAsia="Times New Roman" w:hAnsi="Times New Roman" w:cs="Times New Roman"/>
          <w:color w:val="0D0D0D"/>
          <w:sz w:val="20"/>
          <w:szCs w:val="20"/>
        </w:rPr>
        <w:t xml:space="preserve"> combined report in 2008, and other relevant UN recommendations. </w:t>
      </w:r>
    </w:p>
    <w:p w14:paraId="0FE531E9" w14:textId="0A9EBC0A" w:rsidR="005479D2" w:rsidRPr="00B30884" w:rsidRDefault="00881F91" w:rsidP="00B30884">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This report, coordinated by the Democratic Association of Moroccan Women (ADFM) - an association with ECOSOC status - was prepared by the "#HarmonizationNow" dynamic, and with the contribution of </w:t>
      </w:r>
      <w:r w:rsidR="00B30884" w:rsidRPr="00B30884">
        <w:rPr>
          <w:rFonts w:ascii="Times New Roman" w:eastAsia="Times New Roman" w:hAnsi="Times New Roman" w:cs="Times New Roman" w:hint="cs"/>
          <w:b/>
          <w:bCs/>
          <w:color w:val="0D0D0D"/>
          <w:sz w:val="20"/>
          <w:szCs w:val="20"/>
          <w:rtl/>
        </w:rPr>
        <w:t>33</w:t>
      </w:r>
      <w:r w:rsidRPr="00B30884">
        <w:rPr>
          <w:rFonts w:ascii="Times New Roman" w:eastAsia="Times New Roman" w:hAnsi="Times New Roman" w:cs="Times New Roman"/>
          <w:color w:val="0D0D0D"/>
          <w:sz w:val="20"/>
          <w:szCs w:val="20"/>
        </w:rPr>
        <w:t xml:space="preserve"> coalitions, networks and feminist NGOs in accordance with the CEDAW harmonized reporting guidelines (HRI/GEN/2/Rev.6, chapter V) as well as the guidance note for reporting under article 18 of CEDAW in the context of the SDGs (CEDAW/C/74/3). </w:t>
      </w:r>
    </w:p>
    <w:p w14:paraId="66B86473" w14:textId="77777777" w:rsidR="005479D2" w:rsidRPr="00B30884" w:rsidRDefault="00881F91">
      <w:pPr>
        <w:numPr>
          <w:ilvl w:val="0"/>
          <w:numId w:val="5"/>
        </w:numP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It aims at drawing the Committee's attention to the concerns and recommendations of Moroccan feminist NGOs to eliminate discrimination against women, especially those related to the List of Issues and Questions relating to Morocco's fifth and sixth periodic reports</w:t>
      </w:r>
      <w:r w:rsidRPr="00B30884">
        <w:rPr>
          <w:rFonts w:ascii="Times New Roman" w:eastAsia="Times New Roman" w:hAnsi="Times New Roman" w:cs="Times New Roman"/>
          <w:color w:val="0D0D0D"/>
          <w:sz w:val="20"/>
          <w:szCs w:val="20"/>
          <w:vertAlign w:val="superscript"/>
        </w:rPr>
        <w:footnoteReference w:id="1"/>
      </w:r>
      <w:r w:rsidRPr="00B30884">
        <w:rPr>
          <w:rFonts w:ascii="Times New Roman" w:eastAsia="Times New Roman" w:hAnsi="Times New Roman" w:cs="Times New Roman"/>
          <w:color w:val="0D0D0D"/>
          <w:sz w:val="20"/>
          <w:szCs w:val="20"/>
        </w:rPr>
        <w:t xml:space="preserve">. </w:t>
      </w:r>
    </w:p>
    <w:p w14:paraId="4AF28171" w14:textId="77777777" w:rsidR="005479D2" w:rsidRPr="00B30884" w:rsidRDefault="005479D2">
      <w:pPr>
        <w:spacing w:after="0"/>
        <w:jc w:val="both"/>
        <w:rPr>
          <w:rFonts w:ascii="Times New Roman" w:eastAsia="Times New Roman" w:hAnsi="Times New Roman" w:cs="Times New Roman"/>
          <w:color w:val="0D0D0D"/>
          <w:sz w:val="20"/>
          <w:szCs w:val="20"/>
        </w:rPr>
      </w:pPr>
    </w:p>
    <w:p w14:paraId="545CBAF2" w14:textId="77777777" w:rsidR="005479D2" w:rsidRPr="00B30884" w:rsidRDefault="005479D2">
      <w:pPr>
        <w:spacing w:after="0"/>
        <w:jc w:val="both"/>
        <w:rPr>
          <w:rFonts w:ascii="Times New Roman" w:eastAsia="Times New Roman" w:hAnsi="Times New Roman" w:cs="Times New Roman"/>
          <w:color w:val="0D0D0D"/>
          <w:sz w:val="20"/>
          <w:szCs w:val="20"/>
        </w:rPr>
      </w:pPr>
    </w:p>
    <w:p w14:paraId="047CA92A" w14:textId="77777777" w:rsidR="005479D2" w:rsidRPr="00B30884" w:rsidRDefault="00881F91">
      <w:pPr>
        <w:jc w:val="center"/>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PART I (Article 1 - 6)</w:t>
      </w:r>
    </w:p>
    <w:p w14:paraId="3D725C2B" w14:textId="77777777" w:rsidR="005479D2" w:rsidRPr="00B30884" w:rsidRDefault="00881F91">
      <w:pPr>
        <w:spacing w:line="240" w:lineRule="auto"/>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 Discrimination and the Legislative Arsenal</w:t>
      </w:r>
    </w:p>
    <w:p w14:paraId="6746A207" w14:textId="77777777" w:rsidR="005479D2" w:rsidRPr="00B30884" w:rsidRDefault="00881F9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The 2011 constitution advocates for the primacy of international conventions ratified by Morocco. It dedicates more than 18 provisions in favor of gender equality and the fight against violence and discrimination made towards women,</w:t>
      </w:r>
      <w:r w:rsidRPr="00B30884">
        <w:rPr>
          <w:rFonts w:ascii="Times New Roman" w:eastAsia="Times New Roman" w:hAnsi="Times New Roman" w:cs="Times New Roman"/>
          <w:color w:val="0D0D0D"/>
        </w:rPr>
        <w:t xml:space="preserve"> </w:t>
      </w:r>
      <w:r w:rsidRPr="00B30884">
        <w:rPr>
          <w:rFonts w:ascii="Times New Roman" w:eastAsia="Times New Roman" w:hAnsi="Times New Roman" w:cs="Times New Roman"/>
          <w:color w:val="0D0D0D"/>
          <w:sz w:val="20"/>
          <w:szCs w:val="20"/>
        </w:rPr>
        <w:t xml:space="preserve">and opens up a vast area of reforms to discriminatory national legislation. However, Morocco does not have a </w:t>
      </w:r>
      <w:r w:rsidRPr="00B30884">
        <w:rPr>
          <w:rFonts w:ascii="Times New Roman" w:eastAsia="Times New Roman" w:hAnsi="Times New Roman" w:cs="Times New Roman"/>
          <w:b/>
          <w:color w:val="0D0D0D"/>
          <w:sz w:val="20"/>
          <w:szCs w:val="20"/>
        </w:rPr>
        <w:t>comprehensive</w:t>
      </w:r>
      <w:r w:rsidRPr="00B30884">
        <w:rPr>
          <w:rFonts w:ascii="Times New Roman" w:eastAsia="Times New Roman" w:hAnsi="Times New Roman" w:cs="Times New Roman"/>
          <w:color w:val="0D0D0D"/>
          <w:sz w:val="20"/>
          <w:szCs w:val="20"/>
        </w:rPr>
        <w:t xml:space="preserve"> legislative framework that defines, </w:t>
      </w:r>
      <w:r w:rsidRPr="00B30884">
        <w:rPr>
          <w:rFonts w:ascii="Times New Roman" w:eastAsia="Times New Roman" w:hAnsi="Times New Roman" w:cs="Times New Roman"/>
          <w:b/>
          <w:color w:val="0D0D0D"/>
          <w:sz w:val="20"/>
          <w:szCs w:val="20"/>
        </w:rPr>
        <w:t>prohibits and sanctions discrimination against women</w:t>
      </w:r>
      <w:r w:rsidRPr="00B30884">
        <w:rPr>
          <w:rFonts w:ascii="Times New Roman" w:eastAsia="Times New Roman" w:hAnsi="Times New Roman" w:cs="Times New Roman"/>
          <w:color w:val="0D0D0D"/>
          <w:sz w:val="20"/>
          <w:szCs w:val="20"/>
        </w:rPr>
        <w:t>, in accordance with Article 1 of CEDAW. In fact, many discriminatory provisions persist in its legislative arsenal in violation of the Constitution and the International Conventions that have been duly ratified. </w:t>
      </w:r>
    </w:p>
    <w:p w14:paraId="1BC2E087" w14:textId="77777777" w:rsidR="005479D2" w:rsidRPr="00B30884" w:rsidRDefault="005479D2">
      <w:pPr>
        <w:spacing w:after="240" w:line="240" w:lineRule="auto"/>
        <w:rPr>
          <w:rFonts w:ascii="Times New Roman" w:eastAsia="Times New Roman" w:hAnsi="Times New Roman" w:cs="Times New Roman"/>
          <w:color w:val="0D0D0D"/>
          <w:sz w:val="24"/>
          <w:szCs w:val="24"/>
        </w:rPr>
      </w:pPr>
    </w:p>
    <w:p w14:paraId="1E2C69CC" w14:textId="77777777" w:rsidR="005479D2" w:rsidRPr="00B30884" w:rsidRDefault="00881F91">
      <w:pPr>
        <w:spacing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Morocco's International Commitments </w:t>
      </w:r>
    </w:p>
    <w:p w14:paraId="28E366EA" w14:textId="77777777" w:rsidR="005479D2" w:rsidRPr="00B30884" w:rsidRDefault="00881F9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In 2011, Morocco withdrew its reservations to articles 9 (paragraph 2) and 16 of CEDAW. However, it maintained its interpretative declarations on article 2 and 15 (paragraph 2) and did not deposit the instruments relating to the OPs to CEDAW or to the International Covenant on Civil and Political Rights (ICCPR), in spite of the adoption of the laws</w:t>
      </w:r>
      <w:r w:rsidRPr="00B30884">
        <w:rPr>
          <w:rFonts w:ascii="Times New Roman" w:eastAsia="Times New Roman" w:hAnsi="Times New Roman" w:cs="Times New Roman"/>
          <w:color w:val="0D0D0D"/>
          <w:sz w:val="20"/>
          <w:szCs w:val="20"/>
          <w:vertAlign w:val="superscript"/>
        </w:rPr>
        <w:footnoteReference w:id="2"/>
      </w:r>
      <w:r w:rsidRPr="00B30884">
        <w:rPr>
          <w:rFonts w:ascii="Times New Roman" w:eastAsia="Times New Roman" w:hAnsi="Times New Roman" w:cs="Times New Roman"/>
          <w:color w:val="0D0D0D"/>
          <w:sz w:val="20"/>
          <w:szCs w:val="20"/>
        </w:rPr>
        <w:t> approving the said protocols and their publication in the Official bulletin No. 6387 of 07/07/2015.</w:t>
      </w:r>
    </w:p>
    <w:p w14:paraId="36EFF480" w14:textId="77777777" w:rsidR="005479D2" w:rsidRPr="00B30884" w:rsidRDefault="005479D2">
      <w:pPr>
        <w:pBdr>
          <w:top w:val="nil"/>
          <w:left w:val="nil"/>
          <w:bottom w:val="nil"/>
          <w:right w:val="nil"/>
          <w:between w:val="nil"/>
        </w:pBdr>
        <w:spacing w:after="0" w:line="240" w:lineRule="auto"/>
        <w:ind w:left="720"/>
        <w:rPr>
          <w:rFonts w:ascii="Times New Roman" w:eastAsia="Times New Roman" w:hAnsi="Times New Roman" w:cs="Times New Roman"/>
          <w:color w:val="0D0D0D"/>
          <w:sz w:val="20"/>
          <w:szCs w:val="20"/>
        </w:rPr>
      </w:pPr>
    </w:p>
    <w:p w14:paraId="2E83B602" w14:textId="77777777" w:rsidR="005479D2" w:rsidRPr="00B30884" w:rsidRDefault="00881F9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Morocco has made very little effort to disseminate the Convention to professionals in the justice system, key stakeholders, and the general public. It has not developed an action plan or defined a timetable for implementing the CEDAW Committee's recommendations. In addition, it has been more than six years late in submitting its combined reports 5 and 6</w:t>
      </w:r>
      <w:r w:rsidRPr="00B30884">
        <w:rPr>
          <w:rFonts w:ascii="Times New Roman" w:eastAsia="Times New Roman" w:hAnsi="Times New Roman" w:cs="Times New Roman"/>
          <w:color w:val="0D0D0D"/>
          <w:sz w:val="20"/>
          <w:szCs w:val="20"/>
          <w:vertAlign w:val="superscript"/>
        </w:rPr>
        <w:footnoteReference w:id="3"/>
      </w:r>
      <w:r w:rsidRPr="00B30884">
        <w:rPr>
          <w:rFonts w:ascii="Times New Roman" w:eastAsia="Times New Roman" w:hAnsi="Times New Roman" w:cs="Times New Roman"/>
          <w:color w:val="0D0D0D"/>
          <w:sz w:val="20"/>
          <w:szCs w:val="20"/>
        </w:rPr>
        <w:t xml:space="preserve">. </w:t>
      </w:r>
    </w:p>
    <w:p w14:paraId="0DEA2699" w14:textId="77777777" w:rsidR="005479D2" w:rsidRPr="00B30884" w:rsidRDefault="005479D2">
      <w:pPr>
        <w:spacing w:line="240" w:lineRule="auto"/>
        <w:ind w:left="360"/>
        <w:rPr>
          <w:rFonts w:ascii="Times New Roman" w:eastAsia="Times New Roman" w:hAnsi="Times New Roman" w:cs="Times New Roman"/>
          <w:b/>
          <w:color w:val="0D0D0D"/>
        </w:rPr>
      </w:pPr>
    </w:p>
    <w:p w14:paraId="6AD77413" w14:textId="77777777" w:rsidR="005479D2" w:rsidRPr="00B30884" w:rsidRDefault="00881F91">
      <w:pPr>
        <w:spacing w:line="240" w:lineRule="auto"/>
        <w:ind w:left="360"/>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Access to Justice </w:t>
      </w:r>
    </w:p>
    <w:p w14:paraId="668CFB74" w14:textId="77777777" w:rsidR="005479D2" w:rsidRPr="00B30884" w:rsidRDefault="00881F9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 Several types of obstacles contribute to limiting women's access to justice. These include </w:t>
      </w:r>
      <w:r w:rsidRPr="00B30884">
        <w:rPr>
          <w:rFonts w:ascii="Times New Roman" w:eastAsia="Times New Roman" w:hAnsi="Times New Roman" w:cs="Times New Roman"/>
          <w:b/>
          <w:color w:val="0D0D0D"/>
          <w:sz w:val="20"/>
          <w:szCs w:val="20"/>
        </w:rPr>
        <w:t xml:space="preserve">financial constraints </w:t>
      </w:r>
      <w:r w:rsidRPr="00B30884">
        <w:rPr>
          <w:rFonts w:ascii="Times New Roman" w:eastAsia="Times New Roman" w:hAnsi="Times New Roman" w:cs="Times New Roman"/>
          <w:color w:val="0D0D0D"/>
          <w:sz w:val="20"/>
          <w:szCs w:val="20"/>
        </w:rPr>
        <w:t xml:space="preserve">(lack of legal aid outside of criminal cases, costs incurred by travel, etc.,); </w:t>
      </w:r>
      <w:r w:rsidRPr="00B30884">
        <w:rPr>
          <w:rFonts w:ascii="Times New Roman" w:eastAsia="Times New Roman" w:hAnsi="Times New Roman" w:cs="Times New Roman"/>
          <w:b/>
          <w:color w:val="0D0D0D"/>
          <w:sz w:val="20"/>
          <w:szCs w:val="20"/>
        </w:rPr>
        <w:t xml:space="preserve">procedural barriers </w:t>
      </w:r>
      <w:r w:rsidRPr="00B30884">
        <w:rPr>
          <w:rFonts w:ascii="Times New Roman" w:eastAsia="Times New Roman" w:hAnsi="Times New Roman" w:cs="Times New Roman"/>
          <w:color w:val="0D0D0D"/>
          <w:sz w:val="20"/>
          <w:szCs w:val="20"/>
        </w:rPr>
        <w:t xml:space="preserve">(complexity and heaviness of legal procedures); </w:t>
      </w:r>
      <w:r w:rsidRPr="00B30884">
        <w:rPr>
          <w:rFonts w:ascii="Times New Roman" w:eastAsia="Times New Roman" w:hAnsi="Times New Roman" w:cs="Times New Roman"/>
          <w:b/>
          <w:color w:val="0D0D0D"/>
          <w:sz w:val="20"/>
          <w:szCs w:val="20"/>
        </w:rPr>
        <w:t>legal restrictions</w:t>
      </w:r>
      <w:r w:rsidRPr="00B30884">
        <w:rPr>
          <w:rFonts w:ascii="Times New Roman" w:eastAsia="Times New Roman" w:hAnsi="Times New Roman" w:cs="Times New Roman"/>
          <w:color w:val="0D0D0D"/>
          <w:sz w:val="20"/>
          <w:szCs w:val="20"/>
        </w:rPr>
        <w:t xml:space="preserve"> (burden of proof resting on the victim; medical certificate on order of the King's prosecutor stating a minimum of 21 days of incapacity for registration of the complaint is required from victims, etc.,); </w:t>
      </w:r>
      <w:r w:rsidRPr="00B30884">
        <w:rPr>
          <w:rFonts w:ascii="Times New Roman" w:eastAsia="Times New Roman" w:hAnsi="Times New Roman" w:cs="Times New Roman"/>
          <w:b/>
          <w:color w:val="0D0D0D"/>
          <w:sz w:val="20"/>
          <w:szCs w:val="20"/>
        </w:rPr>
        <w:t>logistical challenges</w:t>
      </w:r>
      <w:r w:rsidRPr="00B30884">
        <w:rPr>
          <w:rFonts w:ascii="Times New Roman" w:eastAsia="Times New Roman" w:hAnsi="Times New Roman" w:cs="Times New Roman"/>
          <w:color w:val="0D0D0D"/>
          <w:sz w:val="20"/>
          <w:szCs w:val="20"/>
        </w:rPr>
        <w:t xml:space="preserve">  (difficulties of access for rural women who are forced to travel to the city and for women with disabilities, etc.); </w:t>
      </w:r>
      <w:r w:rsidRPr="00B30884">
        <w:rPr>
          <w:rFonts w:ascii="Times New Roman" w:eastAsia="Times New Roman" w:hAnsi="Times New Roman" w:cs="Times New Roman"/>
          <w:b/>
          <w:color w:val="0D0D0D"/>
          <w:sz w:val="20"/>
          <w:szCs w:val="20"/>
        </w:rPr>
        <w:t>linguistic difficulties</w:t>
      </w:r>
      <w:r w:rsidRPr="00B30884">
        <w:rPr>
          <w:rFonts w:ascii="Times New Roman" w:eastAsia="Times New Roman" w:hAnsi="Times New Roman" w:cs="Times New Roman"/>
          <w:color w:val="0D0D0D"/>
          <w:sz w:val="20"/>
          <w:szCs w:val="20"/>
        </w:rPr>
        <w:t xml:space="preserve"> (exclusive use of the Arabic language posing a problem for litigants who do not master this language; in addition to the  juridical language that is often </w:t>
      </w:r>
      <w:r w:rsidRPr="00B30884">
        <w:rPr>
          <w:rFonts w:ascii="Times New Roman" w:eastAsia="Times New Roman" w:hAnsi="Times New Roman" w:cs="Times New Roman"/>
          <w:color w:val="0D0D0D"/>
          <w:sz w:val="20"/>
          <w:szCs w:val="20"/>
        </w:rPr>
        <w:lastRenderedPageBreak/>
        <w:t>unintelligible for victims, etc.,); and</w:t>
      </w:r>
      <w:r w:rsidRPr="00B30884">
        <w:rPr>
          <w:rFonts w:ascii="Times New Roman" w:eastAsia="Times New Roman" w:hAnsi="Times New Roman" w:cs="Times New Roman"/>
          <w:b/>
          <w:color w:val="0D0D0D"/>
          <w:sz w:val="20"/>
          <w:szCs w:val="20"/>
        </w:rPr>
        <w:t xml:space="preserve"> cultural barriers</w:t>
      </w:r>
      <w:r w:rsidRPr="00B30884">
        <w:rPr>
          <w:rFonts w:ascii="Times New Roman" w:eastAsia="Times New Roman" w:hAnsi="Times New Roman" w:cs="Times New Roman"/>
          <w:color w:val="0D0D0D"/>
          <w:sz w:val="20"/>
          <w:szCs w:val="20"/>
        </w:rPr>
        <w:t xml:space="preserve"> (family and peer pressure, especially in cases of economic dependency; unawareness of legal rights due to the lack of information and awareness, etc.). </w:t>
      </w:r>
    </w:p>
    <w:p w14:paraId="49978966" w14:textId="77777777" w:rsidR="005479D2" w:rsidRPr="00B30884" w:rsidRDefault="005479D2">
      <w:pPr>
        <w:spacing w:after="240" w:line="240" w:lineRule="auto"/>
        <w:rPr>
          <w:rFonts w:ascii="Times New Roman" w:eastAsia="Times New Roman" w:hAnsi="Times New Roman" w:cs="Times New Roman"/>
          <w:color w:val="0D0D0D"/>
          <w:sz w:val="24"/>
          <w:szCs w:val="24"/>
        </w:rPr>
      </w:pPr>
    </w:p>
    <w:p w14:paraId="557EFC59" w14:textId="77777777" w:rsidR="005479D2" w:rsidRPr="00B30884" w:rsidRDefault="00881F91">
      <w:pPr>
        <w:spacing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Institutional Mechanisms and Public Policies for the Advancement of Women </w:t>
      </w:r>
    </w:p>
    <w:p w14:paraId="03A3CA90" w14:textId="77777777" w:rsidR="005479D2" w:rsidRPr="00B30884" w:rsidRDefault="00881F9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The appointment of a "</w:t>
      </w:r>
      <w:r w:rsidRPr="00B30884">
        <w:rPr>
          <w:rFonts w:ascii="Times New Roman" w:eastAsia="Times New Roman" w:hAnsi="Times New Roman" w:cs="Times New Roman"/>
          <w:b/>
          <w:color w:val="0D0D0D"/>
          <w:sz w:val="20"/>
          <w:szCs w:val="20"/>
        </w:rPr>
        <w:t xml:space="preserve"> Ministry of Solidarity, Social Integration and the Family (MSISF) </w:t>
      </w:r>
      <w:r w:rsidRPr="00B30884">
        <w:rPr>
          <w:rFonts w:ascii="Times New Roman" w:eastAsia="Times New Roman" w:hAnsi="Times New Roman" w:cs="Times New Roman"/>
          <w:color w:val="0D0D0D"/>
          <w:sz w:val="20"/>
          <w:szCs w:val="20"/>
        </w:rPr>
        <w:t xml:space="preserve">" in charge of the promotion of women's rights (on 7/10/2021) perpetuates the politico-intentional approach of treating women's rights as a social sector issue. The feminist movement has repeatedly pointed out the structural weaknesses of this mechanism, which hinders its capacity to effectively lead, animate and coordinate public policies dedicated to equality between women and men.  </w:t>
      </w:r>
    </w:p>
    <w:p w14:paraId="3D9E9CD3" w14:textId="77777777" w:rsidR="005479D2" w:rsidRPr="00B30884" w:rsidRDefault="00881F9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The Authority for Parity and the Fight against All Forms of Discrimination (APALD), created under</w:t>
      </w:r>
      <w:r w:rsidRPr="00B30884">
        <w:rPr>
          <w:rFonts w:ascii="Times New Roman" w:eastAsia="Times New Roman" w:hAnsi="Times New Roman" w:cs="Times New Roman"/>
          <w:color w:val="0D0D0D"/>
          <w:sz w:val="20"/>
          <w:szCs w:val="20"/>
        </w:rPr>
        <w:t xml:space="preserve"> Article 19 and 164 of the Constitution </w:t>
      </w:r>
      <w:r w:rsidRPr="00B30884">
        <w:rPr>
          <w:rFonts w:ascii="Times New Roman" w:eastAsia="Times New Roman" w:hAnsi="Times New Roman" w:cs="Times New Roman"/>
          <w:b/>
          <w:color w:val="0D0D0D"/>
          <w:sz w:val="20"/>
          <w:szCs w:val="20"/>
        </w:rPr>
        <w:t>(Law No. 79.14</w:t>
      </w:r>
      <w:r w:rsidRPr="00B30884">
        <w:rPr>
          <w:rFonts w:ascii="Times New Roman" w:eastAsia="Times New Roman" w:hAnsi="Times New Roman" w:cs="Times New Roman"/>
          <w:b/>
          <w:color w:val="0D0D0D"/>
          <w:sz w:val="20"/>
          <w:szCs w:val="20"/>
          <w:vertAlign w:val="superscript"/>
        </w:rPr>
        <w:footnoteReference w:id="4"/>
      </w:r>
      <w:r w:rsidRPr="00B30884">
        <w:rPr>
          <w:rFonts w:ascii="Times New Roman" w:eastAsia="Times New Roman" w:hAnsi="Times New Roman" w:cs="Times New Roman"/>
          <w:b/>
          <w:color w:val="0D0D0D"/>
          <w:sz w:val="20"/>
          <w:szCs w:val="20"/>
        </w:rPr>
        <w:t xml:space="preserve"> de 2017), </w:t>
      </w:r>
      <w:r w:rsidRPr="00B30884">
        <w:rPr>
          <w:rFonts w:ascii="Times New Roman" w:eastAsia="Times New Roman" w:hAnsi="Times New Roman" w:cs="Times New Roman"/>
          <w:color w:val="0D0D0D"/>
          <w:sz w:val="20"/>
          <w:szCs w:val="20"/>
        </w:rPr>
        <w:t>has not yet been established. Moreover, despite the memoranda of feminist associations and the opinions of national institutions</w:t>
      </w:r>
      <w:r w:rsidRPr="00B30884">
        <w:rPr>
          <w:rFonts w:ascii="Times New Roman" w:eastAsia="Times New Roman" w:hAnsi="Times New Roman" w:cs="Times New Roman"/>
          <w:b/>
          <w:color w:val="0D0D0D"/>
          <w:sz w:val="20"/>
          <w:szCs w:val="20"/>
          <w:vertAlign w:val="superscript"/>
        </w:rPr>
        <w:footnoteReference w:id="5"/>
      </w:r>
      <w:r w:rsidRPr="00B30884">
        <w:rPr>
          <w:rFonts w:ascii="Times New Roman" w:eastAsia="Times New Roman" w:hAnsi="Times New Roman" w:cs="Times New Roman"/>
          <w:color w:val="0D0D0D"/>
          <w:sz w:val="20"/>
          <w:szCs w:val="20"/>
        </w:rPr>
        <w:t>, the law makes it a mere consultative mechanism whose governance is not established according to the Paris principles of independence and impartiality.</w:t>
      </w:r>
    </w:p>
    <w:p w14:paraId="08F3326F" w14:textId="77777777" w:rsidR="005479D2" w:rsidRPr="00B30884" w:rsidRDefault="00881F9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The National Action Plan on Democracy and Human Rights (PANDDH),</w:t>
      </w:r>
      <w:r w:rsidRPr="00B30884">
        <w:rPr>
          <w:rFonts w:ascii="Times New Roman" w:eastAsia="Times New Roman" w:hAnsi="Times New Roman" w:cs="Times New Roman"/>
          <w:color w:val="0D0D0D"/>
          <w:sz w:val="20"/>
          <w:szCs w:val="20"/>
        </w:rPr>
        <w:t xml:space="preserve"> adopted at the end of 2017</w:t>
      </w:r>
      <w:r w:rsidRPr="00B30884">
        <w:rPr>
          <w:rFonts w:ascii="Times New Roman" w:eastAsia="Times New Roman" w:hAnsi="Times New Roman" w:cs="Times New Roman"/>
          <w:color w:val="0D0D0D"/>
          <w:sz w:val="20"/>
          <w:szCs w:val="20"/>
          <w:vertAlign w:val="superscript"/>
        </w:rPr>
        <w:footnoteReference w:id="6"/>
      </w:r>
      <w:r w:rsidRPr="00B30884">
        <w:rPr>
          <w:rFonts w:ascii="Times New Roman" w:eastAsia="Times New Roman" w:hAnsi="Times New Roman" w:cs="Times New Roman"/>
          <w:color w:val="0D0D0D"/>
          <w:sz w:val="20"/>
          <w:szCs w:val="20"/>
        </w:rPr>
        <w:t>, refers to "equality of opportunity" instead of gender equality, and considers the revision of discriminatory provisions of the Family Code (CdF)</w:t>
      </w:r>
      <w:r w:rsidRPr="00B30884">
        <w:rPr>
          <w:rFonts w:ascii="Times New Roman" w:eastAsia="Times New Roman" w:hAnsi="Times New Roman" w:cs="Times New Roman"/>
          <w:color w:val="0D0D0D"/>
          <w:sz w:val="20"/>
          <w:szCs w:val="20"/>
          <w:vertAlign w:val="superscript"/>
        </w:rPr>
        <w:footnoteReference w:id="7"/>
      </w:r>
      <w:r w:rsidRPr="00B30884">
        <w:rPr>
          <w:rFonts w:ascii="Times New Roman" w:eastAsia="Times New Roman" w:hAnsi="Times New Roman" w:cs="Times New Roman"/>
          <w:color w:val="0D0D0D"/>
          <w:sz w:val="20"/>
          <w:szCs w:val="20"/>
        </w:rPr>
        <w:t xml:space="preserve"> as "controversial." However, remains silent on provisions relating to inheritance inequality. </w:t>
      </w:r>
    </w:p>
    <w:p w14:paraId="74E26F63" w14:textId="77777777" w:rsidR="005479D2" w:rsidRPr="00B30884" w:rsidRDefault="00881F9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 The </w:t>
      </w:r>
      <w:r w:rsidRPr="00B30884">
        <w:rPr>
          <w:rFonts w:ascii="Times New Roman" w:eastAsia="Times New Roman" w:hAnsi="Times New Roman" w:cs="Times New Roman"/>
          <w:b/>
          <w:color w:val="0D0D0D"/>
          <w:sz w:val="20"/>
          <w:szCs w:val="20"/>
        </w:rPr>
        <w:t>National Strategy for Sustainable Development (NSSD, 2030)</w:t>
      </w:r>
      <w:r w:rsidRPr="00B30884">
        <w:rPr>
          <w:rFonts w:ascii="Times New Roman" w:eastAsia="Times New Roman" w:hAnsi="Times New Roman" w:cs="Times New Roman"/>
          <w:color w:val="0D0D0D"/>
          <w:sz w:val="20"/>
          <w:szCs w:val="20"/>
        </w:rPr>
        <w:t xml:space="preserve"> does not establish gender equality and the empowerment of women and girls as one of its priorities. The UN Economic Commission for Africa report notes that the NSSD does not specifically address SDG 5</w:t>
      </w:r>
      <w:r w:rsidRPr="00B30884">
        <w:rPr>
          <w:rFonts w:ascii="Times New Roman" w:eastAsia="Times New Roman" w:hAnsi="Times New Roman" w:cs="Times New Roman"/>
          <w:color w:val="0D0D0D"/>
          <w:sz w:val="20"/>
          <w:szCs w:val="20"/>
          <w:vertAlign w:val="superscript"/>
        </w:rPr>
        <w:footnoteReference w:id="8"/>
      </w:r>
      <w:r w:rsidRPr="00B30884">
        <w:rPr>
          <w:rFonts w:ascii="Times New Roman" w:eastAsia="Times New Roman" w:hAnsi="Times New Roman" w:cs="Times New Roman"/>
          <w:color w:val="0D0D0D"/>
          <w:sz w:val="20"/>
          <w:szCs w:val="20"/>
        </w:rPr>
        <w:t xml:space="preserve">. </w:t>
      </w:r>
    </w:p>
    <w:p w14:paraId="2DD82978" w14:textId="77777777" w:rsidR="005479D2" w:rsidRPr="00B30884" w:rsidRDefault="00881F9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The </w:t>
      </w:r>
      <w:r w:rsidRPr="00B30884">
        <w:rPr>
          <w:rFonts w:ascii="Times New Roman" w:eastAsia="Times New Roman" w:hAnsi="Times New Roman" w:cs="Times New Roman"/>
          <w:b/>
          <w:color w:val="0D0D0D"/>
          <w:sz w:val="20"/>
          <w:szCs w:val="20"/>
        </w:rPr>
        <w:t>Governmental Plans for Equality GPE1 (2012-2016) and GPE2 (2017-2021)</w:t>
      </w:r>
      <w:r w:rsidRPr="00B30884">
        <w:rPr>
          <w:rFonts w:ascii="Times New Roman" w:eastAsia="Times New Roman" w:hAnsi="Times New Roman" w:cs="Times New Roman"/>
          <w:color w:val="0D0D0D"/>
          <w:sz w:val="20"/>
          <w:szCs w:val="20"/>
        </w:rPr>
        <w:t xml:space="preserve"> were designed using a non-equality and non-participatory approach. Furthermore, they were implemented without any real convergence of the actions of the various departments involved. They are totally dependent on foreign funding</w:t>
      </w:r>
      <w:r w:rsidRPr="00B30884">
        <w:rPr>
          <w:rFonts w:ascii="Times New Roman" w:eastAsia="Times New Roman" w:hAnsi="Times New Roman" w:cs="Times New Roman"/>
          <w:color w:val="0D0D0D"/>
          <w:sz w:val="20"/>
          <w:szCs w:val="20"/>
          <w:vertAlign w:val="superscript"/>
        </w:rPr>
        <w:footnoteReference w:id="9"/>
      </w:r>
      <w:r w:rsidRPr="00B30884">
        <w:rPr>
          <w:rFonts w:ascii="Times New Roman" w:eastAsia="Times New Roman" w:hAnsi="Times New Roman" w:cs="Times New Roman"/>
          <w:color w:val="0D0D0D"/>
          <w:sz w:val="20"/>
          <w:szCs w:val="20"/>
        </w:rPr>
        <w:t>; thereby, jeopardizing their sustainability.</w:t>
      </w:r>
    </w:p>
    <w:p w14:paraId="58BBA7D9" w14:textId="77777777" w:rsidR="005479D2" w:rsidRPr="00B30884" w:rsidRDefault="005479D2">
      <w:pPr>
        <w:pBdr>
          <w:top w:val="nil"/>
          <w:left w:val="nil"/>
          <w:bottom w:val="nil"/>
          <w:right w:val="nil"/>
          <w:between w:val="nil"/>
        </w:pBdr>
        <w:spacing w:after="0" w:line="240" w:lineRule="auto"/>
        <w:ind w:left="720"/>
        <w:rPr>
          <w:rFonts w:ascii="Times New Roman" w:eastAsia="Times New Roman" w:hAnsi="Times New Roman" w:cs="Times New Roman"/>
          <w:color w:val="0D0D0D"/>
          <w:sz w:val="24"/>
          <w:szCs w:val="24"/>
        </w:rPr>
      </w:pPr>
    </w:p>
    <w:p w14:paraId="32232612" w14:textId="77777777" w:rsidR="005479D2" w:rsidRPr="00B30884" w:rsidRDefault="00881F91">
      <w:pPr>
        <w:spacing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Special Temporary Measures</w:t>
      </w:r>
    </w:p>
    <w:p w14:paraId="09784C25" w14:textId="77777777" w:rsidR="005479D2" w:rsidRPr="00B30884" w:rsidRDefault="00881F9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Despite the constitutionalization of parity and equality between men and women in 2011 and the positive discrimination policies undertaken, including quotas and seats reserved for women as well as the support fund to encourage women's representation</w:t>
      </w:r>
      <w:r w:rsidRPr="00B30884">
        <w:rPr>
          <w:rFonts w:ascii="Times New Roman" w:eastAsia="Times New Roman" w:hAnsi="Times New Roman" w:cs="Times New Roman"/>
          <w:color w:val="0D0D0D"/>
          <w:sz w:val="20"/>
          <w:szCs w:val="20"/>
          <w:vertAlign w:val="superscript"/>
        </w:rPr>
        <w:footnoteReference w:id="10"/>
      </w:r>
      <w:r w:rsidRPr="00B30884">
        <w:rPr>
          <w:rFonts w:ascii="Times New Roman" w:eastAsia="Times New Roman" w:hAnsi="Times New Roman" w:cs="Times New Roman"/>
          <w:color w:val="0D0D0D"/>
          <w:sz w:val="20"/>
          <w:szCs w:val="20"/>
        </w:rPr>
        <w:t xml:space="preserve">, have not led to a true significant participation of women in elected bodies, </w:t>
      </w:r>
      <w:r w:rsidRPr="00B30884">
        <w:rPr>
          <w:rFonts w:ascii="Times New Roman" w:eastAsia="Times New Roman" w:hAnsi="Times New Roman" w:cs="Times New Roman"/>
          <w:b/>
          <w:color w:val="0D0D0D"/>
          <w:sz w:val="20"/>
          <w:szCs w:val="20"/>
        </w:rPr>
        <w:t>nor are they accompanied by binding mechanisms.</w:t>
      </w:r>
      <w:r w:rsidRPr="00B30884">
        <w:rPr>
          <w:rFonts w:ascii="Times New Roman" w:eastAsia="Times New Roman" w:hAnsi="Times New Roman" w:cs="Times New Roman"/>
          <w:color w:val="0D0D0D"/>
          <w:sz w:val="20"/>
          <w:szCs w:val="20"/>
        </w:rPr>
        <w:t xml:space="preserve"> It is important to underline, in this respect, that the Constitutional Council rejected the organic law project N°66-13 related to the Constitutional Court, which expressly stated the respect of the representation of women among its members</w:t>
      </w:r>
      <w:r w:rsidRPr="00B30884">
        <w:rPr>
          <w:rFonts w:ascii="Times New Roman" w:eastAsia="Times New Roman" w:hAnsi="Times New Roman" w:cs="Times New Roman"/>
          <w:color w:val="0D0D0D"/>
          <w:sz w:val="20"/>
          <w:szCs w:val="20"/>
          <w:vertAlign w:val="superscript"/>
        </w:rPr>
        <w:footnoteReference w:id="11"/>
      </w:r>
      <w:r w:rsidRPr="00B30884">
        <w:rPr>
          <w:rFonts w:ascii="Times New Roman" w:eastAsia="Times New Roman" w:hAnsi="Times New Roman" w:cs="Times New Roman"/>
          <w:color w:val="0D0D0D"/>
          <w:sz w:val="20"/>
          <w:szCs w:val="20"/>
        </w:rPr>
        <w:t>, for violation of the principle of non-discrimination. </w:t>
      </w:r>
    </w:p>
    <w:p w14:paraId="670DE57B" w14:textId="77777777" w:rsidR="005479D2" w:rsidRPr="00B30884" w:rsidRDefault="005479D2">
      <w:p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p>
    <w:p w14:paraId="1B2988D0" w14:textId="77777777" w:rsidR="005479D2" w:rsidRPr="00B30884" w:rsidRDefault="00881F91">
      <w:pPr>
        <w:spacing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Stereotypes and Harmful Practices</w:t>
      </w:r>
    </w:p>
    <w:p w14:paraId="237240F9" w14:textId="77777777" w:rsidR="005479D2" w:rsidRPr="00B30884" w:rsidRDefault="00881F9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Several measures to combat gender stereotypes have been initiated since 2008 by public institutions</w:t>
      </w:r>
      <w:r w:rsidRPr="00B30884">
        <w:rPr>
          <w:rFonts w:ascii="Times New Roman" w:eastAsia="Times New Roman" w:hAnsi="Times New Roman" w:cs="Times New Roman"/>
          <w:color w:val="0D0D0D"/>
          <w:sz w:val="20"/>
          <w:szCs w:val="20"/>
          <w:vertAlign w:val="superscript"/>
        </w:rPr>
        <w:footnoteReference w:id="12"/>
      </w:r>
      <w:r w:rsidRPr="00B30884">
        <w:rPr>
          <w:rFonts w:ascii="Times New Roman" w:eastAsia="Times New Roman" w:hAnsi="Times New Roman" w:cs="Times New Roman"/>
          <w:color w:val="0D0D0D"/>
          <w:sz w:val="20"/>
          <w:szCs w:val="20"/>
        </w:rPr>
        <w:t xml:space="preserve"> and civil society.</w:t>
      </w:r>
      <w:r w:rsidRPr="00B30884">
        <w:rPr>
          <w:rFonts w:ascii="Times New Roman" w:eastAsia="Times New Roman" w:hAnsi="Times New Roman" w:cs="Times New Roman"/>
          <w:b/>
          <w:color w:val="0D0D0D"/>
          <w:sz w:val="20"/>
          <w:szCs w:val="20"/>
        </w:rPr>
        <w:t xml:space="preserve"> Law n°69.14 amending law n°77.03 on audiovisual communication (2015)</w:t>
      </w:r>
      <w:r w:rsidRPr="00B30884">
        <w:rPr>
          <w:rFonts w:ascii="Times New Roman" w:eastAsia="Times New Roman" w:hAnsi="Times New Roman" w:cs="Times New Roman"/>
          <w:color w:val="0D0D0D"/>
          <w:sz w:val="20"/>
          <w:szCs w:val="20"/>
        </w:rPr>
        <w:t xml:space="preserve"> obliges public and private operators to promote the culture of equality and the fight against gender-based discrimination, among other stereotypes detrimental to women's dignity. </w:t>
      </w:r>
    </w:p>
    <w:p w14:paraId="713346C7" w14:textId="77777777" w:rsidR="005479D2" w:rsidRPr="00B30884" w:rsidRDefault="00881F91">
      <w:pPr>
        <w:numPr>
          <w:ilvl w:val="0"/>
          <w:numId w:val="1"/>
        </w:numPr>
        <w:pBdr>
          <w:top w:val="nil"/>
          <w:left w:val="nil"/>
          <w:bottom w:val="nil"/>
          <w:right w:val="nil"/>
          <w:between w:val="nil"/>
        </w:pBdr>
        <w:spacing w:before="240"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lastRenderedPageBreak/>
        <w:t>Despite this progress, several studies</w:t>
      </w:r>
      <w:r w:rsidRPr="00B30884">
        <w:rPr>
          <w:rFonts w:ascii="Times New Roman" w:eastAsia="Times New Roman" w:hAnsi="Times New Roman" w:cs="Times New Roman"/>
          <w:color w:val="0D0D0D"/>
          <w:sz w:val="20"/>
          <w:szCs w:val="20"/>
          <w:vertAlign w:val="superscript"/>
        </w:rPr>
        <w:footnoteReference w:id="13"/>
      </w:r>
      <w:r w:rsidRPr="00B30884">
        <w:rPr>
          <w:rFonts w:ascii="Times New Roman" w:eastAsia="Times New Roman" w:hAnsi="Times New Roman" w:cs="Times New Roman"/>
          <w:b/>
          <w:color w:val="0D0D0D"/>
          <w:sz w:val="20"/>
          <w:szCs w:val="20"/>
        </w:rPr>
        <w:t xml:space="preserve"> </w:t>
      </w:r>
      <w:r w:rsidRPr="00B30884">
        <w:rPr>
          <w:rFonts w:ascii="Times New Roman" w:eastAsia="Times New Roman" w:hAnsi="Times New Roman" w:cs="Times New Roman"/>
          <w:color w:val="0D0D0D"/>
          <w:sz w:val="20"/>
          <w:szCs w:val="20"/>
        </w:rPr>
        <w:t>agree on two observations: the stereotypical portrayal of women in the media and the continuing disparity in the presence of women in decision-making positions in media companies.</w:t>
      </w:r>
    </w:p>
    <w:p w14:paraId="572F3495"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School curricula and programs confine women to </w:t>
      </w:r>
      <w:r w:rsidRPr="00B30884">
        <w:rPr>
          <w:rFonts w:ascii="Times New Roman" w:eastAsia="Times New Roman" w:hAnsi="Times New Roman" w:cs="Times New Roman"/>
          <w:b/>
          <w:color w:val="0D0D0D"/>
          <w:sz w:val="20"/>
          <w:szCs w:val="20"/>
        </w:rPr>
        <w:t xml:space="preserve">traditional and </w:t>
      </w:r>
      <w:r w:rsidRPr="00B30884">
        <w:rPr>
          <w:rFonts w:ascii="Times New Roman" w:eastAsia="Times New Roman" w:hAnsi="Times New Roman" w:cs="Times New Roman"/>
          <w:color w:val="0D0D0D"/>
          <w:sz w:val="20"/>
          <w:szCs w:val="20"/>
        </w:rPr>
        <w:t>strongly</w:t>
      </w:r>
      <w:r w:rsidRPr="00B30884">
        <w:rPr>
          <w:rFonts w:ascii="Times New Roman" w:eastAsia="Times New Roman" w:hAnsi="Times New Roman" w:cs="Times New Roman"/>
          <w:b/>
          <w:color w:val="0D0D0D"/>
          <w:sz w:val="20"/>
          <w:szCs w:val="20"/>
        </w:rPr>
        <w:t xml:space="preserve"> stereotyped roles</w:t>
      </w:r>
      <w:r w:rsidRPr="00B30884">
        <w:rPr>
          <w:rFonts w:ascii="Times New Roman" w:eastAsia="Times New Roman" w:hAnsi="Times New Roman" w:cs="Times New Roman"/>
          <w:color w:val="0D0D0D"/>
          <w:sz w:val="20"/>
          <w:szCs w:val="20"/>
        </w:rPr>
        <w:t>, tend to overlook women's contributions to the various areas of life and rarely present models of female success</w:t>
      </w:r>
      <w:r w:rsidRPr="00B30884">
        <w:rPr>
          <w:rFonts w:ascii="Times New Roman" w:eastAsia="Times New Roman" w:hAnsi="Times New Roman" w:cs="Times New Roman"/>
          <w:color w:val="0D0D0D"/>
          <w:sz w:val="20"/>
          <w:szCs w:val="20"/>
          <w:vertAlign w:val="superscript"/>
        </w:rPr>
        <w:footnoteReference w:id="14"/>
      </w:r>
      <w:r w:rsidRPr="00B30884">
        <w:rPr>
          <w:rFonts w:ascii="Times New Roman" w:eastAsia="Times New Roman" w:hAnsi="Times New Roman" w:cs="Times New Roman"/>
          <w:color w:val="0D0D0D"/>
          <w:sz w:val="20"/>
          <w:szCs w:val="20"/>
        </w:rPr>
        <w:t>. This traditional distribution of status and roles is highlighted by the survey of the High Commission for Planning, which reveals that more than half of men consider that "the most important role of women is to take care of household affairs</w:t>
      </w:r>
      <w:r w:rsidRPr="00B30884">
        <w:rPr>
          <w:rFonts w:ascii="Times New Roman" w:eastAsia="Times New Roman" w:hAnsi="Times New Roman" w:cs="Times New Roman"/>
          <w:color w:val="0D0D0D"/>
          <w:sz w:val="20"/>
          <w:szCs w:val="20"/>
          <w:vertAlign w:val="superscript"/>
        </w:rPr>
        <w:footnoteReference w:id="15"/>
      </w:r>
      <w:r w:rsidRPr="00B30884">
        <w:rPr>
          <w:rFonts w:ascii="Times New Roman" w:eastAsia="Times New Roman" w:hAnsi="Times New Roman" w:cs="Times New Roman"/>
          <w:color w:val="0D0D0D"/>
          <w:sz w:val="20"/>
          <w:szCs w:val="20"/>
        </w:rPr>
        <w:t xml:space="preserve">’’. </w:t>
      </w:r>
    </w:p>
    <w:p w14:paraId="49010E5F"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In addition, </w:t>
      </w:r>
      <w:r w:rsidRPr="00B30884">
        <w:rPr>
          <w:rFonts w:ascii="Times New Roman" w:eastAsia="Times New Roman" w:hAnsi="Times New Roman" w:cs="Times New Roman"/>
          <w:b/>
          <w:color w:val="0D0D0D"/>
          <w:sz w:val="20"/>
          <w:szCs w:val="20"/>
        </w:rPr>
        <w:t>harmful practices</w:t>
      </w:r>
      <w:r w:rsidRPr="00B30884">
        <w:rPr>
          <w:rFonts w:ascii="Times New Roman" w:eastAsia="Times New Roman" w:hAnsi="Times New Roman" w:cs="Times New Roman"/>
          <w:color w:val="0D0D0D"/>
          <w:sz w:val="20"/>
          <w:szCs w:val="20"/>
        </w:rPr>
        <w:t xml:space="preserve"> such as the authorization by magistrates of marriages</w:t>
      </w:r>
      <w:r w:rsidRPr="00B30884">
        <w:rPr>
          <w:rFonts w:ascii="Times New Roman" w:eastAsia="Times New Roman" w:hAnsi="Times New Roman" w:cs="Times New Roman"/>
          <w:b/>
          <w:color w:val="0D0D0D"/>
          <w:sz w:val="20"/>
          <w:szCs w:val="20"/>
          <w:vertAlign w:val="superscript"/>
        </w:rPr>
        <w:footnoteReference w:id="16"/>
      </w:r>
      <w:r w:rsidRPr="00B30884">
        <w:rPr>
          <w:rFonts w:ascii="Times New Roman" w:eastAsia="Times New Roman" w:hAnsi="Times New Roman" w:cs="Times New Roman"/>
          <w:b/>
          <w:color w:val="0D0D0D"/>
          <w:sz w:val="20"/>
          <w:szCs w:val="20"/>
          <w:vertAlign w:val="superscript"/>
        </w:rPr>
        <w:t> </w:t>
      </w:r>
      <w:r w:rsidRPr="00B30884">
        <w:rPr>
          <w:rFonts w:ascii="Times New Roman" w:eastAsia="Times New Roman" w:hAnsi="Times New Roman" w:cs="Times New Roman"/>
          <w:color w:val="0D0D0D"/>
          <w:sz w:val="20"/>
          <w:szCs w:val="20"/>
        </w:rPr>
        <w:t>under the legal age of 18 continue to be rampant, ignoring the recommendations and observations</w:t>
      </w:r>
      <w:r w:rsidRPr="00B30884">
        <w:rPr>
          <w:rFonts w:ascii="Times New Roman" w:eastAsia="Times New Roman" w:hAnsi="Times New Roman" w:cs="Times New Roman"/>
          <w:color w:val="0D0D0D"/>
          <w:sz w:val="20"/>
          <w:szCs w:val="20"/>
          <w:vertAlign w:val="superscript"/>
        </w:rPr>
        <w:footnoteReference w:id="17"/>
      </w:r>
      <w:r w:rsidRPr="00B30884">
        <w:rPr>
          <w:rFonts w:ascii="Times New Roman" w:eastAsia="Times New Roman" w:hAnsi="Times New Roman" w:cs="Times New Roman"/>
          <w:color w:val="0D0D0D"/>
          <w:sz w:val="20"/>
          <w:szCs w:val="20"/>
        </w:rPr>
        <w:t xml:space="preserve"> of various UN mechanisms. This "marriage," which is subject to authorization by a judge after medical examination or social investigation, and which is not subject to appeal</w:t>
      </w:r>
      <w:r w:rsidRPr="00B30884">
        <w:rPr>
          <w:rFonts w:ascii="Times New Roman" w:eastAsia="Times New Roman" w:hAnsi="Times New Roman" w:cs="Times New Roman"/>
          <w:color w:val="0D0D0D"/>
          <w:sz w:val="20"/>
          <w:szCs w:val="20"/>
          <w:vertAlign w:val="superscript"/>
        </w:rPr>
        <w:footnoteReference w:id="18"/>
      </w:r>
      <w:r w:rsidRPr="00B30884">
        <w:rPr>
          <w:rFonts w:ascii="Times New Roman" w:eastAsia="Times New Roman" w:hAnsi="Times New Roman" w:cs="Times New Roman"/>
          <w:color w:val="0D0D0D"/>
          <w:sz w:val="20"/>
          <w:szCs w:val="20"/>
        </w:rPr>
        <w:t>, is a major concern. In practice, only 12.42% of married minors received an investigation by a social worker, while 87.56% were only heard by a judge</w:t>
      </w:r>
      <w:r w:rsidRPr="00B30884">
        <w:rPr>
          <w:rFonts w:ascii="Times New Roman" w:eastAsia="Times New Roman" w:hAnsi="Times New Roman" w:cs="Times New Roman"/>
          <w:color w:val="0D0D0D"/>
          <w:sz w:val="20"/>
          <w:szCs w:val="20"/>
          <w:vertAlign w:val="superscript"/>
        </w:rPr>
        <w:footnoteReference w:id="19"/>
      </w:r>
      <w:r w:rsidRPr="00B30884">
        <w:rPr>
          <w:rFonts w:ascii="Times New Roman" w:eastAsia="Times New Roman" w:hAnsi="Times New Roman" w:cs="Times New Roman"/>
          <w:color w:val="0D0D0D"/>
          <w:sz w:val="20"/>
          <w:szCs w:val="20"/>
        </w:rPr>
        <w:t xml:space="preserve">. </w:t>
      </w:r>
    </w:p>
    <w:p w14:paraId="48912EF9"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 Applications for marriage authorization for minors increased from 30,312 in 2006 to 32,104 in 2018</w:t>
      </w:r>
      <w:r w:rsidRPr="00B30884">
        <w:rPr>
          <w:rFonts w:ascii="Times New Roman" w:eastAsia="Times New Roman" w:hAnsi="Times New Roman" w:cs="Times New Roman"/>
          <w:color w:val="0D0D0D"/>
          <w:sz w:val="20"/>
          <w:szCs w:val="20"/>
          <w:vertAlign w:val="superscript"/>
        </w:rPr>
        <w:footnoteReference w:id="20"/>
      </w:r>
      <w:r w:rsidRPr="00B30884">
        <w:rPr>
          <w:rFonts w:ascii="Times New Roman" w:eastAsia="Times New Roman" w:hAnsi="Times New Roman" w:cs="Times New Roman"/>
          <w:color w:val="0D0D0D"/>
          <w:sz w:val="20"/>
          <w:szCs w:val="20"/>
        </w:rPr>
        <w:t xml:space="preserve"> and represented, in 2015, 10% of all marriage certificates issued</w:t>
      </w:r>
      <w:r w:rsidRPr="00B30884">
        <w:rPr>
          <w:rFonts w:ascii="Times New Roman" w:eastAsia="Times New Roman" w:hAnsi="Times New Roman" w:cs="Times New Roman"/>
          <w:color w:val="0D0D0D"/>
          <w:sz w:val="20"/>
          <w:szCs w:val="20"/>
          <w:vertAlign w:val="superscript"/>
        </w:rPr>
        <w:footnoteReference w:id="21"/>
      </w:r>
      <w:r w:rsidRPr="00B30884">
        <w:rPr>
          <w:rFonts w:ascii="Times New Roman" w:eastAsia="Times New Roman" w:hAnsi="Times New Roman" w:cs="Times New Roman"/>
          <w:color w:val="0D0D0D"/>
          <w:sz w:val="20"/>
          <w:szCs w:val="20"/>
        </w:rPr>
        <w:t>. Nearly 85% of the applications filed between 2011 and 2018 were authorized</w:t>
      </w:r>
      <w:r w:rsidRPr="00B30884">
        <w:rPr>
          <w:rFonts w:ascii="Times New Roman" w:eastAsia="Times New Roman" w:hAnsi="Times New Roman" w:cs="Times New Roman"/>
          <w:color w:val="0D0D0D"/>
          <w:sz w:val="20"/>
          <w:szCs w:val="20"/>
          <w:vertAlign w:val="superscript"/>
        </w:rPr>
        <w:footnoteReference w:id="22"/>
      </w:r>
      <w:r w:rsidRPr="00B30884">
        <w:rPr>
          <w:rFonts w:ascii="Times New Roman" w:eastAsia="Times New Roman" w:hAnsi="Times New Roman" w:cs="Times New Roman"/>
          <w:color w:val="0D0D0D"/>
          <w:sz w:val="20"/>
          <w:szCs w:val="20"/>
        </w:rPr>
        <w:t xml:space="preserve"> and involved in their vast majority girls (94.8% of the total minors married)</w:t>
      </w:r>
      <w:r w:rsidRPr="00B30884">
        <w:rPr>
          <w:rFonts w:ascii="Times New Roman" w:eastAsia="Times New Roman" w:hAnsi="Times New Roman" w:cs="Times New Roman"/>
          <w:color w:val="0D0D0D"/>
          <w:sz w:val="20"/>
          <w:szCs w:val="20"/>
          <w:vertAlign w:val="superscript"/>
        </w:rPr>
        <w:footnoteReference w:id="23"/>
      </w:r>
      <w:r w:rsidRPr="00B30884">
        <w:rPr>
          <w:rFonts w:ascii="Times New Roman" w:eastAsia="Times New Roman" w:hAnsi="Times New Roman" w:cs="Times New Roman"/>
          <w:color w:val="0D0D0D"/>
          <w:sz w:val="20"/>
          <w:szCs w:val="20"/>
        </w:rPr>
        <w:t>. These statistics do not include informal marriages ("with Al Fatiha", "by Contracts") nor those established through the procedure of recognition of marriage (Article 16</w:t>
      </w:r>
      <w:r w:rsidRPr="00B30884">
        <w:rPr>
          <w:rFonts w:ascii="Times New Roman" w:eastAsia="Times New Roman" w:hAnsi="Times New Roman" w:cs="Times New Roman"/>
          <w:color w:val="0D0D0D"/>
          <w:sz w:val="20"/>
          <w:szCs w:val="20"/>
          <w:vertAlign w:val="superscript"/>
        </w:rPr>
        <w:footnoteReference w:id="24"/>
      </w:r>
      <w:r w:rsidRPr="00B30884">
        <w:rPr>
          <w:rFonts w:ascii="Times New Roman" w:eastAsia="Times New Roman" w:hAnsi="Times New Roman" w:cs="Times New Roman"/>
          <w:color w:val="0D0D0D"/>
          <w:sz w:val="20"/>
          <w:szCs w:val="20"/>
        </w:rPr>
        <w:t xml:space="preserve"> of the Family Code) which alone represent 15% of marriages of minors concluded between 2015 and 2019</w:t>
      </w:r>
      <w:r w:rsidRPr="00B30884">
        <w:rPr>
          <w:rFonts w:ascii="Times New Roman" w:eastAsia="Times New Roman" w:hAnsi="Times New Roman" w:cs="Times New Roman"/>
          <w:color w:val="0D0D0D"/>
          <w:sz w:val="20"/>
          <w:szCs w:val="20"/>
          <w:vertAlign w:val="superscript"/>
        </w:rPr>
        <w:footnoteReference w:id="25"/>
      </w:r>
      <w:r w:rsidRPr="00B30884">
        <w:rPr>
          <w:rFonts w:ascii="Times New Roman" w:eastAsia="Times New Roman" w:hAnsi="Times New Roman" w:cs="Times New Roman"/>
          <w:color w:val="0D0D0D"/>
          <w:sz w:val="20"/>
          <w:szCs w:val="20"/>
        </w:rPr>
        <w:t xml:space="preserve">. </w:t>
      </w:r>
    </w:p>
    <w:p w14:paraId="04C3E5D8" w14:textId="77777777" w:rsidR="005479D2" w:rsidRPr="00B30884" w:rsidRDefault="005479D2">
      <w:pPr>
        <w:pBdr>
          <w:top w:val="nil"/>
          <w:left w:val="nil"/>
          <w:bottom w:val="nil"/>
          <w:right w:val="nil"/>
          <w:between w:val="nil"/>
        </w:pBdr>
        <w:spacing w:after="240"/>
        <w:jc w:val="both"/>
        <w:rPr>
          <w:rFonts w:ascii="Times New Roman" w:eastAsia="Times New Roman" w:hAnsi="Times New Roman" w:cs="Times New Roman"/>
          <w:color w:val="0D0D0D"/>
          <w:sz w:val="20"/>
          <w:szCs w:val="20"/>
        </w:rPr>
      </w:pPr>
    </w:p>
    <w:p w14:paraId="6A554BB5" w14:textId="77777777" w:rsidR="005479D2" w:rsidRPr="00B30884" w:rsidRDefault="00881F91">
      <w:pPr>
        <w:spacing w:after="0"/>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Trafficking and Prostitution Exploitation</w:t>
      </w:r>
    </w:p>
    <w:p w14:paraId="65466074" w14:textId="70EE8DBC"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The adoption of Law No. 27-14 on the fight against human trafficking</w:t>
      </w:r>
      <w:r w:rsidRPr="00B30884">
        <w:rPr>
          <w:rFonts w:ascii="Times New Roman" w:eastAsia="Times New Roman" w:hAnsi="Times New Roman" w:cs="Times New Roman"/>
          <w:color w:val="0D0D0D"/>
          <w:sz w:val="20"/>
          <w:szCs w:val="20"/>
          <w:vertAlign w:val="superscript"/>
        </w:rPr>
        <w:footnoteReference w:id="26"/>
      </w:r>
      <w:r w:rsidRPr="00B30884">
        <w:rPr>
          <w:rFonts w:ascii="Times New Roman" w:eastAsia="Times New Roman" w:hAnsi="Times New Roman" w:cs="Times New Roman"/>
          <w:color w:val="0D0D0D"/>
          <w:sz w:val="20"/>
          <w:szCs w:val="20"/>
        </w:rPr>
        <w:t xml:space="preserve"> (2016) is certainly a step forward; however, it does not constitute a specific law that explicitly addresses the dimensions of "criminalization", "prevention", "protection", including assistance, rehabilitation and compensation of victims. Moreover, this law does not include foreign victims</w:t>
      </w:r>
      <w:r w:rsidRPr="00B30884">
        <w:rPr>
          <w:rFonts w:ascii="Times New Roman" w:eastAsia="Times New Roman" w:hAnsi="Times New Roman" w:cs="Times New Roman"/>
          <w:color w:val="0D0D0D"/>
          <w:sz w:val="20"/>
          <w:szCs w:val="20"/>
          <w:vertAlign w:val="superscript"/>
        </w:rPr>
        <w:footnoteReference w:id="27"/>
      </w:r>
      <w:r w:rsidRPr="00B30884">
        <w:rPr>
          <w:rFonts w:ascii="Times New Roman" w:eastAsia="Times New Roman" w:hAnsi="Times New Roman" w:cs="Times New Roman"/>
          <w:color w:val="0D0D0D"/>
          <w:sz w:val="20"/>
          <w:szCs w:val="20"/>
        </w:rPr>
        <w:t xml:space="preserve"> and conditions medical care and victims’ state assistance to the availability </w:t>
      </w:r>
      <w:r w:rsidR="00EA346F" w:rsidRPr="00B30884">
        <w:rPr>
          <w:rFonts w:ascii="Times New Roman" w:eastAsia="Times New Roman" w:hAnsi="Times New Roman" w:cs="Times New Roman"/>
          <w:color w:val="0D0D0D"/>
          <w:sz w:val="20"/>
          <w:szCs w:val="20"/>
        </w:rPr>
        <w:t>of resources</w:t>
      </w:r>
      <w:r w:rsidRPr="00B30884">
        <w:rPr>
          <w:rFonts w:ascii="Times New Roman" w:eastAsia="Times New Roman" w:hAnsi="Times New Roman" w:cs="Times New Roman"/>
          <w:color w:val="0D0D0D"/>
          <w:sz w:val="20"/>
          <w:szCs w:val="20"/>
        </w:rPr>
        <w:t xml:space="preserve"> (Article 4)</w:t>
      </w:r>
      <w:r w:rsidRPr="00B30884">
        <w:rPr>
          <w:rFonts w:ascii="Times New Roman" w:eastAsia="Times New Roman" w:hAnsi="Times New Roman" w:cs="Times New Roman"/>
          <w:color w:val="0D0D0D"/>
          <w:sz w:val="20"/>
          <w:szCs w:val="20"/>
          <w:vertAlign w:val="superscript"/>
        </w:rPr>
        <w:footnoteReference w:id="28"/>
      </w:r>
      <w:r w:rsidRPr="00B30884">
        <w:rPr>
          <w:rFonts w:ascii="Times New Roman" w:eastAsia="Times New Roman" w:hAnsi="Times New Roman" w:cs="Times New Roman"/>
          <w:color w:val="0D0D0D"/>
          <w:sz w:val="20"/>
          <w:szCs w:val="20"/>
        </w:rPr>
        <w:t>.</w:t>
      </w:r>
    </w:p>
    <w:p w14:paraId="57EF2C17" w14:textId="77777777" w:rsidR="005479D2" w:rsidRPr="00B30884" w:rsidRDefault="00881F91">
      <w:pPr>
        <w:pBdr>
          <w:top w:val="nil"/>
          <w:left w:val="nil"/>
          <w:bottom w:val="nil"/>
          <w:right w:val="nil"/>
          <w:between w:val="nil"/>
        </w:pBdr>
        <w:spacing w:after="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 xml:space="preserve"> </w:t>
      </w:r>
    </w:p>
    <w:p w14:paraId="0D7B420E" w14:textId="77777777" w:rsidR="005479D2" w:rsidRPr="00B30884" w:rsidRDefault="00881F91">
      <w:pPr>
        <w:spacing w:after="0"/>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Gender-based Violence</w:t>
      </w:r>
    </w:p>
    <w:p w14:paraId="4CA1C271" w14:textId="77777777" w:rsidR="005479D2" w:rsidRPr="00B30884" w:rsidRDefault="005479D2">
      <w:pPr>
        <w:spacing w:after="0"/>
        <w:jc w:val="both"/>
        <w:rPr>
          <w:rFonts w:ascii="Times New Roman" w:eastAsia="Times New Roman" w:hAnsi="Times New Roman" w:cs="Times New Roman"/>
          <w:b/>
          <w:color w:val="0D0D0D"/>
          <w:sz w:val="20"/>
          <w:szCs w:val="20"/>
        </w:rPr>
      </w:pPr>
    </w:p>
    <w:p w14:paraId="74AD3B18"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 </w:t>
      </w:r>
      <w:r w:rsidRPr="00B30884">
        <w:rPr>
          <w:rFonts w:ascii="Times New Roman" w:eastAsia="Times New Roman" w:hAnsi="Times New Roman" w:cs="Times New Roman"/>
          <w:b/>
          <w:color w:val="0D0D0D"/>
          <w:sz w:val="20"/>
          <w:szCs w:val="20"/>
        </w:rPr>
        <w:t>Violence against girls and women</w:t>
      </w:r>
      <w:r w:rsidRPr="00B30884">
        <w:rPr>
          <w:rFonts w:ascii="Times New Roman" w:eastAsia="Times New Roman" w:hAnsi="Times New Roman" w:cs="Times New Roman"/>
          <w:color w:val="0D0D0D"/>
          <w:sz w:val="20"/>
          <w:szCs w:val="20"/>
        </w:rPr>
        <w:t xml:space="preserve"> records alarming rates, though it has decreased slightly by approximately 6 points compared to the 1</w:t>
      </w:r>
      <w:r w:rsidRPr="00B30884">
        <w:rPr>
          <w:rFonts w:ascii="Times New Roman" w:eastAsia="Times New Roman" w:hAnsi="Times New Roman" w:cs="Times New Roman"/>
          <w:color w:val="0D0D0D"/>
          <w:sz w:val="20"/>
          <w:szCs w:val="20"/>
          <w:vertAlign w:val="superscript"/>
        </w:rPr>
        <w:t>st</w:t>
      </w:r>
      <w:r w:rsidRPr="00B30884">
        <w:rPr>
          <w:rFonts w:ascii="Times New Roman" w:eastAsia="Times New Roman" w:hAnsi="Times New Roman" w:cs="Times New Roman"/>
          <w:color w:val="0D0D0D"/>
          <w:sz w:val="20"/>
          <w:szCs w:val="20"/>
        </w:rPr>
        <w:t xml:space="preserve"> prevalence survey in 2009. In 2019, 7.6 million women and girls between 15 and 74 years old (57.1%) experienced at least one act of violence in the 12 months preceding the survey, with psychological violence predominating (47.5% of cases</w:t>
      </w:r>
      <w:r w:rsidRPr="00B30884">
        <w:rPr>
          <w:rFonts w:ascii="Times New Roman" w:eastAsia="Times New Roman" w:hAnsi="Times New Roman" w:cs="Times New Roman"/>
          <w:color w:val="0D0D0D"/>
          <w:sz w:val="20"/>
          <w:szCs w:val="20"/>
          <w:vertAlign w:val="superscript"/>
        </w:rPr>
        <w:footnoteReference w:id="29"/>
      </w:r>
      <w:r w:rsidRPr="00B30884">
        <w:rPr>
          <w:rFonts w:ascii="Times New Roman" w:eastAsia="Times New Roman" w:hAnsi="Times New Roman" w:cs="Times New Roman"/>
          <w:color w:val="0D0D0D"/>
          <w:sz w:val="20"/>
          <w:szCs w:val="20"/>
        </w:rPr>
        <w:t xml:space="preserve">). However, </w:t>
      </w:r>
      <w:r w:rsidRPr="00B30884">
        <w:rPr>
          <w:rFonts w:ascii="Times New Roman" w:eastAsia="Times New Roman" w:hAnsi="Times New Roman" w:cs="Times New Roman"/>
          <w:b/>
          <w:color w:val="0D0D0D"/>
          <w:sz w:val="20"/>
          <w:szCs w:val="20"/>
        </w:rPr>
        <w:t xml:space="preserve">Law </w:t>
      </w:r>
      <w:r w:rsidRPr="00B30884">
        <w:rPr>
          <w:rFonts w:ascii="Times New Roman" w:eastAsia="Times New Roman" w:hAnsi="Times New Roman" w:cs="Times New Roman"/>
          <w:b/>
          <w:color w:val="0D0D0D"/>
          <w:sz w:val="20"/>
          <w:szCs w:val="20"/>
        </w:rPr>
        <w:lastRenderedPageBreak/>
        <w:t>103.13 on combating violence against women</w:t>
      </w:r>
      <w:r w:rsidRPr="00B30884">
        <w:rPr>
          <w:rFonts w:ascii="Times New Roman" w:eastAsia="Times New Roman" w:hAnsi="Times New Roman" w:cs="Times New Roman"/>
          <w:color w:val="0D0D0D"/>
          <w:sz w:val="20"/>
          <w:szCs w:val="20"/>
          <w:vertAlign w:val="superscript"/>
        </w:rPr>
        <w:footnoteReference w:id="30"/>
      </w:r>
      <w:r w:rsidRPr="00B30884">
        <w:rPr>
          <w:rFonts w:ascii="Times New Roman" w:eastAsia="Times New Roman" w:hAnsi="Times New Roman" w:cs="Times New Roman"/>
          <w:color w:val="0D0D0D"/>
          <w:sz w:val="20"/>
          <w:szCs w:val="20"/>
        </w:rPr>
        <w:t xml:space="preserve"> (2018) does not include any specific provisions criminalizing this type of violence.</w:t>
      </w:r>
    </w:p>
    <w:p w14:paraId="34C103F3"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 Women are exposed to</w:t>
      </w:r>
      <w:r w:rsidRPr="00B30884">
        <w:rPr>
          <w:rFonts w:ascii="Times New Roman" w:eastAsia="Times New Roman" w:hAnsi="Times New Roman" w:cs="Times New Roman"/>
          <w:b/>
          <w:color w:val="0D0D0D"/>
          <w:sz w:val="20"/>
          <w:szCs w:val="20"/>
        </w:rPr>
        <w:t xml:space="preserve"> gender-based violence in all spaces,</w:t>
      </w:r>
      <w:r w:rsidRPr="00B30884">
        <w:rPr>
          <w:rFonts w:ascii="Times New Roman" w:eastAsia="Times New Roman" w:hAnsi="Times New Roman" w:cs="Times New Roman"/>
          <w:color w:val="0D0D0D"/>
          <w:sz w:val="20"/>
          <w:szCs w:val="20"/>
        </w:rPr>
        <w:t xml:space="preserve"> including the virtual world (13.8% of victims of cyber violence). However, the marital and domestic context remains the most marked by gender-based violence (prevalence of 52.2%)</w:t>
      </w:r>
      <w:r w:rsidRPr="00B30884">
        <w:rPr>
          <w:rFonts w:ascii="Times New Roman" w:eastAsia="Times New Roman" w:hAnsi="Times New Roman" w:cs="Times New Roman"/>
          <w:color w:val="0D0D0D"/>
          <w:sz w:val="20"/>
          <w:szCs w:val="20"/>
          <w:vertAlign w:val="superscript"/>
        </w:rPr>
        <w:footnoteReference w:id="31"/>
      </w:r>
      <w:r w:rsidRPr="00B30884">
        <w:rPr>
          <w:rFonts w:ascii="Times New Roman" w:eastAsia="Times New Roman" w:hAnsi="Times New Roman" w:cs="Times New Roman"/>
          <w:color w:val="0D0D0D"/>
          <w:sz w:val="20"/>
          <w:szCs w:val="20"/>
        </w:rPr>
        <w:t xml:space="preserve">. </w:t>
      </w:r>
    </w:p>
    <w:p w14:paraId="6BC16168"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 Despite the seriousness of this phenomenon, </w:t>
      </w:r>
      <w:r w:rsidRPr="00B30884">
        <w:rPr>
          <w:rFonts w:ascii="Times New Roman" w:eastAsia="Times New Roman" w:hAnsi="Times New Roman" w:cs="Times New Roman"/>
          <w:b/>
          <w:color w:val="0D0D0D"/>
          <w:sz w:val="20"/>
          <w:szCs w:val="20"/>
        </w:rPr>
        <w:t>victims tend not to report it or file a complaint</w:t>
      </w:r>
      <w:r w:rsidRPr="00B30884">
        <w:rPr>
          <w:rFonts w:ascii="Times New Roman" w:eastAsia="Times New Roman" w:hAnsi="Times New Roman" w:cs="Times New Roman"/>
          <w:color w:val="0D0D0D"/>
          <w:sz w:val="20"/>
          <w:szCs w:val="20"/>
        </w:rPr>
        <w:t xml:space="preserve"> to the competent authorities. Only 11.3% of them report non-conjugal violence, 8% report conjugal violence and only 3% report sexual violence</w:t>
      </w:r>
      <w:r w:rsidRPr="00B30884">
        <w:rPr>
          <w:rFonts w:ascii="Times New Roman" w:eastAsia="Times New Roman" w:hAnsi="Times New Roman" w:cs="Times New Roman"/>
          <w:color w:val="0D0D0D"/>
          <w:sz w:val="20"/>
          <w:szCs w:val="20"/>
          <w:vertAlign w:val="superscript"/>
        </w:rPr>
        <w:footnoteReference w:id="32"/>
      </w:r>
      <w:r w:rsidRPr="00B30884">
        <w:rPr>
          <w:rFonts w:ascii="Times New Roman" w:eastAsia="Times New Roman" w:hAnsi="Times New Roman" w:cs="Times New Roman"/>
          <w:color w:val="0D0D0D"/>
          <w:sz w:val="20"/>
          <w:szCs w:val="20"/>
        </w:rPr>
        <w:t xml:space="preserve">. This contributes to social acceptance of GBV and impunity of the aggressors. </w:t>
      </w:r>
    </w:p>
    <w:p w14:paraId="74C2D4B4"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 In addition to social and family pressure, several other considerations encourage victims to remain silent, particularly in cases of domestic violence. This includes the complexity and slowness of legal proceedings, ignorance, the cost of these proceedings, the presence of children, the risk of losing income, the deficiencies of the care system, etc.</w:t>
      </w:r>
      <w:r w:rsidRPr="00B30884">
        <w:rPr>
          <w:rFonts w:ascii="Times New Roman" w:eastAsia="Times New Roman" w:hAnsi="Times New Roman" w:cs="Times New Roman"/>
          <w:color w:val="0D0D0D"/>
          <w:sz w:val="20"/>
          <w:szCs w:val="20"/>
          <w:vertAlign w:val="superscript"/>
        </w:rPr>
        <w:footnoteReference w:id="33"/>
      </w:r>
    </w:p>
    <w:p w14:paraId="7166FC64"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In light of this situation, </w:t>
      </w:r>
      <w:r w:rsidRPr="00B30884">
        <w:rPr>
          <w:rFonts w:ascii="Times New Roman" w:eastAsia="Times New Roman" w:hAnsi="Times New Roman" w:cs="Times New Roman"/>
          <w:b/>
          <w:color w:val="0D0D0D"/>
          <w:sz w:val="20"/>
          <w:szCs w:val="20"/>
        </w:rPr>
        <w:t>the government's strategy</w:t>
      </w:r>
      <w:r w:rsidRPr="00B30884">
        <w:rPr>
          <w:rFonts w:ascii="Times New Roman" w:eastAsia="Times New Roman" w:hAnsi="Times New Roman" w:cs="Times New Roman"/>
          <w:color w:val="0D0D0D"/>
          <w:sz w:val="20"/>
          <w:szCs w:val="20"/>
        </w:rPr>
        <w:t xml:space="preserve"> in this area does not meet the needs of victims and does not take into account the structural nature of violence.</w:t>
      </w:r>
      <w:r w:rsidRPr="00B30884">
        <w:rPr>
          <w:rFonts w:ascii="Times New Roman" w:eastAsia="Times New Roman" w:hAnsi="Times New Roman" w:cs="Times New Roman"/>
          <w:b/>
          <w:color w:val="0D0D0D"/>
          <w:sz w:val="20"/>
          <w:szCs w:val="20"/>
        </w:rPr>
        <w:t xml:space="preserve"> Law 103-13 on combating violence against women </w:t>
      </w:r>
      <w:r w:rsidRPr="00B30884">
        <w:rPr>
          <w:rFonts w:ascii="Times New Roman" w:eastAsia="Times New Roman" w:hAnsi="Times New Roman" w:cs="Times New Roman"/>
          <w:color w:val="0D0D0D"/>
          <w:sz w:val="20"/>
          <w:szCs w:val="20"/>
        </w:rPr>
        <w:t>only revises certain articles of the criminal law without meeting international standards, regardless of the numerous observations and proposals made by NGOs</w:t>
      </w:r>
      <w:r w:rsidRPr="00B30884">
        <w:rPr>
          <w:rFonts w:ascii="Times New Roman" w:eastAsia="Times New Roman" w:hAnsi="Times New Roman" w:cs="Times New Roman"/>
          <w:color w:val="0D0D0D"/>
          <w:sz w:val="20"/>
          <w:szCs w:val="20"/>
          <w:vertAlign w:val="superscript"/>
        </w:rPr>
        <w:footnoteReference w:id="34"/>
      </w:r>
      <w:r w:rsidRPr="00B30884">
        <w:rPr>
          <w:rFonts w:ascii="Times New Roman" w:eastAsia="Times New Roman" w:hAnsi="Times New Roman" w:cs="Times New Roman"/>
          <w:color w:val="0D0D0D"/>
          <w:sz w:val="20"/>
          <w:szCs w:val="20"/>
        </w:rPr>
        <w:t>, national institutions, as well as those of the ''Working Group on the Elimination of Discrimination against Women in Law and Practice and the Special Reporter on Violence against Women, its Causes and Consequences</w:t>
      </w:r>
      <w:r w:rsidRPr="00B30884">
        <w:rPr>
          <w:rFonts w:ascii="Times New Roman" w:eastAsia="Times New Roman" w:hAnsi="Times New Roman" w:cs="Times New Roman"/>
          <w:color w:val="0D0D0D"/>
          <w:sz w:val="20"/>
          <w:szCs w:val="20"/>
          <w:vertAlign w:val="superscript"/>
        </w:rPr>
        <w:footnoteReference w:id="35"/>
      </w:r>
      <w:r w:rsidRPr="00B30884">
        <w:rPr>
          <w:rFonts w:ascii="Times New Roman" w:eastAsia="Times New Roman" w:hAnsi="Times New Roman" w:cs="Times New Roman"/>
          <w:color w:val="0D0D0D"/>
          <w:sz w:val="20"/>
          <w:szCs w:val="20"/>
        </w:rPr>
        <w:t xml:space="preserve">’’ </w:t>
      </w:r>
      <w:r w:rsidRPr="00B30884">
        <w:rPr>
          <w:rFonts w:ascii="Times New Roman" w:eastAsia="Times New Roman" w:hAnsi="Times New Roman" w:cs="Times New Roman"/>
          <w:b/>
          <w:color w:val="0D0D0D"/>
          <w:sz w:val="20"/>
          <w:szCs w:val="20"/>
        </w:rPr>
        <w:t>(see Appendix 1 on Law 103-13)</w:t>
      </w:r>
      <w:r w:rsidRPr="00B30884">
        <w:rPr>
          <w:rFonts w:ascii="Times New Roman" w:eastAsia="Times New Roman" w:hAnsi="Times New Roman" w:cs="Times New Roman"/>
          <w:color w:val="0D0D0D"/>
          <w:sz w:val="20"/>
          <w:szCs w:val="20"/>
        </w:rPr>
        <w:t>.</w:t>
      </w:r>
    </w:p>
    <w:p w14:paraId="16ED840A" w14:textId="77777777" w:rsidR="005479D2" w:rsidRPr="00B30884" w:rsidRDefault="00881F91">
      <w:pPr>
        <w:numPr>
          <w:ilvl w:val="0"/>
          <w:numId w:val="1"/>
        </w:numPr>
        <w:spacing w:after="0"/>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During the </w:t>
      </w:r>
      <w:r w:rsidRPr="00B30884">
        <w:rPr>
          <w:rFonts w:ascii="Times New Roman" w:eastAsia="Times New Roman" w:hAnsi="Times New Roman" w:cs="Times New Roman"/>
          <w:b/>
          <w:color w:val="0D0D0D"/>
          <w:sz w:val="20"/>
          <w:szCs w:val="20"/>
        </w:rPr>
        <w:t>Covid-19 pandemic</w:t>
      </w:r>
      <w:r w:rsidRPr="00B30884">
        <w:rPr>
          <w:rFonts w:ascii="Times New Roman" w:eastAsia="Times New Roman" w:hAnsi="Times New Roman" w:cs="Times New Roman"/>
          <w:color w:val="0D0D0D"/>
          <w:sz w:val="20"/>
          <w:szCs w:val="20"/>
        </w:rPr>
        <w:t>, domestic violence was exacerbated by social isolation and movement restrictions, as well as the economic and social pressures that followed. Poor and disadvantaged women's ability to report such violence was particularly affected by their difficulty of accessing existing care units and their lack of familiarity regarding new communication technologies.</w:t>
      </w:r>
    </w:p>
    <w:p w14:paraId="30EF22EA" w14:textId="77777777" w:rsidR="005479D2" w:rsidRPr="00B30884" w:rsidRDefault="005479D2">
      <w:pPr>
        <w:pBdr>
          <w:top w:val="nil"/>
          <w:left w:val="nil"/>
          <w:bottom w:val="nil"/>
          <w:right w:val="nil"/>
          <w:between w:val="nil"/>
        </w:pBdr>
        <w:spacing w:after="240"/>
        <w:jc w:val="both"/>
        <w:rPr>
          <w:rFonts w:ascii="Times New Roman" w:eastAsia="Times New Roman" w:hAnsi="Times New Roman" w:cs="Times New Roman"/>
          <w:color w:val="000000"/>
          <w:sz w:val="20"/>
          <w:szCs w:val="20"/>
        </w:rPr>
      </w:pPr>
    </w:p>
    <w:tbl>
      <w:tblPr>
        <w:tblStyle w:val="a4"/>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5479D2" w:rsidRPr="00B30884" w14:paraId="0F4F555E" w14:textId="77777777">
        <w:tc>
          <w:tcPr>
            <w:tcW w:w="9212" w:type="dxa"/>
          </w:tcPr>
          <w:p w14:paraId="611B3616" w14:textId="56CB59FB" w:rsidR="005479D2" w:rsidRPr="00B30884" w:rsidRDefault="00EA346F">
            <w:pPr>
              <w:widowControl w:val="0"/>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Recommendations:</w:t>
            </w:r>
          </w:p>
          <w:p w14:paraId="6BF6C3FB" w14:textId="77777777" w:rsidR="005479D2" w:rsidRPr="00B30884" w:rsidRDefault="00881F91">
            <w:pPr>
              <w:numPr>
                <w:ilvl w:val="0"/>
                <w:numId w:val="2"/>
              </w:numPr>
              <w:spacing w:line="276" w:lineRule="auto"/>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Adopt and ensure the effective application of a comprehensive law against direct and indirect discrimination as defined in Article 1 of the CEDAW and systematically incorporate it into laws and regulations clauses prohibiting and, where appropriate, penalizing discrimination against women and girls;</w:t>
            </w:r>
          </w:p>
          <w:p w14:paraId="74C953CA" w14:textId="77777777" w:rsidR="005479D2" w:rsidRPr="00B30884" w:rsidRDefault="00881F91">
            <w:pPr>
              <w:numPr>
                <w:ilvl w:val="0"/>
                <w:numId w:val="2"/>
              </w:numPr>
              <w:spacing w:line="276" w:lineRule="auto"/>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Withdraw interpretative statements about Article 2 and 15 (paragraph 4) of CEDAW and ensure its wide dissemination and implementation by legal professionals;</w:t>
            </w:r>
          </w:p>
          <w:p w14:paraId="6AA063E4" w14:textId="77777777" w:rsidR="005479D2" w:rsidRPr="00B30884" w:rsidRDefault="00881F91">
            <w:pPr>
              <w:numPr>
                <w:ilvl w:val="0"/>
                <w:numId w:val="2"/>
              </w:numPr>
              <w:spacing w:line="276" w:lineRule="auto"/>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Deposit the instruments of adherence to the OPs to the CEDAW and the ICCPR with the United Nations Secretariat General and ratify the Optional Protocol to the ICESCR and ILO Conventions 189 and 190 on domestic workers, violence and harassment respectively;</w:t>
            </w:r>
          </w:p>
          <w:p w14:paraId="2625173E" w14:textId="77777777" w:rsidR="005479D2" w:rsidRPr="00B30884" w:rsidRDefault="00881F91">
            <w:pPr>
              <w:numPr>
                <w:ilvl w:val="0"/>
                <w:numId w:val="2"/>
              </w:numPr>
              <w:spacing w:line="276" w:lineRule="auto"/>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Harmonize the entire legal arsenal with the provisions of the Constitution and Morocco's international commitments;</w:t>
            </w:r>
          </w:p>
          <w:p w14:paraId="77F97133" w14:textId="77777777" w:rsidR="005479D2" w:rsidRPr="00B30884" w:rsidRDefault="00881F91">
            <w:pPr>
              <w:numPr>
                <w:ilvl w:val="0"/>
                <w:numId w:val="2"/>
              </w:numPr>
              <w:spacing w:line="276" w:lineRule="auto"/>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Establish institutional mechanisms in charge of gender equality, with the necessary capacities to ensure inter-sectoral coordination, as well as the monitoring and evaluation of the implementation of public policies in this area;</w:t>
            </w:r>
          </w:p>
          <w:p w14:paraId="37789CE7" w14:textId="77777777" w:rsidR="005479D2" w:rsidRPr="00B30884" w:rsidRDefault="00881F91">
            <w:pPr>
              <w:numPr>
                <w:ilvl w:val="0"/>
                <w:numId w:val="2"/>
              </w:numPr>
              <w:spacing w:line="276" w:lineRule="auto"/>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Amend the law that established APALD to provide it with protection, prevention, and promotion mandates along with the powers and capacities to guide, monitor, and evaluate the implementation of all legislation and public policies in accordance with constitutional requirements and the Paris Principles;</w:t>
            </w:r>
          </w:p>
          <w:p w14:paraId="292808A2" w14:textId="77777777" w:rsidR="005479D2" w:rsidRPr="00B30884" w:rsidRDefault="00881F91">
            <w:pPr>
              <w:numPr>
                <w:ilvl w:val="0"/>
                <w:numId w:val="2"/>
              </w:numPr>
              <w:spacing w:line="276" w:lineRule="auto"/>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 xml:space="preserve">Implement special interim measures in accordance with the Constitution and Article 4 of CEDAW; </w:t>
            </w:r>
          </w:p>
          <w:p w14:paraId="7FE009F6" w14:textId="77777777" w:rsidR="005479D2" w:rsidRPr="00B30884" w:rsidRDefault="00881F91">
            <w:pPr>
              <w:numPr>
                <w:ilvl w:val="0"/>
                <w:numId w:val="3"/>
              </w:numPr>
              <w:spacing w:line="276" w:lineRule="auto"/>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lastRenderedPageBreak/>
              <w:t>Make the promotion of equality and the fight against discrimination, sexist stereotypes and GBV a national priority, translated into a comprehensive and cross-cutting public policy with a substantial budget;</w:t>
            </w:r>
          </w:p>
          <w:p w14:paraId="50EB1DC6" w14:textId="77777777" w:rsidR="005479D2" w:rsidRPr="00B30884" w:rsidRDefault="00881F91">
            <w:pPr>
              <w:numPr>
                <w:ilvl w:val="0"/>
                <w:numId w:val="3"/>
              </w:numPr>
              <w:spacing w:line="276" w:lineRule="auto"/>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Urgently overhaul criminal legislation and Law 103.13 on combating violence against women in accordance with international standards;</w:t>
            </w:r>
          </w:p>
          <w:p w14:paraId="66E21510" w14:textId="77777777" w:rsidR="005479D2" w:rsidRPr="00B30884" w:rsidRDefault="00881F91">
            <w:pPr>
              <w:numPr>
                <w:ilvl w:val="0"/>
                <w:numId w:val="3"/>
              </w:numPr>
              <w:spacing w:line="276" w:lineRule="auto"/>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Establish institutionalized service chains throughout the country with adequate human and material resources and implement specific procedures to facilitate women's access to justice;</w:t>
            </w:r>
          </w:p>
          <w:p w14:paraId="0A4EE261" w14:textId="77777777" w:rsidR="005479D2" w:rsidRPr="00B30884" w:rsidRDefault="00881F91">
            <w:pPr>
              <w:numPr>
                <w:ilvl w:val="0"/>
                <w:numId w:val="3"/>
              </w:numPr>
              <w:spacing w:line="276" w:lineRule="auto"/>
              <w:rPr>
                <w:rFonts w:ascii="Times New Roman" w:eastAsia="Times New Roman" w:hAnsi="Times New Roman" w:cs="Times New Roman"/>
                <w:b/>
                <w:sz w:val="20"/>
                <w:szCs w:val="20"/>
              </w:rPr>
            </w:pPr>
            <w:r w:rsidRPr="00B30884">
              <w:rPr>
                <w:rFonts w:ascii="Times New Roman" w:eastAsia="Times New Roman" w:hAnsi="Times New Roman" w:cs="Times New Roman"/>
                <w:color w:val="0D0D0D"/>
                <w:sz w:val="20"/>
                <w:szCs w:val="20"/>
              </w:rPr>
              <w:t>Increase public awareness on gender-based violence: Integrate it in school textbooks and in the trainings of all social actors as well as those in charge of law enforcement;</w:t>
            </w:r>
          </w:p>
        </w:tc>
      </w:tr>
    </w:tbl>
    <w:p w14:paraId="718ABE7A" w14:textId="77777777" w:rsidR="005479D2" w:rsidRPr="00B30884" w:rsidRDefault="005479D2">
      <w:pPr>
        <w:jc w:val="both"/>
        <w:rPr>
          <w:b/>
          <w:sz w:val="20"/>
          <w:szCs w:val="20"/>
        </w:rPr>
      </w:pPr>
    </w:p>
    <w:p w14:paraId="72BA4B86" w14:textId="77777777" w:rsidR="005479D2" w:rsidRPr="00B30884" w:rsidRDefault="00881F91">
      <w:pPr>
        <w:jc w:val="center"/>
        <w:rPr>
          <w:b/>
          <w:sz w:val="20"/>
          <w:szCs w:val="20"/>
        </w:rPr>
      </w:pPr>
      <w:r w:rsidRPr="00B30884">
        <w:rPr>
          <w:b/>
          <w:sz w:val="20"/>
          <w:szCs w:val="20"/>
        </w:rPr>
        <w:t>PART II (Articles 7-8-9)</w:t>
      </w:r>
    </w:p>
    <w:p w14:paraId="6FF04199" w14:textId="77777777" w:rsidR="005479D2" w:rsidRPr="00B30884" w:rsidRDefault="00881F91">
      <w:pPr>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Participation in Political and Public Life</w:t>
      </w:r>
    </w:p>
    <w:p w14:paraId="6F117667" w14:textId="77777777" w:rsidR="005479D2" w:rsidRPr="00B30884" w:rsidRDefault="00881F91">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The political and public participation of Moroccan women</w:t>
      </w:r>
      <w:r w:rsidRPr="00B30884">
        <w:rPr>
          <w:rFonts w:ascii="Times New Roman" w:eastAsia="Times New Roman" w:hAnsi="Times New Roman" w:cs="Times New Roman"/>
          <w:color w:val="0D0D0D"/>
          <w:sz w:val="20"/>
          <w:szCs w:val="20"/>
        </w:rPr>
        <w:t xml:space="preserve"> has improved relatively since 2008. However, despite the revision of the electoral system, women still face structural and legal obstacles and remain largely under-represented in elective mandates and decision-making positions, ranking Morocco 112</w:t>
      </w:r>
      <w:r w:rsidRPr="00B30884">
        <w:rPr>
          <w:rFonts w:ascii="Times New Roman" w:eastAsia="Times New Roman" w:hAnsi="Times New Roman" w:cs="Times New Roman"/>
          <w:color w:val="0D0D0D"/>
          <w:sz w:val="20"/>
          <w:szCs w:val="20"/>
          <w:vertAlign w:val="superscript"/>
        </w:rPr>
        <w:t>th</w:t>
      </w:r>
      <w:r w:rsidRPr="00B30884">
        <w:rPr>
          <w:rFonts w:ascii="Times New Roman" w:eastAsia="Times New Roman" w:hAnsi="Times New Roman" w:cs="Times New Roman"/>
          <w:color w:val="0D0D0D"/>
          <w:sz w:val="20"/>
          <w:szCs w:val="20"/>
        </w:rPr>
        <w:t xml:space="preserve"> out of 193 states in 2021</w:t>
      </w:r>
      <w:r w:rsidRPr="00B30884">
        <w:rPr>
          <w:rFonts w:ascii="Times New Roman" w:eastAsia="Times New Roman" w:hAnsi="Times New Roman" w:cs="Times New Roman"/>
          <w:color w:val="0D0D0D"/>
          <w:sz w:val="20"/>
          <w:szCs w:val="20"/>
          <w:vertAlign w:val="superscript"/>
        </w:rPr>
        <w:footnoteReference w:id="36"/>
      </w:r>
      <w:r w:rsidRPr="00B30884">
        <w:rPr>
          <w:rFonts w:ascii="Times New Roman" w:eastAsia="Times New Roman" w:hAnsi="Times New Roman" w:cs="Times New Roman"/>
          <w:color w:val="0D0D0D"/>
          <w:sz w:val="20"/>
          <w:szCs w:val="20"/>
        </w:rPr>
        <w:t xml:space="preserve">. </w:t>
      </w:r>
    </w:p>
    <w:p w14:paraId="0BF835F2" w14:textId="77777777" w:rsidR="005479D2" w:rsidRPr="00B30884" w:rsidRDefault="00881F91">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 The </w:t>
      </w:r>
      <w:r w:rsidRPr="00B30884">
        <w:rPr>
          <w:rFonts w:ascii="Times New Roman" w:eastAsia="Times New Roman" w:hAnsi="Times New Roman" w:cs="Times New Roman"/>
          <w:b/>
          <w:color w:val="0D0D0D"/>
          <w:sz w:val="20"/>
          <w:szCs w:val="20"/>
        </w:rPr>
        <w:t>Organic Law No. 27-11 relating to the House of Representatives</w:t>
      </w:r>
      <w:r w:rsidRPr="00B30884">
        <w:rPr>
          <w:rFonts w:ascii="Times New Roman" w:eastAsia="Times New Roman" w:hAnsi="Times New Roman" w:cs="Times New Roman"/>
          <w:color w:val="0D0D0D"/>
          <w:sz w:val="20"/>
          <w:szCs w:val="20"/>
          <w:vertAlign w:val="superscript"/>
        </w:rPr>
        <w:footnoteReference w:id="37"/>
      </w:r>
      <w:r w:rsidRPr="00B30884">
        <w:rPr>
          <w:rFonts w:ascii="Times New Roman" w:eastAsia="Times New Roman" w:hAnsi="Times New Roman" w:cs="Times New Roman"/>
          <w:b/>
          <w:color w:val="0D0D0D"/>
          <w:sz w:val="20"/>
          <w:szCs w:val="20"/>
        </w:rPr>
        <w:t xml:space="preserve"> </w:t>
      </w:r>
      <w:r w:rsidRPr="00B30884">
        <w:rPr>
          <w:rFonts w:ascii="Times New Roman" w:eastAsia="Times New Roman" w:hAnsi="Times New Roman" w:cs="Times New Roman"/>
          <w:color w:val="0D0D0D"/>
          <w:sz w:val="20"/>
          <w:szCs w:val="20"/>
        </w:rPr>
        <w:t xml:space="preserve">provides for 90 reserved seats for women out of 395, but has not significantly improved the proportion of women in the first chamber (17% in 2011 and 24.3% in 2021). </w:t>
      </w:r>
    </w:p>
    <w:p w14:paraId="4C3A4760" w14:textId="77777777" w:rsidR="005479D2" w:rsidRPr="00B30884" w:rsidRDefault="00881F91">
      <w:pPr>
        <w:numPr>
          <w:ilvl w:val="0"/>
          <w:numId w:val="1"/>
        </w:numPr>
        <w:spacing w:after="0"/>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 Despite the principle of alternation advocated by </w:t>
      </w:r>
      <w:r w:rsidRPr="00B30884">
        <w:rPr>
          <w:rFonts w:ascii="Times New Roman" w:eastAsia="Times New Roman" w:hAnsi="Times New Roman" w:cs="Times New Roman"/>
          <w:b/>
          <w:color w:val="0D0D0D"/>
          <w:sz w:val="20"/>
          <w:szCs w:val="20"/>
        </w:rPr>
        <w:t>organic law no. 28-11 on the 120-member Chamber of Councilors</w:t>
      </w:r>
      <w:r w:rsidRPr="00B30884">
        <w:rPr>
          <w:rFonts w:ascii="Times New Roman" w:eastAsia="Times New Roman" w:hAnsi="Times New Roman" w:cs="Times New Roman"/>
          <w:color w:val="0D0D0D"/>
          <w:sz w:val="20"/>
          <w:szCs w:val="20"/>
        </w:rPr>
        <w:t xml:space="preserve">, the representation of women, which is already insignificant (14 in 2015), has been reduced to 13 women councilors in 2021.  </w:t>
      </w:r>
    </w:p>
    <w:p w14:paraId="72D10C22" w14:textId="77777777" w:rsidR="005479D2" w:rsidRPr="00B30884" w:rsidRDefault="00881F91">
      <w:pPr>
        <w:numPr>
          <w:ilvl w:val="0"/>
          <w:numId w:val="1"/>
        </w:numPr>
        <w:spacing w:after="0"/>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In addition, only one woman out of eleven and four out of fourteen are </w:t>
      </w:r>
      <w:r w:rsidRPr="00B30884">
        <w:rPr>
          <w:rFonts w:ascii="Times New Roman" w:eastAsia="Times New Roman" w:hAnsi="Times New Roman" w:cs="Times New Roman"/>
          <w:b/>
          <w:color w:val="0D0D0D"/>
          <w:sz w:val="20"/>
          <w:szCs w:val="20"/>
        </w:rPr>
        <w:t>members</w:t>
      </w:r>
      <w:r w:rsidRPr="00B30884">
        <w:rPr>
          <w:rFonts w:ascii="Times New Roman" w:eastAsia="Times New Roman" w:hAnsi="Times New Roman" w:cs="Times New Roman"/>
          <w:color w:val="0D0D0D"/>
          <w:sz w:val="20"/>
          <w:szCs w:val="20"/>
        </w:rPr>
        <w:t xml:space="preserve"> of </w:t>
      </w:r>
      <w:r w:rsidRPr="00B30884">
        <w:rPr>
          <w:rFonts w:ascii="Times New Roman" w:eastAsia="Times New Roman" w:hAnsi="Times New Roman" w:cs="Times New Roman"/>
          <w:b/>
          <w:color w:val="0D0D0D"/>
          <w:sz w:val="20"/>
          <w:szCs w:val="20"/>
        </w:rPr>
        <w:t>the boards of the 2</w:t>
      </w:r>
      <w:r w:rsidRPr="00B30884">
        <w:rPr>
          <w:rFonts w:ascii="Times New Roman" w:eastAsia="Times New Roman" w:hAnsi="Times New Roman" w:cs="Times New Roman"/>
          <w:b/>
          <w:color w:val="0D0D0D"/>
          <w:sz w:val="20"/>
          <w:szCs w:val="20"/>
          <w:vertAlign w:val="superscript"/>
        </w:rPr>
        <w:t>nd</w:t>
      </w:r>
      <w:r w:rsidRPr="00B30884">
        <w:rPr>
          <w:rFonts w:ascii="Times New Roman" w:eastAsia="Times New Roman" w:hAnsi="Times New Roman" w:cs="Times New Roman"/>
          <w:b/>
          <w:color w:val="0D0D0D"/>
          <w:sz w:val="20"/>
          <w:szCs w:val="20"/>
        </w:rPr>
        <w:t xml:space="preserve"> and 1</w:t>
      </w:r>
      <w:r w:rsidRPr="00B30884">
        <w:rPr>
          <w:rFonts w:ascii="Times New Roman" w:eastAsia="Times New Roman" w:hAnsi="Times New Roman" w:cs="Times New Roman"/>
          <w:b/>
          <w:color w:val="0D0D0D"/>
          <w:sz w:val="20"/>
          <w:szCs w:val="20"/>
          <w:vertAlign w:val="superscript"/>
        </w:rPr>
        <w:t>st</w:t>
      </w:r>
      <w:r w:rsidRPr="00B30884">
        <w:rPr>
          <w:rFonts w:ascii="Times New Roman" w:eastAsia="Times New Roman" w:hAnsi="Times New Roman" w:cs="Times New Roman"/>
          <w:b/>
          <w:color w:val="0D0D0D"/>
          <w:sz w:val="20"/>
          <w:szCs w:val="20"/>
        </w:rPr>
        <w:t xml:space="preserve"> chambers of the parliament.</w:t>
      </w:r>
      <w:r w:rsidRPr="00B30884">
        <w:rPr>
          <w:rFonts w:ascii="Times New Roman" w:eastAsia="Times New Roman" w:hAnsi="Times New Roman" w:cs="Times New Roman"/>
          <w:color w:val="0D0D0D"/>
          <w:sz w:val="20"/>
          <w:szCs w:val="20"/>
        </w:rPr>
        <w:t xml:space="preserve"> </w:t>
      </w:r>
      <w:r w:rsidRPr="00B30884">
        <w:rPr>
          <w:rFonts w:ascii="Times New Roman" w:eastAsia="Times New Roman" w:hAnsi="Times New Roman" w:cs="Times New Roman"/>
          <w:color w:val="000000"/>
        </w:rPr>
        <w:t>None of the eight parliamentary groups or groupings in the House of Representatives is chaired by a woman, and only one of the 11 in the House of Councilors is chaired by a woman</w:t>
      </w:r>
      <w:r w:rsidRPr="00B30884">
        <w:rPr>
          <w:rFonts w:ascii="Times New Roman" w:eastAsia="Times New Roman" w:hAnsi="Times New Roman" w:cs="Times New Roman"/>
          <w:color w:val="0D0D0D"/>
          <w:sz w:val="20"/>
          <w:szCs w:val="20"/>
        </w:rPr>
        <w:t>.</w:t>
      </w:r>
    </w:p>
    <w:p w14:paraId="58CB6185"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 xml:space="preserve">Women's access to decision-making positions in the executive </w:t>
      </w:r>
      <w:r w:rsidRPr="00B30884">
        <w:rPr>
          <w:rFonts w:ascii="Times New Roman" w:eastAsia="Times New Roman" w:hAnsi="Times New Roman" w:cs="Times New Roman"/>
          <w:color w:val="0D0D0D"/>
          <w:sz w:val="20"/>
          <w:szCs w:val="20"/>
        </w:rPr>
        <w:t xml:space="preserve">branch has improved (from 12.8% in 2011 to 16.7% in 2019 and 25% in 2021) with six women members of the October 7, 2021 government, several of whom are in charge of important portfolios such as Economy and Finance. On the other hand, </w:t>
      </w:r>
      <w:r w:rsidRPr="00B30884">
        <w:rPr>
          <w:rFonts w:ascii="Times New Roman" w:eastAsia="Times New Roman" w:hAnsi="Times New Roman" w:cs="Times New Roman"/>
          <w:b/>
          <w:color w:val="0D0D0D"/>
          <w:sz w:val="20"/>
          <w:szCs w:val="20"/>
        </w:rPr>
        <w:t>the rate of feminization of senior positions</w:t>
      </w:r>
      <w:r w:rsidRPr="00B30884">
        <w:rPr>
          <w:rFonts w:ascii="Times New Roman" w:eastAsia="Times New Roman" w:hAnsi="Times New Roman" w:cs="Times New Roman"/>
          <w:color w:val="0D0D0D"/>
          <w:sz w:val="20"/>
          <w:szCs w:val="20"/>
        </w:rPr>
        <w:t xml:space="preserve"> during the period 2012-2020 does not exceed 11.8%</w:t>
      </w:r>
      <w:r w:rsidRPr="00B30884">
        <w:rPr>
          <w:rFonts w:ascii="Times New Roman" w:eastAsia="Times New Roman" w:hAnsi="Times New Roman" w:cs="Times New Roman"/>
          <w:color w:val="0D0D0D"/>
          <w:sz w:val="20"/>
          <w:szCs w:val="20"/>
          <w:vertAlign w:val="superscript"/>
        </w:rPr>
        <w:footnoteReference w:id="38"/>
      </w:r>
      <w:r w:rsidRPr="00B30884">
        <w:rPr>
          <w:rFonts w:ascii="Times New Roman" w:eastAsia="Times New Roman" w:hAnsi="Times New Roman" w:cs="Times New Roman"/>
          <w:color w:val="0D0D0D"/>
          <w:sz w:val="20"/>
          <w:szCs w:val="20"/>
        </w:rPr>
        <w:t xml:space="preserve">. Implementing Decree No. 02-12-412 of Organic Law No. 02-12 on the procedure for appointment to senior positions does not require parity in the composition of the commission for the examination of applications, nor does it require compliance with a quota of women candidates. On the contrary, it requires prior experience in a senior position. Women are grossly underrepresented in these positions, which constitutes blatant indirect discrimination. </w:t>
      </w:r>
    </w:p>
    <w:p w14:paraId="0D691E2F" w14:textId="77777777" w:rsidR="005479D2" w:rsidRPr="00B30884" w:rsidRDefault="00881F91">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With regard to the representation of women in the judiciary system,</w:t>
      </w:r>
      <w:r w:rsidRPr="00B30884">
        <w:rPr>
          <w:rFonts w:ascii="Times New Roman" w:eastAsia="Times New Roman" w:hAnsi="Times New Roman" w:cs="Times New Roman"/>
          <w:color w:val="0D0D0D"/>
          <w:sz w:val="20"/>
          <w:szCs w:val="20"/>
        </w:rPr>
        <w:t xml:space="preserve"> although the Ministry of Justice has a feminization rate of 43.9%</w:t>
      </w:r>
      <w:r w:rsidRPr="00B30884">
        <w:rPr>
          <w:rFonts w:ascii="Times New Roman" w:eastAsia="Times New Roman" w:hAnsi="Times New Roman" w:cs="Times New Roman"/>
          <w:color w:val="0D0D0D"/>
          <w:sz w:val="20"/>
          <w:szCs w:val="20"/>
          <w:vertAlign w:val="superscript"/>
        </w:rPr>
        <w:footnoteReference w:id="39"/>
      </w:r>
      <w:r w:rsidRPr="00B30884">
        <w:rPr>
          <w:rFonts w:ascii="Times New Roman" w:eastAsia="Times New Roman" w:hAnsi="Times New Roman" w:cs="Times New Roman"/>
          <w:color w:val="0D0D0D"/>
          <w:sz w:val="20"/>
          <w:szCs w:val="20"/>
        </w:rPr>
        <w:t xml:space="preserve">, the ratio of women in judicial positions has only increased by one point in a decade, from 23.9% in 2011 to 24.9% in 2020. In 2010, three women out of 36 (8.33%) sat on the Supreme Court, the current "Court of Cassation", with only one woman out of 41 magistrates in 2020. </w:t>
      </w:r>
    </w:p>
    <w:p w14:paraId="14B7B603" w14:textId="77777777" w:rsidR="005479D2" w:rsidRPr="00B30884" w:rsidRDefault="00881F91">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The </w:t>
      </w:r>
      <w:r w:rsidRPr="00B30884">
        <w:rPr>
          <w:rFonts w:ascii="Times New Roman" w:eastAsia="Times New Roman" w:hAnsi="Times New Roman" w:cs="Times New Roman"/>
          <w:b/>
          <w:color w:val="0D0D0D"/>
          <w:sz w:val="20"/>
          <w:szCs w:val="20"/>
        </w:rPr>
        <w:t>Constitutional Court</w:t>
      </w:r>
      <w:r w:rsidRPr="00B30884">
        <w:rPr>
          <w:rFonts w:ascii="Times New Roman" w:eastAsia="Times New Roman" w:hAnsi="Times New Roman" w:cs="Times New Roman"/>
          <w:color w:val="0D0D0D"/>
          <w:sz w:val="20"/>
          <w:szCs w:val="20"/>
        </w:rPr>
        <w:t xml:space="preserve"> has only one woman out of 12 judges. Similarly, no woman has been elected president, although the statistics of the Ministry of Justice indicate that the number of women in this profession is 24%</w:t>
      </w:r>
      <w:r w:rsidRPr="00B30884">
        <w:rPr>
          <w:rFonts w:ascii="Times New Roman" w:eastAsia="Times New Roman" w:hAnsi="Times New Roman" w:cs="Times New Roman"/>
          <w:color w:val="0D0D0D"/>
          <w:sz w:val="20"/>
          <w:szCs w:val="20"/>
          <w:vertAlign w:val="superscript"/>
        </w:rPr>
        <w:footnoteReference w:id="40"/>
      </w:r>
      <w:r w:rsidRPr="00B30884">
        <w:rPr>
          <w:rFonts w:ascii="Times New Roman" w:eastAsia="Times New Roman" w:hAnsi="Times New Roman" w:cs="Times New Roman"/>
          <w:color w:val="0D0D0D"/>
          <w:sz w:val="20"/>
          <w:szCs w:val="20"/>
        </w:rPr>
        <w:t xml:space="preserve">. </w:t>
      </w:r>
    </w:p>
    <w:p w14:paraId="66CE48C2" w14:textId="77777777" w:rsidR="005479D2" w:rsidRPr="00B30884" w:rsidRDefault="00881F91">
      <w:pPr>
        <w:numPr>
          <w:ilvl w:val="0"/>
          <w:numId w:val="1"/>
        </w:numPr>
        <w:pBdr>
          <w:top w:val="nil"/>
          <w:left w:val="nil"/>
          <w:bottom w:val="nil"/>
          <w:right w:val="nil"/>
          <w:between w:val="nil"/>
        </w:pBdr>
        <w:spacing w:after="24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lastRenderedPageBreak/>
        <w:t xml:space="preserve">Female representation internationally </w:t>
      </w:r>
      <w:r w:rsidRPr="00B30884">
        <w:rPr>
          <w:rFonts w:ascii="Times New Roman" w:eastAsia="Times New Roman" w:hAnsi="Times New Roman" w:cs="Times New Roman"/>
          <w:color w:val="0D0D0D"/>
          <w:sz w:val="20"/>
          <w:szCs w:val="20"/>
        </w:rPr>
        <w:t>has seen an upward trend between 2009 and 2018</w:t>
      </w:r>
      <w:r w:rsidRPr="00B30884">
        <w:rPr>
          <w:rFonts w:ascii="Times New Roman" w:eastAsia="Times New Roman" w:hAnsi="Times New Roman" w:cs="Times New Roman"/>
          <w:color w:val="0D0D0D"/>
          <w:sz w:val="20"/>
          <w:szCs w:val="20"/>
          <w:vertAlign w:val="superscript"/>
        </w:rPr>
        <w:footnoteReference w:id="41"/>
      </w:r>
      <w:r w:rsidRPr="00B30884">
        <w:rPr>
          <w:rFonts w:ascii="Times New Roman" w:eastAsia="Times New Roman" w:hAnsi="Times New Roman" w:cs="Times New Roman"/>
          <w:color w:val="0D0D0D"/>
          <w:sz w:val="20"/>
          <w:szCs w:val="20"/>
        </w:rPr>
        <w:t xml:space="preserve"> in embassies (12% to 25.1%) and in the country's consulates (5.8% to 35.5%). </w:t>
      </w:r>
    </w:p>
    <w:p w14:paraId="12CA391C" w14:textId="77777777" w:rsidR="005479D2" w:rsidRPr="00B30884" w:rsidRDefault="00881F91">
      <w:pPr>
        <w:tabs>
          <w:tab w:val="left" w:pos="1267"/>
          <w:tab w:val="left" w:pos="1742"/>
          <w:tab w:val="left" w:pos="2218"/>
          <w:tab w:val="left" w:pos="2693"/>
          <w:tab w:val="left" w:pos="3182"/>
          <w:tab w:val="left" w:pos="3658"/>
          <w:tab w:val="left" w:pos="4133"/>
          <w:tab w:val="left" w:pos="4622"/>
          <w:tab w:val="left" w:pos="5098"/>
          <w:tab w:val="left" w:pos="5573"/>
          <w:tab w:val="left" w:pos="6048"/>
        </w:tabs>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 xml:space="preserve">Nationality Code </w:t>
      </w:r>
    </w:p>
    <w:p w14:paraId="72FD9999" w14:textId="77777777" w:rsidR="005479D2" w:rsidRPr="00B30884" w:rsidRDefault="00881F91">
      <w:pPr>
        <w:numPr>
          <w:ilvl w:val="0"/>
          <w:numId w:val="1"/>
        </w:numPr>
        <w:pBdr>
          <w:top w:val="nil"/>
          <w:left w:val="nil"/>
          <w:bottom w:val="nil"/>
          <w:right w:val="nil"/>
          <w:between w:val="nil"/>
        </w:pBdr>
        <w:spacing w:before="240"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Amended in 2007, article 6 of this code recognizes, for the first time, the right of a woman to transmit her nationality to her children. Under this code, a foreign wife can acquire the nationality of her Moroccan husband, whereas this right is not recognized for the Moroccan woman's foreign husband (Article 10).</w:t>
      </w:r>
    </w:p>
    <w:p w14:paraId="05FA65CA" w14:textId="77777777" w:rsidR="005479D2" w:rsidRPr="00B30884" w:rsidRDefault="00881F91">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Moreover, article 19 of the Code introduces a new discrimination by stating that "</w:t>
      </w:r>
      <w:r w:rsidRPr="00B30884">
        <w:rPr>
          <w:rFonts w:ascii="Times New Roman" w:eastAsia="Times New Roman" w:hAnsi="Times New Roman" w:cs="Times New Roman"/>
          <w:i/>
          <w:color w:val="0D0D0D"/>
          <w:sz w:val="20"/>
          <w:szCs w:val="20"/>
        </w:rPr>
        <w:t>Moroccan women who marry a foreigner and acquire, as a result of their marriage, the nationality of the husband, and who have been authorized by decree prior to the conclusion of the marriage, to renounce their Moroccan nationality, shall lose their Moroccan nationality.’’</w:t>
      </w: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5479D2" w:rsidRPr="00B30884" w14:paraId="5CF81FBC" w14:textId="77777777">
        <w:tc>
          <w:tcPr>
            <w:tcW w:w="9062" w:type="dxa"/>
          </w:tcPr>
          <w:p w14:paraId="721FBCBD" w14:textId="7B874AAE" w:rsidR="005479D2" w:rsidRPr="00B30884" w:rsidRDefault="00EA346F">
            <w:pPr>
              <w:widowControl w:val="0"/>
              <w:numPr>
                <w:ilvl w:val="0"/>
                <w:numId w:val="1"/>
              </w:numPr>
              <w:pBdr>
                <w:top w:val="nil"/>
                <w:left w:val="nil"/>
                <w:bottom w:val="nil"/>
                <w:right w:val="nil"/>
                <w:between w:val="nil"/>
              </w:pBdr>
              <w:tabs>
                <w:tab w:val="left" w:pos="360"/>
              </w:tabs>
              <w:spacing w:line="276" w:lineRule="auto"/>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Recommendations:</w:t>
            </w:r>
          </w:p>
          <w:p w14:paraId="46988E01" w14:textId="77777777" w:rsidR="005479D2" w:rsidRPr="00B30884" w:rsidRDefault="00881F91">
            <w:pPr>
              <w:numPr>
                <w:ilvl w:val="0"/>
                <w:numId w:val="2"/>
              </w:numPr>
              <w:spacing w:line="276" w:lineRule="auto"/>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Implement special interim measures to ensure gender equity and equality, in accordance with the Constitution and Article 4 of CEDAW;</w:t>
            </w:r>
          </w:p>
          <w:p w14:paraId="658C9334" w14:textId="77777777" w:rsidR="005479D2" w:rsidRPr="00B30884" w:rsidRDefault="00881F91">
            <w:pPr>
              <w:numPr>
                <w:ilvl w:val="0"/>
                <w:numId w:val="2"/>
              </w:numPr>
              <w:spacing w:line="276" w:lineRule="auto"/>
              <w:jc w:val="both"/>
              <w:rPr>
                <w:sz w:val="20"/>
                <w:szCs w:val="20"/>
              </w:rPr>
            </w:pPr>
            <w:r w:rsidRPr="00B30884">
              <w:rPr>
                <w:rFonts w:ascii="Times New Roman" w:eastAsia="Times New Roman" w:hAnsi="Times New Roman" w:cs="Times New Roman"/>
                <w:color w:val="0D0D0D"/>
                <w:sz w:val="20"/>
                <w:szCs w:val="20"/>
              </w:rPr>
              <w:t>Recognize the right of women to transmit their nationality to their foreign spouses under the same conditions required for men.</w:t>
            </w:r>
          </w:p>
        </w:tc>
      </w:tr>
    </w:tbl>
    <w:p w14:paraId="35E65414" w14:textId="77777777" w:rsidR="005479D2" w:rsidRPr="00B30884" w:rsidRDefault="005479D2">
      <w:pPr>
        <w:spacing w:after="0"/>
        <w:jc w:val="both"/>
        <w:rPr>
          <w:sz w:val="20"/>
          <w:szCs w:val="20"/>
        </w:rPr>
      </w:pPr>
    </w:p>
    <w:p w14:paraId="4FE83464" w14:textId="56955AD4" w:rsidR="005479D2" w:rsidRPr="00B30884" w:rsidRDefault="00881F91" w:rsidP="00A90FCB">
      <w:pPr>
        <w:jc w:val="center"/>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Part III (Article 11 - 14)</w:t>
      </w:r>
    </w:p>
    <w:p w14:paraId="1A2EBEE4" w14:textId="77777777" w:rsidR="005479D2" w:rsidRPr="00B30884" w:rsidRDefault="005479D2">
      <w:pPr>
        <w:spacing w:after="0"/>
        <w:jc w:val="both"/>
        <w:rPr>
          <w:rFonts w:ascii="Times New Roman" w:eastAsia="Times New Roman" w:hAnsi="Times New Roman" w:cs="Times New Roman"/>
          <w:b/>
          <w:color w:val="0D0D0D"/>
          <w:sz w:val="20"/>
          <w:szCs w:val="20"/>
        </w:rPr>
      </w:pPr>
    </w:p>
    <w:p w14:paraId="0E5DED26" w14:textId="77777777" w:rsidR="005479D2" w:rsidRPr="00B30884" w:rsidRDefault="00881F91">
      <w:pPr>
        <w:numPr>
          <w:ilvl w:val="0"/>
          <w:numId w:val="1"/>
        </w:numPr>
        <w:pBdr>
          <w:top w:val="nil"/>
          <w:left w:val="nil"/>
          <w:bottom w:val="nil"/>
          <w:right w:val="nil"/>
          <w:between w:val="nil"/>
        </w:pBdr>
        <w:spacing w:after="24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 Despite the progress made since 2008, women and girls still face unequal treatments compared to men in the dimensions related to SDGs 3, 4, 5 and 8. </w:t>
      </w:r>
    </w:p>
    <w:p w14:paraId="445F86BF" w14:textId="77777777" w:rsidR="005479D2" w:rsidRPr="00B30884" w:rsidRDefault="00881F91">
      <w:pPr>
        <w:spacing w:after="24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Education and Training</w:t>
      </w:r>
    </w:p>
    <w:p w14:paraId="1FC13337" w14:textId="77777777" w:rsidR="005479D2" w:rsidRPr="00B30884" w:rsidRDefault="00881F9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 xml:space="preserve">Illiteracy </w:t>
      </w:r>
      <w:r w:rsidRPr="00B30884">
        <w:rPr>
          <w:rFonts w:ascii="Times New Roman" w:eastAsia="Times New Roman" w:hAnsi="Times New Roman" w:cs="Times New Roman"/>
          <w:color w:val="0D0D0D"/>
          <w:sz w:val="20"/>
          <w:szCs w:val="20"/>
        </w:rPr>
        <w:t>affects mostly women, especially in rural areas (46.1% of women versus 25.4% of men in 2019)</w:t>
      </w:r>
      <w:r w:rsidRPr="00B30884">
        <w:rPr>
          <w:rFonts w:ascii="Times New Roman" w:eastAsia="Times New Roman" w:hAnsi="Times New Roman" w:cs="Times New Roman"/>
          <w:color w:val="0D0D0D"/>
          <w:sz w:val="20"/>
          <w:szCs w:val="20"/>
          <w:vertAlign w:val="superscript"/>
        </w:rPr>
        <w:footnoteReference w:id="42"/>
      </w:r>
      <w:r w:rsidRPr="00B30884">
        <w:rPr>
          <w:rFonts w:ascii="Times New Roman" w:eastAsia="Times New Roman" w:hAnsi="Times New Roman" w:cs="Times New Roman"/>
          <w:color w:val="0D0D0D"/>
          <w:sz w:val="20"/>
          <w:szCs w:val="20"/>
        </w:rPr>
        <w:t xml:space="preserve">. Nearly 20.5% of girls between 4 and 17 are </w:t>
      </w:r>
      <w:r w:rsidRPr="00B30884">
        <w:rPr>
          <w:rFonts w:ascii="Times New Roman" w:eastAsia="Times New Roman" w:hAnsi="Times New Roman" w:cs="Times New Roman"/>
          <w:b/>
          <w:color w:val="0D0D0D"/>
          <w:sz w:val="20"/>
          <w:szCs w:val="20"/>
        </w:rPr>
        <w:t xml:space="preserve">out of school </w:t>
      </w:r>
      <w:r w:rsidRPr="00B30884">
        <w:rPr>
          <w:rFonts w:ascii="Times New Roman" w:eastAsia="Times New Roman" w:hAnsi="Times New Roman" w:cs="Times New Roman"/>
          <w:color w:val="0D0D0D"/>
          <w:sz w:val="20"/>
          <w:szCs w:val="20"/>
        </w:rPr>
        <w:t xml:space="preserve">(compared with 17.3% of boys) and the </w:t>
      </w:r>
      <w:r w:rsidRPr="00B30884">
        <w:rPr>
          <w:rFonts w:ascii="Times New Roman" w:eastAsia="Times New Roman" w:hAnsi="Times New Roman" w:cs="Times New Roman"/>
          <w:b/>
          <w:color w:val="0D0D0D"/>
          <w:sz w:val="20"/>
          <w:szCs w:val="20"/>
        </w:rPr>
        <w:t>overall pre-school enrollment rate for girls</w:t>
      </w:r>
      <w:r w:rsidRPr="00B30884">
        <w:rPr>
          <w:rFonts w:ascii="Times New Roman" w:eastAsia="Times New Roman" w:hAnsi="Times New Roman" w:cs="Times New Roman"/>
          <w:color w:val="0D0D0D"/>
          <w:sz w:val="20"/>
          <w:szCs w:val="20"/>
        </w:rPr>
        <w:t xml:space="preserve"> (2019-20) is 7 points lower than that of boys (73% versus 80.1%). This 15-point gap in rural areas (57.4% for girls versus 72.4% for boys) is accentuated at the </w:t>
      </w:r>
      <w:r w:rsidRPr="00B30884">
        <w:rPr>
          <w:rFonts w:ascii="Times New Roman" w:eastAsia="Times New Roman" w:hAnsi="Times New Roman" w:cs="Times New Roman"/>
          <w:b/>
          <w:color w:val="0D0D0D"/>
          <w:sz w:val="20"/>
          <w:szCs w:val="20"/>
        </w:rPr>
        <w:t>secondary level, with a specific enrollment rate</w:t>
      </w:r>
      <w:r w:rsidRPr="00B30884">
        <w:rPr>
          <w:rFonts w:ascii="Times New Roman" w:eastAsia="Times New Roman" w:hAnsi="Times New Roman" w:cs="Times New Roman"/>
          <w:color w:val="0D0D0D"/>
          <w:sz w:val="20"/>
          <w:szCs w:val="20"/>
        </w:rPr>
        <w:t xml:space="preserve"> among 15–17-year-olds of 39.2% for rural girls (50.5% for boys) versus 68.7% for urban girls (i.e., a 29.5-point gap)</w:t>
      </w:r>
      <w:r w:rsidRPr="00B30884">
        <w:rPr>
          <w:rFonts w:ascii="Times New Roman" w:eastAsia="Times New Roman" w:hAnsi="Times New Roman" w:cs="Times New Roman"/>
          <w:color w:val="0D0D0D"/>
          <w:sz w:val="20"/>
          <w:szCs w:val="20"/>
          <w:vertAlign w:val="superscript"/>
        </w:rPr>
        <w:footnoteReference w:id="43"/>
      </w:r>
      <w:r w:rsidRPr="00B30884">
        <w:rPr>
          <w:rFonts w:ascii="Times New Roman" w:eastAsia="Times New Roman" w:hAnsi="Times New Roman" w:cs="Times New Roman"/>
          <w:color w:val="0D0D0D"/>
          <w:sz w:val="20"/>
          <w:szCs w:val="20"/>
        </w:rPr>
        <w:t>.</w:t>
      </w:r>
    </w:p>
    <w:p w14:paraId="51D6990D"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On the other hand, 55.2% of girls and women aged 12 and over</w:t>
      </w:r>
      <w:r w:rsidRPr="00B30884">
        <w:rPr>
          <w:rFonts w:ascii="Times New Roman" w:eastAsia="Times New Roman" w:hAnsi="Times New Roman" w:cs="Times New Roman"/>
          <w:b/>
          <w:color w:val="0D0D0D"/>
          <w:sz w:val="20"/>
          <w:szCs w:val="20"/>
        </w:rPr>
        <w:t xml:space="preserve"> have not completed primary education </w:t>
      </w:r>
      <w:r w:rsidRPr="00B30884">
        <w:rPr>
          <w:rFonts w:ascii="Times New Roman" w:eastAsia="Times New Roman" w:hAnsi="Times New Roman" w:cs="Times New Roman"/>
          <w:color w:val="0D0D0D"/>
          <w:sz w:val="20"/>
          <w:szCs w:val="20"/>
        </w:rPr>
        <w:t xml:space="preserve">(+13 points compared to boys and men); 67.8% of them aged 15 and over </w:t>
      </w:r>
      <w:r w:rsidRPr="00B30884">
        <w:rPr>
          <w:rFonts w:ascii="Times New Roman" w:eastAsia="Times New Roman" w:hAnsi="Times New Roman" w:cs="Times New Roman"/>
          <w:b/>
          <w:color w:val="0D0D0D"/>
          <w:sz w:val="20"/>
          <w:szCs w:val="20"/>
        </w:rPr>
        <w:t xml:space="preserve">have not completed college education </w:t>
      </w:r>
      <w:r w:rsidRPr="00B30884">
        <w:rPr>
          <w:rFonts w:ascii="Times New Roman" w:eastAsia="Times New Roman" w:hAnsi="Times New Roman" w:cs="Times New Roman"/>
          <w:color w:val="0D0D0D"/>
          <w:sz w:val="20"/>
          <w:szCs w:val="20"/>
        </w:rPr>
        <w:t>(+10 points compared to boys and men); and 81.5% of those aged 18 and over</w:t>
      </w:r>
      <w:r w:rsidRPr="00B30884">
        <w:rPr>
          <w:rFonts w:ascii="Times New Roman" w:eastAsia="Times New Roman" w:hAnsi="Times New Roman" w:cs="Times New Roman"/>
          <w:b/>
          <w:color w:val="0D0D0D"/>
          <w:sz w:val="20"/>
          <w:szCs w:val="20"/>
        </w:rPr>
        <w:t xml:space="preserve"> have not completed qualifying secondary education </w:t>
      </w:r>
      <w:r w:rsidRPr="00B30884">
        <w:rPr>
          <w:rFonts w:ascii="Times New Roman" w:eastAsia="Times New Roman" w:hAnsi="Times New Roman" w:cs="Times New Roman"/>
          <w:color w:val="0D0D0D"/>
          <w:sz w:val="20"/>
          <w:szCs w:val="20"/>
        </w:rPr>
        <w:t>(+5 points compared to men)</w:t>
      </w:r>
      <w:r w:rsidRPr="00B30884">
        <w:rPr>
          <w:rFonts w:ascii="Times New Roman" w:eastAsia="Times New Roman" w:hAnsi="Times New Roman" w:cs="Times New Roman"/>
          <w:color w:val="0D0D0D"/>
          <w:sz w:val="20"/>
          <w:szCs w:val="20"/>
          <w:vertAlign w:val="superscript"/>
        </w:rPr>
        <w:footnoteReference w:id="44"/>
      </w:r>
      <w:r w:rsidRPr="00B30884">
        <w:rPr>
          <w:rFonts w:ascii="Times New Roman" w:eastAsia="Times New Roman" w:hAnsi="Times New Roman" w:cs="Times New Roman"/>
          <w:color w:val="0D0D0D"/>
          <w:sz w:val="20"/>
          <w:szCs w:val="20"/>
        </w:rPr>
        <w:t xml:space="preserve">. </w:t>
      </w:r>
    </w:p>
    <w:p w14:paraId="30BA59EC" w14:textId="77777777" w:rsidR="005479D2" w:rsidRPr="00B30884" w:rsidRDefault="005479D2">
      <w:pPr>
        <w:pBdr>
          <w:top w:val="nil"/>
          <w:left w:val="nil"/>
          <w:bottom w:val="nil"/>
          <w:right w:val="nil"/>
          <w:between w:val="nil"/>
        </w:pBdr>
        <w:spacing w:after="0"/>
        <w:ind w:left="720"/>
        <w:jc w:val="both"/>
        <w:rPr>
          <w:rFonts w:ascii="Times New Roman" w:eastAsia="Times New Roman" w:hAnsi="Times New Roman" w:cs="Times New Roman"/>
          <w:color w:val="0D0D0D"/>
          <w:sz w:val="20"/>
          <w:szCs w:val="20"/>
        </w:rPr>
      </w:pPr>
    </w:p>
    <w:p w14:paraId="7818702C" w14:textId="77777777" w:rsidR="005479D2" w:rsidRPr="00B30884" w:rsidRDefault="00881F91">
      <w:pPr>
        <w:spacing w:after="0" w:line="240" w:lineRule="auto"/>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Healthcare</w:t>
      </w:r>
    </w:p>
    <w:p w14:paraId="5C944616" w14:textId="77777777" w:rsidR="005479D2" w:rsidRPr="00B30884" w:rsidRDefault="005479D2">
      <w:pPr>
        <w:spacing w:after="0" w:line="240" w:lineRule="auto"/>
        <w:ind w:left="720"/>
        <w:jc w:val="both"/>
        <w:rPr>
          <w:rFonts w:ascii="Times New Roman" w:eastAsia="Times New Roman" w:hAnsi="Times New Roman" w:cs="Times New Roman"/>
          <w:b/>
          <w:color w:val="0D0D0D"/>
          <w:sz w:val="20"/>
          <w:szCs w:val="20"/>
        </w:rPr>
      </w:pPr>
    </w:p>
    <w:p w14:paraId="3F51AECE" w14:textId="77777777" w:rsidR="005479D2" w:rsidRPr="00B30884" w:rsidRDefault="00881F91">
      <w:pPr>
        <w:numPr>
          <w:ilvl w:val="0"/>
          <w:numId w:val="1"/>
        </w:numP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Despite the progress made since 2008, </w:t>
      </w:r>
      <w:r w:rsidRPr="00B30884">
        <w:rPr>
          <w:rFonts w:ascii="Times New Roman" w:eastAsia="Times New Roman" w:hAnsi="Times New Roman" w:cs="Times New Roman"/>
          <w:b/>
          <w:color w:val="0D0D0D"/>
          <w:sz w:val="20"/>
          <w:szCs w:val="20"/>
        </w:rPr>
        <w:t>maternal mortality</w:t>
      </w:r>
      <w:r w:rsidRPr="00B30884">
        <w:rPr>
          <w:rFonts w:ascii="Times New Roman" w:eastAsia="Times New Roman" w:hAnsi="Times New Roman" w:cs="Times New Roman"/>
          <w:color w:val="0D0D0D"/>
          <w:sz w:val="20"/>
          <w:szCs w:val="20"/>
        </w:rPr>
        <w:t xml:space="preserve"> at the national level remains very high in rural areas (111.1 deaths per 100,000 live births compared to 44.6 in urban areas). </w:t>
      </w:r>
    </w:p>
    <w:p w14:paraId="3BABF57E"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In addition, more than one out of four rural women (28.4% compared to 11% of urban women) gave birth outside a health facility. The proportion of rural women who received</w:t>
      </w:r>
      <w:r w:rsidRPr="00B30884">
        <w:rPr>
          <w:rFonts w:ascii="Times New Roman" w:eastAsia="Times New Roman" w:hAnsi="Times New Roman" w:cs="Times New Roman"/>
          <w:b/>
          <w:color w:val="0D0D0D"/>
          <w:sz w:val="20"/>
          <w:szCs w:val="20"/>
        </w:rPr>
        <w:t xml:space="preserve"> qualified prenatal care</w:t>
      </w:r>
      <w:r w:rsidRPr="00B30884">
        <w:rPr>
          <w:rFonts w:ascii="Times New Roman" w:eastAsia="Times New Roman" w:hAnsi="Times New Roman" w:cs="Times New Roman"/>
          <w:color w:val="0D0D0D"/>
          <w:sz w:val="20"/>
          <w:szCs w:val="20"/>
        </w:rPr>
        <w:t xml:space="preserve"> was 79.6% (95.6% of urban women) and only 15.6% of rural women received </w:t>
      </w:r>
      <w:r w:rsidRPr="00B30884">
        <w:rPr>
          <w:rFonts w:ascii="Times New Roman" w:eastAsia="Times New Roman" w:hAnsi="Times New Roman" w:cs="Times New Roman"/>
          <w:b/>
          <w:color w:val="0D0D0D"/>
          <w:sz w:val="20"/>
          <w:szCs w:val="20"/>
        </w:rPr>
        <w:t>postnatal care</w:t>
      </w:r>
      <w:r w:rsidRPr="00B30884">
        <w:rPr>
          <w:rFonts w:ascii="Times New Roman" w:eastAsia="Times New Roman" w:hAnsi="Times New Roman" w:cs="Times New Roman"/>
          <w:color w:val="0D0D0D"/>
          <w:sz w:val="20"/>
          <w:szCs w:val="20"/>
        </w:rPr>
        <w:t xml:space="preserve"> (27.2% of urban women)</w:t>
      </w:r>
      <w:r w:rsidRPr="00B30884">
        <w:rPr>
          <w:rFonts w:ascii="Times New Roman" w:eastAsia="Times New Roman" w:hAnsi="Times New Roman" w:cs="Times New Roman"/>
          <w:color w:val="0D0D0D"/>
          <w:sz w:val="20"/>
          <w:szCs w:val="20"/>
          <w:vertAlign w:val="superscript"/>
        </w:rPr>
        <w:footnoteReference w:id="45"/>
      </w:r>
      <w:r w:rsidRPr="00B30884">
        <w:rPr>
          <w:rFonts w:ascii="Times New Roman" w:eastAsia="Times New Roman" w:hAnsi="Times New Roman" w:cs="Times New Roman"/>
          <w:color w:val="0D0D0D"/>
          <w:sz w:val="20"/>
          <w:szCs w:val="20"/>
        </w:rPr>
        <w:t>.</w:t>
      </w:r>
    </w:p>
    <w:p w14:paraId="4EF5C8C0"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lastRenderedPageBreak/>
        <w:t xml:space="preserve">To escape the stigma of an unmarried birth, hundreds of Moroccan women resort to clandestine </w:t>
      </w:r>
      <w:r w:rsidRPr="00B30884">
        <w:rPr>
          <w:rFonts w:ascii="Times New Roman" w:eastAsia="Times New Roman" w:hAnsi="Times New Roman" w:cs="Times New Roman"/>
          <w:b/>
          <w:color w:val="0D0D0D"/>
          <w:sz w:val="20"/>
          <w:szCs w:val="20"/>
        </w:rPr>
        <w:t>abortion</w:t>
      </w:r>
      <w:r w:rsidRPr="00B30884">
        <w:rPr>
          <w:rFonts w:ascii="Times New Roman" w:eastAsia="Times New Roman" w:hAnsi="Times New Roman" w:cs="Times New Roman"/>
          <w:color w:val="0D0D0D"/>
          <w:sz w:val="20"/>
          <w:szCs w:val="20"/>
          <w:vertAlign w:val="superscript"/>
        </w:rPr>
        <w:footnoteReference w:id="46"/>
      </w:r>
      <w:r w:rsidRPr="00B30884">
        <w:rPr>
          <w:rFonts w:ascii="Times New Roman" w:eastAsia="Times New Roman" w:hAnsi="Times New Roman" w:cs="Times New Roman"/>
          <w:color w:val="0D0D0D"/>
          <w:sz w:val="20"/>
          <w:szCs w:val="20"/>
        </w:rPr>
        <w:t xml:space="preserve">, which is the main cause </w:t>
      </w:r>
      <w:r w:rsidRPr="00B30884">
        <w:rPr>
          <w:rFonts w:ascii="Times New Roman" w:eastAsia="Times New Roman" w:hAnsi="Times New Roman" w:cs="Times New Roman"/>
          <w:color w:val="000000"/>
          <w:sz w:val="20"/>
          <w:szCs w:val="20"/>
        </w:rPr>
        <w:t>of death among teenagers and one of the major factors in maternal mortality</w:t>
      </w:r>
      <w:r w:rsidRPr="00B30884">
        <w:rPr>
          <w:rFonts w:ascii="Times New Roman" w:eastAsia="Times New Roman" w:hAnsi="Times New Roman" w:cs="Times New Roman"/>
          <w:color w:val="0D0D0D"/>
          <w:sz w:val="20"/>
          <w:szCs w:val="20"/>
        </w:rPr>
        <w:t>. The recurrence of this practice, which affects all marital and social categories, is estimated at 50,000 and 80,000 per year among women aged between 15 to 44 years old</w:t>
      </w:r>
      <w:r w:rsidRPr="00B30884">
        <w:rPr>
          <w:rFonts w:ascii="Times New Roman" w:eastAsia="Times New Roman" w:hAnsi="Times New Roman" w:cs="Times New Roman"/>
          <w:color w:val="0D0D0D"/>
          <w:sz w:val="20"/>
          <w:szCs w:val="20"/>
          <w:vertAlign w:val="superscript"/>
        </w:rPr>
        <w:footnoteReference w:id="47"/>
      </w:r>
      <w:r w:rsidRPr="00B30884">
        <w:rPr>
          <w:rFonts w:ascii="Times New Roman" w:eastAsia="Times New Roman" w:hAnsi="Times New Roman" w:cs="Times New Roman"/>
          <w:color w:val="0D0D0D"/>
          <w:sz w:val="20"/>
          <w:szCs w:val="20"/>
        </w:rPr>
        <w:t>.</w:t>
      </w:r>
    </w:p>
    <w:p w14:paraId="46234FC2" w14:textId="77777777" w:rsidR="005479D2" w:rsidRPr="00B30884" w:rsidRDefault="005479D2">
      <w:pPr>
        <w:pBdr>
          <w:top w:val="nil"/>
          <w:left w:val="nil"/>
          <w:bottom w:val="nil"/>
          <w:right w:val="nil"/>
          <w:between w:val="nil"/>
        </w:pBdr>
        <w:spacing w:after="0"/>
        <w:jc w:val="both"/>
        <w:rPr>
          <w:rFonts w:ascii="Times New Roman" w:eastAsia="Times New Roman" w:hAnsi="Times New Roman" w:cs="Times New Roman"/>
          <w:color w:val="0D0D0D"/>
          <w:sz w:val="20"/>
          <w:szCs w:val="20"/>
        </w:rPr>
      </w:pPr>
    </w:p>
    <w:p w14:paraId="53B78F6E" w14:textId="77777777" w:rsidR="005479D2" w:rsidRPr="00B30884" w:rsidRDefault="00881F91">
      <w:pPr>
        <w:spacing w:after="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Employment</w:t>
      </w:r>
    </w:p>
    <w:p w14:paraId="44065384" w14:textId="77777777" w:rsidR="005479D2" w:rsidRPr="00B30884" w:rsidRDefault="005479D2">
      <w:pPr>
        <w:pBdr>
          <w:top w:val="nil"/>
          <w:left w:val="nil"/>
          <w:bottom w:val="nil"/>
          <w:right w:val="nil"/>
          <w:between w:val="nil"/>
        </w:pBdr>
        <w:shd w:val="clear" w:color="auto" w:fill="FFFFFF"/>
        <w:spacing w:after="0"/>
        <w:jc w:val="both"/>
        <w:rPr>
          <w:rFonts w:ascii="Times New Roman" w:eastAsia="Times New Roman" w:hAnsi="Times New Roman" w:cs="Times New Roman"/>
          <w:color w:val="0D0D0D"/>
          <w:sz w:val="20"/>
          <w:szCs w:val="20"/>
        </w:rPr>
      </w:pPr>
    </w:p>
    <w:p w14:paraId="41BEBFA7"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Despite the progress in women's education, Morocco is lagging far behind in terms of</w:t>
      </w:r>
      <w:r w:rsidRPr="00B30884">
        <w:rPr>
          <w:rFonts w:ascii="Times New Roman" w:eastAsia="Times New Roman" w:hAnsi="Times New Roman" w:cs="Times New Roman"/>
          <w:b/>
          <w:color w:val="0D0D0D"/>
          <w:sz w:val="20"/>
          <w:szCs w:val="20"/>
        </w:rPr>
        <w:t xml:space="preserve"> women's participation in the labor market</w:t>
      </w:r>
      <w:r w:rsidRPr="00B30884">
        <w:rPr>
          <w:rFonts w:ascii="Times New Roman" w:eastAsia="Times New Roman" w:hAnsi="Times New Roman" w:cs="Times New Roman"/>
          <w:color w:val="0D0D0D"/>
          <w:sz w:val="20"/>
          <w:szCs w:val="20"/>
        </w:rPr>
        <w:t xml:space="preserve"> with, more worryingly, a downward trend in their activity rate (26.6% in 2008 to 19.9% in 2020, compared to 70.4% for men)</w:t>
      </w:r>
      <w:r w:rsidRPr="00B30884">
        <w:rPr>
          <w:rFonts w:ascii="Times New Roman" w:eastAsia="Times New Roman" w:hAnsi="Times New Roman" w:cs="Times New Roman"/>
          <w:color w:val="0D0D0D"/>
          <w:sz w:val="20"/>
          <w:szCs w:val="20"/>
          <w:vertAlign w:val="superscript"/>
        </w:rPr>
        <w:footnoteReference w:id="48"/>
      </w:r>
      <w:r w:rsidRPr="00B30884">
        <w:rPr>
          <w:rFonts w:ascii="Times New Roman" w:eastAsia="Times New Roman" w:hAnsi="Times New Roman" w:cs="Times New Roman"/>
          <w:color w:val="0D0D0D"/>
          <w:sz w:val="20"/>
          <w:szCs w:val="20"/>
        </w:rPr>
        <w:t xml:space="preserve">.  The </w:t>
      </w:r>
      <w:r w:rsidRPr="00B30884">
        <w:rPr>
          <w:rFonts w:ascii="Times New Roman" w:eastAsia="Times New Roman" w:hAnsi="Times New Roman" w:cs="Times New Roman"/>
          <w:b/>
          <w:color w:val="0D0D0D"/>
          <w:sz w:val="20"/>
          <w:szCs w:val="20"/>
        </w:rPr>
        <w:t>employment rate</w:t>
      </w:r>
      <w:r w:rsidRPr="00B30884">
        <w:rPr>
          <w:rFonts w:ascii="Times New Roman" w:eastAsia="Times New Roman" w:hAnsi="Times New Roman" w:cs="Times New Roman"/>
          <w:color w:val="0D0D0D"/>
          <w:sz w:val="20"/>
          <w:szCs w:val="20"/>
        </w:rPr>
        <w:t xml:space="preserve"> for women does not exceed 16.7% compared to 62.9% for men. In 2020,</w:t>
      </w:r>
      <w:r w:rsidRPr="00B30884">
        <w:rPr>
          <w:rFonts w:ascii="Times New Roman" w:eastAsia="Times New Roman" w:hAnsi="Times New Roman" w:cs="Times New Roman"/>
          <w:b/>
          <w:color w:val="0D0D0D"/>
          <w:sz w:val="20"/>
          <w:szCs w:val="20"/>
        </w:rPr>
        <w:t xml:space="preserve"> the female unemployment rate</w:t>
      </w:r>
      <w:r w:rsidRPr="00B30884">
        <w:rPr>
          <w:rFonts w:ascii="Times New Roman" w:eastAsia="Times New Roman" w:hAnsi="Times New Roman" w:cs="Times New Roman"/>
          <w:color w:val="0D0D0D"/>
          <w:sz w:val="20"/>
          <w:szCs w:val="20"/>
        </w:rPr>
        <w:t xml:space="preserve"> reached 16.2%</w:t>
      </w:r>
      <w:r w:rsidRPr="00B30884">
        <w:rPr>
          <w:rFonts w:ascii="Times New Roman" w:eastAsia="Times New Roman" w:hAnsi="Times New Roman" w:cs="Times New Roman"/>
          <w:color w:val="0D0D0D"/>
          <w:sz w:val="20"/>
          <w:szCs w:val="20"/>
          <w:vertAlign w:val="superscript"/>
        </w:rPr>
        <w:footnoteReference w:id="49"/>
      </w:r>
      <w:r w:rsidRPr="00B30884">
        <w:rPr>
          <w:rFonts w:ascii="Times New Roman" w:eastAsia="Times New Roman" w:hAnsi="Times New Roman" w:cs="Times New Roman"/>
          <w:color w:val="0D0D0D"/>
          <w:sz w:val="20"/>
          <w:szCs w:val="20"/>
        </w:rPr>
        <w:t xml:space="preserve"> compared to 10.7% for men</w:t>
      </w:r>
      <w:r w:rsidRPr="00B30884">
        <w:rPr>
          <w:rFonts w:ascii="Times New Roman" w:eastAsia="Times New Roman" w:hAnsi="Times New Roman" w:cs="Times New Roman"/>
          <w:color w:val="0D0D0D"/>
          <w:sz w:val="20"/>
          <w:szCs w:val="20"/>
          <w:vertAlign w:val="superscript"/>
        </w:rPr>
        <w:footnoteReference w:id="50"/>
      </w:r>
      <w:r w:rsidRPr="00B30884">
        <w:rPr>
          <w:rFonts w:ascii="Times New Roman" w:eastAsia="Times New Roman" w:hAnsi="Times New Roman" w:cs="Times New Roman"/>
          <w:color w:val="0D0D0D"/>
          <w:sz w:val="20"/>
          <w:szCs w:val="20"/>
        </w:rPr>
        <w:t xml:space="preserve">. </w:t>
      </w:r>
    </w:p>
    <w:p w14:paraId="4DCB3532" w14:textId="77777777" w:rsidR="005479D2" w:rsidRPr="00B30884" w:rsidRDefault="00881F91">
      <w:pPr>
        <w:numPr>
          <w:ilvl w:val="0"/>
          <w:numId w:val="1"/>
        </w:numPr>
        <w:pBdr>
          <w:top w:val="nil"/>
          <w:left w:val="nil"/>
          <w:bottom w:val="nil"/>
          <w:right w:val="nil"/>
          <w:between w:val="nil"/>
        </w:pBdr>
        <w:spacing w:after="24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The jobs held by women</w:t>
      </w:r>
      <w:r w:rsidRPr="00B30884">
        <w:rPr>
          <w:rFonts w:ascii="Times New Roman" w:eastAsia="Times New Roman" w:hAnsi="Times New Roman" w:cs="Times New Roman"/>
          <w:color w:val="0D0D0D"/>
          <w:sz w:val="20"/>
          <w:szCs w:val="20"/>
        </w:rPr>
        <w:t xml:space="preserve"> are generally precarious and informal</w:t>
      </w:r>
      <w:r w:rsidRPr="00B30884">
        <w:rPr>
          <w:rFonts w:ascii="Times New Roman" w:eastAsia="Times New Roman" w:hAnsi="Times New Roman" w:cs="Times New Roman"/>
          <w:color w:val="0D0D0D"/>
          <w:sz w:val="20"/>
          <w:szCs w:val="20"/>
          <w:vertAlign w:val="superscript"/>
        </w:rPr>
        <w:footnoteReference w:id="51"/>
      </w:r>
      <w:r w:rsidRPr="00B30884">
        <w:rPr>
          <w:rFonts w:ascii="Times New Roman" w:eastAsia="Times New Roman" w:hAnsi="Times New Roman" w:cs="Times New Roman"/>
          <w:color w:val="0D0D0D"/>
          <w:sz w:val="20"/>
          <w:szCs w:val="20"/>
        </w:rPr>
        <w:t>. They are over-represented in domestic service (54.1% in 2020), in unpaid jobs (35% compared to 8.6% for men) and under-represented as employers (7.6%), sole traders (11.2%) and self-employed (17.7% compared to 39.8% for men)</w:t>
      </w:r>
      <w:r w:rsidRPr="00B30884">
        <w:rPr>
          <w:rFonts w:ascii="Times New Roman" w:eastAsia="Times New Roman" w:hAnsi="Times New Roman" w:cs="Times New Roman"/>
          <w:color w:val="0D0D0D"/>
          <w:sz w:val="20"/>
          <w:szCs w:val="20"/>
          <w:vertAlign w:val="superscript"/>
        </w:rPr>
        <w:footnoteReference w:id="52"/>
      </w:r>
      <w:r w:rsidRPr="00B30884">
        <w:rPr>
          <w:rFonts w:ascii="Times New Roman" w:eastAsia="Times New Roman" w:hAnsi="Times New Roman" w:cs="Times New Roman"/>
          <w:color w:val="0D0D0D"/>
          <w:sz w:val="20"/>
          <w:szCs w:val="20"/>
        </w:rPr>
        <w:t xml:space="preserve">. </w:t>
      </w:r>
    </w:p>
    <w:p w14:paraId="1CB886D4" w14:textId="1A728DFC" w:rsidR="005479D2" w:rsidRPr="00B30884" w:rsidRDefault="00881F91">
      <w:pPr>
        <w:spacing w:after="24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 xml:space="preserve">Economic and Social Empowerment </w:t>
      </w:r>
    </w:p>
    <w:p w14:paraId="6E194669"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Morocco ranks 148</w:t>
      </w:r>
      <w:r w:rsidRPr="00B30884">
        <w:rPr>
          <w:rFonts w:ascii="Times New Roman" w:eastAsia="Times New Roman" w:hAnsi="Times New Roman" w:cs="Times New Roman"/>
          <w:color w:val="0D0D0D"/>
          <w:sz w:val="20"/>
          <w:szCs w:val="20"/>
          <w:vertAlign w:val="superscript"/>
        </w:rPr>
        <w:t>th</w:t>
      </w:r>
      <w:r w:rsidRPr="00B30884">
        <w:rPr>
          <w:rFonts w:ascii="Times New Roman" w:eastAsia="Times New Roman" w:hAnsi="Times New Roman" w:cs="Times New Roman"/>
          <w:color w:val="0D0D0D"/>
          <w:sz w:val="20"/>
          <w:szCs w:val="20"/>
        </w:rPr>
        <w:t xml:space="preserve"> out of 152 in terms of economic participation and opportunity for women</w:t>
      </w:r>
      <w:r w:rsidRPr="00B30884">
        <w:rPr>
          <w:rFonts w:ascii="Times New Roman" w:eastAsia="Times New Roman" w:hAnsi="Times New Roman" w:cs="Times New Roman"/>
          <w:color w:val="0D0D0D"/>
          <w:sz w:val="20"/>
          <w:szCs w:val="20"/>
          <w:vertAlign w:val="superscript"/>
        </w:rPr>
        <w:footnoteReference w:id="53"/>
      </w:r>
      <w:r w:rsidRPr="00B30884">
        <w:rPr>
          <w:rFonts w:ascii="Times New Roman" w:eastAsia="Times New Roman" w:hAnsi="Times New Roman" w:cs="Times New Roman"/>
          <w:color w:val="0D0D0D"/>
          <w:sz w:val="20"/>
          <w:szCs w:val="20"/>
        </w:rPr>
        <w:t xml:space="preserve">. In 2019, only 12.8% of </w:t>
      </w:r>
      <w:r w:rsidRPr="00B30884">
        <w:rPr>
          <w:rFonts w:ascii="Times New Roman" w:eastAsia="Times New Roman" w:hAnsi="Times New Roman" w:cs="Times New Roman"/>
          <w:b/>
          <w:color w:val="0D0D0D"/>
          <w:sz w:val="20"/>
          <w:szCs w:val="20"/>
        </w:rPr>
        <w:t>organized businesses are run by women</w:t>
      </w:r>
      <w:r w:rsidRPr="00B30884">
        <w:rPr>
          <w:rFonts w:ascii="Times New Roman" w:eastAsia="Times New Roman" w:hAnsi="Times New Roman" w:cs="Times New Roman"/>
          <w:color w:val="0D0D0D"/>
          <w:sz w:val="20"/>
          <w:szCs w:val="20"/>
          <w:vertAlign w:val="superscript"/>
        </w:rPr>
        <w:footnoteReference w:id="54"/>
      </w:r>
      <w:r w:rsidRPr="00B30884">
        <w:rPr>
          <w:rFonts w:ascii="Times New Roman" w:eastAsia="Times New Roman" w:hAnsi="Times New Roman" w:cs="Times New Roman"/>
          <w:color w:val="0D0D0D"/>
          <w:sz w:val="20"/>
          <w:szCs w:val="20"/>
        </w:rPr>
        <w:t>. The inclusion of women in the body of directors of public companies does not exceed 5%, 7% in large private companies and 5.7% in the governance bodies of listed companies</w:t>
      </w:r>
      <w:r w:rsidRPr="00B30884">
        <w:rPr>
          <w:rFonts w:ascii="Times New Roman" w:eastAsia="Times New Roman" w:hAnsi="Times New Roman" w:cs="Times New Roman"/>
          <w:color w:val="0D0D0D"/>
          <w:sz w:val="20"/>
          <w:szCs w:val="20"/>
          <w:vertAlign w:val="superscript"/>
        </w:rPr>
        <w:footnoteReference w:id="55"/>
      </w:r>
      <w:r w:rsidRPr="00B30884">
        <w:rPr>
          <w:rFonts w:ascii="Times New Roman" w:eastAsia="Times New Roman" w:hAnsi="Times New Roman" w:cs="Times New Roman"/>
          <w:color w:val="0D0D0D"/>
          <w:sz w:val="20"/>
          <w:szCs w:val="20"/>
        </w:rPr>
        <w:t>.It should be noted, however, that the amendment to the law governing public limited companies (Law No. 19.20 amending and supplementing Law No. 17-95 on listed public limited companies)</w:t>
      </w:r>
      <w:r w:rsidRPr="00B30884">
        <w:rPr>
          <w:rFonts w:ascii="Times New Roman" w:eastAsia="Times New Roman" w:hAnsi="Times New Roman" w:cs="Times New Roman"/>
          <w:color w:val="0D0D0D"/>
          <w:sz w:val="20"/>
          <w:szCs w:val="20"/>
          <w:vertAlign w:val="superscript"/>
        </w:rPr>
        <w:footnoteReference w:id="56"/>
      </w:r>
      <w:r w:rsidRPr="00B30884">
        <w:rPr>
          <w:rFonts w:ascii="Times New Roman" w:eastAsia="Times New Roman" w:hAnsi="Times New Roman" w:cs="Times New Roman"/>
          <w:color w:val="0D0D0D"/>
          <w:sz w:val="20"/>
          <w:szCs w:val="20"/>
        </w:rPr>
        <w:t xml:space="preserve"> sets mandatory quotas (30% and 40% female representation respectively in 2024 and 2027) to ensure gender diversity on the boards of public limited companies</w:t>
      </w:r>
      <w:r w:rsidRPr="00B30884">
        <w:rPr>
          <w:rFonts w:ascii="Times New Roman" w:eastAsia="Times New Roman" w:hAnsi="Times New Roman" w:cs="Times New Roman"/>
          <w:color w:val="0D0D0D"/>
          <w:sz w:val="20"/>
          <w:szCs w:val="20"/>
          <w:vertAlign w:val="superscript"/>
        </w:rPr>
        <w:footnoteReference w:id="57"/>
      </w:r>
      <w:r w:rsidRPr="00B30884">
        <w:rPr>
          <w:rFonts w:ascii="Times New Roman" w:eastAsia="Times New Roman" w:hAnsi="Times New Roman" w:cs="Times New Roman"/>
          <w:color w:val="0D0D0D"/>
          <w:sz w:val="20"/>
          <w:szCs w:val="20"/>
        </w:rPr>
        <w:t xml:space="preserve">, which should improve the situation if the law is effectively implemented. </w:t>
      </w:r>
    </w:p>
    <w:p w14:paraId="5AAF0A5A" w14:textId="77777777" w:rsidR="005479D2" w:rsidRPr="00B30884" w:rsidRDefault="005479D2">
      <w:pPr>
        <w:pBdr>
          <w:top w:val="nil"/>
          <w:left w:val="nil"/>
          <w:bottom w:val="nil"/>
          <w:right w:val="nil"/>
          <w:between w:val="nil"/>
        </w:pBdr>
        <w:spacing w:after="0"/>
        <w:jc w:val="both"/>
        <w:rPr>
          <w:rFonts w:ascii="Times New Roman" w:eastAsia="Times New Roman" w:hAnsi="Times New Roman" w:cs="Times New Roman"/>
          <w:color w:val="0D0D0D"/>
          <w:sz w:val="20"/>
          <w:szCs w:val="20"/>
          <w:shd w:val="clear" w:color="auto" w:fill="F3F3F3"/>
        </w:rPr>
      </w:pPr>
    </w:p>
    <w:p w14:paraId="082D013B"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Women have difficulty obtaining</w:t>
      </w:r>
      <w:r w:rsidRPr="00B30884">
        <w:rPr>
          <w:rFonts w:ascii="Times New Roman" w:eastAsia="Times New Roman" w:hAnsi="Times New Roman" w:cs="Times New Roman"/>
          <w:b/>
          <w:color w:val="0D0D0D"/>
          <w:sz w:val="20"/>
          <w:szCs w:val="20"/>
        </w:rPr>
        <w:t xml:space="preserve"> bank credits </w:t>
      </w:r>
      <w:r w:rsidRPr="00B30884">
        <w:rPr>
          <w:rFonts w:ascii="Times New Roman" w:eastAsia="Times New Roman" w:hAnsi="Times New Roman" w:cs="Times New Roman"/>
          <w:color w:val="0D0D0D"/>
          <w:sz w:val="20"/>
          <w:szCs w:val="20"/>
        </w:rPr>
        <w:t>for their businesses. About 50% of women's businesses are entirely self-financed and only one third of the financing comes from external resources</w:t>
      </w:r>
      <w:r w:rsidRPr="00B30884">
        <w:rPr>
          <w:rFonts w:ascii="Times New Roman" w:eastAsia="Times New Roman" w:hAnsi="Times New Roman" w:cs="Times New Roman"/>
          <w:color w:val="0D0D0D"/>
          <w:sz w:val="20"/>
          <w:szCs w:val="20"/>
          <w:vertAlign w:val="superscript"/>
        </w:rPr>
        <w:footnoteReference w:id="58"/>
      </w:r>
      <w:r w:rsidRPr="00B30884">
        <w:rPr>
          <w:rFonts w:ascii="Times New Roman" w:eastAsia="Times New Roman" w:hAnsi="Times New Roman" w:cs="Times New Roman"/>
          <w:color w:val="0D0D0D"/>
          <w:sz w:val="20"/>
          <w:szCs w:val="20"/>
        </w:rPr>
        <w:t>.  Microcredit, an alternative source of financing, sets the legal ceiling for loans at 50,000 dirhams; thus, limiting women's support possibilities for the creation of their businesses, especially given the lack of bank alternatives</w:t>
      </w:r>
      <w:r w:rsidRPr="00B30884">
        <w:rPr>
          <w:rFonts w:ascii="Times New Roman" w:eastAsia="Times New Roman" w:hAnsi="Times New Roman" w:cs="Times New Roman"/>
          <w:color w:val="0D0D0D"/>
          <w:sz w:val="20"/>
          <w:szCs w:val="20"/>
          <w:vertAlign w:val="superscript"/>
        </w:rPr>
        <w:footnoteReference w:id="59"/>
      </w:r>
      <w:r w:rsidRPr="00B30884">
        <w:rPr>
          <w:rFonts w:ascii="Times New Roman" w:eastAsia="Times New Roman" w:hAnsi="Times New Roman" w:cs="Times New Roman"/>
          <w:color w:val="0D0D0D"/>
          <w:sz w:val="20"/>
          <w:szCs w:val="20"/>
        </w:rPr>
        <w:t>.</w:t>
      </w:r>
    </w:p>
    <w:p w14:paraId="4194E271" w14:textId="77777777" w:rsidR="005479D2" w:rsidRPr="00B30884" w:rsidRDefault="00881F91">
      <w:pPr>
        <w:numPr>
          <w:ilvl w:val="0"/>
          <w:numId w:val="1"/>
        </w:numPr>
        <w:pBdr>
          <w:top w:val="nil"/>
          <w:left w:val="nil"/>
          <w:bottom w:val="nil"/>
          <w:right w:val="nil"/>
          <w:between w:val="nil"/>
        </w:pBdr>
        <w:spacing w:after="24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Women </w:t>
      </w:r>
      <w:r w:rsidRPr="00B30884">
        <w:rPr>
          <w:rFonts w:ascii="Times New Roman" w:eastAsia="Times New Roman" w:hAnsi="Times New Roman" w:cs="Times New Roman"/>
          <w:b/>
          <w:color w:val="0D0D0D"/>
          <w:sz w:val="20"/>
          <w:szCs w:val="20"/>
        </w:rPr>
        <w:t>own/manage only</w:t>
      </w:r>
      <w:r w:rsidRPr="00B30884">
        <w:rPr>
          <w:rFonts w:ascii="Times New Roman" w:eastAsia="Times New Roman" w:hAnsi="Times New Roman" w:cs="Times New Roman"/>
          <w:color w:val="0D0D0D"/>
          <w:sz w:val="20"/>
          <w:szCs w:val="20"/>
        </w:rPr>
        <w:t xml:space="preserve"> 9,000 to 10,000 </w:t>
      </w:r>
      <w:r w:rsidRPr="00B30884">
        <w:rPr>
          <w:rFonts w:ascii="Times New Roman" w:eastAsia="Times New Roman" w:hAnsi="Times New Roman" w:cs="Times New Roman"/>
          <w:b/>
          <w:color w:val="0D0D0D"/>
          <w:sz w:val="20"/>
          <w:szCs w:val="20"/>
        </w:rPr>
        <w:t>businesses</w:t>
      </w:r>
      <w:r w:rsidRPr="00B30884">
        <w:rPr>
          <w:rFonts w:ascii="Times New Roman" w:eastAsia="Times New Roman" w:hAnsi="Times New Roman" w:cs="Times New Roman"/>
          <w:color w:val="0D0D0D"/>
          <w:sz w:val="20"/>
          <w:szCs w:val="20"/>
        </w:rPr>
        <w:t>, most of which are very small or small/medium enterprises (10.2%</w:t>
      </w:r>
      <w:r w:rsidRPr="00B30884">
        <w:rPr>
          <w:rFonts w:ascii="Times New Roman" w:eastAsia="Times New Roman" w:hAnsi="Times New Roman" w:cs="Times New Roman"/>
          <w:color w:val="0D0D0D"/>
          <w:sz w:val="20"/>
          <w:szCs w:val="20"/>
          <w:vertAlign w:val="superscript"/>
        </w:rPr>
        <w:footnoteReference w:id="60"/>
      </w:r>
      <w:r w:rsidRPr="00B30884">
        <w:rPr>
          <w:rFonts w:ascii="Times New Roman" w:eastAsia="Times New Roman" w:hAnsi="Times New Roman" w:cs="Times New Roman"/>
          <w:color w:val="0D0D0D"/>
          <w:sz w:val="20"/>
          <w:szCs w:val="20"/>
        </w:rPr>
        <w:t>) with a turnover generally below 20 million dirhams</w:t>
      </w:r>
      <w:r w:rsidRPr="00B30884">
        <w:rPr>
          <w:rFonts w:ascii="Times New Roman" w:eastAsia="Times New Roman" w:hAnsi="Times New Roman" w:cs="Times New Roman"/>
          <w:color w:val="0D0D0D"/>
          <w:sz w:val="20"/>
          <w:szCs w:val="20"/>
          <w:vertAlign w:val="superscript"/>
        </w:rPr>
        <w:footnoteReference w:id="61"/>
      </w:r>
      <w:r w:rsidRPr="00B30884">
        <w:rPr>
          <w:rFonts w:ascii="Times New Roman" w:eastAsia="Times New Roman" w:hAnsi="Times New Roman" w:cs="Times New Roman"/>
          <w:color w:val="0D0D0D"/>
          <w:sz w:val="20"/>
          <w:szCs w:val="20"/>
        </w:rPr>
        <w:t xml:space="preserve">. </w:t>
      </w:r>
    </w:p>
    <w:p w14:paraId="16B8FD9C" w14:textId="77777777" w:rsidR="00A90FCB" w:rsidRPr="00B30884" w:rsidRDefault="00A90FC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1267"/>
        <w:jc w:val="both"/>
        <w:rPr>
          <w:rFonts w:ascii="Times New Roman" w:eastAsia="Times New Roman" w:hAnsi="Times New Roman" w:cs="Times New Roman"/>
          <w:b/>
          <w:color w:val="0D0D0D"/>
          <w:sz w:val="20"/>
          <w:szCs w:val="20"/>
        </w:rPr>
      </w:pPr>
    </w:p>
    <w:p w14:paraId="3BCB41D1" w14:textId="77777777" w:rsidR="00A90FCB" w:rsidRPr="00B30884" w:rsidRDefault="00A90FC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1267"/>
        <w:jc w:val="both"/>
        <w:rPr>
          <w:rFonts w:ascii="Times New Roman" w:eastAsia="Times New Roman" w:hAnsi="Times New Roman" w:cs="Times New Roman"/>
          <w:b/>
          <w:color w:val="0D0D0D"/>
          <w:sz w:val="20"/>
          <w:szCs w:val="20"/>
        </w:rPr>
      </w:pPr>
    </w:p>
    <w:p w14:paraId="07BFD0C3" w14:textId="1A0E9087" w:rsidR="005479D2" w:rsidRPr="00B30884" w:rsidRDefault="00881F9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1267"/>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lastRenderedPageBreak/>
        <w:t>Rural Women</w:t>
      </w:r>
    </w:p>
    <w:p w14:paraId="64B875CB" w14:textId="77777777" w:rsidR="005479D2" w:rsidRPr="00B30884" w:rsidRDefault="00881F91">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Most </w:t>
      </w:r>
      <w:r w:rsidRPr="00B30884">
        <w:rPr>
          <w:rFonts w:ascii="Times New Roman" w:eastAsia="Times New Roman" w:hAnsi="Times New Roman" w:cs="Times New Roman"/>
          <w:b/>
          <w:color w:val="0D0D0D"/>
          <w:sz w:val="20"/>
          <w:szCs w:val="20"/>
        </w:rPr>
        <w:t>rural women</w:t>
      </w:r>
      <w:r w:rsidRPr="00B30884">
        <w:rPr>
          <w:rFonts w:ascii="Times New Roman" w:eastAsia="Times New Roman" w:hAnsi="Times New Roman" w:cs="Times New Roman"/>
          <w:color w:val="0D0D0D"/>
          <w:sz w:val="20"/>
          <w:szCs w:val="20"/>
        </w:rPr>
        <w:t xml:space="preserve"> work in low-paying and/or unpaid jobs that do not qualify them for social benefits</w:t>
      </w:r>
      <w:r w:rsidRPr="00B30884">
        <w:rPr>
          <w:rFonts w:ascii="Times New Roman" w:eastAsia="Times New Roman" w:hAnsi="Times New Roman" w:cs="Times New Roman"/>
          <w:color w:val="0D0D0D"/>
          <w:sz w:val="20"/>
          <w:szCs w:val="20"/>
          <w:vertAlign w:val="superscript"/>
        </w:rPr>
        <w:footnoteReference w:id="62"/>
      </w:r>
      <w:r w:rsidRPr="00B30884">
        <w:rPr>
          <w:rFonts w:ascii="Times New Roman" w:eastAsia="Times New Roman" w:hAnsi="Times New Roman" w:cs="Times New Roman"/>
          <w:color w:val="0D0D0D"/>
          <w:sz w:val="20"/>
          <w:szCs w:val="20"/>
        </w:rPr>
        <w:t>. Despite some improvement, in 2019 they are three times more vulnerable to poverty than urban women (12.4% vs. 4.8%). In addition, their life expectancy is 4.3 years less than that of urban women (75.3 years versus 79.6 years)</w:t>
      </w:r>
      <w:r w:rsidRPr="00B30884">
        <w:rPr>
          <w:rFonts w:ascii="Times New Roman" w:eastAsia="Times New Roman" w:hAnsi="Times New Roman" w:cs="Times New Roman"/>
          <w:color w:val="0D0D0D"/>
          <w:sz w:val="20"/>
          <w:szCs w:val="20"/>
          <w:vertAlign w:val="superscript"/>
        </w:rPr>
        <w:footnoteReference w:id="63"/>
      </w:r>
      <w:r w:rsidRPr="00B30884">
        <w:rPr>
          <w:rFonts w:ascii="Times New Roman" w:eastAsia="Times New Roman" w:hAnsi="Times New Roman" w:cs="Times New Roman"/>
          <w:color w:val="0D0D0D"/>
          <w:sz w:val="20"/>
          <w:szCs w:val="20"/>
        </w:rPr>
        <w:t>.</w:t>
      </w:r>
    </w:p>
    <w:p w14:paraId="138BEC5A" w14:textId="77777777" w:rsidR="005479D2" w:rsidRPr="00B30884" w:rsidRDefault="00881F91">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Female</w:t>
      </w:r>
      <w:r w:rsidRPr="00B30884">
        <w:rPr>
          <w:rFonts w:ascii="Times New Roman" w:eastAsia="Times New Roman" w:hAnsi="Times New Roman" w:cs="Times New Roman"/>
          <w:b/>
          <w:color w:val="0D0D0D"/>
          <w:sz w:val="20"/>
          <w:szCs w:val="20"/>
        </w:rPr>
        <w:t xml:space="preserve"> agricultural workers</w:t>
      </w:r>
      <w:r w:rsidRPr="00B30884">
        <w:rPr>
          <w:rFonts w:ascii="Times New Roman" w:eastAsia="Times New Roman" w:hAnsi="Times New Roman" w:cs="Times New Roman"/>
          <w:color w:val="0D0D0D"/>
          <w:sz w:val="20"/>
          <w:szCs w:val="20"/>
        </w:rPr>
        <w:t xml:space="preserve"> work in extremely precarious and dangerous conditions. They are subjected to sexual harassment and/or assault and are often transported in worn-out, overcrowded vehicles with no safety standards.  </w:t>
      </w:r>
    </w:p>
    <w:p w14:paraId="79F6F8FB"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As a result of the application of patriarchal customary law, </w:t>
      </w:r>
      <w:r w:rsidRPr="00B30884">
        <w:rPr>
          <w:rFonts w:ascii="Times New Roman" w:eastAsia="Times New Roman" w:hAnsi="Times New Roman" w:cs="Times New Roman"/>
          <w:b/>
          <w:color w:val="0D0D0D"/>
          <w:sz w:val="20"/>
          <w:szCs w:val="20"/>
        </w:rPr>
        <w:t>women in the “Soulaliyates” ethnic communities</w:t>
      </w:r>
      <w:r w:rsidRPr="00B30884">
        <w:rPr>
          <w:rFonts w:ascii="Times New Roman" w:eastAsia="Times New Roman" w:hAnsi="Times New Roman" w:cs="Times New Roman"/>
          <w:color w:val="0D0D0D"/>
          <w:sz w:val="20"/>
          <w:szCs w:val="20"/>
        </w:rPr>
        <w:t>, most of whom are poor, did not benefit from the usufruct of the lands and were not entitled to compensation following land transfer/rental operations. After several years of mobilization for the recognition of their rights,</w:t>
      </w:r>
      <w:r w:rsidRPr="00B30884">
        <w:rPr>
          <w:rFonts w:ascii="Times New Roman" w:eastAsia="Times New Roman" w:hAnsi="Times New Roman" w:cs="Times New Roman"/>
          <w:b/>
          <w:color w:val="0D0D0D"/>
          <w:sz w:val="20"/>
          <w:szCs w:val="20"/>
        </w:rPr>
        <w:t xml:space="preserve"> Law 62.17, on the administrative management of collective lands</w:t>
      </w:r>
      <w:r w:rsidRPr="00B30884">
        <w:rPr>
          <w:rFonts w:ascii="Times New Roman" w:eastAsia="Times New Roman" w:hAnsi="Times New Roman" w:cs="Times New Roman"/>
          <w:color w:val="0D0D0D"/>
          <w:sz w:val="20"/>
          <w:szCs w:val="20"/>
        </w:rPr>
        <w:t xml:space="preserve"> (July 2019), stipulates that members of these communal lands, both women and men, can take advantage of the property of their community. </w:t>
      </w:r>
    </w:p>
    <w:p w14:paraId="12BAAF8B" w14:textId="77777777" w:rsidR="005479D2" w:rsidRPr="00B30884" w:rsidRDefault="005479D2">
      <w:pPr>
        <w:pBdr>
          <w:top w:val="nil"/>
          <w:left w:val="nil"/>
          <w:bottom w:val="nil"/>
          <w:right w:val="nil"/>
          <w:between w:val="nil"/>
        </w:pBdr>
        <w:spacing w:after="0"/>
        <w:jc w:val="both"/>
        <w:rPr>
          <w:rFonts w:ascii="Times New Roman" w:eastAsia="Times New Roman" w:hAnsi="Times New Roman" w:cs="Times New Roman"/>
          <w:color w:val="0D0D0D"/>
          <w:sz w:val="20"/>
          <w:szCs w:val="20"/>
        </w:rPr>
      </w:pPr>
    </w:p>
    <w:p w14:paraId="1EED32CD" w14:textId="2C060AED" w:rsidR="005479D2" w:rsidRPr="00B30884" w:rsidRDefault="00881F91">
      <w:pPr>
        <w:numPr>
          <w:ilvl w:val="0"/>
          <w:numId w:val="1"/>
        </w:numP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Despite this achievement, the law does not explicitly mention gender equality and, therefore, does not sufficiently protect the rights of </w:t>
      </w:r>
      <w:r w:rsidR="00A90FCB" w:rsidRPr="00B30884">
        <w:rPr>
          <w:rFonts w:ascii="Times New Roman" w:eastAsia="Times New Roman" w:hAnsi="Times New Roman" w:cs="Times New Roman"/>
          <w:color w:val="0D0D0D"/>
          <w:sz w:val="20"/>
          <w:szCs w:val="20"/>
        </w:rPr>
        <w:t>Soulaliyates</w:t>
      </w:r>
      <w:r w:rsidRPr="00B30884">
        <w:rPr>
          <w:rFonts w:ascii="Times New Roman" w:eastAsia="Times New Roman" w:hAnsi="Times New Roman" w:cs="Times New Roman"/>
          <w:color w:val="0D0D0D"/>
          <w:sz w:val="20"/>
          <w:szCs w:val="20"/>
        </w:rPr>
        <w:t>. Moreover, its implementing</w:t>
      </w:r>
      <w:r w:rsidRPr="00B30884">
        <w:rPr>
          <w:rFonts w:ascii="Times New Roman" w:eastAsia="Times New Roman" w:hAnsi="Times New Roman" w:cs="Times New Roman"/>
          <w:b/>
          <w:color w:val="0D0D0D"/>
          <w:sz w:val="20"/>
          <w:szCs w:val="20"/>
        </w:rPr>
        <w:t xml:space="preserve"> decree (no. 2.19.973, 2020)</w:t>
      </w:r>
      <w:r w:rsidRPr="00B30884">
        <w:rPr>
          <w:rFonts w:ascii="Times New Roman" w:eastAsia="Times New Roman" w:hAnsi="Times New Roman" w:cs="Times New Roman"/>
          <w:color w:val="0D0D0D"/>
          <w:sz w:val="20"/>
          <w:szCs w:val="20"/>
        </w:rPr>
        <w:t xml:space="preserve">, which makes "residence on the lands of the ethnic community" a criterion for recognition of community membership, nullifies the recognition of women as rightful owners, since to establish such status, it is necessary to have a dwelling on a parcel of land of which one has full use and benefit. However, </w:t>
      </w:r>
      <w:r w:rsidR="00A90FCB" w:rsidRPr="00B30884">
        <w:rPr>
          <w:rFonts w:ascii="Times New Roman" w:eastAsia="Times New Roman" w:hAnsi="Times New Roman" w:cs="Times New Roman"/>
          <w:color w:val="0D0D0D"/>
          <w:sz w:val="20"/>
          <w:szCs w:val="20"/>
        </w:rPr>
        <w:t>Soulaliyates</w:t>
      </w:r>
      <w:r w:rsidRPr="00B30884">
        <w:rPr>
          <w:rFonts w:ascii="Times New Roman" w:eastAsia="Times New Roman" w:hAnsi="Times New Roman" w:cs="Times New Roman"/>
          <w:color w:val="0D0D0D"/>
          <w:sz w:val="20"/>
          <w:szCs w:val="20"/>
        </w:rPr>
        <w:t xml:space="preserve"> were not recognized as rights holders and, therefore, could not legally claim a personal dwelling on the territory of the community.</w:t>
      </w:r>
    </w:p>
    <w:p w14:paraId="0CC2AB02" w14:textId="77777777" w:rsidR="005479D2" w:rsidRPr="00B30884" w:rsidRDefault="005479D2">
      <w:pPr>
        <w:pBdr>
          <w:top w:val="nil"/>
          <w:left w:val="nil"/>
          <w:bottom w:val="nil"/>
          <w:right w:val="nil"/>
          <w:between w:val="nil"/>
        </w:pBdr>
        <w:spacing w:after="0" w:line="240" w:lineRule="auto"/>
        <w:ind w:left="720"/>
        <w:rPr>
          <w:rFonts w:ascii="Times New Roman" w:eastAsia="Times New Roman" w:hAnsi="Times New Roman" w:cs="Times New Roman"/>
          <w:color w:val="0D0D0D"/>
          <w:sz w:val="20"/>
          <w:szCs w:val="20"/>
        </w:rPr>
      </w:pPr>
    </w:p>
    <w:p w14:paraId="2327189C" w14:textId="77777777" w:rsidR="005479D2" w:rsidRPr="00B30884" w:rsidRDefault="00881F91">
      <w:pPr>
        <w:numPr>
          <w:ilvl w:val="0"/>
          <w:numId w:val="1"/>
        </w:numP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The contributions of law n°62.17 have also been limited by </w:t>
      </w:r>
      <w:r w:rsidRPr="00B30884">
        <w:rPr>
          <w:rFonts w:ascii="Times New Roman" w:eastAsia="Times New Roman" w:hAnsi="Times New Roman" w:cs="Times New Roman"/>
          <w:b/>
          <w:color w:val="0D0D0D"/>
          <w:sz w:val="20"/>
          <w:szCs w:val="20"/>
        </w:rPr>
        <w:t>ministerial circular n°6303 (May 13, 2020)</w:t>
      </w:r>
      <w:r w:rsidRPr="00B30884">
        <w:rPr>
          <w:rFonts w:ascii="Times New Roman" w:eastAsia="Times New Roman" w:hAnsi="Times New Roman" w:cs="Times New Roman"/>
          <w:color w:val="0D0D0D"/>
          <w:sz w:val="20"/>
          <w:szCs w:val="20"/>
        </w:rPr>
        <w:t xml:space="preserve"> which stipulates that the acquisition of private ownership of collective land in non-irrigated areas is conditional on the status of rightful owner, permanent residence on the said land, the exercise of an agricultural activity and the full enjoyment of community plots of land whose surface area must not be less than 10 hectares; conditions that the overwhelming majority of them do not meet. Thus, what the law 62-17 conceded, its text of application and the circular n°6303 canceled it.</w:t>
      </w:r>
    </w:p>
    <w:p w14:paraId="2DE7EAF2" w14:textId="77777777" w:rsidR="005479D2" w:rsidRPr="00B30884" w:rsidRDefault="005479D2">
      <w:pPr>
        <w:pBdr>
          <w:top w:val="nil"/>
          <w:left w:val="nil"/>
          <w:bottom w:val="nil"/>
          <w:right w:val="nil"/>
          <w:between w:val="nil"/>
        </w:pBdr>
        <w:spacing w:after="0" w:line="240" w:lineRule="auto"/>
        <w:ind w:left="720"/>
        <w:rPr>
          <w:rFonts w:ascii="Times New Roman" w:eastAsia="Times New Roman" w:hAnsi="Times New Roman" w:cs="Times New Roman"/>
          <w:color w:val="0D0D0D"/>
          <w:sz w:val="20"/>
          <w:szCs w:val="20"/>
        </w:rPr>
      </w:pPr>
    </w:p>
    <w:p w14:paraId="352D0A53" w14:textId="77777777" w:rsidR="005479D2" w:rsidRPr="00B30884" w:rsidRDefault="005479D2">
      <w:pPr>
        <w:spacing w:after="0"/>
        <w:ind w:left="720"/>
        <w:jc w:val="both"/>
        <w:rPr>
          <w:rFonts w:ascii="Times New Roman" w:eastAsia="Times New Roman" w:hAnsi="Times New Roman" w:cs="Times New Roman"/>
          <w:color w:val="0D0D0D"/>
          <w:sz w:val="20"/>
          <w:szCs w:val="20"/>
        </w:rPr>
      </w:pPr>
    </w:p>
    <w:p w14:paraId="1BF1E5C6" w14:textId="77777777" w:rsidR="005479D2" w:rsidRPr="00B30884" w:rsidRDefault="00881F91">
      <w:pPr>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Other particularly Disadvantaged Categories of Women</w:t>
      </w:r>
    </w:p>
    <w:p w14:paraId="2A08ABAE"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Women with disabilities (WWD)</w:t>
      </w:r>
      <w:r w:rsidRPr="00B30884">
        <w:rPr>
          <w:rFonts w:ascii="Times New Roman" w:eastAsia="Times New Roman" w:hAnsi="Times New Roman" w:cs="Times New Roman"/>
          <w:color w:val="0D0D0D"/>
          <w:sz w:val="20"/>
          <w:szCs w:val="20"/>
        </w:rPr>
        <w:t>, who number 859,965</w:t>
      </w:r>
      <w:r w:rsidRPr="00B30884">
        <w:rPr>
          <w:rFonts w:ascii="Times New Roman" w:eastAsia="Times New Roman" w:hAnsi="Times New Roman" w:cs="Times New Roman"/>
          <w:color w:val="0D0D0D"/>
          <w:sz w:val="20"/>
          <w:szCs w:val="20"/>
          <w:vertAlign w:val="superscript"/>
        </w:rPr>
        <w:footnoteReference w:id="64"/>
      </w:r>
      <w:r w:rsidRPr="00B30884">
        <w:rPr>
          <w:rFonts w:ascii="Times New Roman" w:eastAsia="Times New Roman" w:hAnsi="Times New Roman" w:cs="Times New Roman"/>
          <w:color w:val="0D0D0D"/>
          <w:sz w:val="20"/>
          <w:szCs w:val="20"/>
        </w:rPr>
        <w:t>, face multiple and intersecting forms of discrimination. Eight out of ten of them have no education (compared to 53.4% of men with disabilities (MWM))</w:t>
      </w:r>
      <w:r w:rsidRPr="00B30884">
        <w:rPr>
          <w:rFonts w:ascii="Times New Roman" w:eastAsia="Times New Roman" w:hAnsi="Times New Roman" w:cs="Times New Roman"/>
          <w:color w:val="0D0D0D"/>
          <w:sz w:val="20"/>
          <w:szCs w:val="20"/>
          <w:vertAlign w:val="superscript"/>
        </w:rPr>
        <w:footnoteReference w:id="65"/>
      </w:r>
      <w:r w:rsidRPr="00B30884">
        <w:rPr>
          <w:rFonts w:ascii="Times New Roman" w:eastAsia="Times New Roman" w:hAnsi="Times New Roman" w:cs="Times New Roman"/>
          <w:color w:val="0D0D0D"/>
          <w:sz w:val="20"/>
          <w:szCs w:val="20"/>
          <w:vertAlign w:val="superscript"/>
        </w:rPr>
        <w:t xml:space="preserve"> </w:t>
      </w:r>
      <w:r w:rsidRPr="00B30884">
        <w:rPr>
          <w:rFonts w:ascii="Times New Roman" w:eastAsia="Times New Roman" w:hAnsi="Times New Roman" w:cs="Times New Roman"/>
          <w:color w:val="0D0D0D"/>
          <w:sz w:val="20"/>
          <w:szCs w:val="20"/>
        </w:rPr>
        <w:t>and only 16% are in school (54.1% of MWM). They are nine times less likely to find a job than MWM (employment rate of 2.7% compared to 22% for MWM)</w:t>
      </w:r>
      <w:r w:rsidRPr="00B30884">
        <w:rPr>
          <w:rFonts w:ascii="Times New Roman" w:eastAsia="Times New Roman" w:hAnsi="Times New Roman" w:cs="Times New Roman"/>
          <w:color w:val="0D0D0D"/>
          <w:sz w:val="20"/>
          <w:szCs w:val="20"/>
          <w:vertAlign w:val="superscript"/>
        </w:rPr>
        <w:footnoteReference w:id="66"/>
      </w:r>
      <w:r w:rsidRPr="00B30884">
        <w:rPr>
          <w:rFonts w:ascii="Times New Roman" w:eastAsia="Times New Roman" w:hAnsi="Times New Roman" w:cs="Times New Roman"/>
          <w:color w:val="0D0D0D"/>
          <w:sz w:val="20"/>
          <w:szCs w:val="20"/>
        </w:rPr>
        <w:t>. Mechanisms dedicated to victims of violence, health services, psychological and social support or legal services remain insufficient and ineffective</w:t>
      </w:r>
      <w:r w:rsidRPr="00B30884">
        <w:rPr>
          <w:rFonts w:ascii="Times New Roman" w:eastAsia="Times New Roman" w:hAnsi="Times New Roman" w:cs="Times New Roman"/>
          <w:color w:val="0D0D0D"/>
          <w:sz w:val="20"/>
          <w:szCs w:val="20"/>
          <w:vertAlign w:val="superscript"/>
        </w:rPr>
        <w:footnoteReference w:id="67"/>
      </w:r>
      <w:r w:rsidRPr="00B30884">
        <w:rPr>
          <w:rFonts w:ascii="Times New Roman" w:eastAsia="Times New Roman" w:hAnsi="Times New Roman" w:cs="Times New Roman"/>
          <w:color w:val="0D0D0D"/>
          <w:sz w:val="20"/>
          <w:szCs w:val="20"/>
        </w:rPr>
        <w:t xml:space="preserve">. </w:t>
      </w:r>
    </w:p>
    <w:p w14:paraId="29AF0861"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b/>
          <w:color w:val="0D0D0D"/>
          <w:sz w:val="20"/>
          <w:szCs w:val="20"/>
        </w:rPr>
        <w:t xml:space="preserve">Older women </w:t>
      </w:r>
      <w:r w:rsidRPr="00B30884">
        <w:rPr>
          <w:rFonts w:ascii="Times New Roman" w:eastAsia="Times New Roman" w:hAnsi="Times New Roman" w:cs="Times New Roman"/>
          <w:color w:val="0D0D0D"/>
          <w:sz w:val="20"/>
          <w:szCs w:val="20"/>
        </w:rPr>
        <w:t>face double discrimination on the basis of age and gender. They are likely to experience longer periods of precariousness and social isolation. In 2020, 64.8% of women lived alone and 91.05% of widowers aged 60 and over were women, compared with 8.95% of men</w:t>
      </w:r>
      <w:r w:rsidRPr="00B30884">
        <w:rPr>
          <w:rFonts w:ascii="Times New Roman" w:eastAsia="Times New Roman" w:hAnsi="Times New Roman" w:cs="Times New Roman"/>
          <w:color w:val="0D0D0D"/>
          <w:sz w:val="20"/>
          <w:szCs w:val="20"/>
          <w:shd w:val="clear" w:color="auto" w:fill="D9EAD3"/>
          <w:vertAlign w:val="superscript"/>
        </w:rPr>
        <w:footnoteReference w:id="68"/>
      </w:r>
      <w:r w:rsidRPr="00B30884">
        <w:rPr>
          <w:rFonts w:ascii="Times New Roman" w:eastAsia="Times New Roman" w:hAnsi="Times New Roman" w:cs="Times New Roman"/>
          <w:color w:val="0D0D0D"/>
          <w:sz w:val="20"/>
          <w:szCs w:val="20"/>
        </w:rPr>
        <w:t xml:space="preserve"> who were married even at a very advanced age. They find it difficult to recover their rights (retirement pension, social security and access to health care, etc.). Their vulnerability is exacerbated by poverty, divorce, widowhood and </w:t>
      </w:r>
      <w:r w:rsidRPr="00B30884">
        <w:rPr>
          <w:rFonts w:ascii="Times New Roman" w:eastAsia="Times New Roman" w:hAnsi="Times New Roman" w:cs="Times New Roman"/>
          <w:color w:val="0D0D0D"/>
          <w:sz w:val="20"/>
          <w:szCs w:val="20"/>
        </w:rPr>
        <w:lastRenderedPageBreak/>
        <w:t>inequality in inheritance, in particular the lack of maintenance of the marital home for the surviving spouse. Despite this, they are not really taken into account in public policies. For example, direct aid to widows is</w:t>
      </w:r>
      <w:r w:rsidRPr="00B30884">
        <w:rPr>
          <w:rFonts w:ascii="Times New Roman" w:eastAsia="Times New Roman" w:hAnsi="Times New Roman" w:cs="Times New Roman"/>
          <w:i/>
          <w:color w:val="0D0D0D"/>
          <w:sz w:val="20"/>
          <w:szCs w:val="20"/>
        </w:rPr>
        <w:t xml:space="preserve"> </w:t>
      </w:r>
      <w:r w:rsidRPr="00B30884">
        <w:rPr>
          <w:rFonts w:ascii="Times New Roman" w:eastAsia="Times New Roman" w:hAnsi="Times New Roman" w:cs="Times New Roman"/>
          <w:color w:val="0D0D0D"/>
          <w:sz w:val="20"/>
          <w:szCs w:val="20"/>
        </w:rPr>
        <w:t>conditional on the care of their orphaned children</w:t>
      </w:r>
    </w:p>
    <w:p w14:paraId="3AE146BB"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 xml:space="preserve">More than two years after the enactment of </w:t>
      </w:r>
      <w:r w:rsidRPr="00B30884">
        <w:rPr>
          <w:rFonts w:ascii="Times New Roman" w:eastAsia="Times New Roman" w:hAnsi="Times New Roman" w:cs="Times New Roman"/>
          <w:b/>
          <w:color w:val="0D0D0D"/>
          <w:sz w:val="20"/>
          <w:szCs w:val="20"/>
        </w:rPr>
        <w:t>Law No. 19.12</w:t>
      </w:r>
      <w:r w:rsidRPr="00B30884">
        <w:rPr>
          <w:rFonts w:ascii="Times New Roman" w:eastAsia="Times New Roman" w:hAnsi="Times New Roman" w:cs="Times New Roman"/>
          <w:color w:val="0D0D0D"/>
          <w:sz w:val="20"/>
          <w:szCs w:val="20"/>
          <w:vertAlign w:val="superscript"/>
        </w:rPr>
        <w:footnoteReference w:id="69"/>
      </w:r>
      <w:r w:rsidRPr="00B30884">
        <w:rPr>
          <w:rFonts w:ascii="Times New Roman" w:eastAsia="Times New Roman" w:hAnsi="Times New Roman" w:cs="Times New Roman"/>
          <w:color w:val="0D0D0D"/>
          <w:sz w:val="20"/>
          <w:szCs w:val="20"/>
        </w:rPr>
        <w:t xml:space="preserve"> </w:t>
      </w:r>
      <w:r w:rsidRPr="00B30884">
        <w:rPr>
          <w:rFonts w:ascii="Times New Roman" w:eastAsia="Times New Roman" w:hAnsi="Times New Roman" w:cs="Times New Roman"/>
          <w:b/>
          <w:color w:val="0D0D0D"/>
          <w:sz w:val="20"/>
          <w:szCs w:val="20"/>
        </w:rPr>
        <w:t>establishing the conditions of work and employment of domestic workers</w:t>
      </w:r>
      <w:r w:rsidRPr="00B30884">
        <w:rPr>
          <w:rFonts w:ascii="Times New Roman" w:eastAsia="Times New Roman" w:hAnsi="Times New Roman" w:cs="Times New Roman"/>
          <w:color w:val="0D0D0D"/>
          <w:sz w:val="20"/>
          <w:szCs w:val="20"/>
        </w:rPr>
        <w:t xml:space="preserve"> (October 2, 2018), the National Social Security Fund has registered only 3,253 declarations as of 2/03/2021</w:t>
      </w:r>
      <w:r w:rsidRPr="00B30884">
        <w:rPr>
          <w:rFonts w:ascii="Times New Roman" w:eastAsia="Times New Roman" w:hAnsi="Times New Roman" w:cs="Times New Roman"/>
          <w:color w:val="0D0D0D"/>
          <w:sz w:val="20"/>
          <w:szCs w:val="20"/>
          <w:vertAlign w:val="superscript"/>
        </w:rPr>
        <w:footnoteReference w:id="70"/>
      </w:r>
      <w:r w:rsidRPr="00B30884">
        <w:rPr>
          <w:rFonts w:ascii="Times New Roman" w:eastAsia="Times New Roman" w:hAnsi="Times New Roman" w:cs="Times New Roman"/>
          <w:color w:val="0D0D0D"/>
          <w:sz w:val="20"/>
          <w:szCs w:val="20"/>
        </w:rPr>
        <w:t xml:space="preserve">. In addition, the said law, which sets the working age at 18 years, allows a transition period of five years in which it will still be possible to employ minors between 16 and 18 years of age. </w:t>
      </w:r>
    </w:p>
    <w:p w14:paraId="6F635770"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Single mothers</w:t>
      </w:r>
      <w:r w:rsidRPr="00B30884">
        <w:rPr>
          <w:rFonts w:ascii="Times New Roman" w:eastAsia="Times New Roman" w:hAnsi="Times New Roman" w:cs="Times New Roman"/>
          <w:color w:val="0D0D0D"/>
          <w:sz w:val="20"/>
          <w:szCs w:val="20"/>
        </w:rPr>
        <w:t xml:space="preserve"> face social stigma fueled by current legislation, including Article 490 of the penal code, which criminalizes sexual relations outside marriage. Their children are not entitled to their father's name even if he is known and are only registered under the mother's surname with the permission of the mother's father or brother. DNA testing is not considered legal proof of parentage outside of marriage and the alleged father may refuse to submit to it</w:t>
      </w:r>
      <w:r w:rsidRPr="00B30884">
        <w:rPr>
          <w:rFonts w:ascii="Times New Roman" w:eastAsia="Times New Roman" w:hAnsi="Times New Roman" w:cs="Times New Roman"/>
          <w:color w:val="0D0D0D"/>
          <w:sz w:val="20"/>
          <w:szCs w:val="20"/>
          <w:vertAlign w:val="superscript"/>
        </w:rPr>
        <w:footnoteReference w:id="71"/>
      </w:r>
      <w:r w:rsidRPr="00B30884">
        <w:rPr>
          <w:rFonts w:ascii="Times New Roman" w:eastAsia="Times New Roman" w:hAnsi="Times New Roman" w:cs="Times New Roman"/>
          <w:color w:val="0D0D0D"/>
          <w:sz w:val="20"/>
          <w:szCs w:val="20"/>
        </w:rPr>
        <w:t xml:space="preserve">. </w:t>
      </w:r>
    </w:p>
    <w:p w14:paraId="511E45EB"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 xml:space="preserve"> </w:t>
      </w:r>
      <w:r w:rsidRPr="00B30884">
        <w:rPr>
          <w:rFonts w:ascii="Times New Roman" w:eastAsia="Times New Roman" w:hAnsi="Times New Roman" w:cs="Times New Roman"/>
          <w:b/>
          <w:color w:val="0D0D0D"/>
          <w:sz w:val="20"/>
          <w:szCs w:val="20"/>
        </w:rPr>
        <w:t>Women prisoners</w:t>
      </w:r>
      <w:r w:rsidRPr="00B30884">
        <w:rPr>
          <w:rFonts w:ascii="Times New Roman" w:eastAsia="Times New Roman" w:hAnsi="Times New Roman" w:cs="Times New Roman"/>
          <w:color w:val="0D0D0D"/>
          <w:sz w:val="20"/>
          <w:szCs w:val="20"/>
        </w:rPr>
        <w:t xml:space="preserve"> represent 2.48% of the total prison population (2110 in 2020)</w:t>
      </w:r>
      <w:r w:rsidRPr="00B30884">
        <w:rPr>
          <w:rFonts w:ascii="Times New Roman" w:eastAsia="Times New Roman" w:hAnsi="Times New Roman" w:cs="Times New Roman"/>
          <w:color w:val="0D0D0D"/>
          <w:sz w:val="20"/>
          <w:szCs w:val="20"/>
          <w:vertAlign w:val="superscript"/>
        </w:rPr>
        <w:footnoteReference w:id="72"/>
      </w:r>
      <w:r w:rsidRPr="00B30884">
        <w:rPr>
          <w:rFonts w:ascii="Times New Roman" w:eastAsia="Times New Roman" w:hAnsi="Times New Roman" w:cs="Times New Roman"/>
          <w:color w:val="0D0D0D"/>
          <w:sz w:val="20"/>
          <w:szCs w:val="20"/>
        </w:rPr>
        <w:t>. Of the 77 prisons, only two are exclusively dedicated to women</w:t>
      </w:r>
      <w:r w:rsidRPr="00B30884">
        <w:rPr>
          <w:rFonts w:ascii="Times New Roman" w:eastAsia="Times New Roman" w:hAnsi="Times New Roman" w:cs="Times New Roman"/>
          <w:color w:val="0D0D0D"/>
          <w:sz w:val="20"/>
          <w:szCs w:val="20"/>
          <w:vertAlign w:val="superscript"/>
        </w:rPr>
        <w:footnoteReference w:id="73"/>
      </w:r>
      <w:r w:rsidRPr="00B30884">
        <w:rPr>
          <w:rFonts w:ascii="Times New Roman" w:eastAsia="Times New Roman" w:hAnsi="Times New Roman" w:cs="Times New Roman"/>
          <w:color w:val="0D0D0D"/>
          <w:sz w:val="20"/>
          <w:szCs w:val="20"/>
        </w:rPr>
        <w:t>. In detention, they face poor access to feminine hygiene products, contraceptives and sanitary facilities. Without family support, women prisoners who give birth in prison are dependent on humanitarian aid to support their children, who also suffer from inadequate childcare and entertainment facilities</w:t>
      </w:r>
      <w:r w:rsidRPr="00B30884">
        <w:rPr>
          <w:rFonts w:ascii="Times New Roman" w:eastAsia="Times New Roman" w:hAnsi="Times New Roman" w:cs="Times New Roman"/>
          <w:color w:val="0D0D0D"/>
          <w:sz w:val="20"/>
          <w:szCs w:val="20"/>
          <w:vertAlign w:val="superscript"/>
        </w:rPr>
        <w:footnoteReference w:id="74"/>
      </w:r>
      <w:r w:rsidRPr="00B30884">
        <w:rPr>
          <w:rFonts w:ascii="Times New Roman" w:eastAsia="Times New Roman" w:hAnsi="Times New Roman" w:cs="Times New Roman"/>
          <w:color w:val="0D0D0D"/>
          <w:sz w:val="20"/>
          <w:szCs w:val="20"/>
        </w:rPr>
        <w:t>. Opportunities for vocational training and social reintegration are almost non-existent or limited to occupations traditionally considered female</w:t>
      </w:r>
      <w:r w:rsidRPr="00B30884">
        <w:rPr>
          <w:rFonts w:ascii="Times New Roman" w:eastAsia="Times New Roman" w:hAnsi="Times New Roman" w:cs="Times New Roman"/>
          <w:color w:val="0D0D0D"/>
          <w:sz w:val="20"/>
          <w:szCs w:val="20"/>
          <w:vertAlign w:val="superscript"/>
        </w:rPr>
        <w:footnoteReference w:id="75"/>
      </w:r>
      <w:r w:rsidRPr="00B30884">
        <w:rPr>
          <w:rFonts w:ascii="Times New Roman" w:eastAsia="Times New Roman" w:hAnsi="Times New Roman" w:cs="Times New Roman"/>
          <w:color w:val="0D0D0D"/>
          <w:sz w:val="20"/>
          <w:szCs w:val="20"/>
        </w:rPr>
        <w:t xml:space="preserve">. </w:t>
      </w:r>
    </w:p>
    <w:p w14:paraId="116D274F" w14:textId="77777777" w:rsidR="005479D2" w:rsidRPr="00B30884" w:rsidRDefault="005479D2">
      <w:pPr>
        <w:pBdr>
          <w:top w:val="nil"/>
          <w:left w:val="nil"/>
          <w:bottom w:val="nil"/>
          <w:right w:val="nil"/>
          <w:between w:val="nil"/>
        </w:pBdr>
        <w:spacing w:after="240"/>
        <w:ind w:left="720"/>
        <w:jc w:val="both"/>
        <w:rPr>
          <w:rFonts w:ascii="Times New Roman" w:eastAsia="Times New Roman" w:hAnsi="Times New Roman" w:cs="Times New Roman"/>
          <w:b/>
          <w:color w:val="0D0D0D"/>
          <w:sz w:val="20"/>
          <w:szCs w:val="20"/>
        </w:rPr>
      </w:pPr>
    </w:p>
    <w:tbl>
      <w:tblPr>
        <w:tblStyle w:val="a6"/>
        <w:tblW w:w="856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8"/>
      </w:tblGrid>
      <w:tr w:rsidR="005479D2" w:rsidRPr="00B30884" w14:paraId="3C8AB66B" w14:textId="77777777">
        <w:tc>
          <w:tcPr>
            <w:tcW w:w="8568" w:type="dxa"/>
          </w:tcPr>
          <w:p w14:paraId="75C467D6" w14:textId="75F14072" w:rsidR="005479D2" w:rsidRPr="00B30884" w:rsidRDefault="00EA346F" w:rsidP="00EA346F">
            <w:pPr>
              <w:numPr>
                <w:ilvl w:val="0"/>
                <w:numId w:val="1"/>
              </w:numPr>
              <w:pBdr>
                <w:top w:val="nil"/>
                <w:left w:val="nil"/>
                <w:bottom w:val="nil"/>
                <w:right w:val="nil"/>
                <w:between w:val="nil"/>
              </w:pBdr>
              <w:spacing w:before="240" w:line="276" w:lineRule="auto"/>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Recommendations</w:t>
            </w:r>
            <w:r w:rsidR="00881F91" w:rsidRPr="00B30884">
              <w:rPr>
                <w:rFonts w:ascii="Times New Roman" w:eastAsia="Times New Roman" w:hAnsi="Times New Roman" w:cs="Times New Roman"/>
                <w:b/>
                <w:color w:val="0D0D0D"/>
                <w:sz w:val="20"/>
                <w:szCs w:val="20"/>
              </w:rPr>
              <w:t>:</w:t>
            </w:r>
          </w:p>
          <w:p w14:paraId="0AD06472" w14:textId="77777777" w:rsidR="005479D2" w:rsidRPr="00B30884" w:rsidRDefault="00881F91">
            <w:pPr>
              <w:numPr>
                <w:ilvl w:val="0"/>
                <w:numId w:val="4"/>
              </w:numPr>
              <w:spacing w:line="276" w:lineRule="auto"/>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Guarantee the effectiveness of the law on compulsory schooling, starting at the preschool level, through a strategy that takes into account the deficits in access, retention and success of girls; </w:t>
            </w:r>
          </w:p>
          <w:p w14:paraId="77AA2BDF" w14:textId="77777777" w:rsidR="005479D2" w:rsidRPr="00B30884" w:rsidRDefault="00881F91">
            <w:pPr>
              <w:numPr>
                <w:ilvl w:val="0"/>
                <w:numId w:val="4"/>
              </w:numPr>
              <w:spacing w:line="276" w:lineRule="auto"/>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Develop and implement action plans for the promotion of reproductive health in accordance with the International Conference on Population and Development (ICPD 1994), CEDAW and its Committee's General Recommendation 24 (1999) on "Women and Health"; </w:t>
            </w:r>
          </w:p>
          <w:p w14:paraId="56620EA2" w14:textId="77777777" w:rsidR="005479D2" w:rsidRPr="00B30884" w:rsidRDefault="00881F91">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Implement a proactive national plan to make increasing women's economic activity a national priority;</w:t>
            </w:r>
          </w:p>
          <w:p w14:paraId="0AD84A2D" w14:textId="77777777" w:rsidR="005479D2" w:rsidRPr="00B30884" w:rsidRDefault="00881F91">
            <w:pPr>
              <w:numPr>
                <w:ilvl w:val="0"/>
                <w:numId w:val="4"/>
              </w:numPr>
              <w:spacing w:line="276" w:lineRule="auto"/>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Broaden women's access to various social and family benefits, including those excluded from the scope of labor legislation; </w:t>
            </w:r>
          </w:p>
          <w:p w14:paraId="26A2545A" w14:textId="77777777" w:rsidR="005479D2" w:rsidRPr="00B30884" w:rsidRDefault="00881F91">
            <w:pPr>
              <w:numPr>
                <w:ilvl w:val="0"/>
                <w:numId w:val="4"/>
              </w:numPr>
              <w:spacing w:line="276" w:lineRule="auto"/>
              <w:jc w:val="both"/>
              <w:rPr>
                <w:sz w:val="20"/>
                <w:szCs w:val="20"/>
              </w:rPr>
            </w:pPr>
            <w:r w:rsidRPr="00B30884">
              <w:rPr>
                <w:rFonts w:ascii="Times New Roman" w:eastAsia="Times New Roman" w:hAnsi="Times New Roman" w:cs="Times New Roman"/>
                <w:color w:val="0D0D0D"/>
                <w:sz w:val="20"/>
                <w:szCs w:val="20"/>
              </w:rPr>
              <w:t>Provide for ad-hoc measures to reduce situations of disparity, exploitation and precariousness affecting rural women and disadvantaged female categories.</w:t>
            </w:r>
          </w:p>
        </w:tc>
      </w:tr>
    </w:tbl>
    <w:p w14:paraId="308509C7" w14:textId="77777777" w:rsidR="005479D2" w:rsidRPr="00B30884" w:rsidRDefault="005479D2">
      <w:pPr>
        <w:jc w:val="both"/>
        <w:rPr>
          <w:b/>
          <w:sz w:val="20"/>
          <w:szCs w:val="20"/>
        </w:rPr>
      </w:pPr>
    </w:p>
    <w:p w14:paraId="7AD4E823" w14:textId="77777777" w:rsidR="005479D2" w:rsidRPr="00B30884" w:rsidRDefault="00881F91">
      <w:pPr>
        <w:jc w:val="center"/>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PART IV (Article 15-16)</w:t>
      </w:r>
    </w:p>
    <w:p w14:paraId="54DA868B" w14:textId="77777777" w:rsidR="005479D2" w:rsidRPr="00B30884" w:rsidRDefault="00881F91">
      <w:pPr>
        <w:spacing w:before="24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 xml:space="preserve">Equality before the law </w:t>
      </w:r>
    </w:p>
    <w:p w14:paraId="5E6857D6" w14:textId="77777777" w:rsidR="005479D2" w:rsidRPr="00B30884" w:rsidRDefault="00881F91">
      <w:pPr>
        <w:numPr>
          <w:ilvl w:val="0"/>
          <w:numId w:val="1"/>
        </w:numPr>
        <w:spacing w:before="240" w:after="24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The 1962 </w:t>
      </w:r>
      <w:r w:rsidRPr="00B30884">
        <w:rPr>
          <w:rFonts w:ascii="Times New Roman" w:eastAsia="Times New Roman" w:hAnsi="Times New Roman" w:cs="Times New Roman"/>
          <w:b/>
          <w:color w:val="0D0D0D"/>
          <w:sz w:val="20"/>
          <w:szCs w:val="20"/>
        </w:rPr>
        <w:t>Penal Code</w:t>
      </w:r>
      <w:r w:rsidRPr="00B30884">
        <w:rPr>
          <w:rFonts w:ascii="Times New Roman" w:eastAsia="Times New Roman" w:hAnsi="Times New Roman" w:cs="Times New Roman"/>
          <w:color w:val="0D0D0D"/>
          <w:sz w:val="20"/>
          <w:szCs w:val="20"/>
        </w:rPr>
        <w:t xml:space="preserve"> reflects a patriarchal vision, which infringes on freedoms and is discriminatory in its provisions. The criminal legislation does not criminalize marital rape or certain forms of violence, and </w:t>
      </w:r>
      <w:r w:rsidRPr="00B30884">
        <w:rPr>
          <w:rFonts w:ascii="Times New Roman" w:eastAsia="Times New Roman" w:hAnsi="Times New Roman" w:cs="Times New Roman"/>
          <w:color w:val="0D0D0D"/>
          <w:sz w:val="20"/>
          <w:szCs w:val="20"/>
        </w:rPr>
        <w:lastRenderedPageBreak/>
        <w:t>does not allow indigent women easy access to protective institutions and legal aid. The provisions on rape introduce a hierarchy between victims (married and unmarried, virgins and non-virgins).  The crimes of rape and ‘indecent assault’ are described as offences against ‘family order and public morality’. The criminalization of sexual relations outside marriage, adultery and abortion is still in force</w:t>
      </w:r>
      <w:r w:rsidRPr="00B30884">
        <w:rPr>
          <w:rFonts w:ascii="Times New Roman" w:eastAsia="Times New Roman" w:hAnsi="Times New Roman" w:cs="Times New Roman"/>
          <w:b/>
          <w:color w:val="0D0D0D"/>
          <w:sz w:val="20"/>
          <w:szCs w:val="20"/>
        </w:rPr>
        <w:t xml:space="preserve"> (see Appendix 2). </w:t>
      </w:r>
      <w:r w:rsidRPr="00B30884">
        <w:rPr>
          <w:rFonts w:ascii="Times New Roman" w:eastAsia="Times New Roman" w:hAnsi="Times New Roman" w:cs="Times New Roman"/>
          <w:color w:val="0D0D0D"/>
          <w:sz w:val="20"/>
          <w:szCs w:val="20"/>
        </w:rPr>
        <w:t> </w:t>
      </w:r>
    </w:p>
    <w:p w14:paraId="3B99B8F5" w14:textId="77777777" w:rsidR="005479D2" w:rsidRPr="00B30884" w:rsidRDefault="00881F91">
      <w:p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Marriage and Family Life</w:t>
      </w:r>
    </w:p>
    <w:p w14:paraId="13596D1E" w14:textId="77777777" w:rsidR="005479D2" w:rsidRPr="00B30884" w:rsidRDefault="00881F9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The Family Code (FC), which came into force in 2004, has been widely criticized for its remaining discriminatory provisions as well as for its application: </w:t>
      </w:r>
    </w:p>
    <w:p w14:paraId="68BBD0C4" w14:textId="77777777" w:rsidR="005479D2" w:rsidRPr="00B30884" w:rsidRDefault="00881F91">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Polygamy</w:t>
      </w:r>
      <w:r w:rsidRPr="00B30884">
        <w:rPr>
          <w:rFonts w:ascii="Times New Roman" w:eastAsia="Times New Roman" w:hAnsi="Times New Roman" w:cs="Times New Roman"/>
          <w:color w:val="0D0D0D"/>
          <w:sz w:val="20"/>
          <w:szCs w:val="20"/>
        </w:rPr>
        <w:t>, which is detrimental to the dignity of women, is maintained even though polygamous unions concern only 2% of women</w:t>
      </w:r>
      <w:r w:rsidRPr="00B30884">
        <w:rPr>
          <w:rFonts w:ascii="Times New Roman" w:eastAsia="Times New Roman" w:hAnsi="Times New Roman" w:cs="Times New Roman"/>
          <w:color w:val="0D0D0D"/>
          <w:sz w:val="20"/>
          <w:szCs w:val="20"/>
          <w:vertAlign w:val="superscript"/>
        </w:rPr>
        <w:footnoteReference w:id="76"/>
      </w:r>
      <w:r w:rsidRPr="00B30884">
        <w:rPr>
          <w:rFonts w:ascii="Times New Roman" w:eastAsia="Times New Roman" w:hAnsi="Times New Roman" w:cs="Times New Roman"/>
          <w:color w:val="0D0D0D"/>
          <w:sz w:val="20"/>
          <w:szCs w:val="20"/>
        </w:rPr>
        <w:t xml:space="preserve">. </w:t>
      </w:r>
    </w:p>
    <w:p w14:paraId="0844EA3D" w14:textId="77777777" w:rsidR="005479D2" w:rsidRPr="00B30884" w:rsidRDefault="00881F91">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 w:val="left" w:pos="2694"/>
        </w:tabs>
        <w:spacing w:after="12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color w:val="0D0D0D"/>
          <w:sz w:val="20"/>
          <w:szCs w:val="20"/>
        </w:rPr>
        <w:t xml:space="preserve"> </w:t>
      </w:r>
      <w:r w:rsidRPr="00B30884">
        <w:rPr>
          <w:rFonts w:ascii="Times New Roman" w:eastAsia="Times New Roman" w:hAnsi="Times New Roman" w:cs="Times New Roman"/>
          <w:b/>
          <w:color w:val="0D0D0D"/>
          <w:sz w:val="20"/>
          <w:szCs w:val="20"/>
        </w:rPr>
        <w:t>Marriage of minors</w:t>
      </w:r>
      <w:r w:rsidRPr="00B30884">
        <w:rPr>
          <w:rFonts w:ascii="Times New Roman" w:eastAsia="Times New Roman" w:hAnsi="Times New Roman" w:cs="Times New Roman"/>
          <w:color w:val="0D0D0D"/>
          <w:sz w:val="20"/>
          <w:szCs w:val="20"/>
        </w:rPr>
        <w:t xml:space="preserve">: See Part I, paragraphs 17 and 18. </w:t>
      </w:r>
    </w:p>
    <w:p w14:paraId="56DAE360" w14:textId="77777777" w:rsidR="005479D2" w:rsidRPr="00B30884" w:rsidRDefault="00881F91">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Custody and guardianship of children</w:t>
      </w:r>
      <w:r w:rsidRPr="00B30884">
        <w:rPr>
          <w:rFonts w:ascii="Times New Roman" w:eastAsia="Times New Roman" w:hAnsi="Times New Roman" w:cs="Times New Roman"/>
          <w:color w:val="0D0D0D"/>
          <w:sz w:val="20"/>
          <w:szCs w:val="20"/>
        </w:rPr>
        <w:t>: According to it, the marriage of the mother entails the forfeiture of her right to custody (article 175). The father, legal guardian of the child (article 236), is deprived of this right in favor of the mother in certain very limited cases (death, absence, loss of capacity, etc.,) (article 238).</w:t>
      </w:r>
    </w:p>
    <w:p w14:paraId="2651C314" w14:textId="77777777" w:rsidR="005479D2" w:rsidRPr="00B30884" w:rsidRDefault="00881F91">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The division of property acquired during the marriage</w:t>
      </w:r>
      <w:r w:rsidRPr="00B30884">
        <w:rPr>
          <w:rFonts w:ascii="Times New Roman" w:eastAsia="Times New Roman" w:hAnsi="Times New Roman" w:cs="Times New Roman"/>
          <w:color w:val="0D0D0D"/>
          <w:sz w:val="20"/>
          <w:szCs w:val="20"/>
        </w:rPr>
        <w:t>: article 49 of the FC leaves it up to the spouses to agree, at the time of the completion of the marriage, on how they wish to divide it. However, in 2019, only 0.25% of marriages were accompanied by such contract</w:t>
      </w:r>
      <w:r w:rsidRPr="00B30884">
        <w:rPr>
          <w:rFonts w:ascii="Times New Roman" w:eastAsia="Times New Roman" w:hAnsi="Times New Roman" w:cs="Times New Roman"/>
          <w:color w:val="0D0D0D"/>
          <w:sz w:val="20"/>
          <w:szCs w:val="20"/>
          <w:vertAlign w:val="superscript"/>
        </w:rPr>
        <w:footnoteReference w:id="77"/>
      </w:r>
      <w:r w:rsidRPr="00B30884">
        <w:rPr>
          <w:rFonts w:ascii="Times New Roman" w:eastAsia="Times New Roman" w:hAnsi="Times New Roman" w:cs="Times New Roman"/>
          <w:color w:val="0D0D0D"/>
          <w:sz w:val="20"/>
          <w:szCs w:val="20"/>
        </w:rPr>
        <w:t xml:space="preserve"> due to the lack of information or to the refusal of families to establish such an agreement at the time of marriage. In the absence of such an agreement, the same article states that "</w:t>
      </w:r>
      <w:r w:rsidRPr="00B30884">
        <w:rPr>
          <w:rFonts w:ascii="Times New Roman" w:eastAsia="Times New Roman" w:hAnsi="Times New Roman" w:cs="Times New Roman"/>
          <w:i/>
          <w:color w:val="0D0D0D"/>
          <w:sz w:val="20"/>
          <w:szCs w:val="20"/>
        </w:rPr>
        <w:t>recourse is made to general standards of evidence, taking into consideration the work of each spouse, the efforts made as well as the responsibilities assumed in the development of the family assets</w:t>
      </w:r>
      <w:r w:rsidRPr="00B30884">
        <w:rPr>
          <w:rFonts w:ascii="Times New Roman" w:eastAsia="Times New Roman" w:hAnsi="Times New Roman" w:cs="Times New Roman"/>
          <w:color w:val="0D0D0D"/>
          <w:sz w:val="20"/>
          <w:szCs w:val="20"/>
        </w:rPr>
        <w:t xml:space="preserve">.'' This ambiguous wording allows the judge to require tangible proof of the wife's financial contribution and to disregard, as shown by several decisions of the Court of Cassation, her contribution through her domestic and care work </w:t>
      </w:r>
    </w:p>
    <w:p w14:paraId="29B58AA4" w14:textId="77777777" w:rsidR="005479D2" w:rsidRPr="00B30884" w:rsidRDefault="00881F91">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Discriminatory inheritance legislation</w:t>
      </w:r>
      <w:r w:rsidRPr="00B30884">
        <w:rPr>
          <w:rFonts w:ascii="Times New Roman" w:eastAsia="Times New Roman" w:hAnsi="Times New Roman" w:cs="Times New Roman"/>
          <w:color w:val="0D0D0D"/>
          <w:sz w:val="20"/>
          <w:szCs w:val="20"/>
        </w:rPr>
        <w:t xml:space="preserve"> stipulates that women inherit half the share of men with the same degree of relationship to the deceased. Male heirs are entitled to the entire inheritance, while female heirs are only entitled to a share determined by law according to their degree of relationship to the deceased and the status of the other heirs.</w:t>
      </w:r>
    </w:p>
    <w:p w14:paraId="34948E25" w14:textId="77777777" w:rsidR="005479D2" w:rsidRPr="00B30884" w:rsidRDefault="00881F91">
      <w:pPr>
        <w:numPr>
          <w:ilvl w:val="0"/>
          <w:numId w:val="1"/>
        </w:numPr>
        <w:pBdr>
          <w:top w:val="nil"/>
          <w:left w:val="nil"/>
          <w:bottom w:val="nil"/>
          <w:right w:val="nil"/>
          <w:between w:val="nil"/>
        </w:pBdr>
        <w:shd w:val="clear" w:color="auto" w:fill="FFFFFF"/>
        <w:spacing w:after="160"/>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 xml:space="preserve">In addition, women can be exiled through </w:t>
      </w:r>
      <w:r w:rsidRPr="00B30884">
        <w:rPr>
          <w:rFonts w:ascii="Times New Roman" w:eastAsia="Times New Roman" w:hAnsi="Times New Roman" w:cs="Times New Roman"/>
          <w:b/>
          <w:color w:val="0D0D0D"/>
          <w:sz w:val="20"/>
          <w:szCs w:val="20"/>
        </w:rPr>
        <w:t>the system of "Awqafs</w:t>
      </w:r>
      <w:r w:rsidRPr="00B30884">
        <w:rPr>
          <w:rFonts w:ascii="Times New Roman" w:eastAsia="Times New Roman" w:hAnsi="Times New Roman" w:cs="Times New Roman"/>
          <w:color w:val="0D0D0D"/>
          <w:sz w:val="20"/>
          <w:szCs w:val="20"/>
          <w:vertAlign w:val="superscript"/>
        </w:rPr>
        <w:footnoteReference w:id="78"/>
      </w:r>
      <w:r w:rsidRPr="00B30884">
        <w:rPr>
          <w:rFonts w:ascii="Times New Roman" w:eastAsia="Times New Roman" w:hAnsi="Times New Roman" w:cs="Times New Roman"/>
          <w:b/>
          <w:color w:val="0D0D0D"/>
          <w:sz w:val="20"/>
          <w:szCs w:val="20"/>
        </w:rPr>
        <w:t xml:space="preserve">", </w:t>
      </w:r>
      <w:r w:rsidRPr="00B30884">
        <w:rPr>
          <w:rFonts w:ascii="Times New Roman" w:eastAsia="Times New Roman" w:hAnsi="Times New Roman" w:cs="Times New Roman"/>
          <w:color w:val="0D0D0D"/>
          <w:sz w:val="20"/>
          <w:szCs w:val="20"/>
        </w:rPr>
        <w:t>historically used to circumvent the rules of inheritance and favor male offspring. Despite the 2010 reform, the law (Moudawana des Awqaf)</w:t>
      </w:r>
      <w:r w:rsidRPr="00B30884">
        <w:rPr>
          <w:rFonts w:ascii="Times New Roman" w:eastAsia="Times New Roman" w:hAnsi="Times New Roman" w:cs="Times New Roman"/>
          <w:color w:val="0D0D0D"/>
          <w:sz w:val="20"/>
          <w:szCs w:val="20"/>
          <w:vertAlign w:val="superscript"/>
        </w:rPr>
        <w:footnoteReference w:id="79"/>
      </w:r>
      <w:r w:rsidRPr="00B30884">
        <w:rPr>
          <w:rFonts w:ascii="Times New Roman" w:eastAsia="Times New Roman" w:hAnsi="Times New Roman" w:cs="Times New Roman"/>
          <w:color w:val="0D0D0D"/>
          <w:sz w:val="20"/>
          <w:szCs w:val="20"/>
        </w:rPr>
        <w:t xml:space="preserve"> maintains several discriminations against women</w:t>
      </w:r>
      <w:bookmarkStart w:id="1" w:name="bookmark=id.gjdgxs" w:colFirst="0" w:colLast="0"/>
      <w:bookmarkEnd w:id="1"/>
      <w:r w:rsidRPr="00B30884">
        <w:rPr>
          <w:rFonts w:ascii="Times New Roman" w:eastAsia="Times New Roman" w:hAnsi="Times New Roman" w:cs="Times New Roman"/>
          <w:color w:val="0D0D0D"/>
          <w:sz w:val="20"/>
          <w:szCs w:val="20"/>
          <w:vertAlign w:val="superscript"/>
        </w:rPr>
        <w:footnoteReference w:id="80"/>
      </w:r>
      <w:r w:rsidRPr="00B30884">
        <w:rPr>
          <w:rFonts w:ascii="Times New Roman" w:eastAsia="Times New Roman" w:hAnsi="Times New Roman" w:cs="Times New Roman"/>
          <w:color w:val="0D0D0D"/>
          <w:sz w:val="20"/>
          <w:szCs w:val="20"/>
        </w:rPr>
        <w:t>.</w:t>
      </w:r>
    </w:p>
    <w:tbl>
      <w:tblPr>
        <w:tblStyle w:val="a7"/>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5479D2" w:rsidRPr="00B30884" w14:paraId="7B26DDCD" w14:textId="77777777">
        <w:tc>
          <w:tcPr>
            <w:tcW w:w="9212" w:type="dxa"/>
          </w:tcPr>
          <w:p w14:paraId="421DEFBE" w14:textId="51EBBB7D" w:rsidR="005479D2" w:rsidRPr="00B30884" w:rsidRDefault="00EA346F">
            <w:pPr>
              <w:numPr>
                <w:ilvl w:val="0"/>
                <w:numId w:val="1"/>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6" w:lineRule="auto"/>
              <w:jc w:val="both"/>
              <w:rPr>
                <w:rFonts w:ascii="Times New Roman" w:eastAsia="Times New Roman" w:hAnsi="Times New Roman" w:cs="Times New Roman"/>
                <w:b/>
                <w:color w:val="0D0D0D"/>
                <w:sz w:val="20"/>
                <w:szCs w:val="20"/>
              </w:rPr>
            </w:pPr>
            <w:r w:rsidRPr="00B30884">
              <w:rPr>
                <w:rFonts w:ascii="Times New Roman" w:eastAsia="Times New Roman" w:hAnsi="Times New Roman" w:cs="Times New Roman"/>
                <w:b/>
                <w:color w:val="0D0D0D"/>
                <w:sz w:val="20"/>
                <w:szCs w:val="20"/>
              </w:rPr>
              <w:t>Recommendations</w:t>
            </w:r>
            <w:r w:rsidR="00881F91" w:rsidRPr="00B30884">
              <w:rPr>
                <w:rFonts w:ascii="Times New Roman" w:eastAsia="Times New Roman" w:hAnsi="Times New Roman" w:cs="Times New Roman"/>
                <w:b/>
                <w:color w:val="0D0D0D"/>
                <w:sz w:val="20"/>
                <w:szCs w:val="20"/>
              </w:rPr>
              <w:t>:</w:t>
            </w:r>
          </w:p>
          <w:p w14:paraId="11831EBF" w14:textId="77777777" w:rsidR="005479D2" w:rsidRPr="00B30884" w:rsidRDefault="00881F91">
            <w:pPr>
              <w:numPr>
                <w:ilvl w:val="0"/>
                <w:numId w:val="2"/>
              </w:numPr>
              <w:spacing w:line="276" w:lineRule="auto"/>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Revise the Penal Code in its totality and repeal its discriminatory and liberticidal provisions;</w:t>
            </w:r>
          </w:p>
          <w:p w14:paraId="6E3F4D3E" w14:textId="77777777" w:rsidR="005479D2" w:rsidRPr="00B30884" w:rsidRDefault="00881F91">
            <w:pPr>
              <w:numPr>
                <w:ilvl w:val="0"/>
                <w:numId w:val="2"/>
              </w:numPr>
              <w:spacing w:line="276" w:lineRule="auto"/>
              <w:jc w:val="both"/>
              <w:rPr>
                <w:rFonts w:ascii="Times New Roman" w:eastAsia="Times New Roman" w:hAnsi="Times New Roman" w:cs="Times New Roman"/>
                <w:color w:val="0D0D0D"/>
                <w:sz w:val="20"/>
                <w:szCs w:val="20"/>
              </w:rPr>
            </w:pPr>
            <w:r w:rsidRPr="00B30884">
              <w:rPr>
                <w:rFonts w:ascii="Times New Roman" w:eastAsia="Times New Roman" w:hAnsi="Times New Roman" w:cs="Times New Roman"/>
                <w:color w:val="0D0D0D"/>
                <w:sz w:val="20"/>
                <w:szCs w:val="20"/>
              </w:rPr>
              <w:t>Amend the Family Code to grant women the same rights in the formation of marriage, in its dissolution, in the relations with children and in matters of inheritance, in conformity with article 19 of the Constitution and article 16 of the CEDAW.</w:t>
            </w:r>
          </w:p>
          <w:p w14:paraId="0D8324C9" w14:textId="77777777" w:rsidR="005479D2" w:rsidRPr="00B30884" w:rsidRDefault="005479D2">
            <w:pPr>
              <w:spacing w:line="276" w:lineRule="auto"/>
              <w:jc w:val="both"/>
              <w:rPr>
                <w:rFonts w:ascii="Times New Roman" w:eastAsia="Times New Roman" w:hAnsi="Times New Roman" w:cs="Times New Roman"/>
                <w:color w:val="0D0D0D"/>
                <w:sz w:val="20"/>
                <w:szCs w:val="20"/>
              </w:rPr>
            </w:pPr>
          </w:p>
        </w:tc>
      </w:tr>
    </w:tbl>
    <w:p w14:paraId="1D17F6D0" w14:textId="77777777" w:rsidR="005479D2" w:rsidRPr="00B30884" w:rsidRDefault="00881F91">
      <w:pPr>
        <w:jc w:val="both"/>
        <w:rPr>
          <w:rFonts w:ascii="Times New Roman" w:eastAsia="Times New Roman" w:hAnsi="Times New Roman" w:cs="Times New Roman"/>
          <w:color w:val="0D0D0D"/>
          <w:sz w:val="20"/>
          <w:szCs w:val="20"/>
        </w:rPr>
      </w:pPr>
      <w:r w:rsidRPr="00B30884">
        <w:br w:type="page"/>
      </w:r>
    </w:p>
    <w:p w14:paraId="3B644E6C" w14:textId="77777777" w:rsidR="005479D2" w:rsidRPr="00B30884" w:rsidRDefault="00881F91">
      <w:pPr>
        <w:shd w:val="clear" w:color="auto" w:fill="EEECE1"/>
        <w:spacing w:after="0"/>
        <w:jc w:val="center"/>
        <w:rPr>
          <w:rFonts w:ascii="Times New Roman" w:eastAsia="Times New Roman" w:hAnsi="Times New Roman" w:cs="Times New Roman"/>
          <w:b/>
          <w:color w:val="002060"/>
          <w:sz w:val="20"/>
          <w:szCs w:val="20"/>
        </w:rPr>
      </w:pPr>
      <w:r w:rsidRPr="00B30884">
        <w:rPr>
          <w:rFonts w:ascii="Times New Roman" w:eastAsia="Times New Roman" w:hAnsi="Times New Roman" w:cs="Times New Roman"/>
          <w:b/>
          <w:color w:val="002060"/>
          <w:sz w:val="20"/>
          <w:szCs w:val="20"/>
        </w:rPr>
        <w:lastRenderedPageBreak/>
        <w:t>APPENDIX 1:</w:t>
      </w:r>
    </w:p>
    <w:p w14:paraId="12215C4E" w14:textId="77777777" w:rsidR="005479D2" w:rsidRPr="00B30884" w:rsidRDefault="00881F91">
      <w:pPr>
        <w:shd w:val="clear" w:color="auto" w:fill="EEECE1"/>
        <w:spacing w:after="0"/>
        <w:jc w:val="center"/>
        <w:rPr>
          <w:rFonts w:ascii="Times New Roman" w:eastAsia="Times New Roman" w:hAnsi="Times New Roman" w:cs="Times New Roman"/>
          <w:b/>
          <w:color w:val="002060"/>
          <w:sz w:val="20"/>
          <w:szCs w:val="20"/>
        </w:rPr>
      </w:pPr>
      <w:r w:rsidRPr="00B30884">
        <w:rPr>
          <w:rFonts w:ascii="Times New Roman" w:eastAsia="Times New Roman" w:hAnsi="Times New Roman" w:cs="Times New Roman"/>
          <w:b/>
          <w:color w:val="002060"/>
          <w:sz w:val="20"/>
          <w:szCs w:val="20"/>
        </w:rPr>
        <w:t>Main Limitations of the Law No.103-13 on Combating Violence against Women</w:t>
      </w:r>
    </w:p>
    <w:p w14:paraId="24DED25C" w14:textId="77777777" w:rsidR="005479D2" w:rsidRPr="00B30884" w:rsidRDefault="005479D2">
      <w:pPr>
        <w:shd w:val="clear" w:color="auto" w:fill="EEECE1"/>
        <w:spacing w:after="0"/>
        <w:jc w:val="center"/>
        <w:rPr>
          <w:b/>
          <w:color w:val="002060"/>
          <w:sz w:val="20"/>
          <w:szCs w:val="20"/>
        </w:rPr>
      </w:pPr>
    </w:p>
    <w:p w14:paraId="1338EBD7" w14:textId="77777777" w:rsidR="005479D2" w:rsidRPr="00B30884" w:rsidRDefault="005479D2">
      <w:pPr>
        <w:spacing w:after="0"/>
        <w:jc w:val="both"/>
        <w:rPr>
          <w:b/>
          <w:color w:val="002060"/>
          <w:sz w:val="20"/>
          <w:szCs w:val="20"/>
        </w:rPr>
      </w:pPr>
    </w:p>
    <w:tbl>
      <w:tblPr>
        <w:tblStyle w:val="a8"/>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5479D2" w:rsidRPr="00B30884" w14:paraId="242B9934" w14:textId="77777777">
        <w:tc>
          <w:tcPr>
            <w:tcW w:w="9212" w:type="dxa"/>
          </w:tcPr>
          <w:p w14:paraId="09BC5779" w14:textId="77777777" w:rsidR="005479D2" w:rsidRPr="00B30884" w:rsidRDefault="00881F91">
            <w:pPr>
              <w:numPr>
                <w:ilvl w:val="0"/>
                <w:numId w:val="1"/>
              </w:numPr>
              <w:pBdr>
                <w:top w:val="nil"/>
                <w:left w:val="nil"/>
                <w:bottom w:val="nil"/>
                <w:right w:val="nil"/>
                <w:between w:val="nil"/>
              </w:pBdr>
              <w:spacing w:before="240" w:line="276"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color w:val="1C4587"/>
                <w:sz w:val="20"/>
                <w:szCs w:val="20"/>
              </w:rPr>
              <w:t>Does not adopt universal definitions of discrimination against women, gender-based violence, harmful practices, economic exploitation, etc., "leaving broad power of discretion to law enforcement officials in a societal context that is heavily imbued with a "patriarchal" culture’’</w:t>
            </w:r>
            <w:r w:rsidRPr="00B30884">
              <w:rPr>
                <w:rFonts w:ascii="Times New Roman" w:eastAsia="Times New Roman" w:hAnsi="Times New Roman" w:cs="Times New Roman"/>
                <w:color w:val="1C4587"/>
                <w:sz w:val="20"/>
                <w:szCs w:val="20"/>
                <w:vertAlign w:val="superscript"/>
              </w:rPr>
              <w:footnoteReference w:id="81"/>
            </w:r>
            <w:r w:rsidRPr="00B30884">
              <w:rPr>
                <w:rFonts w:ascii="Times New Roman" w:eastAsia="Times New Roman" w:hAnsi="Times New Roman" w:cs="Times New Roman"/>
                <w:color w:val="1C4587"/>
                <w:sz w:val="20"/>
                <w:szCs w:val="20"/>
              </w:rPr>
              <w:t>;</w:t>
            </w:r>
          </w:p>
          <w:p w14:paraId="1974718F" w14:textId="77777777" w:rsidR="005479D2" w:rsidRPr="00B30884" w:rsidRDefault="00881F91">
            <w:pPr>
              <w:numPr>
                <w:ilvl w:val="0"/>
                <w:numId w:val="1"/>
              </w:numPr>
              <w:pBdr>
                <w:top w:val="nil"/>
                <w:left w:val="nil"/>
                <w:bottom w:val="nil"/>
                <w:right w:val="nil"/>
                <w:between w:val="nil"/>
              </w:pBdr>
              <w:tabs>
                <w:tab w:val="left" w:pos="1276"/>
              </w:tabs>
              <w:spacing w:line="276"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color w:val="1C4587"/>
                <w:sz w:val="20"/>
                <w:szCs w:val="20"/>
              </w:rPr>
              <w:t>Adopts a repressive approach consisting in increasing fines and prison</w:t>
            </w:r>
            <w:r w:rsidRPr="00B30884">
              <w:rPr>
                <w:rFonts w:ascii="Times New Roman" w:eastAsia="Times New Roman" w:hAnsi="Times New Roman" w:cs="Times New Roman"/>
                <w:color w:val="1C4587"/>
                <w:sz w:val="20"/>
                <w:szCs w:val="20"/>
                <w:vertAlign w:val="superscript"/>
              </w:rPr>
              <w:footnoteReference w:id="82"/>
            </w:r>
            <w:r w:rsidRPr="00B30884">
              <w:rPr>
                <w:rFonts w:ascii="Times New Roman" w:eastAsia="Times New Roman" w:hAnsi="Times New Roman" w:cs="Times New Roman"/>
                <w:color w:val="1C4587"/>
                <w:sz w:val="20"/>
                <w:szCs w:val="20"/>
              </w:rPr>
              <w:t xml:space="preserve"> sentences to the detriment of prevention (only one article is dedicated to this), protection and care of victims; </w:t>
            </w:r>
          </w:p>
          <w:p w14:paraId="2335420F" w14:textId="77777777" w:rsidR="005479D2" w:rsidRPr="00B30884" w:rsidRDefault="00881F91">
            <w:pPr>
              <w:numPr>
                <w:ilvl w:val="0"/>
                <w:numId w:val="1"/>
              </w:numPr>
              <w:pBdr>
                <w:top w:val="nil"/>
                <w:left w:val="nil"/>
                <w:bottom w:val="nil"/>
                <w:right w:val="nil"/>
                <w:between w:val="nil"/>
              </w:pBdr>
              <w:tabs>
                <w:tab w:val="left" w:pos="1276"/>
              </w:tabs>
              <w:spacing w:line="276"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color w:val="1C4587"/>
                <w:sz w:val="20"/>
                <w:szCs w:val="20"/>
              </w:rPr>
              <w:t>Excludes the possibility of protection orders in civil proceedings and limits the use of protection orders to the initiation of criminal proceedings;</w:t>
            </w:r>
          </w:p>
          <w:p w14:paraId="4D33FB63" w14:textId="77777777" w:rsidR="005479D2" w:rsidRPr="00B30884" w:rsidRDefault="00881F91">
            <w:pPr>
              <w:numPr>
                <w:ilvl w:val="0"/>
                <w:numId w:val="1"/>
              </w:numPr>
              <w:tabs>
                <w:tab w:val="left" w:pos="1276"/>
              </w:tabs>
              <w:spacing w:line="276"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color w:val="1C4587"/>
                <w:sz w:val="20"/>
                <w:szCs w:val="20"/>
              </w:rPr>
              <w:t>Does not take into account the standard of “due diligence” that requires all the authorities involved to investigate, punish the perpetrators and repair the harm suffered;</w:t>
            </w:r>
          </w:p>
          <w:p w14:paraId="5E3FD8CF" w14:textId="77777777" w:rsidR="005479D2" w:rsidRPr="00B30884" w:rsidRDefault="00881F91">
            <w:pPr>
              <w:numPr>
                <w:ilvl w:val="0"/>
                <w:numId w:val="1"/>
              </w:numPr>
              <w:tabs>
                <w:tab w:val="left" w:pos="1276"/>
              </w:tabs>
              <w:spacing w:line="276"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color w:val="1C4587"/>
                <w:sz w:val="20"/>
                <w:szCs w:val="20"/>
              </w:rPr>
              <w:t xml:space="preserve">Provides for three new articles in the Penal Code (Articles 481-1, 503-2-1 and 526-1), which allow for the automatic cancellation of any legal proceedings if the victim withdraws the complaint; thus, increasing the risk of pressure on the victim; </w:t>
            </w:r>
          </w:p>
          <w:p w14:paraId="526D60DA" w14:textId="77777777" w:rsidR="005479D2" w:rsidRPr="00B30884" w:rsidRDefault="00881F91">
            <w:pPr>
              <w:numPr>
                <w:ilvl w:val="0"/>
                <w:numId w:val="1"/>
              </w:numPr>
              <w:tabs>
                <w:tab w:val="left" w:pos="1276"/>
              </w:tabs>
              <w:spacing w:line="276"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color w:val="1C4587"/>
                <w:sz w:val="20"/>
                <w:szCs w:val="20"/>
              </w:rPr>
              <w:t>Does not provide for the reversal of the burden of proof, especially for offences such as rape or sexual harassment, which has a deterrent effect on victims in filing a complaint;</w:t>
            </w:r>
          </w:p>
          <w:p w14:paraId="49297B5D" w14:textId="77777777" w:rsidR="005479D2" w:rsidRPr="00B30884" w:rsidRDefault="00881F91">
            <w:pPr>
              <w:numPr>
                <w:ilvl w:val="0"/>
                <w:numId w:val="1"/>
              </w:numPr>
              <w:tabs>
                <w:tab w:val="left" w:pos="1276"/>
              </w:tabs>
              <w:spacing w:line="276"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color w:val="1C4587"/>
                <w:sz w:val="20"/>
                <w:szCs w:val="20"/>
              </w:rPr>
              <w:t>Does not provide for any obligations or sanctions against the competent authorities that do not comply with or fail to implement the provisions of Law 103-13;</w:t>
            </w:r>
          </w:p>
          <w:p w14:paraId="576E7567" w14:textId="77777777" w:rsidR="005479D2" w:rsidRPr="00B30884" w:rsidRDefault="00881F91">
            <w:pPr>
              <w:numPr>
                <w:ilvl w:val="0"/>
                <w:numId w:val="1"/>
              </w:numPr>
              <w:tabs>
                <w:tab w:val="left" w:pos="1276"/>
              </w:tabs>
              <w:spacing w:line="276"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color w:val="1C4587"/>
                <w:sz w:val="20"/>
                <w:szCs w:val="20"/>
              </w:rPr>
              <w:t>Limits the ability of associations to act as civil parties in cases of violence by requiring them to have public benefit status and the victim's authorization.</w:t>
            </w:r>
          </w:p>
          <w:p w14:paraId="439AC95C" w14:textId="77777777" w:rsidR="005479D2" w:rsidRPr="00B30884" w:rsidRDefault="005479D2">
            <w:pPr>
              <w:pBdr>
                <w:top w:val="nil"/>
                <w:left w:val="nil"/>
                <w:bottom w:val="nil"/>
                <w:right w:val="nil"/>
                <w:between w:val="nil"/>
              </w:pBdr>
              <w:tabs>
                <w:tab w:val="left" w:pos="1276"/>
              </w:tabs>
              <w:spacing w:line="276" w:lineRule="auto"/>
              <w:ind w:left="720"/>
              <w:jc w:val="both"/>
              <w:rPr>
                <w:rFonts w:ascii="Times New Roman" w:eastAsia="Times New Roman" w:hAnsi="Times New Roman" w:cs="Times New Roman"/>
                <w:color w:val="002060"/>
                <w:sz w:val="20"/>
                <w:szCs w:val="20"/>
              </w:rPr>
            </w:pPr>
          </w:p>
        </w:tc>
      </w:tr>
    </w:tbl>
    <w:p w14:paraId="37A11E02" w14:textId="77777777" w:rsidR="005479D2" w:rsidRPr="00B30884" w:rsidRDefault="005479D2">
      <w:pPr>
        <w:spacing w:after="0"/>
        <w:jc w:val="both"/>
        <w:rPr>
          <w:color w:val="002060"/>
          <w:sz w:val="20"/>
          <w:szCs w:val="20"/>
        </w:rPr>
      </w:pPr>
    </w:p>
    <w:p w14:paraId="3B08FC75" w14:textId="77777777" w:rsidR="005479D2" w:rsidRPr="00B30884" w:rsidRDefault="00881F91">
      <w:pPr>
        <w:spacing w:after="160"/>
        <w:jc w:val="both"/>
        <w:rPr>
          <w:b/>
          <w:color w:val="002060"/>
          <w:sz w:val="20"/>
          <w:szCs w:val="20"/>
        </w:rPr>
      </w:pPr>
      <w:r w:rsidRPr="00B30884">
        <w:br w:type="page"/>
      </w:r>
    </w:p>
    <w:p w14:paraId="62C9E427" w14:textId="77777777" w:rsidR="005479D2" w:rsidRPr="00B30884" w:rsidRDefault="00881F91">
      <w:pPr>
        <w:shd w:val="clear" w:color="auto" w:fill="EEECE1"/>
        <w:spacing w:after="0"/>
        <w:jc w:val="center"/>
        <w:rPr>
          <w:rFonts w:ascii="Times New Roman" w:eastAsia="Times New Roman" w:hAnsi="Times New Roman" w:cs="Times New Roman"/>
          <w:b/>
          <w:color w:val="002060"/>
          <w:sz w:val="20"/>
          <w:szCs w:val="20"/>
        </w:rPr>
      </w:pPr>
      <w:r w:rsidRPr="00B30884">
        <w:rPr>
          <w:rFonts w:ascii="Times New Roman" w:eastAsia="Times New Roman" w:hAnsi="Times New Roman" w:cs="Times New Roman"/>
          <w:b/>
          <w:color w:val="002060"/>
          <w:sz w:val="20"/>
          <w:szCs w:val="20"/>
        </w:rPr>
        <w:lastRenderedPageBreak/>
        <w:t>APPENDIX 2:</w:t>
      </w:r>
    </w:p>
    <w:p w14:paraId="7642893A" w14:textId="77777777" w:rsidR="005479D2" w:rsidRPr="00B30884" w:rsidRDefault="00881F91">
      <w:pPr>
        <w:shd w:val="clear" w:color="auto" w:fill="EEECE1"/>
        <w:spacing w:after="0"/>
        <w:jc w:val="center"/>
        <w:rPr>
          <w:rFonts w:ascii="Times New Roman" w:eastAsia="Times New Roman" w:hAnsi="Times New Roman" w:cs="Times New Roman"/>
          <w:b/>
          <w:color w:val="002060"/>
          <w:sz w:val="20"/>
          <w:szCs w:val="20"/>
        </w:rPr>
      </w:pPr>
      <w:r w:rsidRPr="00B30884">
        <w:rPr>
          <w:rFonts w:ascii="Times New Roman" w:eastAsia="Times New Roman" w:hAnsi="Times New Roman" w:cs="Times New Roman"/>
          <w:b/>
          <w:color w:val="002060"/>
          <w:sz w:val="20"/>
          <w:szCs w:val="20"/>
        </w:rPr>
        <w:t>Discriminatory Provisions in the Penal Code</w:t>
      </w:r>
    </w:p>
    <w:p w14:paraId="719766D6" w14:textId="77777777" w:rsidR="005479D2" w:rsidRPr="00B30884" w:rsidRDefault="00881F91">
      <w:pPr>
        <w:numPr>
          <w:ilvl w:val="0"/>
          <w:numId w:val="1"/>
        </w:numPr>
        <w:spacing w:after="0" w:line="240"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sz w:val="20"/>
          <w:szCs w:val="20"/>
        </w:rPr>
        <w:t xml:space="preserve"> The criminal legislation is patriarchal and detrimental to individual freedoms in its philosophy, structure and provisions:</w:t>
      </w:r>
    </w:p>
    <w:p w14:paraId="585107D1" w14:textId="77777777" w:rsidR="005479D2" w:rsidRPr="00B30884" w:rsidRDefault="00881F91">
      <w:pPr>
        <w:numPr>
          <w:ilvl w:val="0"/>
          <w:numId w:val="1"/>
        </w:numPr>
        <w:pBdr>
          <w:top w:val="nil"/>
          <w:left w:val="nil"/>
          <w:bottom w:val="nil"/>
          <w:right w:val="nil"/>
          <w:between w:val="nil"/>
        </w:pBdr>
        <w:tabs>
          <w:tab w:val="left" w:pos="1276"/>
        </w:tabs>
        <w:spacing w:after="0"/>
        <w:jc w:val="both"/>
        <w:rPr>
          <w:rFonts w:ascii="Times New Roman" w:eastAsia="Times New Roman" w:hAnsi="Times New Roman" w:cs="Times New Roman"/>
          <w:sz w:val="20"/>
          <w:szCs w:val="20"/>
        </w:rPr>
      </w:pPr>
      <w:r w:rsidRPr="00B30884">
        <w:rPr>
          <w:rFonts w:ascii="Times New Roman" w:eastAsia="Times New Roman" w:hAnsi="Times New Roman" w:cs="Times New Roman"/>
          <w:color w:val="202124"/>
          <w:sz w:val="20"/>
          <w:szCs w:val="20"/>
        </w:rPr>
        <w:t>a.</w:t>
      </w:r>
      <w:r w:rsidRPr="00B30884">
        <w:rPr>
          <w:rFonts w:ascii="Times New Roman" w:eastAsia="Times New Roman" w:hAnsi="Times New Roman" w:cs="Times New Roman"/>
          <w:b/>
          <w:color w:val="202124"/>
          <w:sz w:val="20"/>
          <w:szCs w:val="20"/>
        </w:rPr>
        <w:t xml:space="preserve"> sexual relations between people of different sexes not bound by a marriage act </w:t>
      </w:r>
      <w:r w:rsidRPr="00B30884">
        <w:rPr>
          <w:rFonts w:ascii="Times New Roman" w:eastAsia="Times New Roman" w:hAnsi="Times New Roman" w:cs="Times New Roman"/>
          <w:color w:val="202124"/>
          <w:sz w:val="20"/>
          <w:szCs w:val="20"/>
        </w:rPr>
        <w:t>are considered as “debauchery” (</w:t>
      </w:r>
      <w:r w:rsidRPr="00B30884">
        <w:rPr>
          <w:rFonts w:ascii="Times New Roman" w:eastAsia="Times New Roman" w:hAnsi="Times New Roman" w:cs="Times New Roman"/>
          <w:color w:val="202124"/>
          <w:sz w:val="20"/>
          <w:szCs w:val="20"/>
          <w:rtl/>
        </w:rPr>
        <w:t>الفساد</w:t>
      </w:r>
      <w:r w:rsidRPr="00B30884">
        <w:rPr>
          <w:rFonts w:ascii="Times New Roman" w:eastAsia="Times New Roman" w:hAnsi="Times New Roman" w:cs="Times New Roman"/>
          <w:color w:val="202124"/>
          <w:sz w:val="20"/>
          <w:szCs w:val="20"/>
        </w:rPr>
        <w:t>) under Article 490 which states: “</w:t>
      </w:r>
      <w:r w:rsidRPr="00B30884">
        <w:rPr>
          <w:rFonts w:ascii="Times New Roman" w:eastAsia="Times New Roman" w:hAnsi="Times New Roman" w:cs="Times New Roman"/>
          <w:color w:val="202124"/>
          <w:sz w:val="20"/>
          <w:szCs w:val="20"/>
          <w:u w:val="single"/>
        </w:rPr>
        <w:t>All persons of</w:t>
      </w:r>
      <w:r w:rsidRPr="00B30884">
        <w:rPr>
          <w:rFonts w:ascii="Times New Roman" w:eastAsia="Times New Roman" w:hAnsi="Times New Roman" w:cs="Times New Roman"/>
          <w:color w:val="202124"/>
          <w:sz w:val="20"/>
          <w:szCs w:val="20"/>
        </w:rPr>
        <w:t xml:space="preserve"> the opposite </w:t>
      </w:r>
      <w:r w:rsidRPr="00B30884">
        <w:rPr>
          <w:rFonts w:ascii="Times New Roman" w:eastAsia="Times New Roman" w:hAnsi="Times New Roman" w:cs="Times New Roman"/>
          <w:color w:val="202124"/>
          <w:sz w:val="20"/>
          <w:szCs w:val="20"/>
          <w:u w:val="single"/>
        </w:rPr>
        <w:t>sex who are not related by marriage,</w:t>
      </w:r>
      <w:r w:rsidRPr="00B30884">
        <w:rPr>
          <w:rFonts w:ascii="Times New Roman" w:eastAsia="Times New Roman" w:hAnsi="Times New Roman" w:cs="Times New Roman"/>
          <w:color w:val="202124"/>
          <w:sz w:val="20"/>
          <w:szCs w:val="20"/>
        </w:rPr>
        <w:t xml:space="preserve"> and have sexual relations with each other, are punishable by imprisonment for one month to one year</w:t>
      </w:r>
      <w:r w:rsidRPr="00B30884">
        <w:rPr>
          <w:rFonts w:ascii="Times New Roman" w:eastAsia="Times New Roman" w:hAnsi="Times New Roman" w:cs="Times New Roman"/>
          <w:color w:val="202124"/>
          <w:sz w:val="20"/>
          <w:szCs w:val="20"/>
          <w:vertAlign w:val="superscript"/>
        </w:rPr>
        <w:footnoteReference w:id="83"/>
      </w:r>
      <w:r w:rsidRPr="00B30884">
        <w:rPr>
          <w:rFonts w:ascii="Times New Roman" w:eastAsia="Times New Roman" w:hAnsi="Times New Roman" w:cs="Times New Roman"/>
          <w:color w:val="202124"/>
          <w:sz w:val="20"/>
          <w:szCs w:val="20"/>
        </w:rPr>
        <w:t>’’. </w:t>
      </w:r>
    </w:p>
    <w:p w14:paraId="37A5C24E" w14:textId="77777777" w:rsidR="005479D2" w:rsidRPr="00B30884" w:rsidRDefault="00881F91">
      <w:pPr>
        <w:numPr>
          <w:ilvl w:val="0"/>
          <w:numId w:val="1"/>
        </w:numPr>
        <w:pBdr>
          <w:top w:val="nil"/>
          <w:left w:val="nil"/>
          <w:bottom w:val="nil"/>
          <w:right w:val="nil"/>
          <w:between w:val="nil"/>
        </w:pBdr>
        <w:spacing w:after="0" w:line="240" w:lineRule="auto"/>
        <w:jc w:val="both"/>
        <w:rPr>
          <w:sz w:val="20"/>
          <w:szCs w:val="20"/>
        </w:rPr>
      </w:pPr>
      <w:r w:rsidRPr="00B30884">
        <w:rPr>
          <w:color w:val="000000"/>
          <w:sz w:val="20"/>
          <w:szCs w:val="20"/>
        </w:rPr>
        <w:t>b.</w:t>
      </w:r>
      <w:r w:rsidRPr="00B30884">
        <w:rPr>
          <w:b/>
          <w:color w:val="000000"/>
          <w:sz w:val="20"/>
          <w:szCs w:val="20"/>
        </w:rPr>
        <w:t xml:space="preserve"> </w:t>
      </w:r>
      <w:r w:rsidRPr="00B30884">
        <w:rPr>
          <w:rFonts w:ascii="Times New Roman" w:eastAsia="Times New Roman" w:hAnsi="Times New Roman" w:cs="Times New Roman"/>
          <w:b/>
          <w:sz w:val="20"/>
          <w:szCs w:val="20"/>
        </w:rPr>
        <w:t>Sexual relations between persons of the same sex</w:t>
      </w:r>
      <w:r w:rsidRPr="00B30884">
        <w:rPr>
          <w:rFonts w:ascii="Times New Roman" w:eastAsia="Times New Roman" w:hAnsi="Times New Roman" w:cs="Times New Roman"/>
          <w:sz w:val="20"/>
          <w:szCs w:val="20"/>
        </w:rPr>
        <w:t>, under article 489 of the Criminal Code: “</w:t>
      </w:r>
      <w:r w:rsidRPr="00B30884">
        <w:rPr>
          <w:rFonts w:ascii="Times New Roman" w:eastAsia="Times New Roman" w:hAnsi="Times New Roman" w:cs="Times New Roman"/>
          <w:i/>
          <w:sz w:val="20"/>
          <w:szCs w:val="20"/>
          <w:u w:val="single"/>
        </w:rPr>
        <w:t xml:space="preserve">Anyone who commits a lewd or unnatural act with an individual of the same sex shall be </w:t>
      </w:r>
      <w:r w:rsidRPr="00B30884">
        <w:rPr>
          <w:rFonts w:ascii="Times New Roman" w:eastAsia="Times New Roman" w:hAnsi="Times New Roman" w:cs="Times New Roman"/>
          <w:i/>
          <w:sz w:val="20"/>
          <w:szCs w:val="20"/>
        </w:rPr>
        <w:t>punished by imprisonment for a period of six months to three years and a fine of 200 to 1,000 dirhams, unless the act constitutes a more serious offence</w:t>
      </w:r>
      <w:r w:rsidRPr="00B30884">
        <w:rPr>
          <w:rFonts w:ascii="Times New Roman" w:eastAsia="Times New Roman" w:hAnsi="Times New Roman" w:cs="Times New Roman"/>
          <w:sz w:val="20"/>
          <w:szCs w:val="20"/>
        </w:rPr>
        <w:t>.”</w:t>
      </w:r>
    </w:p>
    <w:p w14:paraId="6D1BFAF5" w14:textId="77777777" w:rsidR="005479D2" w:rsidRPr="00B30884" w:rsidRDefault="00881F9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color w:val="000000"/>
          <w:sz w:val="20"/>
          <w:szCs w:val="20"/>
        </w:rPr>
        <w:t>c.</w:t>
      </w:r>
      <w:r w:rsidRPr="00B30884">
        <w:rPr>
          <w:rFonts w:ascii="Times New Roman" w:eastAsia="Times New Roman" w:hAnsi="Times New Roman" w:cs="Times New Roman"/>
          <w:b/>
          <w:color w:val="000000"/>
          <w:sz w:val="20"/>
          <w:szCs w:val="20"/>
        </w:rPr>
        <w:t xml:space="preserve"> </w:t>
      </w:r>
      <w:r w:rsidRPr="00B30884">
        <w:rPr>
          <w:rFonts w:ascii="Times New Roman" w:eastAsia="Times New Roman" w:hAnsi="Times New Roman" w:cs="Times New Roman"/>
          <w:b/>
          <w:sz w:val="20"/>
          <w:szCs w:val="20"/>
        </w:rPr>
        <w:t xml:space="preserve">the adulterous relationship </w:t>
      </w:r>
      <w:r w:rsidRPr="00B30884">
        <w:rPr>
          <w:rFonts w:ascii="Times New Roman" w:eastAsia="Times New Roman" w:hAnsi="Times New Roman" w:cs="Times New Roman"/>
          <w:sz w:val="20"/>
          <w:szCs w:val="20"/>
        </w:rPr>
        <w:t>(Articles 491 and 492) by stating in Article 491 of the Criminal Code (paragraph 1): “</w:t>
      </w:r>
      <w:r w:rsidRPr="00B30884">
        <w:rPr>
          <w:rFonts w:ascii="Times New Roman" w:eastAsia="Times New Roman" w:hAnsi="Times New Roman" w:cs="Times New Roman"/>
          <w:i/>
          <w:sz w:val="20"/>
          <w:szCs w:val="20"/>
        </w:rPr>
        <w:t>Any married person convicted of adultery shall be punished by imprisonment of one to two years. Prosecution shall be carried out only on the complaint of the offended spouse</w:t>
      </w:r>
      <w:r w:rsidRPr="00B30884">
        <w:rPr>
          <w:rFonts w:ascii="Times New Roman" w:eastAsia="Times New Roman" w:hAnsi="Times New Roman" w:cs="Times New Roman"/>
          <w:color w:val="000000"/>
          <w:sz w:val="20"/>
          <w:szCs w:val="20"/>
          <w:vertAlign w:val="superscript"/>
        </w:rPr>
        <w:footnoteReference w:id="84"/>
      </w:r>
      <w:r w:rsidRPr="00B30884">
        <w:rPr>
          <w:rFonts w:ascii="Times New Roman" w:eastAsia="Times New Roman" w:hAnsi="Times New Roman" w:cs="Times New Roman"/>
          <w:sz w:val="20"/>
          <w:szCs w:val="20"/>
        </w:rPr>
        <w:t>’’</w:t>
      </w:r>
      <w:r w:rsidRPr="00B30884">
        <w:rPr>
          <w:rFonts w:ascii="Times New Roman" w:eastAsia="Times New Roman" w:hAnsi="Times New Roman" w:cs="Times New Roman"/>
          <w:color w:val="000000"/>
          <w:sz w:val="20"/>
          <w:szCs w:val="20"/>
        </w:rPr>
        <w:t xml:space="preserve">. </w:t>
      </w:r>
    </w:p>
    <w:p w14:paraId="657773ED" w14:textId="77777777" w:rsidR="005479D2" w:rsidRPr="00B30884" w:rsidRDefault="00881F91">
      <w:pPr>
        <w:numPr>
          <w:ilvl w:val="0"/>
          <w:numId w:val="1"/>
        </w:numPr>
        <w:spacing w:after="0" w:line="240"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sz w:val="20"/>
          <w:szCs w:val="20"/>
        </w:rPr>
        <w:t xml:space="preserve"> Rape victims are obliged to produce evidence and witnesses to the crime to prove their non-consent. If they fail to do so, they risk criminal prosecution for sexual relations outside matrimony. On the other hand, the criminal complaint is not admissible without a medical certificate attesting that the injuries suffered have led to more than 20 days of disability.</w:t>
      </w:r>
    </w:p>
    <w:p w14:paraId="32A72CBB" w14:textId="77777777" w:rsidR="005479D2" w:rsidRPr="00B30884" w:rsidRDefault="00881F91">
      <w:pPr>
        <w:numPr>
          <w:ilvl w:val="0"/>
          <w:numId w:val="1"/>
        </w:numPr>
        <w:pBdr>
          <w:top w:val="nil"/>
          <w:left w:val="nil"/>
          <w:bottom w:val="nil"/>
          <w:right w:val="nil"/>
          <w:between w:val="nil"/>
        </w:pBdr>
        <w:spacing w:after="0"/>
        <w:jc w:val="both"/>
        <w:rPr>
          <w:rFonts w:ascii="Times New Roman" w:eastAsia="Times New Roman" w:hAnsi="Times New Roman" w:cs="Times New Roman"/>
          <w:sz w:val="20"/>
          <w:szCs w:val="20"/>
        </w:rPr>
      </w:pPr>
      <w:r w:rsidRPr="00B30884">
        <w:rPr>
          <w:rFonts w:ascii="Times New Roman" w:eastAsia="Times New Roman" w:hAnsi="Times New Roman" w:cs="Times New Roman"/>
          <w:sz w:val="20"/>
          <w:szCs w:val="20"/>
        </w:rPr>
        <w:t>The provisions on rape maintain a hierarchy between victims (married and unmarried, virgins and non-virgins) and do not criminalize marital rape. Thus, if the defloration follows rape or indecent assault, the penalty is doubled in each case (Article 488 of the Penal Code). The criminalization of adulterous relations benefits from extenuating circumstances, by granting a kind of immunity - akin to ‘impunity for crimes of honor’ - to the ‘head of the family’ who surprises an illicit carnal trade in his home if he commits murder ‘with or without intention to cause death’ or catches rape or attempted rape in flagrante delicto, by virtue of Articles 42</w:t>
      </w:r>
      <w:r w:rsidRPr="00B30884">
        <w:rPr>
          <w:rFonts w:ascii="Times New Roman" w:eastAsia="Times New Roman" w:hAnsi="Times New Roman" w:cs="Times New Roman"/>
          <w:color w:val="000000"/>
          <w:sz w:val="20"/>
          <w:szCs w:val="20"/>
        </w:rPr>
        <w:t>0</w:t>
      </w:r>
      <w:r w:rsidRPr="00B30884">
        <w:rPr>
          <w:rFonts w:ascii="Times New Roman" w:eastAsia="Times New Roman" w:hAnsi="Times New Roman" w:cs="Times New Roman"/>
          <w:color w:val="000000"/>
          <w:sz w:val="20"/>
          <w:szCs w:val="20"/>
          <w:vertAlign w:val="superscript"/>
        </w:rPr>
        <w:footnoteReference w:id="85"/>
      </w:r>
      <w:r w:rsidRPr="00B30884">
        <w:rPr>
          <w:rFonts w:ascii="Times New Roman" w:eastAsia="Times New Roman" w:hAnsi="Times New Roman" w:cs="Times New Roman"/>
          <w:color w:val="000000"/>
          <w:sz w:val="20"/>
          <w:szCs w:val="20"/>
        </w:rPr>
        <w:t xml:space="preserve"> </w:t>
      </w:r>
      <w:r w:rsidRPr="00B30884">
        <w:rPr>
          <w:rFonts w:ascii="Times New Roman" w:eastAsia="Times New Roman" w:hAnsi="Times New Roman" w:cs="Times New Roman"/>
          <w:sz w:val="20"/>
          <w:szCs w:val="20"/>
        </w:rPr>
        <w:t>and</w:t>
      </w:r>
      <w:r w:rsidRPr="00B30884">
        <w:rPr>
          <w:rFonts w:ascii="Times New Roman" w:eastAsia="Times New Roman" w:hAnsi="Times New Roman" w:cs="Times New Roman"/>
          <w:color w:val="000000"/>
          <w:sz w:val="20"/>
          <w:szCs w:val="20"/>
        </w:rPr>
        <w:t xml:space="preserve"> 421</w:t>
      </w:r>
      <w:r w:rsidRPr="00B30884">
        <w:rPr>
          <w:rFonts w:ascii="Times New Roman" w:eastAsia="Times New Roman" w:hAnsi="Times New Roman" w:cs="Times New Roman"/>
          <w:color w:val="000000"/>
          <w:sz w:val="20"/>
          <w:szCs w:val="20"/>
          <w:vertAlign w:val="superscript"/>
        </w:rPr>
        <w:footnoteReference w:id="86"/>
      </w:r>
      <w:r w:rsidRPr="00B30884">
        <w:rPr>
          <w:rFonts w:ascii="Times New Roman" w:eastAsia="Times New Roman" w:hAnsi="Times New Roman" w:cs="Times New Roman"/>
          <w:color w:val="000000"/>
          <w:sz w:val="20"/>
          <w:szCs w:val="20"/>
        </w:rPr>
        <w:t>.</w:t>
      </w:r>
    </w:p>
    <w:p w14:paraId="526BCF69" w14:textId="77777777" w:rsidR="005479D2" w:rsidRPr="00B30884" w:rsidRDefault="00881F91">
      <w:pPr>
        <w:numPr>
          <w:ilvl w:val="0"/>
          <w:numId w:val="1"/>
        </w:numPr>
        <w:spacing w:after="0" w:line="240"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sz w:val="20"/>
          <w:szCs w:val="20"/>
        </w:rPr>
        <w:t>Compensation for victims of rape and/or sexual violence is governed by general rules set out in the Code of Criminal Procedure. There are no specific provisions for women victims, which raises real problems of fairness and effectiveness, particularly in the absence of precise criteria for assessing damages and the existence of a wide discretionary power on the part of judges, which in practice often benefits the perpetrator of rape and/or sexual violence. Thus, the victim's appearance, background, profession, the fact that she does not act as a civil party, etc., are often interpreted as mitigating circumstances for the perpetrator.</w:t>
      </w:r>
    </w:p>
    <w:p w14:paraId="0D00C1F2" w14:textId="77777777" w:rsidR="005479D2" w:rsidRPr="00B30884" w:rsidRDefault="00881F91">
      <w:pPr>
        <w:numPr>
          <w:ilvl w:val="0"/>
          <w:numId w:val="1"/>
        </w:numPr>
        <w:spacing w:after="0" w:line="240" w:lineRule="auto"/>
        <w:jc w:val="both"/>
        <w:rPr>
          <w:rFonts w:ascii="Times New Roman" w:eastAsia="Times New Roman" w:hAnsi="Times New Roman" w:cs="Times New Roman"/>
          <w:sz w:val="20"/>
          <w:szCs w:val="20"/>
        </w:rPr>
      </w:pPr>
      <w:r w:rsidRPr="00B30884">
        <w:rPr>
          <w:rFonts w:ascii="Times New Roman" w:eastAsia="Times New Roman" w:hAnsi="Times New Roman" w:cs="Times New Roman"/>
          <w:sz w:val="20"/>
          <w:szCs w:val="20"/>
        </w:rPr>
        <w:t>Women victims of rape and/or sexual violence also suffer in practice from the problem of the non-execution of judicial decisions regarding the awarding of damages to ensure that the victim is compensated for the harm caused by the crime, particularly in the case of the perpetrator's indigence or flight, as the State does not have a fund to support victims of rape and sexual assaults.</w:t>
      </w:r>
    </w:p>
    <w:sectPr w:rsidR="005479D2" w:rsidRPr="00B30884">
      <w:headerReference w:type="default" r:id="rId11"/>
      <w:footerReference w:type="default" r:id="rId12"/>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0C1C" w14:textId="77777777" w:rsidR="00F51A71" w:rsidRDefault="00F51A71">
      <w:pPr>
        <w:spacing w:after="0" w:line="240" w:lineRule="auto"/>
      </w:pPr>
      <w:r>
        <w:separator/>
      </w:r>
    </w:p>
  </w:endnote>
  <w:endnote w:type="continuationSeparator" w:id="0">
    <w:p w14:paraId="127BEDBA" w14:textId="77777777" w:rsidR="00F51A71" w:rsidRDefault="00F5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D091" w14:textId="691EEFD1" w:rsidR="005479D2" w:rsidRDefault="00881F91">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80827">
      <w:rPr>
        <w:noProof/>
        <w:color w:val="000000"/>
      </w:rPr>
      <w:t>4</w:t>
    </w:r>
    <w:r>
      <w:rPr>
        <w:color w:val="000000"/>
      </w:rPr>
      <w:fldChar w:fldCharType="end"/>
    </w:r>
  </w:p>
  <w:p w14:paraId="07B10234" w14:textId="77777777" w:rsidR="005479D2" w:rsidRDefault="005479D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DBAFF" w14:textId="77777777" w:rsidR="00F51A71" w:rsidRDefault="00F51A71">
      <w:pPr>
        <w:spacing w:after="0" w:line="240" w:lineRule="auto"/>
      </w:pPr>
      <w:r>
        <w:separator/>
      </w:r>
    </w:p>
  </w:footnote>
  <w:footnote w:type="continuationSeparator" w:id="0">
    <w:p w14:paraId="1C0BB8CC" w14:textId="77777777" w:rsidR="00F51A71" w:rsidRDefault="00F51A71">
      <w:pPr>
        <w:spacing w:after="0" w:line="240" w:lineRule="auto"/>
      </w:pPr>
      <w:r>
        <w:continuationSeparator/>
      </w:r>
    </w:p>
  </w:footnote>
  <w:footnote w:id="1">
    <w:p w14:paraId="61F0000E"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rPr>
      </w:pPr>
      <w:r>
        <w:rPr>
          <w:rStyle w:val="Funotenzeichen"/>
        </w:rPr>
        <w:footnoteRef/>
      </w:r>
      <w:r>
        <w:rPr>
          <w:rFonts w:ascii="Times New Roman" w:eastAsia="Times New Roman" w:hAnsi="Times New Roman" w:cs="Times New Roman"/>
          <w:sz w:val="16"/>
          <w:szCs w:val="16"/>
        </w:rPr>
        <w:t>CEDAW/C/MAR/Q/5-6.</w:t>
      </w:r>
    </w:p>
  </w:footnote>
  <w:footnote w:id="2">
    <w:p w14:paraId="4F3F1265" w14:textId="77777777" w:rsidR="005479D2" w:rsidRDefault="00881F91">
      <w:pPr>
        <w:spacing w:after="0" w:line="240" w:lineRule="auto"/>
        <w:jc w:val="both"/>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Law No. 125/12 approving the Optional Protocol to CEDAW and Law No. 126/12 approving the Optional Protocol to the International Covenant on Civil and Political Rights (ICCPR).</w:t>
      </w:r>
    </w:p>
  </w:footnote>
  <w:footnote w:id="3">
    <w:p w14:paraId="41B18974"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The deadline for submitting the report was set for 21/07/2014.</w:t>
      </w:r>
    </w:p>
  </w:footnote>
  <w:footnote w:id="4">
    <w:p w14:paraId="52F2FC09"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Official Bulletin, 2018-02-01, n° 6644.</w:t>
      </w:r>
    </w:p>
  </w:footnote>
  <w:footnote w:id="5">
    <w:p w14:paraId="4EBBB764"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See: CNDH, Opinion on draft law n° 79-14 relating to the Authority for parity and the fight against all forms of discrimination, 2015; CESE, project law n°79-14 relating to the Authority for Parity and the Fight against all Forms of Discrimination, Request n°20/2016.</w:t>
      </w:r>
    </w:p>
  </w:footnote>
  <w:footnote w:id="6">
    <w:p w14:paraId="1277542B"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With a delay of 10 years since the development of its first draft by the Advisory Council for Human Rights in 2007.</w:t>
      </w:r>
    </w:p>
  </w:footnote>
  <w:footnote w:id="7">
    <w:p w14:paraId="06E4AB20"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In particular, the following articles: 20 authorizing the marriage of minors, 49: relating to the division of property; 175:  relating to the forfeiture of the right of custody in the event of the marriage of the mother, and articles 236 and 238, relating to guardianship over the children.</w:t>
      </w:r>
    </w:p>
  </w:footnote>
  <w:footnote w:id="8">
    <w:p w14:paraId="0D859244"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i/>
          <w:sz w:val="16"/>
          <w:szCs w:val="16"/>
        </w:rPr>
        <w:t>Economic Commission for Africa, First Report on Achieving the Sustainable Development Goals in the Maghreb, 2018.</w:t>
      </w:r>
    </w:p>
  </w:footnote>
  <w:footnote w:id="9">
    <w:p w14:paraId="5848F18D" w14:textId="77777777" w:rsidR="005479D2" w:rsidRDefault="00881F91">
      <w:pPr>
        <w:spacing w:after="0" w:line="240" w:lineRule="auto"/>
        <w:rPr>
          <w:rFonts w:ascii="Times New Roman" w:eastAsia="Times New Roman" w:hAnsi="Times New Roman" w:cs="Times New Roman"/>
          <w:i/>
          <w:sz w:val="16"/>
          <w:szCs w:val="16"/>
        </w:rPr>
      </w:pPr>
      <w:r>
        <w:rPr>
          <w:rStyle w:val="Funotenzeichen"/>
        </w:rPr>
        <w:footnoteRef/>
      </w:r>
      <w:r>
        <w:rPr>
          <w:rFonts w:ascii="Times New Roman" w:eastAsia="Times New Roman" w:hAnsi="Times New Roman" w:cs="Times New Roman"/>
          <w:sz w:val="16"/>
          <w:szCs w:val="16"/>
        </w:rPr>
        <w:t>CESE, Eliminating violence against girls and women: A national emergency, Auto-Saisine n°00/2020.</w:t>
      </w:r>
    </w:p>
  </w:footnote>
  <w:footnote w:id="10">
    <w:p w14:paraId="01678691" w14:textId="77777777" w:rsidR="005479D2" w:rsidRDefault="00881F91">
      <w:pPr>
        <w:spacing w:after="0" w:line="210" w:lineRule="auto"/>
        <w:jc w:val="both"/>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Decree No. 2-13-533 relating to the Support Fund for the Encouragement of Women's Representation, September 2013.</w:t>
      </w:r>
    </w:p>
  </w:footnote>
  <w:footnote w:id="11">
    <w:p w14:paraId="7BA22211"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Decision No. 943/14 of July 25, 2014 on the draft organic law relating to the Constitutional Court.</w:t>
      </w:r>
    </w:p>
  </w:footnote>
  <w:footnote w:id="12">
    <w:p w14:paraId="1601EBA1"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These are the initiatives of the High Authority for Audiovisual Communication (HACA), national television channels (the National Society of Radio and Television, Soread 2M and Médi1TV).</w:t>
      </w:r>
    </w:p>
  </w:footnote>
  <w:footnote w:id="13">
    <w:p w14:paraId="62B92B78"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See: HACA (2016), Gender stereotypes through advertising spots, Analysis of 138 television spots; HACA (2017), National Report on the Global Media Monitoring Project GMMP 2015 “Who makes the news? Global Gender and Media Alliance (2020), Gender, Media and ICT Status and Recommendations, Morocco National Report, prepared by Amina Lemrini.</w:t>
      </w:r>
    </w:p>
  </w:footnote>
  <w:footnote w:id="14">
    <w:p w14:paraId="74C58C55"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ADFM, Parallel report of Moroccan NGOs on the implementation of the Beijing Declaration and Platform 1995-2020, 2019.</w:t>
      </w:r>
    </w:p>
  </w:footnote>
  <w:footnote w:id="15">
    <w:p w14:paraId="59A58EBD" w14:textId="77777777" w:rsidR="005479D2" w:rsidRDefault="00881F91">
      <w:pPr>
        <w:spacing w:after="0"/>
        <w:jc w:val="both"/>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HCP, National Survey on Violence against Women and Men, 2021.</w:t>
      </w:r>
    </w:p>
  </w:footnote>
  <w:footnote w:id="16">
    <w:p w14:paraId="3F61DE39"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The FC defines the legal age for marriage at 18 years with derogation authorized by the judge for marriage before the legal age.</w:t>
      </w:r>
    </w:p>
  </w:footnote>
  <w:footnote w:id="17">
    <w:p w14:paraId="28970A53"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In this case, General Recommendation No. 30 of the CEDAW Committee and General Comment No. 18 of the Committee on the Rights of the Child (2019).</w:t>
      </w:r>
    </w:p>
  </w:footnote>
  <w:footnote w:id="18">
    <w:p w14:paraId="4573CEEB"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Family Code, article 20.</w:t>
      </w:r>
    </w:p>
  </w:footnote>
  <w:footnote w:id="19">
    <w:p w14:paraId="06D5F321"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Presidency of the Public Ministry, Synthesis of the diagnostic study on underage marriages, 2021.</w:t>
      </w:r>
    </w:p>
  </w:footnote>
  <w:footnote w:id="20">
    <w:p w14:paraId="58DCDFBA"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Hearing from the Ministry of Justice. In. CESE, what to do about the persistence of child marriage in Morocco? Self-referral n°41/2019”, 2019.</w:t>
      </w:r>
    </w:p>
  </w:footnote>
  <w:footnote w:id="21">
    <w:p w14:paraId="2C7FB8E4"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HCP, “The Moroccan woman in figures. Trends in demographic and socio-professional characteristics, 2016.</w:t>
      </w:r>
    </w:p>
  </w:footnote>
  <w:footnote w:id="22">
    <w:p w14:paraId="3AE4BFE5" w14:textId="77777777" w:rsidR="005479D2" w:rsidRDefault="00881F91">
      <w:pPr>
        <w:pBdr>
          <w:top w:val="nil"/>
          <w:left w:val="nil"/>
          <w:bottom w:val="nil"/>
          <w:right w:val="nil"/>
          <w:between w:val="nil"/>
        </w:pBdr>
        <w:spacing w:after="0" w:line="240" w:lineRule="auto"/>
        <w:rPr>
          <w:rFonts w:ascii="Times New Roman" w:eastAsia="Times New Roman" w:hAnsi="Times New Roman" w:cs="Times New Roman"/>
          <w:color w:val="000000"/>
          <w:sz w:val="16"/>
          <w:szCs w:val="16"/>
          <w:shd w:val="clear" w:color="auto" w:fill="B6D7A8"/>
        </w:rPr>
      </w:pPr>
      <w:r>
        <w:rPr>
          <w:rStyle w:val="Funotenzeichen"/>
        </w:rPr>
        <w:footnoteRef/>
      </w:r>
      <w:r>
        <w:rPr>
          <w:rFonts w:ascii="Times New Roman" w:eastAsia="Times New Roman" w:hAnsi="Times New Roman" w:cs="Times New Roman"/>
          <w:sz w:val="16"/>
          <w:szCs w:val="16"/>
        </w:rPr>
        <w:t xml:space="preserve"> CESE (2019)</w:t>
      </w:r>
      <w:r>
        <w:rPr>
          <w:rFonts w:ascii="Times New Roman" w:eastAsia="Times New Roman" w:hAnsi="Times New Roman" w:cs="Times New Roman"/>
          <w:i/>
          <w:sz w:val="16"/>
          <w:szCs w:val="16"/>
        </w:rPr>
        <w:t>, Idem.</w:t>
      </w:r>
    </w:p>
  </w:footnote>
  <w:footnote w:id="23">
    <w:p w14:paraId="74A28F74" w14:textId="77777777" w:rsidR="005479D2" w:rsidRDefault="00881F91">
      <w:pPr>
        <w:pBdr>
          <w:top w:val="nil"/>
          <w:left w:val="nil"/>
          <w:bottom w:val="nil"/>
          <w:right w:val="nil"/>
          <w:between w:val="nil"/>
        </w:pBdr>
        <w:spacing w:after="0" w:line="240" w:lineRule="auto"/>
        <w:rPr>
          <w:rFonts w:ascii="Times New Roman" w:eastAsia="Times New Roman" w:hAnsi="Times New Roman" w:cs="Times New Roman"/>
          <w:color w:val="000000"/>
          <w:sz w:val="16"/>
          <w:szCs w:val="16"/>
          <w:shd w:val="clear" w:color="auto" w:fill="93C47D"/>
        </w:rPr>
      </w:pPr>
      <w:r>
        <w:rPr>
          <w:rStyle w:val="Funotenzeichen"/>
        </w:rPr>
        <w:footnoteRef/>
      </w:r>
      <w:r>
        <w:rPr>
          <w:rFonts w:ascii="Times New Roman" w:eastAsia="Times New Roman" w:hAnsi="Times New Roman" w:cs="Times New Roman"/>
          <w:sz w:val="16"/>
          <w:szCs w:val="16"/>
        </w:rPr>
        <w:t>HCP, RGPH, 2014.</w:t>
      </w:r>
    </w:p>
  </w:footnote>
  <w:footnote w:id="24">
    <w:p w14:paraId="1B663820"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Article 16 of the FC is fraudulently used to circumvent the provisions of the law on the authorization of polygamous marriage and that of minors.</w:t>
      </w:r>
    </w:p>
  </w:footnote>
  <w:footnote w:id="25">
    <w:p w14:paraId="3B83D527"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Presidency of the public ministry, Op. cit.</w:t>
      </w:r>
    </w:p>
  </w:footnote>
  <w:footnote w:id="26">
    <w:p w14:paraId="4B95157B"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Official Bulletin n° 6526 of 15/12/2016, p. 1952.</w:t>
      </w:r>
    </w:p>
  </w:footnote>
  <w:footnote w:id="27">
    <w:p w14:paraId="3165E122" w14:textId="77777777" w:rsidR="005479D2" w:rsidRDefault="00881F91">
      <w:pPr>
        <w:pBdr>
          <w:top w:val="nil"/>
          <w:left w:val="nil"/>
          <w:bottom w:val="nil"/>
          <w:right w:val="nil"/>
          <w:between w:val="nil"/>
        </w:pBdr>
        <w:spacing w:after="0" w:line="240" w:lineRule="auto"/>
        <w:rPr>
          <w:rFonts w:ascii="Times New Roman" w:eastAsia="Times New Roman" w:hAnsi="Times New Roman" w:cs="Times New Roman"/>
          <w:color w:val="000000"/>
          <w:sz w:val="16"/>
          <w:szCs w:val="16"/>
          <w:shd w:val="clear" w:color="auto" w:fill="6AA84F"/>
        </w:rPr>
      </w:pPr>
      <w:r>
        <w:rPr>
          <w:rStyle w:val="Funotenzeichen"/>
        </w:rPr>
        <w:footnoteRef/>
      </w:r>
      <w:r>
        <w:rPr>
          <w:rFonts w:ascii="Times New Roman" w:eastAsia="Times New Roman" w:hAnsi="Times New Roman" w:cs="Times New Roman"/>
          <w:sz w:val="16"/>
          <w:szCs w:val="16"/>
        </w:rPr>
        <w:t xml:space="preserve">ADFM, </w:t>
      </w:r>
      <w:r>
        <w:rPr>
          <w:rFonts w:ascii="Times New Roman" w:eastAsia="Times New Roman" w:hAnsi="Times New Roman" w:cs="Times New Roman"/>
          <w:i/>
          <w:sz w:val="16"/>
          <w:szCs w:val="16"/>
        </w:rPr>
        <w:t>Op.cit</w:t>
      </w:r>
      <w:r>
        <w:rPr>
          <w:rFonts w:ascii="Times New Roman" w:eastAsia="Times New Roman" w:hAnsi="Times New Roman" w:cs="Times New Roman"/>
          <w:sz w:val="16"/>
          <w:szCs w:val="16"/>
        </w:rPr>
        <w:t xml:space="preserve">. 2019. </w:t>
      </w:r>
    </w:p>
  </w:footnote>
  <w:footnote w:id="28">
    <w:p w14:paraId="2C7A99D6" w14:textId="77777777" w:rsidR="005479D2" w:rsidRDefault="00881F91">
      <w:pPr>
        <w:spacing w:after="0" w:line="210" w:lineRule="auto"/>
        <w:rPr>
          <w:rFonts w:ascii="Times New Roman" w:eastAsia="Times New Roman" w:hAnsi="Times New Roman" w:cs="Times New Roman"/>
          <w:sz w:val="16"/>
          <w:szCs w:val="16"/>
          <w:vertAlign w:val="superscript"/>
        </w:rPr>
      </w:pPr>
      <w:r>
        <w:rPr>
          <w:rStyle w:val="Funotenzeichen"/>
        </w:rPr>
        <w:footnoteRef/>
      </w:r>
      <w:r>
        <w:rPr>
          <w:rFonts w:ascii="Times New Roman" w:eastAsia="Times New Roman" w:hAnsi="Times New Roman" w:cs="Times New Roman"/>
          <w:sz w:val="16"/>
          <w:szCs w:val="16"/>
        </w:rPr>
        <w:t>30 National Observatory for Human Development (ONDH), Intersectional discrimination against women in Morocco, 2021.</w:t>
      </w:r>
    </w:p>
  </w:footnote>
  <w:footnote w:id="29">
    <w:p w14:paraId="766C8154"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HCP, National survey on the prevalence of violence against women (ENVEF), 2019.</w:t>
      </w:r>
    </w:p>
  </w:footnote>
  <w:footnote w:id="30">
    <w:p w14:paraId="3BAA6482"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Dahir No. 1-18-19 of February 22, 2018, promulgating Law No. 103-13 on the fight against violence against women.</w:t>
      </w:r>
    </w:p>
  </w:footnote>
  <w:footnote w:id="31">
    <w:p w14:paraId="12DEA5C6" w14:textId="77777777" w:rsidR="005479D2" w:rsidRDefault="00881F9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Style w:val="Funotenzeichen"/>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sz w:val="16"/>
          <w:szCs w:val="16"/>
        </w:rPr>
        <w:t>Idem</w:t>
      </w:r>
      <w:r>
        <w:rPr>
          <w:rFonts w:ascii="Times New Roman" w:eastAsia="Times New Roman" w:hAnsi="Times New Roman" w:cs="Times New Roman"/>
          <w:sz w:val="16"/>
          <w:szCs w:val="16"/>
        </w:rPr>
        <w:t>.</w:t>
      </w:r>
    </w:p>
  </w:footnote>
  <w:footnote w:id="32">
    <w:p w14:paraId="028A488B" w14:textId="77777777" w:rsidR="005479D2" w:rsidRDefault="00881F91">
      <w:pPr>
        <w:spacing w:after="0" w:line="240" w:lineRule="auto"/>
        <w:rPr>
          <w:rFonts w:ascii="Times New Roman" w:eastAsia="Times New Roman" w:hAnsi="Times New Roman" w:cs="Times New Roman"/>
          <w:color w:val="FF0000"/>
          <w:sz w:val="16"/>
          <w:szCs w:val="16"/>
        </w:rPr>
      </w:pPr>
      <w:r>
        <w:rPr>
          <w:rStyle w:val="Funotenzeichen"/>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Idem</w:t>
      </w:r>
      <w:r>
        <w:rPr>
          <w:rFonts w:ascii="Times New Roman" w:eastAsia="Times New Roman" w:hAnsi="Times New Roman" w:cs="Times New Roman"/>
          <w:sz w:val="16"/>
          <w:szCs w:val="16"/>
        </w:rPr>
        <w:t>.</w:t>
      </w:r>
    </w:p>
  </w:footnote>
  <w:footnote w:id="33">
    <w:p w14:paraId="0E0DA509" w14:textId="77777777" w:rsidR="005479D2" w:rsidRDefault="00881F9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Style w:val="Funotenzeichen"/>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sz w:val="16"/>
          <w:szCs w:val="16"/>
        </w:rPr>
        <w:t>ONDH, 2021,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sz w:val="16"/>
          <w:szCs w:val="16"/>
        </w:rPr>
        <w:t>Idem</w:t>
      </w:r>
      <w:r>
        <w:rPr>
          <w:rFonts w:ascii="Times New Roman" w:eastAsia="Times New Roman" w:hAnsi="Times New Roman" w:cs="Times New Roman"/>
          <w:color w:val="000000"/>
          <w:sz w:val="16"/>
          <w:szCs w:val="16"/>
        </w:rPr>
        <w:t>.</w:t>
      </w:r>
    </w:p>
  </w:footnote>
  <w:footnote w:id="34">
    <w:p w14:paraId="3C810803"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See, for example, the Memoranda of the Spring of Dignity Coalition, relating to Bill 103-13.</w:t>
      </w:r>
    </w:p>
  </w:footnote>
  <w:footnote w:id="35">
    <w:p w14:paraId="3D1D3F58"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Communication addressed on 4/07/2017 to the Charge d'Affaires of Morocco in Geneva Mr. Boukili, in accordance with HRC resolutions 15/23 and 32/19 (REFERENCE: OL MAR 2/2017).</w:t>
      </w:r>
    </w:p>
  </w:footnote>
  <w:footnote w:id="36">
    <w:p w14:paraId="2613EE29"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Inter-Parliamentary Union Ranking, In. https://data.ipu.org/women-ranking?month=8&amp;year=2021.</w:t>
      </w:r>
    </w:p>
  </w:footnote>
  <w:footnote w:id="37">
    <w:p w14:paraId="65A4508B" w14:textId="77777777" w:rsidR="005479D2" w:rsidRDefault="00881F91">
      <w:pP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Adopted and amended in 2021.</w:t>
      </w:r>
    </w:p>
  </w:footnote>
  <w:footnote w:id="38">
    <w:p w14:paraId="6BB2C06E"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Ministry of Economy, Finance and Administration Reform, Human Resources Report, Draft Finance Law for the Budget Year 2021.</w:t>
      </w:r>
    </w:p>
  </w:footnote>
  <w:footnote w:id="39">
    <w:p w14:paraId="438D374B" w14:textId="77777777" w:rsidR="005479D2" w:rsidRDefault="00881F91">
      <w:p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jc w:val="both"/>
        <w:rPr>
          <w:rFonts w:ascii="Times New Roman" w:eastAsia="Times New Roman" w:hAnsi="Times New Roman" w:cs="Times New Roman"/>
          <w:i/>
          <w:color w:val="000000"/>
          <w:sz w:val="16"/>
          <w:szCs w:val="16"/>
        </w:rPr>
      </w:pPr>
      <w:r>
        <w:rPr>
          <w:rStyle w:val="Funotenzeichen"/>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sz w:val="16"/>
          <w:szCs w:val="16"/>
        </w:rPr>
        <w:t>Idem</w:t>
      </w:r>
      <w:r>
        <w:rPr>
          <w:rFonts w:ascii="Times New Roman" w:eastAsia="Times New Roman" w:hAnsi="Times New Roman" w:cs="Times New Roman"/>
          <w:color w:val="000000"/>
          <w:sz w:val="16"/>
          <w:szCs w:val="16"/>
        </w:rPr>
        <w:t>.</w:t>
      </w:r>
    </w:p>
  </w:footnote>
  <w:footnote w:id="40">
    <w:p w14:paraId="1B8F117D" w14:textId="77777777" w:rsidR="005479D2" w:rsidRDefault="00881F91">
      <w:pPr>
        <w:pBdr>
          <w:top w:val="nil"/>
          <w:left w:val="nil"/>
          <w:bottom w:val="nil"/>
          <w:right w:val="nil"/>
          <w:between w:val="nil"/>
        </w:pBd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Albayane Press, </w:t>
      </w:r>
      <w:r>
        <w:rPr>
          <w:rFonts w:ascii="Times New Roman" w:eastAsia="Times New Roman" w:hAnsi="Times New Roman" w:cs="Times New Roman"/>
          <w:i/>
          <w:sz w:val="16"/>
          <w:szCs w:val="16"/>
        </w:rPr>
        <w:t>Elections for change, but no women barristers</w:t>
      </w:r>
      <w:r>
        <w:rPr>
          <w:rFonts w:ascii="Times New Roman" w:eastAsia="Times New Roman" w:hAnsi="Times New Roman" w:cs="Times New Roman"/>
          <w:sz w:val="16"/>
          <w:szCs w:val="16"/>
        </w:rPr>
        <w:t xml:space="preserve">, 20/12/2020. </w:t>
      </w:r>
    </w:p>
  </w:footnote>
  <w:footnote w:id="41">
    <w:p w14:paraId="5A9EA8B3"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HCP, </w:t>
      </w:r>
      <w:r>
        <w:rPr>
          <w:rFonts w:ascii="Times New Roman" w:eastAsia="Times New Roman" w:hAnsi="Times New Roman" w:cs="Times New Roman"/>
          <w:i/>
          <w:sz w:val="16"/>
          <w:szCs w:val="16"/>
        </w:rPr>
        <w:t>Moroccan women in figures, 20 years of progress,</w:t>
      </w:r>
      <w:r>
        <w:rPr>
          <w:rFonts w:ascii="Times New Roman" w:eastAsia="Times New Roman" w:hAnsi="Times New Roman" w:cs="Times New Roman"/>
          <w:sz w:val="16"/>
          <w:szCs w:val="16"/>
        </w:rPr>
        <w:t xml:space="preserve"> 2021.</w:t>
      </w:r>
    </w:p>
  </w:footnote>
  <w:footnote w:id="42">
    <w:p w14:paraId="13BAAF06"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shd w:val="clear" w:color="auto" w:fill="A61C00"/>
        </w:rPr>
      </w:pPr>
      <w:r>
        <w:rPr>
          <w:rStyle w:val="Funotenzeichen"/>
        </w:rPr>
        <w:footnoteRef/>
      </w:r>
      <w:r>
        <w:rPr>
          <w:rFonts w:ascii="Times New Roman" w:eastAsia="Times New Roman" w:hAnsi="Times New Roman" w:cs="Times New Roman"/>
          <w:sz w:val="16"/>
          <w:szCs w:val="16"/>
        </w:rPr>
        <w:t xml:space="preserve"> HCP, (2021), </w:t>
      </w:r>
      <w:r>
        <w:rPr>
          <w:rFonts w:ascii="Times New Roman" w:eastAsia="Times New Roman" w:hAnsi="Times New Roman" w:cs="Times New Roman"/>
          <w:i/>
          <w:sz w:val="16"/>
          <w:szCs w:val="16"/>
        </w:rPr>
        <w:t>Op.cit.</w:t>
      </w:r>
    </w:p>
  </w:footnote>
  <w:footnote w:id="43">
    <w:p w14:paraId="7BD94468" w14:textId="77777777" w:rsidR="005479D2" w:rsidRDefault="00881F91">
      <w:pPr>
        <w:spacing w:after="0" w:line="240" w:lineRule="auto"/>
        <w:rPr>
          <w:rFonts w:ascii="Times New Roman" w:eastAsia="Times New Roman" w:hAnsi="Times New Roman" w:cs="Times New Roman"/>
          <w:i/>
          <w:sz w:val="16"/>
          <w:szCs w:val="16"/>
        </w:rPr>
      </w:pPr>
      <w:r>
        <w:rPr>
          <w:rStyle w:val="Funotenzeichen"/>
        </w:rPr>
        <w:footnoteRef/>
      </w:r>
      <w:r>
        <w:rPr>
          <w:rFonts w:ascii="Times New Roman" w:eastAsia="Times New Roman" w:hAnsi="Times New Roman" w:cs="Times New Roman"/>
          <w:sz w:val="16"/>
          <w:szCs w:val="16"/>
        </w:rPr>
        <w:t xml:space="preserve"> MEN, </w:t>
      </w:r>
      <w:r>
        <w:rPr>
          <w:rFonts w:ascii="Times New Roman" w:eastAsia="Times New Roman" w:hAnsi="Times New Roman" w:cs="Times New Roman"/>
          <w:i/>
          <w:sz w:val="16"/>
          <w:szCs w:val="16"/>
        </w:rPr>
        <w:t xml:space="preserve">Education Indicators 2019-2020. </w:t>
      </w:r>
    </w:p>
  </w:footnote>
  <w:footnote w:id="44">
    <w:p w14:paraId="592231B5" w14:textId="77777777" w:rsidR="005479D2" w:rsidRDefault="00881F91">
      <w:pPr>
        <w:pBdr>
          <w:top w:val="nil"/>
          <w:left w:val="nil"/>
          <w:bottom w:val="nil"/>
          <w:right w:val="nil"/>
          <w:between w:val="nil"/>
        </w:pBdr>
        <w:spacing w:after="0" w:line="240" w:lineRule="auto"/>
        <w:rPr>
          <w:rFonts w:ascii="Times New Roman" w:eastAsia="Times New Roman" w:hAnsi="Times New Roman" w:cs="Times New Roman"/>
          <w:color w:val="000000"/>
          <w:sz w:val="16"/>
          <w:szCs w:val="16"/>
          <w:shd w:val="clear" w:color="auto" w:fill="A61C00"/>
        </w:rPr>
      </w:pPr>
      <w:r>
        <w:rPr>
          <w:rStyle w:val="Funotenzeichen"/>
        </w:rPr>
        <w:footnoteRef/>
      </w:r>
      <w:r>
        <w:rPr>
          <w:rFonts w:ascii="Times New Roman" w:eastAsia="Times New Roman" w:hAnsi="Times New Roman" w:cs="Times New Roman"/>
          <w:sz w:val="16"/>
          <w:szCs w:val="16"/>
        </w:rPr>
        <w:t xml:space="preserve"> ONDH (2021), </w:t>
      </w:r>
      <w:r>
        <w:rPr>
          <w:rFonts w:ascii="Times New Roman" w:eastAsia="Times New Roman" w:hAnsi="Times New Roman" w:cs="Times New Roman"/>
          <w:i/>
          <w:sz w:val="16"/>
          <w:szCs w:val="16"/>
        </w:rPr>
        <w:t>Op.cit.</w:t>
      </w:r>
    </w:p>
  </w:footnote>
  <w:footnote w:id="45">
    <w:p w14:paraId="0FD9C433"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Ministry of Health, </w:t>
      </w:r>
      <w:r>
        <w:rPr>
          <w:rFonts w:ascii="Times New Roman" w:eastAsia="Times New Roman" w:hAnsi="Times New Roman" w:cs="Times New Roman"/>
          <w:i/>
          <w:sz w:val="16"/>
          <w:szCs w:val="16"/>
        </w:rPr>
        <w:t>National Family Health and Population Survey (NFHS)</w:t>
      </w:r>
      <w:r>
        <w:rPr>
          <w:rFonts w:ascii="Times New Roman" w:eastAsia="Times New Roman" w:hAnsi="Times New Roman" w:cs="Times New Roman"/>
          <w:sz w:val="16"/>
          <w:szCs w:val="16"/>
        </w:rPr>
        <w:t>, 2018.</w:t>
      </w:r>
    </w:p>
  </w:footnote>
  <w:footnote w:id="46">
    <w:p w14:paraId="30488B08" w14:textId="77777777" w:rsidR="005479D2" w:rsidRDefault="00881F91">
      <w:pPr>
        <w:spacing w:after="0" w:line="240" w:lineRule="auto"/>
        <w:jc w:val="both"/>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In the absence of official figures, the Moroccan Association for the Fight against Clandestine Abortion reports 600 to 800 cases of clandestine abortion per day.</w:t>
      </w:r>
    </w:p>
  </w:footnote>
  <w:footnote w:id="47">
    <w:p w14:paraId="6A0A75B7"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Moroccan Family Planning Association, </w:t>
      </w:r>
      <w:r>
        <w:rPr>
          <w:rFonts w:ascii="Times New Roman" w:eastAsia="Times New Roman" w:hAnsi="Times New Roman" w:cs="Times New Roman"/>
          <w:i/>
          <w:sz w:val="16"/>
          <w:szCs w:val="16"/>
        </w:rPr>
        <w:t>Analytical desk study on unsafe abortion in Morocco</w:t>
      </w:r>
      <w:r>
        <w:rPr>
          <w:rFonts w:ascii="Times New Roman" w:eastAsia="Times New Roman" w:hAnsi="Times New Roman" w:cs="Times New Roman"/>
          <w:sz w:val="16"/>
          <w:szCs w:val="16"/>
        </w:rPr>
        <w:t>, 2015</w:t>
      </w:r>
    </w:p>
  </w:footnote>
  <w:footnote w:id="48">
    <w:p w14:paraId="2E52D615"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Information notes from the High Commission for Planning, 8 March 20021</w:t>
      </w:r>
    </w:p>
  </w:footnote>
  <w:footnote w:id="49">
    <w:p w14:paraId="3AEBACFC"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It was only 9.8% in 2008.</w:t>
      </w:r>
    </w:p>
  </w:footnote>
  <w:footnote w:id="50">
    <w:p w14:paraId="7E5812B7" w14:textId="77777777" w:rsidR="005479D2" w:rsidRDefault="00881F91">
      <w:pPr>
        <w:pBdr>
          <w:top w:val="nil"/>
          <w:left w:val="nil"/>
          <w:bottom w:val="nil"/>
          <w:right w:val="nil"/>
          <w:between w:val="nil"/>
        </w:pBdr>
        <w:spacing w:after="0" w:line="210" w:lineRule="auto"/>
        <w:jc w:val="both"/>
        <w:rPr>
          <w:rFonts w:ascii="Times New Roman" w:eastAsia="Times New Roman" w:hAnsi="Times New Roman" w:cs="Times New Roman"/>
          <w:color w:val="000000"/>
          <w:sz w:val="16"/>
          <w:szCs w:val="16"/>
          <w:shd w:val="clear" w:color="auto" w:fill="CC4125"/>
        </w:rPr>
      </w:pPr>
      <w:r>
        <w:rPr>
          <w:rStyle w:val="Funotenzeichen"/>
        </w:rPr>
        <w:footnoteRef/>
      </w:r>
      <w:r>
        <w:rPr>
          <w:rFonts w:ascii="Times New Roman" w:eastAsia="Times New Roman" w:hAnsi="Times New Roman" w:cs="Times New Roman"/>
          <w:sz w:val="16"/>
          <w:szCs w:val="16"/>
        </w:rPr>
        <w:t xml:space="preserve"> HCP, (2021), </w:t>
      </w:r>
      <w:r>
        <w:rPr>
          <w:rFonts w:ascii="Times New Roman" w:eastAsia="Times New Roman" w:hAnsi="Times New Roman" w:cs="Times New Roman"/>
          <w:i/>
          <w:sz w:val="16"/>
          <w:szCs w:val="16"/>
        </w:rPr>
        <w:t xml:space="preserve">Op.cit. </w:t>
      </w:r>
    </w:p>
  </w:footnote>
  <w:footnote w:id="51">
    <w:p w14:paraId="13D2E826"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shd w:val="clear" w:color="auto" w:fill="CC4125"/>
        </w:rPr>
      </w:pPr>
      <w:r>
        <w:rPr>
          <w:rStyle w:val="Funotenzeichen"/>
        </w:rPr>
        <w:footnoteRef/>
      </w:r>
      <w:r>
        <w:rPr>
          <w:rFonts w:ascii="Times New Roman" w:eastAsia="Times New Roman" w:hAnsi="Times New Roman" w:cs="Times New Roman"/>
          <w:sz w:val="16"/>
          <w:szCs w:val="16"/>
        </w:rPr>
        <w:t xml:space="preserve"> ONDH (2021), </w:t>
      </w:r>
      <w:r>
        <w:rPr>
          <w:rFonts w:ascii="Times New Roman" w:eastAsia="Times New Roman" w:hAnsi="Times New Roman" w:cs="Times New Roman"/>
          <w:i/>
          <w:sz w:val="16"/>
          <w:szCs w:val="16"/>
        </w:rPr>
        <w:t>Op.cit</w:t>
      </w:r>
    </w:p>
  </w:footnote>
  <w:footnote w:id="52">
    <w:p w14:paraId="1D20C26A"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shd w:val="clear" w:color="auto" w:fill="CC4125"/>
        </w:rPr>
      </w:pPr>
      <w:r>
        <w:rPr>
          <w:rStyle w:val="Funotenzeichen"/>
        </w:rPr>
        <w:footnoteRef/>
      </w:r>
      <w:r>
        <w:rPr>
          <w:rFonts w:ascii="Times New Roman" w:eastAsia="Times New Roman" w:hAnsi="Times New Roman" w:cs="Times New Roman"/>
          <w:sz w:val="16"/>
          <w:szCs w:val="16"/>
        </w:rPr>
        <w:t xml:space="preserve"> HCP, (2021),</w:t>
      </w:r>
      <w:r>
        <w:rPr>
          <w:rFonts w:ascii="Times New Roman" w:eastAsia="Times New Roman" w:hAnsi="Times New Roman" w:cs="Times New Roman"/>
          <w:i/>
          <w:sz w:val="16"/>
          <w:szCs w:val="16"/>
        </w:rPr>
        <w:t xml:space="preserve"> Idem.</w:t>
      </w:r>
    </w:p>
  </w:footnote>
  <w:footnote w:id="53">
    <w:p w14:paraId="0CCF105D"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rPr>
      </w:pPr>
      <w:r>
        <w:rPr>
          <w:rStyle w:val="Funotenzeichen"/>
        </w:rPr>
        <w:footnoteRef/>
      </w:r>
      <w:r>
        <w:rPr>
          <w:rFonts w:ascii="Times New Roman" w:eastAsia="Times New Roman" w:hAnsi="Times New Roman" w:cs="Times New Roman"/>
          <w:color w:val="000000"/>
          <w:sz w:val="16"/>
          <w:szCs w:val="16"/>
        </w:rPr>
        <w:t xml:space="preserve"> Global Gender Gap Index 2021 </w:t>
      </w:r>
    </w:p>
  </w:footnote>
  <w:footnote w:id="54">
    <w:p w14:paraId="7EB36792" w14:textId="77777777" w:rsidR="005479D2" w:rsidRDefault="00881F91">
      <w:pPr>
        <w:spacing w:after="0" w:line="240" w:lineRule="auto"/>
        <w:rPr>
          <w:rFonts w:ascii="Times New Roman" w:eastAsia="Times New Roman" w:hAnsi="Times New Roman" w:cs="Times New Roman"/>
          <w:sz w:val="16"/>
          <w:szCs w:val="16"/>
          <w:vertAlign w:val="superscript"/>
        </w:rPr>
      </w:pPr>
      <w:r>
        <w:rPr>
          <w:rStyle w:val="Funotenzeichen"/>
        </w:rPr>
        <w:footnoteRef/>
      </w:r>
      <w:r>
        <w:rPr>
          <w:rFonts w:ascii="Times New Roman" w:eastAsia="Times New Roman" w:hAnsi="Times New Roman" w:cs="Times New Roman"/>
          <w:sz w:val="16"/>
          <w:szCs w:val="16"/>
        </w:rPr>
        <w:t xml:space="preserve"> Information note from the High Commission for Planning on the occasion of March 8, 2021</w:t>
      </w:r>
    </w:p>
  </w:footnote>
  <w:footnote w:id="55">
    <w:p w14:paraId="43993730" w14:textId="77777777" w:rsidR="005479D2" w:rsidRDefault="00881F91">
      <w:pPr>
        <w:spacing w:after="0" w:line="240" w:lineRule="auto"/>
        <w:rPr>
          <w:rFonts w:ascii="Times New Roman" w:eastAsia="Times New Roman" w:hAnsi="Times New Roman" w:cs="Times New Roman"/>
          <w:i/>
          <w:sz w:val="16"/>
          <w:szCs w:val="16"/>
        </w:rPr>
      </w:pPr>
      <w:r>
        <w:rPr>
          <w:rStyle w:val="Funotenzeichen"/>
        </w:rPr>
        <w:footnoteRef/>
      </w:r>
      <w:r>
        <w:rPr>
          <w:rFonts w:ascii="Times New Roman" w:eastAsia="Times New Roman" w:hAnsi="Times New Roman" w:cs="Times New Roman"/>
          <w:sz w:val="16"/>
          <w:szCs w:val="16"/>
        </w:rPr>
        <w:t xml:space="preserve"> Ministry Delegate with the Head of Government in charge of General Affairs and Governance (MAGG), UN Women, study of  Gender analysis of legal and regulatory texts relating to the governance bodies of large public and private companies, 2019.</w:t>
      </w:r>
    </w:p>
  </w:footnote>
  <w:footnote w:id="56">
    <w:p w14:paraId="67E6FCAF"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shd w:val="clear" w:color="auto" w:fill="CC4125"/>
        </w:rPr>
      </w:pPr>
      <w:r>
        <w:rPr>
          <w:rStyle w:val="Funotenzeichen"/>
        </w:rPr>
        <w:footnoteRef/>
      </w:r>
      <w:r>
        <w:rPr>
          <w:rFonts w:ascii="Times New Roman" w:eastAsia="Times New Roman" w:hAnsi="Times New Roman" w:cs="Times New Roman"/>
          <w:sz w:val="16"/>
          <w:szCs w:val="16"/>
        </w:rPr>
        <w:t xml:space="preserve">BO N° 7014, of Aug. 19, 2021. </w:t>
      </w:r>
    </w:p>
  </w:footnote>
  <w:footnote w:id="57">
    <w:p w14:paraId="2378B405"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rPr>
      </w:pPr>
      <w:r>
        <w:rPr>
          <w:rStyle w:val="Funotenzeichen"/>
        </w:rPr>
        <w:footnoteRef/>
      </w:r>
      <w:r>
        <w:rPr>
          <w:rFonts w:ascii="Times New Roman" w:eastAsia="Times New Roman" w:hAnsi="Times New Roman" w:cs="Times New Roman"/>
          <w:color w:val="000000"/>
          <w:sz w:val="16"/>
          <w:szCs w:val="16"/>
        </w:rPr>
        <w:t xml:space="preserve"> https://blogs.worldbank.org/fr/arabvoices/big-step-forward-womens-leadership-morocco</w:t>
      </w:r>
    </w:p>
  </w:footnote>
  <w:footnote w:id="58">
    <w:p w14:paraId="689EF39D"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OCP Policy Center and Department of Studies and Financial Forecasts,</w:t>
      </w:r>
      <w:r>
        <w:rPr>
          <w:rFonts w:ascii="Times New Roman" w:eastAsia="Times New Roman" w:hAnsi="Times New Roman" w:cs="Times New Roman"/>
          <w:i/>
          <w:sz w:val="16"/>
          <w:szCs w:val="16"/>
        </w:rPr>
        <w:t xml:space="preserve"> Gender Equality, Public Policies and Economic Growth in Morocco</w:t>
      </w:r>
      <w:r>
        <w:rPr>
          <w:rFonts w:ascii="Times New Roman" w:eastAsia="Times New Roman" w:hAnsi="Times New Roman" w:cs="Times New Roman"/>
          <w:sz w:val="16"/>
          <w:szCs w:val="16"/>
        </w:rPr>
        <w:t>, 2017.</w:t>
      </w:r>
    </w:p>
  </w:footnote>
  <w:footnote w:id="59">
    <w:p w14:paraId="34F4B909"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shd w:val="clear" w:color="auto" w:fill="CC4125"/>
        </w:rPr>
      </w:pPr>
      <w:r>
        <w:rPr>
          <w:rStyle w:val="Funotenzeichen"/>
        </w:rPr>
        <w:footnoteRef/>
      </w:r>
      <w:r>
        <w:rPr>
          <w:rFonts w:ascii="Times New Roman" w:eastAsia="Times New Roman" w:hAnsi="Times New Roman" w:cs="Times New Roman"/>
          <w:i/>
          <w:sz w:val="16"/>
          <w:szCs w:val="16"/>
        </w:rPr>
        <w:t>Idem.</w:t>
      </w:r>
    </w:p>
  </w:footnote>
  <w:footnote w:id="60">
    <w:p w14:paraId="2B6B506F"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shd w:val="clear" w:color="auto" w:fill="CC4125"/>
        </w:rPr>
      </w:pPr>
      <w:r>
        <w:rPr>
          <w:rStyle w:val="Funotenzeichen"/>
        </w:rPr>
        <w:footnoteRef/>
      </w:r>
      <w:r>
        <w:rPr>
          <w:rFonts w:ascii="Times New Roman" w:eastAsia="Times New Roman" w:hAnsi="Times New Roman" w:cs="Times New Roman"/>
          <w:i/>
          <w:sz w:val="16"/>
          <w:szCs w:val="16"/>
        </w:rPr>
        <w:t>Idem.</w:t>
      </w:r>
    </w:p>
  </w:footnote>
  <w:footnote w:id="61">
    <w:p w14:paraId="4EF974B6" w14:textId="77777777" w:rsidR="005479D2" w:rsidRDefault="00881F91">
      <w:pPr>
        <w:spacing w:after="0" w:line="240" w:lineRule="auto"/>
        <w:rPr>
          <w:rFonts w:ascii="Times New Roman" w:eastAsia="Times New Roman" w:hAnsi="Times New Roman" w:cs="Times New Roman"/>
          <w:sz w:val="16"/>
          <w:szCs w:val="16"/>
          <w:shd w:val="clear" w:color="auto" w:fill="CC4125"/>
        </w:rPr>
      </w:pPr>
      <w:r>
        <w:rPr>
          <w:rStyle w:val="Funotenzeichen"/>
        </w:rPr>
        <w:footnoteRef/>
      </w:r>
      <w:r>
        <w:rPr>
          <w:rFonts w:ascii="Times New Roman" w:eastAsia="Times New Roman" w:hAnsi="Times New Roman" w:cs="Times New Roman"/>
          <w:i/>
          <w:sz w:val="16"/>
          <w:szCs w:val="16"/>
        </w:rPr>
        <w:t>Idem.</w:t>
      </w:r>
    </w:p>
  </w:footnote>
  <w:footnote w:id="62">
    <w:p w14:paraId="52FF4168"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HCP, </w:t>
      </w:r>
      <w:r>
        <w:rPr>
          <w:rFonts w:ascii="Times New Roman" w:eastAsia="Times New Roman" w:hAnsi="Times New Roman" w:cs="Times New Roman"/>
          <w:i/>
          <w:sz w:val="16"/>
          <w:szCs w:val="16"/>
        </w:rPr>
        <w:t>Plan Briefs, About Rural Women in Morocco,</w:t>
      </w:r>
      <w:r>
        <w:rPr>
          <w:rFonts w:ascii="Times New Roman" w:eastAsia="Times New Roman" w:hAnsi="Times New Roman" w:cs="Times New Roman"/>
          <w:sz w:val="16"/>
          <w:szCs w:val="16"/>
        </w:rPr>
        <w:t xml:space="preserve"> October 2019.</w:t>
      </w:r>
    </w:p>
  </w:footnote>
  <w:footnote w:id="63">
    <w:p w14:paraId="257D2413"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shd w:val="clear" w:color="auto" w:fill="CC4125"/>
        </w:rPr>
      </w:pPr>
      <w:r>
        <w:rPr>
          <w:rStyle w:val="Funotenzeichen"/>
        </w:rPr>
        <w:footnoteRef/>
      </w:r>
      <w:r>
        <w:rPr>
          <w:rFonts w:ascii="Times New Roman" w:eastAsia="Times New Roman" w:hAnsi="Times New Roman" w:cs="Times New Roman"/>
          <w:i/>
          <w:sz w:val="16"/>
          <w:szCs w:val="16"/>
        </w:rPr>
        <w:t xml:space="preserve">Idem. </w:t>
      </w:r>
    </w:p>
  </w:footnote>
  <w:footnote w:id="64">
    <w:p w14:paraId="4CDDB8F4" w14:textId="77777777" w:rsidR="005479D2" w:rsidRDefault="00881F91">
      <w:pPr>
        <w:spacing w:after="0"/>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HCP,</w:t>
      </w:r>
      <w:r>
        <w:rPr>
          <w:rFonts w:ascii="Times New Roman" w:eastAsia="Times New Roman" w:hAnsi="Times New Roman" w:cs="Times New Roman"/>
          <w:i/>
          <w:sz w:val="16"/>
          <w:szCs w:val="16"/>
        </w:rPr>
        <w:t xml:space="preserve"> People with special needs in Morocco according to data from the general population and housing census of</w:t>
      </w:r>
      <w:r>
        <w:rPr>
          <w:rFonts w:ascii="Times New Roman" w:eastAsia="Times New Roman" w:hAnsi="Times New Roman" w:cs="Times New Roman"/>
          <w:sz w:val="16"/>
          <w:szCs w:val="16"/>
        </w:rPr>
        <w:t xml:space="preserve"> 2014</w:t>
      </w:r>
    </w:p>
  </w:footnote>
  <w:footnote w:id="65">
    <w:p w14:paraId="710D507D" w14:textId="77777777" w:rsidR="005479D2" w:rsidRDefault="00881F9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Style w:val="Funotenzeichen"/>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sz w:val="16"/>
          <w:szCs w:val="16"/>
        </w:rPr>
        <w:t>Idem</w:t>
      </w:r>
      <w:r>
        <w:rPr>
          <w:rFonts w:ascii="Times New Roman" w:eastAsia="Times New Roman" w:hAnsi="Times New Roman" w:cs="Times New Roman"/>
          <w:color w:val="000000"/>
          <w:sz w:val="16"/>
          <w:szCs w:val="16"/>
        </w:rPr>
        <w:t>.</w:t>
      </w:r>
    </w:p>
  </w:footnote>
  <w:footnote w:id="66">
    <w:p w14:paraId="26D5C22C" w14:textId="77777777" w:rsidR="005479D2" w:rsidRDefault="00881F9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right="1267"/>
        <w:jc w:val="both"/>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MSFFDS, </w:t>
      </w:r>
      <w:r>
        <w:rPr>
          <w:rFonts w:ascii="Times New Roman" w:eastAsia="Times New Roman" w:hAnsi="Times New Roman" w:cs="Times New Roman"/>
          <w:i/>
          <w:sz w:val="16"/>
          <w:szCs w:val="16"/>
        </w:rPr>
        <w:t>National Disability Survey 2014</w:t>
      </w:r>
      <w:r>
        <w:rPr>
          <w:rFonts w:ascii="Times New Roman" w:eastAsia="Times New Roman" w:hAnsi="Times New Roman" w:cs="Times New Roman"/>
          <w:sz w:val="16"/>
          <w:szCs w:val="16"/>
        </w:rPr>
        <w:t>, Feb. 2015.</w:t>
      </w:r>
    </w:p>
  </w:footnote>
  <w:footnote w:id="67">
    <w:p w14:paraId="7186E813" w14:textId="77777777" w:rsidR="005479D2" w:rsidRDefault="00881F91">
      <w:pPr>
        <w:spacing w:after="0"/>
        <w:rPr>
          <w:rFonts w:ascii="Times New Roman" w:eastAsia="Times New Roman" w:hAnsi="Times New Roman" w:cs="Times New Roman"/>
          <w:sz w:val="16"/>
          <w:szCs w:val="16"/>
          <w:vertAlign w:val="superscript"/>
        </w:rPr>
      </w:pPr>
      <w:r>
        <w:rPr>
          <w:rStyle w:val="Funotenzeichen"/>
        </w:rPr>
        <w:footnoteRef/>
      </w:r>
      <w:r>
        <w:rPr>
          <w:rFonts w:ascii="Times New Roman" w:eastAsia="Times New Roman" w:hAnsi="Times New Roman" w:cs="Times New Roman"/>
          <w:sz w:val="16"/>
          <w:szCs w:val="16"/>
          <w:vertAlign w:val="superscript"/>
        </w:rPr>
        <w:t xml:space="preserve"> </w:t>
      </w:r>
      <w:r>
        <w:rPr>
          <w:rFonts w:ascii="Times New Roman" w:eastAsia="Times New Roman" w:hAnsi="Times New Roman" w:cs="Times New Roman"/>
          <w:sz w:val="16"/>
          <w:szCs w:val="16"/>
        </w:rPr>
        <w:t>Committee on the Rights of Persons with Disabilities, Concluding observations on the initial report of Morocco, CRPD/C/MAR/CO/1, 25 Sep. 2017.</w:t>
      </w:r>
    </w:p>
  </w:footnote>
  <w:footnote w:id="68">
    <w:p w14:paraId="5F8215CA"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HCP, National Employment Survey. In. </w:t>
      </w:r>
      <w:r>
        <w:rPr>
          <w:rFonts w:ascii="Times New Roman" w:eastAsia="Times New Roman" w:hAnsi="Times New Roman" w:cs="Times New Roman"/>
          <w:i/>
          <w:sz w:val="16"/>
          <w:szCs w:val="16"/>
        </w:rPr>
        <w:t>Moroccan women in figures, 20 years of progress,</w:t>
      </w:r>
      <w:r>
        <w:rPr>
          <w:rFonts w:ascii="Times New Roman" w:eastAsia="Times New Roman" w:hAnsi="Times New Roman" w:cs="Times New Roman"/>
          <w:sz w:val="16"/>
          <w:szCs w:val="16"/>
        </w:rPr>
        <w:t xml:space="preserve"> 2021</w:t>
      </w:r>
    </w:p>
  </w:footnote>
  <w:footnote w:id="69">
    <w:p w14:paraId="1C8ACE03" w14:textId="77777777" w:rsidR="005479D2" w:rsidRDefault="00881F91">
      <w:pPr>
        <w:pBdr>
          <w:top w:val="nil"/>
          <w:left w:val="nil"/>
          <w:bottom w:val="nil"/>
          <w:right w:val="nil"/>
          <w:between w:val="nil"/>
        </w:pBdr>
        <w:spacing w:after="0" w:line="240" w:lineRule="auto"/>
        <w:rPr>
          <w:rFonts w:ascii="Times New Roman" w:eastAsia="Times New Roman" w:hAnsi="Times New Roman" w:cs="Times New Roman"/>
          <w:color w:val="000000"/>
          <w:sz w:val="16"/>
          <w:szCs w:val="16"/>
          <w:shd w:val="clear" w:color="auto" w:fill="E06666"/>
        </w:rPr>
      </w:pPr>
      <w:r>
        <w:rPr>
          <w:rStyle w:val="Funotenzeichen"/>
        </w:rPr>
        <w:footnoteRef/>
      </w:r>
      <w:r>
        <w:rPr>
          <w:rFonts w:ascii="Times New Roman" w:eastAsia="Times New Roman" w:hAnsi="Times New Roman" w:cs="Times New Roman"/>
          <w:i/>
          <w:sz w:val="16"/>
          <w:szCs w:val="16"/>
        </w:rPr>
        <w:t xml:space="preserve"> </w:t>
      </w:r>
      <w:r>
        <w:rPr>
          <w:rFonts w:ascii="Times New Roman" w:eastAsia="Times New Roman" w:hAnsi="Times New Roman" w:cs="Times New Roman"/>
          <w:sz w:val="16"/>
          <w:szCs w:val="16"/>
        </w:rPr>
        <w:t xml:space="preserve">BO N° 6493 of Aug. 22, 2016. </w:t>
      </w:r>
    </w:p>
  </w:footnote>
  <w:footnote w:id="70">
    <w:p w14:paraId="140E0496" w14:textId="77777777" w:rsidR="005479D2" w:rsidRDefault="00881F91">
      <w:pPr>
        <w:spacing w:after="0" w:line="240" w:lineRule="auto"/>
        <w:rPr>
          <w:rFonts w:ascii="Times New Roman" w:eastAsia="Times New Roman" w:hAnsi="Times New Roman" w:cs="Times New Roman"/>
          <w:sz w:val="16"/>
          <w:szCs w:val="16"/>
          <w:shd w:val="clear" w:color="auto" w:fill="B6D7A8"/>
        </w:rPr>
      </w:pPr>
      <w:r>
        <w:rPr>
          <w:rStyle w:val="Funotenzeichen"/>
        </w:rPr>
        <w:footnoteRef/>
      </w:r>
      <w:r>
        <w:rPr>
          <w:rFonts w:ascii="Times New Roman" w:eastAsia="Times New Roman" w:hAnsi="Times New Roman" w:cs="Times New Roman"/>
          <w:i/>
          <w:sz w:val="16"/>
          <w:szCs w:val="16"/>
        </w:rPr>
        <w:t xml:space="preserve"> </w:t>
      </w:r>
      <w:r>
        <w:rPr>
          <w:rFonts w:ascii="Times New Roman" w:eastAsia="Times New Roman" w:hAnsi="Times New Roman" w:cs="Times New Roman"/>
          <w:sz w:val="16"/>
          <w:szCs w:val="16"/>
        </w:rPr>
        <w:t>Le Matin Newspaper of March 9, 2021.</w:t>
      </w:r>
    </w:p>
  </w:footnote>
  <w:footnote w:id="71">
    <w:p w14:paraId="78D2AA82" w14:textId="77777777" w:rsidR="005479D2" w:rsidRDefault="00881F91">
      <w:p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sz w:val="16"/>
          <w:szCs w:val="16"/>
        </w:rPr>
        <w:t>Situation enshrined by the Court of Cassation, which overturns the judgments of courts of first instance using case law (see paragraph 29 of this report).</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sz w:val="16"/>
          <w:szCs w:val="16"/>
        </w:rPr>
        <w:t>Decree No. 275/1 issued on 29 September 2020 by the Personal Status Chamber of the Court of Cassation (File No. 365/2018/1/2/365), according to which the "illegitimate" child cannot claim any rights vis-à-vis the biological father, neither by paternal nor parental filiation. This decision came after the Court of First Instance of Tangier had confirmed, three years ago, the paternal filiation of a girl born out of wedlock and had ordered the biological father to pay compensation in the amount of 100,000 dirhams. The Court of Appeal having annulled this far-sighted judgment, the mother had to appeal to the Court of Cassation, which confirmed the decision of the Court of Appeal rejecting the recognition of filiation.</w:t>
      </w:r>
    </w:p>
  </w:footnote>
  <w:footnote w:id="72">
    <w:p w14:paraId="44E42A06"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General Delegation for Prison Administration and Reintegration (DGAPR), </w:t>
      </w:r>
      <w:r>
        <w:rPr>
          <w:rFonts w:ascii="Times New Roman" w:eastAsia="Times New Roman" w:hAnsi="Times New Roman" w:cs="Times New Roman"/>
          <w:i/>
          <w:sz w:val="16"/>
          <w:szCs w:val="16"/>
        </w:rPr>
        <w:t>Activity report</w:t>
      </w:r>
      <w:r>
        <w:rPr>
          <w:rFonts w:ascii="Times New Roman" w:eastAsia="Times New Roman" w:hAnsi="Times New Roman" w:cs="Times New Roman"/>
          <w:sz w:val="16"/>
          <w:szCs w:val="16"/>
        </w:rPr>
        <w:t xml:space="preserve"> 2020. </w:t>
      </w:r>
    </w:p>
  </w:footnote>
  <w:footnote w:id="73">
    <w:p w14:paraId="002CF822"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The Moroccan Observatory of Prisons (OMP), </w:t>
      </w:r>
      <w:r>
        <w:rPr>
          <w:rFonts w:ascii="Times New Roman" w:eastAsia="Times New Roman" w:hAnsi="Times New Roman" w:cs="Times New Roman"/>
          <w:i/>
          <w:sz w:val="16"/>
          <w:szCs w:val="16"/>
        </w:rPr>
        <w:t>The situation of prisons and detainees in Morocco for the year 2019,</w:t>
      </w:r>
      <w:r>
        <w:rPr>
          <w:rFonts w:ascii="Times New Roman" w:eastAsia="Times New Roman" w:hAnsi="Times New Roman" w:cs="Times New Roman"/>
          <w:sz w:val="16"/>
          <w:szCs w:val="16"/>
        </w:rPr>
        <w:t xml:space="preserve"> 2020. </w:t>
      </w:r>
    </w:p>
  </w:footnote>
  <w:footnote w:id="74">
    <w:p w14:paraId="5837DC8F"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shd w:val="clear" w:color="auto" w:fill="A61C00"/>
        </w:rPr>
      </w:pPr>
      <w:r>
        <w:rPr>
          <w:rStyle w:val="Funotenzeichen"/>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Idem.</w:t>
      </w:r>
      <w:r>
        <w:rPr>
          <w:rFonts w:ascii="Times New Roman" w:eastAsia="Times New Roman" w:hAnsi="Times New Roman" w:cs="Times New Roman"/>
          <w:color w:val="000000"/>
          <w:sz w:val="16"/>
          <w:szCs w:val="16"/>
          <w:shd w:val="clear" w:color="auto" w:fill="A61C00"/>
        </w:rPr>
        <w:t xml:space="preserve"> </w:t>
      </w:r>
    </w:p>
  </w:footnote>
  <w:footnote w:id="75">
    <w:p w14:paraId="72153A3B" w14:textId="77777777" w:rsidR="005479D2" w:rsidRDefault="00881F91">
      <w:pPr>
        <w:spacing w:after="0"/>
        <w:jc w:val="both"/>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CNDH, </w:t>
      </w:r>
      <w:r>
        <w:rPr>
          <w:rFonts w:ascii="Times New Roman" w:eastAsia="Times New Roman" w:hAnsi="Times New Roman" w:cs="Times New Roman"/>
          <w:i/>
          <w:sz w:val="16"/>
          <w:szCs w:val="16"/>
        </w:rPr>
        <w:t>Gender Equality and Parity in Morocco Preserving and implementing the aims and objectives of the Constitution</w:t>
      </w:r>
      <w:r>
        <w:rPr>
          <w:rFonts w:ascii="Times New Roman" w:eastAsia="Times New Roman" w:hAnsi="Times New Roman" w:cs="Times New Roman"/>
          <w:sz w:val="16"/>
          <w:szCs w:val="16"/>
        </w:rPr>
        <w:t xml:space="preserve">, 2015. </w:t>
      </w:r>
    </w:p>
  </w:footnote>
  <w:footnote w:id="76">
    <w:p w14:paraId="3367E152"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i/>
          <w:color w:val="000000"/>
          <w:sz w:val="16"/>
          <w:szCs w:val="16"/>
          <w:shd w:val="clear" w:color="auto" w:fill="CC4125"/>
        </w:rPr>
      </w:pPr>
      <w:r>
        <w:rPr>
          <w:rStyle w:val="Funotenzeichen"/>
        </w:rPr>
        <w:footnoteRef/>
      </w:r>
      <w:r>
        <w:rPr>
          <w:rFonts w:ascii="Times New Roman" w:eastAsia="Times New Roman" w:hAnsi="Times New Roman" w:cs="Times New Roman"/>
          <w:sz w:val="16"/>
          <w:szCs w:val="16"/>
        </w:rPr>
        <w:t xml:space="preserve"> Ministry of Justice, </w:t>
      </w:r>
      <w:r>
        <w:rPr>
          <w:rFonts w:ascii="Times New Roman" w:eastAsia="Times New Roman" w:hAnsi="Times New Roman" w:cs="Times New Roman"/>
          <w:i/>
          <w:sz w:val="16"/>
          <w:szCs w:val="16"/>
        </w:rPr>
        <w:t xml:space="preserve">In. </w:t>
      </w:r>
      <w:r>
        <w:rPr>
          <w:rFonts w:ascii="Times New Roman" w:eastAsia="Times New Roman" w:hAnsi="Times New Roman" w:cs="Times New Roman"/>
          <w:sz w:val="16"/>
          <w:szCs w:val="16"/>
        </w:rPr>
        <w:t xml:space="preserve">HCP, (2021), </w:t>
      </w:r>
      <w:r>
        <w:rPr>
          <w:rFonts w:ascii="Times New Roman" w:eastAsia="Times New Roman" w:hAnsi="Times New Roman" w:cs="Times New Roman"/>
          <w:i/>
          <w:sz w:val="16"/>
          <w:szCs w:val="16"/>
        </w:rPr>
        <w:t>Op.cit.</w:t>
      </w:r>
    </w:p>
  </w:footnote>
  <w:footnote w:id="77">
    <w:p w14:paraId="333BD23E"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LesEco.ma, April 5, 2021. In. https://leseco.ma/maroc/partage-des-biens-entre-epoux-pourquoi-faut-il-amender-la-loi.html.</w:t>
      </w:r>
    </w:p>
  </w:footnote>
  <w:footnote w:id="78">
    <w:p w14:paraId="18FD6AFE"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highlight w:val="white"/>
        </w:rPr>
        <w:t xml:space="preserve"> Assets that are temporarily or permanently immobilized.</w:t>
      </w:r>
    </w:p>
  </w:footnote>
  <w:footnote w:id="79">
    <w:p w14:paraId="4CFE5D47"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Dahir </w:t>
      </w:r>
      <w:r>
        <w:rPr>
          <w:rFonts w:ascii="Times New Roman" w:eastAsia="Times New Roman" w:hAnsi="Times New Roman" w:cs="Times New Roman"/>
          <w:sz w:val="16"/>
          <w:szCs w:val="16"/>
          <w:highlight w:val="white"/>
        </w:rPr>
        <w:t xml:space="preserve">No.1.09.236 </w:t>
      </w:r>
      <w:r>
        <w:rPr>
          <w:rFonts w:ascii="Times New Roman" w:eastAsia="Times New Roman" w:hAnsi="Times New Roman" w:cs="Times New Roman"/>
          <w:sz w:val="16"/>
          <w:szCs w:val="16"/>
        </w:rPr>
        <w:t xml:space="preserve">of Feb. 23, 2010 forming the </w:t>
      </w:r>
      <w:r>
        <w:rPr>
          <w:rFonts w:ascii="Times New Roman" w:eastAsia="Times New Roman" w:hAnsi="Times New Roman" w:cs="Times New Roman"/>
          <w:sz w:val="16"/>
          <w:szCs w:val="16"/>
          <w:highlight w:val="white"/>
        </w:rPr>
        <w:t xml:space="preserve">Habous Property </w:t>
      </w:r>
      <w:r>
        <w:rPr>
          <w:rFonts w:ascii="Times New Roman" w:eastAsia="Times New Roman" w:hAnsi="Times New Roman" w:cs="Times New Roman"/>
          <w:sz w:val="16"/>
          <w:szCs w:val="16"/>
        </w:rPr>
        <w:t xml:space="preserve">Code </w:t>
      </w:r>
      <w:r>
        <w:rPr>
          <w:rFonts w:ascii="Times New Roman" w:eastAsia="Times New Roman" w:hAnsi="Times New Roman" w:cs="Times New Roman"/>
          <w:sz w:val="16"/>
          <w:szCs w:val="16"/>
          <w:highlight w:val="white"/>
        </w:rPr>
        <w:t>(</w:t>
      </w:r>
      <w:r>
        <w:rPr>
          <w:rFonts w:ascii="Times New Roman" w:eastAsia="Times New Roman" w:hAnsi="Times New Roman" w:cs="Times New Roman"/>
          <w:sz w:val="16"/>
          <w:szCs w:val="16"/>
          <w:highlight w:val="white"/>
          <w:rtl/>
        </w:rPr>
        <w:t>مدونة الأوقاف</w:t>
      </w:r>
      <w:r>
        <w:rPr>
          <w:rFonts w:ascii="Times New Roman" w:eastAsia="Times New Roman" w:hAnsi="Times New Roman" w:cs="Times New Roman"/>
          <w:sz w:val="16"/>
          <w:szCs w:val="16"/>
          <w:highlight w:val="white"/>
        </w:rPr>
        <w:t>).</w:t>
      </w:r>
    </w:p>
  </w:footnote>
  <w:footnote w:id="80">
    <w:p w14:paraId="554D3FD0"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highlight w:val="white"/>
        </w:rPr>
        <w:t xml:space="preserve"> Habous Property Code, 2010 (Articles 110 and 113).</w:t>
      </w:r>
    </w:p>
  </w:footnote>
  <w:footnote w:id="81">
    <w:p w14:paraId="0F95F24C" w14:textId="77777777" w:rsidR="005479D2" w:rsidRDefault="00881F91">
      <w:pPr>
        <w:pBdr>
          <w:top w:val="nil"/>
          <w:left w:val="nil"/>
          <w:bottom w:val="nil"/>
          <w:right w:val="nil"/>
          <w:between w:val="nil"/>
        </w:pBdr>
        <w:spacing w:after="0" w:line="210" w:lineRule="auto"/>
        <w:rPr>
          <w:rFonts w:ascii="Times New Roman" w:eastAsia="Times New Roman" w:hAnsi="Times New Roman" w:cs="Times New Roman"/>
          <w:color w:val="000000"/>
          <w:sz w:val="16"/>
          <w:szCs w:val="16"/>
          <w:shd w:val="clear" w:color="auto" w:fill="CC4125"/>
        </w:rPr>
      </w:pPr>
      <w:r>
        <w:rPr>
          <w:rStyle w:val="Funotenzeichen"/>
        </w:rPr>
        <w:footnoteRef/>
      </w:r>
      <w:r>
        <w:rPr>
          <w:rFonts w:ascii="Times New Roman" w:eastAsia="Times New Roman" w:hAnsi="Times New Roman" w:cs="Times New Roman"/>
          <w:sz w:val="16"/>
          <w:szCs w:val="16"/>
        </w:rPr>
        <w:t xml:space="preserve">CESE, 2020, </w:t>
      </w:r>
      <w:r>
        <w:rPr>
          <w:rFonts w:ascii="Times New Roman" w:eastAsia="Times New Roman" w:hAnsi="Times New Roman" w:cs="Times New Roman"/>
          <w:i/>
          <w:sz w:val="16"/>
          <w:szCs w:val="16"/>
        </w:rPr>
        <w:t>Idem.</w:t>
      </w:r>
      <w:r>
        <w:rPr>
          <w:rFonts w:ascii="Times New Roman" w:eastAsia="Times New Roman" w:hAnsi="Times New Roman" w:cs="Times New Roman"/>
          <w:color w:val="000000"/>
          <w:sz w:val="16"/>
          <w:szCs w:val="16"/>
          <w:shd w:val="clear" w:color="auto" w:fill="CC4125"/>
        </w:rPr>
        <w:t xml:space="preserve"> </w:t>
      </w:r>
    </w:p>
  </w:footnote>
  <w:footnote w:id="82">
    <w:p w14:paraId="067CF806" w14:textId="77777777" w:rsidR="005479D2" w:rsidRDefault="00881F91">
      <w:pPr>
        <w:spacing w:after="0" w:line="240" w:lineRule="auto"/>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 In particular for the sanctions defined in Articles 431, 436, 503-1, 425, 426, 427, 429 and 407 of the Penal Code.</w:t>
      </w:r>
    </w:p>
  </w:footnote>
  <w:footnote w:id="83">
    <w:p w14:paraId="0343AA51" w14:textId="77777777" w:rsidR="005479D2" w:rsidRDefault="00881F91">
      <w:pPr>
        <w:pBdr>
          <w:top w:val="nil"/>
          <w:left w:val="nil"/>
          <w:bottom w:val="nil"/>
          <w:right w:val="nil"/>
          <w:between w:val="nil"/>
        </w:pBdr>
        <w:spacing w:after="0" w:line="210" w:lineRule="auto"/>
        <w:jc w:val="both"/>
        <w:rPr>
          <w:rFonts w:ascii="Times New Roman" w:eastAsia="Times New Roman" w:hAnsi="Times New Roman" w:cs="Times New Roman"/>
          <w:sz w:val="16"/>
          <w:szCs w:val="16"/>
          <w:vertAlign w:val="superscript"/>
        </w:rPr>
      </w:pPr>
      <w:r>
        <w:rPr>
          <w:rStyle w:val="Funotenzeichen"/>
        </w:rPr>
        <w:footnoteRef/>
      </w:r>
      <w:r>
        <w:rPr>
          <w:rFonts w:ascii="Times New Roman" w:eastAsia="Times New Roman" w:hAnsi="Times New Roman" w:cs="Times New Roman"/>
          <w:sz w:val="16"/>
          <w:szCs w:val="16"/>
          <w:vertAlign w:val="superscript"/>
        </w:rPr>
        <w:t xml:space="preserve"> </w:t>
      </w:r>
      <w:r>
        <w:rPr>
          <w:rFonts w:ascii="Times New Roman" w:eastAsia="Times New Roman" w:hAnsi="Times New Roman" w:cs="Times New Roman"/>
          <w:sz w:val="16"/>
          <w:szCs w:val="16"/>
        </w:rPr>
        <w:t>Article 490 of the Moroccan Penal Code, which criminalizes sexual relations outside marriage, even between consenting adults, discriminates against women, who are more likely to be prosecuted if such relations lead to pregnancy. Civil society has consistently called for its amendment. The Working Group on Discrimination against Women, in their report (A/HRC/20/28/Add.1), recommended its repeal.</w:t>
      </w:r>
    </w:p>
  </w:footnote>
  <w:footnote w:id="84">
    <w:p w14:paraId="55E99860" w14:textId="77777777" w:rsidR="005479D2" w:rsidRDefault="00881F91">
      <w:pPr>
        <w:spacing w:after="0" w:line="240" w:lineRule="auto"/>
        <w:jc w:val="both"/>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This provision is supplemented by paragraph 2 of the same article (491), which states: “However, when one of the spouses is away from the territory of the Kingdom, the other spouse who is known to have adulterous relations may be prosecuted ex officio at the request of the Public Prosecutor”.</w:t>
      </w:r>
    </w:p>
  </w:footnote>
  <w:footnote w:id="85">
    <w:p w14:paraId="7D87887E" w14:textId="77777777" w:rsidR="005479D2" w:rsidRDefault="00881F91">
      <w:pPr>
        <w:spacing w:after="0" w:line="240" w:lineRule="auto"/>
        <w:jc w:val="both"/>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 xml:space="preserve">Article 420 of the Penal Code: “Injuries done or blows given without intention to give death, even if they have caused it, </w:t>
      </w:r>
      <w:r>
        <w:rPr>
          <w:rFonts w:ascii="Times New Roman" w:eastAsia="Times New Roman" w:hAnsi="Times New Roman" w:cs="Times New Roman"/>
          <w:sz w:val="16"/>
          <w:szCs w:val="16"/>
          <w:u w:val="single"/>
        </w:rPr>
        <w:t>are excusable when they have been committed by a head of family who surprises in his home an illicit carnal trade</w:t>
      </w:r>
      <w:r>
        <w:rPr>
          <w:rFonts w:ascii="Times New Roman" w:eastAsia="Times New Roman" w:hAnsi="Times New Roman" w:cs="Times New Roman"/>
          <w:sz w:val="16"/>
          <w:szCs w:val="16"/>
        </w:rPr>
        <w:t>, whether the blows were given on one or the other of the culprits”.</w:t>
      </w:r>
    </w:p>
  </w:footnote>
  <w:footnote w:id="86">
    <w:p w14:paraId="538C5703" w14:textId="77777777" w:rsidR="005479D2" w:rsidRDefault="00881F91">
      <w:pPr>
        <w:spacing w:after="0" w:line="240" w:lineRule="auto"/>
        <w:jc w:val="both"/>
        <w:rPr>
          <w:rFonts w:ascii="Times New Roman" w:eastAsia="Times New Roman" w:hAnsi="Times New Roman" w:cs="Times New Roman"/>
          <w:sz w:val="16"/>
          <w:szCs w:val="16"/>
        </w:rPr>
      </w:pPr>
      <w:r>
        <w:rPr>
          <w:rStyle w:val="Funotenzeichen"/>
        </w:rPr>
        <w:footnoteRef/>
      </w:r>
      <w:r>
        <w:rPr>
          <w:rFonts w:ascii="Times New Roman" w:eastAsia="Times New Roman" w:hAnsi="Times New Roman" w:cs="Times New Roman"/>
          <w:sz w:val="16"/>
          <w:szCs w:val="16"/>
        </w:rPr>
        <w:t>Article 421 of the Penal Code: “Injuries and blows are excusable when they are committed on the person of an adult caught in the act of indecent assault or attempted indecent assault, with or without violence, on a child under the age of eighteen.</w:t>
      </w:r>
    </w:p>
    <w:p w14:paraId="49F2F710" w14:textId="77777777" w:rsidR="005479D2" w:rsidRDefault="00881F9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same acts are excusable when committed against an adult caught in the act of rape or attempted rape.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BBB8" w14:textId="0E7D71D5" w:rsidR="005479D2" w:rsidRDefault="005479D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4FF7"/>
    <w:multiLevelType w:val="multilevel"/>
    <w:tmpl w:val="1040AE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327D3C"/>
    <w:multiLevelType w:val="hybridMultilevel"/>
    <w:tmpl w:val="692EA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7B3C16"/>
    <w:multiLevelType w:val="hybridMultilevel"/>
    <w:tmpl w:val="AFBE9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0A330C"/>
    <w:multiLevelType w:val="hybridMultilevel"/>
    <w:tmpl w:val="0CC05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7E6493"/>
    <w:multiLevelType w:val="multilevel"/>
    <w:tmpl w:val="3222A64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4A7A2F"/>
    <w:multiLevelType w:val="hybridMultilevel"/>
    <w:tmpl w:val="466A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643AA7"/>
    <w:multiLevelType w:val="hybridMultilevel"/>
    <w:tmpl w:val="C7F24B84"/>
    <w:lvl w:ilvl="0" w:tplc="F9049A88">
      <w:start w:val="1"/>
      <w:numFmt w:val="decimal"/>
      <w:lvlText w:val="%1."/>
      <w:lvlJc w:val="left"/>
      <w:pPr>
        <w:ind w:left="1071" w:hanging="711"/>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4F5BB0"/>
    <w:multiLevelType w:val="multilevel"/>
    <w:tmpl w:val="7DB0681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270B19"/>
    <w:multiLevelType w:val="multilevel"/>
    <w:tmpl w:val="DB0E3BCA"/>
    <w:lvl w:ilvl="0">
      <w:start w:val="2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B07324"/>
    <w:multiLevelType w:val="multilevel"/>
    <w:tmpl w:val="1196EFCA"/>
    <w:lvl w:ilvl="0">
      <w:start w:val="5"/>
      <w:numFmt w:val="decimal"/>
      <w:lvlText w:val="%1-"/>
      <w:lvlJc w:val="left"/>
      <w:pPr>
        <w:ind w:left="720" w:hanging="360"/>
      </w:pPr>
      <w:rPr>
        <w:color w:val="202124"/>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B76663"/>
    <w:multiLevelType w:val="hybridMultilevel"/>
    <w:tmpl w:val="3D542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0"/>
  </w:num>
  <w:num w:numId="5">
    <w:abstractNumId w:val="4"/>
  </w:num>
  <w:num w:numId="6">
    <w:abstractNumId w:val="6"/>
  </w:num>
  <w:num w:numId="7">
    <w:abstractNumId w:val="2"/>
  </w:num>
  <w:num w:numId="8">
    <w:abstractNumId w:val="5"/>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D2"/>
    <w:rsid w:val="000005D4"/>
    <w:rsid w:val="00021572"/>
    <w:rsid w:val="000A29FF"/>
    <w:rsid w:val="00211BA9"/>
    <w:rsid w:val="002A0CA3"/>
    <w:rsid w:val="002B4CF2"/>
    <w:rsid w:val="002B6F9F"/>
    <w:rsid w:val="005479D2"/>
    <w:rsid w:val="00556905"/>
    <w:rsid w:val="00590D85"/>
    <w:rsid w:val="006C1BB5"/>
    <w:rsid w:val="007224C8"/>
    <w:rsid w:val="007F4AB3"/>
    <w:rsid w:val="00881F91"/>
    <w:rsid w:val="008E2775"/>
    <w:rsid w:val="00A90FCB"/>
    <w:rsid w:val="00B30884"/>
    <w:rsid w:val="00B80827"/>
    <w:rsid w:val="00BA08B8"/>
    <w:rsid w:val="00C15F65"/>
    <w:rsid w:val="00C72042"/>
    <w:rsid w:val="00D61E78"/>
    <w:rsid w:val="00EA346F"/>
    <w:rsid w:val="00F51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EFC34"/>
  <w15:docId w15:val="{9E1EABC1-7AA2-8243-BACE-B4AC4EAC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03A6"/>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Funotenzeichen">
    <w:name w:val="footnote reference"/>
    <w:aliases w:val="4_G,appel de note,BVI fnr,Footnote No,Ref,de nota al pie,Ref1,de nota al pie1,Ref2,de nota al pie2,Ref11,de nota al pie11, BVI fnr,ftref,16 Point,Superscript 6 Point,BVI fnr Char,ftref Char,16 Point Char,Superscript 6 Point Char"/>
    <w:link w:val="CharCharCharCharCarChar"/>
    <w:qFormat/>
    <w:rsid w:val="00B103A6"/>
    <w:rPr>
      <w:spacing w:val="5"/>
      <w:w w:val="103"/>
      <w:kern w:val="14"/>
      <w:sz w:val="17"/>
      <w:szCs w:val="17"/>
      <w:vertAlign w:val="superscript"/>
    </w:rPr>
  </w:style>
  <w:style w:type="paragraph" w:styleId="Funotentext">
    <w:name w:val="footnote text"/>
    <w:aliases w:val="5_G,Car3,Car Car Car Car Car Car,Car Car Car Car Car Car Car Car Car,Car Car,Car,single space,FOOTNOTES,fn,ft,ADB,single space1,footnote text1,FOOTNOTES1,fn1,ADB1,single space2,footnote text2,FOOTNOTES2,fn2,ADB2,single space3, Car,f"/>
    <w:basedOn w:val="Standard"/>
    <w:link w:val="FunotentextZchn"/>
    <w:uiPriority w:val="99"/>
    <w:qFormat/>
    <w:rsid w:val="00B103A6"/>
    <w:pPr>
      <w:spacing w:after="0" w:line="210" w:lineRule="exact"/>
    </w:pPr>
    <w:rPr>
      <w:rFonts w:ascii="Times New Roman" w:hAnsi="Times New Roman" w:cs="Times New Roman"/>
      <w:spacing w:val="4"/>
      <w:w w:val="103"/>
      <w:kern w:val="14"/>
      <w:sz w:val="17"/>
      <w:szCs w:val="20"/>
    </w:rPr>
  </w:style>
  <w:style w:type="character" w:customStyle="1" w:styleId="FunotentextZchn">
    <w:name w:val="Fußnotentext Zchn"/>
    <w:aliases w:val="5_G Zchn,Car3 Zchn,Car Car Car Car Car Car Zchn,Car Car Car Car Car Car Car Car Car Zchn,Car Car Zchn,Car Zchn,single space Zchn,FOOTNOTES Zchn,fn Zchn,ft Zchn,ADB Zchn,single space1 Zchn,footnote text1 Zchn,FOOTNOTES1 Zchn,fn1 Zchn"/>
    <w:basedOn w:val="Absatz-Standardschriftart"/>
    <w:link w:val="Funotentext"/>
    <w:uiPriority w:val="99"/>
    <w:rsid w:val="00B103A6"/>
    <w:rPr>
      <w:rFonts w:ascii="Times New Roman" w:hAnsi="Times New Roman" w:cs="Times New Roman"/>
      <w:spacing w:val="4"/>
      <w:w w:val="103"/>
      <w:kern w:val="14"/>
      <w:sz w:val="17"/>
      <w:szCs w:val="20"/>
      <w:lang w:val="fr-CA"/>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Standard"/>
    <w:next w:val="Standard"/>
    <w:link w:val="Funotenzeichen"/>
    <w:uiPriority w:val="99"/>
    <w:rsid w:val="00B103A6"/>
    <w:pPr>
      <w:spacing w:before="120" w:after="160" w:line="240" w:lineRule="exact"/>
      <w:jc w:val="both"/>
    </w:pPr>
    <w:rPr>
      <w:spacing w:val="5"/>
      <w:w w:val="103"/>
      <w:kern w:val="14"/>
      <w:sz w:val="17"/>
      <w:szCs w:val="17"/>
      <w:vertAlign w:val="superscript"/>
    </w:rPr>
  </w:style>
  <w:style w:type="paragraph" w:customStyle="1" w:styleId="Default">
    <w:name w:val="Default"/>
    <w:rsid w:val="00B103A6"/>
    <w:pPr>
      <w:autoSpaceDE w:val="0"/>
      <w:autoSpaceDN w:val="0"/>
      <w:adjustRightInd w:val="0"/>
      <w:spacing w:after="0" w:line="240" w:lineRule="auto"/>
    </w:pPr>
    <w:rPr>
      <w:rFonts w:ascii="Cambria" w:hAnsi="Cambria" w:cs="Cambria"/>
      <w:color w:val="000000"/>
      <w:sz w:val="24"/>
      <w:szCs w:val="24"/>
    </w:rPr>
  </w:style>
  <w:style w:type="paragraph" w:styleId="StandardWeb">
    <w:name w:val="Normal (Web)"/>
    <w:basedOn w:val="Standard"/>
    <w:uiPriority w:val="99"/>
    <w:unhideWhenUsed/>
    <w:rsid w:val="00B103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ngleTxt">
    <w:name w:val="__Single Txt"/>
    <w:basedOn w:val="Standard"/>
    <w:qFormat/>
    <w:rsid w:val="00B103A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rPr>
  </w:style>
  <w:style w:type="paragraph" w:styleId="Listenabsatz">
    <w:name w:val="List Paragraph"/>
    <w:aliases w:val="Numbered list,Paragraphe de liste du rapport,List Paragraph (numbered (a)),Table of contents numbered,List ParagraphCxSpLast,List ParagraphCxSpLastCxSpLast,List ParagraphCxSpLastCxSpLastCxSpLast,Bullets,List Paragraph2,List Paragraph"/>
    <w:basedOn w:val="Standard"/>
    <w:link w:val="ListenabsatzZchn"/>
    <w:uiPriority w:val="34"/>
    <w:qFormat/>
    <w:rsid w:val="00B103A6"/>
    <w:pPr>
      <w:spacing w:after="0" w:line="240" w:lineRule="exact"/>
      <w:ind w:left="720"/>
      <w:contextualSpacing/>
    </w:pPr>
    <w:rPr>
      <w:rFonts w:ascii="Times New Roman" w:hAnsi="Times New Roman" w:cs="Times New Roman"/>
      <w:spacing w:val="4"/>
      <w:w w:val="103"/>
      <w:kern w:val="14"/>
      <w:sz w:val="20"/>
    </w:rPr>
  </w:style>
  <w:style w:type="character" w:styleId="Fett">
    <w:name w:val="Strong"/>
    <w:uiPriority w:val="22"/>
    <w:qFormat/>
    <w:rsid w:val="00B103A6"/>
    <w:rPr>
      <w:b/>
      <w:bCs/>
    </w:rPr>
  </w:style>
  <w:style w:type="character" w:styleId="Hyperlink">
    <w:name w:val="Hyperlink"/>
    <w:basedOn w:val="Absatz-Standardschriftart"/>
    <w:uiPriority w:val="99"/>
    <w:unhideWhenUsed/>
    <w:rsid w:val="00B103A6"/>
    <w:rPr>
      <w:color w:val="0000FF"/>
      <w:u w:val="none"/>
    </w:rPr>
  </w:style>
  <w:style w:type="table" w:styleId="Tabellenraster">
    <w:name w:val="Table Grid"/>
    <w:basedOn w:val="NormaleTabelle"/>
    <w:uiPriority w:val="59"/>
    <w:rsid w:val="00B1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Numbered list Zchn,Paragraphe de liste du rapport Zchn,List Paragraph (numbered (a)) Zchn,Table of contents numbered Zchn,List ParagraphCxSpLast Zchn,List ParagraphCxSpLastCxSpLast Zchn,List ParagraphCxSpLastCxSpLastCxSpLast Zchn"/>
    <w:basedOn w:val="Absatz-Standardschriftart"/>
    <w:link w:val="Listenabsatz"/>
    <w:uiPriority w:val="34"/>
    <w:rsid w:val="00B103A6"/>
    <w:rPr>
      <w:rFonts w:ascii="Times New Roman" w:hAnsi="Times New Roman" w:cs="Times New Roman"/>
      <w:spacing w:val="4"/>
      <w:w w:val="103"/>
      <w:kern w:val="14"/>
      <w:sz w:val="20"/>
      <w:lang w:val="fr-CA"/>
    </w:rPr>
  </w:style>
  <w:style w:type="character" w:customStyle="1" w:styleId="apple-style-span">
    <w:name w:val="apple-style-span"/>
    <w:basedOn w:val="Absatz-Standardschriftart"/>
    <w:rsid w:val="00B103A6"/>
  </w:style>
  <w:style w:type="character" w:customStyle="1" w:styleId="spipsurligne">
    <w:name w:val="spip_surligne"/>
    <w:basedOn w:val="Absatz-Standardschriftart"/>
    <w:rsid w:val="00B103A6"/>
  </w:style>
  <w:style w:type="character" w:styleId="Hervorhebung">
    <w:name w:val="Emphasis"/>
    <w:basedOn w:val="Absatz-Standardschriftart"/>
    <w:uiPriority w:val="20"/>
    <w:qFormat/>
    <w:rsid w:val="00B103A6"/>
    <w:rPr>
      <w:i/>
      <w:iCs/>
    </w:rPr>
  </w:style>
  <w:style w:type="paragraph" w:customStyle="1" w:styleId="Style9">
    <w:name w:val="Style9"/>
    <w:basedOn w:val="Standard"/>
    <w:autoRedefine/>
    <w:qFormat/>
    <w:rsid w:val="00B103A6"/>
    <w:pPr>
      <w:spacing w:before="120" w:after="120" w:line="240" w:lineRule="auto"/>
      <w:jc w:val="both"/>
    </w:pPr>
    <w:rPr>
      <w:rFonts w:eastAsia="Times New Roman" w:cs="Times New Roman"/>
      <w:bCs/>
      <w:lang w:eastAsia="ar-SA"/>
    </w:rPr>
  </w:style>
  <w:style w:type="paragraph" w:styleId="Kopfzeile">
    <w:name w:val="header"/>
    <w:basedOn w:val="Standard"/>
    <w:link w:val="KopfzeileZchn"/>
    <w:uiPriority w:val="99"/>
    <w:unhideWhenUsed/>
    <w:rsid w:val="009457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57FC"/>
  </w:style>
  <w:style w:type="paragraph" w:styleId="Fuzeile">
    <w:name w:val="footer"/>
    <w:basedOn w:val="Standard"/>
    <w:link w:val="FuzeileZchn"/>
    <w:uiPriority w:val="99"/>
    <w:unhideWhenUsed/>
    <w:rsid w:val="009457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57FC"/>
  </w:style>
  <w:style w:type="paragraph" w:styleId="Sprechblasentext">
    <w:name w:val="Balloon Text"/>
    <w:basedOn w:val="Standard"/>
    <w:link w:val="SprechblasentextZchn"/>
    <w:uiPriority w:val="99"/>
    <w:semiHidden/>
    <w:unhideWhenUsed/>
    <w:rsid w:val="008667A6"/>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667A6"/>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8667A6"/>
    <w:rPr>
      <w:sz w:val="16"/>
      <w:szCs w:val="16"/>
    </w:rPr>
  </w:style>
  <w:style w:type="paragraph" w:styleId="Kommentartext">
    <w:name w:val="annotation text"/>
    <w:basedOn w:val="Standard"/>
    <w:link w:val="KommentartextZchn"/>
    <w:uiPriority w:val="99"/>
    <w:semiHidden/>
    <w:unhideWhenUsed/>
    <w:rsid w:val="008667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67A6"/>
    <w:rPr>
      <w:sz w:val="20"/>
      <w:szCs w:val="20"/>
    </w:rPr>
  </w:style>
  <w:style w:type="paragraph" w:styleId="Kommentarthema">
    <w:name w:val="annotation subject"/>
    <w:basedOn w:val="Kommentartext"/>
    <w:next w:val="Kommentartext"/>
    <w:link w:val="KommentarthemaZchn"/>
    <w:uiPriority w:val="99"/>
    <w:semiHidden/>
    <w:unhideWhenUsed/>
    <w:rsid w:val="008667A6"/>
    <w:rPr>
      <w:b/>
      <w:bCs/>
    </w:rPr>
  </w:style>
  <w:style w:type="character" w:customStyle="1" w:styleId="KommentarthemaZchn">
    <w:name w:val="Kommentarthema Zchn"/>
    <w:basedOn w:val="KommentartextZchn"/>
    <w:link w:val="Kommentarthema"/>
    <w:uiPriority w:val="99"/>
    <w:semiHidden/>
    <w:rsid w:val="008667A6"/>
    <w:rPr>
      <w:b/>
      <w:bCs/>
      <w:sz w:val="20"/>
      <w:szCs w:val="20"/>
    </w:rPr>
  </w:style>
  <w:style w:type="character" w:styleId="BesuchterLink">
    <w:name w:val="FollowedHyperlink"/>
    <w:basedOn w:val="Absatz-Standardschriftart"/>
    <w:uiPriority w:val="99"/>
    <w:semiHidden/>
    <w:unhideWhenUsed/>
    <w:rsid w:val="008667A6"/>
    <w:rPr>
      <w:color w:val="800080" w:themeColor="followedHyperlink"/>
      <w:u w:val="single"/>
    </w:rPr>
  </w:style>
  <w:style w:type="paragraph" w:customStyle="1" w:styleId="Para">
    <w:name w:val="Para"/>
    <w:basedOn w:val="Standard"/>
    <w:link w:val="ParaCar"/>
    <w:autoRedefine/>
    <w:qFormat/>
    <w:rsid w:val="008A297A"/>
    <w:pPr>
      <w:widowControl w:val="0"/>
      <w:spacing w:after="120" w:line="240" w:lineRule="auto"/>
      <w:jc w:val="both"/>
    </w:pPr>
    <w:rPr>
      <w:rFonts w:eastAsia="Sylfaen" w:cstheme="minorHAnsi"/>
      <w:color w:val="C00000"/>
      <w:sz w:val="24"/>
      <w:szCs w:val="24"/>
      <w:lang w:eastAsia="fr-FR"/>
    </w:rPr>
  </w:style>
  <w:style w:type="character" w:customStyle="1" w:styleId="ParaCar">
    <w:name w:val="Para Car"/>
    <w:basedOn w:val="Absatz-Standardschriftart"/>
    <w:link w:val="Para"/>
    <w:rsid w:val="008A297A"/>
    <w:rPr>
      <w:rFonts w:eastAsia="Sylfaen" w:cstheme="minorHAnsi"/>
      <w:color w:val="C00000"/>
      <w:sz w:val="24"/>
      <w:szCs w:val="24"/>
      <w:lang w:eastAsia="fr-FR"/>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pPr>
      <w:spacing w:after="0" w:line="240" w:lineRule="auto"/>
    </w:pPr>
    <w:tblPr>
      <w:tblStyleRowBandSize w:val="1"/>
      <w:tblStyleColBandSize w:val="1"/>
    </w:tblPr>
  </w:style>
  <w:style w:type="table" w:customStyle="1" w:styleId="a0">
    <w:basedOn w:val="NormaleTabelle"/>
    <w:pPr>
      <w:spacing w:after="0" w:line="240" w:lineRule="auto"/>
    </w:pPr>
    <w:tblPr>
      <w:tblStyleRowBandSize w:val="1"/>
      <w:tblStyleColBandSize w:val="1"/>
    </w:tblPr>
  </w:style>
  <w:style w:type="table" w:customStyle="1" w:styleId="a1">
    <w:basedOn w:val="NormaleTabelle"/>
    <w:pPr>
      <w:spacing w:after="0" w:line="240" w:lineRule="auto"/>
    </w:pPr>
    <w:tblPr>
      <w:tblStyleRowBandSize w:val="1"/>
      <w:tblStyleColBandSize w:val="1"/>
    </w:tblPr>
  </w:style>
  <w:style w:type="table" w:customStyle="1" w:styleId="a2">
    <w:basedOn w:val="NormaleTabelle"/>
    <w:pPr>
      <w:spacing w:after="0" w:line="240" w:lineRule="auto"/>
    </w:pPr>
    <w:tblPr>
      <w:tblStyleRowBandSize w:val="1"/>
      <w:tblStyleColBandSize w:val="1"/>
    </w:tblPr>
  </w:style>
  <w:style w:type="table" w:customStyle="1" w:styleId="a3">
    <w:basedOn w:val="NormaleTabelle"/>
    <w:pPr>
      <w:spacing w:after="0" w:line="240" w:lineRule="auto"/>
    </w:pPr>
    <w:tblPr>
      <w:tblStyleRowBandSize w:val="1"/>
      <w:tblStyleColBandSize w:val="1"/>
    </w:tblPr>
  </w:style>
  <w:style w:type="table" w:customStyle="1" w:styleId="a4">
    <w:basedOn w:val="NormaleTabelle"/>
    <w:pPr>
      <w:spacing w:after="0" w:line="240" w:lineRule="auto"/>
    </w:pPr>
    <w:tblPr>
      <w:tblStyleRowBandSize w:val="1"/>
      <w:tblStyleColBandSize w:val="1"/>
    </w:tblPr>
  </w:style>
  <w:style w:type="table" w:customStyle="1" w:styleId="a5">
    <w:basedOn w:val="NormaleTabelle"/>
    <w:pPr>
      <w:spacing w:after="0" w:line="240" w:lineRule="auto"/>
    </w:pPr>
    <w:tblPr>
      <w:tblStyleRowBandSize w:val="1"/>
      <w:tblStyleColBandSize w:val="1"/>
    </w:tblPr>
  </w:style>
  <w:style w:type="table" w:customStyle="1" w:styleId="a6">
    <w:basedOn w:val="NormaleTabelle"/>
    <w:pPr>
      <w:spacing w:after="0" w:line="240" w:lineRule="auto"/>
    </w:pPr>
    <w:tblPr>
      <w:tblStyleRowBandSize w:val="1"/>
      <w:tblStyleColBandSize w:val="1"/>
    </w:tblPr>
  </w:style>
  <w:style w:type="table" w:customStyle="1" w:styleId="a7">
    <w:basedOn w:val="NormaleTabelle"/>
    <w:pPr>
      <w:spacing w:after="0" w:line="240" w:lineRule="auto"/>
    </w:pPr>
    <w:tblPr>
      <w:tblStyleRowBandSize w:val="1"/>
      <w:tblStyleColBandSize w:val="1"/>
    </w:tblPr>
  </w:style>
  <w:style w:type="table" w:customStyle="1" w:styleId="a8">
    <w:basedOn w:val="NormaleTabelle"/>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RjejeMA9NDHfb8hhMilXV2PrN8g==">AMUW2mWUAQg6cL3vnwOB4Dy+9VEcAEMlYegyFO3ykQHBUeh3cv5roiiIQofCxiTITaJQWjC8vVG1VwCrMKL+6sgixLuT1D5wmUecbg0PtZ4ssiQlv4E7xBuycC9zypLnS96omNyj70DW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E0263-DEAD-4721-98A5-9432467E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8E46386-B551-4610-93C8-345E2A27D9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646404-005A-4B8A-A90E-25F07BA3D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5254</Words>
  <Characters>33105</Characters>
  <Application>Microsoft Office Word</Application>
  <DocSecurity>0</DocSecurity>
  <Lines>275</Lines>
  <Paragraphs>76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BIKARDEN SAMIRA</dc:creator>
  <cp:lastModifiedBy>Allacher Harald (OeRK)</cp:lastModifiedBy>
  <cp:revision>2</cp:revision>
  <dcterms:created xsi:type="dcterms:W3CDTF">2022-06-09T11:11:00Z</dcterms:created>
  <dcterms:modified xsi:type="dcterms:W3CDTF">2022-06-09T11:11:00Z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