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A3401" w14:textId="0E2C175F" w:rsidR="00B94C85" w:rsidRPr="004E4DE2" w:rsidRDefault="00B94C85" w:rsidP="00B94C85">
      <w:pPr>
        <w:jc w:val="right"/>
        <w:rPr>
          <w:rFonts w:ascii="Times New Roman" w:eastAsia="Times New Roman" w:hAnsi="Times New Roman" w:cs="Times New Roman"/>
          <w:sz w:val="22"/>
          <w:szCs w:val="22"/>
        </w:rPr>
      </w:pPr>
      <w:r w:rsidRPr="004E4DE2">
        <w:rPr>
          <w:rFonts w:ascii="Times New Roman" w:eastAsia="Times New Roman" w:hAnsi="Times New Roman" w:cs="Times New Roman"/>
          <w:sz w:val="22"/>
          <w:szCs w:val="22"/>
        </w:rPr>
        <w:t xml:space="preserve">Bogotá, </w:t>
      </w:r>
      <w:r w:rsidR="00EF22AD">
        <w:rPr>
          <w:rFonts w:ascii="Times New Roman" w:eastAsia="Times New Roman" w:hAnsi="Times New Roman" w:cs="Times New Roman"/>
          <w:sz w:val="22"/>
          <w:szCs w:val="22"/>
        </w:rPr>
        <w:t>May,</w:t>
      </w:r>
      <w:r w:rsidR="009149BC">
        <w:rPr>
          <w:rFonts w:ascii="Times New Roman" w:eastAsia="Times New Roman" w:hAnsi="Times New Roman" w:cs="Times New Roman"/>
          <w:sz w:val="22"/>
          <w:szCs w:val="22"/>
        </w:rPr>
        <w:t xml:space="preserve"> </w:t>
      </w:r>
      <w:r w:rsidR="0031548C" w:rsidRPr="0031548C">
        <w:rPr>
          <w:rFonts w:ascii="Times New Roman" w:eastAsia="Times New Roman" w:hAnsi="Times New Roman" w:cs="Times New Roman"/>
          <w:sz w:val="22"/>
          <w:szCs w:val="22"/>
        </w:rPr>
        <w:t>2022</w:t>
      </w:r>
    </w:p>
    <w:p w14:paraId="7399E8D8" w14:textId="77777777" w:rsidR="00B94C85" w:rsidRPr="004E4DE2" w:rsidRDefault="00B94C85" w:rsidP="00B94C85">
      <w:pPr>
        <w:jc w:val="both"/>
        <w:rPr>
          <w:rFonts w:ascii="Times New Roman" w:eastAsia="Times New Roman" w:hAnsi="Times New Roman" w:cs="Times New Roman"/>
          <w:sz w:val="22"/>
          <w:szCs w:val="22"/>
        </w:rPr>
      </w:pPr>
    </w:p>
    <w:p w14:paraId="7286A88B" w14:textId="0F874C63" w:rsidR="00B94C85" w:rsidRPr="004E4DE2" w:rsidRDefault="00B94C85" w:rsidP="00B94C85">
      <w:pPr>
        <w:jc w:val="both"/>
        <w:rPr>
          <w:rFonts w:ascii="Times New Roman" w:eastAsia="Times New Roman" w:hAnsi="Times New Roman" w:cs="Times New Roman"/>
          <w:b/>
          <w:sz w:val="22"/>
          <w:szCs w:val="22"/>
          <w:lang w:val="en-US"/>
        </w:rPr>
      </w:pPr>
      <w:r w:rsidRPr="004E4DE2">
        <w:rPr>
          <w:rFonts w:ascii="Times New Roman" w:eastAsia="Times New Roman" w:hAnsi="Times New Roman" w:cs="Times New Roman"/>
          <w:b/>
          <w:sz w:val="22"/>
          <w:szCs w:val="22"/>
          <w:lang w:val="en-US"/>
        </w:rPr>
        <w:t xml:space="preserve">Secretariat of </w:t>
      </w:r>
      <w:r w:rsidR="00940610">
        <w:rPr>
          <w:rFonts w:ascii="Times New Roman" w:eastAsia="Times New Roman" w:hAnsi="Times New Roman" w:cs="Times New Roman"/>
          <w:b/>
          <w:sz w:val="22"/>
          <w:szCs w:val="22"/>
          <w:lang w:val="en-US"/>
        </w:rPr>
        <w:t xml:space="preserve">the </w:t>
      </w:r>
      <w:r w:rsidRPr="004E4DE2">
        <w:rPr>
          <w:rFonts w:ascii="Times New Roman" w:eastAsia="Times New Roman" w:hAnsi="Times New Roman" w:cs="Times New Roman"/>
          <w:b/>
          <w:sz w:val="22"/>
          <w:szCs w:val="22"/>
          <w:lang w:val="en-US"/>
        </w:rPr>
        <w:t>Human Rights Committee</w:t>
      </w:r>
    </w:p>
    <w:p w14:paraId="32FCC2ED" w14:textId="77777777" w:rsidR="00B94C85" w:rsidRPr="004E4DE2" w:rsidRDefault="00B94C85" w:rsidP="00B94C85">
      <w:pPr>
        <w:jc w:val="both"/>
        <w:rPr>
          <w:rFonts w:ascii="Times New Roman" w:eastAsia="Times New Roman" w:hAnsi="Times New Roman" w:cs="Times New Roman"/>
          <w:sz w:val="22"/>
          <w:szCs w:val="22"/>
          <w:lang w:val="en-US"/>
        </w:rPr>
      </w:pPr>
      <w:r w:rsidRPr="004E4DE2">
        <w:rPr>
          <w:rFonts w:ascii="Times New Roman" w:eastAsia="Times New Roman" w:hAnsi="Times New Roman" w:cs="Times New Roman"/>
          <w:sz w:val="22"/>
          <w:szCs w:val="22"/>
          <w:lang w:val="en-US"/>
        </w:rPr>
        <w:t>Office of the United Nations High Commissioner for Human Rights</w:t>
      </w:r>
    </w:p>
    <w:p w14:paraId="25CEBD44" w14:textId="77777777" w:rsidR="00B94C85" w:rsidRPr="004E4DE2" w:rsidRDefault="00B94C85" w:rsidP="00B94C85">
      <w:pPr>
        <w:jc w:val="both"/>
        <w:rPr>
          <w:rFonts w:ascii="Times New Roman" w:eastAsia="Times New Roman" w:hAnsi="Times New Roman" w:cs="Times New Roman"/>
          <w:sz w:val="22"/>
          <w:szCs w:val="22"/>
          <w:lang w:val="fr-CA"/>
        </w:rPr>
      </w:pPr>
      <w:r w:rsidRPr="004E4DE2">
        <w:rPr>
          <w:rFonts w:ascii="Times New Roman" w:eastAsia="Times New Roman" w:hAnsi="Times New Roman" w:cs="Times New Roman"/>
          <w:sz w:val="22"/>
          <w:szCs w:val="22"/>
          <w:lang w:val="fr-CA"/>
        </w:rPr>
        <w:t xml:space="preserve">Palais Wilson – 52, rue des Pâquis CH-1201 </w:t>
      </w:r>
    </w:p>
    <w:p w14:paraId="073F91E7" w14:textId="77777777" w:rsidR="00B94C85" w:rsidRPr="004E4DE2" w:rsidRDefault="00B94C85" w:rsidP="00B94C85">
      <w:pPr>
        <w:jc w:val="both"/>
        <w:rPr>
          <w:rFonts w:ascii="Times New Roman" w:eastAsia="Times New Roman" w:hAnsi="Times New Roman" w:cs="Times New Roman"/>
          <w:sz w:val="22"/>
          <w:szCs w:val="22"/>
          <w:lang w:val="en-US"/>
        </w:rPr>
      </w:pPr>
      <w:r w:rsidRPr="004E4DE2">
        <w:rPr>
          <w:rFonts w:ascii="Times New Roman" w:eastAsia="Times New Roman" w:hAnsi="Times New Roman" w:cs="Times New Roman"/>
          <w:sz w:val="22"/>
          <w:szCs w:val="22"/>
          <w:lang w:val="en-US"/>
        </w:rPr>
        <w:t xml:space="preserve">Geneva (Switzerland) </w:t>
      </w:r>
    </w:p>
    <w:p w14:paraId="2CCD073D" w14:textId="77777777" w:rsidR="00B94C85" w:rsidRPr="004E4DE2" w:rsidRDefault="00B94C85" w:rsidP="00B94C85">
      <w:pPr>
        <w:jc w:val="both"/>
        <w:rPr>
          <w:rFonts w:ascii="Times New Roman" w:eastAsia="Times New Roman" w:hAnsi="Times New Roman" w:cs="Times New Roman"/>
          <w:sz w:val="22"/>
          <w:szCs w:val="22"/>
          <w:lang w:val="en-US"/>
        </w:rPr>
      </w:pPr>
    </w:p>
    <w:p w14:paraId="509B6B1A" w14:textId="6162F403" w:rsidR="00B94C85" w:rsidRPr="004E4DE2" w:rsidRDefault="00B94C85" w:rsidP="00B94C85">
      <w:pPr>
        <w:ind w:left="3960"/>
        <w:jc w:val="both"/>
        <w:rPr>
          <w:rFonts w:ascii="Times New Roman" w:eastAsia="Times New Roman" w:hAnsi="Times New Roman" w:cs="Times New Roman"/>
          <w:b/>
          <w:sz w:val="22"/>
          <w:szCs w:val="22"/>
          <w:lang w:val="en-US"/>
        </w:rPr>
      </w:pPr>
      <w:r w:rsidRPr="004E4DE2">
        <w:rPr>
          <w:rFonts w:ascii="Times New Roman" w:eastAsia="Times New Roman" w:hAnsi="Times New Roman" w:cs="Times New Roman"/>
          <w:b/>
          <w:sz w:val="22"/>
          <w:szCs w:val="22"/>
          <w:lang w:val="en-US"/>
        </w:rPr>
        <w:t>Re: Independent information on</w:t>
      </w:r>
      <w:r w:rsidR="00D535B2">
        <w:rPr>
          <w:rFonts w:ascii="Times New Roman" w:eastAsia="Times New Roman" w:hAnsi="Times New Roman" w:cs="Times New Roman"/>
          <w:b/>
          <w:sz w:val="22"/>
          <w:szCs w:val="22"/>
          <w:lang w:val="en-US"/>
        </w:rPr>
        <w:t xml:space="preserve"> Colombia</w:t>
      </w:r>
      <w:r w:rsidRPr="004E4DE2">
        <w:rPr>
          <w:rFonts w:ascii="Times New Roman" w:eastAsia="Times New Roman" w:hAnsi="Times New Roman" w:cs="Times New Roman"/>
          <w:b/>
          <w:sz w:val="22"/>
          <w:szCs w:val="22"/>
          <w:lang w:val="en-US"/>
        </w:rPr>
        <w:t xml:space="preserve">, submitted for consideration by the Human Rights Committee (the “Committee”) for the </w:t>
      </w:r>
      <w:r w:rsidR="00D309B0">
        <w:rPr>
          <w:rFonts w:ascii="Times New Roman" w:eastAsia="Times New Roman" w:hAnsi="Times New Roman" w:cs="Times New Roman"/>
          <w:b/>
          <w:sz w:val="22"/>
          <w:szCs w:val="22"/>
          <w:lang w:val="en-US"/>
        </w:rPr>
        <w:t>136th</w:t>
      </w:r>
      <w:r w:rsidRPr="004E4DE2">
        <w:rPr>
          <w:rFonts w:ascii="Times New Roman" w:eastAsia="Times New Roman" w:hAnsi="Times New Roman" w:cs="Times New Roman"/>
          <w:b/>
          <w:sz w:val="22"/>
          <w:szCs w:val="22"/>
          <w:lang w:val="en-US"/>
        </w:rPr>
        <w:t xml:space="preserve"> Session </w:t>
      </w:r>
    </w:p>
    <w:p w14:paraId="7568AA45" w14:textId="77777777" w:rsidR="00B94C85" w:rsidRPr="004E4DE2" w:rsidRDefault="00B94C85" w:rsidP="00B94C85">
      <w:pPr>
        <w:jc w:val="both"/>
        <w:rPr>
          <w:rFonts w:ascii="Times New Roman" w:eastAsia="Times New Roman" w:hAnsi="Times New Roman" w:cs="Times New Roman"/>
          <w:b/>
          <w:sz w:val="22"/>
          <w:szCs w:val="22"/>
          <w:lang w:val="en-US"/>
        </w:rPr>
      </w:pPr>
    </w:p>
    <w:p w14:paraId="4B591380" w14:textId="1A486F6E" w:rsidR="00B94C85" w:rsidRPr="004E4DE2" w:rsidRDefault="00B94C85" w:rsidP="00B94C85">
      <w:pPr>
        <w:jc w:val="both"/>
        <w:rPr>
          <w:rFonts w:ascii="Times New Roman" w:eastAsia="Times New Roman" w:hAnsi="Times New Roman" w:cs="Times New Roman"/>
          <w:sz w:val="22"/>
          <w:szCs w:val="22"/>
          <w:lang w:val="en-US"/>
        </w:rPr>
      </w:pPr>
      <w:r w:rsidRPr="004E4DE2">
        <w:rPr>
          <w:rFonts w:ascii="Times New Roman" w:eastAsia="Times New Roman" w:hAnsi="Times New Roman" w:cs="Times New Roman"/>
          <w:sz w:val="22"/>
          <w:szCs w:val="22"/>
          <w:lang w:val="en-US"/>
        </w:rPr>
        <w:t>Distinguished Committee members</w:t>
      </w:r>
      <w:r w:rsidR="00C34B55">
        <w:rPr>
          <w:rFonts w:ascii="Times New Roman" w:eastAsia="Times New Roman" w:hAnsi="Times New Roman" w:cs="Times New Roman"/>
          <w:sz w:val="22"/>
          <w:szCs w:val="22"/>
          <w:lang w:val="en-US"/>
        </w:rPr>
        <w:t>,</w:t>
      </w:r>
    </w:p>
    <w:p w14:paraId="334DE7D9" w14:textId="77777777" w:rsidR="00B94C85" w:rsidRPr="006D34F4" w:rsidRDefault="00B94C85" w:rsidP="00B94C85">
      <w:pPr>
        <w:ind w:left="2268"/>
        <w:jc w:val="both"/>
        <w:rPr>
          <w:rFonts w:ascii="Times New Roman" w:eastAsia="Times New Roman" w:hAnsi="Times New Roman" w:cs="Times New Roman"/>
          <w:sz w:val="22"/>
          <w:szCs w:val="22"/>
          <w:lang w:val="en-US"/>
        </w:rPr>
      </w:pPr>
    </w:p>
    <w:p w14:paraId="35A099CB" w14:textId="291D9E62" w:rsidR="006D34F4" w:rsidRPr="006D34F4" w:rsidRDefault="006D34F4" w:rsidP="006D34F4">
      <w:pPr>
        <w:jc w:val="both"/>
        <w:rPr>
          <w:rFonts w:ascii="Times New Roman" w:hAnsi="Times New Roman" w:cs="Times New Roman"/>
          <w:sz w:val="22"/>
          <w:szCs w:val="22"/>
        </w:rPr>
      </w:pPr>
      <w:r w:rsidRPr="7772421C">
        <w:rPr>
          <w:rFonts w:ascii="Times New Roman" w:hAnsi="Times New Roman" w:cs="Times New Roman"/>
          <w:sz w:val="22"/>
          <w:szCs w:val="22"/>
        </w:rPr>
        <w:t xml:space="preserve">The Center for Reproductive Rights (the </w:t>
      </w:r>
      <w:r w:rsidR="002209B2" w:rsidRPr="7772421C">
        <w:rPr>
          <w:rFonts w:ascii="Times New Roman" w:hAnsi="Times New Roman" w:cs="Times New Roman"/>
          <w:sz w:val="22"/>
          <w:szCs w:val="22"/>
        </w:rPr>
        <w:t>Center) —</w:t>
      </w:r>
      <w:r w:rsidRPr="7772421C">
        <w:rPr>
          <w:rFonts w:ascii="Times New Roman" w:hAnsi="Times New Roman" w:cs="Times New Roman"/>
          <w:sz w:val="22"/>
          <w:szCs w:val="22"/>
        </w:rPr>
        <w:t>an international non-profit legal advocacy organization headquartered in New York City, with regional offices in Nairobi, Bogotá, Kathmandu, Geneva, and Washington, D.C.—uses the law to advance reproductive freedom as a fundamental human right that all governments are legally obligated to respect, protect, and fulfil.  The Center seeks to contribute to the Committee’s elaboration of the List of Issues (L</w:t>
      </w:r>
      <w:r w:rsidR="00AE19CB">
        <w:rPr>
          <w:rFonts w:ascii="Times New Roman" w:hAnsi="Times New Roman" w:cs="Times New Roman"/>
          <w:sz w:val="22"/>
          <w:szCs w:val="22"/>
        </w:rPr>
        <w:t>O</w:t>
      </w:r>
      <w:r w:rsidRPr="7772421C">
        <w:rPr>
          <w:rFonts w:ascii="Times New Roman" w:hAnsi="Times New Roman" w:cs="Times New Roman"/>
          <w:sz w:val="22"/>
          <w:szCs w:val="22"/>
        </w:rPr>
        <w:t xml:space="preserve">Is) for </w:t>
      </w:r>
      <w:r w:rsidR="00DB53FC">
        <w:rPr>
          <w:rFonts w:ascii="Times New Roman" w:hAnsi="Times New Roman" w:cs="Times New Roman"/>
          <w:sz w:val="22"/>
          <w:szCs w:val="22"/>
        </w:rPr>
        <w:t>Colombia</w:t>
      </w:r>
      <w:r w:rsidRPr="7772421C">
        <w:rPr>
          <w:rFonts w:ascii="Times New Roman" w:hAnsi="Times New Roman" w:cs="Times New Roman"/>
          <w:sz w:val="22"/>
          <w:szCs w:val="22"/>
        </w:rPr>
        <w:t xml:space="preserve"> by providing independent information concerning </w:t>
      </w:r>
      <w:r w:rsidR="00DB53FC" w:rsidRPr="00DB53FC">
        <w:rPr>
          <w:rFonts w:ascii="Times New Roman" w:hAnsi="Times New Roman" w:cs="Times New Roman"/>
          <w:sz w:val="22"/>
          <w:szCs w:val="22"/>
          <w:lang w:val="en-US"/>
        </w:rPr>
        <w:t>Colombia</w:t>
      </w:r>
      <w:r w:rsidRPr="00DB53FC">
        <w:rPr>
          <w:rFonts w:ascii="Times New Roman" w:hAnsi="Times New Roman" w:cs="Times New Roman"/>
          <w:sz w:val="22"/>
          <w:szCs w:val="22"/>
          <w:lang w:val="en-US"/>
        </w:rPr>
        <w:t>’s</w:t>
      </w:r>
      <w:r w:rsidRPr="7772421C">
        <w:rPr>
          <w:rFonts w:ascii="Times New Roman" w:hAnsi="Times New Roman" w:cs="Times New Roman"/>
          <w:sz w:val="22"/>
          <w:szCs w:val="22"/>
        </w:rPr>
        <w:t xml:space="preserve"> compliance with its obligations to</w:t>
      </w:r>
      <w:r w:rsidR="2F36A663" w:rsidRPr="7772421C">
        <w:rPr>
          <w:rFonts w:ascii="Times New Roman" w:hAnsi="Times New Roman" w:cs="Times New Roman"/>
          <w:sz w:val="22"/>
          <w:szCs w:val="22"/>
        </w:rPr>
        <w:t xml:space="preserve"> respect,</w:t>
      </w:r>
      <w:r w:rsidRPr="7772421C">
        <w:rPr>
          <w:rFonts w:ascii="Times New Roman" w:hAnsi="Times New Roman" w:cs="Times New Roman"/>
          <w:sz w:val="22"/>
          <w:szCs w:val="22"/>
        </w:rPr>
        <w:t> protect, and fulfil the rights protected under the International Covenant on Civil and Political Rights (the “ICCPR”). </w:t>
      </w:r>
    </w:p>
    <w:p w14:paraId="5920561D" w14:textId="77777777" w:rsidR="00B94C85" w:rsidRPr="004E4DE2" w:rsidRDefault="00B94C85" w:rsidP="00B94C85">
      <w:pPr>
        <w:jc w:val="both"/>
        <w:rPr>
          <w:rFonts w:ascii="Times New Roman" w:eastAsia="Times New Roman" w:hAnsi="Times New Roman" w:cs="Times New Roman"/>
          <w:sz w:val="22"/>
          <w:szCs w:val="22"/>
          <w:lang w:val="en-US"/>
        </w:rPr>
      </w:pPr>
    </w:p>
    <w:p w14:paraId="56AEE23B" w14:textId="295CB251" w:rsidR="00F06218" w:rsidRPr="002209B2" w:rsidRDefault="00B94C85" w:rsidP="00B94C85">
      <w:pPr>
        <w:jc w:val="both"/>
        <w:rPr>
          <w:rFonts w:ascii="Times New Roman" w:eastAsia="Times New Roman" w:hAnsi="Times New Roman" w:cs="Times New Roman"/>
          <w:sz w:val="22"/>
          <w:szCs w:val="22"/>
          <w:lang w:val="en-US"/>
        </w:rPr>
      </w:pPr>
      <w:r w:rsidRPr="004E4DE2">
        <w:rPr>
          <w:rFonts w:ascii="Times New Roman" w:eastAsia="Times New Roman" w:hAnsi="Times New Roman" w:cs="Times New Roman"/>
          <w:sz w:val="22"/>
          <w:szCs w:val="22"/>
          <w:lang w:val="en-US"/>
        </w:rPr>
        <w:t>This document focuses on:</w:t>
      </w:r>
      <w:r w:rsidRPr="004E4DE2">
        <w:rPr>
          <w:rFonts w:ascii="Times New Roman" w:hAnsi="Times New Roman" w:cs="Times New Roman"/>
          <w:sz w:val="22"/>
          <w:szCs w:val="22"/>
          <w:lang w:val="en-US"/>
        </w:rPr>
        <w:t xml:space="preserve"> (</w:t>
      </w:r>
      <w:r w:rsidRPr="004E4DE2">
        <w:rPr>
          <w:rFonts w:ascii="Times New Roman" w:hAnsi="Times New Roman" w:cs="Times New Roman"/>
          <w:b/>
          <w:bCs/>
          <w:sz w:val="22"/>
          <w:szCs w:val="22"/>
          <w:lang w:val="en-US"/>
        </w:rPr>
        <w:t>I</w:t>
      </w:r>
      <w:r w:rsidRPr="004E4DE2">
        <w:rPr>
          <w:rFonts w:ascii="Times New Roman" w:hAnsi="Times New Roman" w:cs="Times New Roman"/>
          <w:sz w:val="22"/>
          <w:szCs w:val="22"/>
          <w:lang w:val="en-US"/>
        </w:rPr>
        <w:t>)</w:t>
      </w:r>
      <w:r w:rsidRPr="004E4DE2" w:rsidDel="00F73972">
        <w:rPr>
          <w:rFonts w:ascii="Times New Roman" w:hAnsi="Times New Roman" w:cs="Times New Roman"/>
          <w:sz w:val="22"/>
          <w:szCs w:val="22"/>
          <w:lang w:val="en-US"/>
        </w:rPr>
        <w:t xml:space="preserve"> </w:t>
      </w:r>
      <w:r w:rsidR="00AC74F8">
        <w:rPr>
          <w:rFonts w:ascii="Times New Roman" w:hAnsi="Times New Roman" w:cs="Times New Roman"/>
          <w:sz w:val="22"/>
          <w:szCs w:val="22"/>
          <w:lang w:val="en-US"/>
        </w:rPr>
        <w:t xml:space="preserve">the impacts of </w:t>
      </w:r>
      <w:r w:rsidR="00CA6D8C" w:rsidRPr="004F5E1A">
        <w:rPr>
          <w:rFonts w:ascii="Times New Roman" w:hAnsi="Times New Roman" w:cs="Times New Roman"/>
          <w:b/>
          <w:bCs/>
          <w:i/>
          <w:iCs/>
          <w:sz w:val="22"/>
          <w:szCs w:val="22"/>
          <w:lang w:val="en-US"/>
        </w:rPr>
        <w:t xml:space="preserve">“ </w:t>
      </w:r>
      <w:r w:rsidR="00AC74F8" w:rsidRPr="004F5E1A">
        <w:rPr>
          <w:rFonts w:ascii="Times New Roman" w:hAnsi="Times New Roman" w:cs="Times New Roman"/>
          <w:b/>
          <w:bCs/>
          <w:i/>
          <w:iCs/>
          <w:sz w:val="22"/>
          <w:szCs w:val="22"/>
          <w:lang w:val="en-US"/>
        </w:rPr>
        <w:t>the</w:t>
      </w:r>
      <w:r w:rsidR="00CA6D8C" w:rsidRPr="004F5E1A">
        <w:rPr>
          <w:rFonts w:ascii="Times New Roman" w:hAnsi="Times New Roman" w:cs="Times New Roman"/>
          <w:b/>
          <w:bCs/>
          <w:i/>
          <w:iCs/>
          <w:sz w:val="22"/>
          <w:szCs w:val="22"/>
          <w:lang w:val="en-US"/>
        </w:rPr>
        <w:t xml:space="preserve"> </w:t>
      </w:r>
      <w:r w:rsidR="00CA6D8C" w:rsidRPr="002209B2">
        <w:rPr>
          <w:rFonts w:ascii="Times New Roman" w:hAnsi="Times New Roman" w:cs="Times New Roman"/>
          <w:b/>
          <w:bCs/>
          <w:i/>
          <w:iCs/>
          <w:sz w:val="22"/>
          <w:szCs w:val="22"/>
          <w:lang w:val="en-US"/>
        </w:rPr>
        <w:t xml:space="preserve">Illicit Crop Eradication Program using aerial spraying with the herbicide Glyphosate </w:t>
      </w:r>
      <w:proofErr w:type="spellStart"/>
      <w:r w:rsidR="007D7ADA" w:rsidRPr="002209B2">
        <w:rPr>
          <w:rFonts w:ascii="Times New Roman" w:hAnsi="Times New Roman" w:cs="Times New Roman"/>
          <w:b/>
          <w:bCs/>
          <w:i/>
          <w:iCs/>
          <w:sz w:val="22"/>
          <w:szCs w:val="22"/>
          <w:lang w:val="en-US"/>
        </w:rPr>
        <w:t>glyphosate</w:t>
      </w:r>
      <w:proofErr w:type="spellEnd"/>
      <w:r w:rsidR="00CA6D8C" w:rsidRPr="002209B2">
        <w:rPr>
          <w:rFonts w:ascii="Times New Roman" w:hAnsi="Times New Roman" w:cs="Times New Roman"/>
          <w:b/>
          <w:bCs/>
          <w:i/>
          <w:iCs/>
          <w:sz w:val="22"/>
          <w:szCs w:val="22"/>
          <w:lang w:val="en-US"/>
        </w:rPr>
        <w:t>”</w:t>
      </w:r>
      <w:r w:rsidR="00CA6D8C" w:rsidRPr="002209B2">
        <w:rPr>
          <w:rFonts w:ascii="Times New Roman" w:hAnsi="Times New Roman" w:cs="Times New Roman"/>
          <w:sz w:val="22"/>
          <w:szCs w:val="22"/>
          <w:lang w:val="en-US"/>
        </w:rPr>
        <w:t xml:space="preserve"> (here</w:t>
      </w:r>
      <w:r w:rsidR="00557AE7" w:rsidRPr="002209B2">
        <w:rPr>
          <w:rFonts w:ascii="Times New Roman" w:hAnsi="Times New Roman" w:cs="Times New Roman"/>
          <w:sz w:val="22"/>
          <w:szCs w:val="22"/>
          <w:lang w:val="en-US"/>
        </w:rPr>
        <w:t xml:space="preserve">inafter </w:t>
      </w:r>
      <w:r w:rsidR="00CA6D8C" w:rsidRPr="002209B2">
        <w:rPr>
          <w:rFonts w:ascii="Times New Roman" w:hAnsi="Times New Roman" w:cs="Times New Roman"/>
          <w:sz w:val="22"/>
          <w:szCs w:val="22"/>
          <w:lang w:val="en-US"/>
        </w:rPr>
        <w:t xml:space="preserve"> PECIG)</w:t>
      </w:r>
      <w:r w:rsidR="002057AE" w:rsidRPr="002209B2">
        <w:rPr>
          <w:rFonts w:ascii="Times New Roman" w:hAnsi="Times New Roman" w:cs="Times New Roman"/>
          <w:sz w:val="22"/>
          <w:szCs w:val="22"/>
          <w:lang w:val="en-US"/>
        </w:rPr>
        <w:t>, applied by the Colombian Government</w:t>
      </w:r>
      <w:r w:rsidR="004B0AB6" w:rsidRPr="002209B2">
        <w:rPr>
          <w:rFonts w:ascii="Times New Roman" w:hAnsi="Times New Roman" w:cs="Times New Roman"/>
          <w:sz w:val="22"/>
          <w:szCs w:val="22"/>
          <w:lang w:val="en-US"/>
        </w:rPr>
        <w:t xml:space="preserve">, </w:t>
      </w:r>
      <w:r w:rsidR="002057AE" w:rsidRPr="002209B2">
        <w:rPr>
          <w:rFonts w:ascii="Times New Roman" w:hAnsi="Times New Roman" w:cs="Times New Roman"/>
          <w:sz w:val="22"/>
          <w:szCs w:val="22"/>
          <w:lang w:val="en-US"/>
        </w:rPr>
        <w:t xml:space="preserve">on </w:t>
      </w:r>
      <w:r w:rsidR="00B92EE4" w:rsidRPr="002209B2">
        <w:rPr>
          <w:rFonts w:ascii="Times New Roman" w:hAnsi="Times New Roman" w:cs="Times New Roman"/>
          <w:sz w:val="22"/>
          <w:szCs w:val="22"/>
          <w:lang w:val="en-US"/>
        </w:rPr>
        <w:t>reproductive rights</w:t>
      </w:r>
      <w:r w:rsidR="00FB3967" w:rsidRPr="002209B2">
        <w:rPr>
          <w:rFonts w:ascii="Times New Roman" w:hAnsi="Times New Roman" w:cs="Times New Roman"/>
          <w:sz w:val="22"/>
          <w:szCs w:val="22"/>
          <w:lang w:val="en-US"/>
        </w:rPr>
        <w:t>,</w:t>
      </w:r>
      <w:r w:rsidR="00FB3967" w:rsidRPr="002209B2">
        <w:t xml:space="preserve"> </w:t>
      </w:r>
      <w:r w:rsidR="00FB3967" w:rsidRPr="002209B2">
        <w:rPr>
          <w:rFonts w:ascii="Times New Roman" w:hAnsi="Times New Roman" w:cs="Times New Roman"/>
          <w:sz w:val="22"/>
          <w:szCs w:val="22"/>
          <w:lang w:val="en-US"/>
        </w:rPr>
        <w:t xml:space="preserve">particularly of rural women </w:t>
      </w:r>
      <w:r w:rsidRPr="002209B2">
        <w:rPr>
          <w:rFonts w:ascii="Times New Roman" w:hAnsi="Times New Roman" w:cs="Times New Roman"/>
          <w:sz w:val="22"/>
          <w:szCs w:val="22"/>
          <w:lang w:val="en-US"/>
        </w:rPr>
        <w:t>; (</w:t>
      </w:r>
      <w:r w:rsidRPr="002209B2">
        <w:rPr>
          <w:rFonts w:ascii="Times New Roman" w:hAnsi="Times New Roman" w:cs="Times New Roman"/>
          <w:b/>
          <w:bCs/>
          <w:sz w:val="22"/>
          <w:szCs w:val="22"/>
          <w:lang w:val="en-US"/>
        </w:rPr>
        <w:t>II</w:t>
      </w:r>
      <w:r w:rsidRPr="002209B2">
        <w:rPr>
          <w:rFonts w:ascii="Times New Roman" w:hAnsi="Times New Roman" w:cs="Times New Roman"/>
          <w:sz w:val="22"/>
          <w:szCs w:val="22"/>
          <w:lang w:val="en-US"/>
        </w:rPr>
        <w:t>)</w:t>
      </w:r>
      <w:r w:rsidRPr="002209B2" w:rsidDel="00F73972">
        <w:rPr>
          <w:rFonts w:ascii="Times New Roman" w:hAnsi="Times New Roman" w:cs="Times New Roman"/>
          <w:sz w:val="22"/>
          <w:szCs w:val="22"/>
          <w:lang w:val="en-US"/>
        </w:rPr>
        <w:t xml:space="preserve"> </w:t>
      </w:r>
      <w:r w:rsidR="00020568" w:rsidRPr="002209B2">
        <w:rPr>
          <w:rFonts w:ascii="Times New Roman" w:hAnsi="Times New Roman" w:cs="Times New Roman"/>
          <w:sz w:val="22"/>
          <w:szCs w:val="22"/>
          <w:lang w:val="en-US"/>
        </w:rPr>
        <w:t xml:space="preserve">the implementation </w:t>
      </w:r>
      <w:r w:rsidR="00A2563F" w:rsidRPr="002209B2">
        <w:rPr>
          <w:rFonts w:ascii="Times New Roman" w:hAnsi="Times New Roman" w:cs="Times New Roman"/>
          <w:sz w:val="22"/>
          <w:szCs w:val="22"/>
          <w:lang w:val="en-US"/>
        </w:rPr>
        <w:t xml:space="preserve">of the </w:t>
      </w:r>
      <w:r w:rsidR="00FB3967" w:rsidRPr="002209B2">
        <w:rPr>
          <w:rFonts w:ascii="Times New Roman" w:hAnsi="Times New Roman" w:cs="Times New Roman"/>
          <w:sz w:val="22"/>
          <w:szCs w:val="22"/>
          <w:lang w:val="en-US"/>
        </w:rPr>
        <w:t xml:space="preserve">landmark decision </w:t>
      </w:r>
      <w:r w:rsidR="00A2563F" w:rsidRPr="002209B2">
        <w:rPr>
          <w:rFonts w:ascii="Times New Roman" w:hAnsi="Times New Roman" w:cs="Times New Roman"/>
          <w:sz w:val="22"/>
          <w:szCs w:val="22"/>
          <w:lang w:val="en-US"/>
        </w:rPr>
        <w:t>C-055</w:t>
      </w:r>
      <w:r w:rsidR="006F3B7A" w:rsidRPr="002209B2">
        <w:rPr>
          <w:rFonts w:ascii="Times New Roman" w:hAnsi="Times New Roman" w:cs="Times New Roman"/>
          <w:sz w:val="22"/>
          <w:szCs w:val="22"/>
          <w:lang w:val="en-US"/>
        </w:rPr>
        <w:t>/</w:t>
      </w:r>
      <w:r w:rsidR="00A2563F" w:rsidRPr="002209B2">
        <w:rPr>
          <w:rFonts w:ascii="Times New Roman" w:hAnsi="Times New Roman" w:cs="Times New Roman"/>
          <w:sz w:val="22"/>
          <w:szCs w:val="22"/>
          <w:lang w:val="en-US"/>
        </w:rPr>
        <w:t>2022</w:t>
      </w:r>
      <w:r w:rsidR="007E3AAF" w:rsidRPr="002209B2">
        <w:rPr>
          <w:rFonts w:ascii="Times New Roman" w:hAnsi="Times New Roman" w:cs="Times New Roman"/>
          <w:sz w:val="22"/>
          <w:szCs w:val="22"/>
          <w:lang w:val="en-US"/>
        </w:rPr>
        <w:t xml:space="preserve"> of the Constitutional Court, which decriminalizes abortion up to week 24</w:t>
      </w:r>
      <w:r w:rsidR="00381A49" w:rsidRPr="002209B2">
        <w:rPr>
          <w:rFonts w:ascii="Times New Roman" w:hAnsi="Times New Roman" w:cs="Times New Roman"/>
          <w:sz w:val="22"/>
          <w:szCs w:val="22"/>
          <w:lang w:val="en-US"/>
        </w:rPr>
        <w:t xml:space="preserve"> </w:t>
      </w:r>
      <w:r w:rsidR="00B86C79" w:rsidRPr="002209B2">
        <w:rPr>
          <w:rFonts w:ascii="Times New Roman" w:eastAsia="Times New Roman" w:hAnsi="Times New Roman" w:cs="Times New Roman"/>
          <w:sz w:val="22"/>
          <w:szCs w:val="22"/>
          <w:lang w:val="en-US"/>
        </w:rPr>
        <w:t>and, (</w:t>
      </w:r>
      <w:r w:rsidR="00B86C79" w:rsidRPr="002209B2">
        <w:rPr>
          <w:rFonts w:ascii="Times New Roman" w:eastAsia="Times New Roman" w:hAnsi="Times New Roman" w:cs="Times New Roman"/>
          <w:b/>
          <w:bCs/>
          <w:sz w:val="22"/>
          <w:szCs w:val="22"/>
          <w:lang w:val="en-US"/>
        </w:rPr>
        <w:t>I</w:t>
      </w:r>
      <w:r w:rsidR="00D749A4" w:rsidRPr="002209B2">
        <w:rPr>
          <w:rFonts w:ascii="Times New Roman" w:eastAsia="Times New Roman" w:hAnsi="Times New Roman" w:cs="Times New Roman"/>
          <w:b/>
          <w:bCs/>
          <w:sz w:val="22"/>
          <w:szCs w:val="22"/>
          <w:lang w:val="en-US"/>
        </w:rPr>
        <w:t>II</w:t>
      </w:r>
      <w:r w:rsidR="00B86C79" w:rsidRPr="002209B2">
        <w:rPr>
          <w:rFonts w:ascii="Times New Roman" w:eastAsia="Times New Roman" w:hAnsi="Times New Roman" w:cs="Times New Roman"/>
          <w:b/>
          <w:bCs/>
          <w:sz w:val="22"/>
          <w:szCs w:val="22"/>
          <w:lang w:val="en-US"/>
        </w:rPr>
        <w:t>)</w:t>
      </w:r>
      <w:r w:rsidR="00B86C79" w:rsidRPr="002209B2">
        <w:rPr>
          <w:rFonts w:ascii="Times New Roman" w:eastAsia="Times New Roman" w:hAnsi="Times New Roman" w:cs="Times New Roman"/>
          <w:sz w:val="22"/>
          <w:szCs w:val="22"/>
          <w:lang w:val="en-US"/>
        </w:rPr>
        <w:t xml:space="preserve"> </w:t>
      </w:r>
      <w:r w:rsidR="00D063C4" w:rsidRPr="002209B2">
        <w:rPr>
          <w:rFonts w:ascii="Times New Roman" w:eastAsia="Times New Roman" w:hAnsi="Times New Roman" w:cs="Times New Roman"/>
          <w:sz w:val="22"/>
          <w:szCs w:val="22"/>
          <w:lang w:val="en-US"/>
        </w:rPr>
        <w:t xml:space="preserve">The recognition </w:t>
      </w:r>
      <w:r w:rsidR="00432B73" w:rsidRPr="002209B2">
        <w:rPr>
          <w:rFonts w:ascii="Times New Roman" w:eastAsia="Times New Roman" w:hAnsi="Times New Roman" w:cs="Times New Roman"/>
          <w:sz w:val="22"/>
          <w:szCs w:val="22"/>
          <w:lang w:val="en-US"/>
        </w:rPr>
        <w:t xml:space="preserve">of </w:t>
      </w:r>
      <w:r w:rsidR="007E5031">
        <w:rPr>
          <w:rFonts w:ascii="Times New Roman" w:eastAsia="Times New Roman" w:hAnsi="Times New Roman" w:cs="Times New Roman"/>
          <w:sz w:val="22"/>
          <w:szCs w:val="22"/>
          <w:lang w:val="en-US"/>
        </w:rPr>
        <w:t>r</w:t>
      </w:r>
      <w:r w:rsidR="00432B73" w:rsidRPr="002209B2">
        <w:rPr>
          <w:rFonts w:ascii="Times New Roman" w:eastAsia="Times New Roman" w:hAnsi="Times New Roman" w:cs="Times New Roman"/>
          <w:sz w:val="22"/>
          <w:szCs w:val="22"/>
          <w:lang w:val="en-US"/>
        </w:rPr>
        <w:t>eproductive</w:t>
      </w:r>
      <w:r w:rsidR="00834999" w:rsidRPr="002209B2">
        <w:rPr>
          <w:rFonts w:ascii="Times New Roman" w:eastAsia="Times New Roman" w:hAnsi="Times New Roman" w:cs="Times New Roman"/>
          <w:sz w:val="22"/>
          <w:szCs w:val="22"/>
          <w:lang w:val="en-US"/>
        </w:rPr>
        <w:t xml:space="preserve"> </w:t>
      </w:r>
      <w:r w:rsidR="007E5031">
        <w:rPr>
          <w:rFonts w:ascii="Times New Roman" w:eastAsia="Times New Roman" w:hAnsi="Times New Roman" w:cs="Times New Roman"/>
          <w:sz w:val="22"/>
          <w:szCs w:val="22"/>
          <w:lang w:val="en-US"/>
        </w:rPr>
        <w:t>v</w:t>
      </w:r>
      <w:r w:rsidR="00834999" w:rsidRPr="002209B2">
        <w:rPr>
          <w:rFonts w:ascii="Times New Roman" w:eastAsia="Times New Roman" w:hAnsi="Times New Roman" w:cs="Times New Roman"/>
          <w:sz w:val="22"/>
          <w:szCs w:val="22"/>
          <w:lang w:val="en-US"/>
        </w:rPr>
        <w:t xml:space="preserve">iolence </w:t>
      </w:r>
      <w:r w:rsidR="00E0065F" w:rsidRPr="002209B2">
        <w:rPr>
          <w:rFonts w:ascii="Times New Roman" w:eastAsia="Times New Roman" w:hAnsi="Times New Roman" w:cs="Times New Roman"/>
          <w:sz w:val="22"/>
          <w:szCs w:val="22"/>
          <w:lang w:val="en-US"/>
        </w:rPr>
        <w:t xml:space="preserve">occurred during the conflict </w:t>
      </w:r>
      <w:r w:rsidR="00834999" w:rsidRPr="002209B2">
        <w:rPr>
          <w:rFonts w:ascii="Times New Roman" w:eastAsia="Times New Roman" w:hAnsi="Times New Roman" w:cs="Times New Roman"/>
          <w:sz w:val="22"/>
          <w:szCs w:val="22"/>
          <w:lang w:val="en-US"/>
        </w:rPr>
        <w:t>by t</w:t>
      </w:r>
      <w:r w:rsidR="007E5031">
        <w:rPr>
          <w:rFonts w:ascii="Times New Roman" w:eastAsia="Times New Roman" w:hAnsi="Times New Roman" w:cs="Times New Roman"/>
          <w:sz w:val="22"/>
          <w:szCs w:val="22"/>
          <w:lang w:val="en-US"/>
        </w:rPr>
        <w:t>he transitional justice mechanisms</w:t>
      </w:r>
      <w:r w:rsidR="00F06218" w:rsidRPr="002209B2">
        <w:rPr>
          <w:rFonts w:ascii="Times New Roman" w:eastAsia="Times New Roman" w:hAnsi="Times New Roman" w:cs="Times New Roman"/>
          <w:sz w:val="22"/>
          <w:szCs w:val="22"/>
          <w:lang w:val="en-US"/>
        </w:rPr>
        <w:t>, mainly, the</w:t>
      </w:r>
      <w:r w:rsidR="00557AE7" w:rsidRPr="002209B2">
        <w:rPr>
          <w:rFonts w:ascii="Times New Roman" w:eastAsia="Times New Roman" w:hAnsi="Times New Roman" w:cs="Times New Roman"/>
          <w:sz w:val="22"/>
          <w:szCs w:val="22"/>
          <w:lang w:val="en-US"/>
        </w:rPr>
        <w:t xml:space="preserve"> Special Jurisdiction for Peace (hereinafter JEP) </w:t>
      </w:r>
      <w:r w:rsidR="00F06218" w:rsidRPr="002209B2">
        <w:rPr>
          <w:rFonts w:ascii="Times New Roman" w:eastAsia="Times New Roman" w:hAnsi="Times New Roman" w:cs="Times New Roman"/>
          <w:sz w:val="22"/>
          <w:szCs w:val="22"/>
          <w:lang w:val="en-US"/>
        </w:rPr>
        <w:t xml:space="preserve">and the </w:t>
      </w:r>
      <w:r w:rsidR="00623CAC" w:rsidRPr="002209B2">
        <w:rPr>
          <w:rFonts w:ascii="Times New Roman" w:eastAsia="Times New Roman" w:hAnsi="Times New Roman" w:cs="Times New Roman"/>
          <w:sz w:val="22"/>
          <w:szCs w:val="22"/>
          <w:lang w:val="en-US"/>
        </w:rPr>
        <w:t>Commission for the Clarification of the Truth (</w:t>
      </w:r>
      <w:r w:rsidR="00837B33" w:rsidRPr="002209B2">
        <w:rPr>
          <w:rFonts w:ascii="Times New Roman" w:eastAsia="Times New Roman" w:hAnsi="Times New Roman" w:cs="Times New Roman"/>
          <w:sz w:val="22"/>
          <w:szCs w:val="22"/>
          <w:lang w:val="en-US"/>
        </w:rPr>
        <w:t xml:space="preserve">hereinafter </w:t>
      </w:r>
      <w:r w:rsidR="00623CAC" w:rsidRPr="002209B2">
        <w:rPr>
          <w:rFonts w:ascii="Times New Roman" w:eastAsia="Times New Roman" w:hAnsi="Times New Roman" w:cs="Times New Roman"/>
          <w:sz w:val="22"/>
          <w:szCs w:val="22"/>
          <w:lang w:val="en-US"/>
        </w:rPr>
        <w:t>CEV</w:t>
      </w:r>
      <w:r w:rsidR="00EF22AD" w:rsidRPr="002209B2">
        <w:rPr>
          <w:rFonts w:ascii="Times New Roman" w:eastAsia="Times New Roman" w:hAnsi="Times New Roman" w:cs="Times New Roman"/>
          <w:sz w:val="22"/>
          <w:szCs w:val="22"/>
          <w:lang w:val="en-US"/>
        </w:rPr>
        <w:t xml:space="preserve"> or Truth Commission</w:t>
      </w:r>
      <w:r w:rsidR="00623CAC" w:rsidRPr="002209B2">
        <w:rPr>
          <w:rFonts w:ascii="Times New Roman" w:eastAsia="Times New Roman" w:hAnsi="Times New Roman" w:cs="Times New Roman"/>
          <w:sz w:val="22"/>
          <w:szCs w:val="22"/>
          <w:lang w:val="en-US"/>
        </w:rPr>
        <w:t>)</w:t>
      </w:r>
    </w:p>
    <w:p w14:paraId="0B65936E" w14:textId="67F32D1B" w:rsidR="00FB2C5F" w:rsidRPr="002209B2" w:rsidRDefault="00FB2C5F" w:rsidP="00FB2C5F">
      <w:pPr>
        <w:jc w:val="both"/>
        <w:rPr>
          <w:rFonts w:ascii="Times New Roman" w:eastAsia="Times New Roman" w:hAnsi="Times New Roman" w:cs="Times New Roman"/>
          <w:sz w:val="22"/>
          <w:szCs w:val="22"/>
          <w:lang w:val="en-US"/>
        </w:rPr>
      </w:pPr>
    </w:p>
    <w:p w14:paraId="4F98D9E7" w14:textId="211DE455" w:rsidR="004A1DAF" w:rsidRPr="002209B2" w:rsidRDefault="004365BE" w:rsidP="007934C1">
      <w:pPr>
        <w:pStyle w:val="Listenabsatz"/>
        <w:numPr>
          <w:ilvl w:val="0"/>
          <w:numId w:val="2"/>
        </w:numPr>
        <w:spacing w:after="240"/>
        <w:ind w:left="709"/>
        <w:jc w:val="both"/>
        <w:rPr>
          <w:rFonts w:ascii="Times New Roman" w:hAnsi="Times New Roman" w:cs="Times New Roman"/>
          <w:sz w:val="22"/>
          <w:szCs w:val="22"/>
          <w:lang w:val="en-US"/>
        </w:rPr>
      </w:pPr>
      <w:r w:rsidRPr="002209B2">
        <w:rPr>
          <w:rFonts w:ascii="Times New Roman" w:eastAsia="Times New Roman" w:hAnsi="Times New Roman" w:cs="Times New Roman"/>
          <w:b/>
          <w:bCs/>
          <w:sz w:val="22"/>
          <w:szCs w:val="22"/>
          <w:lang w:val="en-US"/>
        </w:rPr>
        <w:t>Impacts of PECIG on reproductive rights</w:t>
      </w:r>
    </w:p>
    <w:p w14:paraId="3AED41E0" w14:textId="34ED1C19" w:rsidR="004A1DAF" w:rsidRPr="002209B2" w:rsidRDefault="00E46B86" w:rsidP="00E46B86">
      <w:pPr>
        <w:spacing w:after="240"/>
        <w:ind w:left="709"/>
        <w:jc w:val="both"/>
        <w:rPr>
          <w:rFonts w:ascii="Times New Roman" w:hAnsi="Times New Roman" w:cs="Times New Roman"/>
          <w:i/>
          <w:iCs/>
          <w:sz w:val="22"/>
          <w:szCs w:val="22"/>
          <w:lang w:val="en-US"/>
        </w:rPr>
      </w:pPr>
      <w:r w:rsidRPr="002209B2">
        <w:rPr>
          <w:rFonts w:ascii="Times New Roman" w:hAnsi="Times New Roman" w:cs="Times New Roman"/>
          <w:i/>
          <w:iCs/>
          <w:sz w:val="22"/>
          <w:szCs w:val="22"/>
          <w:lang w:val="en-US"/>
        </w:rPr>
        <w:t>Application of the precautionary principle</w:t>
      </w:r>
    </w:p>
    <w:p w14:paraId="3C68D93A" w14:textId="0F6DAB3B" w:rsidR="00EF22AD" w:rsidRPr="002209B2" w:rsidRDefault="00991C8C" w:rsidP="00C436EA">
      <w:pPr>
        <w:pStyle w:val="Listenabsatz"/>
        <w:numPr>
          <w:ilvl w:val="0"/>
          <w:numId w:val="17"/>
        </w:numPr>
        <w:spacing w:after="100"/>
        <w:ind w:left="0"/>
        <w:contextualSpacing w:val="0"/>
        <w:jc w:val="both"/>
        <w:rPr>
          <w:rFonts w:ascii="Times New Roman" w:hAnsi="Times New Roman" w:cs="Times New Roman"/>
          <w:sz w:val="22"/>
          <w:szCs w:val="22"/>
          <w:lang w:val="en-US"/>
        </w:rPr>
      </w:pPr>
      <w:r w:rsidRPr="002209B2">
        <w:rPr>
          <w:rFonts w:ascii="Times New Roman" w:hAnsi="Times New Roman" w:cs="Times New Roman"/>
          <w:sz w:val="22"/>
          <w:szCs w:val="22"/>
          <w:lang w:val="en-US"/>
        </w:rPr>
        <w:t>Between 1992 and 2017, the Colombian government used the herbicide glyphosate to eradicate so-declared illicit crops</w:t>
      </w:r>
      <w:r w:rsidR="00621946">
        <w:rPr>
          <w:rFonts w:ascii="Times New Roman" w:hAnsi="Times New Roman" w:cs="Times New Roman"/>
          <w:sz w:val="22"/>
          <w:szCs w:val="22"/>
          <w:lang w:val="en-US"/>
        </w:rPr>
        <w:t xml:space="preserve"> by aerial sp</w:t>
      </w:r>
      <w:r w:rsidRPr="002209B2">
        <w:rPr>
          <w:rFonts w:ascii="Times New Roman" w:hAnsi="Times New Roman" w:cs="Times New Roman"/>
          <w:sz w:val="22"/>
          <w:szCs w:val="22"/>
          <w:lang w:val="en-US"/>
        </w:rPr>
        <w:t>ray</w:t>
      </w:r>
      <w:r w:rsidR="00621946">
        <w:rPr>
          <w:rFonts w:ascii="Times New Roman" w:hAnsi="Times New Roman" w:cs="Times New Roman"/>
          <w:sz w:val="22"/>
          <w:szCs w:val="22"/>
          <w:lang w:val="en-US"/>
        </w:rPr>
        <w:t>ing</w:t>
      </w:r>
      <w:r w:rsidRPr="002209B2">
        <w:rPr>
          <w:rFonts w:ascii="Times New Roman" w:hAnsi="Times New Roman" w:cs="Times New Roman"/>
          <w:sz w:val="22"/>
          <w:szCs w:val="22"/>
          <w:lang w:val="en-US"/>
        </w:rPr>
        <w:t xml:space="preserve"> in rural areas particularly affected by armed conflict</w:t>
      </w:r>
      <w:r w:rsidR="00C436EA" w:rsidRPr="002209B2">
        <w:rPr>
          <w:rStyle w:val="Endnotenzeichen"/>
          <w:rFonts w:ascii="Times New Roman" w:hAnsi="Times New Roman" w:cs="Times New Roman"/>
          <w:sz w:val="22"/>
          <w:szCs w:val="22"/>
          <w:lang w:val="en-US"/>
        </w:rPr>
        <w:endnoteReference w:id="2"/>
      </w:r>
      <w:r w:rsidRPr="002209B2">
        <w:rPr>
          <w:rFonts w:ascii="Times New Roman" w:hAnsi="Times New Roman" w:cs="Times New Roman"/>
          <w:sz w:val="22"/>
          <w:szCs w:val="22"/>
          <w:lang w:val="en-US"/>
        </w:rPr>
        <w:t xml:space="preserve">. There have been several reports of health damage </w:t>
      </w:r>
      <w:r w:rsidR="00621946">
        <w:rPr>
          <w:rFonts w:ascii="Times New Roman" w:hAnsi="Times New Roman" w:cs="Times New Roman"/>
          <w:sz w:val="22"/>
          <w:szCs w:val="22"/>
          <w:lang w:val="en-US"/>
        </w:rPr>
        <w:t>cause by the exposure to glyphosate</w:t>
      </w:r>
      <w:r w:rsidRPr="002209B2">
        <w:rPr>
          <w:rFonts w:ascii="Times New Roman" w:hAnsi="Times New Roman" w:cs="Times New Roman"/>
          <w:sz w:val="22"/>
          <w:szCs w:val="22"/>
          <w:lang w:val="en-US"/>
        </w:rPr>
        <w:t>.</w:t>
      </w:r>
    </w:p>
    <w:p w14:paraId="272CD927" w14:textId="77777777" w:rsidR="00C436EA" w:rsidRPr="002209B2" w:rsidRDefault="00C436EA" w:rsidP="00C436EA">
      <w:pPr>
        <w:pStyle w:val="Listenabsatz"/>
        <w:spacing w:after="100"/>
        <w:ind w:left="0"/>
        <w:contextualSpacing w:val="0"/>
        <w:jc w:val="both"/>
        <w:rPr>
          <w:rFonts w:ascii="Times New Roman" w:hAnsi="Times New Roman" w:cs="Times New Roman"/>
          <w:sz w:val="22"/>
          <w:szCs w:val="22"/>
          <w:lang w:val="en-US"/>
        </w:rPr>
      </w:pPr>
    </w:p>
    <w:p w14:paraId="7C1AFC21" w14:textId="0ADACBAA" w:rsidR="00EE6C86" w:rsidRPr="00DB0C93" w:rsidRDefault="00291E54" w:rsidP="00C436EA">
      <w:pPr>
        <w:pStyle w:val="Listenabsatz"/>
        <w:numPr>
          <w:ilvl w:val="0"/>
          <w:numId w:val="17"/>
        </w:numPr>
        <w:spacing w:after="100"/>
        <w:ind w:left="0"/>
        <w:contextualSpacing w:val="0"/>
        <w:jc w:val="both"/>
        <w:rPr>
          <w:rFonts w:ascii="Times New Roman" w:hAnsi="Times New Roman" w:cs="Times New Roman"/>
          <w:sz w:val="22"/>
          <w:szCs w:val="22"/>
          <w:lang w:val="en-US"/>
        </w:rPr>
      </w:pPr>
      <w:r w:rsidRPr="002209B2">
        <w:rPr>
          <w:rFonts w:ascii="Times New Roman" w:hAnsi="Times New Roman" w:cs="Times New Roman"/>
          <w:sz w:val="22"/>
          <w:szCs w:val="22"/>
          <w:lang w:val="en-US"/>
        </w:rPr>
        <w:t>Civil society organizations</w:t>
      </w:r>
      <w:r w:rsidR="000E0AD5" w:rsidRPr="002209B2">
        <w:rPr>
          <w:rStyle w:val="Endnotenzeichen"/>
          <w:rFonts w:ascii="Times New Roman" w:hAnsi="Times New Roman" w:cs="Times New Roman"/>
          <w:sz w:val="22"/>
          <w:szCs w:val="22"/>
          <w:lang w:val="en-US"/>
        </w:rPr>
        <w:endnoteReference w:id="3"/>
      </w:r>
      <w:r w:rsidRPr="002209B2">
        <w:rPr>
          <w:rFonts w:ascii="Times New Roman" w:hAnsi="Times New Roman" w:cs="Times New Roman"/>
          <w:sz w:val="22"/>
          <w:szCs w:val="22"/>
          <w:lang w:val="en-US"/>
        </w:rPr>
        <w:t xml:space="preserve"> and </w:t>
      </w:r>
      <w:r w:rsidR="00536236" w:rsidRPr="002209B2">
        <w:rPr>
          <w:rFonts w:ascii="Times New Roman" w:hAnsi="Times New Roman" w:cs="Times New Roman"/>
          <w:sz w:val="22"/>
          <w:szCs w:val="22"/>
          <w:lang w:val="en-US"/>
        </w:rPr>
        <w:t>scientists’</w:t>
      </w:r>
      <w:r w:rsidR="00653E43" w:rsidRPr="002209B2">
        <w:rPr>
          <w:rFonts w:ascii="Times New Roman" w:hAnsi="Times New Roman" w:cs="Times New Roman"/>
          <w:sz w:val="22"/>
          <w:szCs w:val="22"/>
          <w:lang w:val="en-US"/>
        </w:rPr>
        <w:t xml:space="preserve"> studies has reported </w:t>
      </w:r>
      <w:r w:rsidR="00810634" w:rsidRPr="002209B2">
        <w:rPr>
          <w:rFonts w:ascii="Times New Roman" w:hAnsi="Times New Roman" w:cs="Times New Roman"/>
          <w:sz w:val="22"/>
          <w:szCs w:val="22"/>
          <w:lang w:val="en-US"/>
        </w:rPr>
        <w:t>negative consequences to health and environment</w:t>
      </w:r>
      <w:r w:rsidR="00C06B70" w:rsidRPr="002209B2">
        <w:rPr>
          <w:rFonts w:ascii="Times New Roman" w:hAnsi="Times New Roman" w:cs="Times New Roman"/>
          <w:sz w:val="22"/>
          <w:szCs w:val="22"/>
          <w:lang w:val="en-US"/>
        </w:rPr>
        <w:t xml:space="preserve"> </w:t>
      </w:r>
      <w:r w:rsidR="00810634" w:rsidRPr="002209B2">
        <w:rPr>
          <w:rFonts w:ascii="Times New Roman" w:hAnsi="Times New Roman" w:cs="Times New Roman"/>
          <w:sz w:val="22"/>
          <w:szCs w:val="22"/>
          <w:lang w:val="en-US"/>
        </w:rPr>
        <w:t>after applying the PECIG</w:t>
      </w:r>
      <w:r w:rsidR="00536236" w:rsidRPr="002209B2">
        <w:rPr>
          <w:rFonts w:ascii="Times New Roman" w:hAnsi="Times New Roman" w:cs="Times New Roman"/>
          <w:sz w:val="22"/>
          <w:szCs w:val="22"/>
          <w:lang w:val="en-US"/>
        </w:rPr>
        <w:t xml:space="preserve">. Between 1997 and </w:t>
      </w:r>
      <w:r w:rsidR="00763360" w:rsidRPr="00DB0C93">
        <w:rPr>
          <w:rFonts w:ascii="Times New Roman" w:hAnsi="Times New Roman" w:cs="Times New Roman"/>
          <w:sz w:val="22"/>
          <w:szCs w:val="22"/>
          <w:lang w:val="en-US"/>
        </w:rPr>
        <w:t>2002</w:t>
      </w:r>
      <w:r w:rsidR="006E0775" w:rsidRPr="00DB0C93">
        <w:rPr>
          <w:rFonts w:ascii="Times New Roman" w:hAnsi="Times New Roman" w:cs="Times New Roman"/>
          <w:sz w:val="22"/>
          <w:szCs w:val="22"/>
          <w:lang w:val="en-US"/>
        </w:rPr>
        <w:t xml:space="preserve">, </w:t>
      </w:r>
      <w:r w:rsidR="00E23E24" w:rsidRPr="00DB0C93">
        <w:rPr>
          <w:rFonts w:ascii="Times New Roman" w:hAnsi="Times New Roman" w:cs="Times New Roman"/>
          <w:sz w:val="22"/>
          <w:szCs w:val="22"/>
          <w:lang w:val="en-US"/>
        </w:rPr>
        <w:t xml:space="preserve">around 1.852 </w:t>
      </w:r>
      <w:r w:rsidR="006E0775" w:rsidRPr="00DB0C93">
        <w:rPr>
          <w:rFonts w:ascii="Times New Roman" w:hAnsi="Times New Roman" w:cs="Times New Roman"/>
          <w:sz w:val="22"/>
          <w:szCs w:val="22"/>
          <w:lang w:val="en-US"/>
        </w:rPr>
        <w:t>complaint</w:t>
      </w:r>
      <w:r w:rsidR="00112C72" w:rsidRPr="00DB0C93">
        <w:rPr>
          <w:rFonts w:ascii="Times New Roman" w:hAnsi="Times New Roman" w:cs="Times New Roman"/>
          <w:sz w:val="22"/>
          <w:szCs w:val="22"/>
          <w:lang w:val="en-US"/>
        </w:rPr>
        <w:t>s</w:t>
      </w:r>
      <w:r w:rsidR="006E0775" w:rsidRPr="00DB0C93">
        <w:rPr>
          <w:rFonts w:ascii="Times New Roman" w:hAnsi="Times New Roman" w:cs="Times New Roman"/>
          <w:sz w:val="22"/>
          <w:szCs w:val="22"/>
          <w:lang w:val="en-US"/>
        </w:rPr>
        <w:t xml:space="preserve"> were presented to the</w:t>
      </w:r>
      <w:r w:rsidR="00310DCC" w:rsidRPr="00DB0C93">
        <w:rPr>
          <w:rFonts w:ascii="Times New Roman" w:hAnsi="Times New Roman" w:cs="Times New Roman"/>
          <w:sz w:val="22"/>
          <w:szCs w:val="22"/>
        </w:rPr>
        <w:t> </w:t>
      </w:r>
      <w:r w:rsidR="00112C72" w:rsidRPr="00DB0C93">
        <w:rPr>
          <w:rFonts w:ascii="Times New Roman" w:hAnsi="Times New Roman" w:cs="Times New Roman"/>
          <w:sz w:val="22"/>
          <w:szCs w:val="22"/>
        </w:rPr>
        <w:t xml:space="preserve">regional </w:t>
      </w:r>
      <w:r w:rsidR="00310DCC" w:rsidRPr="00DB0C93">
        <w:rPr>
          <w:rFonts w:ascii="Times New Roman" w:hAnsi="Times New Roman" w:cs="Times New Roman"/>
          <w:sz w:val="22"/>
          <w:szCs w:val="22"/>
        </w:rPr>
        <w:t>Ombudsman's Office</w:t>
      </w:r>
      <w:r w:rsidR="00112C72" w:rsidRPr="00DB0C93">
        <w:rPr>
          <w:rFonts w:ascii="Times New Roman" w:hAnsi="Times New Roman" w:cs="Times New Roman"/>
          <w:sz w:val="22"/>
          <w:szCs w:val="22"/>
        </w:rPr>
        <w:t>s,</w:t>
      </w:r>
      <w:r w:rsidR="00310DCC" w:rsidRPr="00DB0C93">
        <w:rPr>
          <w:rFonts w:ascii="Times New Roman" w:hAnsi="Times New Roman" w:cs="Times New Roman"/>
          <w:sz w:val="22"/>
          <w:szCs w:val="22"/>
        </w:rPr>
        <w:t xml:space="preserve"> </w:t>
      </w:r>
      <w:r w:rsidR="006649B6" w:rsidRPr="00DB0C93">
        <w:rPr>
          <w:rFonts w:ascii="Times New Roman" w:hAnsi="Times New Roman" w:cs="Times New Roman"/>
          <w:sz w:val="22"/>
          <w:szCs w:val="22"/>
        </w:rPr>
        <w:t>Personerías Municipales and Policie Inspections</w:t>
      </w:r>
      <w:r w:rsidR="00E23E24" w:rsidRPr="00DB0C93">
        <w:rPr>
          <w:rFonts w:ascii="Times New Roman" w:hAnsi="Times New Roman" w:cs="Times New Roman"/>
          <w:sz w:val="22"/>
          <w:szCs w:val="22"/>
        </w:rPr>
        <w:t>, regarding</w:t>
      </w:r>
      <w:r w:rsidR="004A3341" w:rsidRPr="00DB0C93">
        <w:rPr>
          <w:rFonts w:ascii="Times New Roman" w:hAnsi="Times New Roman" w:cs="Times New Roman"/>
          <w:sz w:val="22"/>
          <w:szCs w:val="22"/>
        </w:rPr>
        <w:t xml:space="preserve"> </w:t>
      </w:r>
      <w:r w:rsidR="007765A6" w:rsidRPr="00DB0C93">
        <w:rPr>
          <w:rFonts w:ascii="Times New Roman" w:hAnsi="Times New Roman" w:cs="Times New Roman"/>
          <w:sz w:val="22"/>
          <w:szCs w:val="22"/>
        </w:rPr>
        <w:t>damage to food crops, destruction of natural pastures, animal diseases and deaths, poisoning of people, mainly children, among other consequences in the departments of Boyacá, Meta, Guaviare, Caquetá and Putumayo.</w:t>
      </w:r>
    </w:p>
    <w:p w14:paraId="05A745C5" w14:textId="77777777" w:rsidR="00C436EA" w:rsidRPr="00DB0C93" w:rsidRDefault="00C436EA" w:rsidP="00C436EA">
      <w:pPr>
        <w:pStyle w:val="Listenabsatz"/>
        <w:spacing w:after="100"/>
        <w:ind w:left="0"/>
        <w:contextualSpacing w:val="0"/>
        <w:jc w:val="both"/>
        <w:rPr>
          <w:rFonts w:ascii="Times New Roman" w:hAnsi="Times New Roman" w:cs="Times New Roman"/>
          <w:sz w:val="22"/>
          <w:szCs w:val="22"/>
          <w:lang w:val="en-US"/>
        </w:rPr>
      </w:pPr>
    </w:p>
    <w:p w14:paraId="2E3681B6" w14:textId="567EA4A4" w:rsidR="00EE6C86" w:rsidRPr="002209B2" w:rsidRDefault="00EE6C86" w:rsidP="003855EE">
      <w:pPr>
        <w:pStyle w:val="Listenabsatz"/>
        <w:numPr>
          <w:ilvl w:val="0"/>
          <w:numId w:val="17"/>
        </w:numPr>
        <w:spacing w:after="100"/>
        <w:ind w:left="0"/>
        <w:contextualSpacing w:val="0"/>
        <w:jc w:val="both"/>
        <w:rPr>
          <w:rFonts w:ascii="Times New Roman" w:hAnsi="Times New Roman" w:cs="Times New Roman"/>
          <w:sz w:val="22"/>
          <w:szCs w:val="22"/>
          <w:lang w:val="en-US"/>
        </w:rPr>
      </w:pPr>
      <w:r w:rsidRPr="00DB0C93">
        <w:rPr>
          <w:rFonts w:ascii="Times New Roman" w:hAnsi="Times New Roman" w:cs="Times New Roman"/>
          <w:sz w:val="22"/>
          <w:szCs w:val="22"/>
          <w:lang w:val="en-US"/>
        </w:rPr>
        <w:t xml:space="preserve">Among the </w:t>
      </w:r>
      <w:r w:rsidR="00813130" w:rsidRPr="00DB0C93">
        <w:rPr>
          <w:rFonts w:ascii="Times New Roman" w:hAnsi="Times New Roman" w:cs="Times New Roman"/>
          <w:sz w:val="22"/>
          <w:szCs w:val="22"/>
          <w:lang w:val="en-US"/>
        </w:rPr>
        <w:t xml:space="preserve">negative impacts on health in occasion of the PECIG, people reported damages on reproductive health. </w:t>
      </w:r>
      <w:r w:rsidR="003772F9" w:rsidRPr="00DB0C93">
        <w:rPr>
          <w:rFonts w:ascii="Times New Roman" w:hAnsi="Times New Roman" w:cs="Times New Roman"/>
          <w:sz w:val="22"/>
          <w:szCs w:val="22"/>
          <w:lang w:val="en-US"/>
        </w:rPr>
        <w:t>I</w:t>
      </w:r>
      <w:r w:rsidR="00797FDF" w:rsidRPr="00DB0C93">
        <w:rPr>
          <w:rFonts w:ascii="Times New Roman" w:hAnsi="Times New Roman" w:cs="Times New Roman"/>
          <w:sz w:val="22"/>
          <w:szCs w:val="22"/>
          <w:lang w:val="en-US"/>
        </w:rPr>
        <w:t xml:space="preserve">n </w:t>
      </w:r>
      <w:r w:rsidR="004D70F2" w:rsidRPr="00DB0C93">
        <w:rPr>
          <w:rFonts w:ascii="Times New Roman" w:hAnsi="Times New Roman" w:cs="Times New Roman"/>
          <w:sz w:val="22"/>
          <w:szCs w:val="22"/>
          <w:lang w:val="en-US"/>
        </w:rPr>
        <w:t>Caquetá</w:t>
      </w:r>
      <w:r w:rsidR="00797FDF" w:rsidRPr="00DB0C93">
        <w:rPr>
          <w:rFonts w:ascii="Times New Roman" w:hAnsi="Times New Roman" w:cs="Times New Roman"/>
          <w:sz w:val="22"/>
          <w:szCs w:val="22"/>
          <w:lang w:val="en-US"/>
        </w:rPr>
        <w:t xml:space="preserve">, </w:t>
      </w:r>
      <w:r w:rsidR="004D70F2" w:rsidRPr="00DB0C93">
        <w:rPr>
          <w:rFonts w:ascii="Times New Roman" w:hAnsi="Times New Roman" w:cs="Times New Roman"/>
          <w:sz w:val="22"/>
          <w:szCs w:val="22"/>
          <w:lang w:val="en-US"/>
        </w:rPr>
        <w:t>“</w:t>
      </w:r>
      <w:r w:rsidR="0049475F" w:rsidRPr="00DB0C93">
        <w:rPr>
          <w:rFonts w:ascii="Times New Roman" w:hAnsi="Times New Roman" w:cs="Times New Roman"/>
          <w:sz w:val="22"/>
          <w:szCs w:val="22"/>
          <w:lang w:val="en-US"/>
        </w:rPr>
        <w:t xml:space="preserve">women </w:t>
      </w:r>
      <w:r w:rsidR="007D0094" w:rsidRPr="00DB0C93">
        <w:rPr>
          <w:rFonts w:ascii="Times New Roman" w:hAnsi="Times New Roman" w:cs="Times New Roman"/>
          <w:sz w:val="22"/>
          <w:szCs w:val="22"/>
          <w:lang w:val="en-US"/>
        </w:rPr>
        <w:t>suffered miscarriages</w:t>
      </w:r>
      <w:r w:rsidR="00C54B34" w:rsidRPr="00DB0C93">
        <w:rPr>
          <w:rFonts w:ascii="Times New Roman" w:hAnsi="Times New Roman" w:cs="Times New Roman"/>
          <w:sz w:val="22"/>
          <w:szCs w:val="22"/>
          <w:lang w:val="en-US"/>
        </w:rPr>
        <w:t xml:space="preserve"> or the births of children with congenital problems attributed to glyphosate exposur</w:t>
      </w:r>
      <w:r w:rsidR="004D70F2" w:rsidRPr="00DB0C93">
        <w:rPr>
          <w:rFonts w:ascii="Times New Roman" w:hAnsi="Times New Roman" w:cs="Times New Roman"/>
          <w:sz w:val="22"/>
          <w:szCs w:val="22"/>
          <w:lang w:val="en-US"/>
        </w:rPr>
        <w:t>e”</w:t>
      </w:r>
      <w:r w:rsidR="00E93337" w:rsidRPr="00DB0C93">
        <w:rPr>
          <w:rStyle w:val="Endnotenzeichen"/>
          <w:rFonts w:ascii="Times New Roman" w:hAnsi="Times New Roman" w:cs="Times New Roman"/>
          <w:sz w:val="22"/>
          <w:szCs w:val="22"/>
          <w:lang w:val="en-US"/>
        </w:rPr>
        <w:endnoteReference w:id="4"/>
      </w:r>
      <w:r w:rsidR="00BB1729" w:rsidRPr="00DB0C93">
        <w:rPr>
          <w:rFonts w:ascii="Times New Roman" w:hAnsi="Times New Roman" w:cs="Times New Roman"/>
          <w:sz w:val="22"/>
          <w:szCs w:val="22"/>
          <w:lang w:val="en-US"/>
        </w:rPr>
        <w:t xml:space="preserve">. </w:t>
      </w:r>
      <w:r w:rsidR="003822CC" w:rsidRPr="00DB0C93">
        <w:rPr>
          <w:rFonts w:ascii="Times New Roman" w:hAnsi="Times New Roman" w:cs="Times New Roman"/>
          <w:sz w:val="22"/>
          <w:szCs w:val="22"/>
          <w:lang w:val="en-US"/>
        </w:rPr>
        <w:t>Th</w:t>
      </w:r>
      <w:r w:rsidR="002B5EC2" w:rsidRPr="00DB0C93">
        <w:rPr>
          <w:rFonts w:ascii="Times New Roman" w:hAnsi="Times New Roman" w:cs="Times New Roman"/>
          <w:sz w:val="22"/>
          <w:szCs w:val="22"/>
          <w:lang w:val="en-US"/>
        </w:rPr>
        <w:t xml:space="preserve">e </w:t>
      </w:r>
      <w:r w:rsidR="00C80079" w:rsidRPr="00DB0C93">
        <w:rPr>
          <w:rFonts w:ascii="Times New Roman" w:hAnsi="Times New Roman" w:cs="Times New Roman"/>
          <w:sz w:val="22"/>
          <w:szCs w:val="22"/>
          <w:lang w:val="en-US"/>
        </w:rPr>
        <w:t>s</w:t>
      </w:r>
      <w:r w:rsidR="002B5EC2" w:rsidRPr="00DB0C93">
        <w:rPr>
          <w:rFonts w:ascii="Times New Roman" w:hAnsi="Times New Roman" w:cs="Times New Roman"/>
          <w:sz w:val="22"/>
          <w:szCs w:val="22"/>
          <w:lang w:val="en-US"/>
        </w:rPr>
        <w:t xml:space="preserve">tate of Ecuador sued Colombia before the International Court of Justice for serious </w:t>
      </w:r>
      <w:r w:rsidR="0085402E" w:rsidRPr="00DB0C93">
        <w:rPr>
          <w:rFonts w:ascii="Times New Roman" w:hAnsi="Times New Roman" w:cs="Times New Roman"/>
          <w:sz w:val="22"/>
          <w:szCs w:val="22"/>
          <w:lang w:val="en-US"/>
        </w:rPr>
        <w:t>consequences</w:t>
      </w:r>
      <w:r w:rsidR="002B5EC2" w:rsidRPr="00DB0C93">
        <w:rPr>
          <w:rFonts w:ascii="Times New Roman" w:hAnsi="Times New Roman" w:cs="Times New Roman"/>
          <w:sz w:val="22"/>
          <w:szCs w:val="22"/>
          <w:lang w:val="en-US"/>
        </w:rPr>
        <w:t xml:space="preserve"> caused to Ecuadorian citizens living in border areas due to aerial spraying</w:t>
      </w:r>
      <w:r w:rsidR="00332F38" w:rsidRPr="00DB0C93">
        <w:rPr>
          <w:rStyle w:val="Endnotenzeichen"/>
          <w:rFonts w:ascii="Times New Roman" w:hAnsi="Times New Roman" w:cs="Times New Roman"/>
          <w:sz w:val="22"/>
          <w:szCs w:val="22"/>
          <w:lang w:val="en-US"/>
        </w:rPr>
        <w:endnoteReference w:id="5"/>
      </w:r>
      <w:r w:rsidR="002B5EC2" w:rsidRPr="00DB0C93">
        <w:rPr>
          <w:rFonts w:ascii="Times New Roman" w:hAnsi="Times New Roman" w:cs="Times New Roman"/>
          <w:sz w:val="22"/>
          <w:szCs w:val="22"/>
          <w:lang w:val="en-US"/>
        </w:rPr>
        <w:t>. The lawsuit presented scientific evidence</w:t>
      </w:r>
      <w:r w:rsidR="002B5EC2" w:rsidRPr="002209B2">
        <w:rPr>
          <w:rFonts w:ascii="Times New Roman" w:hAnsi="Times New Roman" w:cs="Times New Roman"/>
          <w:sz w:val="22"/>
          <w:szCs w:val="22"/>
          <w:lang w:val="en-US"/>
        </w:rPr>
        <w:t xml:space="preserve"> of "an association</w:t>
      </w:r>
      <w:r w:rsidR="00130B6F" w:rsidRPr="002209B2">
        <w:rPr>
          <w:rFonts w:ascii="Times New Roman" w:hAnsi="Times New Roman" w:cs="Times New Roman"/>
          <w:sz w:val="22"/>
          <w:szCs w:val="22"/>
          <w:lang w:val="en-US"/>
        </w:rPr>
        <w:t>” of the sprays</w:t>
      </w:r>
      <w:r w:rsidR="002B5EC2" w:rsidRPr="002209B2">
        <w:rPr>
          <w:rFonts w:ascii="Times New Roman" w:hAnsi="Times New Roman" w:cs="Times New Roman"/>
          <w:sz w:val="22"/>
          <w:szCs w:val="22"/>
          <w:lang w:val="en-US"/>
        </w:rPr>
        <w:t xml:space="preserve"> </w:t>
      </w:r>
      <w:r w:rsidR="00130B6F" w:rsidRPr="002209B2">
        <w:rPr>
          <w:rFonts w:ascii="Times New Roman" w:hAnsi="Times New Roman" w:cs="Times New Roman"/>
          <w:sz w:val="22"/>
          <w:szCs w:val="22"/>
          <w:lang w:val="en-US"/>
        </w:rPr>
        <w:t>“</w:t>
      </w:r>
      <w:r w:rsidR="002B5EC2" w:rsidRPr="002209B2">
        <w:rPr>
          <w:rFonts w:ascii="Times New Roman" w:hAnsi="Times New Roman" w:cs="Times New Roman"/>
          <w:sz w:val="22"/>
          <w:szCs w:val="22"/>
          <w:lang w:val="en-US"/>
        </w:rPr>
        <w:t>with an increased risk of miscarriages, premature births and non-Hodgkin's lymphoma"</w:t>
      </w:r>
      <w:r w:rsidR="00F516CB" w:rsidRPr="002209B2">
        <w:rPr>
          <w:rStyle w:val="Endnotenzeichen"/>
          <w:rFonts w:ascii="Times New Roman" w:hAnsi="Times New Roman" w:cs="Times New Roman"/>
          <w:sz w:val="22"/>
          <w:szCs w:val="22"/>
          <w:lang w:val="en-US"/>
        </w:rPr>
        <w:endnoteReference w:id="6"/>
      </w:r>
      <w:r w:rsidR="002B5EC2" w:rsidRPr="002209B2">
        <w:rPr>
          <w:rFonts w:ascii="Times New Roman" w:hAnsi="Times New Roman" w:cs="Times New Roman"/>
          <w:sz w:val="22"/>
          <w:szCs w:val="22"/>
          <w:lang w:val="en-US"/>
        </w:rPr>
        <w:t>.</w:t>
      </w:r>
      <w:r w:rsidR="00C80079" w:rsidRPr="002209B2">
        <w:rPr>
          <w:rFonts w:ascii="Times New Roman" w:hAnsi="Times New Roman" w:cs="Times New Roman"/>
          <w:sz w:val="22"/>
          <w:szCs w:val="22"/>
          <w:lang w:val="en-US"/>
        </w:rPr>
        <w:t xml:space="preserve"> In addition,</w:t>
      </w:r>
      <w:r w:rsidR="00C231EE" w:rsidRPr="002209B2">
        <w:rPr>
          <w:rFonts w:ascii="Times New Roman" w:hAnsi="Times New Roman" w:cs="Times New Roman"/>
          <w:sz w:val="22"/>
          <w:szCs w:val="22"/>
          <w:lang w:val="en-US"/>
        </w:rPr>
        <w:t xml:space="preserve"> an analysis made on</w:t>
      </w:r>
      <w:r w:rsidR="00C80079" w:rsidRPr="002209B2">
        <w:rPr>
          <w:rFonts w:ascii="Times New Roman" w:hAnsi="Times New Roman" w:cs="Times New Roman"/>
          <w:sz w:val="22"/>
          <w:szCs w:val="22"/>
          <w:lang w:val="en-US"/>
        </w:rPr>
        <w:t xml:space="preserve"> 47 women living on the frontier between the two countries</w:t>
      </w:r>
      <w:r w:rsidR="0038354E" w:rsidRPr="002209B2">
        <w:rPr>
          <w:rFonts w:ascii="Times New Roman" w:hAnsi="Times New Roman" w:cs="Times New Roman"/>
          <w:sz w:val="22"/>
          <w:szCs w:val="22"/>
          <w:lang w:val="en-US"/>
        </w:rPr>
        <w:t>, and exposed to the</w:t>
      </w:r>
      <w:r w:rsidR="00C369B5" w:rsidRPr="002209B2">
        <w:rPr>
          <w:rFonts w:ascii="Times New Roman" w:hAnsi="Times New Roman" w:cs="Times New Roman"/>
          <w:sz w:val="22"/>
          <w:szCs w:val="22"/>
          <w:lang w:val="en-US"/>
        </w:rPr>
        <w:t xml:space="preserve"> PECIG</w:t>
      </w:r>
      <w:r w:rsidR="0038354E" w:rsidRPr="002209B2">
        <w:rPr>
          <w:rFonts w:ascii="Times New Roman" w:hAnsi="Times New Roman" w:cs="Times New Roman"/>
          <w:sz w:val="22"/>
          <w:szCs w:val="22"/>
          <w:lang w:val="en-US"/>
        </w:rPr>
        <w:t xml:space="preserve">, </w:t>
      </w:r>
      <w:r w:rsidR="003B7BE2" w:rsidRPr="002209B2">
        <w:rPr>
          <w:rFonts w:ascii="Times New Roman" w:hAnsi="Times New Roman" w:cs="Times New Roman"/>
          <w:sz w:val="22"/>
          <w:szCs w:val="22"/>
          <w:lang w:val="en-US"/>
        </w:rPr>
        <w:t xml:space="preserve">found symptoms of intoxication and genetic damage in </w:t>
      </w:r>
      <w:r w:rsidR="003D2969" w:rsidRPr="002209B2">
        <w:rPr>
          <w:rFonts w:ascii="Times New Roman" w:hAnsi="Times New Roman" w:cs="Times New Roman"/>
          <w:sz w:val="22"/>
          <w:szCs w:val="22"/>
          <w:lang w:val="en-US"/>
        </w:rPr>
        <w:t xml:space="preserve">part of their </w:t>
      </w:r>
      <w:r w:rsidR="003B7BE2" w:rsidRPr="002209B2">
        <w:rPr>
          <w:rFonts w:ascii="Times New Roman" w:hAnsi="Times New Roman" w:cs="Times New Roman"/>
          <w:sz w:val="22"/>
          <w:szCs w:val="22"/>
          <w:lang w:val="en-US"/>
        </w:rPr>
        <w:t>cells.</w:t>
      </w:r>
    </w:p>
    <w:p w14:paraId="260805CB" w14:textId="77777777" w:rsidR="003855EE" w:rsidRPr="003855EE" w:rsidRDefault="003855EE" w:rsidP="003855EE">
      <w:pPr>
        <w:pStyle w:val="Listenabsatz"/>
        <w:spacing w:after="100"/>
        <w:ind w:left="0"/>
        <w:contextualSpacing w:val="0"/>
        <w:jc w:val="both"/>
        <w:rPr>
          <w:rFonts w:ascii="Times New Roman" w:hAnsi="Times New Roman" w:cs="Times New Roman"/>
          <w:sz w:val="22"/>
          <w:szCs w:val="22"/>
          <w:lang w:val="en-US"/>
        </w:rPr>
      </w:pPr>
    </w:p>
    <w:p w14:paraId="7BDFF2BF" w14:textId="43F137A1" w:rsidR="007D0094" w:rsidRPr="00D369A5" w:rsidRDefault="00E81ABA" w:rsidP="00D369A5">
      <w:pPr>
        <w:pStyle w:val="Listenabsatz"/>
        <w:numPr>
          <w:ilvl w:val="0"/>
          <w:numId w:val="17"/>
        </w:numPr>
        <w:spacing w:after="100"/>
        <w:ind w:left="0"/>
        <w:contextualSpacing w:val="0"/>
        <w:jc w:val="both"/>
        <w:rPr>
          <w:rFonts w:ascii="Times New Roman" w:hAnsi="Times New Roman" w:cs="Times New Roman"/>
          <w:sz w:val="22"/>
          <w:szCs w:val="22"/>
          <w:lang w:val="en-US"/>
        </w:rPr>
      </w:pPr>
      <w:r>
        <w:rPr>
          <w:rFonts w:ascii="Times New Roman" w:hAnsi="Times New Roman" w:cs="Times New Roman"/>
          <w:sz w:val="22"/>
          <w:szCs w:val="22"/>
          <w:lang w:val="en-US"/>
        </w:rPr>
        <w:t>Th</w:t>
      </w:r>
      <w:r w:rsidR="00B70779" w:rsidRPr="003855EE">
        <w:rPr>
          <w:rFonts w:ascii="Times New Roman" w:hAnsi="Times New Roman" w:cs="Times New Roman"/>
          <w:sz w:val="22"/>
          <w:szCs w:val="22"/>
          <w:lang w:val="en-US"/>
        </w:rPr>
        <w:t>e Cent</w:t>
      </w:r>
      <w:r w:rsidR="00376AFA">
        <w:rPr>
          <w:rFonts w:ascii="Times New Roman" w:hAnsi="Times New Roman" w:cs="Times New Roman"/>
          <w:sz w:val="22"/>
          <w:szCs w:val="22"/>
          <w:lang w:val="en-US"/>
        </w:rPr>
        <w:t>er</w:t>
      </w:r>
      <w:r w:rsidR="00B70779" w:rsidRPr="003855EE">
        <w:rPr>
          <w:rFonts w:ascii="Times New Roman" w:hAnsi="Times New Roman" w:cs="Times New Roman"/>
          <w:sz w:val="22"/>
          <w:szCs w:val="22"/>
          <w:lang w:val="en-US"/>
        </w:rPr>
        <w:t xml:space="preserve"> for Reproductive Rights, alongside the School of Public Health of the Universidad del Valle, launched a report on 2020 that reveals the negative impacts of glyphosate on reproductive health</w:t>
      </w:r>
      <w:r w:rsidR="00C77DCC">
        <w:rPr>
          <w:rFonts w:ascii="Times New Roman" w:hAnsi="Times New Roman" w:cs="Times New Roman"/>
          <w:sz w:val="22"/>
          <w:szCs w:val="22"/>
          <w:lang w:val="en-US"/>
        </w:rPr>
        <w:t xml:space="preserve">. </w:t>
      </w:r>
      <w:r w:rsidR="00376AFA">
        <w:rPr>
          <w:rFonts w:ascii="Times New Roman" w:hAnsi="Times New Roman" w:cs="Times New Roman"/>
          <w:sz w:val="22"/>
          <w:szCs w:val="22"/>
          <w:lang w:val="en-US"/>
        </w:rPr>
        <w:t>The study</w:t>
      </w:r>
      <w:r w:rsidR="00897CA1">
        <w:rPr>
          <w:rFonts w:ascii="Times New Roman" w:hAnsi="Times New Roman" w:cs="Times New Roman"/>
          <w:sz w:val="22"/>
          <w:szCs w:val="22"/>
          <w:lang w:val="en-US"/>
        </w:rPr>
        <w:t xml:space="preserve"> conclu</w:t>
      </w:r>
      <w:r w:rsidR="00376AFA">
        <w:rPr>
          <w:rFonts w:ascii="Times New Roman" w:hAnsi="Times New Roman" w:cs="Times New Roman"/>
          <w:sz w:val="22"/>
          <w:szCs w:val="22"/>
          <w:lang w:val="en-US"/>
        </w:rPr>
        <w:t>des that</w:t>
      </w:r>
      <w:r w:rsidR="00897CA1">
        <w:rPr>
          <w:rFonts w:ascii="Times New Roman" w:hAnsi="Times New Roman" w:cs="Times New Roman"/>
          <w:sz w:val="22"/>
          <w:szCs w:val="22"/>
          <w:lang w:val="en-US"/>
        </w:rPr>
        <w:t xml:space="preserve"> </w:t>
      </w:r>
      <w:r w:rsidR="00C77DCC">
        <w:rPr>
          <w:rFonts w:ascii="Times New Roman" w:hAnsi="Times New Roman" w:cs="Times New Roman"/>
          <w:sz w:val="22"/>
          <w:szCs w:val="22"/>
          <w:lang w:val="en-US"/>
        </w:rPr>
        <w:t xml:space="preserve">there are </w:t>
      </w:r>
      <w:r w:rsidR="003F2E18">
        <w:rPr>
          <w:rFonts w:ascii="Times New Roman" w:hAnsi="Times New Roman" w:cs="Times New Roman"/>
          <w:sz w:val="22"/>
          <w:szCs w:val="22"/>
          <w:lang w:val="en-US"/>
        </w:rPr>
        <w:t xml:space="preserve">affectations </w:t>
      </w:r>
      <w:r w:rsidR="00A45BB3">
        <w:rPr>
          <w:rFonts w:ascii="Times New Roman" w:hAnsi="Times New Roman" w:cs="Times New Roman"/>
          <w:sz w:val="22"/>
          <w:szCs w:val="22"/>
          <w:lang w:val="en-US"/>
        </w:rPr>
        <w:t xml:space="preserve">such as, </w:t>
      </w:r>
      <w:r w:rsidR="00A81D49" w:rsidRPr="00A81D49">
        <w:rPr>
          <w:rFonts w:ascii="Times New Roman" w:hAnsi="Times New Roman" w:cs="Times New Roman"/>
          <w:sz w:val="22"/>
          <w:szCs w:val="22"/>
          <w:lang w:val="en-US"/>
        </w:rPr>
        <w:t>abortion, perinatal effects and transgenerational effect</w:t>
      </w:r>
      <w:r w:rsidR="00212DF0">
        <w:rPr>
          <w:rFonts w:ascii="Times New Roman" w:hAnsi="Times New Roman" w:cs="Times New Roman"/>
          <w:sz w:val="22"/>
          <w:szCs w:val="22"/>
          <w:lang w:val="en-US"/>
        </w:rPr>
        <w:t xml:space="preserve">s and recommends </w:t>
      </w:r>
      <w:r w:rsidR="00D369A5">
        <w:rPr>
          <w:rFonts w:ascii="Times New Roman" w:hAnsi="Times New Roman" w:cs="Times New Roman"/>
          <w:sz w:val="22"/>
          <w:szCs w:val="22"/>
          <w:lang w:val="en-US"/>
        </w:rPr>
        <w:t>preventing</w:t>
      </w:r>
      <w:r w:rsidR="00212DF0">
        <w:rPr>
          <w:rFonts w:ascii="Times New Roman" w:hAnsi="Times New Roman" w:cs="Times New Roman"/>
          <w:sz w:val="22"/>
          <w:szCs w:val="22"/>
          <w:lang w:val="en-US"/>
        </w:rPr>
        <w:t xml:space="preserve"> e</w:t>
      </w:r>
      <w:r w:rsidR="00212DF0" w:rsidRPr="00A80F52">
        <w:rPr>
          <w:rFonts w:ascii="Times New Roman" w:hAnsi="Times New Roman" w:cs="Times New Roman"/>
          <w:sz w:val="22"/>
          <w:szCs w:val="22"/>
          <w:lang w:val="en-US"/>
        </w:rPr>
        <w:t>xposure of women of reproductive age, their children and their partners to glyphosate</w:t>
      </w:r>
      <w:r w:rsidR="00212DF0">
        <w:rPr>
          <w:rStyle w:val="Endnotenzeichen"/>
          <w:rFonts w:ascii="Times New Roman" w:hAnsi="Times New Roman" w:cs="Times New Roman"/>
          <w:sz w:val="22"/>
          <w:szCs w:val="22"/>
          <w:lang w:val="en-US"/>
        </w:rPr>
        <w:endnoteReference w:id="7"/>
      </w:r>
      <w:r w:rsidR="00212DF0">
        <w:rPr>
          <w:rFonts w:ascii="Times New Roman" w:hAnsi="Times New Roman" w:cs="Times New Roman"/>
          <w:sz w:val="22"/>
          <w:szCs w:val="22"/>
          <w:lang w:val="en-US"/>
        </w:rPr>
        <w:t xml:space="preserve"> in application of </w:t>
      </w:r>
      <w:r w:rsidR="00A80F52" w:rsidRPr="003F2E18">
        <w:rPr>
          <w:rFonts w:ascii="Times New Roman" w:hAnsi="Times New Roman" w:cs="Times New Roman"/>
          <w:b/>
          <w:bCs/>
          <w:i/>
          <w:iCs/>
          <w:sz w:val="22"/>
          <w:szCs w:val="22"/>
          <w:lang w:val="en-US"/>
        </w:rPr>
        <w:t>the precautionary principle</w:t>
      </w:r>
      <w:r w:rsidR="00D369A5">
        <w:rPr>
          <w:rFonts w:ascii="Times New Roman" w:hAnsi="Times New Roman" w:cs="Times New Roman"/>
          <w:sz w:val="22"/>
          <w:szCs w:val="22"/>
          <w:lang w:val="en-US"/>
        </w:rPr>
        <w:t xml:space="preserve">. </w:t>
      </w:r>
      <w:r w:rsidR="009545EB" w:rsidRPr="00D369A5">
        <w:rPr>
          <w:rFonts w:ascii="Times New Roman" w:hAnsi="Times New Roman" w:cs="Times New Roman"/>
          <w:sz w:val="22"/>
          <w:szCs w:val="22"/>
          <w:lang w:val="en-US"/>
        </w:rPr>
        <w:t>Based on these conclusions, a report entitled "Reproductive Health and Glyphosate" was submitted to the Truth Commission, in which we propose a reading of the damage caused by glyphosate spraying from a gender perspective and through the lens of reproductive rights.</w:t>
      </w:r>
    </w:p>
    <w:p w14:paraId="767493CB" w14:textId="77777777" w:rsidR="00E46B86" w:rsidRPr="00E46B86" w:rsidRDefault="00E46B86" w:rsidP="00E46B86">
      <w:pPr>
        <w:pStyle w:val="Listenabsatz"/>
        <w:spacing w:after="100"/>
        <w:ind w:left="0"/>
        <w:contextualSpacing w:val="0"/>
        <w:jc w:val="both"/>
        <w:rPr>
          <w:rFonts w:ascii="Times New Roman" w:hAnsi="Times New Roman" w:cs="Times New Roman"/>
          <w:sz w:val="22"/>
          <w:szCs w:val="22"/>
          <w:lang w:val="en-US"/>
        </w:rPr>
      </w:pPr>
    </w:p>
    <w:p w14:paraId="76F81FFE" w14:textId="261BC9EC" w:rsidR="00E46B86" w:rsidRDefault="00E3318E" w:rsidP="00E3318E">
      <w:pPr>
        <w:spacing w:after="100"/>
        <w:ind w:left="709"/>
        <w:jc w:val="both"/>
        <w:rPr>
          <w:rFonts w:ascii="Times New Roman" w:hAnsi="Times New Roman" w:cs="Times New Roman"/>
          <w:i/>
          <w:iCs/>
          <w:sz w:val="22"/>
          <w:szCs w:val="22"/>
          <w:lang w:val="en-US"/>
        </w:rPr>
      </w:pPr>
      <w:r w:rsidRPr="00E3318E">
        <w:rPr>
          <w:rFonts w:ascii="Times New Roman" w:hAnsi="Times New Roman" w:cs="Times New Roman"/>
          <w:i/>
          <w:iCs/>
          <w:sz w:val="22"/>
          <w:szCs w:val="22"/>
          <w:lang w:val="en-US"/>
        </w:rPr>
        <w:t>Limited access to justice for people affected by PECIG</w:t>
      </w:r>
    </w:p>
    <w:p w14:paraId="42C1DF50" w14:textId="77777777" w:rsidR="005E57DF" w:rsidRDefault="005E57DF" w:rsidP="005E57DF">
      <w:pPr>
        <w:pStyle w:val="Listenabsatz"/>
        <w:spacing w:after="100"/>
        <w:ind w:left="0"/>
        <w:jc w:val="both"/>
        <w:rPr>
          <w:rFonts w:ascii="Times New Roman" w:hAnsi="Times New Roman" w:cs="Times New Roman"/>
          <w:sz w:val="22"/>
          <w:szCs w:val="22"/>
          <w:lang w:val="en-US"/>
        </w:rPr>
      </w:pPr>
    </w:p>
    <w:p w14:paraId="0919E17A" w14:textId="5FDD2ADA" w:rsidR="00161BE2" w:rsidRDefault="00A90F91" w:rsidP="00B11DDC">
      <w:pPr>
        <w:pStyle w:val="Listenabsatz"/>
        <w:numPr>
          <w:ilvl w:val="0"/>
          <w:numId w:val="17"/>
        </w:numPr>
        <w:spacing w:after="100"/>
        <w:ind w:left="0"/>
        <w:jc w:val="both"/>
        <w:rPr>
          <w:rFonts w:ascii="Times New Roman" w:hAnsi="Times New Roman" w:cs="Times New Roman"/>
          <w:sz w:val="22"/>
          <w:szCs w:val="22"/>
          <w:lang w:val="en-US"/>
        </w:rPr>
      </w:pPr>
      <w:r w:rsidRPr="00A90F91">
        <w:rPr>
          <w:rFonts w:ascii="Times New Roman" w:hAnsi="Times New Roman" w:cs="Times New Roman"/>
          <w:sz w:val="22"/>
          <w:szCs w:val="22"/>
          <w:lang w:val="en-US"/>
        </w:rPr>
        <w:t>Due to the advocacy of civil society organizations and human rights defenders</w:t>
      </w:r>
      <w:r w:rsidR="00170739">
        <w:rPr>
          <w:rStyle w:val="Endnotenzeichen"/>
          <w:rFonts w:ascii="Times New Roman" w:hAnsi="Times New Roman" w:cs="Times New Roman"/>
          <w:sz w:val="22"/>
          <w:szCs w:val="22"/>
          <w:lang w:val="en-US"/>
        </w:rPr>
        <w:endnoteReference w:id="8"/>
      </w:r>
      <w:r w:rsidRPr="00A90F91">
        <w:rPr>
          <w:rFonts w:ascii="Times New Roman" w:hAnsi="Times New Roman" w:cs="Times New Roman"/>
          <w:sz w:val="22"/>
          <w:szCs w:val="22"/>
          <w:lang w:val="en-US"/>
        </w:rPr>
        <w:t>, it was only until the end of 2001 that the CNE adopted a procedure for addressing complaints resulting from PECIG fumigations</w:t>
      </w:r>
      <w:r w:rsidR="00170739">
        <w:rPr>
          <w:rStyle w:val="Endnotenzeichen"/>
          <w:rFonts w:ascii="Times New Roman" w:hAnsi="Times New Roman" w:cs="Times New Roman"/>
          <w:sz w:val="22"/>
          <w:szCs w:val="22"/>
          <w:lang w:val="en-US"/>
        </w:rPr>
        <w:endnoteReference w:id="9"/>
      </w:r>
      <w:r w:rsidRPr="00A90F91">
        <w:rPr>
          <w:rFonts w:ascii="Times New Roman" w:hAnsi="Times New Roman" w:cs="Times New Roman"/>
          <w:sz w:val="22"/>
          <w:szCs w:val="22"/>
          <w:lang w:val="en-US"/>
        </w:rPr>
        <w:t>. A total of 17,643 families filed complaints, but by August 2015, 17,017 had been rejected or filed (96.5%); 474 processed for compensation (2.7%); 14 families did not accept the compensation offered (0.08%); and 138 cases were still in process (0.8%)</w:t>
      </w:r>
      <w:r w:rsidR="005B165B">
        <w:rPr>
          <w:rStyle w:val="Endnotenzeichen"/>
          <w:rFonts w:ascii="Times New Roman" w:hAnsi="Times New Roman" w:cs="Times New Roman"/>
          <w:sz w:val="22"/>
          <w:szCs w:val="22"/>
          <w:lang w:val="en-US"/>
        </w:rPr>
        <w:endnoteReference w:id="10"/>
      </w:r>
      <w:r w:rsidR="00161BE2">
        <w:rPr>
          <w:rFonts w:ascii="Times New Roman" w:hAnsi="Times New Roman" w:cs="Times New Roman"/>
          <w:sz w:val="22"/>
          <w:szCs w:val="22"/>
          <w:lang w:val="en-US"/>
        </w:rPr>
        <w:t xml:space="preserve">. </w:t>
      </w:r>
      <w:r w:rsidR="00161BE2" w:rsidRPr="00161BE2">
        <w:rPr>
          <w:rFonts w:ascii="Times New Roman" w:hAnsi="Times New Roman" w:cs="Times New Roman"/>
          <w:sz w:val="22"/>
          <w:szCs w:val="22"/>
          <w:lang w:val="en-US"/>
        </w:rPr>
        <w:t>According to civil society organizations</w:t>
      </w:r>
      <w:r w:rsidR="00161BE2">
        <w:rPr>
          <w:rFonts w:ascii="Times New Roman" w:hAnsi="Times New Roman" w:cs="Times New Roman"/>
          <w:sz w:val="22"/>
          <w:szCs w:val="22"/>
          <w:lang w:val="en-US"/>
        </w:rPr>
        <w:t xml:space="preserve">, this </w:t>
      </w:r>
      <w:r w:rsidR="00161BE2" w:rsidRPr="00161BE2">
        <w:rPr>
          <w:rFonts w:ascii="Times New Roman" w:hAnsi="Times New Roman" w:cs="Times New Roman"/>
          <w:sz w:val="22"/>
          <w:szCs w:val="22"/>
          <w:lang w:val="en-US"/>
        </w:rPr>
        <w:t xml:space="preserve">procedure was inefficient, among other reasons due to its complexity, the lack of visits to the sprayed areas by the authorities in charge caused by situations of public order, lack of logistics and economic resources, and the </w:t>
      </w:r>
      <w:r w:rsidR="00B11DDC" w:rsidRPr="00161BE2">
        <w:rPr>
          <w:rFonts w:ascii="Times New Roman" w:hAnsi="Times New Roman" w:cs="Times New Roman"/>
          <w:sz w:val="22"/>
          <w:szCs w:val="22"/>
          <w:lang w:val="en-US"/>
        </w:rPr>
        <w:t>unwillingness</w:t>
      </w:r>
      <w:r w:rsidR="00161BE2" w:rsidRPr="00161BE2">
        <w:rPr>
          <w:rFonts w:ascii="Times New Roman" w:hAnsi="Times New Roman" w:cs="Times New Roman"/>
          <w:sz w:val="22"/>
          <w:szCs w:val="22"/>
          <w:lang w:val="en-US"/>
        </w:rPr>
        <w:t xml:space="preserve"> of the affected people to file complaints due to the impossibility of providing evidence of the toxicity of glyphosate</w:t>
      </w:r>
      <w:r w:rsidR="001A0E6B">
        <w:rPr>
          <w:rStyle w:val="Endnotenzeichen"/>
          <w:rFonts w:ascii="Times New Roman" w:hAnsi="Times New Roman" w:cs="Times New Roman"/>
          <w:sz w:val="22"/>
          <w:szCs w:val="22"/>
          <w:lang w:val="en-US"/>
        </w:rPr>
        <w:endnoteReference w:id="11"/>
      </w:r>
      <w:r w:rsidR="00161BE2" w:rsidRPr="00161BE2">
        <w:rPr>
          <w:rFonts w:ascii="Times New Roman" w:hAnsi="Times New Roman" w:cs="Times New Roman"/>
          <w:sz w:val="22"/>
          <w:szCs w:val="22"/>
          <w:lang w:val="en-US"/>
        </w:rPr>
        <w:t>.</w:t>
      </w:r>
    </w:p>
    <w:p w14:paraId="736CED8D" w14:textId="77777777" w:rsidR="00963754" w:rsidRDefault="00963754" w:rsidP="00963754">
      <w:pPr>
        <w:pStyle w:val="Listenabsatz"/>
        <w:spacing w:after="100"/>
        <w:ind w:left="0"/>
        <w:jc w:val="both"/>
        <w:rPr>
          <w:rFonts w:ascii="Times New Roman" w:hAnsi="Times New Roman" w:cs="Times New Roman"/>
          <w:sz w:val="22"/>
          <w:szCs w:val="22"/>
          <w:lang w:val="en-US"/>
        </w:rPr>
      </w:pPr>
    </w:p>
    <w:p w14:paraId="705A2996" w14:textId="28885FE8" w:rsidR="000D1489" w:rsidRDefault="00385CEC" w:rsidP="00000B47">
      <w:pPr>
        <w:pStyle w:val="Listenabsatz"/>
        <w:numPr>
          <w:ilvl w:val="0"/>
          <w:numId w:val="17"/>
        </w:numPr>
        <w:spacing w:after="100"/>
        <w:ind w:left="0"/>
        <w:jc w:val="both"/>
        <w:rPr>
          <w:rFonts w:ascii="Times New Roman" w:hAnsi="Times New Roman" w:cs="Times New Roman"/>
          <w:sz w:val="22"/>
          <w:szCs w:val="22"/>
          <w:lang w:val="en-US"/>
        </w:rPr>
      </w:pPr>
      <w:r w:rsidRPr="00F250FE">
        <w:rPr>
          <w:rFonts w:ascii="Times New Roman" w:hAnsi="Times New Roman" w:cs="Times New Roman"/>
          <w:sz w:val="22"/>
          <w:szCs w:val="22"/>
          <w:lang w:val="en-US"/>
        </w:rPr>
        <w:t xml:space="preserve">Regarding the </w:t>
      </w:r>
      <w:r w:rsidR="00AE7651">
        <w:rPr>
          <w:rFonts w:ascii="Times New Roman" w:hAnsi="Times New Roman" w:cs="Times New Roman"/>
          <w:sz w:val="22"/>
          <w:szCs w:val="22"/>
          <w:lang w:val="en-US"/>
        </w:rPr>
        <w:t xml:space="preserve">internal legal </w:t>
      </w:r>
      <w:r w:rsidRPr="00F250FE">
        <w:rPr>
          <w:rFonts w:ascii="Times New Roman" w:hAnsi="Times New Roman" w:cs="Times New Roman"/>
          <w:sz w:val="22"/>
          <w:szCs w:val="22"/>
          <w:lang w:val="en-US"/>
        </w:rPr>
        <w:t>procedures, the</w:t>
      </w:r>
      <w:r w:rsidR="00D9095E" w:rsidRPr="00F250FE">
        <w:rPr>
          <w:rFonts w:ascii="Times New Roman" w:hAnsi="Times New Roman" w:cs="Times New Roman"/>
          <w:sz w:val="22"/>
          <w:szCs w:val="22"/>
          <w:lang w:val="en-US"/>
        </w:rPr>
        <w:t xml:space="preserve"> people who suffered impacts were requested to present </w:t>
      </w:r>
      <w:r w:rsidR="00AE7651">
        <w:rPr>
          <w:rFonts w:ascii="Times New Roman" w:hAnsi="Times New Roman" w:cs="Times New Roman"/>
          <w:sz w:val="22"/>
          <w:szCs w:val="22"/>
          <w:lang w:val="en-US"/>
        </w:rPr>
        <w:t>highly specialized evidence</w:t>
      </w:r>
      <w:r w:rsidR="00D9095E" w:rsidRPr="00F250FE">
        <w:rPr>
          <w:rFonts w:ascii="Times New Roman" w:hAnsi="Times New Roman" w:cs="Times New Roman"/>
          <w:sz w:val="22"/>
          <w:szCs w:val="22"/>
          <w:lang w:val="en-US"/>
        </w:rPr>
        <w:t xml:space="preserve"> </w:t>
      </w:r>
      <w:r w:rsidR="007F2EB7" w:rsidRPr="00F250FE">
        <w:rPr>
          <w:rFonts w:ascii="Times New Roman" w:hAnsi="Times New Roman" w:cs="Times New Roman"/>
          <w:sz w:val="22"/>
          <w:szCs w:val="22"/>
          <w:lang w:val="en-US"/>
        </w:rPr>
        <w:t>difficult to obtain</w:t>
      </w:r>
      <w:r w:rsidR="001A560E" w:rsidRPr="00F250FE">
        <w:rPr>
          <w:rFonts w:ascii="Times New Roman" w:hAnsi="Times New Roman" w:cs="Times New Roman"/>
          <w:sz w:val="22"/>
          <w:szCs w:val="22"/>
          <w:lang w:val="en-US"/>
        </w:rPr>
        <w:t>, such as the exact location of the places sprayed and the c</w:t>
      </w:r>
      <w:r w:rsidR="00ED02CD">
        <w:rPr>
          <w:rFonts w:ascii="Times New Roman" w:hAnsi="Times New Roman" w:cs="Times New Roman"/>
          <w:sz w:val="22"/>
          <w:szCs w:val="22"/>
          <w:lang w:val="en-US"/>
        </w:rPr>
        <w:t>lear relation</w:t>
      </w:r>
      <w:r w:rsidR="001A560E" w:rsidRPr="00F250FE">
        <w:rPr>
          <w:rFonts w:ascii="Times New Roman" w:hAnsi="Times New Roman" w:cs="Times New Roman"/>
          <w:sz w:val="22"/>
          <w:szCs w:val="22"/>
          <w:lang w:val="en-US"/>
        </w:rPr>
        <w:t xml:space="preserve"> between the</w:t>
      </w:r>
      <w:r w:rsidR="00B351F9" w:rsidRPr="00F250FE">
        <w:rPr>
          <w:rFonts w:ascii="Times New Roman" w:hAnsi="Times New Roman" w:cs="Times New Roman"/>
          <w:sz w:val="22"/>
          <w:szCs w:val="22"/>
          <w:lang w:val="en-US"/>
        </w:rPr>
        <w:t xml:space="preserve"> glyphosate</w:t>
      </w:r>
      <w:r w:rsidR="001A560E" w:rsidRPr="00F250FE">
        <w:rPr>
          <w:rFonts w:ascii="Times New Roman" w:hAnsi="Times New Roman" w:cs="Times New Roman"/>
          <w:sz w:val="22"/>
          <w:szCs w:val="22"/>
          <w:lang w:val="en-US"/>
        </w:rPr>
        <w:t xml:space="preserve"> spray</w:t>
      </w:r>
      <w:r w:rsidR="00B351F9" w:rsidRPr="00F250FE">
        <w:rPr>
          <w:rFonts w:ascii="Times New Roman" w:hAnsi="Times New Roman" w:cs="Times New Roman"/>
          <w:sz w:val="22"/>
          <w:szCs w:val="22"/>
          <w:lang w:val="en-US"/>
        </w:rPr>
        <w:t xml:space="preserve">ing </w:t>
      </w:r>
      <w:r w:rsidR="001A560E" w:rsidRPr="00F250FE">
        <w:rPr>
          <w:rFonts w:ascii="Times New Roman" w:hAnsi="Times New Roman" w:cs="Times New Roman"/>
          <w:sz w:val="22"/>
          <w:szCs w:val="22"/>
          <w:lang w:val="en-US"/>
        </w:rPr>
        <w:t>and damage</w:t>
      </w:r>
      <w:r w:rsidR="00E45895">
        <w:rPr>
          <w:rStyle w:val="Endnotenzeichen"/>
          <w:rFonts w:ascii="Times New Roman" w:hAnsi="Times New Roman" w:cs="Times New Roman"/>
          <w:sz w:val="22"/>
          <w:szCs w:val="22"/>
          <w:lang w:val="en-US"/>
        </w:rPr>
        <w:endnoteReference w:id="12"/>
      </w:r>
      <w:r w:rsidR="00B351F9" w:rsidRPr="00F250FE">
        <w:rPr>
          <w:rFonts w:ascii="Times New Roman" w:hAnsi="Times New Roman" w:cs="Times New Roman"/>
          <w:sz w:val="22"/>
          <w:szCs w:val="22"/>
          <w:lang w:val="en-US"/>
        </w:rPr>
        <w:t xml:space="preserve">. </w:t>
      </w:r>
      <w:r w:rsidR="00FD24FD" w:rsidRPr="00F250FE">
        <w:rPr>
          <w:rFonts w:ascii="Times New Roman" w:hAnsi="Times New Roman" w:cs="Times New Roman"/>
          <w:sz w:val="22"/>
          <w:szCs w:val="22"/>
          <w:lang w:val="en-US"/>
        </w:rPr>
        <w:t>Particularly</w:t>
      </w:r>
      <w:r w:rsidR="00B351F9" w:rsidRPr="00F250FE">
        <w:rPr>
          <w:rFonts w:ascii="Times New Roman" w:hAnsi="Times New Roman" w:cs="Times New Roman"/>
          <w:sz w:val="22"/>
          <w:szCs w:val="22"/>
          <w:lang w:val="en-US"/>
        </w:rPr>
        <w:t xml:space="preserve">, the </w:t>
      </w:r>
      <w:r w:rsidR="00FD24FD" w:rsidRPr="00F250FE">
        <w:rPr>
          <w:rFonts w:ascii="Times New Roman" w:hAnsi="Times New Roman" w:cs="Times New Roman"/>
          <w:sz w:val="22"/>
          <w:szCs w:val="22"/>
          <w:lang w:val="en-US"/>
        </w:rPr>
        <w:t>Council State</w:t>
      </w:r>
      <w:r w:rsidR="00AC10E4" w:rsidRPr="00F250FE">
        <w:rPr>
          <w:rFonts w:ascii="Times New Roman" w:hAnsi="Times New Roman" w:cs="Times New Roman"/>
          <w:sz w:val="22"/>
          <w:szCs w:val="22"/>
          <w:lang w:val="en-US"/>
        </w:rPr>
        <w:t xml:space="preserve"> did not recognize the harmful effects and the risk of PECIG </w:t>
      </w:r>
      <w:r w:rsidR="00696F52" w:rsidRPr="00F250FE">
        <w:rPr>
          <w:rFonts w:ascii="Times New Roman" w:hAnsi="Times New Roman" w:cs="Times New Roman"/>
          <w:sz w:val="22"/>
          <w:szCs w:val="22"/>
          <w:lang w:val="en-US"/>
        </w:rPr>
        <w:t xml:space="preserve">for people’s health, </w:t>
      </w:r>
      <w:r w:rsidR="00ED02CD">
        <w:rPr>
          <w:rFonts w:ascii="Times New Roman" w:hAnsi="Times New Roman" w:cs="Times New Roman"/>
          <w:sz w:val="22"/>
          <w:szCs w:val="22"/>
          <w:lang w:val="en-US"/>
        </w:rPr>
        <w:t>arguing that no</w:t>
      </w:r>
      <w:r w:rsidR="00483994">
        <w:rPr>
          <w:rFonts w:ascii="Times New Roman" w:hAnsi="Times New Roman" w:cs="Times New Roman"/>
          <w:sz w:val="22"/>
          <w:szCs w:val="22"/>
          <w:lang w:val="en-US"/>
        </w:rPr>
        <w:t xml:space="preserve"> evidence</w:t>
      </w:r>
      <w:r w:rsidR="00ED02CD">
        <w:rPr>
          <w:rFonts w:ascii="Times New Roman" w:hAnsi="Times New Roman" w:cs="Times New Roman"/>
          <w:sz w:val="22"/>
          <w:szCs w:val="22"/>
          <w:lang w:val="en-US"/>
        </w:rPr>
        <w:t xml:space="preserve"> was provided that could determinate</w:t>
      </w:r>
      <w:r w:rsidR="00483994" w:rsidRPr="00483994">
        <w:rPr>
          <w:rFonts w:ascii="Times New Roman" w:hAnsi="Times New Roman" w:cs="Times New Roman"/>
          <w:sz w:val="22"/>
          <w:szCs w:val="22"/>
          <w:lang w:val="en-US"/>
        </w:rPr>
        <w:t xml:space="preserve"> </w:t>
      </w:r>
      <w:r w:rsidR="00ED02CD">
        <w:rPr>
          <w:rFonts w:ascii="Times New Roman" w:hAnsi="Times New Roman" w:cs="Times New Roman"/>
          <w:sz w:val="22"/>
          <w:szCs w:val="22"/>
          <w:lang w:val="en-US"/>
        </w:rPr>
        <w:t xml:space="preserve">absolute </w:t>
      </w:r>
      <w:r w:rsidR="00483994" w:rsidRPr="00483994">
        <w:rPr>
          <w:rFonts w:ascii="Times New Roman" w:hAnsi="Times New Roman" w:cs="Times New Roman"/>
          <w:sz w:val="22"/>
          <w:szCs w:val="22"/>
          <w:lang w:val="en-US"/>
        </w:rPr>
        <w:t>scientific certainty of irreversible damage</w:t>
      </w:r>
      <w:r w:rsidR="00F1413C" w:rsidRPr="00F250FE">
        <w:rPr>
          <w:rFonts w:ascii="Times New Roman" w:hAnsi="Times New Roman" w:cs="Times New Roman"/>
          <w:sz w:val="22"/>
          <w:szCs w:val="22"/>
          <w:lang w:val="en-US"/>
        </w:rPr>
        <w:t xml:space="preserve">. </w:t>
      </w:r>
      <w:r w:rsidR="00F250FE" w:rsidRPr="00F250FE">
        <w:rPr>
          <w:rFonts w:ascii="Times New Roman" w:hAnsi="Times New Roman" w:cs="Times New Roman"/>
          <w:sz w:val="22"/>
          <w:szCs w:val="22"/>
          <w:lang w:val="en-US"/>
        </w:rPr>
        <w:t>In some decisions, this Court required evidence from individuals that they were unable to provide in order to consider that the right to life or health was threatened</w:t>
      </w:r>
      <w:r w:rsidR="00006E85">
        <w:rPr>
          <w:rFonts w:ascii="Times New Roman" w:hAnsi="Times New Roman" w:cs="Times New Roman"/>
          <w:sz w:val="22"/>
          <w:szCs w:val="22"/>
          <w:lang w:val="en-US"/>
        </w:rPr>
        <w:t xml:space="preserve"> or damaged</w:t>
      </w:r>
      <w:r w:rsidR="003B5592">
        <w:rPr>
          <w:rStyle w:val="Endnotenzeichen"/>
          <w:rFonts w:ascii="Times New Roman" w:hAnsi="Times New Roman" w:cs="Times New Roman"/>
          <w:sz w:val="22"/>
          <w:szCs w:val="22"/>
          <w:lang w:val="en-US"/>
        </w:rPr>
        <w:endnoteReference w:id="13"/>
      </w:r>
      <w:r w:rsidR="00F250FE" w:rsidRPr="00F250FE">
        <w:rPr>
          <w:rFonts w:ascii="Times New Roman" w:hAnsi="Times New Roman" w:cs="Times New Roman"/>
          <w:sz w:val="22"/>
          <w:szCs w:val="22"/>
          <w:lang w:val="en-US"/>
        </w:rPr>
        <w:t>.</w:t>
      </w:r>
    </w:p>
    <w:p w14:paraId="57AFBF00" w14:textId="77777777" w:rsidR="0041294F" w:rsidRPr="0041294F" w:rsidRDefault="0041294F" w:rsidP="0041294F">
      <w:pPr>
        <w:pStyle w:val="Listenabsatz"/>
        <w:rPr>
          <w:rFonts w:ascii="Times New Roman" w:hAnsi="Times New Roman" w:cs="Times New Roman"/>
          <w:sz w:val="22"/>
          <w:szCs w:val="22"/>
          <w:lang w:val="en-US"/>
        </w:rPr>
      </w:pPr>
    </w:p>
    <w:p w14:paraId="6A6DCC85" w14:textId="46EFF543" w:rsidR="0041294F" w:rsidRDefault="0041294F" w:rsidP="0041294F">
      <w:pPr>
        <w:pStyle w:val="Listenabsatz"/>
        <w:spacing w:after="100"/>
        <w:ind w:left="709"/>
        <w:jc w:val="both"/>
        <w:rPr>
          <w:rFonts w:ascii="Times New Roman" w:hAnsi="Times New Roman" w:cs="Times New Roman"/>
          <w:i/>
          <w:iCs/>
          <w:sz w:val="22"/>
          <w:szCs w:val="22"/>
          <w:lang w:val="en-US"/>
        </w:rPr>
      </w:pPr>
      <w:r w:rsidRPr="0041294F">
        <w:rPr>
          <w:rFonts w:ascii="Times New Roman" w:hAnsi="Times New Roman" w:cs="Times New Roman"/>
          <w:i/>
          <w:iCs/>
          <w:sz w:val="22"/>
          <w:szCs w:val="22"/>
          <w:lang w:val="en-US"/>
        </w:rPr>
        <w:t>Current status of PECIG in Colombia</w:t>
      </w:r>
    </w:p>
    <w:p w14:paraId="7EA0DA3C" w14:textId="77777777" w:rsidR="0041294F" w:rsidRDefault="0041294F" w:rsidP="0041294F">
      <w:pPr>
        <w:pStyle w:val="Listenabsatz"/>
        <w:spacing w:after="100"/>
        <w:ind w:left="709"/>
        <w:jc w:val="both"/>
        <w:rPr>
          <w:rFonts w:ascii="Times New Roman" w:hAnsi="Times New Roman" w:cs="Times New Roman"/>
          <w:i/>
          <w:iCs/>
          <w:sz w:val="22"/>
          <w:szCs w:val="22"/>
          <w:lang w:val="en-US"/>
        </w:rPr>
      </w:pPr>
    </w:p>
    <w:p w14:paraId="06E92019" w14:textId="62B8A452" w:rsidR="00021F6A" w:rsidRDefault="00021F6A" w:rsidP="00021F6A">
      <w:pPr>
        <w:pStyle w:val="Listenabsatz"/>
        <w:numPr>
          <w:ilvl w:val="0"/>
          <w:numId w:val="17"/>
        </w:numPr>
        <w:spacing w:after="100"/>
        <w:ind w:left="0"/>
        <w:jc w:val="both"/>
        <w:rPr>
          <w:rFonts w:ascii="Times New Roman" w:hAnsi="Times New Roman" w:cs="Times New Roman"/>
          <w:sz w:val="22"/>
          <w:szCs w:val="22"/>
          <w:lang w:val="en-US"/>
        </w:rPr>
      </w:pPr>
      <w:r w:rsidRPr="00021F6A">
        <w:rPr>
          <w:rFonts w:ascii="Times New Roman" w:hAnsi="Times New Roman" w:cs="Times New Roman"/>
          <w:sz w:val="22"/>
          <w:szCs w:val="22"/>
          <w:lang w:val="en-US"/>
        </w:rPr>
        <w:t>In 2015, the PECIG was suspended by the CNE</w:t>
      </w:r>
      <w:r w:rsidR="00806B66">
        <w:rPr>
          <w:rStyle w:val="Endnotenzeichen"/>
          <w:rFonts w:ascii="Times New Roman" w:hAnsi="Times New Roman" w:cs="Times New Roman"/>
          <w:sz w:val="22"/>
          <w:szCs w:val="22"/>
          <w:lang w:val="en-US"/>
        </w:rPr>
        <w:endnoteReference w:id="14"/>
      </w:r>
      <w:r w:rsidRPr="00021F6A">
        <w:rPr>
          <w:rFonts w:ascii="Times New Roman" w:hAnsi="Times New Roman" w:cs="Times New Roman"/>
          <w:sz w:val="22"/>
          <w:szCs w:val="22"/>
          <w:lang w:val="en-US"/>
        </w:rPr>
        <w:t xml:space="preserve">. In 2017, the Constitutional Court studied a tutela action filed by the Personero of Nóvita (Chocó) to protect the indigenous and black communities of the municipality, affected by glyphosate fumigations carried out without prior consultation. Ruling T-236 of 2017 ordered the </w:t>
      </w:r>
      <w:r w:rsidR="007F4749" w:rsidRPr="007F4749">
        <w:rPr>
          <w:rFonts w:ascii="Times New Roman" w:hAnsi="Times New Roman" w:cs="Times New Roman"/>
          <w:sz w:val="22"/>
          <w:szCs w:val="22"/>
          <w:lang w:val="en-US"/>
        </w:rPr>
        <w:t xml:space="preserve">National Narcotics Council </w:t>
      </w:r>
      <w:r w:rsidR="007F4749">
        <w:rPr>
          <w:rFonts w:ascii="Times New Roman" w:hAnsi="Times New Roman" w:cs="Times New Roman"/>
          <w:sz w:val="22"/>
          <w:szCs w:val="22"/>
          <w:lang w:val="en-US"/>
        </w:rPr>
        <w:t xml:space="preserve">(Hereinafter </w:t>
      </w:r>
      <w:r w:rsidRPr="00021F6A">
        <w:rPr>
          <w:rFonts w:ascii="Times New Roman" w:hAnsi="Times New Roman" w:cs="Times New Roman"/>
          <w:sz w:val="22"/>
          <w:szCs w:val="22"/>
          <w:lang w:val="en-US"/>
        </w:rPr>
        <w:t>CNE</w:t>
      </w:r>
      <w:r w:rsidR="007F4749">
        <w:rPr>
          <w:rFonts w:ascii="Times New Roman" w:hAnsi="Times New Roman" w:cs="Times New Roman"/>
          <w:sz w:val="22"/>
          <w:szCs w:val="22"/>
          <w:lang w:val="en-US"/>
        </w:rPr>
        <w:t xml:space="preserve">) </w:t>
      </w:r>
      <w:r w:rsidRPr="00021F6A">
        <w:rPr>
          <w:rFonts w:ascii="Times New Roman" w:hAnsi="Times New Roman" w:cs="Times New Roman"/>
          <w:sz w:val="22"/>
          <w:szCs w:val="22"/>
          <w:lang w:val="en-US"/>
        </w:rPr>
        <w:t>not to resume the fumigations and imposed requirements in case the Government wanted to reactivate this policy</w:t>
      </w:r>
      <w:r w:rsidR="00806B66">
        <w:rPr>
          <w:rStyle w:val="Endnotenzeichen"/>
          <w:rFonts w:ascii="Times New Roman" w:hAnsi="Times New Roman" w:cs="Times New Roman"/>
          <w:sz w:val="22"/>
          <w:szCs w:val="22"/>
          <w:lang w:val="en-US"/>
        </w:rPr>
        <w:endnoteReference w:id="15"/>
      </w:r>
      <w:r w:rsidR="007F4749">
        <w:rPr>
          <w:rFonts w:ascii="Times New Roman" w:hAnsi="Times New Roman" w:cs="Times New Roman"/>
          <w:sz w:val="22"/>
          <w:szCs w:val="22"/>
          <w:lang w:val="en-US"/>
        </w:rPr>
        <w:t xml:space="preserve">. </w:t>
      </w:r>
    </w:p>
    <w:p w14:paraId="4EF2ED6B" w14:textId="77777777" w:rsidR="00BC6F31" w:rsidRDefault="00BC6F31" w:rsidP="00BC6F31">
      <w:pPr>
        <w:pStyle w:val="Listenabsatz"/>
        <w:spacing w:after="100"/>
        <w:ind w:left="0"/>
        <w:jc w:val="both"/>
        <w:rPr>
          <w:rFonts w:ascii="Times New Roman" w:hAnsi="Times New Roman" w:cs="Times New Roman"/>
          <w:sz w:val="22"/>
          <w:szCs w:val="22"/>
          <w:lang w:val="en-US"/>
        </w:rPr>
      </w:pPr>
    </w:p>
    <w:p w14:paraId="24E09799" w14:textId="43E068DC" w:rsidR="007F4749" w:rsidRDefault="00746243" w:rsidP="00021F6A">
      <w:pPr>
        <w:pStyle w:val="Listenabsatz"/>
        <w:numPr>
          <w:ilvl w:val="0"/>
          <w:numId w:val="17"/>
        </w:numPr>
        <w:spacing w:after="100"/>
        <w:ind w:left="0"/>
        <w:jc w:val="both"/>
        <w:rPr>
          <w:rFonts w:ascii="Times New Roman" w:hAnsi="Times New Roman" w:cs="Times New Roman"/>
          <w:sz w:val="22"/>
          <w:szCs w:val="22"/>
          <w:lang w:val="en-US"/>
        </w:rPr>
      </w:pPr>
      <w:r w:rsidRPr="00746243">
        <w:rPr>
          <w:rFonts w:ascii="Times New Roman" w:hAnsi="Times New Roman" w:cs="Times New Roman"/>
          <w:sz w:val="22"/>
          <w:szCs w:val="22"/>
          <w:lang w:val="en-US"/>
        </w:rPr>
        <w:t>Despite the evidence and reports on the impacts of the PECIG, at the initiative of the current national government, the Anti-Narcotics Police recently proposed to the National Environmental Licensing Authority (ANLA) to resume spraying in 104 municipalities, concentrated in six zones of the country, covering more than 170,000 hectares</w:t>
      </w:r>
      <w:r w:rsidR="00C4335C">
        <w:rPr>
          <w:rStyle w:val="Endnotenzeichen"/>
          <w:rFonts w:ascii="Times New Roman" w:hAnsi="Times New Roman" w:cs="Times New Roman"/>
          <w:sz w:val="22"/>
          <w:szCs w:val="22"/>
          <w:lang w:val="en-US"/>
        </w:rPr>
        <w:endnoteReference w:id="16"/>
      </w:r>
      <w:r w:rsidRPr="00746243">
        <w:rPr>
          <w:rFonts w:ascii="Times New Roman" w:hAnsi="Times New Roman" w:cs="Times New Roman"/>
          <w:sz w:val="22"/>
          <w:szCs w:val="22"/>
          <w:lang w:val="en-US"/>
        </w:rPr>
        <w:t>.  According to the government, it does not imply "repeated and prolonged exposure to the substance", and therefore "the potential risk of suffering an acute adverse health effect is low for all age groups "</w:t>
      </w:r>
      <w:r w:rsidR="00C4335C">
        <w:rPr>
          <w:rStyle w:val="Endnotenzeichen"/>
          <w:rFonts w:ascii="Times New Roman" w:hAnsi="Times New Roman" w:cs="Times New Roman"/>
          <w:sz w:val="22"/>
          <w:szCs w:val="22"/>
          <w:lang w:val="en-US"/>
        </w:rPr>
        <w:endnoteReference w:id="17"/>
      </w:r>
      <w:r w:rsidR="00E2368A">
        <w:rPr>
          <w:rFonts w:ascii="Times New Roman" w:hAnsi="Times New Roman" w:cs="Times New Roman"/>
          <w:sz w:val="22"/>
          <w:szCs w:val="22"/>
          <w:lang w:val="en-US"/>
        </w:rPr>
        <w:t>.</w:t>
      </w:r>
    </w:p>
    <w:p w14:paraId="6DFBB7E1" w14:textId="77777777" w:rsidR="00E2368A" w:rsidRPr="00E2368A" w:rsidRDefault="00E2368A" w:rsidP="00E2368A">
      <w:pPr>
        <w:pStyle w:val="Listenabsatz"/>
        <w:rPr>
          <w:rFonts w:ascii="Times New Roman" w:hAnsi="Times New Roman" w:cs="Times New Roman"/>
          <w:sz w:val="22"/>
          <w:szCs w:val="22"/>
          <w:lang w:val="en-US"/>
        </w:rPr>
      </w:pPr>
    </w:p>
    <w:p w14:paraId="599CC343" w14:textId="585ED8A9" w:rsidR="00E2368A" w:rsidRPr="00021F6A" w:rsidRDefault="00AE19CB" w:rsidP="00021F6A">
      <w:pPr>
        <w:pStyle w:val="Listenabsatz"/>
        <w:numPr>
          <w:ilvl w:val="0"/>
          <w:numId w:val="17"/>
        </w:numPr>
        <w:spacing w:after="100"/>
        <w:ind w:left="0"/>
        <w:jc w:val="both"/>
        <w:rPr>
          <w:rFonts w:ascii="Times New Roman" w:hAnsi="Times New Roman" w:cs="Times New Roman"/>
          <w:sz w:val="22"/>
          <w:szCs w:val="22"/>
          <w:lang w:val="en-US"/>
        </w:rPr>
      </w:pPr>
      <w:r w:rsidRPr="00AE19CB">
        <w:rPr>
          <w:rFonts w:ascii="Times New Roman" w:hAnsi="Times New Roman" w:cs="Times New Roman"/>
          <w:sz w:val="22"/>
          <w:szCs w:val="22"/>
          <w:lang w:val="en-US"/>
        </w:rPr>
        <w:t xml:space="preserve">Seven United Nations Rapporteurs </w:t>
      </w:r>
      <w:r w:rsidR="006F4494">
        <w:rPr>
          <w:rFonts w:ascii="Times New Roman" w:hAnsi="Times New Roman" w:cs="Times New Roman"/>
          <w:sz w:val="22"/>
          <w:szCs w:val="22"/>
          <w:lang w:val="en-US"/>
        </w:rPr>
        <w:t xml:space="preserve">expressed their concerns </w:t>
      </w:r>
      <w:r w:rsidR="00020CB0">
        <w:rPr>
          <w:rFonts w:ascii="Times New Roman" w:hAnsi="Times New Roman" w:cs="Times New Roman"/>
          <w:sz w:val="22"/>
          <w:szCs w:val="22"/>
          <w:lang w:val="en-US"/>
        </w:rPr>
        <w:t>regarding</w:t>
      </w:r>
      <w:r w:rsidRPr="00AE19CB">
        <w:rPr>
          <w:rFonts w:ascii="Times New Roman" w:hAnsi="Times New Roman" w:cs="Times New Roman"/>
          <w:sz w:val="22"/>
          <w:szCs w:val="22"/>
          <w:lang w:val="en-US"/>
        </w:rPr>
        <w:t xml:space="preserve"> the </w:t>
      </w:r>
      <w:r w:rsidR="00020CB0">
        <w:rPr>
          <w:rFonts w:ascii="Times New Roman" w:hAnsi="Times New Roman" w:cs="Times New Roman"/>
          <w:sz w:val="22"/>
          <w:szCs w:val="22"/>
          <w:lang w:val="en-US"/>
        </w:rPr>
        <w:t>Colombian</w:t>
      </w:r>
      <w:r w:rsidRPr="00AE19CB">
        <w:rPr>
          <w:rFonts w:ascii="Times New Roman" w:hAnsi="Times New Roman" w:cs="Times New Roman"/>
          <w:sz w:val="22"/>
          <w:szCs w:val="22"/>
          <w:lang w:val="en-US"/>
        </w:rPr>
        <w:t xml:space="preserve"> Government's intention to resume the PECIG, warning that it would pose enormous risks to human rights and the environment and that it would not comply with the conditions established by the Constitutional Court, nor with international obligations on the matter</w:t>
      </w:r>
      <w:r w:rsidR="00E242DA">
        <w:rPr>
          <w:rStyle w:val="Endnotenzeichen"/>
          <w:rFonts w:ascii="Times New Roman" w:hAnsi="Times New Roman" w:cs="Times New Roman"/>
          <w:sz w:val="22"/>
          <w:szCs w:val="22"/>
          <w:lang w:val="en-US"/>
        </w:rPr>
        <w:endnoteReference w:id="18"/>
      </w:r>
      <w:r w:rsidRPr="00AE19CB">
        <w:rPr>
          <w:rFonts w:ascii="Times New Roman" w:hAnsi="Times New Roman" w:cs="Times New Roman"/>
          <w:sz w:val="22"/>
          <w:szCs w:val="22"/>
          <w:lang w:val="en-US"/>
        </w:rPr>
        <w:t>. Nevertheless, the government issued Decree 380 of 2021 establishing the regulatory framework for this program, should the CNE approve its resumption</w:t>
      </w:r>
      <w:r w:rsidR="00E91B88">
        <w:rPr>
          <w:rStyle w:val="Endnotenzeichen"/>
          <w:rFonts w:ascii="Times New Roman" w:hAnsi="Times New Roman" w:cs="Times New Roman"/>
          <w:sz w:val="22"/>
          <w:szCs w:val="22"/>
          <w:lang w:val="en-US"/>
        </w:rPr>
        <w:endnoteReference w:id="19"/>
      </w:r>
      <w:r>
        <w:rPr>
          <w:rFonts w:ascii="Times New Roman" w:hAnsi="Times New Roman" w:cs="Times New Roman"/>
          <w:sz w:val="22"/>
          <w:szCs w:val="22"/>
          <w:lang w:val="en-US"/>
        </w:rPr>
        <w:t>.</w:t>
      </w:r>
    </w:p>
    <w:p w14:paraId="42BC11E5" w14:textId="49AAC2E8" w:rsidR="0042434B" w:rsidRDefault="0042434B" w:rsidP="0042434B">
      <w:pPr>
        <w:pStyle w:val="Listenabsatz"/>
        <w:spacing w:before="240" w:after="100"/>
        <w:ind w:left="0"/>
        <w:jc w:val="both"/>
        <w:rPr>
          <w:rFonts w:ascii="Times New Roman" w:hAnsi="Times New Roman" w:cs="Times New Roman"/>
          <w:sz w:val="22"/>
          <w:szCs w:val="22"/>
          <w:lang w:val="en-US"/>
        </w:rPr>
      </w:pPr>
    </w:p>
    <w:p w14:paraId="37040D42" w14:textId="77777777" w:rsidR="00020CB0" w:rsidRPr="004E4DE2" w:rsidRDefault="00020CB0" w:rsidP="0042434B">
      <w:pPr>
        <w:pStyle w:val="Listenabsatz"/>
        <w:spacing w:before="240" w:after="100"/>
        <w:ind w:left="0"/>
        <w:jc w:val="both"/>
        <w:rPr>
          <w:rFonts w:ascii="Times New Roman" w:hAnsi="Times New Roman" w:cs="Times New Roman"/>
          <w:sz w:val="22"/>
          <w:szCs w:val="22"/>
          <w:lang w:val="en-US"/>
        </w:rPr>
      </w:pPr>
    </w:p>
    <w:p w14:paraId="1370EDDE" w14:textId="4C1EC944" w:rsidR="004805D9" w:rsidRDefault="005F5D96" w:rsidP="005F5D96">
      <w:pPr>
        <w:pStyle w:val="Listenabsatz"/>
        <w:numPr>
          <w:ilvl w:val="0"/>
          <w:numId w:val="2"/>
        </w:numPr>
        <w:spacing w:after="100"/>
        <w:contextualSpacing w:val="0"/>
        <w:jc w:val="both"/>
        <w:rPr>
          <w:rFonts w:ascii="Times New Roman" w:eastAsia="Times New Roman" w:hAnsi="Times New Roman" w:cs="Times New Roman"/>
          <w:b/>
          <w:sz w:val="22"/>
          <w:szCs w:val="22"/>
          <w:lang w:val="en-US"/>
        </w:rPr>
      </w:pPr>
      <w:r>
        <w:rPr>
          <w:rFonts w:ascii="Times New Roman" w:eastAsia="Times New Roman" w:hAnsi="Times New Roman" w:cs="Times New Roman"/>
          <w:b/>
          <w:sz w:val="22"/>
          <w:szCs w:val="22"/>
          <w:lang w:val="en-US"/>
        </w:rPr>
        <w:lastRenderedPageBreak/>
        <w:t xml:space="preserve">Decriminalization of </w:t>
      </w:r>
      <w:r w:rsidR="0072231E" w:rsidRPr="0072231E">
        <w:rPr>
          <w:rFonts w:ascii="Times New Roman" w:eastAsia="Times New Roman" w:hAnsi="Times New Roman" w:cs="Times New Roman"/>
          <w:b/>
          <w:sz w:val="22"/>
          <w:szCs w:val="22"/>
          <w:lang w:val="en-US"/>
        </w:rPr>
        <w:t>abortion up to week 24</w:t>
      </w:r>
      <w:r>
        <w:rPr>
          <w:rFonts w:ascii="Times New Roman" w:eastAsia="Times New Roman" w:hAnsi="Times New Roman" w:cs="Times New Roman"/>
          <w:b/>
          <w:sz w:val="22"/>
          <w:szCs w:val="22"/>
          <w:lang w:val="en-US"/>
        </w:rPr>
        <w:t xml:space="preserve"> by the </w:t>
      </w:r>
      <w:r w:rsidR="002336A3">
        <w:rPr>
          <w:rFonts w:ascii="Times New Roman" w:eastAsia="Times New Roman" w:hAnsi="Times New Roman" w:cs="Times New Roman"/>
          <w:b/>
          <w:sz w:val="22"/>
          <w:szCs w:val="22"/>
          <w:lang w:val="en-US"/>
        </w:rPr>
        <w:t xml:space="preserve">Constitutional Court </w:t>
      </w:r>
    </w:p>
    <w:p w14:paraId="0CCE1076" w14:textId="77777777" w:rsidR="005F5D96" w:rsidRPr="00E1408F" w:rsidRDefault="005F5D96" w:rsidP="005F5D96">
      <w:pPr>
        <w:pStyle w:val="Listenabsatz"/>
        <w:spacing w:after="100"/>
        <w:ind w:left="1080"/>
        <w:contextualSpacing w:val="0"/>
        <w:jc w:val="both"/>
        <w:rPr>
          <w:rFonts w:ascii="Times New Roman" w:hAnsi="Times New Roman" w:cs="Times New Roman"/>
          <w:i/>
          <w:iCs/>
          <w:sz w:val="22"/>
          <w:szCs w:val="22"/>
          <w:lang w:val="en-US"/>
        </w:rPr>
      </w:pPr>
    </w:p>
    <w:p w14:paraId="3BDE7FE5" w14:textId="73716133" w:rsidR="00D3261C" w:rsidRDefault="00E1408F" w:rsidP="00E1408F">
      <w:pPr>
        <w:pStyle w:val="Listenabsatz"/>
        <w:spacing w:after="100"/>
        <w:ind w:left="709"/>
        <w:contextualSpacing w:val="0"/>
        <w:jc w:val="both"/>
        <w:rPr>
          <w:rFonts w:ascii="Times New Roman" w:hAnsi="Times New Roman" w:cs="Times New Roman"/>
          <w:i/>
          <w:iCs/>
          <w:sz w:val="22"/>
          <w:szCs w:val="22"/>
          <w:lang w:val="en-US"/>
        </w:rPr>
      </w:pPr>
      <w:r w:rsidRPr="00E1408F">
        <w:rPr>
          <w:rFonts w:ascii="Times New Roman" w:hAnsi="Times New Roman" w:cs="Times New Roman"/>
          <w:i/>
          <w:iCs/>
          <w:sz w:val="22"/>
          <w:szCs w:val="22"/>
          <w:lang w:val="en-US"/>
        </w:rPr>
        <w:t xml:space="preserve">Causa Justa movement </w:t>
      </w:r>
    </w:p>
    <w:p w14:paraId="16BAD182" w14:textId="77777777" w:rsidR="007C7942" w:rsidRDefault="007C7942" w:rsidP="007C7942">
      <w:pPr>
        <w:pStyle w:val="Listenabsatz"/>
        <w:spacing w:after="100"/>
        <w:ind w:left="0"/>
        <w:jc w:val="both"/>
        <w:rPr>
          <w:rFonts w:ascii="Times New Roman" w:hAnsi="Times New Roman" w:cs="Times New Roman"/>
          <w:sz w:val="22"/>
          <w:szCs w:val="22"/>
          <w:lang w:val="en-US"/>
        </w:rPr>
      </w:pPr>
    </w:p>
    <w:p w14:paraId="377CC569" w14:textId="00EDB73F" w:rsidR="00373D68" w:rsidRPr="00472E60" w:rsidRDefault="00CA52CD" w:rsidP="00373D68">
      <w:pPr>
        <w:pStyle w:val="Listenabsatz"/>
        <w:numPr>
          <w:ilvl w:val="0"/>
          <w:numId w:val="17"/>
        </w:numPr>
        <w:spacing w:after="100"/>
        <w:ind w:left="0"/>
        <w:jc w:val="both"/>
        <w:rPr>
          <w:rFonts w:ascii="Times New Roman" w:hAnsi="Times New Roman" w:cs="Times New Roman"/>
          <w:sz w:val="22"/>
          <w:szCs w:val="22"/>
          <w:lang w:val="en-US"/>
        </w:rPr>
      </w:pPr>
      <w:r w:rsidRPr="00CA52CD">
        <w:rPr>
          <w:rFonts w:ascii="Times New Roman" w:hAnsi="Times New Roman" w:cs="Times New Roman"/>
          <w:sz w:val="22"/>
          <w:szCs w:val="22"/>
          <w:lang w:val="en-US"/>
        </w:rPr>
        <w:t xml:space="preserve"> </w:t>
      </w:r>
      <w:r w:rsidR="00373D68" w:rsidRPr="00373D68">
        <w:rPr>
          <w:rFonts w:ascii="Times New Roman" w:hAnsi="Times New Roman" w:cs="Times New Roman"/>
          <w:sz w:val="22"/>
          <w:szCs w:val="22"/>
          <w:lang w:val="en"/>
        </w:rPr>
        <w:t>Since Ruling C-355 of 2006 of the Constitutional Court, access to safe abortion was permitted in Colombia in three circumstances: when the life and health (including mental health) of the woman is at risk, when the fetus is inviable and when the pregnancy is the result of rape or incest</w:t>
      </w:r>
      <w:r w:rsidR="00DB2C6E">
        <w:rPr>
          <w:rStyle w:val="Endnotenzeichen"/>
          <w:rFonts w:ascii="Times New Roman" w:hAnsi="Times New Roman" w:cs="Times New Roman"/>
          <w:sz w:val="22"/>
          <w:szCs w:val="22"/>
          <w:lang w:val="en"/>
        </w:rPr>
        <w:endnoteReference w:id="20"/>
      </w:r>
      <w:r w:rsidR="00373D68" w:rsidRPr="00373D68">
        <w:rPr>
          <w:rFonts w:ascii="Times New Roman" w:hAnsi="Times New Roman" w:cs="Times New Roman"/>
          <w:sz w:val="22"/>
          <w:szCs w:val="22"/>
          <w:lang w:val="en"/>
        </w:rPr>
        <w:t>.</w:t>
      </w:r>
      <w:r w:rsidR="00DB2C6E" w:rsidRPr="00373D68">
        <w:rPr>
          <w:rFonts w:ascii="Times New Roman" w:hAnsi="Times New Roman" w:cs="Times New Roman"/>
          <w:sz w:val="22"/>
          <w:szCs w:val="22"/>
          <w:lang w:val="en"/>
        </w:rPr>
        <w:t xml:space="preserve"> </w:t>
      </w:r>
      <w:r w:rsidR="00373D68" w:rsidRPr="00373D68">
        <w:rPr>
          <w:rFonts w:ascii="Times New Roman" w:hAnsi="Times New Roman" w:cs="Times New Roman"/>
          <w:sz w:val="22"/>
          <w:szCs w:val="22"/>
          <w:lang w:val="en"/>
        </w:rPr>
        <w:t>Since then, the Court had established several precedents that recognize access to abortion as a fundamental right and prohibits the imposition of illegal requirements or delays and limits the use of conscientious objection</w:t>
      </w:r>
      <w:r w:rsidR="00DB2C6E">
        <w:rPr>
          <w:rStyle w:val="Endnotenzeichen"/>
          <w:rFonts w:ascii="Times New Roman" w:hAnsi="Times New Roman" w:cs="Times New Roman"/>
          <w:sz w:val="22"/>
          <w:szCs w:val="22"/>
          <w:lang w:val="en"/>
        </w:rPr>
        <w:endnoteReference w:id="21"/>
      </w:r>
      <w:r w:rsidR="00373D68" w:rsidRPr="00373D68">
        <w:rPr>
          <w:rFonts w:ascii="Times New Roman" w:hAnsi="Times New Roman" w:cs="Times New Roman"/>
          <w:sz w:val="22"/>
          <w:szCs w:val="22"/>
          <w:lang w:val="en"/>
        </w:rPr>
        <w:t>.</w:t>
      </w:r>
      <w:r w:rsidR="00DB2C6E" w:rsidRPr="00373D68">
        <w:rPr>
          <w:rFonts w:ascii="Times New Roman" w:hAnsi="Times New Roman" w:cs="Times New Roman"/>
          <w:sz w:val="22"/>
          <w:szCs w:val="22"/>
          <w:lang w:val="en"/>
        </w:rPr>
        <w:t xml:space="preserve"> </w:t>
      </w:r>
      <w:r w:rsidR="00373D68" w:rsidRPr="00373D68">
        <w:rPr>
          <w:rFonts w:ascii="Times New Roman" w:hAnsi="Times New Roman" w:cs="Times New Roman"/>
          <w:sz w:val="22"/>
          <w:szCs w:val="22"/>
          <w:lang w:val="en"/>
        </w:rPr>
        <w:t>Despite this, for 15 years, abortion had a dual nature, as a right and as a crime, generating serious barriers to women's access to this essential service, even in the three circumstances that were allowed by the Court in 2006. Women and girls continued facing discrimination and stigma, largely due to the structural constraint of criminalization.</w:t>
      </w:r>
    </w:p>
    <w:p w14:paraId="141876B5" w14:textId="77777777" w:rsidR="00472E60" w:rsidRPr="00472E60" w:rsidRDefault="00472E60" w:rsidP="00472E60">
      <w:pPr>
        <w:pStyle w:val="Listenabsatz"/>
        <w:spacing w:after="100"/>
        <w:ind w:left="0"/>
        <w:jc w:val="both"/>
        <w:rPr>
          <w:rFonts w:ascii="Times New Roman" w:hAnsi="Times New Roman" w:cs="Times New Roman"/>
          <w:sz w:val="22"/>
          <w:szCs w:val="22"/>
          <w:lang w:val="en-US"/>
        </w:rPr>
      </w:pPr>
    </w:p>
    <w:p w14:paraId="23CC7F12" w14:textId="66D30D45" w:rsidR="00472E60" w:rsidRPr="00BC46E7" w:rsidRDefault="0031648C" w:rsidP="00373D68">
      <w:pPr>
        <w:pStyle w:val="Listenabsatz"/>
        <w:numPr>
          <w:ilvl w:val="0"/>
          <w:numId w:val="17"/>
        </w:numPr>
        <w:spacing w:after="100"/>
        <w:ind w:left="0"/>
        <w:jc w:val="both"/>
        <w:rPr>
          <w:rFonts w:ascii="Times New Roman" w:hAnsi="Times New Roman" w:cs="Times New Roman"/>
          <w:sz w:val="22"/>
          <w:szCs w:val="22"/>
          <w:lang w:val="en-US"/>
        </w:rPr>
      </w:pPr>
      <w:r w:rsidRPr="0031648C">
        <w:rPr>
          <w:rFonts w:ascii="Times New Roman" w:hAnsi="Times New Roman" w:cs="Times New Roman"/>
          <w:sz w:val="22"/>
          <w:szCs w:val="22"/>
          <w:lang w:val="en-US"/>
        </w:rPr>
        <w:t>Under the system implemented since the C-355 ruling, 97% of the women and girls criminalized for abortion were in rural areas and 30% of the criminalized women have been victims of different forms of gender-based violence</w:t>
      </w:r>
      <w:r w:rsidR="00DB0C93">
        <w:rPr>
          <w:rStyle w:val="Endnotenzeichen"/>
          <w:rFonts w:ascii="Times New Roman" w:hAnsi="Times New Roman" w:cs="Times New Roman"/>
          <w:sz w:val="22"/>
          <w:szCs w:val="22"/>
          <w:lang w:val="en-US"/>
        </w:rPr>
        <w:endnoteReference w:id="22"/>
      </w:r>
      <w:r w:rsidRPr="0031648C">
        <w:rPr>
          <w:rFonts w:ascii="Times New Roman" w:hAnsi="Times New Roman" w:cs="Times New Roman"/>
          <w:sz w:val="22"/>
          <w:szCs w:val="22"/>
          <w:lang w:val="en-US"/>
        </w:rPr>
        <w:t xml:space="preserve">. </w:t>
      </w:r>
      <w:r w:rsidR="002655D6">
        <w:rPr>
          <w:rFonts w:ascii="Times New Roman" w:hAnsi="Times New Roman" w:cs="Times New Roman"/>
          <w:sz w:val="22"/>
          <w:szCs w:val="22"/>
          <w:lang w:val="en-US"/>
        </w:rPr>
        <w:t>Additionally</w:t>
      </w:r>
      <w:r w:rsidRPr="0031648C">
        <w:rPr>
          <w:rFonts w:ascii="Times New Roman" w:hAnsi="Times New Roman" w:cs="Times New Roman"/>
          <w:sz w:val="22"/>
          <w:szCs w:val="22"/>
          <w:lang w:val="en-US"/>
        </w:rPr>
        <w:t>, 12.5% of the abortion cases prosecuted by the Colombian justice system corresponded to women between 14 and 17 years of age; and 24% of the cases that ended in conviction corresponded to girls and adolescents</w:t>
      </w:r>
      <w:r w:rsidR="00D55620">
        <w:rPr>
          <w:rFonts w:ascii="Times New Roman" w:hAnsi="Times New Roman" w:cs="Times New Roman"/>
          <w:sz w:val="22"/>
          <w:szCs w:val="22"/>
          <w:lang w:val="en-US"/>
        </w:rPr>
        <w:t>. In other words, the system of grounds criminalize</w:t>
      </w:r>
      <w:r w:rsidR="000A05C6">
        <w:rPr>
          <w:rFonts w:ascii="Times New Roman" w:hAnsi="Times New Roman" w:cs="Times New Roman"/>
          <w:sz w:val="22"/>
          <w:szCs w:val="22"/>
          <w:lang w:val="en-US"/>
        </w:rPr>
        <w:t xml:space="preserve">d </w:t>
      </w:r>
      <w:r w:rsidR="00D55620">
        <w:rPr>
          <w:rFonts w:ascii="Times New Roman" w:hAnsi="Times New Roman" w:cs="Times New Roman"/>
          <w:sz w:val="22"/>
          <w:szCs w:val="22"/>
          <w:lang w:val="en-US"/>
        </w:rPr>
        <w:t>the most vulnerable women</w:t>
      </w:r>
      <w:r w:rsidR="0026549E">
        <w:rPr>
          <w:rStyle w:val="Endnotenzeichen"/>
          <w:rFonts w:ascii="Times New Roman" w:hAnsi="Times New Roman" w:cs="Times New Roman"/>
          <w:sz w:val="22"/>
          <w:szCs w:val="22"/>
          <w:lang w:val="en-US"/>
        </w:rPr>
        <w:endnoteReference w:id="23"/>
      </w:r>
      <w:r w:rsidR="00D55620">
        <w:rPr>
          <w:rFonts w:ascii="Times New Roman" w:hAnsi="Times New Roman" w:cs="Times New Roman"/>
          <w:sz w:val="22"/>
          <w:szCs w:val="22"/>
          <w:lang w:val="en-US"/>
        </w:rPr>
        <w:t xml:space="preserve">. </w:t>
      </w:r>
    </w:p>
    <w:p w14:paraId="011B6644" w14:textId="77777777" w:rsidR="00BC46E7" w:rsidRPr="00BC46E7" w:rsidRDefault="00BC46E7" w:rsidP="00BC46E7">
      <w:pPr>
        <w:pStyle w:val="Listenabsatz"/>
        <w:rPr>
          <w:rFonts w:ascii="Times New Roman" w:hAnsi="Times New Roman" w:cs="Times New Roman"/>
          <w:sz w:val="22"/>
          <w:szCs w:val="22"/>
          <w:lang w:val="en-US"/>
        </w:rPr>
      </w:pPr>
    </w:p>
    <w:p w14:paraId="6E36D053" w14:textId="0F675F59" w:rsidR="00A472D8" w:rsidRPr="00102F1F" w:rsidRDefault="00102F1F" w:rsidP="00102F1F">
      <w:pPr>
        <w:pStyle w:val="Listenabsatz"/>
        <w:spacing w:after="100"/>
        <w:ind w:left="709"/>
        <w:jc w:val="both"/>
        <w:rPr>
          <w:rFonts w:ascii="Times New Roman" w:hAnsi="Times New Roman" w:cs="Times New Roman"/>
          <w:i/>
          <w:iCs/>
          <w:sz w:val="22"/>
          <w:szCs w:val="22"/>
          <w:lang w:val="en-US"/>
        </w:rPr>
      </w:pPr>
      <w:r w:rsidRPr="00102F1F">
        <w:rPr>
          <w:rFonts w:ascii="Times New Roman" w:hAnsi="Times New Roman" w:cs="Times New Roman"/>
          <w:i/>
          <w:iCs/>
          <w:sz w:val="22"/>
          <w:szCs w:val="22"/>
          <w:lang w:val="en-US"/>
        </w:rPr>
        <w:t>Constitutional Court Decision</w:t>
      </w:r>
      <w:r w:rsidR="00216036">
        <w:rPr>
          <w:rFonts w:ascii="Times New Roman" w:hAnsi="Times New Roman" w:cs="Times New Roman"/>
          <w:i/>
          <w:iCs/>
          <w:sz w:val="22"/>
          <w:szCs w:val="22"/>
          <w:lang w:val="en-US"/>
        </w:rPr>
        <w:t>: C-055/2022</w:t>
      </w:r>
    </w:p>
    <w:p w14:paraId="03EB9E0F" w14:textId="2210722D" w:rsidR="00BC46E7" w:rsidRPr="00373D68" w:rsidRDefault="00BC46E7" w:rsidP="00743110">
      <w:pPr>
        <w:pStyle w:val="Listenabsatz"/>
        <w:spacing w:after="100"/>
        <w:ind w:left="0"/>
        <w:jc w:val="both"/>
        <w:rPr>
          <w:rFonts w:ascii="Times New Roman" w:hAnsi="Times New Roman" w:cs="Times New Roman"/>
          <w:sz w:val="22"/>
          <w:szCs w:val="22"/>
          <w:lang w:val="en-US"/>
        </w:rPr>
      </w:pPr>
    </w:p>
    <w:p w14:paraId="287808EA" w14:textId="47C7956A" w:rsidR="003C3572" w:rsidRPr="00A84E3D" w:rsidRDefault="003D15B4" w:rsidP="00A03E4E">
      <w:pPr>
        <w:pStyle w:val="Listenabsatz"/>
        <w:numPr>
          <w:ilvl w:val="0"/>
          <w:numId w:val="17"/>
        </w:numPr>
        <w:spacing w:after="100"/>
        <w:ind w:left="0"/>
        <w:jc w:val="both"/>
        <w:rPr>
          <w:rFonts w:ascii="Times New Roman" w:hAnsi="Times New Roman" w:cs="Times New Roman"/>
          <w:sz w:val="22"/>
          <w:szCs w:val="22"/>
          <w:lang w:val="en-US"/>
        </w:rPr>
      </w:pPr>
      <w:r w:rsidRPr="00A84E3D">
        <w:rPr>
          <w:rFonts w:ascii="Times New Roman" w:hAnsi="Times New Roman" w:cs="Times New Roman"/>
          <w:sz w:val="22"/>
          <w:szCs w:val="22"/>
          <w:lang w:val="en-US"/>
        </w:rPr>
        <w:t>The Court took a historic step to guarantee the reproductive rights of women, girls, adolescents and persons with gestational capacity. It decriminalized abortion up to 24 weeks of gestation and, without time limit, for situations under the grounds endorsed by Ruling C-355 of 2006</w:t>
      </w:r>
      <w:r w:rsidR="00673649">
        <w:rPr>
          <w:rStyle w:val="Endnotenzeichen"/>
          <w:rFonts w:ascii="Times New Roman" w:hAnsi="Times New Roman" w:cs="Times New Roman"/>
          <w:sz w:val="22"/>
          <w:szCs w:val="22"/>
          <w:lang w:val="en-US"/>
        </w:rPr>
        <w:endnoteReference w:id="24"/>
      </w:r>
      <w:r w:rsidRPr="00A84E3D">
        <w:rPr>
          <w:rFonts w:ascii="Times New Roman" w:hAnsi="Times New Roman" w:cs="Times New Roman"/>
          <w:sz w:val="22"/>
          <w:szCs w:val="22"/>
          <w:lang w:val="en-US"/>
        </w:rPr>
        <w:t>.</w:t>
      </w:r>
      <w:r w:rsidR="000A05C6" w:rsidRPr="00A84E3D">
        <w:rPr>
          <w:rFonts w:ascii="Times New Roman" w:hAnsi="Times New Roman" w:cs="Times New Roman"/>
          <w:sz w:val="22"/>
          <w:szCs w:val="22"/>
          <w:lang w:val="en-US"/>
        </w:rPr>
        <w:t xml:space="preserve"> </w:t>
      </w:r>
      <w:r w:rsidR="00A84E3D" w:rsidRPr="00A84E3D">
        <w:rPr>
          <w:rFonts w:ascii="Times New Roman" w:hAnsi="Times New Roman" w:cs="Times New Roman"/>
          <w:sz w:val="22"/>
          <w:szCs w:val="22"/>
          <w:lang w:val="en-US"/>
        </w:rPr>
        <w:t>In the ruling, the Constitutional Court urged Congress and the Government to regulate the matter in a comprehensive way, including access to contraceptives, sexual education, and maternal health</w:t>
      </w:r>
      <w:r w:rsidR="00A84E3D">
        <w:rPr>
          <w:rStyle w:val="Endnotenzeichen"/>
          <w:rFonts w:ascii="Times New Roman" w:hAnsi="Times New Roman" w:cs="Times New Roman"/>
          <w:sz w:val="22"/>
          <w:szCs w:val="22"/>
          <w:lang w:val="en-US"/>
        </w:rPr>
        <w:endnoteReference w:id="25"/>
      </w:r>
      <w:r w:rsidR="00A84E3D" w:rsidRPr="00A84E3D">
        <w:rPr>
          <w:rFonts w:ascii="Times New Roman" w:hAnsi="Times New Roman" w:cs="Times New Roman"/>
          <w:sz w:val="22"/>
          <w:szCs w:val="22"/>
          <w:lang w:val="en-US"/>
        </w:rPr>
        <w:t>.</w:t>
      </w:r>
      <w:r w:rsidR="00A84E3D">
        <w:rPr>
          <w:rFonts w:ascii="Times New Roman" w:hAnsi="Times New Roman" w:cs="Times New Roman"/>
          <w:sz w:val="22"/>
          <w:szCs w:val="22"/>
          <w:lang w:val="en-US"/>
        </w:rPr>
        <w:t xml:space="preserve"> </w:t>
      </w:r>
      <w:r w:rsidR="002E6E79" w:rsidRPr="00A84E3D">
        <w:rPr>
          <w:rFonts w:ascii="Times New Roman" w:hAnsi="Times New Roman" w:cs="Times New Roman"/>
          <w:sz w:val="22"/>
          <w:szCs w:val="22"/>
          <w:lang w:val="en-US"/>
        </w:rPr>
        <w:t xml:space="preserve">The decision was made as the result of a lawsuit presented </w:t>
      </w:r>
      <w:r w:rsidR="002C1DBA" w:rsidRPr="00A84E3D">
        <w:rPr>
          <w:rFonts w:ascii="Times New Roman" w:hAnsi="Times New Roman" w:cs="Times New Roman"/>
          <w:sz w:val="22"/>
          <w:szCs w:val="22"/>
          <w:lang w:val="en-US"/>
        </w:rPr>
        <w:t xml:space="preserve">in </w:t>
      </w:r>
      <w:r w:rsidR="001E09D4" w:rsidRPr="00A84E3D">
        <w:rPr>
          <w:rFonts w:ascii="Times New Roman" w:hAnsi="Times New Roman" w:cs="Times New Roman"/>
          <w:sz w:val="22"/>
          <w:szCs w:val="22"/>
          <w:lang w:val="en-US"/>
        </w:rPr>
        <w:t>September</w:t>
      </w:r>
      <w:r w:rsidR="002C1DBA" w:rsidRPr="00A84E3D">
        <w:rPr>
          <w:rFonts w:ascii="Times New Roman" w:hAnsi="Times New Roman" w:cs="Times New Roman"/>
          <w:sz w:val="22"/>
          <w:szCs w:val="22"/>
          <w:lang w:val="en-US"/>
        </w:rPr>
        <w:t xml:space="preserve"> </w:t>
      </w:r>
      <w:r w:rsidR="00353724" w:rsidRPr="00A84E3D">
        <w:rPr>
          <w:rFonts w:ascii="Times New Roman" w:hAnsi="Times New Roman" w:cs="Times New Roman"/>
          <w:sz w:val="22"/>
          <w:szCs w:val="22"/>
          <w:lang w:val="en-US"/>
        </w:rPr>
        <w:t xml:space="preserve">2020 </w:t>
      </w:r>
      <w:r w:rsidR="002E6E79" w:rsidRPr="00A84E3D">
        <w:rPr>
          <w:rFonts w:ascii="Times New Roman" w:hAnsi="Times New Roman" w:cs="Times New Roman"/>
          <w:sz w:val="22"/>
          <w:szCs w:val="22"/>
          <w:lang w:val="en-US"/>
        </w:rPr>
        <w:t xml:space="preserve">by Causa </w:t>
      </w:r>
      <w:proofErr w:type="spellStart"/>
      <w:r w:rsidR="002E6E79" w:rsidRPr="00A84E3D">
        <w:rPr>
          <w:rFonts w:ascii="Times New Roman" w:hAnsi="Times New Roman" w:cs="Times New Roman"/>
          <w:sz w:val="22"/>
          <w:szCs w:val="22"/>
          <w:lang w:val="en-US"/>
        </w:rPr>
        <w:t>Justa</w:t>
      </w:r>
      <w:proofErr w:type="spellEnd"/>
      <w:r w:rsidR="002E6E79" w:rsidRPr="00A84E3D">
        <w:rPr>
          <w:rFonts w:ascii="Times New Roman" w:hAnsi="Times New Roman" w:cs="Times New Roman"/>
          <w:sz w:val="22"/>
          <w:szCs w:val="22"/>
          <w:lang w:val="en-US"/>
        </w:rPr>
        <w:t>,</w:t>
      </w:r>
      <w:r w:rsidR="000A05C6" w:rsidRPr="00A84E3D">
        <w:rPr>
          <w:rFonts w:ascii="Times New Roman" w:hAnsi="Times New Roman" w:cs="Times New Roman"/>
          <w:sz w:val="22"/>
          <w:szCs w:val="22"/>
          <w:lang w:val="en-US"/>
        </w:rPr>
        <w:t xml:space="preserve"> a diverse movement </w:t>
      </w:r>
      <w:r w:rsidR="00011DD7" w:rsidRPr="00A84E3D">
        <w:rPr>
          <w:rFonts w:ascii="Times New Roman" w:hAnsi="Times New Roman" w:cs="Times New Roman"/>
          <w:sz w:val="22"/>
          <w:szCs w:val="22"/>
          <w:lang w:val="en-US"/>
        </w:rPr>
        <w:t xml:space="preserve">of reproductive rights defenders and activists </w:t>
      </w:r>
      <w:r w:rsidR="000A05C6" w:rsidRPr="00A84E3D">
        <w:rPr>
          <w:rFonts w:ascii="Times New Roman" w:hAnsi="Times New Roman" w:cs="Times New Roman"/>
          <w:sz w:val="22"/>
          <w:szCs w:val="22"/>
          <w:lang w:val="en-US"/>
        </w:rPr>
        <w:t>that brings together more than 100 civil society organizations throughout Colombia</w:t>
      </w:r>
      <w:r w:rsidR="000A05C6">
        <w:rPr>
          <w:rStyle w:val="Endnotenzeichen"/>
          <w:rFonts w:ascii="Times New Roman" w:hAnsi="Times New Roman" w:cs="Times New Roman"/>
          <w:sz w:val="22"/>
          <w:szCs w:val="22"/>
          <w:lang w:val="en"/>
        </w:rPr>
        <w:endnoteReference w:id="26"/>
      </w:r>
      <w:r w:rsidR="000A05C6" w:rsidRPr="00A84E3D">
        <w:rPr>
          <w:rFonts w:ascii="Times New Roman" w:hAnsi="Times New Roman" w:cs="Times New Roman"/>
          <w:sz w:val="22"/>
          <w:szCs w:val="22"/>
          <w:lang w:val="en"/>
        </w:rPr>
        <w:t>.</w:t>
      </w:r>
    </w:p>
    <w:p w14:paraId="1ACBA375" w14:textId="77777777" w:rsidR="0003248C" w:rsidRPr="002E0151" w:rsidRDefault="0003248C" w:rsidP="0003248C">
      <w:pPr>
        <w:pStyle w:val="Listenabsatz"/>
        <w:rPr>
          <w:rFonts w:ascii="Times New Roman" w:hAnsi="Times New Roman" w:cs="Times New Roman"/>
          <w:sz w:val="22"/>
          <w:szCs w:val="22"/>
          <w:lang w:val="en-US"/>
        </w:rPr>
      </w:pPr>
    </w:p>
    <w:p w14:paraId="55545DCC" w14:textId="3B786425" w:rsidR="00BB4236" w:rsidRPr="002E0151" w:rsidRDefault="00B944B9" w:rsidP="009F38D3">
      <w:pPr>
        <w:pStyle w:val="Listenabsatz"/>
        <w:numPr>
          <w:ilvl w:val="0"/>
          <w:numId w:val="17"/>
        </w:numPr>
        <w:ind w:left="0"/>
        <w:jc w:val="both"/>
        <w:rPr>
          <w:rFonts w:ascii="Times New Roman" w:hAnsi="Times New Roman" w:cs="Times New Roman"/>
          <w:sz w:val="22"/>
          <w:szCs w:val="22"/>
          <w:lang w:val="en-US"/>
        </w:rPr>
      </w:pPr>
      <w:r w:rsidRPr="002E0151">
        <w:rPr>
          <w:rFonts w:ascii="Times New Roman" w:hAnsi="Times New Roman" w:cs="Times New Roman"/>
          <w:sz w:val="22"/>
          <w:szCs w:val="22"/>
          <w:lang w:val="en-US"/>
        </w:rPr>
        <w:t>Even though this is an important step in t</w:t>
      </w:r>
      <w:r w:rsidR="00D90737" w:rsidRPr="002E0151">
        <w:rPr>
          <w:rFonts w:ascii="Times New Roman" w:hAnsi="Times New Roman" w:cs="Times New Roman"/>
          <w:sz w:val="22"/>
          <w:szCs w:val="22"/>
          <w:lang w:val="en-US"/>
        </w:rPr>
        <w:t>he protection of women’s rights</w:t>
      </w:r>
      <w:r w:rsidRPr="002E0151">
        <w:rPr>
          <w:rFonts w:ascii="Times New Roman" w:hAnsi="Times New Roman" w:cs="Times New Roman"/>
          <w:sz w:val="22"/>
          <w:szCs w:val="22"/>
          <w:lang w:val="en-US"/>
        </w:rPr>
        <w:t xml:space="preserve">, there are still barriers that </w:t>
      </w:r>
      <w:r w:rsidR="00D90737" w:rsidRPr="002E0151">
        <w:rPr>
          <w:rFonts w:ascii="Times New Roman" w:hAnsi="Times New Roman" w:cs="Times New Roman"/>
          <w:sz w:val="22"/>
          <w:szCs w:val="22"/>
          <w:lang w:val="en-US"/>
        </w:rPr>
        <w:t>affect the access to safe abortion</w:t>
      </w:r>
      <w:r w:rsidRPr="002E0151">
        <w:rPr>
          <w:rFonts w:ascii="Times New Roman" w:hAnsi="Times New Roman" w:cs="Times New Roman"/>
          <w:sz w:val="22"/>
          <w:szCs w:val="22"/>
          <w:lang w:val="en-US"/>
        </w:rPr>
        <w:t xml:space="preserve">. </w:t>
      </w:r>
      <w:r w:rsidR="00777573" w:rsidRPr="002E0151">
        <w:rPr>
          <w:rFonts w:ascii="Times New Roman" w:hAnsi="Times New Roman" w:cs="Times New Roman"/>
          <w:sz w:val="22"/>
          <w:szCs w:val="22"/>
          <w:lang w:val="en-US"/>
        </w:rPr>
        <w:t xml:space="preserve">Some healthcare providers </w:t>
      </w:r>
      <w:r w:rsidRPr="002E0151">
        <w:rPr>
          <w:rFonts w:ascii="Times New Roman" w:hAnsi="Times New Roman" w:cs="Times New Roman"/>
          <w:sz w:val="22"/>
          <w:szCs w:val="22"/>
          <w:lang w:val="en-US"/>
        </w:rPr>
        <w:t xml:space="preserve">disregard for the binding nature of the rulings of the Constitutional Court, both </w:t>
      </w:r>
      <w:r w:rsidR="00777573" w:rsidRPr="002E0151">
        <w:rPr>
          <w:rFonts w:ascii="Times New Roman" w:hAnsi="Times New Roman" w:cs="Times New Roman"/>
          <w:sz w:val="22"/>
          <w:szCs w:val="22"/>
          <w:lang w:val="en-US"/>
        </w:rPr>
        <w:t>Ruling</w:t>
      </w:r>
      <w:r w:rsidRPr="002E0151">
        <w:rPr>
          <w:rFonts w:ascii="Times New Roman" w:hAnsi="Times New Roman" w:cs="Times New Roman"/>
          <w:sz w:val="22"/>
          <w:szCs w:val="22"/>
          <w:lang w:val="en-US"/>
        </w:rPr>
        <w:t xml:space="preserve"> C-355 of 2006 and </w:t>
      </w:r>
      <w:r w:rsidR="00777573" w:rsidRPr="002E0151">
        <w:rPr>
          <w:rFonts w:ascii="Times New Roman" w:hAnsi="Times New Roman" w:cs="Times New Roman"/>
          <w:sz w:val="22"/>
          <w:szCs w:val="22"/>
          <w:lang w:val="en-US"/>
        </w:rPr>
        <w:t xml:space="preserve">Ruling </w:t>
      </w:r>
      <w:r w:rsidRPr="002E0151">
        <w:rPr>
          <w:rFonts w:ascii="Times New Roman" w:hAnsi="Times New Roman" w:cs="Times New Roman"/>
          <w:sz w:val="22"/>
          <w:szCs w:val="22"/>
          <w:lang w:val="en-US"/>
        </w:rPr>
        <w:t xml:space="preserve">C-055 of 2022). </w:t>
      </w:r>
      <w:r w:rsidR="00777573" w:rsidRPr="002E0151">
        <w:rPr>
          <w:rFonts w:ascii="Times New Roman" w:hAnsi="Times New Roman" w:cs="Times New Roman"/>
          <w:sz w:val="22"/>
          <w:szCs w:val="22"/>
          <w:lang w:val="en-US"/>
        </w:rPr>
        <w:t xml:space="preserve">As a result, </w:t>
      </w:r>
      <w:r w:rsidRPr="002E0151">
        <w:rPr>
          <w:rFonts w:ascii="Times New Roman" w:hAnsi="Times New Roman" w:cs="Times New Roman"/>
          <w:sz w:val="22"/>
          <w:szCs w:val="22"/>
          <w:lang w:val="en-US"/>
        </w:rPr>
        <w:t xml:space="preserve">health professionals </w:t>
      </w:r>
      <w:r w:rsidR="00F93C4D" w:rsidRPr="002E0151">
        <w:rPr>
          <w:rFonts w:ascii="Times New Roman" w:hAnsi="Times New Roman" w:cs="Times New Roman"/>
          <w:sz w:val="22"/>
          <w:szCs w:val="22"/>
          <w:lang w:val="en-US"/>
        </w:rPr>
        <w:t xml:space="preserve">keep </w:t>
      </w:r>
      <w:r w:rsidRPr="002E0151">
        <w:rPr>
          <w:rFonts w:ascii="Times New Roman" w:hAnsi="Times New Roman" w:cs="Times New Roman"/>
          <w:sz w:val="22"/>
          <w:szCs w:val="22"/>
          <w:lang w:val="en-US"/>
        </w:rPr>
        <w:t>impos</w:t>
      </w:r>
      <w:r w:rsidR="00F93C4D" w:rsidRPr="002E0151">
        <w:rPr>
          <w:rFonts w:ascii="Times New Roman" w:hAnsi="Times New Roman" w:cs="Times New Roman"/>
          <w:sz w:val="22"/>
          <w:szCs w:val="22"/>
          <w:lang w:val="en-US"/>
        </w:rPr>
        <w:t>ing</w:t>
      </w:r>
      <w:r w:rsidRPr="002E0151">
        <w:rPr>
          <w:rFonts w:ascii="Times New Roman" w:hAnsi="Times New Roman" w:cs="Times New Roman"/>
          <w:sz w:val="22"/>
          <w:szCs w:val="22"/>
          <w:lang w:val="en-US"/>
        </w:rPr>
        <w:t xml:space="preserve"> </w:t>
      </w:r>
      <w:r w:rsidR="00F93C4D" w:rsidRPr="002E0151">
        <w:rPr>
          <w:rFonts w:ascii="Times New Roman" w:hAnsi="Times New Roman" w:cs="Times New Roman"/>
          <w:sz w:val="22"/>
          <w:szCs w:val="22"/>
          <w:lang w:val="en-US"/>
        </w:rPr>
        <w:t>delays and additional requirements to a</w:t>
      </w:r>
      <w:r w:rsidRPr="002E0151">
        <w:rPr>
          <w:rFonts w:ascii="Times New Roman" w:hAnsi="Times New Roman" w:cs="Times New Roman"/>
          <w:sz w:val="22"/>
          <w:szCs w:val="22"/>
          <w:lang w:val="en-US"/>
        </w:rPr>
        <w:t xml:space="preserve">ccess a safe and legal abortion, </w:t>
      </w:r>
      <w:r w:rsidR="00A83441" w:rsidRPr="002E0151">
        <w:rPr>
          <w:rFonts w:ascii="Times New Roman" w:hAnsi="Times New Roman" w:cs="Times New Roman"/>
          <w:sz w:val="22"/>
          <w:szCs w:val="22"/>
          <w:lang w:val="en-US"/>
        </w:rPr>
        <w:t xml:space="preserve">violating standards stablished </w:t>
      </w:r>
      <w:r w:rsidR="00B7393D" w:rsidRPr="002E0151">
        <w:rPr>
          <w:rFonts w:ascii="Times New Roman" w:hAnsi="Times New Roman" w:cs="Times New Roman"/>
          <w:sz w:val="22"/>
          <w:szCs w:val="22"/>
          <w:lang w:val="en-US"/>
        </w:rPr>
        <w:t>by the Constitutional Court and regulation of t</w:t>
      </w:r>
      <w:r w:rsidRPr="002E0151">
        <w:rPr>
          <w:rFonts w:ascii="Times New Roman" w:hAnsi="Times New Roman" w:cs="Times New Roman"/>
          <w:sz w:val="22"/>
          <w:szCs w:val="22"/>
          <w:lang w:val="en-US"/>
        </w:rPr>
        <w:t xml:space="preserve">he Ministry of Health </w:t>
      </w:r>
      <w:r w:rsidR="00B7393D" w:rsidRPr="002E0151">
        <w:rPr>
          <w:rFonts w:ascii="Times New Roman" w:hAnsi="Times New Roman" w:cs="Times New Roman"/>
          <w:sz w:val="22"/>
          <w:szCs w:val="22"/>
          <w:lang w:val="en-US"/>
        </w:rPr>
        <w:t>on the matter</w:t>
      </w:r>
      <w:r w:rsidRPr="002E0151">
        <w:rPr>
          <w:rStyle w:val="Endnotenzeichen"/>
          <w:rFonts w:ascii="Times New Roman" w:hAnsi="Times New Roman" w:cs="Times New Roman"/>
          <w:sz w:val="22"/>
          <w:szCs w:val="22"/>
          <w:lang w:val="en-US"/>
        </w:rPr>
        <w:endnoteReference w:id="27"/>
      </w:r>
      <w:r w:rsidRPr="002E0151">
        <w:rPr>
          <w:rFonts w:ascii="Times New Roman" w:hAnsi="Times New Roman" w:cs="Times New Roman"/>
          <w:sz w:val="22"/>
          <w:szCs w:val="22"/>
          <w:lang w:val="en-US"/>
        </w:rPr>
        <w:t>.</w:t>
      </w:r>
      <w:r w:rsidR="002E0151" w:rsidRPr="002E0151">
        <w:rPr>
          <w:rFonts w:ascii="Times New Roman" w:hAnsi="Times New Roman" w:cs="Times New Roman"/>
          <w:sz w:val="22"/>
          <w:szCs w:val="22"/>
          <w:lang w:val="en-US"/>
        </w:rPr>
        <w:t xml:space="preserve"> </w:t>
      </w:r>
      <w:r w:rsidR="00243FDA">
        <w:rPr>
          <w:rFonts w:ascii="Times New Roman" w:hAnsi="Times New Roman" w:cs="Times New Roman"/>
          <w:sz w:val="22"/>
          <w:szCs w:val="22"/>
          <w:lang w:val="en-US"/>
        </w:rPr>
        <w:t xml:space="preserve">Local organizations report that </w:t>
      </w:r>
      <w:r w:rsidR="005A097E">
        <w:rPr>
          <w:rFonts w:ascii="Times New Roman" w:hAnsi="Times New Roman" w:cs="Times New Roman"/>
          <w:sz w:val="22"/>
          <w:szCs w:val="22"/>
          <w:lang w:val="en-US"/>
        </w:rPr>
        <w:t xml:space="preserve">in the last two months </w:t>
      </w:r>
      <w:r w:rsidR="00243FDA">
        <w:rPr>
          <w:rFonts w:ascii="Times New Roman" w:hAnsi="Times New Roman" w:cs="Times New Roman"/>
          <w:sz w:val="22"/>
          <w:szCs w:val="22"/>
          <w:lang w:val="en-US"/>
        </w:rPr>
        <w:t xml:space="preserve">at least 52 women faced difficulties to access abortion, and </w:t>
      </w:r>
      <w:r w:rsidR="005A097E">
        <w:rPr>
          <w:rFonts w:ascii="Times New Roman" w:hAnsi="Times New Roman" w:cs="Times New Roman"/>
          <w:sz w:val="22"/>
          <w:szCs w:val="22"/>
          <w:lang w:val="en-US"/>
        </w:rPr>
        <w:t>the barriers are</w:t>
      </w:r>
      <w:r w:rsidR="00AD4A2F">
        <w:rPr>
          <w:rFonts w:ascii="Times New Roman" w:hAnsi="Times New Roman" w:cs="Times New Roman"/>
          <w:sz w:val="22"/>
          <w:szCs w:val="22"/>
          <w:lang w:val="en-US"/>
        </w:rPr>
        <w:t xml:space="preserve"> deeper</w:t>
      </w:r>
      <w:r w:rsidR="005A097E">
        <w:rPr>
          <w:rFonts w:ascii="Times New Roman" w:hAnsi="Times New Roman" w:cs="Times New Roman"/>
          <w:sz w:val="22"/>
          <w:szCs w:val="22"/>
          <w:lang w:val="en-US"/>
        </w:rPr>
        <w:t xml:space="preserve"> </w:t>
      </w:r>
      <w:r w:rsidR="002E0151" w:rsidRPr="002E0151">
        <w:rPr>
          <w:rFonts w:ascii="Times New Roman" w:hAnsi="Times New Roman" w:cs="Times New Roman"/>
          <w:sz w:val="22"/>
          <w:szCs w:val="22"/>
          <w:lang w:val="en-US"/>
        </w:rPr>
        <w:t>in cases of migrant women and girls from Venezuelan with an irregular migratory status who do</w:t>
      </w:r>
      <w:r w:rsidR="00F43144" w:rsidRPr="002E0151">
        <w:rPr>
          <w:rFonts w:ascii="Times New Roman" w:hAnsi="Times New Roman" w:cs="Times New Roman"/>
          <w:sz w:val="22"/>
          <w:szCs w:val="22"/>
          <w:lang w:val="en-US"/>
        </w:rPr>
        <w:t xml:space="preserve"> not have access to public health care system</w:t>
      </w:r>
      <w:r w:rsidR="00CD3111" w:rsidRPr="002E0151">
        <w:rPr>
          <w:rStyle w:val="Endnotenzeichen"/>
          <w:rFonts w:ascii="Times New Roman" w:hAnsi="Times New Roman" w:cs="Times New Roman"/>
          <w:sz w:val="22"/>
          <w:szCs w:val="22"/>
          <w:lang w:val="en-US"/>
        </w:rPr>
        <w:endnoteReference w:id="28"/>
      </w:r>
      <w:r w:rsidR="00F43144" w:rsidRPr="002E0151">
        <w:rPr>
          <w:rFonts w:ascii="Times New Roman" w:hAnsi="Times New Roman" w:cs="Times New Roman"/>
          <w:sz w:val="22"/>
          <w:szCs w:val="22"/>
          <w:lang w:val="en-US"/>
        </w:rPr>
        <w:t>.</w:t>
      </w:r>
    </w:p>
    <w:p w14:paraId="04EF20FC" w14:textId="77777777" w:rsidR="00FD3E64" w:rsidRPr="002E0151" w:rsidRDefault="00FD3E64" w:rsidP="00FD3E64">
      <w:pPr>
        <w:pStyle w:val="Listenabsatz"/>
        <w:rPr>
          <w:rFonts w:ascii="Times New Roman" w:hAnsi="Times New Roman" w:cs="Times New Roman"/>
          <w:sz w:val="22"/>
          <w:szCs w:val="22"/>
          <w:lang w:val="en-US"/>
        </w:rPr>
      </w:pPr>
    </w:p>
    <w:p w14:paraId="1F6355A2" w14:textId="77AB8B38" w:rsidR="00E0065F" w:rsidRDefault="00E0065F" w:rsidP="00E0065F">
      <w:pPr>
        <w:pStyle w:val="Listenabsatz"/>
        <w:numPr>
          <w:ilvl w:val="0"/>
          <w:numId w:val="2"/>
        </w:numPr>
        <w:spacing w:after="100"/>
        <w:jc w:val="both"/>
        <w:rPr>
          <w:rFonts w:ascii="Times New Roman" w:hAnsi="Times New Roman" w:cs="Times New Roman"/>
          <w:b/>
          <w:bCs/>
          <w:sz w:val="22"/>
          <w:szCs w:val="22"/>
          <w:lang w:val="en-US"/>
        </w:rPr>
      </w:pPr>
      <w:r w:rsidRPr="00E0065F">
        <w:rPr>
          <w:rFonts w:ascii="Times New Roman" w:hAnsi="Times New Roman" w:cs="Times New Roman"/>
          <w:b/>
          <w:bCs/>
          <w:sz w:val="22"/>
          <w:szCs w:val="22"/>
          <w:lang w:val="en-US"/>
        </w:rPr>
        <w:t>The recognition of Reproductive Violence and Sexual Violence occurred during the conflict by the mechanisms of transitional justice in Colombia</w:t>
      </w:r>
    </w:p>
    <w:p w14:paraId="7D519E7F" w14:textId="702B8363" w:rsidR="00DC6C50" w:rsidRDefault="00DC6C50" w:rsidP="00DC6C50">
      <w:pPr>
        <w:spacing w:after="100"/>
        <w:ind w:left="709"/>
        <w:jc w:val="both"/>
        <w:rPr>
          <w:rFonts w:ascii="Times New Roman" w:hAnsi="Times New Roman" w:cs="Times New Roman"/>
          <w:i/>
          <w:iCs/>
          <w:sz w:val="22"/>
          <w:szCs w:val="22"/>
          <w:lang w:val="en-US"/>
        </w:rPr>
      </w:pPr>
    </w:p>
    <w:p w14:paraId="05B23257" w14:textId="01E498EB" w:rsidR="005D45FF" w:rsidRDefault="005D45FF" w:rsidP="005D45FF">
      <w:pPr>
        <w:pStyle w:val="Listenabsatz"/>
        <w:spacing w:after="100"/>
        <w:ind w:left="709"/>
        <w:contextualSpacing w:val="0"/>
        <w:jc w:val="both"/>
        <w:rPr>
          <w:rFonts w:ascii="Times New Roman" w:hAnsi="Times New Roman" w:cs="Times New Roman"/>
          <w:i/>
          <w:iCs/>
          <w:sz w:val="22"/>
          <w:szCs w:val="22"/>
          <w:lang w:val="en-US"/>
        </w:rPr>
      </w:pPr>
      <w:r w:rsidRPr="0033779E">
        <w:rPr>
          <w:rFonts w:ascii="Times New Roman" w:hAnsi="Times New Roman" w:cs="Times New Roman"/>
          <w:i/>
          <w:iCs/>
          <w:sz w:val="22"/>
          <w:szCs w:val="22"/>
          <w:lang w:val="en-US"/>
        </w:rPr>
        <w:t xml:space="preserve">The recognition of Reproductive Violence by the </w:t>
      </w:r>
      <w:r>
        <w:rPr>
          <w:rFonts w:ascii="Times New Roman" w:hAnsi="Times New Roman" w:cs="Times New Roman"/>
          <w:i/>
          <w:iCs/>
          <w:sz w:val="22"/>
          <w:szCs w:val="22"/>
          <w:lang w:val="en-US"/>
        </w:rPr>
        <w:t>Commission for the Clarification of the Truth (</w:t>
      </w:r>
      <w:r w:rsidRPr="0033779E">
        <w:rPr>
          <w:rFonts w:ascii="Times New Roman" w:hAnsi="Times New Roman" w:cs="Times New Roman"/>
          <w:i/>
          <w:iCs/>
          <w:sz w:val="22"/>
          <w:szCs w:val="22"/>
          <w:lang w:val="en-US"/>
        </w:rPr>
        <w:t>CEV</w:t>
      </w:r>
      <w:r>
        <w:rPr>
          <w:rFonts w:ascii="Times New Roman" w:hAnsi="Times New Roman" w:cs="Times New Roman"/>
          <w:i/>
          <w:iCs/>
          <w:sz w:val="22"/>
          <w:szCs w:val="22"/>
          <w:lang w:val="en-US"/>
        </w:rPr>
        <w:t>)</w:t>
      </w:r>
    </w:p>
    <w:p w14:paraId="2041DC38" w14:textId="77777777" w:rsidR="005D45FF" w:rsidRDefault="005D45FF" w:rsidP="005D45FF">
      <w:pPr>
        <w:pStyle w:val="Listenabsatz"/>
        <w:spacing w:after="100"/>
        <w:ind w:left="709"/>
        <w:contextualSpacing w:val="0"/>
        <w:jc w:val="both"/>
        <w:rPr>
          <w:rFonts w:ascii="Times New Roman" w:hAnsi="Times New Roman" w:cs="Times New Roman"/>
          <w:i/>
          <w:iCs/>
          <w:sz w:val="22"/>
          <w:szCs w:val="22"/>
          <w:lang w:val="en-US"/>
        </w:rPr>
      </w:pPr>
    </w:p>
    <w:p w14:paraId="19AA150E" w14:textId="317B5DC3" w:rsidR="005D45FF" w:rsidRDefault="005D45FF" w:rsidP="005D45FF">
      <w:pPr>
        <w:pStyle w:val="Listenabsatz"/>
        <w:numPr>
          <w:ilvl w:val="0"/>
          <w:numId w:val="17"/>
        </w:numPr>
        <w:spacing w:after="100"/>
        <w:ind w:left="0"/>
        <w:jc w:val="both"/>
        <w:rPr>
          <w:rFonts w:ascii="Times New Roman" w:hAnsi="Times New Roman" w:cs="Times New Roman"/>
          <w:sz w:val="22"/>
          <w:szCs w:val="22"/>
          <w:lang w:val="en-US"/>
        </w:rPr>
      </w:pPr>
      <w:r w:rsidRPr="007F5B89">
        <w:rPr>
          <w:rFonts w:ascii="Times New Roman" w:hAnsi="Times New Roman" w:cs="Times New Roman"/>
          <w:sz w:val="22"/>
          <w:szCs w:val="22"/>
          <w:lang w:val="en-US"/>
        </w:rPr>
        <w:t>The Center for Reproductive Rights p</w:t>
      </w:r>
      <w:r>
        <w:rPr>
          <w:rFonts w:ascii="Times New Roman" w:hAnsi="Times New Roman" w:cs="Times New Roman"/>
          <w:sz w:val="22"/>
          <w:szCs w:val="22"/>
          <w:lang w:val="en-US"/>
        </w:rPr>
        <w:t xml:space="preserve">ublished </w:t>
      </w:r>
      <w:r w:rsidRPr="007F5B89">
        <w:rPr>
          <w:rFonts w:ascii="Times New Roman" w:hAnsi="Times New Roman" w:cs="Times New Roman"/>
          <w:sz w:val="22"/>
          <w:szCs w:val="22"/>
          <w:lang w:val="en-US"/>
        </w:rPr>
        <w:t>a report</w:t>
      </w:r>
      <w:r>
        <w:rPr>
          <w:rFonts w:ascii="Times New Roman" w:hAnsi="Times New Roman" w:cs="Times New Roman"/>
          <w:sz w:val="22"/>
          <w:szCs w:val="22"/>
          <w:lang w:val="en-US"/>
        </w:rPr>
        <w:t xml:space="preserve"> for the CEV</w:t>
      </w:r>
      <w:r w:rsidRPr="007F5B89">
        <w:rPr>
          <w:rFonts w:ascii="Times New Roman" w:hAnsi="Times New Roman" w:cs="Times New Roman"/>
          <w:sz w:val="22"/>
          <w:szCs w:val="22"/>
          <w:lang w:val="en-US"/>
        </w:rPr>
        <w:t xml:space="preserve"> in June 2020 that provides specific legal and conceptual elements for the identification and analysis of reproductive violence, understood as practices that violated reproductive autonomy, within the Colombian armed conflict, and its impacts on the lives of victims. The report identifies several modalities of reproductive rights violations, some </w:t>
      </w:r>
      <w:r w:rsidRPr="007F5B89">
        <w:rPr>
          <w:rFonts w:ascii="Times New Roman" w:hAnsi="Times New Roman" w:cs="Times New Roman"/>
          <w:sz w:val="22"/>
          <w:szCs w:val="22"/>
          <w:lang w:val="en-US"/>
        </w:rPr>
        <w:lastRenderedPageBreak/>
        <w:t>of which directly impact or hinder reproductive capacity, such us forced contraception, forced sterilization, and forced abortion</w:t>
      </w:r>
      <w:r>
        <w:rPr>
          <w:rStyle w:val="Endnotenzeichen"/>
          <w:rFonts w:ascii="Times New Roman" w:hAnsi="Times New Roman" w:cs="Times New Roman"/>
          <w:sz w:val="22"/>
          <w:szCs w:val="22"/>
          <w:lang w:val="en-US"/>
        </w:rPr>
        <w:endnoteReference w:id="29"/>
      </w:r>
      <w:r w:rsidRPr="007F5B89">
        <w:rPr>
          <w:rFonts w:ascii="Times New Roman" w:hAnsi="Times New Roman" w:cs="Times New Roman"/>
          <w:sz w:val="22"/>
          <w:szCs w:val="22"/>
          <w:lang w:val="en-US"/>
        </w:rPr>
        <w:t xml:space="preserve">. </w:t>
      </w:r>
    </w:p>
    <w:p w14:paraId="2CF68338" w14:textId="77777777" w:rsidR="005D45FF" w:rsidRPr="007F5B89" w:rsidRDefault="005D45FF" w:rsidP="005D45FF">
      <w:pPr>
        <w:pStyle w:val="Listenabsatz"/>
        <w:spacing w:after="100"/>
        <w:ind w:left="0"/>
        <w:jc w:val="both"/>
        <w:rPr>
          <w:rFonts w:ascii="Times New Roman" w:hAnsi="Times New Roman" w:cs="Times New Roman"/>
          <w:sz w:val="22"/>
          <w:szCs w:val="22"/>
          <w:lang w:val="en-US"/>
        </w:rPr>
      </w:pPr>
    </w:p>
    <w:p w14:paraId="0814B99D" w14:textId="55F51469" w:rsidR="005D45FF" w:rsidRDefault="00DB0A73" w:rsidP="005D45FF">
      <w:pPr>
        <w:pStyle w:val="Listenabsatz"/>
        <w:numPr>
          <w:ilvl w:val="0"/>
          <w:numId w:val="17"/>
        </w:numPr>
        <w:spacing w:after="100"/>
        <w:ind w:left="0"/>
        <w:jc w:val="both"/>
        <w:rPr>
          <w:rFonts w:ascii="Times New Roman" w:hAnsi="Times New Roman" w:cs="Times New Roman"/>
          <w:sz w:val="22"/>
          <w:szCs w:val="22"/>
          <w:lang w:val="en-US"/>
        </w:rPr>
      </w:pPr>
      <w:r>
        <w:rPr>
          <w:rFonts w:ascii="Times New Roman" w:hAnsi="Times New Roman" w:cs="Times New Roman"/>
          <w:sz w:val="22"/>
          <w:szCs w:val="22"/>
          <w:lang w:val="en-US"/>
        </w:rPr>
        <w:t>As a result, t</w:t>
      </w:r>
      <w:r w:rsidR="005D45FF" w:rsidRPr="007F5B89">
        <w:rPr>
          <w:rFonts w:ascii="Times New Roman" w:hAnsi="Times New Roman" w:cs="Times New Roman"/>
          <w:sz w:val="22"/>
          <w:szCs w:val="22"/>
          <w:lang w:val="en-US"/>
        </w:rPr>
        <w:t xml:space="preserve">he Truth Commission stated that all armed groups in Colombian armed conflict have perpetrated different forms of reproductive violence against women, </w:t>
      </w:r>
      <w:r w:rsidR="00A77157" w:rsidRPr="007F5B89">
        <w:rPr>
          <w:rFonts w:ascii="Times New Roman" w:hAnsi="Times New Roman" w:cs="Times New Roman"/>
          <w:sz w:val="22"/>
          <w:szCs w:val="22"/>
          <w:lang w:val="en-US"/>
        </w:rPr>
        <w:t>yet</w:t>
      </w:r>
      <w:r w:rsidR="005D45FF" w:rsidRPr="007F5B89">
        <w:rPr>
          <w:rFonts w:ascii="Times New Roman" w:hAnsi="Times New Roman" w:cs="Times New Roman"/>
          <w:sz w:val="22"/>
          <w:szCs w:val="22"/>
          <w:lang w:val="en-US"/>
        </w:rPr>
        <w:t xml:space="preserve"> its occurrence has received less visibility and importance</w:t>
      </w:r>
      <w:r w:rsidR="005D45FF">
        <w:rPr>
          <w:rFonts w:ascii="Times New Roman" w:hAnsi="Times New Roman" w:cs="Times New Roman"/>
          <w:sz w:val="22"/>
          <w:szCs w:val="22"/>
          <w:lang w:val="en-US"/>
        </w:rPr>
        <w:t xml:space="preserve"> then sexual violence</w:t>
      </w:r>
      <w:r w:rsidR="005D45FF">
        <w:rPr>
          <w:rStyle w:val="Endnotenzeichen"/>
          <w:rFonts w:ascii="Times New Roman" w:hAnsi="Times New Roman" w:cs="Times New Roman"/>
          <w:sz w:val="22"/>
          <w:szCs w:val="22"/>
          <w:lang w:val="en-US"/>
        </w:rPr>
        <w:endnoteReference w:id="30"/>
      </w:r>
      <w:r w:rsidR="005D45FF" w:rsidRPr="007F5B89">
        <w:rPr>
          <w:rFonts w:ascii="Times New Roman" w:hAnsi="Times New Roman" w:cs="Times New Roman"/>
          <w:sz w:val="22"/>
          <w:szCs w:val="22"/>
          <w:lang w:val="en-US"/>
        </w:rPr>
        <w:t>.</w:t>
      </w:r>
      <w:r w:rsidR="005D45FF">
        <w:rPr>
          <w:rFonts w:ascii="Times New Roman" w:hAnsi="Times New Roman" w:cs="Times New Roman"/>
          <w:sz w:val="22"/>
          <w:szCs w:val="22"/>
          <w:lang w:val="en-US"/>
        </w:rPr>
        <w:t xml:space="preserve"> Since then, CEV has established the relevance</w:t>
      </w:r>
      <w:r w:rsidR="005D45FF" w:rsidRPr="00FD0839">
        <w:rPr>
          <w:rFonts w:ascii="Times New Roman" w:hAnsi="Times New Roman" w:cs="Times New Roman"/>
          <w:sz w:val="22"/>
          <w:szCs w:val="22"/>
          <w:lang w:val="en-US"/>
        </w:rPr>
        <w:t xml:space="preserve"> of implementing educational mechanisms so that people understand the serious impact of reproductive violence on women's health and life </w:t>
      </w:r>
      <w:r w:rsidR="005D45FF">
        <w:rPr>
          <w:rFonts w:ascii="Times New Roman" w:hAnsi="Times New Roman" w:cs="Times New Roman"/>
          <w:sz w:val="22"/>
          <w:szCs w:val="22"/>
          <w:lang w:val="en-US"/>
        </w:rPr>
        <w:t>project.</w:t>
      </w:r>
    </w:p>
    <w:p w14:paraId="1E216D57" w14:textId="77777777" w:rsidR="005D45FF" w:rsidRPr="00133D7A" w:rsidRDefault="005D45FF" w:rsidP="005D45FF">
      <w:pPr>
        <w:pStyle w:val="Listenabsatz"/>
        <w:rPr>
          <w:rFonts w:ascii="Times New Roman" w:hAnsi="Times New Roman" w:cs="Times New Roman"/>
          <w:sz w:val="22"/>
          <w:szCs w:val="22"/>
          <w:lang w:val="en-US"/>
        </w:rPr>
      </w:pPr>
    </w:p>
    <w:p w14:paraId="036C6A04" w14:textId="77777777" w:rsidR="005D45FF" w:rsidRPr="00976989" w:rsidRDefault="005D45FF" w:rsidP="005D45FF">
      <w:pPr>
        <w:pStyle w:val="Listenabsatz"/>
        <w:numPr>
          <w:ilvl w:val="0"/>
          <w:numId w:val="17"/>
        </w:numPr>
        <w:spacing w:after="100"/>
        <w:ind w:left="0"/>
        <w:jc w:val="both"/>
        <w:rPr>
          <w:rFonts w:ascii="Times New Roman" w:hAnsi="Times New Roman" w:cs="Times New Roman"/>
          <w:sz w:val="22"/>
          <w:szCs w:val="22"/>
          <w:lang w:val="en-US"/>
        </w:rPr>
      </w:pPr>
      <w:r w:rsidRPr="007F5B89">
        <w:rPr>
          <w:rFonts w:ascii="Times New Roman" w:hAnsi="Times New Roman" w:cs="Times New Roman"/>
          <w:sz w:val="22"/>
          <w:szCs w:val="22"/>
          <w:lang w:val="en-US"/>
        </w:rPr>
        <w:t xml:space="preserve"> However, there is still a need to ensure that Colombia’s Special Peace Jurisdiction, the other transitional justice mechanism, “address the full spectrum of gender-based and sexual-violence”.  In order to do so, it must consider alternatives to prosecute women’s key experiences during conflict, including violations of their reproductive rights.</w:t>
      </w:r>
    </w:p>
    <w:p w14:paraId="712BD2E6" w14:textId="77777777" w:rsidR="005D45FF" w:rsidRPr="00561351" w:rsidRDefault="005D45FF" w:rsidP="005D45FF">
      <w:pPr>
        <w:pStyle w:val="Listenabsatz"/>
        <w:spacing w:after="100"/>
        <w:ind w:left="0"/>
        <w:contextualSpacing w:val="0"/>
        <w:jc w:val="both"/>
        <w:rPr>
          <w:rFonts w:ascii="Times New Roman" w:hAnsi="Times New Roman" w:cs="Times New Roman"/>
          <w:i/>
          <w:iCs/>
          <w:sz w:val="22"/>
          <w:szCs w:val="22"/>
          <w:lang w:val="en-US"/>
        </w:rPr>
      </w:pPr>
    </w:p>
    <w:p w14:paraId="698C255A" w14:textId="6248155F" w:rsidR="00837B33" w:rsidRDefault="00E0065F" w:rsidP="00DC6C50">
      <w:pPr>
        <w:spacing w:after="100"/>
        <w:ind w:left="709"/>
        <w:jc w:val="both"/>
        <w:rPr>
          <w:rFonts w:ascii="Times New Roman" w:hAnsi="Times New Roman" w:cs="Times New Roman"/>
          <w:i/>
          <w:iCs/>
          <w:sz w:val="22"/>
          <w:szCs w:val="22"/>
          <w:lang w:val="en-US"/>
        </w:rPr>
      </w:pPr>
      <w:r w:rsidRPr="00DC6C50">
        <w:rPr>
          <w:rFonts w:ascii="Times New Roman" w:hAnsi="Times New Roman" w:cs="Times New Roman"/>
          <w:i/>
          <w:iCs/>
          <w:sz w:val="22"/>
          <w:szCs w:val="22"/>
          <w:lang w:val="en-US"/>
        </w:rPr>
        <w:t xml:space="preserve">The demand of civil society organizations </w:t>
      </w:r>
      <w:r w:rsidR="00DC6C50" w:rsidRPr="00DC6C50">
        <w:rPr>
          <w:rFonts w:ascii="Times New Roman" w:hAnsi="Times New Roman" w:cs="Times New Roman"/>
          <w:i/>
          <w:iCs/>
          <w:sz w:val="22"/>
          <w:szCs w:val="22"/>
          <w:lang w:val="en-US"/>
        </w:rPr>
        <w:t xml:space="preserve">to the JEP to open a national case </w:t>
      </w:r>
      <w:r w:rsidRPr="00DC6C50">
        <w:rPr>
          <w:rFonts w:ascii="Times New Roman" w:hAnsi="Times New Roman" w:cs="Times New Roman"/>
          <w:i/>
          <w:iCs/>
          <w:sz w:val="22"/>
          <w:szCs w:val="22"/>
          <w:lang w:val="en-US"/>
        </w:rPr>
        <w:t>about reproductive violence, sexual violence and violence against LGTB community occurred during the armed conflict.</w:t>
      </w:r>
    </w:p>
    <w:p w14:paraId="0268D866" w14:textId="38FFF5BD" w:rsidR="00B9196B" w:rsidRDefault="00B81E0A" w:rsidP="00B9196B">
      <w:pPr>
        <w:pStyle w:val="Listenabsatz"/>
        <w:numPr>
          <w:ilvl w:val="0"/>
          <w:numId w:val="17"/>
        </w:numPr>
        <w:spacing w:after="100"/>
        <w:ind w:left="0"/>
        <w:jc w:val="both"/>
        <w:rPr>
          <w:rFonts w:ascii="Times New Roman" w:hAnsi="Times New Roman" w:cs="Times New Roman"/>
          <w:sz w:val="22"/>
          <w:szCs w:val="22"/>
          <w:lang w:val="en-US"/>
        </w:rPr>
      </w:pPr>
      <w:r w:rsidRPr="00B81E0A">
        <w:rPr>
          <w:rFonts w:ascii="Times New Roman" w:hAnsi="Times New Roman" w:cs="Times New Roman"/>
          <w:sz w:val="22"/>
          <w:szCs w:val="22"/>
          <w:lang w:val="en-US"/>
        </w:rPr>
        <w:t>The strategy of implementing a gender focus in the J</w:t>
      </w:r>
      <w:r w:rsidR="00CD3111">
        <w:rPr>
          <w:rFonts w:ascii="Times New Roman" w:hAnsi="Times New Roman" w:cs="Times New Roman"/>
          <w:sz w:val="22"/>
          <w:szCs w:val="22"/>
          <w:lang w:val="en-US"/>
        </w:rPr>
        <w:t>EP</w:t>
      </w:r>
      <w:r w:rsidR="0055783C">
        <w:rPr>
          <w:rFonts w:ascii="Times New Roman" w:hAnsi="Times New Roman" w:cs="Times New Roman"/>
          <w:sz w:val="22"/>
          <w:szCs w:val="22"/>
          <w:lang w:val="en-US"/>
        </w:rPr>
        <w:t xml:space="preserve">, </w:t>
      </w:r>
      <w:r w:rsidRPr="00B81E0A">
        <w:rPr>
          <w:rFonts w:ascii="Times New Roman" w:hAnsi="Times New Roman" w:cs="Times New Roman"/>
          <w:sz w:val="22"/>
          <w:szCs w:val="22"/>
          <w:lang w:val="en-US"/>
        </w:rPr>
        <w:t>regarding victimizing events that occurred during the armed conflict</w:t>
      </w:r>
      <w:r w:rsidR="0013094B">
        <w:rPr>
          <w:rFonts w:ascii="Times New Roman" w:hAnsi="Times New Roman" w:cs="Times New Roman"/>
          <w:sz w:val="22"/>
          <w:szCs w:val="22"/>
          <w:lang w:val="en-US"/>
        </w:rPr>
        <w:t>,</w:t>
      </w:r>
      <w:r w:rsidRPr="00B81E0A">
        <w:rPr>
          <w:rFonts w:ascii="Times New Roman" w:hAnsi="Times New Roman" w:cs="Times New Roman"/>
          <w:sz w:val="22"/>
          <w:szCs w:val="22"/>
          <w:lang w:val="en-US"/>
        </w:rPr>
        <w:t xml:space="preserve"> has been widely questioned by feminist and LGTBI organizations</w:t>
      </w:r>
      <w:r w:rsidR="0055783C">
        <w:rPr>
          <w:rFonts w:ascii="Times New Roman" w:hAnsi="Times New Roman" w:cs="Times New Roman"/>
          <w:sz w:val="22"/>
          <w:szCs w:val="22"/>
          <w:lang w:val="en-US"/>
        </w:rPr>
        <w:t>. T</w:t>
      </w:r>
      <w:r w:rsidRPr="00B81E0A">
        <w:rPr>
          <w:rFonts w:ascii="Times New Roman" w:hAnsi="Times New Roman" w:cs="Times New Roman"/>
          <w:sz w:val="22"/>
          <w:szCs w:val="22"/>
          <w:lang w:val="en-US"/>
        </w:rPr>
        <w:t>hey consider that cases of sexual and reproductive violence and violence against LGTBI community have been treated from a limited perspective in relation to the depth and systematicity with which these types of events occurred during the armed conflict.</w:t>
      </w:r>
    </w:p>
    <w:p w14:paraId="4EC40776" w14:textId="77777777" w:rsidR="00B81E0A" w:rsidRDefault="00B81E0A" w:rsidP="00B81E0A">
      <w:pPr>
        <w:pStyle w:val="Listenabsatz"/>
        <w:spacing w:after="100"/>
        <w:ind w:left="0"/>
        <w:jc w:val="both"/>
        <w:rPr>
          <w:rFonts w:ascii="Times New Roman" w:hAnsi="Times New Roman" w:cs="Times New Roman"/>
          <w:sz w:val="22"/>
          <w:szCs w:val="22"/>
          <w:lang w:val="en-US"/>
        </w:rPr>
      </w:pPr>
    </w:p>
    <w:p w14:paraId="7A962B1E" w14:textId="38A75B97" w:rsidR="002D7811" w:rsidRPr="0055783C" w:rsidRDefault="00F06211" w:rsidP="0055783C">
      <w:pPr>
        <w:pStyle w:val="Listenabsatz"/>
        <w:numPr>
          <w:ilvl w:val="0"/>
          <w:numId w:val="17"/>
        </w:numPr>
        <w:spacing w:after="100"/>
        <w:ind w:left="0"/>
        <w:jc w:val="both"/>
        <w:rPr>
          <w:rFonts w:ascii="Times New Roman" w:hAnsi="Times New Roman" w:cs="Times New Roman"/>
          <w:sz w:val="22"/>
          <w:szCs w:val="22"/>
          <w:lang w:val="en-US"/>
        </w:rPr>
      </w:pPr>
      <w:r>
        <w:rPr>
          <w:rFonts w:ascii="Times New Roman" w:hAnsi="Times New Roman" w:cs="Times New Roman"/>
          <w:sz w:val="22"/>
          <w:szCs w:val="22"/>
          <w:lang w:val="en-US"/>
        </w:rPr>
        <w:t xml:space="preserve">On 2020, </w:t>
      </w:r>
      <w:r w:rsidR="00BB11D6" w:rsidRPr="00BB11D6">
        <w:rPr>
          <w:rFonts w:ascii="Times New Roman" w:hAnsi="Times New Roman" w:cs="Times New Roman"/>
          <w:sz w:val="22"/>
          <w:szCs w:val="22"/>
        </w:rPr>
        <w:t>feminist and LGBTI organizations questioned</w:t>
      </w:r>
      <w:r w:rsidR="00BB11D6">
        <w:rPr>
          <w:rFonts w:ascii="Times New Roman" w:hAnsi="Times New Roman" w:cs="Times New Roman"/>
          <w:sz w:val="22"/>
          <w:szCs w:val="22"/>
        </w:rPr>
        <w:t xml:space="preserve"> </w:t>
      </w:r>
      <w:r w:rsidR="00BB11D6">
        <w:rPr>
          <w:rFonts w:ascii="Times New Roman" w:hAnsi="Times New Roman" w:cs="Times New Roman"/>
          <w:sz w:val="22"/>
          <w:szCs w:val="22"/>
          <w:lang w:val="en-US"/>
        </w:rPr>
        <w:t xml:space="preserve">in </w:t>
      </w:r>
      <w:r w:rsidR="00FA5FB5">
        <w:rPr>
          <w:rFonts w:ascii="Times New Roman" w:hAnsi="Times New Roman" w:cs="Times New Roman"/>
          <w:sz w:val="22"/>
          <w:szCs w:val="22"/>
          <w:lang w:val="en-US"/>
        </w:rPr>
        <w:t xml:space="preserve">a report </w:t>
      </w:r>
      <w:r w:rsidR="002D0AA9" w:rsidRPr="002D0AA9">
        <w:rPr>
          <w:rFonts w:ascii="Times New Roman" w:hAnsi="Times New Roman" w:cs="Times New Roman"/>
          <w:sz w:val="22"/>
          <w:szCs w:val="22"/>
          <w:lang w:val="en-US"/>
        </w:rPr>
        <w:t>the legal strategy of the JEP</w:t>
      </w:r>
      <w:r w:rsidR="00DB0C93">
        <w:rPr>
          <w:rFonts w:ascii="Times New Roman" w:hAnsi="Times New Roman" w:cs="Times New Roman"/>
          <w:sz w:val="22"/>
          <w:szCs w:val="22"/>
          <w:lang w:val="en-US"/>
        </w:rPr>
        <w:t xml:space="preserve">. </w:t>
      </w:r>
      <w:r w:rsidR="00A77157">
        <w:rPr>
          <w:rFonts w:ascii="Times New Roman" w:hAnsi="Times New Roman" w:cs="Times New Roman"/>
          <w:sz w:val="22"/>
          <w:szCs w:val="22"/>
          <w:lang w:val="en-US"/>
        </w:rPr>
        <w:t>In their consideration, the JEP has used</w:t>
      </w:r>
      <w:r w:rsidR="00A77157" w:rsidRPr="00A77157">
        <w:rPr>
          <w:rFonts w:ascii="Times New Roman" w:hAnsi="Times New Roman" w:cs="Times New Roman"/>
          <w:sz w:val="22"/>
          <w:szCs w:val="22"/>
          <w:lang w:val="en-US"/>
        </w:rPr>
        <w:t xml:space="preserve"> stereotypical views that tend to classify acts of sexual violence as private, incidental and unconnected to the conflict environment</w:t>
      </w:r>
      <w:r w:rsidR="00A77157">
        <w:rPr>
          <w:rFonts w:ascii="Times New Roman" w:hAnsi="Times New Roman" w:cs="Times New Roman"/>
          <w:sz w:val="22"/>
          <w:szCs w:val="22"/>
          <w:lang w:val="en-US"/>
        </w:rPr>
        <w:t xml:space="preserve"> </w:t>
      </w:r>
      <w:r w:rsidR="009228F6">
        <w:rPr>
          <w:rStyle w:val="Endnotenzeichen"/>
          <w:rFonts w:ascii="Times New Roman" w:hAnsi="Times New Roman" w:cs="Times New Roman"/>
          <w:sz w:val="22"/>
          <w:szCs w:val="22"/>
          <w:lang w:val="en-US"/>
        </w:rPr>
        <w:endnoteReference w:id="31"/>
      </w:r>
      <w:r w:rsidR="0055783C">
        <w:rPr>
          <w:rFonts w:ascii="Times New Roman" w:hAnsi="Times New Roman" w:cs="Times New Roman"/>
          <w:sz w:val="22"/>
          <w:szCs w:val="22"/>
          <w:lang w:val="en-US"/>
        </w:rPr>
        <w:t>. They are advocating as well</w:t>
      </w:r>
      <w:r w:rsidR="0055783C" w:rsidRPr="0055783C">
        <w:rPr>
          <w:rFonts w:ascii="Times New Roman" w:hAnsi="Times New Roman" w:cs="Times New Roman"/>
          <w:sz w:val="22"/>
          <w:szCs w:val="22"/>
          <w:lang w:val="en-US"/>
        </w:rPr>
        <w:t xml:space="preserve"> for the JEP to prioritize the national macro-case about sexual violence and reproductive violence during the armed conflict, as it was incorporated in the Final Agreement</w:t>
      </w:r>
      <w:r w:rsidR="0055783C">
        <w:rPr>
          <w:rFonts w:ascii="Times New Roman" w:hAnsi="Times New Roman" w:cs="Times New Roman"/>
          <w:sz w:val="22"/>
          <w:szCs w:val="22"/>
          <w:lang w:val="en-US"/>
        </w:rPr>
        <w:t xml:space="preserve"> </w:t>
      </w:r>
      <w:r w:rsidR="00E0742F">
        <w:rPr>
          <w:rStyle w:val="Endnotenzeichen"/>
          <w:rFonts w:ascii="Times New Roman" w:hAnsi="Times New Roman" w:cs="Times New Roman"/>
          <w:sz w:val="22"/>
          <w:szCs w:val="22"/>
          <w:lang w:val="en-US"/>
        </w:rPr>
        <w:endnoteReference w:id="32"/>
      </w:r>
      <w:r w:rsidR="001259CE" w:rsidRPr="0055783C">
        <w:rPr>
          <w:rFonts w:ascii="Times New Roman" w:hAnsi="Times New Roman" w:cs="Times New Roman"/>
          <w:sz w:val="22"/>
          <w:szCs w:val="22"/>
          <w:lang w:val="en-US"/>
        </w:rPr>
        <w:t>.</w:t>
      </w:r>
    </w:p>
    <w:p w14:paraId="380D106B" w14:textId="683BAE4A" w:rsidR="00AE128C" w:rsidRDefault="00AE128C" w:rsidP="00AE128C">
      <w:pPr>
        <w:pStyle w:val="Listenabsatz"/>
        <w:spacing w:after="100"/>
        <w:ind w:left="0"/>
        <w:contextualSpacing w:val="0"/>
        <w:jc w:val="both"/>
        <w:rPr>
          <w:rFonts w:ascii="Times New Roman" w:hAnsi="Times New Roman" w:cs="Times New Roman"/>
          <w:sz w:val="22"/>
          <w:szCs w:val="22"/>
          <w:lang w:val="en-US"/>
        </w:rPr>
      </w:pPr>
    </w:p>
    <w:p w14:paraId="2DFD4478" w14:textId="1D5ECB9B" w:rsidR="00B45022" w:rsidRPr="00B81E0A" w:rsidRDefault="00B45022" w:rsidP="00B81E0A">
      <w:pPr>
        <w:pStyle w:val="Listenabsatz"/>
        <w:numPr>
          <w:ilvl w:val="0"/>
          <w:numId w:val="2"/>
        </w:numPr>
        <w:spacing w:after="100"/>
        <w:jc w:val="both"/>
        <w:rPr>
          <w:rFonts w:ascii="Times New Roman" w:hAnsi="Times New Roman" w:cs="Times New Roman"/>
          <w:sz w:val="22"/>
          <w:szCs w:val="22"/>
        </w:rPr>
      </w:pPr>
      <w:r w:rsidRPr="00B81E0A">
        <w:rPr>
          <w:rFonts w:ascii="Times New Roman" w:eastAsia="Times New Roman" w:hAnsi="Times New Roman" w:cs="Times New Roman"/>
          <w:b/>
          <w:sz w:val="22"/>
          <w:szCs w:val="22"/>
          <w:lang w:val="en-GB"/>
        </w:rPr>
        <w:t>Suggested questions</w:t>
      </w:r>
    </w:p>
    <w:p w14:paraId="58B5B600" w14:textId="77777777" w:rsidR="00B81E0A" w:rsidRPr="00B81E0A" w:rsidRDefault="00B81E0A" w:rsidP="00B81E0A">
      <w:pPr>
        <w:pStyle w:val="Listenabsatz"/>
        <w:spacing w:after="100"/>
        <w:ind w:left="1080"/>
        <w:jc w:val="both"/>
        <w:rPr>
          <w:rFonts w:ascii="Times New Roman" w:hAnsi="Times New Roman" w:cs="Times New Roman"/>
          <w:sz w:val="22"/>
          <w:szCs w:val="22"/>
        </w:rPr>
      </w:pPr>
    </w:p>
    <w:p w14:paraId="3728E3D0" w14:textId="40A3CF16" w:rsidR="00B45022" w:rsidRPr="004E4DE2" w:rsidRDefault="00B45022" w:rsidP="00D0419C">
      <w:pPr>
        <w:pStyle w:val="Listenabsatz"/>
        <w:numPr>
          <w:ilvl w:val="0"/>
          <w:numId w:val="3"/>
        </w:numPr>
        <w:spacing w:after="100"/>
        <w:ind w:left="0"/>
        <w:contextualSpacing w:val="0"/>
        <w:jc w:val="both"/>
        <w:rPr>
          <w:rFonts w:ascii="Times New Roman" w:hAnsi="Times New Roman" w:cs="Times New Roman"/>
          <w:sz w:val="22"/>
          <w:szCs w:val="22"/>
          <w:lang w:val="en-US"/>
        </w:rPr>
      </w:pPr>
      <w:r w:rsidRPr="004E4DE2">
        <w:rPr>
          <w:rFonts w:ascii="Times New Roman" w:hAnsi="Times New Roman" w:cs="Times New Roman"/>
          <w:sz w:val="22"/>
          <w:szCs w:val="22"/>
          <w:lang w:val="en-US"/>
        </w:rPr>
        <w:t>The C</w:t>
      </w:r>
      <w:r w:rsidR="005A1F83">
        <w:rPr>
          <w:rFonts w:ascii="Times New Roman" w:hAnsi="Times New Roman" w:cs="Times New Roman"/>
          <w:sz w:val="22"/>
          <w:szCs w:val="22"/>
          <w:lang w:val="en-US"/>
        </w:rPr>
        <w:t>enter</w:t>
      </w:r>
      <w:r w:rsidRPr="004E4DE2">
        <w:rPr>
          <w:rFonts w:ascii="Times New Roman" w:hAnsi="Times New Roman" w:cs="Times New Roman"/>
          <w:sz w:val="22"/>
          <w:szCs w:val="22"/>
          <w:lang w:val="en-US"/>
        </w:rPr>
        <w:t xml:space="preserve"> respectfully </w:t>
      </w:r>
      <w:r w:rsidR="00C26500">
        <w:rPr>
          <w:rFonts w:ascii="Times New Roman" w:hAnsi="Times New Roman" w:cs="Times New Roman"/>
          <w:sz w:val="22"/>
          <w:szCs w:val="22"/>
          <w:lang w:val="en-US"/>
        </w:rPr>
        <w:t>suggest</w:t>
      </w:r>
      <w:r w:rsidRPr="004E4DE2">
        <w:rPr>
          <w:rFonts w:ascii="Times New Roman" w:hAnsi="Times New Roman" w:cs="Times New Roman"/>
          <w:sz w:val="22"/>
          <w:szCs w:val="22"/>
          <w:lang w:val="en-US"/>
        </w:rPr>
        <w:t xml:space="preserve"> that the Committee ask</w:t>
      </w:r>
      <w:r w:rsidR="00261408" w:rsidRPr="004E4DE2">
        <w:rPr>
          <w:rFonts w:ascii="Times New Roman" w:hAnsi="Times New Roman" w:cs="Times New Roman"/>
          <w:sz w:val="22"/>
          <w:szCs w:val="22"/>
          <w:lang w:val="en-US"/>
        </w:rPr>
        <w:t>s</w:t>
      </w:r>
      <w:r w:rsidRPr="004E4DE2">
        <w:rPr>
          <w:rFonts w:ascii="Times New Roman" w:hAnsi="Times New Roman" w:cs="Times New Roman"/>
          <w:sz w:val="22"/>
          <w:szCs w:val="22"/>
          <w:lang w:val="en-US"/>
        </w:rPr>
        <w:t xml:space="preserve"> </w:t>
      </w:r>
      <w:r w:rsidR="0074204F">
        <w:rPr>
          <w:rFonts w:ascii="Times New Roman" w:hAnsi="Times New Roman" w:cs="Times New Roman"/>
          <w:sz w:val="22"/>
          <w:szCs w:val="22"/>
          <w:lang w:val="en-US"/>
        </w:rPr>
        <w:t>Colombia</w:t>
      </w:r>
      <w:r w:rsidRPr="004E4DE2">
        <w:rPr>
          <w:rFonts w:ascii="Times New Roman" w:hAnsi="Times New Roman" w:cs="Times New Roman"/>
          <w:sz w:val="22"/>
          <w:szCs w:val="22"/>
          <w:lang w:val="en-US"/>
        </w:rPr>
        <w:t xml:space="preserve"> to report on the following: </w:t>
      </w:r>
    </w:p>
    <w:p w14:paraId="2D8976B7" w14:textId="7A0BD902" w:rsidR="00CA7655" w:rsidRDefault="00BD56F5" w:rsidP="00CA7655">
      <w:pPr>
        <w:pStyle w:val="Listenabsatz"/>
        <w:numPr>
          <w:ilvl w:val="0"/>
          <w:numId w:val="22"/>
        </w:numPr>
        <w:spacing w:after="100"/>
        <w:jc w:val="both"/>
        <w:rPr>
          <w:rFonts w:ascii="Times New Roman" w:hAnsi="Times New Roman" w:cs="Times New Roman"/>
          <w:sz w:val="22"/>
          <w:szCs w:val="22"/>
          <w:lang w:val="en-US"/>
        </w:rPr>
      </w:pPr>
      <w:proofErr w:type="spellStart"/>
      <w:r>
        <w:rPr>
          <w:rFonts w:ascii="Times New Roman" w:hAnsi="Times New Roman" w:cs="Times New Roman"/>
          <w:sz w:val="22"/>
          <w:szCs w:val="22"/>
          <w:lang w:val="en-US"/>
        </w:rPr>
        <w:t>i</w:t>
      </w:r>
      <w:proofErr w:type="spellEnd"/>
      <w:r>
        <w:rPr>
          <w:rFonts w:ascii="Times New Roman" w:hAnsi="Times New Roman" w:cs="Times New Roman"/>
          <w:sz w:val="22"/>
          <w:szCs w:val="22"/>
          <w:lang w:val="en-US"/>
        </w:rPr>
        <w:t>.</w:t>
      </w:r>
      <w:r w:rsidR="00ED7DCC">
        <w:rPr>
          <w:rFonts w:ascii="Times New Roman" w:hAnsi="Times New Roman" w:cs="Times New Roman"/>
          <w:sz w:val="22"/>
          <w:szCs w:val="22"/>
          <w:lang w:val="en-US"/>
        </w:rPr>
        <w:t xml:space="preserve"> </w:t>
      </w:r>
      <w:r w:rsidR="005E1294" w:rsidRPr="005E1294">
        <w:rPr>
          <w:rFonts w:ascii="Times New Roman" w:hAnsi="Times New Roman" w:cs="Times New Roman"/>
          <w:sz w:val="22"/>
          <w:szCs w:val="22"/>
          <w:lang w:val="en-US"/>
        </w:rPr>
        <w:t>The steps taken to investigate human rights violations resulting from the effects on health, reproductive health and the environment caused by the application of the PECIG, up to year 2015, as part of the policies against illicit crops</w:t>
      </w:r>
      <w:r>
        <w:rPr>
          <w:rFonts w:ascii="Times New Roman" w:hAnsi="Times New Roman" w:cs="Times New Roman"/>
          <w:sz w:val="22"/>
          <w:szCs w:val="22"/>
          <w:lang w:val="en-US"/>
        </w:rPr>
        <w:t xml:space="preserve">; ii. </w:t>
      </w:r>
      <w:r w:rsidR="009529E6" w:rsidRPr="009529E6">
        <w:rPr>
          <w:rFonts w:ascii="Times New Roman" w:hAnsi="Times New Roman" w:cs="Times New Roman"/>
          <w:sz w:val="22"/>
          <w:szCs w:val="22"/>
          <w:lang w:val="en-US"/>
        </w:rPr>
        <w:t>what epidemiological surveillance measures are being or will be implemented to detect and diagnose the effects of exposure to toxic substances and their effects on health, including reproductive health in the most affected departments</w:t>
      </w:r>
      <w:r>
        <w:rPr>
          <w:rFonts w:ascii="Times New Roman" w:hAnsi="Times New Roman" w:cs="Times New Roman"/>
          <w:sz w:val="22"/>
          <w:szCs w:val="22"/>
          <w:lang w:val="en-US"/>
        </w:rPr>
        <w:t>; iii. t</w:t>
      </w:r>
      <w:r w:rsidR="005E1294" w:rsidRPr="005E1294">
        <w:rPr>
          <w:rFonts w:ascii="Times New Roman" w:hAnsi="Times New Roman" w:cs="Times New Roman"/>
          <w:sz w:val="22"/>
          <w:szCs w:val="22"/>
          <w:lang w:val="en-US"/>
        </w:rPr>
        <w:t>he implementation of procedures, both administrative and judicial, that allow the recognition and reparation of damages caused to the population by the PECIGs, without requiring disproportionate standards of proof that impede the victims' access to justice.</w:t>
      </w:r>
    </w:p>
    <w:p w14:paraId="40378384" w14:textId="77777777" w:rsidR="00CA7655" w:rsidRDefault="00CA7655" w:rsidP="00CA7655">
      <w:pPr>
        <w:pStyle w:val="Listenabsatz"/>
        <w:spacing w:after="100"/>
        <w:jc w:val="both"/>
        <w:rPr>
          <w:rFonts w:ascii="Times New Roman" w:hAnsi="Times New Roman" w:cs="Times New Roman"/>
          <w:sz w:val="22"/>
          <w:szCs w:val="22"/>
          <w:lang w:val="en-US"/>
        </w:rPr>
      </w:pPr>
    </w:p>
    <w:p w14:paraId="62A05F6F" w14:textId="2B473FF4" w:rsidR="00567B67" w:rsidRDefault="00B10779" w:rsidP="00CA7655">
      <w:pPr>
        <w:pStyle w:val="Listenabsatz"/>
        <w:numPr>
          <w:ilvl w:val="0"/>
          <w:numId w:val="22"/>
        </w:numPr>
        <w:spacing w:after="100"/>
        <w:jc w:val="both"/>
        <w:rPr>
          <w:rFonts w:ascii="Times New Roman" w:hAnsi="Times New Roman" w:cs="Times New Roman"/>
          <w:sz w:val="22"/>
          <w:szCs w:val="22"/>
          <w:lang w:val="en-US"/>
        </w:rPr>
      </w:pPr>
      <w:proofErr w:type="spellStart"/>
      <w:r>
        <w:rPr>
          <w:rFonts w:ascii="Times New Roman" w:hAnsi="Times New Roman" w:cs="Times New Roman"/>
          <w:sz w:val="22"/>
          <w:szCs w:val="22"/>
          <w:lang w:val="en-US"/>
        </w:rPr>
        <w:t>i</w:t>
      </w:r>
      <w:proofErr w:type="spellEnd"/>
      <w:r>
        <w:rPr>
          <w:rFonts w:ascii="Times New Roman" w:hAnsi="Times New Roman" w:cs="Times New Roman"/>
          <w:sz w:val="22"/>
          <w:szCs w:val="22"/>
          <w:lang w:val="en-US"/>
        </w:rPr>
        <w:t xml:space="preserve">. </w:t>
      </w:r>
      <w:r w:rsidR="00345B99">
        <w:rPr>
          <w:rFonts w:ascii="Times New Roman" w:hAnsi="Times New Roman" w:cs="Times New Roman"/>
          <w:sz w:val="22"/>
          <w:szCs w:val="22"/>
          <w:lang w:val="en-US"/>
        </w:rPr>
        <w:t>The steps being taken by the Government to implement the Ruling C-055/2022</w:t>
      </w:r>
      <w:r>
        <w:rPr>
          <w:rFonts w:ascii="Times New Roman" w:hAnsi="Times New Roman" w:cs="Times New Roman"/>
          <w:sz w:val="22"/>
          <w:szCs w:val="22"/>
          <w:lang w:val="en-US"/>
        </w:rPr>
        <w:t xml:space="preserve"> in all its integrity, specially, the policy </w:t>
      </w:r>
      <w:r w:rsidRPr="00B10779">
        <w:rPr>
          <w:rFonts w:ascii="Times New Roman" w:hAnsi="Times New Roman" w:cs="Times New Roman"/>
          <w:sz w:val="22"/>
          <w:szCs w:val="22"/>
          <w:lang w:val="en-US"/>
        </w:rPr>
        <w:t>to eliminate any obstacle to the exercise of sexual and reproductive right</w:t>
      </w:r>
      <w:r>
        <w:rPr>
          <w:rFonts w:ascii="Times New Roman" w:hAnsi="Times New Roman" w:cs="Times New Roman"/>
          <w:sz w:val="22"/>
          <w:szCs w:val="22"/>
          <w:lang w:val="en-US"/>
        </w:rPr>
        <w:t xml:space="preserve">. </w:t>
      </w:r>
    </w:p>
    <w:p w14:paraId="3D7A0A7A" w14:textId="77777777" w:rsidR="00567B67" w:rsidRPr="00567B67" w:rsidRDefault="00567B67" w:rsidP="00567B67">
      <w:pPr>
        <w:pStyle w:val="Listenabsatz"/>
        <w:rPr>
          <w:rFonts w:ascii="Times New Roman" w:hAnsi="Times New Roman" w:cs="Times New Roman"/>
          <w:sz w:val="22"/>
          <w:szCs w:val="22"/>
          <w:lang w:val="en-US"/>
        </w:rPr>
      </w:pPr>
    </w:p>
    <w:p w14:paraId="0BB49E92" w14:textId="43B3C52E" w:rsidR="007D28B4" w:rsidRDefault="00CA7655" w:rsidP="00CA7655">
      <w:pPr>
        <w:pStyle w:val="Listenabsatz"/>
        <w:numPr>
          <w:ilvl w:val="0"/>
          <w:numId w:val="22"/>
        </w:numPr>
        <w:spacing w:after="100"/>
        <w:jc w:val="both"/>
        <w:rPr>
          <w:rFonts w:ascii="Times New Roman" w:hAnsi="Times New Roman" w:cs="Times New Roman"/>
          <w:sz w:val="22"/>
          <w:szCs w:val="22"/>
          <w:lang w:val="en-US"/>
        </w:rPr>
      </w:pPr>
      <w:proofErr w:type="spellStart"/>
      <w:r>
        <w:rPr>
          <w:rFonts w:ascii="Times New Roman" w:hAnsi="Times New Roman" w:cs="Times New Roman"/>
          <w:sz w:val="22"/>
          <w:szCs w:val="22"/>
          <w:lang w:val="en-US"/>
        </w:rPr>
        <w:t>i</w:t>
      </w:r>
      <w:proofErr w:type="spellEnd"/>
      <w:r>
        <w:rPr>
          <w:rFonts w:ascii="Times New Roman" w:hAnsi="Times New Roman" w:cs="Times New Roman"/>
          <w:sz w:val="22"/>
          <w:szCs w:val="22"/>
          <w:lang w:val="en-US"/>
        </w:rPr>
        <w:t>. T</w:t>
      </w:r>
      <w:r w:rsidR="00E614D6" w:rsidRPr="00CA7655">
        <w:rPr>
          <w:rFonts w:ascii="Times New Roman" w:hAnsi="Times New Roman" w:cs="Times New Roman"/>
          <w:sz w:val="22"/>
          <w:szCs w:val="22"/>
          <w:lang w:val="en-US"/>
        </w:rPr>
        <w:t>he</w:t>
      </w:r>
      <w:r w:rsidR="0099524F" w:rsidRPr="00CA7655">
        <w:rPr>
          <w:rFonts w:ascii="Times New Roman" w:hAnsi="Times New Roman" w:cs="Times New Roman"/>
          <w:sz w:val="22"/>
          <w:szCs w:val="22"/>
          <w:lang w:val="en-US"/>
        </w:rPr>
        <w:t xml:space="preserve"> steps </w:t>
      </w:r>
      <w:r w:rsidR="00E614D6" w:rsidRPr="00CA7655">
        <w:rPr>
          <w:rFonts w:ascii="Times New Roman" w:hAnsi="Times New Roman" w:cs="Times New Roman"/>
          <w:sz w:val="22"/>
          <w:szCs w:val="22"/>
          <w:lang w:val="en-US"/>
        </w:rPr>
        <w:t xml:space="preserve">being taken </w:t>
      </w:r>
      <w:r w:rsidR="00F428B9" w:rsidRPr="00CA7655">
        <w:rPr>
          <w:rFonts w:ascii="Times New Roman" w:hAnsi="Times New Roman" w:cs="Times New Roman"/>
          <w:sz w:val="22"/>
          <w:szCs w:val="22"/>
          <w:lang w:val="en-US"/>
        </w:rPr>
        <w:t xml:space="preserve">by the </w:t>
      </w:r>
      <w:r w:rsidRPr="00CA7655">
        <w:rPr>
          <w:rFonts w:ascii="Times New Roman" w:hAnsi="Times New Roman" w:cs="Times New Roman"/>
          <w:sz w:val="22"/>
          <w:szCs w:val="22"/>
          <w:lang w:val="en-US"/>
        </w:rPr>
        <w:t xml:space="preserve">transitional mechanisms </w:t>
      </w:r>
      <w:r w:rsidR="0099524F" w:rsidRPr="00CA7655">
        <w:rPr>
          <w:rFonts w:ascii="Times New Roman" w:hAnsi="Times New Roman" w:cs="Times New Roman"/>
          <w:sz w:val="22"/>
          <w:szCs w:val="22"/>
          <w:lang w:val="en-US"/>
        </w:rPr>
        <w:t xml:space="preserve">to recognize </w:t>
      </w:r>
      <w:r w:rsidRPr="00CA7655">
        <w:rPr>
          <w:rFonts w:ascii="Times New Roman" w:hAnsi="Times New Roman" w:cs="Times New Roman"/>
          <w:sz w:val="22"/>
          <w:szCs w:val="22"/>
          <w:lang w:val="en-US"/>
        </w:rPr>
        <w:t xml:space="preserve">the occurrence of </w:t>
      </w:r>
      <w:r w:rsidR="0099524F" w:rsidRPr="00CA7655">
        <w:rPr>
          <w:rFonts w:ascii="Times New Roman" w:hAnsi="Times New Roman" w:cs="Times New Roman"/>
          <w:sz w:val="22"/>
          <w:szCs w:val="22"/>
          <w:lang w:val="en-US"/>
        </w:rPr>
        <w:t>reproductive</w:t>
      </w:r>
      <w:r w:rsidR="008F0D68">
        <w:rPr>
          <w:rFonts w:ascii="Times New Roman" w:hAnsi="Times New Roman" w:cs="Times New Roman"/>
          <w:sz w:val="22"/>
          <w:szCs w:val="22"/>
          <w:lang w:val="en-US"/>
        </w:rPr>
        <w:t xml:space="preserve"> violence</w:t>
      </w:r>
      <w:r w:rsidR="0099524F" w:rsidRPr="00CA7655">
        <w:rPr>
          <w:rFonts w:ascii="Times New Roman" w:hAnsi="Times New Roman" w:cs="Times New Roman"/>
          <w:sz w:val="22"/>
          <w:szCs w:val="22"/>
          <w:lang w:val="en-US"/>
        </w:rPr>
        <w:t xml:space="preserve"> </w:t>
      </w:r>
      <w:r w:rsidRPr="00CA7655">
        <w:rPr>
          <w:rFonts w:ascii="Times New Roman" w:hAnsi="Times New Roman" w:cs="Times New Roman"/>
          <w:sz w:val="22"/>
          <w:szCs w:val="22"/>
          <w:lang w:val="en-US"/>
        </w:rPr>
        <w:t>during the conflict</w:t>
      </w:r>
      <w:r w:rsidR="00962082">
        <w:rPr>
          <w:rFonts w:ascii="Times New Roman" w:hAnsi="Times New Roman" w:cs="Times New Roman"/>
          <w:sz w:val="22"/>
          <w:szCs w:val="22"/>
          <w:lang w:val="en-US"/>
        </w:rPr>
        <w:t xml:space="preserve">; </w:t>
      </w:r>
      <w:r w:rsidR="00672803">
        <w:rPr>
          <w:rFonts w:ascii="Times New Roman" w:hAnsi="Times New Roman" w:cs="Times New Roman"/>
          <w:sz w:val="22"/>
          <w:szCs w:val="22"/>
          <w:lang w:val="en-US"/>
        </w:rPr>
        <w:t>ii</w:t>
      </w:r>
      <w:r w:rsidR="00EB478A">
        <w:t xml:space="preserve">. </w:t>
      </w:r>
      <w:r w:rsidR="00EB478A" w:rsidRPr="00EB478A">
        <w:rPr>
          <w:rFonts w:ascii="Times New Roman" w:hAnsi="Times New Roman" w:cs="Times New Roman"/>
          <w:sz w:val="22"/>
          <w:szCs w:val="22"/>
          <w:lang w:val="en-US"/>
        </w:rPr>
        <w:t>what are the JEP's arguments for prioritizing, or not, a national macro-case on gender violence</w:t>
      </w:r>
      <w:r w:rsidR="008F0D68">
        <w:rPr>
          <w:rFonts w:ascii="Times New Roman" w:hAnsi="Times New Roman" w:cs="Times New Roman"/>
          <w:sz w:val="22"/>
          <w:szCs w:val="22"/>
          <w:lang w:val="en-US"/>
        </w:rPr>
        <w:t xml:space="preserve">; iii. </w:t>
      </w:r>
      <w:r w:rsidR="00EB478A">
        <w:rPr>
          <w:rFonts w:ascii="Times New Roman" w:hAnsi="Times New Roman" w:cs="Times New Roman"/>
          <w:sz w:val="22"/>
          <w:szCs w:val="22"/>
          <w:lang w:val="en-US"/>
        </w:rPr>
        <w:t>How the JEP will guarantee the inclusion of the reproduct</w:t>
      </w:r>
      <w:r w:rsidR="00567B67">
        <w:rPr>
          <w:rFonts w:ascii="Times New Roman" w:hAnsi="Times New Roman" w:cs="Times New Roman"/>
          <w:sz w:val="22"/>
          <w:szCs w:val="22"/>
          <w:lang w:val="en-US"/>
        </w:rPr>
        <w:t xml:space="preserve">ive </w:t>
      </w:r>
      <w:r w:rsidR="00EB478A">
        <w:rPr>
          <w:rFonts w:ascii="Times New Roman" w:hAnsi="Times New Roman" w:cs="Times New Roman"/>
          <w:sz w:val="22"/>
          <w:szCs w:val="22"/>
          <w:lang w:val="en-US"/>
        </w:rPr>
        <w:t xml:space="preserve">violence concept in their decisions, in order to </w:t>
      </w:r>
      <w:r w:rsidR="00567B67">
        <w:rPr>
          <w:rFonts w:ascii="Times New Roman" w:hAnsi="Times New Roman" w:cs="Times New Roman"/>
          <w:sz w:val="22"/>
          <w:szCs w:val="22"/>
          <w:lang w:val="en-US"/>
        </w:rPr>
        <w:t xml:space="preserve">make </w:t>
      </w:r>
      <w:r w:rsidR="00567B67" w:rsidRPr="00567B67">
        <w:rPr>
          <w:rFonts w:ascii="Times New Roman" w:hAnsi="Times New Roman" w:cs="Times New Roman"/>
          <w:sz w:val="22"/>
          <w:szCs w:val="22"/>
          <w:lang w:val="en-US"/>
        </w:rPr>
        <w:t>visible the impact of this type of violation on the life projects of women and girls.</w:t>
      </w:r>
    </w:p>
    <w:p w14:paraId="0CA709C0" w14:textId="77777777" w:rsidR="00567B67" w:rsidRPr="00567B67" w:rsidRDefault="00567B67" w:rsidP="00567B67">
      <w:pPr>
        <w:pStyle w:val="Listenabsatz"/>
        <w:rPr>
          <w:rFonts w:ascii="Times New Roman" w:hAnsi="Times New Roman" w:cs="Times New Roman"/>
          <w:sz w:val="22"/>
          <w:szCs w:val="22"/>
          <w:lang w:val="en-US"/>
        </w:rPr>
      </w:pPr>
    </w:p>
    <w:p w14:paraId="375D2D7E" w14:textId="77777777" w:rsidR="00567B67" w:rsidRPr="00CA7655" w:rsidRDefault="00567B67" w:rsidP="00567B67">
      <w:pPr>
        <w:pStyle w:val="Listenabsatz"/>
        <w:spacing w:after="100"/>
        <w:jc w:val="both"/>
        <w:rPr>
          <w:rFonts w:ascii="Times New Roman" w:hAnsi="Times New Roman" w:cs="Times New Roman"/>
          <w:sz w:val="22"/>
          <w:szCs w:val="22"/>
          <w:lang w:val="en-US"/>
        </w:rPr>
      </w:pPr>
    </w:p>
    <w:p w14:paraId="5D8A9855" w14:textId="438A882D" w:rsidR="007D28B4" w:rsidRPr="004E4DE2" w:rsidRDefault="007D28B4" w:rsidP="00D0419C">
      <w:pPr>
        <w:pStyle w:val="Listenabsatz"/>
        <w:numPr>
          <w:ilvl w:val="0"/>
          <w:numId w:val="3"/>
        </w:numPr>
        <w:spacing w:after="100"/>
        <w:ind w:left="0"/>
        <w:jc w:val="both"/>
        <w:rPr>
          <w:rFonts w:ascii="Times New Roman" w:hAnsi="Times New Roman" w:cs="Times New Roman"/>
          <w:sz w:val="22"/>
          <w:szCs w:val="22"/>
          <w:lang w:val="en-US"/>
        </w:rPr>
      </w:pPr>
      <w:r w:rsidRPr="004E4DE2">
        <w:rPr>
          <w:rFonts w:ascii="Times New Roman" w:hAnsi="Times New Roman" w:cs="Times New Roman"/>
          <w:sz w:val="22"/>
          <w:szCs w:val="22"/>
          <w:lang w:val="en-US"/>
        </w:rPr>
        <w:lastRenderedPageBreak/>
        <w:t>We appreciate the Committee’s longstanding commitment to reproductive rights. If you have any questions, or would like further information, please do not hesitate to contact the undersigned.</w:t>
      </w:r>
    </w:p>
    <w:p w14:paraId="42BFE13E" w14:textId="4E3724B2" w:rsidR="007D28B4" w:rsidRDefault="007D28B4" w:rsidP="007D28B4">
      <w:pPr>
        <w:spacing w:after="100"/>
        <w:jc w:val="both"/>
        <w:rPr>
          <w:rFonts w:ascii="Times New Roman" w:hAnsi="Times New Roman" w:cs="Times New Roman"/>
          <w:sz w:val="22"/>
          <w:szCs w:val="22"/>
          <w:lang w:val="en-US"/>
        </w:rPr>
      </w:pPr>
      <w:r w:rsidRPr="004E4DE2">
        <w:rPr>
          <w:rFonts w:ascii="Times New Roman" w:hAnsi="Times New Roman" w:cs="Times New Roman"/>
          <w:sz w:val="22"/>
          <w:szCs w:val="22"/>
          <w:lang w:val="en-US"/>
        </w:rPr>
        <w:t>Sincerely,</w:t>
      </w:r>
    </w:p>
    <w:p w14:paraId="34878F57" w14:textId="688B17D4" w:rsidR="007026B0" w:rsidRDefault="007026B0" w:rsidP="007D28B4">
      <w:pPr>
        <w:spacing w:after="100"/>
        <w:jc w:val="both"/>
        <w:rPr>
          <w:rFonts w:ascii="Times New Roman" w:hAnsi="Times New Roman" w:cs="Times New Roman"/>
          <w:sz w:val="22"/>
          <w:szCs w:val="22"/>
          <w:lang w:val="en-US"/>
        </w:rPr>
      </w:pPr>
    </w:p>
    <w:p w14:paraId="7BDC7744" w14:textId="1C1635B7" w:rsidR="007026B0" w:rsidRDefault="007026B0" w:rsidP="007026B0">
      <w:pPr>
        <w:pStyle w:val="Aufzhlungszeichen"/>
        <w:numPr>
          <w:ilvl w:val="0"/>
          <w:numId w:val="0"/>
        </w:numPr>
        <w:jc w:val="center"/>
      </w:pPr>
    </w:p>
    <w:tbl>
      <w:tblPr>
        <w:tblStyle w:val="Tabellenraster"/>
        <w:tblW w:w="9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865"/>
        <w:gridCol w:w="2910"/>
        <w:gridCol w:w="3345"/>
      </w:tblGrid>
      <w:tr w:rsidR="01E8F0E3" w14:paraId="758DC70D" w14:textId="77777777" w:rsidTr="001B125C">
        <w:tc>
          <w:tcPr>
            <w:tcW w:w="2865" w:type="dxa"/>
          </w:tcPr>
          <w:p w14:paraId="1C55A0DB" w14:textId="7B6BFD6B" w:rsidR="01E8F0E3" w:rsidRDefault="7521D292" w:rsidP="01E8F0E3">
            <w:r>
              <w:rPr>
                <w:noProof/>
              </w:rPr>
              <w:drawing>
                <wp:inline distT="0" distB="0" distL="0" distR="0" wp14:anchorId="17F60444" wp14:editId="0B737A01">
                  <wp:extent cx="1285875" cy="559879"/>
                  <wp:effectExtent l="0" t="0" r="0" b="1270"/>
                  <wp:docPr id="155956457" name="Picture 2" descr="Texto, Carta&#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1285875" cy="559879"/>
                          </a:xfrm>
                          <a:prstGeom prst="rect">
                            <a:avLst/>
                          </a:prstGeom>
                        </pic:spPr>
                      </pic:pic>
                    </a:graphicData>
                  </a:graphic>
                </wp:inline>
              </w:drawing>
            </w:r>
          </w:p>
        </w:tc>
        <w:tc>
          <w:tcPr>
            <w:tcW w:w="2910" w:type="dxa"/>
          </w:tcPr>
          <w:p w14:paraId="61CBE530" w14:textId="17F16F6E" w:rsidR="01E8F0E3" w:rsidRDefault="006852B9" w:rsidP="01E8F0E3">
            <w:r>
              <w:rPr>
                <w:rFonts w:ascii="Times New Roman" w:hAnsi="Times New Roman" w:cs="Times New Roman"/>
                <w:noProof/>
                <w:lang w:val="en-US"/>
              </w:rPr>
              <w:drawing>
                <wp:inline distT="0" distB="0" distL="0" distR="0" wp14:anchorId="244C9792" wp14:editId="0EBB65D0">
                  <wp:extent cx="1216947" cy="402772"/>
                  <wp:effectExtent l="0" t="0" r="2540" b="0"/>
                  <wp:docPr id="2" name="Imagen 2" descr="Un dibujo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 dibujo de una persona&#10;&#10;Descripción generada automáticamente con confianza baja"/>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47483" cy="412879"/>
                          </a:xfrm>
                          <a:prstGeom prst="rect">
                            <a:avLst/>
                          </a:prstGeom>
                        </pic:spPr>
                      </pic:pic>
                    </a:graphicData>
                  </a:graphic>
                </wp:inline>
              </w:drawing>
            </w:r>
          </w:p>
        </w:tc>
        <w:tc>
          <w:tcPr>
            <w:tcW w:w="3345" w:type="dxa"/>
          </w:tcPr>
          <w:p w14:paraId="1BDB003C" w14:textId="42A6CC6B" w:rsidR="00362109" w:rsidRDefault="00362109" w:rsidP="01E8F0E3"/>
          <w:p w14:paraId="6F6785A7" w14:textId="46C02C6B" w:rsidR="00362109" w:rsidRDefault="00362109" w:rsidP="01E8F0E3">
            <w:r>
              <w:rPr>
                <w:noProof/>
              </w:rPr>
              <w:drawing>
                <wp:inline distT="0" distB="0" distL="0" distR="0" wp14:anchorId="5574D844" wp14:editId="7E9988E8">
                  <wp:extent cx="1424940" cy="232410"/>
                  <wp:effectExtent l="0" t="0" r="3810" b="0"/>
                  <wp:docPr id="3" name="Imagen 3"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 Carta&#10;&#10;Descripción generada automáticamente"/>
                          <pic:cNvPicPr/>
                        </pic:nvPicPr>
                        <pic:blipFill>
                          <a:blip r:embed="rId13">
                            <a:extLst>
                              <a:ext uri="{28A0092B-C50C-407E-A947-70E740481C1C}">
                                <a14:useLocalDpi xmlns:a14="http://schemas.microsoft.com/office/drawing/2010/main" val="0"/>
                              </a:ext>
                            </a:extLst>
                          </a:blip>
                          <a:stretch>
                            <a:fillRect/>
                          </a:stretch>
                        </pic:blipFill>
                        <pic:spPr>
                          <a:xfrm>
                            <a:off x="0" y="0"/>
                            <a:ext cx="1428584" cy="233004"/>
                          </a:xfrm>
                          <a:prstGeom prst="rect">
                            <a:avLst/>
                          </a:prstGeom>
                        </pic:spPr>
                      </pic:pic>
                    </a:graphicData>
                  </a:graphic>
                </wp:inline>
              </w:drawing>
            </w:r>
          </w:p>
        </w:tc>
      </w:tr>
      <w:tr w:rsidR="01E8F0E3" w:rsidRPr="00D41948" w14:paraId="04ACB433" w14:textId="77777777" w:rsidTr="001B125C">
        <w:tc>
          <w:tcPr>
            <w:tcW w:w="2865" w:type="dxa"/>
          </w:tcPr>
          <w:p w14:paraId="2ADB431A" w14:textId="43595084" w:rsidR="7521D292" w:rsidRPr="00D41948" w:rsidRDefault="7521D292" w:rsidP="7343665F">
            <w:pPr>
              <w:rPr>
                <w:rFonts w:ascii="Times New Roman" w:hAnsi="Times New Roman" w:cs="Times New Roman"/>
                <w:b/>
              </w:rPr>
            </w:pPr>
            <w:r w:rsidRPr="00D41948">
              <w:rPr>
                <w:rFonts w:ascii="Times New Roman" w:hAnsi="Times New Roman" w:cs="Times New Roman"/>
                <w:b/>
              </w:rPr>
              <w:t xml:space="preserve">Catalina Martinez Coral </w:t>
            </w:r>
          </w:p>
          <w:p w14:paraId="65569566" w14:textId="10A7B8DD" w:rsidR="7521D292" w:rsidRPr="00D41948" w:rsidRDefault="7521D292" w:rsidP="70662548">
            <w:pPr>
              <w:rPr>
                <w:rFonts w:ascii="Times New Roman" w:hAnsi="Times New Roman" w:cs="Times New Roman"/>
              </w:rPr>
            </w:pPr>
            <w:r w:rsidRPr="00D41948">
              <w:rPr>
                <w:rFonts w:ascii="Times New Roman" w:hAnsi="Times New Roman" w:cs="Times New Roman"/>
              </w:rPr>
              <w:t>Regional Director</w:t>
            </w:r>
          </w:p>
          <w:p w14:paraId="6C8CC5B0" w14:textId="0390AF2F" w:rsidR="7521D292" w:rsidRPr="00D41948" w:rsidRDefault="7521D292" w:rsidP="70662548">
            <w:pPr>
              <w:rPr>
                <w:rFonts w:ascii="Times New Roman" w:hAnsi="Times New Roman" w:cs="Times New Roman"/>
              </w:rPr>
            </w:pPr>
            <w:r w:rsidRPr="00D41948">
              <w:rPr>
                <w:rFonts w:ascii="Times New Roman" w:hAnsi="Times New Roman" w:cs="Times New Roman"/>
              </w:rPr>
              <w:t xml:space="preserve">LAC Programme </w:t>
            </w:r>
          </w:p>
          <w:p w14:paraId="6BD19E78" w14:textId="782F273B" w:rsidR="7521D292" w:rsidRPr="00D41948" w:rsidRDefault="7521D292" w:rsidP="01E8F0E3">
            <w:pPr>
              <w:rPr>
                <w:rFonts w:ascii="Times New Roman" w:hAnsi="Times New Roman" w:cs="Times New Roman"/>
              </w:rPr>
            </w:pPr>
            <w:r w:rsidRPr="00D41948">
              <w:rPr>
                <w:rFonts w:ascii="Times New Roman" w:hAnsi="Times New Roman" w:cs="Times New Roman"/>
              </w:rPr>
              <w:t>Center for Reproductive Rights</w:t>
            </w:r>
          </w:p>
        </w:tc>
        <w:tc>
          <w:tcPr>
            <w:tcW w:w="2910" w:type="dxa"/>
          </w:tcPr>
          <w:p w14:paraId="42910F79" w14:textId="2854B3C4" w:rsidR="7343665F" w:rsidRPr="00D41948" w:rsidRDefault="00672803" w:rsidP="7343665F">
            <w:pPr>
              <w:rPr>
                <w:rFonts w:ascii="Times New Roman" w:hAnsi="Times New Roman" w:cs="Times New Roman"/>
                <w:b/>
                <w:bCs/>
              </w:rPr>
            </w:pPr>
            <w:r>
              <w:rPr>
                <w:rFonts w:ascii="Times New Roman" w:hAnsi="Times New Roman" w:cs="Times New Roman"/>
                <w:b/>
                <w:bCs/>
              </w:rPr>
              <w:t xml:space="preserve">Cristina Rosero </w:t>
            </w:r>
          </w:p>
          <w:p w14:paraId="5B050F8D" w14:textId="66E8B531" w:rsidR="7343665F" w:rsidRPr="00D41948" w:rsidRDefault="00672803" w:rsidP="7681F78D">
            <w:pPr>
              <w:rPr>
                <w:rFonts w:ascii="Times New Roman" w:hAnsi="Times New Roman" w:cs="Times New Roman"/>
              </w:rPr>
            </w:pPr>
            <w:r>
              <w:rPr>
                <w:rFonts w:ascii="Times New Roman" w:hAnsi="Times New Roman" w:cs="Times New Roman"/>
              </w:rPr>
              <w:t>Senior</w:t>
            </w:r>
            <w:r w:rsidR="005135B6">
              <w:rPr>
                <w:rFonts w:ascii="Times New Roman" w:hAnsi="Times New Roman" w:cs="Times New Roman"/>
              </w:rPr>
              <w:t xml:space="preserve"> Legal Adviser</w:t>
            </w:r>
            <w:r>
              <w:rPr>
                <w:rFonts w:ascii="Times New Roman" w:hAnsi="Times New Roman" w:cs="Times New Roman"/>
              </w:rPr>
              <w:t xml:space="preserve"> </w:t>
            </w:r>
          </w:p>
          <w:p w14:paraId="6E5D897A" w14:textId="108E0A55" w:rsidR="01E8F0E3" w:rsidRPr="00D41948" w:rsidRDefault="7521D292" w:rsidP="01E8F0E3">
            <w:pPr>
              <w:rPr>
                <w:rFonts w:ascii="Times New Roman" w:hAnsi="Times New Roman" w:cs="Times New Roman"/>
              </w:rPr>
            </w:pPr>
            <w:r w:rsidRPr="00D41948">
              <w:rPr>
                <w:rFonts w:ascii="Times New Roman" w:hAnsi="Times New Roman" w:cs="Times New Roman"/>
              </w:rPr>
              <w:t>Center for Reproductive Rights</w:t>
            </w:r>
          </w:p>
        </w:tc>
        <w:tc>
          <w:tcPr>
            <w:tcW w:w="3345" w:type="dxa"/>
          </w:tcPr>
          <w:p w14:paraId="4AACCB86" w14:textId="49782495" w:rsidR="7343665F" w:rsidRPr="00D41948" w:rsidRDefault="005135B6" w:rsidP="7343665F">
            <w:pPr>
              <w:rPr>
                <w:rFonts w:ascii="Times New Roman" w:hAnsi="Times New Roman" w:cs="Times New Roman"/>
                <w:b/>
                <w:bCs/>
              </w:rPr>
            </w:pPr>
            <w:r>
              <w:rPr>
                <w:rFonts w:ascii="Times New Roman" w:hAnsi="Times New Roman" w:cs="Times New Roman"/>
                <w:b/>
                <w:bCs/>
              </w:rPr>
              <w:t>Carolina Trejos Carvajal</w:t>
            </w:r>
            <w:r w:rsidR="7521D292" w:rsidRPr="00D41948">
              <w:rPr>
                <w:rFonts w:ascii="Times New Roman" w:hAnsi="Times New Roman" w:cs="Times New Roman"/>
                <w:b/>
                <w:bCs/>
              </w:rPr>
              <w:t xml:space="preserve"> </w:t>
            </w:r>
          </w:p>
          <w:p w14:paraId="4A65C122" w14:textId="7546DB31" w:rsidR="7343665F" w:rsidRPr="00D41948" w:rsidRDefault="005135B6" w:rsidP="030BDC67">
            <w:pPr>
              <w:rPr>
                <w:rFonts w:ascii="Times New Roman" w:hAnsi="Times New Roman" w:cs="Times New Roman"/>
              </w:rPr>
            </w:pPr>
            <w:r>
              <w:rPr>
                <w:rFonts w:ascii="Times New Roman" w:hAnsi="Times New Roman" w:cs="Times New Roman"/>
              </w:rPr>
              <w:t xml:space="preserve">Marshall Weinberg </w:t>
            </w:r>
            <w:r w:rsidR="008F0D68">
              <w:rPr>
                <w:rFonts w:ascii="Times New Roman" w:hAnsi="Times New Roman" w:cs="Times New Roman"/>
              </w:rPr>
              <w:t xml:space="preserve">Legal </w:t>
            </w:r>
            <w:r>
              <w:rPr>
                <w:rFonts w:ascii="Times New Roman" w:hAnsi="Times New Roman" w:cs="Times New Roman"/>
              </w:rPr>
              <w:t xml:space="preserve">Fellow </w:t>
            </w:r>
          </w:p>
          <w:p w14:paraId="4957FD9A" w14:textId="46D0FC49" w:rsidR="01E8F0E3" w:rsidRPr="00D41948" w:rsidRDefault="7521D292" w:rsidP="01E8F0E3">
            <w:pPr>
              <w:rPr>
                <w:rFonts w:ascii="Times New Roman" w:hAnsi="Times New Roman" w:cs="Times New Roman"/>
              </w:rPr>
            </w:pPr>
            <w:r w:rsidRPr="00D41948">
              <w:rPr>
                <w:rFonts w:ascii="Times New Roman" w:hAnsi="Times New Roman" w:cs="Times New Roman"/>
              </w:rPr>
              <w:t>Center for Reproductive Rights</w:t>
            </w:r>
          </w:p>
        </w:tc>
      </w:tr>
    </w:tbl>
    <w:p w14:paraId="12259B65" w14:textId="747684FF" w:rsidR="007D28B4" w:rsidRPr="004E4DE2" w:rsidRDefault="007D28B4" w:rsidP="007D28B4">
      <w:pPr>
        <w:spacing w:after="100"/>
        <w:jc w:val="both"/>
        <w:rPr>
          <w:rFonts w:ascii="Times New Roman" w:hAnsi="Times New Roman" w:cs="Times New Roman"/>
          <w:sz w:val="22"/>
          <w:szCs w:val="22"/>
          <w:lang w:val="en-US"/>
        </w:rPr>
      </w:pPr>
    </w:p>
    <w:sectPr w:rsidR="007D28B4" w:rsidRPr="004E4DE2" w:rsidSect="00AF3C7F">
      <w:headerReference w:type="default" r:id="rId14"/>
      <w:footerReference w:type="default" r:id="rId15"/>
      <w:endnotePr>
        <w:numFmt w:val="decimal"/>
      </w:endnotePr>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EE3C7" w14:textId="77777777" w:rsidR="00714434" w:rsidRDefault="00714434" w:rsidP="00FB2C5F">
      <w:r>
        <w:separator/>
      </w:r>
    </w:p>
  </w:endnote>
  <w:endnote w:type="continuationSeparator" w:id="0">
    <w:p w14:paraId="74B4D7E9" w14:textId="77777777" w:rsidR="00714434" w:rsidRDefault="00714434" w:rsidP="00FB2C5F">
      <w:r>
        <w:continuationSeparator/>
      </w:r>
    </w:p>
  </w:endnote>
  <w:endnote w:type="continuationNotice" w:id="1">
    <w:p w14:paraId="260C0760" w14:textId="77777777" w:rsidR="00714434" w:rsidRDefault="00714434"/>
  </w:endnote>
  <w:endnote w:id="2">
    <w:p w14:paraId="540027FB" w14:textId="3B060E66" w:rsidR="00C436EA" w:rsidRPr="007E5031" w:rsidRDefault="00C436EA" w:rsidP="001A0E6B">
      <w:pPr>
        <w:pStyle w:val="Endnotentext"/>
        <w:spacing w:after="0"/>
        <w:jc w:val="both"/>
        <w:rPr>
          <w:lang w:val="es-CO"/>
        </w:rPr>
      </w:pPr>
      <w:r>
        <w:rPr>
          <w:rStyle w:val="Endnotenzeichen"/>
        </w:rPr>
        <w:endnoteRef/>
      </w:r>
      <w:r>
        <w:t xml:space="preserve"> </w:t>
      </w:r>
      <w:r w:rsidRPr="00C436EA">
        <w:rPr>
          <w:lang w:val="en-US"/>
        </w:rPr>
        <w:t>CNE. </w:t>
      </w:r>
      <w:r w:rsidRPr="00C436EA">
        <w:rPr>
          <w:lang w:val="pt-BR"/>
        </w:rPr>
        <w:t xml:space="preserve">Resolution No. 0001 of February 11, 1994. </w:t>
      </w:r>
      <w:r w:rsidR="000E0AD5">
        <w:rPr>
          <w:lang w:val="pt-BR"/>
        </w:rPr>
        <w:t>On</w:t>
      </w:r>
      <w:r w:rsidRPr="00C436EA">
        <w:rPr>
          <w:lang w:val="pt-BR"/>
        </w:rPr>
        <w:t>: </w:t>
      </w:r>
      <w:hyperlink r:id="rId1" w:tgtFrame="_blank" w:history="1">
        <w:r w:rsidRPr="00C436EA">
          <w:rPr>
            <w:rStyle w:val="Hyperlink"/>
            <w:lang w:val="pt-BR"/>
          </w:rPr>
          <w:t>https://bit.ly/3HgjhqB</w:t>
        </w:r>
      </w:hyperlink>
      <w:r w:rsidRPr="00C436EA">
        <w:rPr>
          <w:lang w:val="pt-BR"/>
        </w:rPr>
        <w:t> </w:t>
      </w:r>
    </w:p>
  </w:endnote>
  <w:endnote w:id="3">
    <w:p w14:paraId="6A721562" w14:textId="452149A6" w:rsidR="000E0AD5" w:rsidRPr="000E0AD5" w:rsidRDefault="000E0AD5" w:rsidP="001A0E6B">
      <w:pPr>
        <w:pStyle w:val="Endnotentext"/>
        <w:spacing w:after="0"/>
        <w:jc w:val="both"/>
        <w:rPr>
          <w:lang w:val="es-MX"/>
        </w:rPr>
      </w:pPr>
      <w:r>
        <w:rPr>
          <w:rStyle w:val="Endnotenzeichen"/>
        </w:rPr>
        <w:endnoteRef/>
      </w:r>
      <w:r w:rsidRPr="000E0AD5">
        <w:rPr>
          <w:lang w:val="es-CO"/>
        </w:rPr>
        <w:t xml:space="preserve"> </w:t>
      </w:r>
      <w:r w:rsidRPr="000E0AD5">
        <w:rPr>
          <w:lang w:val="pt-BR"/>
        </w:rPr>
        <w:t>ONIC, PCN y FENSUAGRO-CUT. Evaluación de las fumigaciones en Colombia destrucción de las zonas rurales por el plan Colombia. 2002, p</w:t>
      </w:r>
      <w:r w:rsidR="00E93337">
        <w:rPr>
          <w:lang w:val="pt-BR"/>
        </w:rPr>
        <w:t>a</w:t>
      </w:r>
      <w:r w:rsidRPr="000E0AD5">
        <w:rPr>
          <w:lang w:val="pt-BR"/>
        </w:rPr>
        <w:t>g.18.</w:t>
      </w:r>
      <w:r>
        <w:rPr>
          <w:lang w:val="pt-BR"/>
        </w:rPr>
        <w:t xml:space="preserve"> On</w:t>
      </w:r>
      <w:r w:rsidRPr="000E0AD5">
        <w:rPr>
          <w:lang w:val="pt-BR"/>
        </w:rPr>
        <w:t>: </w:t>
      </w:r>
      <w:hyperlink r:id="rId2" w:tgtFrame="_blank" w:history="1">
        <w:r w:rsidRPr="000E0AD5">
          <w:rPr>
            <w:rStyle w:val="Hyperlink"/>
            <w:lang w:val="pt-BR"/>
          </w:rPr>
          <w:t>https://bit.ly/3GA3QJn</w:t>
        </w:r>
      </w:hyperlink>
      <w:r w:rsidRPr="000E0AD5">
        <w:rPr>
          <w:lang w:val="pt-BR"/>
        </w:rPr>
        <w:t> </w:t>
      </w:r>
    </w:p>
  </w:endnote>
  <w:endnote w:id="4">
    <w:p w14:paraId="48E37540" w14:textId="450418C0" w:rsidR="00E93337" w:rsidRPr="007E5031" w:rsidRDefault="00E93337" w:rsidP="001A0E6B">
      <w:pPr>
        <w:pStyle w:val="Endnotentext"/>
        <w:spacing w:after="0"/>
        <w:jc w:val="both"/>
        <w:rPr>
          <w:lang w:val="en-US"/>
        </w:rPr>
      </w:pPr>
      <w:r>
        <w:rPr>
          <w:rStyle w:val="Endnotenzeichen"/>
        </w:rPr>
        <w:endnoteRef/>
      </w:r>
      <w:r w:rsidRPr="00E93337">
        <w:rPr>
          <w:lang w:val="es-CO"/>
        </w:rPr>
        <w:t xml:space="preserve"> </w:t>
      </w:r>
      <w:r w:rsidRPr="00E93337">
        <w:rPr>
          <w:lang w:val="pt-BR"/>
        </w:rPr>
        <w:t>Luis Felipe Cruz Olivera, Ana María Malagón Pérez y Camilo Castiblanco Sabogal. El daño que nos hacen: Glifosato y Guerra en Caquetá. 2020, p</w:t>
      </w:r>
      <w:r>
        <w:rPr>
          <w:lang w:val="pt-BR"/>
        </w:rPr>
        <w:t>a</w:t>
      </w:r>
      <w:r w:rsidRPr="00E93337">
        <w:rPr>
          <w:lang w:val="pt-BR"/>
        </w:rPr>
        <w:t xml:space="preserve">g. </w:t>
      </w:r>
      <w:r>
        <w:rPr>
          <w:lang w:val="pt-BR"/>
        </w:rPr>
        <w:t>20</w:t>
      </w:r>
      <w:r w:rsidRPr="00E93337">
        <w:rPr>
          <w:lang w:val="pt-BR"/>
        </w:rPr>
        <w:t xml:space="preserve">. </w:t>
      </w:r>
      <w:r>
        <w:rPr>
          <w:lang w:val="pt-BR"/>
        </w:rPr>
        <w:t>On</w:t>
      </w:r>
      <w:r w:rsidRPr="00E93337">
        <w:rPr>
          <w:lang w:val="pt-BR"/>
        </w:rPr>
        <w:t>: </w:t>
      </w:r>
      <w:hyperlink r:id="rId3" w:tgtFrame="_blank" w:history="1">
        <w:r w:rsidRPr="00E93337">
          <w:rPr>
            <w:rStyle w:val="Hyperlink"/>
            <w:lang w:val="pt-BR"/>
          </w:rPr>
          <w:t>https://bit.ly/3fvvprk</w:t>
        </w:r>
      </w:hyperlink>
      <w:r w:rsidRPr="00E93337">
        <w:rPr>
          <w:lang w:val="pt-BR"/>
        </w:rPr>
        <w:t> </w:t>
      </w:r>
    </w:p>
  </w:endnote>
  <w:endnote w:id="5">
    <w:p w14:paraId="4BD0C80E" w14:textId="31491906" w:rsidR="00332F38" w:rsidRPr="00332F38" w:rsidRDefault="00332F38" w:rsidP="001A0E6B">
      <w:pPr>
        <w:pStyle w:val="Endnotentext"/>
        <w:spacing w:after="0"/>
        <w:jc w:val="both"/>
        <w:rPr>
          <w:lang w:val="es-MX"/>
        </w:rPr>
      </w:pPr>
      <w:r>
        <w:rPr>
          <w:rStyle w:val="Endnotenzeichen"/>
        </w:rPr>
        <w:endnoteRef/>
      </w:r>
      <w:r>
        <w:t xml:space="preserve"> </w:t>
      </w:r>
      <w:r w:rsidR="006F1761" w:rsidRPr="006F1761">
        <w:t xml:space="preserve">Republic of Ecuador Ministry of Foreign Affairs. Application for the Introduction of Proceedings. Addressed to the Secretary of the International Court of Justice. </w:t>
      </w:r>
      <w:r w:rsidR="006F1761" w:rsidRPr="007E5031">
        <w:rPr>
          <w:lang w:val="es-CO"/>
        </w:rPr>
        <w:t xml:space="preserve">Available at: </w:t>
      </w:r>
      <w:hyperlink r:id="rId4" w:history="1">
        <w:r w:rsidR="006F1761" w:rsidRPr="007E5031">
          <w:rPr>
            <w:rStyle w:val="Hyperlink"/>
            <w:lang w:val="es-CO"/>
          </w:rPr>
          <w:t>https://bit.ly/3KgDkqu</w:t>
        </w:r>
      </w:hyperlink>
      <w:r w:rsidR="006F1761" w:rsidRPr="007E5031">
        <w:rPr>
          <w:lang w:val="es-CO"/>
        </w:rPr>
        <w:t xml:space="preserve"> </w:t>
      </w:r>
    </w:p>
  </w:endnote>
  <w:endnote w:id="6">
    <w:p w14:paraId="5BB62F3D" w14:textId="2F4E275C" w:rsidR="00F516CB" w:rsidRPr="00F516CB" w:rsidRDefault="00F516CB" w:rsidP="001A0E6B">
      <w:pPr>
        <w:pStyle w:val="Endnotentext"/>
        <w:spacing w:after="0"/>
        <w:jc w:val="both"/>
        <w:rPr>
          <w:lang w:val="es-MX"/>
        </w:rPr>
      </w:pPr>
      <w:r>
        <w:rPr>
          <w:rStyle w:val="Endnotenzeichen"/>
        </w:rPr>
        <w:endnoteRef/>
      </w:r>
      <w:r w:rsidRPr="007E5031">
        <w:rPr>
          <w:lang w:val="es-CO"/>
        </w:rPr>
        <w:t xml:space="preserve"> </w:t>
      </w:r>
      <w:r>
        <w:rPr>
          <w:lang w:val="es-MX"/>
        </w:rPr>
        <w:t>Id. Pag. 21</w:t>
      </w:r>
    </w:p>
  </w:endnote>
  <w:endnote w:id="7">
    <w:p w14:paraId="17B37C31" w14:textId="77777777" w:rsidR="00212DF0" w:rsidRPr="007840D4" w:rsidRDefault="00212DF0" w:rsidP="00212DF0">
      <w:pPr>
        <w:pStyle w:val="Endnotentext"/>
        <w:spacing w:after="0"/>
        <w:jc w:val="both"/>
        <w:rPr>
          <w:lang w:val="es-MX"/>
        </w:rPr>
      </w:pPr>
      <w:r>
        <w:rPr>
          <w:rStyle w:val="Endnotenzeichen"/>
        </w:rPr>
        <w:endnoteRef/>
      </w:r>
      <w:r w:rsidRPr="007840D4">
        <w:rPr>
          <w:lang w:val="es-CO"/>
        </w:rPr>
        <w:t xml:space="preserve"> </w:t>
      </w:r>
      <w:r w:rsidRPr="007840D4">
        <w:rPr>
          <w:lang w:val="pt-BR"/>
        </w:rPr>
        <w:t>Universidad del Valle, Efectos del glifosato en la salud reproductiva humana (2020).</w:t>
      </w:r>
      <w:r>
        <w:rPr>
          <w:lang w:val="pt-BR"/>
        </w:rPr>
        <w:t xml:space="preserve">At: </w:t>
      </w:r>
      <w:hyperlink r:id="rId5" w:history="1">
        <w:r w:rsidRPr="00A64196">
          <w:rPr>
            <w:rStyle w:val="Hyperlink"/>
            <w:lang w:val="pt-BR"/>
          </w:rPr>
          <w:t>https://bit.ly/3L71fsu</w:t>
        </w:r>
      </w:hyperlink>
      <w:r>
        <w:rPr>
          <w:lang w:val="pt-BR"/>
        </w:rPr>
        <w:t xml:space="preserve"> </w:t>
      </w:r>
    </w:p>
  </w:endnote>
  <w:endnote w:id="8">
    <w:p w14:paraId="4C38C656" w14:textId="509EE6E6" w:rsidR="00170739" w:rsidRPr="00170739" w:rsidRDefault="00170739" w:rsidP="001A0E6B">
      <w:pPr>
        <w:pStyle w:val="Endnotentext"/>
        <w:spacing w:after="0"/>
        <w:jc w:val="both"/>
      </w:pPr>
      <w:r>
        <w:rPr>
          <w:rStyle w:val="Endnotenzeichen"/>
        </w:rPr>
        <w:endnoteRef/>
      </w:r>
      <w:r w:rsidRPr="00170739">
        <w:rPr>
          <w:lang w:val="es-CO"/>
        </w:rPr>
        <w:t xml:space="preserve"> </w:t>
      </w:r>
      <w:r w:rsidRPr="00170739">
        <w:rPr>
          <w:lang w:val="pt-BR"/>
        </w:rPr>
        <w:t>ONIC, PCN y FENSUAGRO-CUT. Evaluación de las fumigaciones en Colombia destrucción de las zonas rurales por el plan Colombia. Pág. 36.   </w:t>
      </w:r>
    </w:p>
  </w:endnote>
  <w:endnote w:id="9">
    <w:p w14:paraId="1635CB25" w14:textId="4E1B7E23" w:rsidR="00170739" w:rsidRPr="00170739" w:rsidRDefault="00170739" w:rsidP="001A0E6B">
      <w:pPr>
        <w:pStyle w:val="Endnotentext"/>
        <w:spacing w:after="0"/>
        <w:jc w:val="both"/>
      </w:pPr>
      <w:r>
        <w:rPr>
          <w:rStyle w:val="Endnotenzeichen"/>
        </w:rPr>
        <w:endnoteRef/>
      </w:r>
      <w:r>
        <w:t xml:space="preserve"> </w:t>
      </w:r>
      <w:r w:rsidR="0019486D" w:rsidRPr="0019486D">
        <w:t xml:space="preserve">CNE. Resolution 0017 of October 4, 2001. Available: </w:t>
      </w:r>
      <w:hyperlink r:id="rId6" w:history="1">
        <w:r w:rsidR="0019486D" w:rsidRPr="00A64196">
          <w:rPr>
            <w:rStyle w:val="Hyperlink"/>
          </w:rPr>
          <w:t>https://bit.ly/3tyItVg</w:t>
        </w:r>
      </w:hyperlink>
      <w:r w:rsidR="0019486D">
        <w:t xml:space="preserve"> </w:t>
      </w:r>
    </w:p>
  </w:endnote>
  <w:endnote w:id="10">
    <w:p w14:paraId="1EEE79B1" w14:textId="0BE97CF5" w:rsidR="005B165B" w:rsidRPr="00170739" w:rsidRDefault="005B165B" w:rsidP="002209B2">
      <w:pPr>
        <w:pStyle w:val="Endnotentext"/>
        <w:spacing w:after="0"/>
        <w:jc w:val="both"/>
        <w:rPr>
          <w:lang w:val="en-US"/>
        </w:rPr>
      </w:pPr>
      <w:r>
        <w:rPr>
          <w:rStyle w:val="Endnotenzeichen"/>
        </w:rPr>
        <w:endnoteRef/>
      </w:r>
      <w:r>
        <w:t xml:space="preserve"> </w:t>
      </w:r>
      <w:r w:rsidR="006917B1" w:rsidRPr="006917B1">
        <w:t xml:space="preserve">Lyons, K. M. Chemical warfare in Colombia, ecologies of evidence and senti-acting practices of justice. Universitas Humanistica. 2017, p. 271. Available at: </w:t>
      </w:r>
      <w:hyperlink r:id="rId7" w:history="1">
        <w:r w:rsidR="006917B1" w:rsidRPr="00A64196">
          <w:rPr>
            <w:rStyle w:val="Hyperlink"/>
          </w:rPr>
          <w:t>https://bit.ly/3ft5Oz5</w:t>
        </w:r>
      </w:hyperlink>
      <w:r w:rsidR="006917B1">
        <w:t xml:space="preserve"> </w:t>
      </w:r>
    </w:p>
  </w:endnote>
  <w:endnote w:id="11">
    <w:p w14:paraId="14A7CAD8" w14:textId="00FB0965" w:rsidR="001A0E6B" w:rsidRPr="007E5031" w:rsidRDefault="001A0E6B" w:rsidP="002209B2">
      <w:pPr>
        <w:pStyle w:val="Endnotentext"/>
        <w:spacing w:after="0"/>
        <w:jc w:val="both"/>
        <w:rPr>
          <w:lang w:val="en-US"/>
        </w:rPr>
      </w:pPr>
      <w:r>
        <w:rPr>
          <w:rStyle w:val="Endnotenzeichen"/>
        </w:rPr>
        <w:endnoteRef/>
      </w:r>
      <w:r>
        <w:t xml:space="preserve"> </w:t>
      </w:r>
      <w:r w:rsidRPr="001A0E6B">
        <w:t xml:space="preserve">ONIC, PCN and FENSUAGRO-CUT. </w:t>
      </w:r>
      <w:r w:rsidRPr="001A0E6B">
        <w:rPr>
          <w:lang w:val="es-CO"/>
        </w:rPr>
        <w:t xml:space="preserve">Evaluación de las fumigaciones en Colombia destrucción de las zonas rurales por el plan Colombia, p. 36. In the same sense: Cruz Oliveira et. al. El daño que nos hacen: Glifosato y Guerra en Caquetá. </w:t>
      </w:r>
      <w:r w:rsidRPr="001A0E6B">
        <w:t>P. 131.</w:t>
      </w:r>
    </w:p>
  </w:endnote>
  <w:endnote w:id="12">
    <w:p w14:paraId="7EF6A995" w14:textId="0D657C87" w:rsidR="00E45895" w:rsidRPr="00E45895" w:rsidRDefault="00E45895" w:rsidP="002209B2">
      <w:pPr>
        <w:pStyle w:val="Endnotentext"/>
        <w:spacing w:after="0"/>
        <w:jc w:val="both"/>
        <w:rPr>
          <w:lang w:val="es-MX"/>
        </w:rPr>
      </w:pPr>
      <w:r>
        <w:rPr>
          <w:rStyle w:val="Endnotenzeichen"/>
        </w:rPr>
        <w:endnoteRef/>
      </w:r>
      <w:r>
        <w:t xml:space="preserve"> </w:t>
      </w:r>
      <w:r w:rsidRPr="00E45895">
        <w:t xml:space="preserve">Daniel Gómez Mazo and Eliana Alcalá. Racial discrimination and drug policy in Colombia: The effects of eradication of illicit crops by aerial spraying with glyphosate in territories of black communities. </w:t>
      </w:r>
      <w:r w:rsidRPr="007E5031">
        <w:rPr>
          <w:lang w:val="es-CO"/>
        </w:rPr>
        <w:t>P. 57.</w:t>
      </w:r>
    </w:p>
  </w:endnote>
  <w:endnote w:id="13">
    <w:p w14:paraId="68B2306C" w14:textId="3AED85E2" w:rsidR="003B5592" w:rsidRPr="003B5592" w:rsidRDefault="003B5592" w:rsidP="002209B2">
      <w:pPr>
        <w:pStyle w:val="Endnotentext"/>
        <w:spacing w:after="0"/>
        <w:jc w:val="both"/>
        <w:rPr>
          <w:lang w:val="es-MX"/>
        </w:rPr>
      </w:pPr>
      <w:r>
        <w:rPr>
          <w:rStyle w:val="Endnotenzeichen"/>
        </w:rPr>
        <w:endnoteRef/>
      </w:r>
      <w:r>
        <w:rPr>
          <w:lang w:val="pt-BR"/>
        </w:rPr>
        <w:t>Council State</w:t>
      </w:r>
      <w:r w:rsidRPr="003B5592">
        <w:rPr>
          <w:lang w:val="pt-BR"/>
        </w:rPr>
        <w:t>. </w:t>
      </w:r>
      <w:r w:rsidRPr="003B5592">
        <w:rPr>
          <w:lang w:val="es-ES"/>
        </w:rPr>
        <w:t>Sala Plena de lo Contencioso Administrativo. Decisión. Núm. 25000-23-25-000-2001-0022-02(AP)IJ de 19 de octubre de 2004. </w:t>
      </w:r>
      <w:r w:rsidR="00315264">
        <w:rPr>
          <w:lang w:val="es-ES"/>
        </w:rPr>
        <w:t xml:space="preserve">See also: </w:t>
      </w:r>
      <w:r w:rsidR="00A41A5A">
        <w:rPr>
          <w:lang w:val="es-MX"/>
        </w:rPr>
        <w:t>Council State.</w:t>
      </w:r>
      <w:r w:rsidR="00A41A5A" w:rsidRPr="00A41A5A">
        <w:rPr>
          <w:lang w:val="es-ES"/>
        </w:rPr>
        <w:t> Sala de lo Contencioso administrativo – Sección Cuarta. Decisión. Núm. 18001-23-31-000-2004-00612-01(AC) de 31 de marzo de 2005.</w:t>
      </w:r>
      <w:r w:rsidR="00A41A5A" w:rsidRPr="00A41A5A">
        <w:rPr>
          <w:lang w:val="es-MX"/>
        </w:rPr>
        <w:t> </w:t>
      </w:r>
    </w:p>
  </w:endnote>
  <w:endnote w:id="14">
    <w:p w14:paraId="124C1433" w14:textId="51DE92F5" w:rsidR="00806B66" w:rsidRPr="00806B66" w:rsidRDefault="00806B66" w:rsidP="002209B2">
      <w:pPr>
        <w:pStyle w:val="Endnotentext"/>
        <w:spacing w:after="0"/>
        <w:jc w:val="both"/>
        <w:rPr>
          <w:lang w:val="en-US"/>
        </w:rPr>
      </w:pPr>
      <w:r>
        <w:rPr>
          <w:rStyle w:val="Endnotenzeichen"/>
        </w:rPr>
        <w:endnoteRef/>
      </w:r>
      <w:r w:rsidRPr="007E5031">
        <w:rPr>
          <w:lang w:val="es-CO"/>
        </w:rPr>
        <w:t xml:space="preserve"> CNE. Resolution 006 of May 29, 2015. </w:t>
      </w:r>
      <w:r w:rsidRPr="00806B66">
        <w:t xml:space="preserve">Available at: </w:t>
      </w:r>
      <w:hyperlink r:id="rId8" w:history="1">
        <w:r w:rsidRPr="00A64196">
          <w:rPr>
            <w:rStyle w:val="Hyperlink"/>
          </w:rPr>
          <w:t>https://bit.ly/3GzUQUp</w:t>
        </w:r>
      </w:hyperlink>
      <w:r>
        <w:t xml:space="preserve"> </w:t>
      </w:r>
    </w:p>
  </w:endnote>
  <w:endnote w:id="15">
    <w:p w14:paraId="6084C1BE" w14:textId="221B85A8" w:rsidR="00806B66" w:rsidRPr="007E5031" w:rsidRDefault="00806B66" w:rsidP="002209B2">
      <w:pPr>
        <w:pStyle w:val="Endnotentext"/>
        <w:spacing w:after="0"/>
        <w:jc w:val="both"/>
        <w:rPr>
          <w:lang w:val="en-US"/>
        </w:rPr>
      </w:pPr>
      <w:r>
        <w:rPr>
          <w:rStyle w:val="Endnotenzeichen"/>
        </w:rPr>
        <w:endnoteRef/>
      </w:r>
      <w:r>
        <w:t xml:space="preserve"> </w:t>
      </w:r>
      <w:r w:rsidR="00DD6947" w:rsidRPr="00DD6947">
        <w:t>Constitutional Court. Decision T-236 of April 21, 2017. M.P. Aquiles Arrieta. Available at: https://bit.ly/3KeWpJH.</w:t>
      </w:r>
    </w:p>
  </w:endnote>
  <w:endnote w:id="16">
    <w:p w14:paraId="5A0B23D2" w14:textId="3A0A9AC6" w:rsidR="00C4335C" w:rsidRPr="00C4335C" w:rsidRDefault="00C4335C" w:rsidP="002209B2">
      <w:pPr>
        <w:pStyle w:val="Endnotentext"/>
        <w:spacing w:after="0"/>
        <w:jc w:val="both"/>
        <w:rPr>
          <w:lang w:val="en-US"/>
        </w:rPr>
      </w:pPr>
      <w:r>
        <w:rPr>
          <w:rStyle w:val="Endnotenzeichen"/>
        </w:rPr>
        <w:endnoteRef/>
      </w:r>
      <w:r>
        <w:t xml:space="preserve"> </w:t>
      </w:r>
      <w:r w:rsidRPr="00C4335C">
        <w:t>National Police Anti-Narcotics Directorate (2020). Modification of the Environmental Management Plan for the program of Eradication of Illicit Crops by Aerial Spraying.</w:t>
      </w:r>
    </w:p>
  </w:endnote>
  <w:endnote w:id="17">
    <w:p w14:paraId="13238BFA" w14:textId="31878001" w:rsidR="00C4335C" w:rsidRPr="007E5031" w:rsidRDefault="00C4335C" w:rsidP="002209B2">
      <w:pPr>
        <w:pStyle w:val="Endnotentext"/>
        <w:spacing w:after="0"/>
        <w:jc w:val="both"/>
        <w:rPr>
          <w:lang w:val="en-US"/>
        </w:rPr>
      </w:pPr>
      <w:r>
        <w:rPr>
          <w:rStyle w:val="Endnotenzeichen"/>
        </w:rPr>
        <w:endnoteRef/>
      </w:r>
      <w:r>
        <w:t xml:space="preserve"> </w:t>
      </w:r>
      <w:r w:rsidRPr="007E5031">
        <w:rPr>
          <w:lang w:val="en-US"/>
        </w:rPr>
        <w:t>Id</w:t>
      </w:r>
    </w:p>
  </w:endnote>
  <w:endnote w:id="18">
    <w:p w14:paraId="687EDD9D" w14:textId="23A2BAC8" w:rsidR="00E242DA" w:rsidRPr="007E5031" w:rsidRDefault="00E242DA" w:rsidP="002209B2">
      <w:pPr>
        <w:pStyle w:val="Endnotentext"/>
        <w:spacing w:after="0"/>
        <w:jc w:val="both"/>
        <w:rPr>
          <w:lang w:val="en-US"/>
        </w:rPr>
      </w:pPr>
      <w:r>
        <w:rPr>
          <w:rStyle w:val="Endnotenzeichen"/>
        </w:rPr>
        <w:endnoteRef/>
      </w:r>
      <w:r w:rsidRPr="009D013F">
        <w:rPr>
          <w:lang w:val="en-US"/>
        </w:rPr>
        <w:t xml:space="preserve"> </w:t>
      </w:r>
      <w:r w:rsidR="009D013F" w:rsidRPr="009D013F">
        <w:rPr>
          <w:lang w:val="en-US"/>
        </w:rPr>
        <w:t xml:space="preserve">Terms of Reference United Nations Rapporteurs. </w:t>
      </w:r>
      <w:r w:rsidR="009D013F" w:rsidRPr="007E5031">
        <w:rPr>
          <w:lang w:val="en-US"/>
        </w:rPr>
        <w:t xml:space="preserve">Reference: UA COL 13/2020, p. 3. </w:t>
      </w:r>
      <w:r w:rsidR="009D013F">
        <w:rPr>
          <w:lang w:val="pt-BR"/>
        </w:rPr>
        <w:t xml:space="preserve">At: </w:t>
      </w:r>
      <w:hyperlink r:id="rId9" w:history="1">
        <w:r w:rsidR="007C7210" w:rsidRPr="00A64196">
          <w:rPr>
            <w:rStyle w:val="Hyperlink"/>
            <w:lang w:val="pt-BR"/>
          </w:rPr>
          <w:t>https://bit.ly/3L71fsu</w:t>
        </w:r>
      </w:hyperlink>
      <w:r w:rsidR="007C7210">
        <w:rPr>
          <w:lang w:val="pt-BR"/>
        </w:rPr>
        <w:t xml:space="preserve"> </w:t>
      </w:r>
    </w:p>
  </w:endnote>
  <w:endnote w:id="19">
    <w:p w14:paraId="0B0B7FB4" w14:textId="6A3EEF1D" w:rsidR="00E91B88" w:rsidRPr="00E91B88" w:rsidRDefault="00E91B88" w:rsidP="002209B2">
      <w:pPr>
        <w:pStyle w:val="Endnotentext"/>
        <w:spacing w:after="0"/>
        <w:jc w:val="both"/>
        <w:rPr>
          <w:lang w:val="en-US"/>
        </w:rPr>
      </w:pPr>
      <w:r>
        <w:rPr>
          <w:rStyle w:val="Endnotenzeichen"/>
        </w:rPr>
        <w:endnoteRef/>
      </w:r>
      <w:r>
        <w:t xml:space="preserve"> </w:t>
      </w:r>
      <w:r w:rsidRPr="00E91B88">
        <w:t xml:space="preserve">Ministry of Justice and Rights. Decree 380 of April 12, 2021. Available at: </w:t>
      </w:r>
      <w:hyperlink r:id="rId10" w:history="1">
        <w:r w:rsidRPr="00A64196">
          <w:rPr>
            <w:rStyle w:val="Hyperlink"/>
          </w:rPr>
          <w:t>https://bit.ly/3rrqYDk</w:t>
        </w:r>
      </w:hyperlink>
      <w:r>
        <w:t xml:space="preserve"> </w:t>
      </w:r>
    </w:p>
  </w:endnote>
  <w:endnote w:id="20">
    <w:p w14:paraId="1BB305A3" w14:textId="48798857" w:rsidR="00DB2C6E" w:rsidRPr="00DB2C6E" w:rsidRDefault="00DB2C6E" w:rsidP="002209B2">
      <w:pPr>
        <w:pStyle w:val="Endnotentext"/>
        <w:spacing w:after="0"/>
        <w:jc w:val="both"/>
        <w:rPr>
          <w:lang w:val="en-US"/>
        </w:rPr>
      </w:pPr>
      <w:r>
        <w:rPr>
          <w:rStyle w:val="Endnotenzeichen"/>
        </w:rPr>
        <w:endnoteRef/>
      </w:r>
      <w:r>
        <w:t xml:space="preserve"> </w:t>
      </w:r>
      <w:r w:rsidRPr="00DB2C6E">
        <w:rPr>
          <w:lang w:val="en"/>
        </w:rPr>
        <w:t xml:space="preserve">Constitutional Court. Judgment C-355 of 2006. </w:t>
      </w:r>
    </w:p>
  </w:endnote>
  <w:endnote w:id="21">
    <w:p w14:paraId="3A9B9326" w14:textId="2D521923" w:rsidR="00DB2C6E" w:rsidRPr="00DB2C6E" w:rsidRDefault="00DB2C6E" w:rsidP="002209B2">
      <w:pPr>
        <w:pStyle w:val="Endnotentext"/>
        <w:spacing w:after="0"/>
        <w:jc w:val="both"/>
        <w:rPr>
          <w:lang w:val="en-US"/>
        </w:rPr>
      </w:pPr>
      <w:r>
        <w:rPr>
          <w:rStyle w:val="Endnotenzeichen"/>
        </w:rPr>
        <w:endnoteRef/>
      </w:r>
      <w:r>
        <w:t xml:space="preserve"> </w:t>
      </w:r>
      <w:r w:rsidRPr="00DB2C6E">
        <w:rPr>
          <w:lang w:val="en"/>
        </w:rPr>
        <w:t>In this regard, see: Constitutional Court of Colombia, judgments T-988 of 2007; T-209 of 2008; T-388 of 2009; T-009 of 2009; 2010 T-505; T-841 of 2011; T-636 of 2011; T-301 of 2016.</w:t>
      </w:r>
    </w:p>
  </w:endnote>
  <w:endnote w:id="22">
    <w:p w14:paraId="49B10AB9" w14:textId="4FD4BBAF" w:rsidR="00DB0C93" w:rsidRPr="00DB0C93" w:rsidRDefault="00DB0C93" w:rsidP="00DB0C93">
      <w:pPr>
        <w:pStyle w:val="Endnotentext"/>
        <w:spacing w:after="0"/>
        <w:rPr>
          <w:lang w:val="en-US"/>
        </w:rPr>
      </w:pPr>
      <w:r>
        <w:rPr>
          <w:rStyle w:val="Endnotenzeichen"/>
        </w:rPr>
        <w:endnoteRef/>
      </w:r>
      <w:r>
        <w:t xml:space="preserve"> </w:t>
      </w:r>
      <w:r w:rsidRPr="00DB0C93">
        <w:rPr>
          <w:lang w:val="en-US"/>
        </w:rPr>
        <w:t>Attorney General's Office. Report on the judicialization of abortion in Colombia. Technical concept sent to the Constitutional Court in process number D0013255. P. 12</w:t>
      </w:r>
    </w:p>
  </w:endnote>
  <w:endnote w:id="23">
    <w:p w14:paraId="2D6EF196" w14:textId="341AF50B" w:rsidR="0026549E" w:rsidRPr="007E5031" w:rsidRDefault="0026549E" w:rsidP="00DB0C93">
      <w:pPr>
        <w:pStyle w:val="Endnotentext"/>
        <w:spacing w:after="0"/>
        <w:jc w:val="both"/>
        <w:rPr>
          <w:lang w:val="en-US"/>
        </w:rPr>
      </w:pPr>
      <w:r>
        <w:rPr>
          <w:rStyle w:val="Endnotenzeichen"/>
        </w:rPr>
        <w:endnoteRef/>
      </w:r>
      <w:r>
        <w:t xml:space="preserve"> </w:t>
      </w:r>
      <w:r w:rsidR="00DB0C93">
        <w:rPr>
          <w:lang w:val="en-US"/>
        </w:rPr>
        <w:t xml:space="preserve">Id. </w:t>
      </w:r>
    </w:p>
  </w:endnote>
  <w:endnote w:id="24">
    <w:p w14:paraId="496226D6" w14:textId="2A094774" w:rsidR="00673649" w:rsidRPr="007E5031" w:rsidRDefault="00673649" w:rsidP="002209B2">
      <w:pPr>
        <w:pStyle w:val="Endnotentext"/>
        <w:spacing w:after="0"/>
        <w:jc w:val="both"/>
        <w:rPr>
          <w:lang w:val="en-US"/>
        </w:rPr>
      </w:pPr>
      <w:r>
        <w:rPr>
          <w:rStyle w:val="Endnotenzeichen"/>
        </w:rPr>
        <w:endnoteRef/>
      </w:r>
      <w:r>
        <w:t xml:space="preserve"> </w:t>
      </w:r>
      <w:r w:rsidR="007A1CC7" w:rsidRPr="007A1CC7">
        <w:t>Press Release, Constitutional Court: Sentence C-055 of 2022. At: https://bit.ly/35oaAwk</w:t>
      </w:r>
    </w:p>
  </w:endnote>
  <w:endnote w:id="25">
    <w:p w14:paraId="29613E1F" w14:textId="77777777" w:rsidR="00A84E3D" w:rsidRPr="00DB0C93" w:rsidRDefault="00A84E3D" w:rsidP="00A84E3D">
      <w:pPr>
        <w:pStyle w:val="Endnotentext"/>
        <w:spacing w:after="0"/>
        <w:jc w:val="both"/>
        <w:rPr>
          <w:lang w:val="en-US"/>
        </w:rPr>
      </w:pPr>
      <w:r>
        <w:rPr>
          <w:rStyle w:val="Endnotenzeichen"/>
        </w:rPr>
        <w:endnoteRef/>
      </w:r>
      <w:r w:rsidRPr="00DB0C93">
        <w:rPr>
          <w:lang w:val="en-US"/>
        </w:rPr>
        <w:t xml:space="preserve"> Id</w:t>
      </w:r>
    </w:p>
  </w:endnote>
  <w:endnote w:id="26">
    <w:p w14:paraId="4E7F53CF" w14:textId="77777777" w:rsidR="000A05C6" w:rsidRPr="006B3788" w:rsidRDefault="000A05C6" w:rsidP="000A05C6">
      <w:pPr>
        <w:pStyle w:val="Endnotentext"/>
        <w:spacing w:after="0"/>
        <w:jc w:val="both"/>
        <w:rPr>
          <w:lang w:val="en-US"/>
        </w:rPr>
      </w:pPr>
      <w:r>
        <w:rPr>
          <w:rStyle w:val="Endnotenzeichen"/>
        </w:rPr>
        <w:endnoteRef/>
      </w:r>
      <w:r>
        <w:t xml:space="preserve"> </w:t>
      </w:r>
      <w:r w:rsidRPr="006B3788">
        <w:t xml:space="preserve">Constitutional Court Secretariat. D-13956. In: </w:t>
      </w:r>
      <w:hyperlink r:id="rId11" w:history="1">
        <w:r w:rsidRPr="00A64196">
          <w:rPr>
            <w:rStyle w:val="Hyperlink"/>
          </w:rPr>
          <w:t>https://bit.ly/3pdBI8f</w:t>
        </w:r>
      </w:hyperlink>
      <w:r>
        <w:t xml:space="preserve"> </w:t>
      </w:r>
    </w:p>
  </w:endnote>
  <w:endnote w:id="27">
    <w:p w14:paraId="0CBB97A9" w14:textId="77777777" w:rsidR="00B944B9" w:rsidRPr="005D45FF" w:rsidRDefault="00B944B9" w:rsidP="00B944B9">
      <w:pPr>
        <w:pStyle w:val="Endnotentext"/>
        <w:spacing w:after="0"/>
        <w:jc w:val="both"/>
        <w:rPr>
          <w:lang w:val="en-US"/>
        </w:rPr>
      </w:pPr>
      <w:r>
        <w:rPr>
          <w:rStyle w:val="Endnotenzeichen"/>
        </w:rPr>
        <w:endnoteRef/>
      </w:r>
      <w:r w:rsidRPr="005D45FF">
        <w:rPr>
          <w:lang w:val="en-US"/>
        </w:rPr>
        <w:t xml:space="preserve"> Id. </w:t>
      </w:r>
    </w:p>
  </w:endnote>
  <w:endnote w:id="28">
    <w:p w14:paraId="23D7B774" w14:textId="1E22CACA" w:rsidR="00CD3111" w:rsidRPr="005D45FF" w:rsidRDefault="00CD3111" w:rsidP="002209B2">
      <w:pPr>
        <w:pStyle w:val="Endnotentext"/>
        <w:spacing w:after="0"/>
        <w:jc w:val="both"/>
        <w:rPr>
          <w:lang w:val="en-US"/>
        </w:rPr>
      </w:pPr>
      <w:r>
        <w:rPr>
          <w:rStyle w:val="Endnotenzeichen"/>
        </w:rPr>
        <w:endnoteRef/>
      </w:r>
      <w:r w:rsidRPr="005D45FF">
        <w:rPr>
          <w:lang w:val="en-US"/>
        </w:rPr>
        <w:t xml:space="preserve"> Id.</w:t>
      </w:r>
    </w:p>
  </w:endnote>
  <w:endnote w:id="29">
    <w:p w14:paraId="3946AB47" w14:textId="77777777" w:rsidR="005D45FF" w:rsidRPr="00A47F5D" w:rsidRDefault="005D45FF" w:rsidP="005D45FF">
      <w:pPr>
        <w:pStyle w:val="Endnotentext"/>
        <w:spacing w:after="0"/>
        <w:jc w:val="both"/>
        <w:rPr>
          <w:lang w:val="en-US"/>
        </w:rPr>
      </w:pPr>
      <w:r>
        <w:rPr>
          <w:rStyle w:val="Endnotenzeichen"/>
        </w:rPr>
        <w:endnoteRef/>
      </w:r>
      <w:r>
        <w:t xml:space="preserve"> </w:t>
      </w:r>
      <w:r w:rsidRPr="00A47F5D">
        <w:t xml:space="preserve">Center for Reproductive Rights. Reproductive Violence in the Armed Conflict in Colombia. In: </w:t>
      </w:r>
      <w:hyperlink r:id="rId12" w:history="1">
        <w:r w:rsidRPr="00A64196">
          <w:rPr>
            <w:rStyle w:val="Hyperlink"/>
          </w:rPr>
          <w:t>https://bit.ly/3vLg65B</w:t>
        </w:r>
      </w:hyperlink>
      <w:r>
        <w:t xml:space="preserve"> </w:t>
      </w:r>
    </w:p>
  </w:endnote>
  <w:endnote w:id="30">
    <w:p w14:paraId="6725A805" w14:textId="77777777" w:rsidR="005D45FF" w:rsidRPr="00DB0C93" w:rsidRDefault="005D45FF" w:rsidP="005D45FF">
      <w:pPr>
        <w:pStyle w:val="Endnotentext"/>
        <w:spacing w:after="0"/>
        <w:jc w:val="both"/>
        <w:rPr>
          <w:lang w:val="es-CO"/>
        </w:rPr>
      </w:pPr>
      <w:r>
        <w:rPr>
          <w:rStyle w:val="Endnotenzeichen"/>
        </w:rPr>
        <w:endnoteRef/>
      </w:r>
      <w:r>
        <w:t xml:space="preserve"> CEV.</w:t>
      </w:r>
      <w:r w:rsidRPr="00B56FB2">
        <w:t xml:space="preserve"> Reproductive violence in the armed conflict: a pending truth. </w:t>
      </w:r>
      <w:r w:rsidRPr="00DB0C93">
        <w:rPr>
          <w:lang w:val="es-CO"/>
        </w:rPr>
        <w:t xml:space="preserve">In: </w:t>
      </w:r>
      <w:hyperlink r:id="rId13" w:history="1">
        <w:r w:rsidRPr="00DB0C93">
          <w:rPr>
            <w:rStyle w:val="Hyperlink"/>
            <w:lang w:val="es-CO"/>
          </w:rPr>
          <w:t>https://bit.ly/38m65n8</w:t>
        </w:r>
      </w:hyperlink>
      <w:r w:rsidRPr="00DB0C93">
        <w:rPr>
          <w:lang w:val="es-CO"/>
        </w:rPr>
        <w:t xml:space="preserve"> </w:t>
      </w:r>
    </w:p>
  </w:endnote>
  <w:endnote w:id="31">
    <w:p w14:paraId="15311F67" w14:textId="00B111E2" w:rsidR="009228F6" w:rsidRPr="009228F6" w:rsidRDefault="009228F6" w:rsidP="002209B2">
      <w:pPr>
        <w:pStyle w:val="Endnotentext"/>
        <w:spacing w:after="0"/>
        <w:jc w:val="both"/>
        <w:rPr>
          <w:lang w:val="es-MX"/>
        </w:rPr>
      </w:pPr>
      <w:r>
        <w:rPr>
          <w:rStyle w:val="Endnotenzeichen"/>
        </w:rPr>
        <w:endnoteRef/>
      </w:r>
      <w:r w:rsidRPr="009228F6">
        <w:rPr>
          <w:lang w:val="es-CO"/>
        </w:rPr>
        <w:t xml:space="preserve"> </w:t>
      </w:r>
      <w:r w:rsidRPr="009228F6">
        <w:rPr>
          <w:lang w:val="es-MX"/>
        </w:rPr>
        <w:t xml:space="preserve">Alianza cinco claves. </w:t>
      </w:r>
      <w:r w:rsidRPr="009228F6">
        <w:rPr>
          <w:i/>
          <w:iCs/>
          <w:lang w:val="es"/>
        </w:rPr>
        <w:t xml:space="preserve">Conexidad entre la violencia sexual y el conflicto armado: un llamado al no retroceso en la JEP: </w:t>
      </w:r>
      <w:hyperlink r:id="rId14" w:history="1">
        <w:r w:rsidRPr="009228F6">
          <w:rPr>
            <w:rStyle w:val="Hyperlink"/>
            <w:i/>
            <w:iCs/>
            <w:lang w:val="es"/>
          </w:rPr>
          <w:t>https://bit.ly/37TZiBd</w:t>
        </w:r>
      </w:hyperlink>
    </w:p>
  </w:endnote>
  <w:endnote w:id="32">
    <w:p w14:paraId="3F250CB1" w14:textId="5CB7FD15" w:rsidR="00E0742F" w:rsidRPr="007E5031" w:rsidRDefault="00E0742F" w:rsidP="002209B2">
      <w:pPr>
        <w:pStyle w:val="Endnotentext"/>
        <w:spacing w:after="0"/>
        <w:jc w:val="both"/>
        <w:rPr>
          <w:lang w:val="en-US"/>
        </w:rPr>
      </w:pPr>
      <w:r>
        <w:rPr>
          <w:rStyle w:val="Endnotenzeichen"/>
        </w:rPr>
        <w:endnoteRef/>
      </w:r>
      <w:r>
        <w:t xml:space="preserve"> </w:t>
      </w:r>
      <w:r w:rsidR="00C70571" w:rsidRPr="00C70571">
        <w:t xml:space="preserve">Alliance 5 Keys. Communiqué on the duties of the SJP in the face of sexual violence during the armed conflict, motivated by sexual orientation, gender identity or expression. March 16, 2022. Available at: </w:t>
      </w:r>
      <w:hyperlink r:id="rId15" w:history="1">
        <w:r w:rsidR="00412893" w:rsidRPr="00A64196">
          <w:rPr>
            <w:rStyle w:val="Hyperlink"/>
          </w:rPr>
          <w:t>https://bit.ly/35r3irY</w:t>
        </w:r>
      </w:hyperlink>
      <w:r w:rsidR="00412893">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5678116"/>
      <w:docPartObj>
        <w:docPartGallery w:val="Page Numbers (Bottom of Page)"/>
        <w:docPartUnique/>
      </w:docPartObj>
    </w:sdtPr>
    <w:sdtEndPr>
      <w:rPr>
        <w:rFonts w:ascii="Times New Roman" w:hAnsi="Times New Roman" w:cs="Times New Roman"/>
        <w:noProof/>
        <w:sz w:val="22"/>
        <w:szCs w:val="22"/>
      </w:rPr>
    </w:sdtEndPr>
    <w:sdtContent>
      <w:p w14:paraId="0C509C1D" w14:textId="0CF8602F" w:rsidR="004805D9" w:rsidRPr="004805D9" w:rsidRDefault="004805D9">
        <w:pPr>
          <w:pStyle w:val="Fuzeile"/>
          <w:jc w:val="right"/>
          <w:rPr>
            <w:rFonts w:ascii="Times New Roman" w:hAnsi="Times New Roman" w:cs="Times New Roman"/>
            <w:sz w:val="22"/>
            <w:szCs w:val="22"/>
          </w:rPr>
        </w:pPr>
        <w:r w:rsidRPr="004805D9">
          <w:rPr>
            <w:rFonts w:ascii="Times New Roman" w:hAnsi="Times New Roman" w:cs="Times New Roman"/>
            <w:sz w:val="22"/>
            <w:szCs w:val="22"/>
          </w:rPr>
          <w:fldChar w:fldCharType="begin"/>
        </w:r>
        <w:r w:rsidRPr="004805D9">
          <w:rPr>
            <w:rFonts w:ascii="Times New Roman" w:hAnsi="Times New Roman" w:cs="Times New Roman"/>
            <w:sz w:val="22"/>
            <w:szCs w:val="22"/>
          </w:rPr>
          <w:instrText xml:space="preserve"> PAGE   \* MERGEFORMAT </w:instrText>
        </w:r>
        <w:r w:rsidRPr="004805D9">
          <w:rPr>
            <w:rFonts w:ascii="Times New Roman" w:hAnsi="Times New Roman" w:cs="Times New Roman"/>
            <w:sz w:val="22"/>
            <w:szCs w:val="22"/>
          </w:rPr>
          <w:fldChar w:fldCharType="separate"/>
        </w:r>
        <w:r w:rsidRPr="004805D9">
          <w:rPr>
            <w:rFonts w:ascii="Times New Roman" w:hAnsi="Times New Roman" w:cs="Times New Roman"/>
            <w:noProof/>
            <w:sz w:val="22"/>
            <w:szCs w:val="22"/>
          </w:rPr>
          <w:t>2</w:t>
        </w:r>
        <w:r w:rsidRPr="004805D9">
          <w:rPr>
            <w:rFonts w:ascii="Times New Roman" w:hAnsi="Times New Roman" w:cs="Times New Roman"/>
            <w:noProof/>
            <w:sz w:val="22"/>
            <w:szCs w:val="22"/>
          </w:rPr>
          <w:fldChar w:fldCharType="end"/>
        </w:r>
      </w:p>
    </w:sdtContent>
  </w:sdt>
  <w:p w14:paraId="58DB0F37" w14:textId="77777777" w:rsidR="004805D9" w:rsidRDefault="004805D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4B7C4" w14:textId="77777777" w:rsidR="00714434" w:rsidRDefault="00714434" w:rsidP="00FB2C5F">
      <w:r>
        <w:separator/>
      </w:r>
    </w:p>
  </w:footnote>
  <w:footnote w:type="continuationSeparator" w:id="0">
    <w:p w14:paraId="48F1EA18" w14:textId="77777777" w:rsidR="00714434" w:rsidRDefault="00714434" w:rsidP="00FB2C5F">
      <w:r>
        <w:continuationSeparator/>
      </w:r>
    </w:p>
  </w:footnote>
  <w:footnote w:type="continuationNotice" w:id="1">
    <w:p w14:paraId="59E7DF05" w14:textId="77777777" w:rsidR="00714434" w:rsidRDefault="007144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90D12" w14:textId="6DB97438" w:rsidR="005B5825" w:rsidRDefault="36B78392">
    <w:pPr>
      <w:pStyle w:val="Kopfzeile"/>
    </w:pPr>
    <w:r>
      <w:rPr>
        <w:noProof/>
      </w:rPr>
      <w:drawing>
        <wp:inline distT="0" distB="0" distL="0" distR="0" wp14:anchorId="34F87DA4" wp14:editId="50BAB98B">
          <wp:extent cx="1301211" cy="477672"/>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309650" cy="480770"/>
                  </a:xfrm>
                  <a:prstGeom prst="rect">
                    <a:avLst/>
                  </a:prstGeom>
                </pic:spPr>
              </pic:pic>
            </a:graphicData>
          </a:graphic>
        </wp:inline>
      </w:drawing>
    </w:r>
  </w:p>
  <w:p w14:paraId="7EAC78CC" w14:textId="77777777" w:rsidR="00FB5C19" w:rsidRDefault="00FB5C1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264158E"/>
    <w:lvl w:ilvl="0">
      <w:start w:val="1"/>
      <w:numFmt w:val="bullet"/>
      <w:pStyle w:val="Aufzhlungszeichen"/>
      <w:lvlText w:val=""/>
      <w:lvlJc w:val="left"/>
      <w:pPr>
        <w:ind w:left="360" w:hanging="360"/>
      </w:pPr>
      <w:rPr>
        <w:rFonts w:ascii="Symbol" w:hAnsi="Symbol" w:cs="Symbol" w:hint="default"/>
      </w:rPr>
    </w:lvl>
  </w:abstractNum>
  <w:abstractNum w:abstractNumId="1" w15:restartNumberingAfterBreak="0">
    <w:nsid w:val="00736A75"/>
    <w:multiLevelType w:val="hybridMultilevel"/>
    <w:tmpl w:val="AE3A88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32F97"/>
    <w:multiLevelType w:val="hybridMultilevel"/>
    <w:tmpl w:val="C21E94DE"/>
    <w:lvl w:ilvl="0" w:tplc="D1EA8D7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A9530C1"/>
    <w:multiLevelType w:val="hybridMultilevel"/>
    <w:tmpl w:val="F6AA71C2"/>
    <w:lvl w:ilvl="0" w:tplc="2E90BF64">
      <w:start w:val="1"/>
      <w:numFmt w:val="decimal"/>
      <w:suff w:val="space"/>
      <w:lvlText w:val="%1."/>
      <w:lvlJc w:val="left"/>
      <w:pPr>
        <w:ind w:left="720" w:hanging="360"/>
      </w:pPr>
      <w:rPr>
        <w:rFonts w:hint="default"/>
        <w:b w:val="0"/>
        <w:i w:val="0"/>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251D88"/>
    <w:multiLevelType w:val="hybridMultilevel"/>
    <w:tmpl w:val="FE58142A"/>
    <w:lvl w:ilvl="0" w:tplc="F75ADD32">
      <w:start w:val="1"/>
      <w:numFmt w:val="decimal"/>
      <w:lvlText w:val="%1."/>
      <w:lvlJc w:val="left"/>
      <w:pPr>
        <w:ind w:left="720" w:hanging="360"/>
      </w:pPr>
      <w:rPr>
        <w:rFonts w:hint="default"/>
        <w:i w:val="0"/>
        <w:i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D7A7B49"/>
    <w:multiLevelType w:val="hybridMultilevel"/>
    <w:tmpl w:val="47D2C47E"/>
    <w:name w:val="Lindas"/>
    <w:lvl w:ilvl="0" w:tplc="62B66E56">
      <w:start w:val="1"/>
      <w:numFmt w:val="upperRoman"/>
      <w:pStyle w:val="Lindas1"/>
      <w:lvlText w:val="%1."/>
      <w:lvlJc w:val="left"/>
      <w:pPr>
        <w:ind w:left="720" w:hanging="720"/>
      </w:pPr>
      <w:rPr>
        <w:rFonts w:ascii="Times New Roman" w:hAnsi="Times New Roman" w:cs="Times New Roman"/>
        <w:b/>
        <w:i w:val="0"/>
        <w:caps w:val="0"/>
        <w:strike w:val="0"/>
        <w:dstrike w:val="0"/>
        <w:vanish w:val="0"/>
        <w:color w:val="auto"/>
        <w:sz w:val="24"/>
        <w:u w:val="none"/>
        <w:vertAlign w:val="baseline"/>
      </w:rPr>
    </w:lvl>
    <w:lvl w:ilvl="1" w:tplc="3FFC344A">
      <w:start w:val="1"/>
      <w:numFmt w:val="upperLetter"/>
      <w:pStyle w:val="Lindas2"/>
      <w:lvlText w:val="%2."/>
      <w:lvlJc w:val="left"/>
      <w:pPr>
        <w:ind w:left="720" w:hanging="720"/>
      </w:pPr>
      <w:rPr>
        <w:rFonts w:ascii="Times New Roman Bold" w:hAnsi="Times New Roman Bold"/>
        <w:b/>
        <w:i w:val="0"/>
        <w:caps w:val="0"/>
        <w:strike w:val="0"/>
        <w:dstrike w:val="0"/>
        <w:vanish w:val="0"/>
        <w:color w:val="auto"/>
        <w:sz w:val="24"/>
        <w:u w:val="none"/>
        <w:vertAlign w:val="baseline"/>
      </w:rPr>
    </w:lvl>
    <w:lvl w:ilvl="2" w:tplc="71C4E0D4">
      <w:start w:val="1"/>
      <w:numFmt w:val="decimal"/>
      <w:lvlRestart w:val="0"/>
      <w:pStyle w:val="Lindas3"/>
      <w:lvlText w:val="%3."/>
      <w:lvlJc w:val="left"/>
      <w:pPr>
        <w:tabs>
          <w:tab w:val="num" w:pos="1430"/>
        </w:tabs>
        <w:ind w:left="1430" w:hanging="720"/>
      </w:pPr>
      <w:rPr>
        <w:rFonts w:ascii="Times New Roman" w:hAnsi="Times New Roman" w:cs="Times New Roman"/>
        <w:b w:val="0"/>
        <w:i w:val="0"/>
        <w:caps w:val="0"/>
        <w:strike w:val="0"/>
        <w:dstrike w:val="0"/>
        <w:vanish w:val="0"/>
        <w:color w:val="auto"/>
        <w:sz w:val="22"/>
        <w:u w:val="none"/>
        <w:vertAlign w:val="baseline"/>
      </w:rPr>
    </w:lvl>
    <w:lvl w:ilvl="3" w:tplc="BB400410">
      <w:start w:val="1"/>
      <w:numFmt w:val="lowerLetter"/>
      <w:pStyle w:val="Lindas4"/>
      <w:lvlText w:val="(%4)"/>
      <w:lvlJc w:val="left"/>
      <w:pPr>
        <w:ind w:left="1636" w:hanging="646"/>
      </w:pPr>
      <w:rPr>
        <w:rFonts w:ascii="Times New Roman" w:hAnsi="Times New Roman" w:cs="Times New Roman"/>
        <w:b w:val="0"/>
        <w:i w:val="0"/>
        <w:caps w:val="0"/>
        <w:strike w:val="0"/>
        <w:dstrike w:val="0"/>
        <w:vanish w:val="0"/>
        <w:color w:val="auto"/>
        <w:sz w:val="22"/>
        <w:u w:val="none"/>
        <w:vertAlign w:val="baseline"/>
      </w:rPr>
    </w:lvl>
    <w:lvl w:ilvl="4" w:tplc="2CE2273A">
      <w:start w:val="1"/>
      <w:numFmt w:val="lowerRoman"/>
      <w:pStyle w:val="Lindas5"/>
      <w:lvlText w:val="(%5)"/>
      <w:lvlJc w:val="left"/>
      <w:pPr>
        <w:ind w:left="2280" w:hanging="720"/>
      </w:pPr>
      <w:rPr>
        <w:rFonts w:ascii="Times New Roman" w:hAnsi="Times New Roman" w:cs="Times New Roman"/>
        <w:b w:val="0"/>
        <w:i w:val="0"/>
        <w:caps w:val="0"/>
        <w:strike w:val="0"/>
        <w:dstrike w:val="0"/>
        <w:vanish w:val="0"/>
        <w:color w:val="auto"/>
        <w:sz w:val="22"/>
        <w:u w:val="none"/>
        <w:vertAlign w:val="baseline"/>
      </w:rPr>
    </w:lvl>
    <w:lvl w:ilvl="5" w:tplc="5D4C896A">
      <w:start w:val="1"/>
      <w:numFmt w:val="none"/>
      <w:pStyle w:val="Lindas6"/>
      <w:suff w:val="nothing"/>
      <w:lvlText w:val="%6"/>
      <w:lvlJc w:val="left"/>
      <w:pPr>
        <w:ind w:left="1440" w:firstLine="0"/>
      </w:pPr>
      <w:rPr>
        <w:rFonts w:ascii="Times New Roman" w:hAnsi="Times New Roman" w:cs="Times New Roman"/>
        <w:b w:val="0"/>
        <w:i w:val="0"/>
        <w:caps w:val="0"/>
        <w:strike w:val="0"/>
        <w:dstrike w:val="0"/>
        <w:vanish w:val="0"/>
        <w:color w:val="auto"/>
        <w:sz w:val="24"/>
        <w:u w:val="none"/>
        <w:vertAlign w:val="baseline"/>
      </w:rPr>
    </w:lvl>
    <w:lvl w:ilvl="6" w:tplc="1C9CE858">
      <w:start w:val="1"/>
      <w:numFmt w:val="lowerLetter"/>
      <w:pStyle w:val="Lindas7"/>
      <w:lvlText w:val="%7."/>
      <w:lvlJc w:val="left"/>
      <w:pPr>
        <w:ind w:left="5040" w:hanging="720"/>
      </w:pPr>
      <w:rPr>
        <w:rFonts w:ascii="Times New Roman" w:hAnsi="Times New Roman" w:cs="Times New Roman"/>
        <w:b w:val="0"/>
        <w:i w:val="0"/>
        <w:caps w:val="0"/>
        <w:strike w:val="0"/>
        <w:dstrike w:val="0"/>
        <w:vanish w:val="0"/>
        <w:color w:val="auto"/>
        <w:sz w:val="24"/>
        <w:u w:val="none"/>
        <w:vertAlign w:val="baseline"/>
      </w:rPr>
    </w:lvl>
    <w:lvl w:ilvl="7" w:tplc="14FA1FD4">
      <w:start w:val="1"/>
      <w:numFmt w:val="lowerRoman"/>
      <w:pStyle w:val="Lindas8"/>
      <w:lvlText w:val="%8."/>
      <w:lvlJc w:val="left"/>
      <w:pPr>
        <w:ind w:left="5760" w:hanging="720"/>
      </w:pPr>
      <w:rPr>
        <w:rFonts w:ascii="Times New Roman" w:hAnsi="Times New Roman" w:cs="Times New Roman"/>
        <w:b w:val="0"/>
        <w:i w:val="0"/>
        <w:caps w:val="0"/>
        <w:strike w:val="0"/>
        <w:dstrike w:val="0"/>
        <w:vanish w:val="0"/>
        <w:color w:val="auto"/>
        <w:sz w:val="24"/>
        <w:u w:val="none"/>
        <w:vertAlign w:val="baseline"/>
      </w:rPr>
    </w:lvl>
    <w:lvl w:ilvl="8" w:tplc="644AF788">
      <w:start w:val="1"/>
      <w:numFmt w:val="decimal"/>
      <w:pStyle w:val="Lindas9"/>
      <w:lvlText w:val="%9."/>
      <w:lvlJc w:val="left"/>
      <w:pPr>
        <w:ind w:left="648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6" w15:restartNumberingAfterBreak="0">
    <w:nsid w:val="1E210848"/>
    <w:multiLevelType w:val="hybridMultilevel"/>
    <w:tmpl w:val="BF98B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403091"/>
    <w:multiLevelType w:val="hybridMultilevel"/>
    <w:tmpl w:val="5D3AE566"/>
    <w:lvl w:ilvl="0" w:tplc="3CBEB436">
      <w:start w:val="1"/>
      <w:numFmt w:val="lowerLetter"/>
      <w:lvlText w:val="(%1)"/>
      <w:lvlJc w:val="left"/>
      <w:pPr>
        <w:ind w:left="1494" w:hanging="360"/>
      </w:pPr>
      <w:rPr>
        <w:rFonts w:hint="default"/>
        <w:i/>
        <w:iCs/>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8" w15:restartNumberingAfterBreak="0">
    <w:nsid w:val="23B51093"/>
    <w:multiLevelType w:val="hybridMultilevel"/>
    <w:tmpl w:val="DA849C5E"/>
    <w:lvl w:ilvl="0" w:tplc="E51E3AC4">
      <w:start w:val="1"/>
      <w:numFmt w:val="lowerLetter"/>
      <w:lvlText w:val="%1)"/>
      <w:lvlJc w:val="left"/>
      <w:pPr>
        <w:ind w:left="720" w:hanging="360"/>
      </w:pPr>
      <w:rPr>
        <w:rFonts w:eastAsiaTheme="minorHAnsi"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3E10BF2"/>
    <w:multiLevelType w:val="hybridMultilevel"/>
    <w:tmpl w:val="703AD6F0"/>
    <w:lvl w:ilvl="0" w:tplc="32F07810">
      <w:start w:val="1"/>
      <w:numFmt w:val="decimal"/>
      <w:lvlText w:val="%1."/>
      <w:lvlJc w:val="left"/>
      <w:pPr>
        <w:ind w:left="720" w:hanging="360"/>
      </w:pPr>
      <w:rPr>
        <w:rFonts w:hint="default"/>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71A28FB"/>
    <w:multiLevelType w:val="hybridMultilevel"/>
    <w:tmpl w:val="B2DC5250"/>
    <w:lvl w:ilvl="0" w:tplc="F2B0FFAA">
      <w:start w:val="4"/>
      <w:numFmt w:val="bullet"/>
      <w:lvlText w:val=""/>
      <w:lvlJc w:val="left"/>
      <w:pPr>
        <w:ind w:left="720" w:hanging="360"/>
      </w:pPr>
      <w:rPr>
        <w:rFonts w:ascii="Wingdings" w:eastAsiaTheme="minorHAnsi" w:hAnsi="Wingdings" w:cstheme="minorBid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CA7754"/>
    <w:multiLevelType w:val="hybridMultilevel"/>
    <w:tmpl w:val="8CD689B6"/>
    <w:lvl w:ilvl="0" w:tplc="FFFFFFFF">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2A5509"/>
    <w:multiLevelType w:val="hybridMultilevel"/>
    <w:tmpl w:val="027A5A98"/>
    <w:lvl w:ilvl="0" w:tplc="12DCFAC4">
      <w:start w:val="1"/>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443B5E"/>
    <w:multiLevelType w:val="hybridMultilevel"/>
    <w:tmpl w:val="F214A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606101"/>
    <w:multiLevelType w:val="hybridMultilevel"/>
    <w:tmpl w:val="7250C4FA"/>
    <w:lvl w:ilvl="0" w:tplc="2D78B374">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BC5D1D"/>
    <w:multiLevelType w:val="hybridMultilevel"/>
    <w:tmpl w:val="2710D2AC"/>
    <w:lvl w:ilvl="0" w:tplc="93B2B3A6">
      <w:start w:val="1"/>
      <w:numFmt w:val="decimal"/>
      <w:lvlText w:val="%1."/>
      <w:lvlJc w:val="left"/>
      <w:pPr>
        <w:ind w:left="720" w:hanging="360"/>
      </w:pPr>
      <w:rPr>
        <w:rFonts w:ascii="Times New Roman" w:hAnsi="Times New Roman"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DF1BA6"/>
    <w:multiLevelType w:val="hybridMultilevel"/>
    <w:tmpl w:val="99BC46D0"/>
    <w:lvl w:ilvl="0" w:tplc="3D30EE74">
      <w:start w:val="1"/>
      <w:numFmt w:val="lowerRoman"/>
      <w:lvlText w:val="%1."/>
      <w:lvlJc w:val="left"/>
      <w:pPr>
        <w:ind w:left="1080" w:hanging="72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8054C57"/>
    <w:multiLevelType w:val="hybridMultilevel"/>
    <w:tmpl w:val="F81E47FA"/>
    <w:lvl w:ilvl="0" w:tplc="EDC68D6E">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962FA8"/>
    <w:multiLevelType w:val="hybridMultilevel"/>
    <w:tmpl w:val="7B46A19A"/>
    <w:lvl w:ilvl="0" w:tplc="CA06C6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4D70C8"/>
    <w:multiLevelType w:val="hybridMultilevel"/>
    <w:tmpl w:val="EEC6BD16"/>
    <w:lvl w:ilvl="0" w:tplc="5296C80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14"/>
  </w:num>
  <w:num w:numId="3">
    <w:abstractNumId w:val="11"/>
  </w:num>
  <w:num w:numId="4">
    <w:abstractNumId w:val="12"/>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10"/>
  </w:num>
  <w:num w:numId="10">
    <w:abstractNumId w:val="18"/>
  </w:num>
  <w:num w:numId="11">
    <w:abstractNumId w:val="3"/>
  </w:num>
  <w:num w:numId="12">
    <w:abstractNumId w:val="6"/>
  </w:num>
  <w:num w:numId="13">
    <w:abstractNumId w:val="13"/>
  </w:num>
  <w:num w:numId="14">
    <w:abstractNumId w:val="15"/>
  </w:num>
  <w:num w:numId="15">
    <w:abstractNumId w:val="7"/>
  </w:num>
  <w:num w:numId="16">
    <w:abstractNumId w:val="0"/>
  </w:num>
  <w:num w:numId="17">
    <w:abstractNumId w:val="4"/>
  </w:num>
  <w:num w:numId="18">
    <w:abstractNumId w:val="9"/>
  </w:num>
  <w:num w:numId="19">
    <w:abstractNumId w:val="2"/>
  </w:num>
  <w:num w:numId="20">
    <w:abstractNumId w:val="16"/>
  </w:num>
  <w:num w:numId="21">
    <w:abstractNumId w:val="19"/>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54C"/>
    <w:rsid w:val="000042C3"/>
    <w:rsid w:val="00006E85"/>
    <w:rsid w:val="00007C33"/>
    <w:rsid w:val="00011C04"/>
    <w:rsid w:val="00011DD7"/>
    <w:rsid w:val="0001211B"/>
    <w:rsid w:val="00017E31"/>
    <w:rsid w:val="0002023F"/>
    <w:rsid w:val="00020568"/>
    <w:rsid w:val="00020CB0"/>
    <w:rsid w:val="00021F6A"/>
    <w:rsid w:val="000222EF"/>
    <w:rsid w:val="00022A53"/>
    <w:rsid w:val="00022E34"/>
    <w:rsid w:val="00023D0F"/>
    <w:rsid w:val="0002517B"/>
    <w:rsid w:val="00025EC5"/>
    <w:rsid w:val="00027C80"/>
    <w:rsid w:val="00030268"/>
    <w:rsid w:val="0003248C"/>
    <w:rsid w:val="00032E9B"/>
    <w:rsid w:val="00033874"/>
    <w:rsid w:val="000347E1"/>
    <w:rsid w:val="00043A02"/>
    <w:rsid w:val="00044250"/>
    <w:rsid w:val="0004698F"/>
    <w:rsid w:val="00049326"/>
    <w:rsid w:val="00063C2C"/>
    <w:rsid w:val="0006491A"/>
    <w:rsid w:val="00071B57"/>
    <w:rsid w:val="0007200A"/>
    <w:rsid w:val="0007598E"/>
    <w:rsid w:val="000769C2"/>
    <w:rsid w:val="0008083D"/>
    <w:rsid w:val="00080F89"/>
    <w:rsid w:val="00081E7D"/>
    <w:rsid w:val="00083CAC"/>
    <w:rsid w:val="00086259"/>
    <w:rsid w:val="0008689E"/>
    <w:rsid w:val="00087004"/>
    <w:rsid w:val="00090BDC"/>
    <w:rsid w:val="0009655F"/>
    <w:rsid w:val="000A0594"/>
    <w:rsid w:val="000A05C6"/>
    <w:rsid w:val="000A2B22"/>
    <w:rsid w:val="000A5806"/>
    <w:rsid w:val="000A5F85"/>
    <w:rsid w:val="000B20E7"/>
    <w:rsid w:val="000B2471"/>
    <w:rsid w:val="000B3136"/>
    <w:rsid w:val="000B3213"/>
    <w:rsid w:val="000B4D66"/>
    <w:rsid w:val="000B723D"/>
    <w:rsid w:val="000C126C"/>
    <w:rsid w:val="000C4052"/>
    <w:rsid w:val="000C5177"/>
    <w:rsid w:val="000C762E"/>
    <w:rsid w:val="000C7683"/>
    <w:rsid w:val="000D1489"/>
    <w:rsid w:val="000D212D"/>
    <w:rsid w:val="000D529E"/>
    <w:rsid w:val="000D77A0"/>
    <w:rsid w:val="000E0AD5"/>
    <w:rsid w:val="000E0E68"/>
    <w:rsid w:val="000E1679"/>
    <w:rsid w:val="000E5890"/>
    <w:rsid w:val="000F1EDE"/>
    <w:rsid w:val="000F3F23"/>
    <w:rsid w:val="000F7391"/>
    <w:rsid w:val="00101140"/>
    <w:rsid w:val="00102F1F"/>
    <w:rsid w:val="001043D8"/>
    <w:rsid w:val="00111FF3"/>
    <w:rsid w:val="00112C72"/>
    <w:rsid w:val="00114532"/>
    <w:rsid w:val="0011570D"/>
    <w:rsid w:val="00116E49"/>
    <w:rsid w:val="001205D1"/>
    <w:rsid w:val="0012215F"/>
    <w:rsid w:val="0012264F"/>
    <w:rsid w:val="00123A42"/>
    <w:rsid w:val="00124C7D"/>
    <w:rsid w:val="001259CE"/>
    <w:rsid w:val="00126637"/>
    <w:rsid w:val="001279A2"/>
    <w:rsid w:val="0013094B"/>
    <w:rsid w:val="00130B6F"/>
    <w:rsid w:val="00131EF1"/>
    <w:rsid w:val="001320D2"/>
    <w:rsid w:val="00133C1F"/>
    <w:rsid w:val="00133D7A"/>
    <w:rsid w:val="00134078"/>
    <w:rsid w:val="001404CA"/>
    <w:rsid w:val="001410CB"/>
    <w:rsid w:val="00143ED1"/>
    <w:rsid w:val="00145C7E"/>
    <w:rsid w:val="00145CCC"/>
    <w:rsid w:val="00151AE1"/>
    <w:rsid w:val="00152EC0"/>
    <w:rsid w:val="00154F67"/>
    <w:rsid w:val="00160D6A"/>
    <w:rsid w:val="00161BE2"/>
    <w:rsid w:val="00165077"/>
    <w:rsid w:val="00166678"/>
    <w:rsid w:val="00170739"/>
    <w:rsid w:val="001717E4"/>
    <w:rsid w:val="001722D9"/>
    <w:rsid w:val="0017238F"/>
    <w:rsid w:val="0017289D"/>
    <w:rsid w:val="0017535F"/>
    <w:rsid w:val="00176C35"/>
    <w:rsid w:val="00182000"/>
    <w:rsid w:val="00183B60"/>
    <w:rsid w:val="0018404C"/>
    <w:rsid w:val="00185CA9"/>
    <w:rsid w:val="00186134"/>
    <w:rsid w:val="001908E6"/>
    <w:rsid w:val="00191C34"/>
    <w:rsid w:val="00192F5E"/>
    <w:rsid w:val="00192FEF"/>
    <w:rsid w:val="0019419B"/>
    <w:rsid w:val="0019486D"/>
    <w:rsid w:val="00195413"/>
    <w:rsid w:val="0019CA0C"/>
    <w:rsid w:val="001A0E6B"/>
    <w:rsid w:val="001A4C40"/>
    <w:rsid w:val="001A504D"/>
    <w:rsid w:val="001A560E"/>
    <w:rsid w:val="001A6151"/>
    <w:rsid w:val="001A6662"/>
    <w:rsid w:val="001A7313"/>
    <w:rsid w:val="001B0A21"/>
    <w:rsid w:val="001B125C"/>
    <w:rsid w:val="001B2FEC"/>
    <w:rsid w:val="001B38D9"/>
    <w:rsid w:val="001B6005"/>
    <w:rsid w:val="001C0426"/>
    <w:rsid w:val="001C0980"/>
    <w:rsid w:val="001C3B7F"/>
    <w:rsid w:val="001E09D4"/>
    <w:rsid w:val="001E42EA"/>
    <w:rsid w:val="001F0439"/>
    <w:rsid w:val="001F4EFF"/>
    <w:rsid w:val="001F628D"/>
    <w:rsid w:val="001F7869"/>
    <w:rsid w:val="00200D84"/>
    <w:rsid w:val="00201F8B"/>
    <w:rsid w:val="002025A4"/>
    <w:rsid w:val="00202A9A"/>
    <w:rsid w:val="002057AE"/>
    <w:rsid w:val="00206258"/>
    <w:rsid w:val="00210A9A"/>
    <w:rsid w:val="00212DF0"/>
    <w:rsid w:val="00216036"/>
    <w:rsid w:val="0021739D"/>
    <w:rsid w:val="002177E8"/>
    <w:rsid w:val="0022084E"/>
    <w:rsid w:val="002209B2"/>
    <w:rsid w:val="002213CF"/>
    <w:rsid w:val="00225E9C"/>
    <w:rsid w:val="00226118"/>
    <w:rsid w:val="00226B4B"/>
    <w:rsid w:val="00226BDA"/>
    <w:rsid w:val="00227746"/>
    <w:rsid w:val="00227EEC"/>
    <w:rsid w:val="00231F35"/>
    <w:rsid w:val="002321D4"/>
    <w:rsid w:val="0023292B"/>
    <w:rsid w:val="00232D89"/>
    <w:rsid w:val="002336A3"/>
    <w:rsid w:val="002350AA"/>
    <w:rsid w:val="0023592D"/>
    <w:rsid w:val="002359DF"/>
    <w:rsid w:val="00235B57"/>
    <w:rsid w:val="00243FDA"/>
    <w:rsid w:val="00246AE9"/>
    <w:rsid w:val="00246EE4"/>
    <w:rsid w:val="00247340"/>
    <w:rsid w:val="002544A3"/>
    <w:rsid w:val="0025547F"/>
    <w:rsid w:val="00261408"/>
    <w:rsid w:val="00262183"/>
    <w:rsid w:val="002630FA"/>
    <w:rsid w:val="0026549E"/>
    <w:rsid w:val="002655D6"/>
    <w:rsid w:val="00270CDF"/>
    <w:rsid w:val="00272661"/>
    <w:rsid w:val="0027351A"/>
    <w:rsid w:val="00274051"/>
    <w:rsid w:val="00281B80"/>
    <w:rsid w:val="00284378"/>
    <w:rsid w:val="00286D02"/>
    <w:rsid w:val="00291E54"/>
    <w:rsid w:val="00292B37"/>
    <w:rsid w:val="00294124"/>
    <w:rsid w:val="00294A93"/>
    <w:rsid w:val="0029529C"/>
    <w:rsid w:val="002952EB"/>
    <w:rsid w:val="002A56F0"/>
    <w:rsid w:val="002B030D"/>
    <w:rsid w:val="002B1B5A"/>
    <w:rsid w:val="002B2C14"/>
    <w:rsid w:val="002B3CB9"/>
    <w:rsid w:val="002B5EC2"/>
    <w:rsid w:val="002B6287"/>
    <w:rsid w:val="002C01DE"/>
    <w:rsid w:val="002C0C51"/>
    <w:rsid w:val="002C1DBA"/>
    <w:rsid w:val="002C2912"/>
    <w:rsid w:val="002C6B74"/>
    <w:rsid w:val="002C72BA"/>
    <w:rsid w:val="002D0AA9"/>
    <w:rsid w:val="002D0B13"/>
    <w:rsid w:val="002D222D"/>
    <w:rsid w:val="002D41F7"/>
    <w:rsid w:val="002D4293"/>
    <w:rsid w:val="002D566C"/>
    <w:rsid w:val="002D7811"/>
    <w:rsid w:val="002E008D"/>
    <w:rsid w:val="002E0151"/>
    <w:rsid w:val="002E1052"/>
    <w:rsid w:val="002E42D7"/>
    <w:rsid w:val="002E44E9"/>
    <w:rsid w:val="002E5BF7"/>
    <w:rsid w:val="002E6E79"/>
    <w:rsid w:val="002F0825"/>
    <w:rsid w:val="002F098A"/>
    <w:rsid w:val="002F1D26"/>
    <w:rsid w:val="002F48ED"/>
    <w:rsid w:val="002F4E30"/>
    <w:rsid w:val="002F64F2"/>
    <w:rsid w:val="002F7A50"/>
    <w:rsid w:val="003008D1"/>
    <w:rsid w:val="003043C1"/>
    <w:rsid w:val="00307829"/>
    <w:rsid w:val="00307B32"/>
    <w:rsid w:val="00307BD2"/>
    <w:rsid w:val="003100B2"/>
    <w:rsid w:val="003104A3"/>
    <w:rsid w:val="00310DCC"/>
    <w:rsid w:val="00310F14"/>
    <w:rsid w:val="00311DA4"/>
    <w:rsid w:val="00312488"/>
    <w:rsid w:val="003131E5"/>
    <w:rsid w:val="00315264"/>
    <w:rsid w:val="0031548C"/>
    <w:rsid w:val="0031648C"/>
    <w:rsid w:val="003200DA"/>
    <w:rsid w:val="00320C22"/>
    <w:rsid w:val="00321580"/>
    <w:rsid w:val="0032167B"/>
    <w:rsid w:val="00321A1B"/>
    <w:rsid w:val="0032278A"/>
    <w:rsid w:val="00322C61"/>
    <w:rsid w:val="00327E78"/>
    <w:rsid w:val="0033268F"/>
    <w:rsid w:val="00332F38"/>
    <w:rsid w:val="00333FFA"/>
    <w:rsid w:val="00336EB8"/>
    <w:rsid w:val="0033779E"/>
    <w:rsid w:val="00345B99"/>
    <w:rsid w:val="00351E9D"/>
    <w:rsid w:val="00353724"/>
    <w:rsid w:val="00353B2E"/>
    <w:rsid w:val="003543E3"/>
    <w:rsid w:val="00354F3D"/>
    <w:rsid w:val="00356A0C"/>
    <w:rsid w:val="00356C20"/>
    <w:rsid w:val="00357DAB"/>
    <w:rsid w:val="003613EC"/>
    <w:rsid w:val="0036140D"/>
    <w:rsid w:val="00362109"/>
    <w:rsid w:val="00362EEB"/>
    <w:rsid w:val="00364B8E"/>
    <w:rsid w:val="00364E06"/>
    <w:rsid w:val="00365ED8"/>
    <w:rsid w:val="00366E37"/>
    <w:rsid w:val="00371C3E"/>
    <w:rsid w:val="00373D68"/>
    <w:rsid w:val="00374188"/>
    <w:rsid w:val="00376704"/>
    <w:rsid w:val="003767AF"/>
    <w:rsid w:val="00376AFA"/>
    <w:rsid w:val="003772F9"/>
    <w:rsid w:val="00380F79"/>
    <w:rsid w:val="00381A49"/>
    <w:rsid w:val="003822CC"/>
    <w:rsid w:val="00382C47"/>
    <w:rsid w:val="0038354E"/>
    <w:rsid w:val="003836FE"/>
    <w:rsid w:val="003837CD"/>
    <w:rsid w:val="003855EE"/>
    <w:rsid w:val="00385B75"/>
    <w:rsid w:val="00385CEC"/>
    <w:rsid w:val="003865D1"/>
    <w:rsid w:val="00387806"/>
    <w:rsid w:val="00387ED3"/>
    <w:rsid w:val="003906B1"/>
    <w:rsid w:val="00391249"/>
    <w:rsid w:val="00392456"/>
    <w:rsid w:val="00393304"/>
    <w:rsid w:val="00393C88"/>
    <w:rsid w:val="00393F2C"/>
    <w:rsid w:val="00394303"/>
    <w:rsid w:val="003973EE"/>
    <w:rsid w:val="003A274B"/>
    <w:rsid w:val="003A313D"/>
    <w:rsid w:val="003A505D"/>
    <w:rsid w:val="003B5592"/>
    <w:rsid w:val="003B75C6"/>
    <w:rsid w:val="003B7BE2"/>
    <w:rsid w:val="003B7C0A"/>
    <w:rsid w:val="003C1C47"/>
    <w:rsid w:val="003C31A0"/>
    <w:rsid w:val="003C3572"/>
    <w:rsid w:val="003C5DC1"/>
    <w:rsid w:val="003C70D1"/>
    <w:rsid w:val="003C733C"/>
    <w:rsid w:val="003C7B78"/>
    <w:rsid w:val="003D15B4"/>
    <w:rsid w:val="003D216F"/>
    <w:rsid w:val="003D2969"/>
    <w:rsid w:val="003D5C3B"/>
    <w:rsid w:val="003D70B3"/>
    <w:rsid w:val="003D9A26"/>
    <w:rsid w:val="003E2733"/>
    <w:rsid w:val="003E2748"/>
    <w:rsid w:val="003E5069"/>
    <w:rsid w:val="003E57E0"/>
    <w:rsid w:val="003E74F1"/>
    <w:rsid w:val="003F1BE7"/>
    <w:rsid w:val="003F2E18"/>
    <w:rsid w:val="003F783A"/>
    <w:rsid w:val="00400B34"/>
    <w:rsid w:val="00402569"/>
    <w:rsid w:val="00407F1E"/>
    <w:rsid w:val="004111A0"/>
    <w:rsid w:val="00412893"/>
    <w:rsid w:val="0041294F"/>
    <w:rsid w:val="00421D3F"/>
    <w:rsid w:val="00422A8E"/>
    <w:rsid w:val="0042434B"/>
    <w:rsid w:val="004244B1"/>
    <w:rsid w:val="00427E67"/>
    <w:rsid w:val="00431333"/>
    <w:rsid w:val="004329AD"/>
    <w:rsid w:val="00432B73"/>
    <w:rsid w:val="004335AC"/>
    <w:rsid w:val="004365BE"/>
    <w:rsid w:val="004366B0"/>
    <w:rsid w:val="0043776A"/>
    <w:rsid w:val="00447F7F"/>
    <w:rsid w:val="00453E18"/>
    <w:rsid w:val="00453F67"/>
    <w:rsid w:val="0045571D"/>
    <w:rsid w:val="004573AC"/>
    <w:rsid w:val="00457F77"/>
    <w:rsid w:val="00461802"/>
    <w:rsid w:val="0046247D"/>
    <w:rsid w:val="0046713A"/>
    <w:rsid w:val="004716A9"/>
    <w:rsid w:val="00472C08"/>
    <w:rsid w:val="00472E60"/>
    <w:rsid w:val="004747ED"/>
    <w:rsid w:val="00474F5F"/>
    <w:rsid w:val="004751E9"/>
    <w:rsid w:val="00477018"/>
    <w:rsid w:val="004805D9"/>
    <w:rsid w:val="00481C27"/>
    <w:rsid w:val="00483994"/>
    <w:rsid w:val="004865FB"/>
    <w:rsid w:val="004875CF"/>
    <w:rsid w:val="004921BD"/>
    <w:rsid w:val="0049475F"/>
    <w:rsid w:val="004961DB"/>
    <w:rsid w:val="004A1DAF"/>
    <w:rsid w:val="004A3341"/>
    <w:rsid w:val="004A4FC4"/>
    <w:rsid w:val="004A52D0"/>
    <w:rsid w:val="004B0AB6"/>
    <w:rsid w:val="004B0DF1"/>
    <w:rsid w:val="004B1ADA"/>
    <w:rsid w:val="004B506B"/>
    <w:rsid w:val="004C4E34"/>
    <w:rsid w:val="004C5DD3"/>
    <w:rsid w:val="004C6809"/>
    <w:rsid w:val="004D1084"/>
    <w:rsid w:val="004D1CBF"/>
    <w:rsid w:val="004D70F2"/>
    <w:rsid w:val="004E0260"/>
    <w:rsid w:val="004E1B3D"/>
    <w:rsid w:val="004E1DBE"/>
    <w:rsid w:val="004E49AB"/>
    <w:rsid w:val="004E4DE2"/>
    <w:rsid w:val="004F27B8"/>
    <w:rsid w:val="004F37B5"/>
    <w:rsid w:val="004F41BD"/>
    <w:rsid w:val="004F5E1A"/>
    <w:rsid w:val="0050274B"/>
    <w:rsid w:val="005135B6"/>
    <w:rsid w:val="00515955"/>
    <w:rsid w:val="0052041A"/>
    <w:rsid w:val="005217F8"/>
    <w:rsid w:val="00522A69"/>
    <w:rsid w:val="00522F3B"/>
    <w:rsid w:val="00526844"/>
    <w:rsid w:val="0053018A"/>
    <w:rsid w:val="00531AF6"/>
    <w:rsid w:val="00536236"/>
    <w:rsid w:val="005379B0"/>
    <w:rsid w:val="00537FE3"/>
    <w:rsid w:val="0054133B"/>
    <w:rsid w:val="00543D61"/>
    <w:rsid w:val="00545443"/>
    <w:rsid w:val="00553269"/>
    <w:rsid w:val="005537BA"/>
    <w:rsid w:val="00555D43"/>
    <w:rsid w:val="005560A7"/>
    <w:rsid w:val="0055783C"/>
    <w:rsid w:val="00557AE7"/>
    <w:rsid w:val="00557BB9"/>
    <w:rsid w:val="00561351"/>
    <w:rsid w:val="0056683A"/>
    <w:rsid w:val="00567B67"/>
    <w:rsid w:val="00576F86"/>
    <w:rsid w:val="00577428"/>
    <w:rsid w:val="005800A1"/>
    <w:rsid w:val="00580DF8"/>
    <w:rsid w:val="005860F5"/>
    <w:rsid w:val="005870EC"/>
    <w:rsid w:val="00592C6F"/>
    <w:rsid w:val="005A097E"/>
    <w:rsid w:val="005A1F83"/>
    <w:rsid w:val="005A3B3E"/>
    <w:rsid w:val="005A3E44"/>
    <w:rsid w:val="005A3F80"/>
    <w:rsid w:val="005A654C"/>
    <w:rsid w:val="005A7AD4"/>
    <w:rsid w:val="005B076E"/>
    <w:rsid w:val="005B165B"/>
    <w:rsid w:val="005B16BC"/>
    <w:rsid w:val="005B3FE1"/>
    <w:rsid w:val="005B53CB"/>
    <w:rsid w:val="005B5825"/>
    <w:rsid w:val="005B774C"/>
    <w:rsid w:val="005C3C6A"/>
    <w:rsid w:val="005C5859"/>
    <w:rsid w:val="005C5947"/>
    <w:rsid w:val="005D31F4"/>
    <w:rsid w:val="005D45FF"/>
    <w:rsid w:val="005D75D5"/>
    <w:rsid w:val="005D7BC1"/>
    <w:rsid w:val="005E0E61"/>
    <w:rsid w:val="005E1294"/>
    <w:rsid w:val="005E2B1F"/>
    <w:rsid w:val="005E3002"/>
    <w:rsid w:val="005E33B5"/>
    <w:rsid w:val="005E57DF"/>
    <w:rsid w:val="005F52A3"/>
    <w:rsid w:val="005F5D96"/>
    <w:rsid w:val="005F72CA"/>
    <w:rsid w:val="005F787A"/>
    <w:rsid w:val="00602201"/>
    <w:rsid w:val="00602A3E"/>
    <w:rsid w:val="00602B3E"/>
    <w:rsid w:val="00611EB7"/>
    <w:rsid w:val="00614C1B"/>
    <w:rsid w:val="006157C0"/>
    <w:rsid w:val="00621946"/>
    <w:rsid w:val="00623CAC"/>
    <w:rsid w:val="00624C13"/>
    <w:rsid w:val="00632F29"/>
    <w:rsid w:val="00633103"/>
    <w:rsid w:val="0063359D"/>
    <w:rsid w:val="00633D75"/>
    <w:rsid w:val="0063561F"/>
    <w:rsid w:val="00635CFA"/>
    <w:rsid w:val="00636A71"/>
    <w:rsid w:val="00637A8C"/>
    <w:rsid w:val="00637E9E"/>
    <w:rsid w:val="0064288F"/>
    <w:rsid w:val="006429AB"/>
    <w:rsid w:val="00643C11"/>
    <w:rsid w:val="00651807"/>
    <w:rsid w:val="006536ED"/>
    <w:rsid w:val="00653750"/>
    <w:rsid w:val="00653E43"/>
    <w:rsid w:val="006547F7"/>
    <w:rsid w:val="0065487C"/>
    <w:rsid w:val="006550A4"/>
    <w:rsid w:val="006558B7"/>
    <w:rsid w:val="00656AFC"/>
    <w:rsid w:val="00656BC2"/>
    <w:rsid w:val="00660648"/>
    <w:rsid w:val="00660AFA"/>
    <w:rsid w:val="006621C9"/>
    <w:rsid w:val="006649B6"/>
    <w:rsid w:val="00665F00"/>
    <w:rsid w:val="006701E5"/>
    <w:rsid w:val="00672803"/>
    <w:rsid w:val="00673649"/>
    <w:rsid w:val="00675E5B"/>
    <w:rsid w:val="00676D04"/>
    <w:rsid w:val="00677423"/>
    <w:rsid w:val="006776E6"/>
    <w:rsid w:val="00681E2B"/>
    <w:rsid w:val="006852B9"/>
    <w:rsid w:val="00686681"/>
    <w:rsid w:val="00687F06"/>
    <w:rsid w:val="006917B1"/>
    <w:rsid w:val="00691FF7"/>
    <w:rsid w:val="0069241A"/>
    <w:rsid w:val="006942E3"/>
    <w:rsid w:val="00694DB6"/>
    <w:rsid w:val="006963ED"/>
    <w:rsid w:val="00696F52"/>
    <w:rsid w:val="006A2225"/>
    <w:rsid w:val="006A2B68"/>
    <w:rsid w:val="006A2EA8"/>
    <w:rsid w:val="006A48B3"/>
    <w:rsid w:val="006A59C6"/>
    <w:rsid w:val="006B2344"/>
    <w:rsid w:val="006B3788"/>
    <w:rsid w:val="006B48DC"/>
    <w:rsid w:val="006B6158"/>
    <w:rsid w:val="006B6C09"/>
    <w:rsid w:val="006C03F7"/>
    <w:rsid w:val="006C229A"/>
    <w:rsid w:val="006D2AFE"/>
    <w:rsid w:val="006D33A3"/>
    <w:rsid w:val="006D34F4"/>
    <w:rsid w:val="006D5BB9"/>
    <w:rsid w:val="006E05FC"/>
    <w:rsid w:val="006E0775"/>
    <w:rsid w:val="006E5B08"/>
    <w:rsid w:val="006E68FA"/>
    <w:rsid w:val="006E6E40"/>
    <w:rsid w:val="006F1026"/>
    <w:rsid w:val="006F1171"/>
    <w:rsid w:val="006F1761"/>
    <w:rsid w:val="006F36E0"/>
    <w:rsid w:val="006F3B7A"/>
    <w:rsid w:val="006F4494"/>
    <w:rsid w:val="006F4737"/>
    <w:rsid w:val="006F516E"/>
    <w:rsid w:val="006F56BE"/>
    <w:rsid w:val="006F5CB5"/>
    <w:rsid w:val="006F7D0B"/>
    <w:rsid w:val="00701FF6"/>
    <w:rsid w:val="007026B0"/>
    <w:rsid w:val="007036F3"/>
    <w:rsid w:val="00703811"/>
    <w:rsid w:val="00703AD8"/>
    <w:rsid w:val="0070413F"/>
    <w:rsid w:val="00710704"/>
    <w:rsid w:val="00713FDA"/>
    <w:rsid w:val="0071428E"/>
    <w:rsid w:val="00714434"/>
    <w:rsid w:val="00715CBD"/>
    <w:rsid w:val="0072231E"/>
    <w:rsid w:val="007252F1"/>
    <w:rsid w:val="00725D8A"/>
    <w:rsid w:val="00731C2A"/>
    <w:rsid w:val="00731E01"/>
    <w:rsid w:val="00732080"/>
    <w:rsid w:val="00732733"/>
    <w:rsid w:val="007340D4"/>
    <w:rsid w:val="00734C28"/>
    <w:rsid w:val="00736B9B"/>
    <w:rsid w:val="0073714D"/>
    <w:rsid w:val="00741807"/>
    <w:rsid w:val="0074204F"/>
    <w:rsid w:val="00743110"/>
    <w:rsid w:val="007459A5"/>
    <w:rsid w:val="00746243"/>
    <w:rsid w:val="00747285"/>
    <w:rsid w:val="00753299"/>
    <w:rsid w:val="00754A2E"/>
    <w:rsid w:val="00754F9C"/>
    <w:rsid w:val="00755318"/>
    <w:rsid w:val="00755D50"/>
    <w:rsid w:val="00757161"/>
    <w:rsid w:val="00757AED"/>
    <w:rsid w:val="00757C1B"/>
    <w:rsid w:val="00763360"/>
    <w:rsid w:val="00764F99"/>
    <w:rsid w:val="00766D04"/>
    <w:rsid w:val="0077069F"/>
    <w:rsid w:val="007765A6"/>
    <w:rsid w:val="00777573"/>
    <w:rsid w:val="00781E96"/>
    <w:rsid w:val="007830A7"/>
    <w:rsid w:val="00783A33"/>
    <w:rsid w:val="007840D4"/>
    <w:rsid w:val="00784974"/>
    <w:rsid w:val="007852FD"/>
    <w:rsid w:val="007902F0"/>
    <w:rsid w:val="00791591"/>
    <w:rsid w:val="00793408"/>
    <w:rsid w:val="007934C1"/>
    <w:rsid w:val="00796CAB"/>
    <w:rsid w:val="00797FDF"/>
    <w:rsid w:val="007A1B2D"/>
    <w:rsid w:val="007A1CC7"/>
    <w:rsid w:val="007A303C"/>
    <w:rsid w:val="007A5148"/>
    <w:rsid w:val="007A5F21"/>
    <w:rsid w:val="007A625C"/>
    <w:rsid w:val="007B01CC"/>
    <w:rsid w:val="007B2CA8"/>
    <w:rsid w:val="007C0B14"/>
    <w:rsid w:val="007C12E6"/>
    <w:rsid w:val="007C3420"/>
    <w:rsid w:val="007C41AE"/>
    <w:rsid w:val="007C5628"/>
    <w:rsid w:val="007C7210"/>
    <w:rsid w:val="007C7942"/>
    <w:rsid w:val="007D0094"/>
    <w:rsid w:val="007D1592"/>
    <w:rsid w:val="007D28B4"/>
    <w:rsid w:val="007D2D99"/>
    <w:rsid w:val="007D668E"/>
    <w:rsid w:val="007D7ADA"/>
    <w:rsid w:val="007D7DF2"/>
    <w:rsid w:val="007E04AB"/>
    <w:rsid w:val="007E272C"/>
    <w:rsid w:val="007E2A2B"/>
    <w:rsid w:val="007E3AAF"/>
    <w:rsid w:val="007E5031"/>
    <w:rsid w:val="007E567A"/>
    <w:rsid w:val="007E7A00"/>
    <w:rsid w:val="007F0434"/>
    <w:rsid w:val="007F1021"/>
    <w:rsid w:val="007F2EB7"/>
    <w:rsid w:val="007F4749"/>
    <w:rsid w:val="007F5531"/>
    <w:rsid w:val="007F5B89"/>
    <w:rsid w:val="00800AE6"/>
    <w:rsid w:val="008022CD"/>
    <w:rsid w:val="00802DF9"/>
    <w:rsid w:val="00803FC0"/>
    <w:rsid w:val="008055ED"/>
    <w:rsid w:val="0080572D"/>
    <w:rsid w:val="00805F53"/>
    <w:rsid w:val="00806B66"/>
    <w:rsid w:val="0080789C"/>
    <w:rsid w:val="00810634"/>
    <w:rsid w:val="00812439"/>
    <w:rsid w:val="00813130"/>
    <w:rsid w:val="0081553E"/>
    <w:rsid w:val="00816FDF"/>
    <w:rsid w:val="0082378F"/>
    <w:rsid w:val="0082750D"/>
    <w:rsid w:val="00830B3D"/>
    <w:rsid w:val="008326A3"/>
    <w:rsid w:val="008334CC"/>
    <w:rsid w:val="008348D3"/>
    <w:rsid w:val="00834999"/>
    <w:rsid w:val="00835879"/>
    <w:rsid w:val="00835DA3"/>
    <w:rsid w:val="00836B8C"/>
    <w:rsid w:val="00837B33"/>
    <w:rsid w:val="00840826"/>
    <w:rsid w:val="00841474"/>
    <w:rsid w:val="00841ED2"/>
    <w:rsid w:val="00843BB6"/>
    <w:rsid w:val="0084667C"/>
    <w:rsid w:val="00846DD4"/>
    <w:rsid w:val="008477E6"/>
    <w:rsid w:val="00847F87"/>
    <w:rsid w:val="00851B91"/>
    <w:rsid w:val="008529AC"/>
    <w:rsid w:val="00853064"/>
    <w:rsid w:val="00853BD7"/>
    <w:rsid w:val="0085402E"/>
    <w:rsid w:val="00856935"/>
    <w:rsid w:val="0085756F"/>
    <w:rsid w:val="0085786C"/>
    <w:rsid w:val="00857968"/>
    <w:rsid w:val="008610A1"/>
    <w:rsid w:val="0086254D"/>
    <w:rsid w:val="0086460E"/>
    <w:rsid w:val="008650C5"/>
    <w:rsid w:val="008651FD"/>
    <w:rsid w:val="00870C69"/>
    <w:rsid w:val="00870E5D"/>
    <w:rsid w:val="008722D8"/>
    <w:rsid w:val="00872874"/>
    <w:rsid w:val="00872A15"/>
    <w:rsid w:val="00872F83"/>
    <w:rsid w:val="00873FCB"/>
    <w:rsid w:val="0087584C"/>
    <w:rsid w:val="00876B83"/>
    <w:rsid w:val="00876E82"/>
    <w:rsid w:val="008823AC"/>
    <w:rsid w:val="008825F3"/>
    <w:rsid w:val="008842CF"/>
    <w:rsid w:val="00884DD7"/>
    <w:rsid w:val="00885697"/>
    <w:rsid w:val="00886E79"/>
    <w:rsid w:val="00887202"/>
    <w:rsid w:val="00891C7A"/>
    <w:rsid w:val="00891F43"/>
    <w:rsid w:val="00892611"/>
    <w:rsid w:val="008949C6"/>
    <w:rsid w:val="00897CA1"/>
    <w:rsid w:val="008A0959"/>
    <w:rsid w:val="008A5716"/>
    <w:rsid w:val="008A5878"/>
    <w:rsid w:val="008A7689"/>
    <w:rsid w:val="008B19C8"/>
    <w:rsid w:val="008B2331"/>
    <w:rsid w:val="008B3734"/>
    <w:rsid w:val="008B4D13"/>
    <w:rsid w:val="008B7472"/>
    <w:rsid w:val="008C6FC8"/>
    <w:rsid w:val="008D371A"/>
    <w:rsid w:val="008D40D4"/>
    <w:rsid w:val="008D5E91"/>
    <w:rsid w:val="008E501A"/>
    <w:rsid w:val="008E596B"/>
    <w:rsid w:val="008E5BA4"/>
    <w:rsid w:val="008E756A"/>
    <w:rsid w:val="008F0D68"/>
    <w:rsid w:val="008F56E2"/>
    <w:rsid w:val="008F5E7A"/>
    <w:rsid w:val="008F6DE2"/>
    <w:rsid w:val="00902555"/>
    <w:rsid w:val="009043F9"/>
    <w:rsid w:val="00906A90"/>
    <w:rsid w:val="0090788D"/>
    <w:rsid w:val="00907A6E"/>
    <w:rsid w:val="00910E94"/>
    <w:rsid w:val="00914712"/>
    <w:rsid w:val="009149BC"/>
    <w:rsid w:val="00920578"/>
    <w:rsid w:val="0092148A"/>
    <w:rsid w:val="009228F6"/>
    <w:rsid w:val="00926C8B"/>
    <w:rsid w:val="00934A78"/>
    <w:rsid w:val="00935D2D"/>
    <w:rsid w:val="0093650D"/>
    <w:rsid w:val="00940159"/>
    <w:rsid w:val="00940610"/>
    <w:rsid w:val="00941C5B"/>
    <w:rsid w:val="0094223A"/>
    <w:rsid w:val="009524E4"/>
    <w:rsid w:val="009529E6"/>
    <w:rsid w:val="009545EB"/>
    <w:rsid w:val="00954D46"/>
    <w:rsid w:val="0095691A"/>
    <w:rsid w:val="009578AA"/>
    <w:rsid w:val="00961499"/>
    <w:rsid w:val="00962082"/>
    <w:rsid w:val="00962C81"/>
    <w:rsid w:val="009635E9"/>
    <w:rsid w:val="00963754"/>
    <w:rsid w:val="00970DE0"/>
    <w:rsid w:val="00971410"/>
    <w:rsid w:val="0097160C"/>
    <w:rsid w:val="009723D3"/>
    <w:rsid w:val="00976989"/>
    <w:rsid w:val="0098236F"/>
    <w:rsid w:val="00983601"/>
    <w:rsid w:val="00983D0E"/>
    <w:rsid w:val="00985C36"/>
    <w:rsid w:val="00986BB8"/>
    <w:rsid w:val="00990CCC"/>
    <w:rsid w:val="00991C8C"/>
    <w:rsid w:val="009925A8"/>
    <w:rsid w:val="00992F23"/>
    <w:rsid w:val="0099524F"/>
    <w:rsid w:val="00996F38"/>
    <w:rsid w:val="009A1CE3"/>
    <w:rsid w:val="009A36F9"/>
    <w:rsid w:val="009A4054"/>
    <w:rsid w:val="009A54E1"/>
    <w:rsid w:val="009A5B02"/>
    <w:rsid w:val="009A6CA4"/>
    <w:rsid w:val="009B3A87"/>
    <w:rsid w:val="009B4156"/>
    <w:rsid w:val="009B5887"/>
    <w:rsid w:val="009B67ED"/>
    <w:rsid w:val="009B6C42"/>
    <w:rsid w:val="009B7437"/>
    <w:rsid w:val="009C463B"/>
    <w:rsid w:val="009C75DE"/>
    <w:rsid w:val="009C7721"/>
    <w:rsid w:val="009D013F"/>
    <w:rsid w:val="009D0406"/>
    <w:rsid w:val="009D1557"/>
    <w:rsid w:val="009D5CD3"/>
    <w:rsid w:val="009E0836"/>
    <w:rsid w:val="009E51AF"/>
    <w:rsid w:val="009F043B"/>
    <w:rsid w:val="009F04CB"/>
    <w:rsid w:val="009F1304"/>
    <w:rsid w:val="009F51EC"/>
    <w:rsid w:val="009F668E"/>
    <w:rsid w:val="00A003F4"/>
    <w:rsid w:val="00A01FB0"/>
    <w:rsid w:val="00A037B5"/>
    <w:rsid w:val="00A0770A"/>
    <w:rsid w:val="00A07721"/>
    <w:rsid w:val="00A109E8"/>
    <w:rsid w:val="00A2563F"/>
    <w:rsid w:val="00A30976"/>
    <w:rsid w:val="00A32FC7"/>
    <w:rsid w:val="00A33BFA"/>
    <w:rsid w:val="00A341ED"/>
    <w:rsid w:val="00A34D9A"/>
    <w:rsid w:val="00A41133"/>
    <w:rsid w:val="00A41A5A"/>
    <w:rsid w:val="00A44B32"/>
    <w:rsid w:val="00A456E7"/>
    <w:rsid w:val="00A45BB3"/>
    <w:rsid w:val="00A46B01"/>
    <w:rsid w:val="00A472D8"/>
    <w:rsid w:val="00A47F5D"/>
    <w:rsid w:val="00A52BC3"/>
    <w:rsid w:val="00A53235"/>
    <w:rsid w:val="00A547A3"/>
    <w:rsid w:val="00A56768"/>
    <w:rsid w:val="00A56B9A"/>
    <w:rsid w:val="00A57C1F"/>
    <w:rsid w:val="00A61D9C"/>
    <w:rsid w:val="00A634D9"/>
    <w:rsid w:val="00A641EC"/>
    <w:rsid w:val="00A64407"/>
    <w:rsid w:val="00A71ABD"/>
    <w:rsid w:val="00A71B22"/>
    <w:rsid w:val="00A72077"/>
    <w:rsid w:val="00A77157"/>
    <w:rsid w:val="00A80C4A"/>
    <w:rsid w:val="00A80F52"/>
    <w:rsid w:val="00A81D49"/>
    <w:rsid w:val="00A827F8"/>
    <w:rsid w:val="00A83441"/>
    <w:rsid w:val="00A84E3D"/>
    <w:rsid w:val="00A86228"/>
    <w:rsid w:val="00A87DC9"/>
    <w:rsid w:val="00A905EF"/>
    <w:rsid w:val="00A90F91"/>
    <w:rsid w:val="00A96BF0"/>
    <w:rsid w:val="00AA0385"/>
    <w:rsid w:val="00AA1E1B"/>
    <w:rsid w:val="00AA2921"/>
    <w:rsid w:val="00AA5330"/>
    <w:rsid w:val="00AB0A8E"/>
    <w:rsid w:val="00AB39A9"/>
    <w:rsid w:val="00AC10E4"/>
    <w:rsid w:val="00AC4037"/>
    <w:rsid w:val="00AC6477"/>
    <w:rsid w:val="00AC74F8"/>
    <w:rsid w:val="00AD40CB"/>
    <w:rsid w:val="00AD4A2F"/>
    <w:rsid w:val="00AD5369"/>
    <w:rsid w:val="00AD6759"/>
    <w:rsid w:val="00AD7792"/>
    <w:rsid w:val="00AE128C"/>
    <w:rsid w:val="00AE19CB"/>
    <w:rsid w:val="00AE3A50"/>
    <w:rsid w:val="00AE4AFE"/>
    <w:rsid w:val="00AE7651"/>
    <w:rsid w:val="00AF0117"/>
    <w:rsid w:val="00AF0D77"/>
    <w:rsid w:val="00AF3C7F"/>
    <w:rsid w:val="00AF3E94"/>
    <w:rsid w:val="00B00333"/>
    <w:rsid w:val="00B02153"/>
    <w:rsid w:val="00B1021D"/>
    <w:rsid w:val="00B1047B"/>
    <w:rsid w:val="00B10779"/>
    <w:rsid w:val="00B11DDC"/>
    <w:rsid w:val="00B11F80"/>
    <w:rsid w:val="00B14F02"/>
    <w:rsid w:val="00B179B3"/>
    <w:rsid w:val="00B222A0"/>
    <w:rsid w:val="00B24982"/>
    <w:rsid w:val="00B30183"/>
    <w:rsid w:val="00B325B1"/>
    <w:rsid w:val="00B33C2F"/>
    <w:rsid w:val="00B34038"/>
    <w:rsid w:val="00B351F9"/>
    <w:rsid w:val="00B36375"/>
    <w:rsid w:val="00B371F9"/>
    <w:rsid w:val="00B422C3"/>
    <w:rsid w:val="00B45022"/>
    <w:rsid w:val="00B45106"/>
    <w:rsid w:val="00B51985"/>
    <w:rsid w:val="00B52218"/>
    <w:rsid w:val="00B537FC"/>
    <w:rsid w:val="00B5391D"/>
    <w:rsid w:val="00B56FB2"/>
    <w:rsid w:val="00B64D52"/>
    <w:rsid w:val="00B6525A"/>
    <w:rsid w:val="00B66307"/>
    <w:rsid w:val="00B70779"/>
    <w:rsid w:val="00B710F9"/>
    <w:rsid w:val="00B72A5D"/>
    <w:rsid w:val="00B7393D"/>
    <w:rsid w:val="00B73AAC"/>
    <w:rsid w:val="00B740B1"/>
    <w:rsid w:val="00B751E1"/>
    <w:rsid w:val="00B8040B"/>
    <w:rsid w:val="00B8194C"/>
    <w:rsid w:val="00B81E0A"/>
    <w:rsid w:val="00B82F04"/>
    <w:rsid w:val="00B84F4A"/>
    <w:rsid w:val="00B8531A"/>
    <w:rsid w:val="00B8676F"/>
    <w:rsid w:val="00B86C79"/>
    <w:rsid w:val="00B873D3"/>
    <w:rsid w:val="00B87458"/>
    <w:rsid w:val="00B8758C"/>
    <w:rsid w:val="00B87A2E"/>
    <w:rsid w:val="00B90AF7"/>
    <w:rsid w:val="00B9196B"/>
    <w:rsid w:val="00B91EA7"/>
    <w:rsid w:val="00B92EE4"/>
    <w:rsid w:val="00B93D79"/>
    <w:rsid w:val="00B93F3F"/>
    <w:rsid w:val="00B944B9"/>
    <w:rsid w:val="00B94C85"/>
    <w:rsid w:val="00B96AA5"/>
    <w:rsid w:val="00BA10DE"/>
    <w:rsid w:val="00BB11D6"/>
    <w:rsid w:val="00BB1729"/>
    <w:rsid w:val="00BB32FA"/>
    <w:rsid w:val="00BB4236"/>
    <w:rsid w:val="00BB66E0"/>
    <w:rsid w:val="00BB7900"/>
    <w:rsid w:val="00BC2B75"/>
    <w:rsid w:val="00BC4459"/>
    <w:rsid w:val="00BC46E7"/>
    <w:rsid w:val="00BC51D4"/>
    <w:rsid w:val="00BC550F"/>
    <w:rsid w:val="00BC6F31"/>
    <w:rsid w:val="00BD2CCC"/>
    <w:rsid w:val="00BD3139"/>
    <w:rsid w:val="00BD56F5"/>
    <w:rsid w:val="00BD629C"/>
    <w:rsid w:val="00BE02E5"/>
    <w:rsid w:val="00BE578A"/>
    <w:rsid w:val="00BE7800"/>
    <w:rsid w:val="00BF1C81"/>
    <w:rsid w:val="00BF294A"/>
    <w:rsid w:val="00BF30EE"/>
    <w:rsid w:val="00BF3145"/>
    <w:rsid w:val="00BF3F64"/>
    <w:rsid w:val="00C00D3D"/>
    <w:rsid w:val="00C033DC"/>
    <w:rsid w:val="00C053BC"/>
    <w:rsid w:val="00C05614"/>
    <w:rsid w:val="00C05DD9"/>
    <w:rsid w:val="00C06B70"/>
    <w:rsid w:val="00C11F64"/>
    <w:rsid w:val="00C13B34"/>
    <w:rsid w:val="00C1406C"/>
    <w:rsid w:val="00C14D45"/>
    <w:rsid w:val="00C162DA"/>
    <w:rsid w:val="00C16B04"/>
    <w:rsid w:val="00C17A9C"/>
    <w:rsid w:val="00C2021E"/>
    <w:rsid w:val="00C215B3"/>
    <w:rsid w:val="00C22552"/>
    <w:rsid w:val="00C231EE"/>
    <w:rsid w:val="00C23563"/>
    <w:rsid w:val="00C25BAD"/>
    <w:rsid w:val="00C26500"/>
    <w:rsid w:val="00C26C87"/>
    <w:rsid w:val="00C343A9"/>
    <w:rsid w:val="00C34B55"/>
    <w:rsid w:val="00C35E35"/>
    <w:rsid w:val="00C369B5"/>
    <w:rsid w:val="00C412DB"/>
    <w:rsid w:val="00C4335C"/>
    <w:rsid w:val="00C436EA"/>
    <w:rsid w:val="00C45935"/>
    <w:rsid w:val="00C52B9F"/>
    <w:rsid w:val="00C54B34"/>
    <w:rsid w:val="00C5756B"/>
    <w:rsid w:val="00C61644"/>
    <w:rsid w:val="00C616E1"/>
    <w:rsid w:val="00C63B95"/>
    <w:rsid w:val="00C64620"/>
    <w:rsid w:val="00C653B9"/>
    <w:rsid w:val="00C66CA7"/>
    <w:rsid w:val="00C67347"/>
    <w:rsid w:val="00C6744D"/>
    <w:rsid w:val="00C67959"/>
    <w:rsid w:val="00C70571"/>
    <w:rsid w:val="00C72F48"/>
    <w:rsid w:val="00C77271"/>
    <w:rsid w:val="00C77591"/>
    <w:rsid w:val="00C77DCC"/>
    <w:rsid w:val="00C80079"/>
    <w:rsid w:val="00C812F4"/>
    <w:rsid w:val="00C87275"/>
    <w:rsid w:val="00C90A25"/>
    <w:rsid w:val="00C911E9"/>
    <w:rsid w:val="00C91BCF"/>
    <w:rsid w:val="00C96739"/>
    <w:rsid w:val="00C974B6"/>
    <w:rsid w:val="00CA52CD"/>
    <w:rsid w:val="00CA6D8C"/>
    <w:rsid w:val="00CA724D"/>
    <w:rsid w:val="00CA7655"/>
    <w:rsid w:val="00CA7E8B"/>
    <w:rsid w:val="00CB1EB3"/>
    <w:rsid w:val="00CB314F"/>
    <w:rsid w:val="00CB4CEA"/>
    <w:rsid w:val="00CB5D27"/>
    <w:rsid w:val="00CC01C2"/>
    <w:rsid w:val="00CC17CB"/>
    <w:rsid w:val="00CC1B3A"/>
    <w:rsid w:val="00CC2C63"/>
    <w:rsid w:val="00CC7A1A"/>
    <w:rsid w:val="00CD1A4E"/>
    <w:rsid w:val="00CD21A3"/>
    <w:rsid w:val="00CD2FDA"/>
    <w:rsid w:val="00CD3111"/>
    <w:rsid w:val="00CD4CA6"/>
    <w:rsid w:val="00CD5AB3"/>
    <w:rsid w:val="00CD701C"/>
    <w:rsid w:val="00CE0519"/>
    <w:rsid w:val="00CE2FAA"/>
    <w:rsid w:val="00CE4BDA"/>
    <w:rsid w:val="00CE72C7"/>
    <w:rsid w:val="00CE7653"/>
    <w:rsid w:val="00CE7CC5"/>
    <w:rsid w:val="00CF02A0"/>
    <w:rsid w:val="00CF5C27"/>
    <w:rsid w:val="00CF7CD9"/>
    <w:rsid w:val="00D019B8"/>
    <w:rsid w:val="00D0419C"/>
    <w:rsid w:val="00D057C5"/>
    <w:rsid w:val="00D063C4"/>
    <w:rsid w:val="00D07B04"/>
    <w:rsid w:val="00D07DFE"/>
    <w:rsid w:val="00D1088C"/>
    <w:rsid w:val="00D129DC"/>
    <w:rsid w:val="00D174AB"/>
    <w:rsid w:val="00D24FFD"/>
    <w:rsid w:val="00D309B0"/>
    <w:rsid w:val="00D315EC"/>
    <w:rsid w:val="00D31AC1"/>
    <w:rsid w:val="00D3261C"/>
    <w:rsid w:val="00D3416E"/>
    <w:rsid w:val="00D366FE"/>
    <w:rsid w:val="00D369A5"/>
    <w:rsid w:val="00D36FDE"/>
    <w:rsid w:val="00D4149A"/>
    <w:rsid w:val="00D41948"/>
    <w:rsid w:val="00D419A8"/>
    <w:rsid w:val="00D41ECD"/>
    <w:rsid w:val="00D46D7C"/>
    <w:rsid w:val="00D46DF2"/>
    <w:rsid w:val="00D52D3E"/>
    <w:rsid w:val="00D535B2"/>
    <w:rsid w:val="00D53B40"/>
    <w:rsid w:val="00D55620"/>
    <w:rsid w:val="00D55CBF"/>
    <w:rsid w:val="00D56651"/>
    <w:rsid w:val="00D604A0"/>
    <w:rsid w:val="00D604FE"/>
    <w:rsid w:val="00D650ED"/>
    <w:rsid w:val="00D70E2C"/>
    <w:rsid w:val="00D727DE"/>
    <w:rsid w:val="00D749A4"/>
    <w:rsid w:val="00D774A7"/>
    <w:rsid w:val="00D90348"/>
    <w:rsid w:val="00D90737"/>
    <w:rsid w:val="00D9095E"/>
    <w:rsid w:val="00D910B8"/>
    <w:rsid w:val="00D95A79"/>
    <w:rsid w:val="00D9678B"/>
    <w:rsid w:val="00DB0A73"/>
    <w:rsid w:val="00DB0C93"/>
    <w:rsid w:val="00DB11DF"/>
    <w:rsid w:val="00DB2C6E"/>
    <w:rsid w:val="00DB3CA9"/>
    <w:rsid w:val="00DB4720"/>
    <w:rsid w:val="00DB53FC"/>
    <w:rsid w:val="00DB57D0"/>
    <w:rsid w:val="00DB7D8D"/>
    <w:rsid w:val="00DC0D2B"/>
    <w:rsid w:val="00DC0D4B"/>
    <w:rsid w:val="00DC1A1A"/>
    <w:rsid w:val="00DC3E7B"/>
    <w:rsid w:val="00DC5FDF"/>
    <w:rsid w:val="00DC6C50"/>
    <w:rsid w:val="00DC735F"/>
    <w:rsid w:val="00DD0897"/>
    <w:rsid w:val="00DD1AFC"/>
    <w:rsid w:val="00DD29F9"/>
    <w:rsid w:val="00DD3304"/>
    <w:rsid w:val="00DD6947"/>
    <w:rsid w:val="00DE0B9F"/>
    <w:rsid w:val="00DE1831"/>
    <w:rsid w:val="00DF3038"/>
    <w:rsid w:val="00DF4433"/>
    <w:rsid w:val="00DF5F8A"/>
    <w:rsid w:val="00DF60AF"/>
    <w:rsid w:val="00DF781F"/>
    <w:rsid w:val="00E0065F"/>
    <w:rsid w:val="00E010F4"/>
    <w:rsid w:val="00E01BB0"/>
    <w:rsid w:val="00E0742F"/>
    <w:rsid w:val="00E076C4"/>
    <w:rsid w:val="00E1408F"/>
    <w:rsid w:val="00E15B59"/>
    <w:rsid w:val="00E17DCE"/>
    <w:rsid w:val="00E21E6D"/>
    <w:rsid w:val="00E2368A"/>
    <w:rsid w:val="00E23E24"/>
    <w:rsid w:val="00E242DA"/>
    <w:rsid w:val="00E24E7D"/>
    <w:rsid w:val="00E25DF0"/>
    <w:rsid w:val="00E3318E"/>
    <w:rsid w:val="00E34E10"/>
    <w:rsid w:val="00E36EE5"/>
    <w:rsid w:val="00E37AD9"/>
    <w:rsid w:val="00E42FB8"/>
    <w:rsid w:val="00E44089"/>
    <w:rsid w:val="00E45895"/>
    <w:rsid w:val="00E46B86"/>
    <w:rsid w:val="00E50132"/>
    <w:rsid w:val="00E504BD"/>
    <w:rsid w:val="00E51BB6"/>
    <w:rsid w:val="00E52FCC"/>
    <w:rsid w:val="00E538A3"/>
    <w:rsid w:val="00E57C43"/>
    <w:rsid w:val="00E609D4"/>
    <w:rsid w:val="00E614D6"/>
    <w:rsid w:val="00E624DD"/>
    <w:rsid w:val="00E62A1F"/>
    <w:rsid w:val="00E729F1"/>
    <w:rsid w:val="00E74AAB"/>
    <w:rsid w:val="00E765DE"/>
    <w:rsid w:val="00E76653"/>
    <w:rsid w:val="00E77645"/>
    <w:rsid w:val="00E81ABA"/>
    <w:rsid w:val="00E8267A"/>
    <w:rsid w:val="00E82B90"/>
    <w:rsid w:val="00E831AC"/>
    <w:rsid w:val="00E85205"/>
    <w:rsid w:val="00E86B85"/>
    <w:rsid w:val="00E8774F"/>
    <w:rsid w:val="00E90CF1"/>
    <w:rsid w:val="00E90DDB"/>
    <w:rsid w:val="00E91B88"/>
    <w:rsid w:val="00E91DEE"/>
    <w:rsid w:val="00E91FE5"/>
    <w:rsid w:val="00E92BBB"/>
    <w:rsid w:val="00E93337"/>
    <w:rsid w:val="00E94ACA"/>
    <w:rsid w:val="00E95040"/>
    <w:rsid w:val="00E95388"/>
    <w:rsid w:val="00E96002"/>
    <w:rsid w:val="00EA179E"/>
    <w:rsid w:val="00EA3238"/>
    <w:rsid w:val="00EB478A"/>
    <w:rsid w:val="00EB78C7"/>
    <w:rsid w:val="00EC43A9"/>
    <w:rsid w:val="00EC5C11"/>
    <w:rsid w:val="00EC636D"/>
    <w:rsid w:val="00EC7113"/>
    <w:rsid w:val="00ED02CD"/>
    <w:rsid w:val="00ED041D"/>
    <w:rsid w:val="00ED2606"/>
    <w:rsid w:val="00ED514A"/>
    <w:rsid w:val="00ED7DCC"/>
    <w:rsid w:val="00EE6C86"/>
    <w:rsid w:val="00EE7012"/>
    <w:rsid w:val="00EE75EB"/>
    <w:rsid w:val="00EF22AD"/>
    <w:rsid w:val="00EF5752"/>
    <w:rsid w:val="00EF7F51"/>
    <w:rsid w:val="00F02093"/>
    <w:rsid w:val="00F06211"/>
    <w:rsid w:val="00F06218"/>
    <w:rsid w:val="00F136E1"/>
    <w:rsid w:val="00F1413C"/>
    <w:rsid w:val="00F16A26"/>
    <w:rsid w:val="00F20CEE"/>
    <w:rsid w:val="00F23569"/>
    <w:rsid w:val="00F250FE"/>
    <w:rsid w:val="00F25398"/>
    <w:rsid w:val="00F266C3"/>
    <w:rsid w:val="00F31681"/>
    <w:rsid w:val="00F335FD"/>
    <w:rsid w:val="00F337FD"/>
    <w:rsid w:val="00F33DCC"/>
    <w:rsid w:val="00F37E81"/>
    <w:rsid w:val="00F40A5B"/>
    <w:rsid w:val="00F42143"/>
    <w:rsid w:val="00F428B9"/>
    <w:rsid w:val="00F43144"/>
    <w:rsid w:val="00F45225"/>
    <w:rsid w:val="00F453AF"/>
    <w:rsid w:val="00F5038E"/>
    <w:rsid w:val="00F50B50"/>
    <w:rsid w:val="00F50BC2"/>
    <w:rsid w:val="00F516CB"/>
    <w:rsid w:val="00F54E3B"/>
    <w:rsid w:val="00F60E11"/>
    <w:rsid w:val="00F64893"/>
    <w:rsid w:val="00F65724"/>
    <w:rsid w:val="00F660BA"/>
    <w:rsid w:val="00F66427"/>
    <w:rsid w:val="00F709F6"/>
    <w:rsid w:val="00F70F12"/>
    <w:rsid w:val="00F712E5"/>
    <w:rsid w:val="00F72BD2"/>
    <w:rsid w:val="00F72D02"/>
    <w:rsid w:val="00F73972"/>
    <w:rsid w:val="00F741B7"/>
    <w:rsid w:val="00F80A99"/>
    <w:rsid w:val="00F819F5"/>
    <w:rsid w:val="00F83D9D"/>
    <w:rsid w:val="00F8772F"/>
    <w:rsid w:val="00F87880"/>
    <w:rsid w:val="00F91C54"/>
    <w:rsid w:val="00F93AD3"/>
    <w:rsid w:val="00F93C4D"/>
    <w:rsid w:val="00F96C1C"/>
    <w:rsid w:val="00FA0DDA"/>
    <w:rsid w:val="00FA1050"/>
    <w:rsid w:val="00FA10EE"/>
    <w:rsid w:val="00FA39DE"/>
    <w:rsid w:val="00FA5FB5"/>
    <w:rsid w:val="00FB0924"/>
    <w:rsid w:val="00FB19E8"/>
    <w:rsid w:val="00FB1F60"/>
    <w:rsid w:val="00FB2C5F"/>
    <w:rsid w:val="00FB3967"/>
    <w:rsid w:val="00FB4C5F"/>
    <w:rsid w:val="00FB545C"/>
    <w:rsid w:val="00FB5C19"/>
    <w:rsid w:val="00FB61E8"/>
    <w:rsid w:val="00FB7BFF"/>
    <w:rsid w:val="00FC3764"/>
    <w:rsid w:val="00FC697E"/>
    <w:rsid w:val="00FC7F4A"/>
    <w:rsid w:val="00FD0839"/>
    <w:rsid w:val="00FD24FD"/>
    <w:rsid w:val="00FD25DC"/>
    <w:rsid w:val="00FD3E64"/>
    <w:rsid w:val="00FD4431"/>
    <w:rsid w:val="00FE2A0D"/>
    <w:rsid w:val="00FE48F3"/>
    <w:rsid w:val="00FE697B"/>
    <w:rsid w:val="00FF2029"/>
    <w:rsid w:val="00FF2FB6"/>
    <w:rsid w:val="00FF50C7"/>
    <w:rsid w:val="00FF5804"/>
    <w:rsid w:val="00FF7AF5"/>
    <w:rsid w:val="017DCC63"/>
    <w:rsid w:val="01CB278D"/>
    <w:rsid w:val="01E8F0E3"/>
    <w:rsid w:val="01F346C0"/>
    <w:rsid w:val="025FE56D"/>
    <w:rsid w:val="02CCE5F6"/>
    <w:rsid w:val="030BDC67"/>
    <w:rsid w:val="03275915"/>
    <w:rsid w:val="03605183"/>
    <w:rsid w:val="04165E20"/>
    <w:rsid w:val="0421D032"/>
    <w:rsid w:val="04FD79E7"/>
    <w:rsid w:val="054DC65E"/>
    <w:rsid w:val="0600B149"/>
    <w:rsid w:val="065AAC4D"/>
    <w:rsid w:val="06BA1A11"/>
    <w:rsid w:val="06BC6206"/>
    <w:rsid w:val="0715BC9C"/>
    <w:rsid w:val="07C2C191"/>
    <w:rsid w:val="0902E4DC"/>
    <w:rsid w:val="094BFF18"/>
    <w:rsid w:val="09A858AA"/>
    <w:rsid w:val="0AB4A11B"/>
    <w:rsid w:val="0B26FB2E"/>
    <w:rsid w:val="0C7A84D0"/>
    <w:rsid w:val="0C8BB578"/>
    <w:rsid w:val="0CFA26D7"/>
    <w:rsid w:val="0D627303"/>
    <w:rsid w:val="0DBEDFB4"/>
    <w:rsid w:val="0E563854"/>
    <w:rsid w:val="0E91DF7E"/>
    <w:rsid w:val="0EDF9EAA"/>
    <w:rsid w:val="0EE0B09E"/>
    <w:rsid w:val="0EF46087"/>
    <w:rsid w:val="0FDB6C52"/>
    <w:rsid w:val="102DAFDF"/>
    <w:rsid w:val="103120BC"/>
    <w:rsid w:val="10410A32"/>
    <w:rsid w:val="10AAB165"/>
    <w:rsid w:val="10C628F5"/>
    <w:rsid w:val="10E47998"/>
    <w:rsid w:val="11061AAC"/>
    <w:rsid w:val="110B6610"/>
    <w:rsid w:val="1112C6B6"/>
    <w:rsid w:val="1149F8AD"/>
    <w:rsid w:val="117227DA"/>
    <w:rsid w:val="11C445DE"/>
    <w:rsid w:val="11EEBAB2"/>
    <w:rsid w:val="1274CDEF"/>
    <w:rsid w:val="12A62EEE"/>
    <w:rsid w:val="138CF350"/>
    <w:rsid w:val="13EC3823"/>
    <w:rsid w:val="1431C163"/>
    <w:rsid w:val="14600753"/>
    <w:rsid w:val="149F05BD"/>
    <w:rsid w:val="1550109D"/>
    <w:rsid w:val="16235525"/>
    <w:rsid w:val="16684C14"/>
    <w:rsid w:val="16957C67"/>
    <w:rsid w:val="170117E4"/>
    <w:rsid w:val="1729B4B0"/>
    <w:rsid w:val="175F7B95"/>
    <w:rsid w:val="17BB53F8"/>
    <w:rsid w:val="18164099"/>
    <w:rsid w:val="181F9967"/>
    <w:rsid w:val="18249195"/>
    <w:rsid w:val="18711EC9"/>
    <w:rsid w:val="189AC49F"/>
    <w:rsid w:val="18A9F684"/>
    <w:rsid w:val="1903DC6E"/>
    <w:rsid w:val="191E657B"/>
    <w:rsid w:val="19629DB4"/>
    <w:rsid w:val="19B414B5"/>
    <w:rsid w:val="1A87DA8A"/>
    <w:rsid w:val="1AA17DB9"/>
    <w:rsid w:val="1AC05167"/>
    <w:rsid w:val="1AC240E2"/>
    <w:rsid w:val="1ACFCAB1"/>
    <w:rsid w:val="1AE29494"/>
    <w:rsid w:val="1B37D57E"/>
    <w:rsid w:val="1B613BC7"/>
    <w:rsid w:val="1B7073EB"/>
    <w:rsid w:val="1B7275F0"/>
    <w:rsid w:val="1B8376AD"/>
    <w:rsid w:val="1BBD3BFF"/>
    <w:rsid w:val="1C118DBB"/>
    <w:rsid w:val="1C94F2C1"/>
    <w:rsid w:val="1CC2C8AE"/>
    <w:rsid w:val="1CF6459B"/>
    <w:rsid w:val="1DA7FDAC"/>
    <w:rsid w:val="1DDB70C8"/>
    <w:rsid w:val="1E360ED7"/>
    <w:rsid w:val="1E83380A"/>
    <w:rsid w:val="1F5E8909"/>
    <w:rsid w:val="1F747EA2"/>
    <w:rsid w:val="1FE857F6"/>
    <w:rsid w:val="20082A21"/>
    <w:rsid w:val="219D8B6F"/>
    <w:rsid w:val="2206858C"/>
    <w:rsid w:val="223E3295"/>
    <w:rsid w:val="2297BD75"/>
    <w:rsid w:val="22C530AE"/>
    <w:rsid w:val="22CCA867"/>
    <w:rsid w:val="22E9927D"/>
    <w:rsid w:val="22EAD38A"/>
    <w:rsid w:val="22F93638"/>
    <w:rsid w:val="23325816"/>
    <w:rsid w:val="2383A6AF"/>
    <w:rsid w:val="238C761B"/>
    <w:rsid w:val="23C255C0"/>
    <w:rsid w:val="23C75AE1"/>
    <w:rsid w:val="244DF27F"/>
    <w:rsid w:val="2489D369"/>
    <w:rsid w:val="25172EA1"/>
    <w:rsid w:val="25481DA9"/>
    <w:rsid w:val="258A4844"/>
    <w:rsid w:val="25CF3F33"/>
    <w:rsid w:val="25D0FC39"/>
    <w:rsid w:val="25F667EA"/>
    <w:rsid w:val="2625D025"/>
    <w:rsid w:val="2793A44F"/>
    <w:rsid w:val="287C5A9F"/>
    <w:rsid w:val="28ECAC7E"/>
    <w:rsid w:val="29DE8C28"/>
    <w:rsid w:val="2A039550"/>
    <w:rsid w:val="2A0E780D"/>
    <w:rsid w:val="2A0F9415"/>
    <w:rsid w:val="2A257C2E"/>
    <w:rsid w:val="2A38A020"/>
    <w:rsid w:val="2A3E9DB8"/>
    <w:rsid w:val="2A4D54D2"/>
    <w:rsid w:val="2AB9F483"/>
    <w:rsid w:val="2B14A4C7"/>
    <w:rsid w:val="2B56D92F"/>
    <w:rsid w:val="2B85C17C"/>
    <w:rsid w:val="2BB0DD5B"/>
    <w:rsid w:val="2BD1764C"/>
    <w:rsid w:val="2C3BDD1E"/>
    <w:rsid w:val="2C6CEC54"/>
    <w:rsid w:val="2D33729A"/>
    <w:rsid w:val="2D660885"/>
    <w:rsid w:val="2DB6603C"/>
    <w:rsid w:val="2DBC696F"/>
    <w:rsid w:val="2DCFCB8C"/>
    <w:rsid w:val="2E41D13F"/>
    <w:rsid w:val="2E791135"/>
    <w:rsid w:val="2EC52A66"/>
    <w:rsid w:val="2F15ED65"/>
    <w:rsid w:val="2F196BC3"/>
    <w:rsid w:val="2F19C508"/>
    <w:rsid w:val="2F36A663"/>
    <w:rsid w:val="2FF854A2"/>
    <w:rsid w:val="30202D7A"/>
    <w:rsid w:val="31246F2B"/>
    <w:rsid w:val="314122CF"/>
    <w:rsid w:val="316AAB06"/>
    <w:rsid w:val="316B2390"/>
    <w:rsid w:val="322B7C2A"/>
    <w:rsid w:val="32A5D5B0"/>
    <w:rsid w:val="32A61BDD"/>
    <w:rsid w:val="32D2A061"/>
    <w:rsid w:val="32FB020C"/>
    <w:rsid w:val="33269430"/>
    <w:rsid w:val="332F5DEC"/>
    <w:rsid w:val="33D35949"/>
    <w:rsid w:val="33F7D94B"/>
    <w:rsid w:val="34CB5014"/>
    <w:rsid w:val="34CE9F0A"/>
    <w:rsid w:val="35EF8725"/>
    <w:rsid w:val="3601BB71"/>
    <w:rsid w:val="3607ED01"/>
    <w:rsid w:val="3668A5CF"/>
    <w:rsid w:val="368AD865"/>
    <w:rsid w:val="36B78392"/>
    <w:rsid w:val="3795F1BA"/>
    <w:rsid w:val="37A358BB"/>
    <w:rsid w:val="38897744"/>
    <w:rsid w:val="3898EC44"/>
    <w:rsid w:val="389F314C"/>
    <w:rsid w:val="399A9380"/>
    <w:rsid w:val="39E7926E"/>
    <w:rsid w:val="3A68833B"/>
    <w:rsid w:val="3B074382"/>
    <w:rsid w:val="3B49D9A4"/>
    <w:rsid w:val="3B5E42FE"/>
    <w:rsid w:val="3BAD1A1D"/>
    <w:rsid w:val="3C1CCEDA"/>
    <w:rsid w:val="3CE29A83"/>
    <w:rsid w:val="3D23D62E"/>
    <w:rsid w:val="3D26239C"/>
    <w:rsid w:val="3DC91B5C"/>
    <w:rsid w:val="3DFA2401"/>
    <w:rsid w:val="3E41546B"/>
    <w:rsid w:val="3E864B5A"/>
    <w:rsid w:val="3EF8729C"/>
    <w:rsid w:val="3F44F16F"/>
    <w:rsid w:val="3F62E0B7"/>
    <w:rsid w:val="3F81D8A8"/>
    <w:rsid w:val="3FE2114F"/>
    <w:rsid w:val="40148C01"/>
    <w:rsid w:val="401710C5"/>
    <w:rsid w:val="40435A35"/>
    <w:rsid w:val="404A90FC"/>
    <w:rsid w:val="40D64E52"/>
    <w:rsid w:val="41194B3C"/>
    <w:rsid w:val="414A9FA8"/>
    <w:rsid w:val="41609719"/>
    <w:rsid w:val="41953EF0"/>
    <w:rsid w:val="41E36AAC"/>
    <w:rsid w:val="4217A167"/>
    <w:rsid w:val="429846EC"/>
    <w:rsid w:val="4345960C"/>
    <w:rsid w:val="44430059"/>
    <w:rsid w:val="44A86835"/>
    <w:rsid w:val="453A7000"/>
    <w:rsid w:val="45B30083"/>
    <w:rsid w:val="47ADB4AE"/>
    <w:rsid w:val="47C1604D"/>
    <w:rsid w:val="47E39A8A"/>
    <w:rsid w:val="4870BC77"/>
    <w:rsid w:val="488D8EAD"/>
    <w:rsid w:val="48DC911C"/>
    <w:rsid w:val="48E3630D"/>
    <w:rsid w:val="493A2624"/>
    <w:rsid w:val="49935E01"/>
    <w:rsid w:val="49AA927A"/>
    <w:rsid w:val="49B2CAFC"/>
    <w:rsid w:val="4A4E5008"/>
    <w:rsid w:val="4A57E5C5"/>
    <w:rsid w:val="4AA61565"/>
    <w:rsid w:val="4AD32F8D"/>
    <w:rsid w:val="4AE2462E"/>
    <w:rsid w:val="4BA817B5"/>
    <w:rsid w:val="4BFBD3CA"/>
    <w:rsid w:val="4C021817"/>
    <w:rsid w:val="4C8F87F6"/>
    <w:rsid w:val="4CBBBC2A"/>
    <w:rsid w:val="4CEC5E34"/>
    <w:rsid w:val="4D140F41"/>
    <w:rsid w:val="4D2DAA8D"/>
    <w:rsid w:val="4D362048"/>
    <w:rsid w:val="4D608E14"/>
    <w:rsid w:val="4D63509B"/>
    <w:rsid w:val="4DC00E26"/>
    <w:rsid w:val="4DFED5A7"/>
    <w:rsid w:val="4E415692"/>
    <w:rsid w:val="4E66BACE"/>
    <w:rsid w:val="4EEFE821"/>
    <w:rsid w:val="4F6480F1"/>
    <w:rsid w:val="4F8A2548"/>
    <w:rsid w:val="4F914D3A"/>
    <w:rsid w:val="4FE3AA19"/>
    <w:rsid w:val="508588A1"/>
    <w:rsid w:val="513DF6C3"/>
    <w:rsid w:val="5143FBE5"/>
    <w:rsid w:val="5173552D"/>
    <w:rsid w:val="51864FFC"/>
    <w:rsid w:val="51906E73"/>
    <w:rsid w:val="52443DEF"/>
    <w:rsid w:val="52AFC59F"/>
    <w:rsid w:val="532FE186"/>
    <w:rsid w:val="541E14D3"/>
    <w:rsid w:val="542921F1"/>
    <w:rsid w:val="543DD54F"/>
    <w:rsid w:val="544B1255"/>
    <w:rsid w:val="5480E69F"/>
    <w:rsid w:val="55A5A21D"/>
    <w:rsid w:val="55C0A3CA"/>
    <w:rsid w:val="55CC8AF4"/>
    <w:rsid w:val="56EF5D0C"/>
    <w:rsid w:val="5785A6B5"/>
    <w:rsid w:val="57B8AE94"/>
    <w:rsid w:val="57E3439E"/>
    <w:rsid w:val="57E72441"/>
    <w:rsid w:val="58AC9B13"/>
    <w:rsid w:val="59CF66BE"/>
    <w:rsid w:val="5A8C8D09"/>
    <w:rsid w:val="5ABCDB3F"/>
    <w:rsid w:val="5B3B3CAA"/>
    <w:rsid w:val="5BADE955"/>
    <w:rsid w:val="5BC41700"/>
    <w:rsid w:val="5BDDA6ED"/>
    <w:rsid w:val="5BE706A6"/>
    <w:rsid w:val="5BF409DA"/>
    <w:rsid w:val="5CDF7AA0"/>
    <w:rsid w:val="5CEACADD"/>
    <w:rsid w:val="5CF16145"/>
    <w:rsid w:val="5CF64DE0"/>
    <w:rsid w:val="5D1322D5"/>
    <w:rsid w:val="5D409091"/>
    <w:rsid w:val="5DCC9707"/>
    <w:rsid w:val="5DF1E2C2"/>
    <w:rsid w:val="5EA58FBA"/>
    <w:rsid w:val="5EDA17FA"/>
    <w:rsid w:val="5EFE4873"/>
    <w:rsid w:val="5F7E125E"/>
    <w:rsid w:val="5FD41461"/>
    <w:rsid w:val="607839A3"/>
    <w:rsid w:val="607DA056"/>
    <w:rsid w:val="60966D89"/>
    <w:rsid w:val="60AF95E6"/>
    <w:rsid w:val="60C36073"/>
    <w:rsid w:val="60F02E46"/>
    <w:rsid w:val="6146687D"/>
    <w:rsid w:val="61C09AC5"/>
    <w:rsid w:val="61E57661"/>
    <w:rsid w:val="623D419A"/>
    <w:rsid w:val="6267FFD5"/>
    <w:rsid w:val="62BCA68E"/>
    <w:rsid w:val="639A71A9"/>
    <w:rsid w:val="63BCC8DC"/>
    <w:rsid w:val="63CFAE4A"/>
    <w:rsid w:val="64124684"/>
    <w:rsid w:val="6561860D"/>
    <w:rsid w:val="65AE16E5"/>
    <w:rsid w:val="65DD2ED0"/>
    <w:rsid w:val="65F43F4F"/>
    <w:rsid w:val="6660ADD2"/>
    <w:rsid w:val="66A15F06"/>
    <w:rsid w:val="676A000F"/>
    <w:rsid w:val="68B91ECC"/>
    <w:rsid w:val="68D53BF2"/>
    <w:rsid w:val="6A0FC583"/>
    <w:rsid w:val="6AC9736A"/>
    <w:rsid w:val="6B2B3CF0"/>
    <w:rsid w:val="6BC4BE41"/>
    <w:rsid w:val="6C2E7452"/>
    <w:rsid w:val="6CAEA6ED"/>
    <w:rsid w:val="6D7412ED"/>
    <w:rsid w:val="6DE1972A"/>
    <w:rsid w:val="6EE336A6"/>
    <w:rsid w:val="6EFBBFA5"/>
    <w:rsid w:val="6EFF7B83"/>
    <w:rsid w:val="6FDFCCFD"/>
    <w:rsid w:val="70662548"/>
    <w:rsid w:val="70A5AC7A"/>
    <w:rsid w:val="7112242D"/>
    <w:rsid w:val="71CB6422"/>
    <w:rsid w:val="71FE0EC5"/>
    <w:rsid w:val="7271C8C9"/>
    <w:rsid w:val="72AF0437"/>
    <w:rsid w:val="7331B233"/>
    <w:rsid w:val="73433C80"/>
    <w:rsid w:val="7343665F"/>
    <w:rsid w:val="73771B85"/>
    <w:rsid w:val="7377B0A4"/>
    <w:rsid w:val="74AB48D2"/>
    <w:rsid w:val="74BADC7E"/>
    <w:rsid w:val="7521D292"/>
    <w:rsid w:val="75C5D9D9"/>
    <w:rsid w:val="7681F78D"/>
    <w:rsid w:val="76C9B103"/>
    <w:rsid w:val="76CC1C6A"/>
    <w:rsid w:val="77702ADA"/>
    <w:rsid w:val="7772421C"/>
    <w:rsid w:val="778CCB29"/>
    <w:rsid w:val="783AA5A6"/>
    <w:rsid w:val="79278B15"/>
    <w:rsid w:val="792F4817"/>
    <w:rsid w:val="795AACE0"/>
    <w:rsid w:val="79DEE4DA"/>
    <w:rsid w:val="79EC092D"/>
    <w:rsid w:val="7A685F88"/>
    <w:rsid w:val="7A95E7C6"/>
    <w:rsid w:val="7AE2C8FA"/>
    <w:rsid w:val="7B2CD5A2"/>
    <w:rsid w:val="7B7693E2"/>
    <w:rsid w:val="7BC4D62E"/>
    <w:rsid w:val="7BFD4D0B"/>
    <w:rsid w:val="7C7F31B8"/>
    <w:rsid w:val="7CACB087"/>
    <w:rsid w:val="7CF2636D"/>
    <w:rsid w:val="7CFF8B75"/>
    <w:rsid w:val="7D9535A9"/>
    <w:rsid w:val="7E15EAFD"/>
    <w:rsid w:val="7E4A1656"/>
    <w:rsid w:val="7EBBA8C4"/>
    <w:rsid w:val="7FA85C2C"/>
    <w:rsid w:val="7FF734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F42C7D"/>
  <w15:chartTrackingRefBased/>
  <w15:docId w15:val="{CA08B1CC-8BFC-4C13-9FD6-7940315CE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pt-BR"/>
    </w:rPr>
  </w:style>
  <w:style w:type="paragraph" w:styleId="berschrift1">
    <w:name w:val="heading 1"/>
    <w:basedOn w:val="Standard"/>
    <w:next w:val="Standard"/>
    <w:link w:val="berschrift1Zchn"/>
    <w:uiPriority w:val="9"/>
    <w:qFormat/>
    <w:rsid w:val="00235B5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B2C5F"/>
    <w:rPr>
      <w:color w:val="0563C1" w:themeColor="hyperlink"/>
      <w:u w:val="single"/>
    </w:rPr>
  </w:style>
  <w:style w:type="paragraph" w:styleId="Listenabsatz">
    <w:name w:val="List Paragraph"/>
    <w:basedOn w:val="Standard"/>
    <w:uiPriority w:val="34"/>
    <w:qFormat/>
    <w:rsid w:val="00FB2C5F"/>
    <w:pPr>
      <w:ind w:left="720"/>
      <w:contextualSpacing/>
    </w:pPr>
  </w:style>
  <w:style w:type="paragraph" w:styleId="KeinLeerraum">
    <w:name w:val="No Spacing"/>
    <w:uiPriority w:val="1"/>
    <w:qFormat/>
    <w:rsid w:val="00FB2C5F"/>
    <w:rPr>
      <w:lang w:val="pt-BR"/>
    </w:rPr>
  </w:style>
  <w:style w:type="character" w:styleId="Funotenzeichen">
    <w:name w:val="footnote reference"/>
    <w:aliases w:val="Texto de nota al pie,Appel note de bas de page,Footnotes refss,referencia nota al pie,Ref,de nota al pie,Footnote number,BVI fnr,f,4_G,16 Point,Superscript 6 Point,Texto nota al pie,Ref. de nota al pie 2,normal,Footnote Reference Cha"/>
    <w:basedOn w:val="Absatz-Standardschriftart"/>
    <w:uiPriority w:val="99"/>
    <w:unhideWhenUsed/>
    <w:qFormat/>
    <w:rsid w:val="00FB2C5F"/>
    <w:rPr>
      <w:vertAlign w:val="superscript"/>
    </w:rPr>
  </w:style>
  <w:style w:type="paragraph" w:styleId="Endnotentext">
    <w:name w:val="endnote text"/>
    <w:aliases w:val="en,2_G"/>
    <w:basedOn w:val="Standard"/>
    <w:link w:val="EndnotentextZchn"/>
    <w:unhideWhenUsed/>
    <w:qFormat/>
    <w:rsid w:val="00FB2C5F"/>
    <w:pPr>
      <w:spacing w:after="240"/>
    </w:pPr>
    <w:rPr>
      <w:rFonts w:ascii="Times New Roman" w:eastAsia="Calibri" w:hAnsi="Times New Roman" w:cs="Times New Roman"/>
      <w:sz w:val="20"/>
      <w:szCs w:val="20"/>
      <w:lang w:val="en-GB"/>
    </w:rPr>
  </w:style>
  <w:style w:type="character" w:customStyle="1" w:styleId="EndnotentextZchn">
    <w:name w:val="Endnotentext Zchn"/>
    <w:aliases w:val="en Zchn,2_G Zchn"/>
    <w:basedOn w:val="Absatz-Standardschriftart"/>
    <w:link w:val="Endnotentext"/>
    <w:rsid w:val="00FB2C5F"/>
    <w:rPr>
      <w:rFonts w:ascii="Times New Roman" w:eastAsia="Calibri" w:hAnsi="Times New Roman" w:cs="Times New Roman"/>
      <w:sz w:val="20"/>
      <w:szCs w:val="20"/>
      <w:lang w:val="en-GB"/>
    </w:rPr>
  </w:style>
  <w:style w:type="character" w:styleId="Endnotenzeichen">
    <w:name w:val="endnote reference"/>
    <w:aliases w:val="1_G"/>
    <w:uiPriority w:val="99"/>
    <w:unhideWhenUsed/>
    <w:qFormat/>
    <w:rsid w:val="00FB2C5F"/>
    <w:rPr>
      <w:vertAlign w:val="superscript"/>
    </w:rPr>
  </w:style>
  <w:style w:type="paragraph" w:customStyle="1" w:styleId="Lindas9">
    <w:name w:val="Lindas_9"/>
    <w:basedOn w:val="Standard"/>
    <w:next w:val="Textkrper"/>
    <w:rsid w:val="00C72F48"/>
    <w:pPr>
      <w:numPr>
        <w:ilvl w:val="8"/>
        <w:numId w:val="5"/>
      </w:numPr>
      <w:spacing w:before="240" w:after="240"/>
      <w:outlineLvl w:val="8"/>
    </w:pPr>
    <w:rPr>
      <w:rFonts w:ascii="Times New Roman" w:eastAsia="Times New Roman" w:hAnsi="Times New Roman" w:cs="Times New Roman"/>
      <w:lang w:val="en-GB"/>
    </w:rPr>
  </w:style>
  <w:style w:type="paragraph" w:customStyle="1" w:styleId="Lindas8">
    <w:name w:val="Lindas_8"/>
    <w:basedOn w:val="Standard"/>
    <w:next w:val="Textkrper"/>
    <w:rsid w:val="00C72F48"/>
    <w:pPr>
      <w:numPr>
        <w:ilvl w:val="7"/>
        <w:numId w:val="5"/>
      </w:numPr>
      <w:spacing w:before="240" w:after="240"/>
      <w:outlineLvl w:val="7"/>
    </w:pPr>
    <w:rPr>
      <w:rFonts w:ascii="Times New Roman" w:eastAsia="Times New Roman" w:hAnsi="Times New Roman" w:cs="Times New Roman"/>
      <w:lang w:val="en-GB"/>
    </w:rPr>
  </w:style>
  <w:style w:type="paragraph" w:customStyle="1" w:styleId="Lindas7">
    <w:name w:val="Lindas_7"/>
    <w:basedOn w:val="Standard"/>
    <w:next w:val="Textkrper"/>
    <w:rsid w:val="00C72F48"/>
    <w:pPr>
      <w:numPr>
        <w:ilvl w:val="6"/>
        <w:numId w:val="5"/>
      </w:numPr>
      <w:spacing w:before="240" w:after="240"/>
      <w:outlineLvl w:val="6"/>
    </w:pPr>
    <w:rPr>
      <w:rFonts w:ascii="Times New Roman" w:eastAsia="Times New Roman" w:hAnsi="Times New Roman" w:cs="Times New Roman"/>
      <w:lang w:val="en-GB"/>
    </w:rPr>
  </w:style>
  <w:style w:type="paragraph" w:customStyle="1" w:styleId="Lindas6">
    <w:name w:val="Lindas_6"/>
    <w:basedOn w:val="Standard"/>
    <w:next w:val="Textkrper"/>
    <w:rsid w:val="00C72F48"/>
    <w:pPr>
      <w:numPr>
        <w:ilvl w:val="5"/>
        <w:numId w:val="5"/>
      </w:numPr>
      <w:spacing w:before="240" w:after="240" w:line="360" w:lineRule="auto"/>
      <w:jc w:val="both"/>
      <w:outlineLvl w:val="5"/>
    </w:pPr>
    <w:rPr>
      <w:rFonts w:ascii="Times New Roman" w:eastAsia="Times New Roman" w:hAnsi="Times New Roman" w:cs="Times New Roman"/>
      <w:i/>
      <w:lang w:val="en-GB"/>
    </w:rPr>
  </w:style>
  <w:style w:type="paragraph" w:customStyle="1" w:styleId="Lindas5">
    <w:name w:val="Lindas_5"/>
    <w:basedOn w:val="Standard"/>
    <w:next w:val="Textkrper"/>
    <w:rsid w:val="00C72F48"/>
    <w:pPr>
      <w:numPr>
        <w:ilvl w:val="4"/>
        <w:numId w:val="5"/>
      </w:numPr>
      <w:spacing w:before="240" w:after="240" w:line="480" w:lineRule="auto"/>
      <w:jc w:val="both"/>
      <w:outlineLvl w:val="4"/>
    </w:pPr>
    <w:rPr>
      <w:rFonts w:ascii="Times New Roman" w:eastAsia="Times New Roman" w:hAnsi="Times New Roman" w:cs="Times New Roman"/>
      <w:lang w:val="en-GB"/>
    </w:rPr>
  </w:style>
  <w:style w:type="paragraph" w:customStyle="1" w:styleId="Lindas4">
    <w:name w:val="Lindas_4"/>
    <w:basedOn w:val="Standard"/>
    <w:next w:val="Textkrper"/>
    <w:rsid w:val="00C72F48"/>
    <w:pPr>
      <w:numPr>
        <w:ilvl w:val="3"/>
        <w:numId w:val="5"/>
      </w:numPr>
      <w:spacing w:before="240" w:after="240" w:line="480" w:lineRule="auto"/>
      <w:ind w:left="1440"/>
      <w:jc w:val="both"/>
      <w:outlineLvl w:val="3"/>
    </w:pPr>
    <w:rPr>
      <w:rFonts w:ascii="Times New Roman" w:eastAsia="Times New Roman" w:hAnsi="Times New Roman" w:cs="Times New Roman"/>
      <w:lang w:val="en-GB"/>
    </w:rPr>
  </w:style>
  <w:style w:type="paragraph" w:customStyle="1" w:styleId="Lindas3">
    <w:name w:val="Lindas_3"/>
    <w:basedOn w:val="Standard"/>
    <w:next w:val="Textkrper"/>
    <w:rsid w:val="00C72F48"/>
    <w:pPr>
      <w:numPr>
        <w:ilvl w:val="2"/>
        <w:numId w:val="5"/>
      </w:numPr>
      <w:spacing w:before="240" w:after="240" w:line="480" w:lineRule="auto"/>
      <w:jc w:val="both"/>
      <w:outlineLvl w:val="2"/>
    </w:pPr>
    <w:rPr>
      <w:rFonts w:ascii="Times New Roman" w:eastAsia="Times New Roman" w:hAnsi="Times New Roman" w:cs="Times New Roman"/>
      <w:lang w:val="en-GB"/>
    </w:rPr>
  </w:style>
  <w:style w:type="paragraph" w:customStyle="1" w:styleId="Lindas2">
    <w:name w:val="Lindas_2"/>
    <w:basedOn w:val="Standard"/>
    <w:next w:val="Textkrper"/>
    <w:rsid w:val="00C72F48"/>
    <w:pPr>
      <w:widowControl w:val="0"/>
      <w:numPr>
        <w:ilvl w:val="1"/>
        <w:numId w:val="5"/>
      </w:numPr>
      <w:spacing w:before="240" w:after="240" w:line="360" w:lineRule="auto"/>
      <w:jc w:val="both"/>
      <w:outlineLvl w:val="1"/>
    </w:pPr>
    <w:rPr>
      <w:rFonts w:ascii="Times New Roman Bold" w:eastAsia="Times New Roman" w:hAnsi="Times New Roman" w:cs="Times New Roman"/>
      <w:b/>
      <w:lang w:val="en-GB"/>
    </w:rPr>
  </w:style>
  <w:style w:type="paragraph" w:customStyle="1" w:styleId="Lindas1">
    <w:name w:val="Lindas_1"/>
    <w:basedOn w:val="Standard"/>
    <w:next w:val="Textkrper"/>
    <w:rsid w:val="00C72F48"/>
    <w:pPr>
      <w:keepNext/>
      <w:widowControl w:val="0"/>
      <w:numPr>
        <w:numId w:val="5"/>
      </w:numPr>
      <w:spacing w:before="240" w:after="240" w:line="360" w:lineRule="auto"/>
      <w:jc w:val="both"/>
      <w:outlineLvl w:val="0"/>
    </w:pPr>
    <w:rPr>
      <w:rFonts w:ascii="Times New Roman" w:eastAsia="Times New Roman" w:hAnsi="Times New Roman" w:cs="Times New Roman"/>
      <w:b/>
      <w:caps/>
      <w:lang w:val="en-GB"/>
    </w:rPr>
  </w:style>
  <w:style w:type="paragraph" w:styleId="Textkrper">
    <w:name w:val="Body Text"/>
    <w:basedOn w:val="Standard"/>
    <w:link w:val="TextkrperZchn"/>
    <w:uiPriority w:val="99"/>
    <w:semiHidden/>
    <w:unhideWhenUsed/>
    <w:rsid w:val="00C72F48"/>
    <w:pPr>
      <w:spacing w:after="120"/>
    </w:pPr>
  </w:style>
  <w:style w:type="character" w:customStyle="1" w:styleId="TextkrperZchn">
    <w:name w:val="Textkörper Zchn"/>
    <w:basedOn w:val="Absatz-Standardschriftart"/>
    <w:link w:val="Textkrper"/>
    <w:uiPriority w:val="99"/>
    <w:semiHidden/>
    <w:rsid w:val="00C72F48"/>
    <w:rPr>
      <w:lang w:val="pt-BR"/>
    </w:rPr>
  </w:style>
  <w:style w:type="paragraph" w:styleId="Funotentext">
    <w:name w:val="footnote text"/>
    <w:aliases w:val="FA Fu,Footnote Text Char Char Char Char Char,Footnote Text Char Char Char Char,Footnote reference,texto de nota al pie,Footnote Text Char Char Char,Footnote Text Cha,FA Fußnotentext,FA Fuﬂnotentext,Footnote Text Char Char,?notentext,Ca,no"/>
    <w:basedOn w:val="Standard"/>
    <w:link w:val="FunotentextZchn"/>
    <w:uiPriority w:val="99"/>
    <w:unhideWhenUsed/>
    <w:qFormat/>
    <w:rsid w:val="00C72F48"/>
    <w:rPr>
      <w:sz w:val="20"/>
      <w:szCs w:val="20"/>
    </w:rPr>
  </w:style>
  <w:style w:type="character" w:customStyle="1" w:styleId="FunotentextZchn">
    <w:name w:val="Fußnotentext Zchn"/>
    <w:aliases w:val="FA Fu Zchn,Footnote Text Char Char Char Char Char Zchn,Footnote Text Char Char Char Char Zchn,Footnote reference Zchn,texto de nota al pie Zchn,Footnote Text Char Char Char Zchn,Footnote Text Cha Zchn,FA Fußnotentext Zchn,Ca Zchn"/>
    <w:basedOn w:val="Absatz-Standardschriftart"/>
    <w:link w:val="Funotentext"/>
    <w:uiPriority w:val="99"/>
    <w:rsid w:val="00C72F48"/>
    <w:rPr>
      <w:sz w:val="20"/>
      <w:szCs w:val="20"/>
      <w:lang w:val="pt-BR"/>
    </w:rPr>
  </w:style>
  <w:style w:type="character" w:styleId="NichtaufgelsteErwhnung">
    <w:name w:val="Unresolved Mention"/>
    <w:basedOn w:val="Absatz-Standardschriftart"/>
    <w:uiPriority w:val="99"/>
    <w:unhideWhenUsed/>
    <w:rsid w:val="000D77A0"/>
    <w:rPr>
      <w:color w:val="605E5C"/>
      <w:shd w:val="clear" w:color="auto" w:fill="E1DFDD"/>
    </w:rPr>
  </w:style>
  <w:style w:type="paragraph" w:customStyle="1" w:styleId="Default">
    <w:name w:val="Default"/>
    <w:rsid w:val="0009655F"/>
    <w:pPr>
      <w:widowControl w:val="0"/>
      <w:autoSpaceDE w:val="0"/>
      <w:autoSpaceDN w:val="0"/>
      <w:adjustRightInd w:val="0"/>
    </w:pPr>
    <w:rPr>
      <w:rFonts w:ascii="Times New Roman" w:hAnsi="Times New Roman" w:cs="Times New Roman"/>
      <w:color w:val="000000"/>
    </w:rPr>
  </w:style>
  <w:style w:type="character" w:styleId="BesuchterLink">
    <w:name w:val="FollowedHyperlink"/>
    <w:basedOn w:val="Absatz-Standardschriftart"/>
    <w:uiPriority w:val="99"/>
    <w:semiHidden/>
    <w:unhideWhenUsed/>
    <w:rsid w:val="00CA7E8B"/>
    <w:rPr>
      <w:color w:val="954F72" w:themeColor="followedHyperlink"/>
      <w:u w:val="single"/>
    </w:rPr>
  </w:style>
  <w:style w:type="paragraph" w:styleId="Kopfzeile">
    <w:name w:val="header"/>
    <w:basedOn w:val="Standard"/>
    <w:link w:val="KopfzeileZchn"/>
    <w:uiPriority w:val="99"/>
    <w:unhideWhenUsed/>
    <w:rsid w:val="005B5825"/>
    <w:pPr>
      <w:tabs>
        <w:tab w:val="center" w:pos="4680"/>
        <w:tab w:val="right" w:pos="9360"/>
      </w:tabs>
    </w:pPr>
  </w:style>
  <w:style w:type="character" w:customStyle="1" w:styleId="KopfzeileZchn">
    <w:name w:val="Kopfzeile Zchn"/>
    <w:basedOn w:val="Absatz-Standardschriftart"/>
    <w:link w:val="Kopfzeile"/>
    <w:uiPriority w:val="99"/>
    <w:rsid w:val="005B5825"/>
    <w:rPr>
      <w:lang w:val="pt-BR"/>
    </w:rPr>
  </w:style>
  <w:style w:type="paragraph" w:styleId="Fuzeile">
    <w:name w:val="footer"/>
    <w:basedOn w:val="Standard"/>
    <w:link w:val="FuzeileZchn"/>
    <w:uiPriority w:val="99"/>
    <w:unhideWhenUsed/>
    <w:rsid w:val="005B5825"/>
    <w:pPr>
      <w:tabs>
        <w:tab w:val="center" w:pos="4680"/>
        <w:tab w:val="right" w:pos="9360"/>
      </w:tabs>
    </w:pPr>
  </w:style>
  <w:style w:type="character" w:customStyle="1" w:styleId="FuzeileZchn">
    <w:name w:val="Fußzeile Zchn"/>
    <w:basedOn w:val="Absatz-Standardschriftart"/>
    <w:link w:val="Fuzeile"/>
    <w:uiPriority w:val="99"/>
    <w:rsid w:val="005B5825"/>
    <w:rPr>
      <w:lang w:val="pt-BR"/>
    </w:rPr>
  </w:style>
  <w:style w:type="paragraph" w:styleId="Sprechblasentext">
    <w:name w:val="Balloon Text"/>
    <w:basedOn w:val="Standard"/>
    <w:link w:val="SprechblasentextZchn"/>
    <w:uiPriority w:val="99"/>
    <w:semiHidden/>
    <w:unhideWhenUsed/>
    <w:rsid w:val="005B582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B5825"/>
    <w:rPr>
      <w:rFonts w:ascii="Segoe UI" w:hAnsi="Segoe UI" w:cs="Segoe UI"/>
      <w:sz w:val="18"/>
      <w:szCs w:val="18"/>
      <w:lang w:val="pt-BR"/>
    </w:rPr>
  </w:style>
  <w:style w:type="character" w:styleId="Kommentarzeichen">
    <w:name w:val="annotation reference"/>
    <w:basedOn w:val="Absatz-Standardschriftart"/>
    <w:uiPriority w:val="99"/>
    <w:semiHidden/>
    <w:unhideWhenUsed/>
    <w:rsid w:val="0002517B"/>
    <w:rPr>
      <w:sz w:val="16"/>
      <w:szCs w:val="16"/>
    </w:rPr>
  </w:style>
  <w:style w:type="paragraph" w:styleId="Kommentartext">
    <w:name w:val="annotation text"/>
    <w:basedOn w:val="Standard"/>
    <w:link w:val="KommentartextZchn"/>
    <w:uiPriority w:val="99"/>
    <w:semiHidden/>
    <w:unhideWhenUsed/>
    <w:rsid w:val="0002517B"/>
    <w:rPr>
      <w:sz w:val="20"/>
      <w:szCs w:val="20"/>
    </w:rPr>
  </w:style>
  <w:style w:type="character" w:customStyle="1" w:styleId="KommentartextZchn">
    <w:name w:val="Kommentartext Zchn"/>
    <w:basedOn w:val="Absatz-Standardschriftart"/>
    <w:link w:val="Kommentartext"/>
    <w:uiPriority w:val="99"/>
    <w:semiHidden/>
    <w:rsid w:val="0002517B"/>
    <w:rPr>
      <w:sz w:val="20"/>
      <w:szCs w:val="20"/>
      <w:lang w:val="pt-BR"/>
    </w:rPr>
  </w:style>
  <w:style w:type="paragraph" w:styleId="Kommentarthema">
    <w:name w:val="annotation subject"/>
    <w:basedOn w:val="Kommentartext"/>
    <w:next w:val="Kommentartext"/>
    <w:link w:val="KommentarthemaZchn"/>
    <w:uiPriority w:val="99"/>
    <w:semiHidden/>
    <w:unhideWhenUsed/>
    <w:rsid w:val="0002517B"/>
    <w:rPr>
      <w:b/>
      <w:bCs/>
    </w:rPr>
  </w:style>
  <w:style w:type="character" w:customStyle="1" w:styleId="KommentarthemaZchn">
    <w:name w:val="Kommentarthema Zchn"/>
    <w:basedOn w:val="KommentartextZchn"/>
    <w:link w:val="Kommentarthema"/>
    <w:uiPriority w:val="99"/>
    <w:semiHidden/>
    <w:rsid w:val="0002517B"/>
    <w:rPr>
      <w:b/>
      <w:bCs/>
      <w:sz w:val="20"/>
      <w:szCs w:val="20"/>
      <w:lang w:val="pt-BR"/>
    </w:rPr>
  </w:style>
  <w:style w:type="paragraph" w:styleId="berarbeitung">
    <w:name w:val="Revision"/>
    <w:hidden/>
    <w:uiPriority w:val="99"/>
    <w:semiHidden/>
    <w:rsid w:val="00857968"/>
    <w:rPr>
      <w:lang w:val="pt-BR"/>
    </w:rPr>
  </w:style>
  <w:style w:type="paragraph" w:styleId="StandardWeb">
    <w:name w:val="Normal (Web)"/>
    <w:basedOn w:val="Standard"/>
    <w:uiPriority w:val="99"/>
    <w:unhideWhenUsed/>
    <w:rsid w:val="0077069F"/>
    <w:pPr>
      <w:spacing w:before="100" w:beforeAutospacing="1" w:after="100" w:afterAutospacing="1"/>
    </w:pPr>
    <w:rPr>
      <w:rFonts w:ascii="Times New Roman" w:eastAsia="Times New Roman" w:hAnsi="Times New Roman" w:cs="Times New Roman"/>
      <w:lang w:val="es-US" w:eastAsia="es-ES_tradnl"/>
    </w:rPr>
  </w:style>
  <w:style w:type="table" w:styleId="Tabellenraster">
    <w:name w:val="Table Grid"/>
    <w:basedOn w:val="NormaleTabelle"/>
    <w:uiPriority w:val="39"/>
    <w:rsid w:val="00783A3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line-238">
    <w:name w:val="contentline-238"/>
    <w:basedOn w:val="Absatz-Standardschriftart"/>
    <w:rsid w:val="00783A33"/>
  </w:style>
  <w:style w:type="character" w:styleId="Erwhnung">
    <w:name w:val="Mention"/>
    <w:basedOn w:val="Absatz-Standardschriftart"/>
    <w:uiPriority w:val="99"/>
    <w:unhideWhenUsed/>
    <w:rsid w:val="00675E5B"/>
    <w:rPr>
      <w:color w:val="2B579A"/>
      <w:shd w:val="clear" w:color="auto" w:fill="E1DFDD"/>
    </w:rPr>
  </w:style>
  <w:style w:type="paragraph" w:styleId="Aufzhlungszeichen">
    <w:name w:val="List Bullet"/>
    <w:basedOn w:val="Standard"/>
    <w:unhideWhenUsed/>
    <w:rsid w:val="007026B0"/>
    <w:pPr>
      <w:widowControl w:val="0"/>
      <w:numPr>
        <w:numId w:val="16"/>
      </w:numPr>
      <w:tabs>
        <w:tab w:val="left" w:pos="1440"/>
      </w:tabs>
      <w:spacing w:after="240"/>
      <w:ind w:left="1440" w:hanging="720"/>
      <w:jc w:val="both"/>
    </w:pPr>
    <w:rPr>
      <w:rFonts w:ascii="Times New Roman" w:hAnsi="Times New Roman" w:cs="Times New Roman"/>
      <w:lang w:val="en-US"/>
    </w:rPr>
  </w:style>
  <w:style w:type="character" w:customStyle="1" w:styleId="normaltextrun">
    <w:name w:val="normaltextrun"/>
    <w:basedOn w:val="Absatz-Standardschriftart"/>
    <w:rsid w:val="006D34F4"/>
  </w:style>
  <w:style w:type="character" w:customStyle="1" w:styleId="eop">
    <w:name w:val="eop"/>
    <w:basedOn w:val="Absatz-Standardschriftart"/>
    <w:rsid w:val="006D34F4"/>
  </w:style>
  <w:style w:type="character" w:customStyle="1" w:styleId="berschrift1Zchn">
    <w:name w:val="Überschrift 1 Zchn"/>
    <w:basedOn w:val="Absatz-Standardschriftart"/>
    <w:link w:val="berschrift1"/>
    <w:uiPriority w:val="9"/>
    <w:rsid w:val="00235B57"/>
    <w:rPr>
      <w:rFonts w:asciiTheme="majorHAnsi" w:eastAsiaTheme="majorEastAsia" w:hAnsiTheme="majorHAnsi" w:cstheme="majorBidi"/>
      <w:color w:val="2F5496" w:themeColor="accent1" w:themeShade="BF"/>
      <w:sz w:val="32"/>
      <w:szCs w:val="32"/>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2102">
      <w:bodyDiv w:val="1"/>
      <w:marLeft w:val="0"/>
      <w:marRight w:val="0"/>
      <w:marTop w:val="0"/>
      <w:marBottom w:val="0"/>
      <w:divBdr>
        <w:top w:val="none" w:sz="0" w:space="0" w:color="auto"/>
        <w:left w:val="none" w:sz="0" w:space="0" w:color="auto"/>
        <w:bottom w:val="none" w:sz="0" w:space="0" w:color="auto"/>
        <w:right w:val="none" w:sz="0" w:space="0" w:color="auto"/>
      </w:divBdr>
    </w:div>
    <w:div w:id="39209179">
      <w:bodyDiv w:val="1"/>
      <w:marLeft w:val="0"/>
      <w:marRight w:val="0"/>
      <w:marTop w:val="0"/>
      <w:marBottom w:val="0"/>
      <w:divBdr>
        <w:top w:val="none" w:sz="0" w:space="0" w:color="auto"/>
        <w:left w:val="none" w:sz="0" w:space="0" w:color="auto"/>
        <w:bottom w:val="none" w:sz="0" w:space="0" w:color="auto"/>
        <w:right w:val="none" w:sz="0" w:space="0" w:color="auto"/>
      </w:divBdr>
    </w:div>
    <w:div w:id="62921261">
      <w:bodyDiv w:val="1"/>
      <w:marLeft w:val="0"/>
      <w:marRight w:val="0"/>
      <w:marTop w:val="0"/>
      <w:marBottom w:val="0"/>
      <w:divBdr>
        <w:top w:val="none" w:sz="0" w:space="0" w:color="auto"/>
        <w:left w:val="none" w:sz="0" w:space="0" w:color="auto"/>
        <w:bottom w:val="none" w:sz="0" w:space="0" w:color="auto"/>
        <w:right w:val="none" w:sz="0" w:space="0" w:color="auto"/>
      </w:divBdr>
    </w:div>
    <w:div w:id="71975481">
      <w:bodyDiv w:val="1"/>
      <w:marLeft w:val="0"/>
      <w:marRight w:val="0"/>
      <w:marTop w:val="0"/>
      <w:marBottom w:val="0"/>
      <w:divBdr>
        <w:top w:val="none" w:sz="0" w:space="0" w:color="auto"/>
        <w:left w:val="none" w:sz="0" w:space="0" w:color="auto"/>
        <w:bottom w:val="none" w:sz="0" w:space="0" w:color="auto"/>
        <w:right w:val="none" w:sz="0" w:space="0" w:color="auto"/>
      </w:divBdr>
    </w:div>
    <w:div w:id="74712135">
      <w:bodyDiv w:val="1"/>
      <w:marLeft w:val="0"/>
      <w:marRight w:val="0"/>
      <w:marTop w:val="0"/>
      <w:marBottom w:val="0"/>
      <w:divBdr>
        <w:top w:val="none" w:sz="0" w:space="0" w:color="auto"/>
        <w:left w:val="none" w:sz="0" w:space="0" w:color="auto"/>
        <w:bottom w:val="none" w:sz="0" w:space="0" w:color="auto"/>
        <w:right w:val="none" w:sz="0" w:space="0" w:color="auto"/>
      </w:divBdr>
    </w:div>
    <w:div w:id="84502025">
      <w:bodyDiv w:val="1"/>
      <w:marLeft w:val="0"/>
      <w:marRight w:val="0"/>
      <w:marTop w:val="0"/>
      <w:marBottom w:val="0"/>
      <w:divBdr>
        <w:top w:val="none" w:sz="0" w:space="0" w:color="auto"/>
        <w:left w:val="none" w:sz="0" w:space="0" w:color="auto"/>
        <w:bottom w:val="none" w:sz="0" w:space="0" w:color="auto"/>
        <w:right w:val="none" w:sz="0" w:space="0" w:color="auto"/>
      </w:divBdr>
    </w:div>
    <w:div w:id="98379674">
      <w:bodyDiv w:val="1"/>
      <w:marLeft w:val="0"/>
      <w:marRight w:val="0"/>
      <w:marTop w:val="0"/>
      <w:marBottom w:val="0"/>
      <w:divBdr>
        <w:top w:val="none" w:sz="0" w:space="0" w:color="auto"/>
        <w:left w:val="none" w:sz="0" w:space="0" w:color="auto"/>
        <w:bottom w:val="none" w:sz="0" w:space="0" w:color="auto"/>
        <w:right w:val="none" w:sz="0" w:space="0" w:color="auto"/>
      </w:divBdr>
    </w:div>
    <w:div w:id="99691236">
      <w:bodyDiv w:val="1"/>
      <w:marLeft w:val="0"/>
      <w:marRight w:val="0"/>
      <w:marTop w:val="0"/>
      <w:marBottom w:val="0"/>
      <w:divBdr>
        <w:top w:val="none" w:sz="0" w:space="0" w:color="auto"/>
        <w:left w:val="none" w:sz="0" w:space="0" w:color="auto"/>
        <w:bottom w:val="none" w:sz="0" w:space="0" w:color="auto"/>
        <w:right w:val="none" w:sz="0" w:space="0" w:color="auto"/>
      </w:divBdr>
    </w:div>
    <w:div w:id="113137071">
      <w:bodyDiv w:val="1"/>
      <w:marLeft w:val="0"/>
      <w:marRight w:val="0"/>
      <w:marTop w:val="0"/>
      <w:marBottom w:val="0"/>
      <w:divBdr>
        <w:top w:val="none" w:sz="0" w:space="0" w:color="auto"/>
        <w:left w:val="none" w:sz="0" w:space="0" w:color="auto"/>
        <w:bottom w:val="none" w:sz="0" w:space="0" w:color="auto"/>
        <w:right w:val="none" w:sz="0" w:space="0" w:color="auto"/>
      </w:divBdr>
    </w:div>
    <w:div w:id="135222836">
      <w:bodyDiv w:val="1"/>
      <w:marLeft w:val="0"/>
      <w:marRight w:val="0"/>
      <w:marTop w:val="0"/>
      <w:marBottom w:val="0"/>
      <w:divBdr>
        <w:top w:val="none" w:sz="0" w:space="0" w:color="auto"/>
        <w:left w:val="none" w:sz="0" w:space="0" w:color="auto"/>
        <w:bottom w:val="none" w:sz="0" w:space="0" w:color="auto"/>
        <w:right w:val="none" w:sz="0" w:space="0" w:color="auto"/>
      </w:divBdr>
    </w:div>
    <w:div w:id="191189602">
      <w:bodyDiv w:val="1"/>
      <w:marLeft w:val="0"/>
      <w:marRight w:val="0"/>
      <w:marTop w:val="0"/>
      <w:marBottom w:val="0"/>
      <w:divBdr>
        <w:top w:val="none" w:sz="0" w:space="0" w:color="auto"/>
        <w:left w:val="none" w:sz="0" w:space="0" w:color="auto"/>
        <w:bottom w:val="none" w:sz="0" w:space="0" w:color="auto"/>
        <w:right w:val="none" w:sz="0" w:space="0" w:color="auto"/>
      </w:divBdr>
    </w:div>
    <w:div w:id="267927912">
      <w:bodyDiv w:val="1"/>
      <w:marLeft w:val="0"/>
      <w:marRight w:val="0"/>
      <w:marTop w:val="0"/>
      <w:marBottom w:val="0"/>
      <w:divBdr>
        <w:top w:val="none" w:sz="0" w:space="0" w:color="auto"/>
        <w:left w:val="none" w:sz="0" w:space="0" w:color="auto"/>
        <w:bottom w:val="none" w:sz="0" w:space="0" w:color="auto"/>
        <w:right w:val="none" w:sz="0" w:space="0" w:color="auto"/>
      </w:divBdr>
    </w:div>
    <w:div w:id="283580669">
      <w:bodyDiv w:val="1"/>
      <w:marLeft w:val="0"/>
      <w:marRight w:val="0"/>
      <w:marTop w:val="0"/>
      <w:marBottom w:val="0"/>
      <w:divBdr>
        <w:top w:val="none" w:sz="0" w:space="0" w:color="auto"/>
        <w:left w:val="none" w:sz="0" w:space="0" w:color="auto"/>
        <w:bottom w:val="none" w:sz="0" w:space="0" w:color="auto"/>
        <w:right w:val="none" w:sz="0" w:space="0" w:color="auto"/>
      </w:divBdr>
    </w:div>
    <w:div w:id="333804401">
      <w:bodyDiv w:val="1"/>
      <w:marLeft w:val="0"/>
      <w:marRight w:val="0"/>
      <w:marTop w:val="0"/>
      <w:marBottom w:val="0"/>
      <w:divBdr>
        <w:top w:val="none" w:sz="0" w:space="0" w:color="auto"/>
        <w:left w:val="none" w:sz="0" w:space="0" w:color="auto"/>
        <w:bottom w:val="none" w:sz="0" w:space="0" w:color="auto"/>
        <w:right w:val="none" w:sz="0" w:space="0" w:color="auto"/>
      </w:divBdr>
    </w:div>
    <w:div w:id="337004536">
      <w:bodyDiv w:val="1"/>
      <w:marLeft w:val="0"/>
      <w:marRight w:val="0"/>
      <w:marTop w:val="0"/>
      <w:marBottom w:val="0"/>
      <w:divBdr>
        <w:top w:val="none" w:sz="0" w:space="0" w:color="auto"/>
        <w:left w:val="none" w:sz="0" w:space="0" w:color="auto"/>
        <w:bottom w:val="none" w:sz="0" w:space="0" w:color="auto"/>
        <w:right w:val="none" w:sz="0" w:space="0" w:color="auto"/>
      </w:divBdr>
    </w:div>
    <w:div w:id="346758969">
      <w:bodyDiv w:val="1"/>
      <w:marLeft w:val="0"/>
      <w:marRight w:val="0"/>
      <w:marTop w:val="0"/>
      <w:marBottom w:val="0"/>
      <w:divBdr>
        <w:top w:val="none" w:sz="0" w:space="0" w:color="auto"/>
        <w:left w:val="none" w:sz="0" w:space="0" w:color="auto"/>
        <w:bottom w:val="none" w:sz="0" w:space="0" w:color="auto"/>
        <w:right w:val="none" w:sz="0" w:space="0" w:color="auto"/>
      </w:divBdr>
    </w:div>
    <w:div w:id="360933818">
      <w:bodyDiv w:val="1"/>
      <w:marLeft w:val="0"/>
      <w:marRight w:val="0"/>
      <w:marTop w:val="0"/>
      <w:marBottom w:val="0"/>
      <w:divBdr>
        <w:top w:val="none" w:sz="0" w:space="0" w:color="auto"/>
        <w:left w:val="none" w:sz="0" w:space="0" w:color="auto"/>
        <w:bottom w:val="none" w:sz="0" w:space="0" w:color="auto"/>
        <w:right w:val="none" w:sz="0" w:space="0" w:color="auto"/>
      </w:divBdr>
    </w:div>
    <w:div w:id="371463329">
      <w:bodyDiv w:val="1"/>
      <w:marLeft w:val="0"/>
      <w:marRight w:val="0"/>
      <w:marTop w:val="0"/>
      <w:marBottom w:val="0"/>
      <w:divBdr>
        <w:top w:val="none" w:sz="0" w:space="0" w:color="auto"/>
        <w:left w:val="none" w:sz="0" w:space="0" w:color="auto"/>
        <w:bottom w:val="none" w:sz="0" w:space="0" w:color="auto"/>
        <w:right w:val="none" w:sz="0" w:space="0" w:color="auto"/>
      </w:divBdr>
    </w:div>
    <w:div w:id="387456919">
      <w:bodyDiv w:val="1"/>
      <w:marLeft w:val="0"/>
      <w:marRight w:val="0"/>
      <w:marTop w:val="0"/>
      <w:marBottom w:val="0"/>
      <w:divBdr>
        <w:top w:val="none" w:sz="0" w:space="0" w:color="auto"/>
        <w:left w:val="none" w:sz="0" w:space="0" w:color="auto"/>
        <w:bottom w:val="none" w:sz="0" w:space="0" w:color="auto"/>
        <w:right w:val="none" w:sz="0" w:space="0" w:color="auto"/>
      </w:divBdr>
    </w:div>
    <w:div w:id="418603064">
      <w:bodyDiv w:val="1"/>
      <w:marLeft w:val="0"/>
      <w:marRight w:val="0"/>
      <w:marTop w:val="0"/>
      <w:marBottom w:val="0"/>
      <w:divBdr>
        <w:top w:val="none" w:sz="0" w:space="0" w:color="auto"/>
        <w:left w:val="none" w:sz="0" w:space="0" w:color="auto"/>
        <w:bottom w:val="none" w:sz="0" w:space="0" w:color="auto"/>
        <w:right w:val="none" w:sz="0" w:space="0" w:color="auto"/>
      </w:divBdr>
    </w:div>
    <w:div w:id="454561097">
      <w:bodyDiv w:val="1"/>
      <w:marLeft w:val="0"/>
      <w:marRight w:val="0"/>
      <w:marTop w:val="0"/>
      <w:marBottom w:val="0"/>
      <w:divBdr>
        <w:top w:val="none" w:sz="0" w:space="0" w:color="auto"/>
        <w:left w:val="none" w:sz="0" w:space="0" w:color="auto"/>
        <w:bottom w:val="none" w:sz="0" w:space="0" w:color="auto"/>
        <w:right w:val="none" w:sz="0" w:space="0" w:color="auto"/>
      </w:divBdr>
    </w:div>
    <w:div w:id="456530076">
      <w:bodyDiv w:val="1"/>
      <w:marLeft w:val="0"/>
      <w:marRight w:val="0"/>
      <w:marTop w:val="0"/>
      <w:marBottom w:val="0"/>
      <w:divBdr>
        <w:top w:val="none" w:sz="0" w:space="0" w:color="auto"/>
        <w:left w:val="none" w:sz="0" w:space="0" w:color="auto"/>
        <w:bottom w:val="none" w:sz="0" w:space="0" w:color="auto"/>
        <w:right w:val="none" w:sz="0" w:space="0" w:color="auto"/>
      </w:divBdr>
    </w:div>
    <w:div w:id="495222036">
      <w:bodyDiv w:val="1"/>
      <w:marLeft w:val="0"/>
      <w:marRight w:val="0"/>
      <w:marTop w:val="0"/>
      <w:marBottom w:val="0"/>
      <w:divBdr>
        <w:top w:val="none" w:sz="0" w:space="0" w:color="auto"/>
        <w:left w:val="none" w:sz="0" w:space="0" w:color="auto"/>
        <w:bottom w:val="none" w:sz="0" w:space="0" w:color="auto"/>
        <w:right w:val="none" w:sz="0" w:space="0" w:color="auto"/>
      </w:divBdr>
    </w:div>
    <w:div w:id="495996487">
      <w:bodyDiv w:val="1"/>
      <w:marLeft w:val="0"/>
      <w:marRight w:val="0"/>
      <w:marTop w:val="0"/>
      <w:marBottom w:val="0"/>
      <w:divBdr>
        <w:top w:val="none" w:sz="0" w:space="0" w:color="auto"/>
        <w:left w:val="none" w:sz="0" w:space="0" w:color="auto"/>
        <w:bottom w:val="none" w:sz="0" w:space="0" w:color="auto"/>
        <w:right w:val="none" w:sz="0" w:space="0" w:color="auto"/>
      </w:divBdr>
    </w:div>
    <w:div w:id="508179087">
      <w:bodyDiv w:val="1"/>
      <w:marLeft w:val="0"/>
      <w:marRight w:val="0"/>
      <w:marTop w:val="0"/>
      <w:marBottom w:val="0"/>
      <w:divBdr>
        <w:top w:val="none" w:sz="0" w:space="0" w:color="auto"/>
        <w:left w:val="none" w:sz="0" w:space="0" w:color="auto"/>
        <w:bottom w:val="none" w:sz="0" w:space="0" w:color="auto"/>
        <w:right w:val="none" w:sz="0" w:space="0" w:color="auto"/>
      </w:divBdr>
    </w:div>
    <w:div w:id="591469903">
      <w:bodyDiv w:val="1"/>
      <w:marLeft w:val="0"/>
      <w:marRight w:val="0"/>
      <w:marTop w:val="0"/>
      <w:marBottom w:val="0"/>
      <w:divBdr>
        <w:top w:val="none" w:sz="0" w:space="0" w:color="auto"/>
        <w:left w:val="none" w:sz="0" w:space="0" w:color="auto"/>
        <w:bottom w:val="none" w:sz="0" w:space="0" w:color="auto"/>
        <w:right w:val="none" w:sz="0" w:space="0" w:color="auto"/>
      </w:divBdr>
    </w:div>
    <w:div w:id="593365850">
      <w:bodyDiv w:val="1"/>
      <w:marLeft w:val="0"/>
      <w:marRight w:val="0"/>
      <w:marTop w:val="0"/>
      <w:marBottom w:val="0"/>
      <w:divBdr>
        <w:top w:val="none" w:sz="0" w:space="0" w:color="auto"/>
        <w:left w:val="none" w:sz="0" w:space="0" w:color="auto"/>
        <w:bottom w:val="none" w:sz="0" w:space="0" w:color="auto"/>
        <w:right w:val="none" w:sz="0" w:space="0" w:color="auto"/>
      </w:divBdr>
    </w:div>
    <w:div w:id="620453400">
      <w:bodyDiv w:val="1"/>
      <w:marLeft w:val="0"/>
      <w:marRight w:val="0"/>
      <w:marTop w:val="0"/>
      <w:marBottom w:val="0"/>
      <w:divBdr>
        <w:top w:val="none" w:sz="0" w:space="0" w:color="auto"/>
        <w:left w:val="none" w:sz="0" w:space="0" w:color="auto"/>
        <w:bottom w:val="none" w:sz="0" w:space="0" w:color="auto"/>
        <w:right w:val="none" w:sz="0" w:space="0" w:color="auto"/>
      </w:divBdr>
    </w:div>
    <w:div w:id="627049358">
      <w:bodyDiv w:val="1"/>
      <w:marLeft w:val="0"/>
      <w:marRight w:val="0"/>
      <w:marTop w:val="0"/>
      <w:marBottom w:val="0"/>
      <w:divBdr>
        <w:top w:val="none" w:sz="0" w:space="0" w:color="auto"/>
        <w:left w:val="none" w:sz="0" w:space="0" w:color="auto"/>
        <w:bottom w:val="none" w:sz="0" w:space="0" w:color="auto"/>
        <w:right w:val="none" w:sz="0" w:space="0" w:color="auto"/>
      </w:divBdr>
    </w:div>
    <w:div w:id="628975342">
      <w:bodyDiv w:val="1"/>
      <w:marLeft w:val="0"/>
      <w:marRight w:val="0"/>
      <w:marTop w:val="0"/>
      <w:marBottom w:val="0"/>
      <w:divBdr>
        <w:top w:val="none" w:sz="0" w:space="0" w:color="auto"/>
        <w:left w:val="none" w:sz="0" w:space="0" w:color="auto"/>
        <w:bottom w:val="none" w:sz="0" w:space="0" w:color="auto"/>
        <w:right w:val="none" w:sz="0" w:space="0" w:color="auto"/>
      </w:divBdr>
    </w:div>
    <w:div w:id="667904111">
      <w:bodyDiv w:val="1"/>
      <w:marLeft w:val="0"/>
      <w:marRight w:val="0"/>
      <w:marTop w:val="0"/>
      <w:marBottom w:val="0"/>
      <w:divBdr>
        <w:top w:val="none" w:sz="0" w:space="0" w:color="auto"/>
        <w:left w:val="none" w:sz="0" w:space="0" w:color="auto"/>
        <w:bottom w:val="none" w:sz="0" w:space="0" w:color="auto"/>
        <w:right w:val="none" w:sz="0" w:space="0" w:color="auto"/>
      </w:divBdr>
    </w:div>
    <w:div w:id="693269012">
      <w:bodyDiv w:val="1"/>
      <w:marLeft w:val="0"/>
      <w:marRight w:val="0"/>
      <w:marTop w:val="0"/>
      <w:marBottom w:val="0"/>
      <w:divBdr>
        <w:top w:val="none" w:sz="0" w:space="0" w:color="auto"/>
        <w:left w:val="none" w:sz="0" w:space="0" w:color="auto"/>
        <w:bottom w:val="none" w:sz="0" w:space="0" w:color="auto"/>
        <w:right w:val="none" w:sz="0" w:space="0" w:color="auto"/>
      </w:divBdr>
    </w:div>
    <w:div w:id="752311663">
      <w:bodyDiv w:val="1"/>
      <w:marLeft w:val="0"/>
      <w:marRight w:val="0"/>
      <w:marTop w:val="0"/>
      <w:marBottom w:val="0"/>
      <w:divBdr>
        <w:top w:val="none" w:sz="0" w:space="0" w:color="auto"/>
        <w:left w:val="none" w:sz="0" w:space="0" w:color="auto"/>
        <w:bottom w:val="none" w:sz="0" w:space="0" w:color="auto"/>
        <w:right w:val="none" w:sz="0" w:space="0" w:color="auto"/>
      </w:divBdr>
    </w:div>
    <w:div w:id="765882695">
      <w:bodyDiv w:val="1"/>
      <w:marLeft w:val="0"/>
      <w:marRight w:val="0"/>
      <w:marTop w:val="0"/>
      <w:marBottom w:val="0"/>
      <w:divBdr>
        <w:top w:val="none" w:sz="0" w:space="0" w:color="auto"/>
        <w:left w:val="none" w:sz="0" w:space="0" w:color="auto"/>
        <w:bottom w:val="none" w:sz="0" w:space="0" w:color="auto"/>
        <w:right w:val="none" w:sz="0" w:space="0" w:color="auto"/>
      </w:divBdr>
    </w:div>
    <w:div w:id="770244704">
      <w:bodyDiv w:val="1"/>
      <w:marLeft w:val="0"/>
      <w:marRight w:val="0"/>
      <w:marTop w:val="0"/>
      <w:marBottom w:val="0"/>
      <w:divBdr>
        <w:top w:val="none" w:sz="0" w:space="0" w:color="auto"/>
        <w:left w:val="none" w:sz="0" w:space="0" w:color="auto"/>
        <w:bottom w:val="none" w:sz="0" w:space="0" w:color="auto"/>
        <w:right w:val="none" w:sz="0" w:space="0" w:color="auto"/>
      </w:divBdr>
    </w:div>
    <w:div w:id="772866999">
      <w:bodyDiv w:val="1"/>
      <w:marLeft w:val="0"/>
      <w:marRight w:val="0"/>
      <w:marTop w:val="0"/>
      <w:marBottom w:val="0"/>
      <w:divBdr>
        <w:top w:val="none" w:sz="0" w:space="0" w:color="auto"/>
        <w:left w:val="none" w:sz="0" w:space="0" w:color="auto"/>
        <w:bottom w:val="none" w:sz="0" w:space="0" w:color="auto"/>
        <w:right w:val="none" w:sz="0" w:space="0" w:color="auto"/>
      </w:divBdr>
    </w:div>
    <w:div w:id="810247999">
      <w:bodyDiv w:val="1"/>
      <w:marLeft w:val="0"/>
      <w:marRight w:val="0"/>
      <w:marTop w:val="0"/>
      <w:marBottom w:val="0"/>
      <w:divBdr>
        <w:top w:val="none" w:sz="0" w:space="0" w:color="auto"/>
        <w:left w:val="none" w:sz="0" w:space="0" w:color="auto"/>
        <w:bottom w:val="none" w:sz="0" w:space="0" w:color="auto"/>
        <w:right w:val="none" w:sz="0" w:space="0" w:color="auto"/>
      </w:divBdr>
    </w:div>
    <w:div w:id="854731474">
      <w:bodyDiv w:val="1"/>
      <w:marLeft w:val="0"/>
      <w:marRight w:val="0"/>
      <w:marTop w:val="0"/>
      <w:marBottom w:val="0"/>
      <w:divBdr>
        <w:top w:val="none" w:sz="0" w:space="0" w:color="auto"/>
        <w:left w:val="none" w:sz="0" w:space="0" w:color="auto"/>
        <w:bottom w:val="none" w:sz="0" w:space="0" w:color="auto"/>
        <w:right w:val="none" w:sz="0" w:space="0" w:color="auto"/>
      </w:divBdr>
    </w:div>
    <w:div w:id="854852299">
      <w:bodyDiv w:val="1"/>
      <w:marLeft w:val="0"/>
      <w:marRight w:val="0"/>
      <w:marTop w:val="0"/>
      <w:marBottom w:val="0"/>
      <w:divBdr>
        <w:top w:val="none" w:sz="0" w:space="0" w:color="auto"/>
        <w:left w:val="none" w:sz="0" w:space="0" w:color="auto"/>
        <w:bottom w:val="none" w:sz="0" w:space="0" w:color="auto"/>
        <w:right w:val="none" w:sz="0" w:space="0" w:color="auto"/>
      </w:divBdr>
    </w:div>
    <w:div w:id="871841134">
      <w:bodyDiv w:val="1"/>
      <w:marLeft w:val="0"/>
      <w:marRight w:val="0"/>
      <w:marTop w:val="0"/>
      <w:marBottom w:val="0"/>
      <w:divBdr>
        <w:top w:val="none" w:sz="0" w:space="0" w:color="auto"/>
        <w:left w:val="none" w:sz="0" w:space="0" w:color="auto"/>
        <w:bottom w:val="none" w:sz="0" w:space="0" w:color="auto"/>
        <w:right w:val="none" w:sz="0" w:space="0" w:color="auto"/>
      </w:divBdr>
    </w:div>
    <w:div w:id="891428796">
      <w:bodyDiv w:val="1"/>
      <w:marLeft w:val="0"/>
      <w:marRight w:val="0"/>
      <w:marTop w:val="0"/>
      <w:marBottom w:val="0"/>
      <w:divBdr>
        <w:top w:val="none" w:sz="0" w:space="0" w:color="auto"/>
        <w:left w:val="none" w:sz="0" w:space="0" w:color="auto"/>
        <w:bottom w:val="none" w:sz="0" w:space="0" w:color="auto"/>
        <w:right w:val="none" w:sz="0" w:space="0" w:color="auto"/>
      </w:divBdr>
    </w:div>
    <w:div w:id="940264855">
      <w:bodyDiv w:val="1"/>
      <w:marLeft w:val="0"/>
      <w:marRight w:val="0"/>
      <w:marTop w:val="0"/>
      <w:marBottom w:val="0"/>
      <w:divBdr>
        <w:top w:val="none" w:sz="0" w:space="0" w:color="auto"/>
        <w:left w:val="none" w:sz="0" w:space="0" w:color="auto"/>
        <w:bottom w:val="none" w:sz="0" w:space="0" w:color="auto"/>
        <w:right w:val="none" w:sz="0" w:space="0" w:color="auto"/>
      </w:divBdr>
    </w:div>
    <w:div w:id="944968829">
      <w:bodyDiv w:val="1"/>
      <w:marLeft w:val="0"/>
      <w:marRight w:val="0"/>
      <w:marTop w:val="0"/>
      <w:marBottom w:val="0"/>
      <w:divBdr>
        <w:top w:val="none" w:sz="0" w:space="0" w:color="auto"/>
        <w:left w:val="none" w:sz="0" w:space="0" w:color="auto"/>
        <w:bottom w:val="none" w:sz="0" w:space="0" w:color="auto"/>
        <w:right w:val="none" w:sz="0" w:space="0" w:color="auto"/>
      </w:divBdr>
    </w:div>
    <w:div w:id="959074722">
      <w:bodyDiv w:val="1"/>
      <w:marLeft w:val="0"/>
      <w:marRight w:val="0"/>
      <w:marTop w:val="0"/>
      <w:marBottom w:val="0"/>
      <w:divBdr>
        <w:top w:val="none" w:sz="0" w:space="0" w:color="auto"/>
        <w:left w:val="none" w:sz="0" w:space="0" w:color="auto"/>
        <w:bottom w:val="none" w:sz="0" w:space="0" w:color="auto"/>
        <w:right w:val="none" w:sz="0" w:space="0" w:color="auto"/>
      </w:divBdr>
    </w:div>
    <w:div w:id="969556695">
      <w:bodyDiv w:val="1"/>
      <w:marLeft w:val="0"/>
      <w:marRight w:val="0"/>
      <w:marTop w:val="0"/>
      <w:marBottom w:val="0"/>
      <w:divBdr>
        <w:top w:val="none" w:sz="0" w:space="0" w:color="auto"/>
        <w:left w:val="none" w:sz="0" w:space="0" w:color="auto"/>
        <w:bottom w:val="none" w:sz="0" w:space="0" w:color="auto"/>
        <w:right w:val="none" w:sz="0" w:space="0" w:color="auto"/>
      </w:divBdr>
    </w:div>
    <w:div w:id="1045446493">
      <w:bodyDiv w:val="1"/>
      <w:marLeft w:val="0"/>
      <w:marRight w:val="0"/>
      <w:marTop w:val="0"/>
      <w:marBottom w:val="0"/>
      <w:divBdr>
        <w:top w:val="none" w:sz="0" w:space="0" w:color="auto"/>
        <w:left w:val="none" w:sz="0" w:space="0" w:color="auto"/>
        <w:bottom w:val="none" w:sz="0" w:space="0" w:color="auto"/>
        <w:right w:val="none" w:sz="0" w:space="0" w:color="auto"/>
      </w:divBdr>
    </w:div>
    <w:div w:id="1082406698">
      <w:bodyDiv w:val="1"/>
      <w:marLeft w:val="0"/>
      <w:marRight w:val="0"/>
      <w:marTop w:val="0"/>
      <w:marBottom w:val="0"/>
      <w:divBdr>
        <w:top w:val="none" w:sz="0" w:space="0" w:color="auto"/>
        <w:left w:val="none" w:sz="0" w:space="0" w:color="auto"/>
        <w:bottom w:val="none" w:sz="0" w:space="0" w:color="auto"/>
        <w:right w:val="none" w:sz="0" w:space="0" w:color="auto"/>
      </w:divBdr>
    </w:div>
    <w:div w:id="1106998680">
      <w:bodyDiv w:val="1"/>
      <w:marLeft w:val="0"/>
      <w:marRight w:val="0"/>
      <w:marTop w:val="0"/>
      <w:marBottom w:val="0"/>
      <w:divBdr>
        <w:top w:val="none" w:sz="0" w:space="0" w:color="auto"/>
        <w:left w:val="none" w:sz="0" w:space="0" w:color="auto"/>
        <w:bottom w:val="none" w:sz="0" w:space="0" w:color="auto"/>
        <w:right w:val="none" w:sz="0" w:space="0" w:color="auto"/>
      </w:divBdr>
    </w:div>
    <w:div w:id="1158182974">
      <w:bodyDiv w:val="1"/>
      <w:marLeft w:val="0"/>
      <w:marRight w:val="0"/>
      <w:marTop w:val="0"/>
      <w:marBottom w:val="0"/>
      <w:divBdr>
        <w:top w:val="none" w:sz="0" w:space="0" w:color="auto"/>
        <w:left w:val="none" w:sz="0" w:space="0" w:color="auto"/>
        <w:bottom w:val="none" w:sz="0" w:space="0" w:color="auto"/>
        <w:right w:val="none" w:sz="0" w:space="0" w:color="auto"/>
      </w:divBdr>
    </w:div>
    <w:div w:id="1172260295">
      <w:bodyDiv w:val="1"/>
      <w:marLeft w:val="0"/>
      <w:marRight w:val="0"/>
      <w:marTop w:val="0"/>
      <w:marBottom w:val="0"/>
      <w:divBdr>
        <w:top w:val="none" w:sz="0" w:space="0" w:color="auto"/>
        <w:left w:val="none" w:sz="0" w:space="0" w:color="auto"/>
        <w:bottom w:val="none" w:sz="0" w:space="0" w:color="auto"/>
        <w:right w:val="none" w:sz="0" w:space="0" w:color="auto"/>
      </w:divBdr>
    </w:div>
    <w:div w:id="1208688149">
      <w:bodyDiv w:val="1"/>
      <w:marLeft w:val="0"/>
      <w:marRight w:val="0"/>
      <w:marTop w:val="0"/>
      <w:marBottom w:val="0"/>
      <w:divBdr>
        <w:top w:val="none" w:sz="0" w:space="0" w:color="auto"/>
        <w:left w:val="none" w:sz="0" w:space="0" w:color="auto"/>
        <w:bottom w:val="none" w:sz="0" w:space="0" w:color="auto"/>
        <w:right w:val="none" w:sz="0" w:space="0" w:color="auto"/>
      </w:divBdr>
      <w:divsChild>
        <w:div w:id="313071856">
          <w:marLeft w:val="0"/>
          <w:marRight w:val="0"/>
          <w:marTop w:val="0"/>
          <w:marBottom w:val="0"/>
          <w:divBdr>
            <w:top w:val="none" w:sz="0" w:space="0" w:color="auto"/>
            <w:left w:val="none" w:sz="0" w:space="0" w:color="auto"/>
            <w:bottom w:val="none" w:sz="0" w:space="0" w:color="auto"/>
            <w:right w:val="none" w:sz="0" w:space="0" w:color="auto"/>
          </w:divBdr>
        </w:div>
      </w:divsChild>
    </w:div>
    <w:div w:id="1245803014">
      <w:bodyDiv w:val="1"/>
      <w:marLeft w:val="0"/>
      <w:marRight w:val="0"/>
      <w:marTop w:val="0"/>
      <w:marBottom w:val="0"/>
      <w:divBdr>
        <w:top w:val="none" w:sz="0" w:space="0" w:color="auto"/>
        <w:left w:val="none" w:sz="0" w:space="0" w:color="auto"/>
        <w:bottom w:val="none" w:sz="0" w:space="0" w:color="auto"/>
        <w:right w:val="none" w:sz="0" w:space="0" w:color="auto"/>
      </w:divBdr>
    </w:div>
    <w:div w:id="1253514390">
      <w:bodyDiv w:val="1"/>
      <w:marLeft w:val="0"/>
      <w:marRight w:val="0"/>
      <w:marTop w:val="0"/>
      <w:marBottom w:val="0"/>
      <w:divBdr>
        <w:top w:val="none" w:sz="0" w:space="0" w:color="auto"/>
        <w:left w:val="none" w:sz="0" w:space="0" w:color="auto"/>
        <w:bottom w:val="none" w:sz="0" w:space="0" w:color="auto"/>
        <w:right w:val="none" w:sz="0" w:space="0" w:color="auto"/>
      </w:divBdr>
    </w:div>
    <w:div w:id="1263302218">
      <w:bodyDiv w:val="1"/>
      <w:marLeft w:val="0"/>
      <w:marRight w:val="0"/>
      <w:marTop w:val="0"/>
      <w:marBottom w:val="0"/>
      <w:divBdr>
        <w:top w:val="none" w:sz="0" w:space="0" w:color="auto"/>
        <w:left w:val="none" w:sz="0" w:space="0" w:color="auto"/>
        <w:bottom w:val="none" w:sz="0" w:space="0" w:color="auto"/>
        <w:right w:val="none" w:sz="0" w:space="0" w:color="auto"/>
      </w:divBdr>
    </w:div>
    <w:div w:id="1273712123">
      <w:bodyDiv w:val="1"/>
      <w:marLeft w:val="0"/>
      <w:marRight w:val="0"/>
      <w:marTop w:val="0"/>
      <w:marBottom w:val="0"/>
      <w:divBdr>
        <w:top w:val="none" w:sz="0" w:space="0" w:color="auto"/>
        <w:left w:val="none" w:sz="0" w:space="0" w:color="auto"/>
        <w:bottom w:val="none" w:sz="0" w:space="0" w:color="auto"/>
        <w:right w:val="none" w:sz="0" w:space="0" w:color="auto"/>
      </w:divBdr>
    </w:div>
    <w:div w:id="1318460115">
      <w:bodyDiv w:val="1"/>
      <w:marLeft w:val="0"/>
      <w:marRight w:val="0"/>
      <w:marTop w:val="0"/>
      <w:marBottom w:val="0"/>
      <w:divBdr>
        <w:top w:val="none" w:sz="0" w:space="0" w:color="auto"/>
        <w:left w:val="none" w:sz="0" w:space="0" w:color="auto"/>
        <w:bottom w:val="none" w:sz="0" w:space="0" w:color="auto"/>
        <w:right w:val="none" w:sz="0" w:space="0" w:color="auto"/>
      </w:divBdr>
    </w:div>
    <w:div w:id="1334794344">
      <w:bodyDiv w:val="1"/>
      <w:marLeft w:val="0"/>
      <w:marRight w:val="0"/>
      <w:marTop w:val="0"/>
      <w:marBottom w:val="0"/>
      <w:divBdr>
        <w:top w:val="none" w:sz="0" w:space="0" w:color="auto"/>
        <w:left w:val="none" w:sz="0" w:space="0" w:color="auto"/>
        <w:bottom w:val="none" w:sz="0" w:space="0" w:color="auto"/>
        <w:right w:val="none" w:sz="0" w:space="0" w:color="auto"/>
      </w:divBdr>
    </w:div>
    <w:div w:id="1373924714">
      <w:bodyDiv w:val="1"/>
      <w:marLeft w:val="0"/>
      <w:marRight w:val="0"/>
      <w:marTop w:val="0"/>
      <w:marBottom w:val="0"/>
      <w:divBdr>
        <w:top w:val="none" w:sz="0" w:space="0" w:color="auto"/>
        <w:left w:val="none" w:sz="0" w:space="0" w:color="auto"/>
        <w:bottom w:val="none" w:sz="0" w:space="0" w:color="auto"/>
        <w:right w:val="none" w:sz="0" w:space="0" w:color="auto"/>
      </w:divBdr>
    </w:div>
    <w:div w:id="1399475764">
      <w:bodyDiv w:val="1"/>
      <w:marLeft w:val="0"/>
      <w:marRight w:val="0"/>
      <w:marTop w:val="0"/>
      <w:marBottom w:val="0"/>
      <w:divBdr>
        <w:top w:val="none" w:sz="0" w:space="0" w:color="auto"/>
        <w:left w:val="none" w:sz="0" w:space="0" w:color="auto"/>
        <w:bottom w:val="none" w:sz="0" w:space="0" w:color="auto"/>
        <w:right w:val="none" w:sz="0" w:space="0" w:color="auto"/>
      </w:divBdr>
    </w:div>
    <w:div w:id="1424566845">
      <w:bodyDiv w:val="1"/>
      <w:marLeft w:val="0"/>
      <w:marRight w:val="0"/>
      <w:marTop w:val="0"/>
      <w:marBottom w:val="0"/>
      <w:divBdr>
        <w:top w:val="none" w:sz="0" w:space="0" w:color="auto"/>
        <w:left w:val="none" w:sz="0" w:space="0" w:color="auto"/>
        <w:bottom w:val="none" w:sz="0" w:space="0" w:color="auto"/>
        <w:right w:val="none" w:sz="0" w:space="0" w:color="auto"/>
      </w:divBdr>
    </w:div>
    <w:div w:id="1538858855">
      <w:bodyDiv w:val="1"/>
      <w:marLeft w:val="0"/>
      <w:marRight w:val="0"/>
      <w:marTop w:val="0"/>
      <w:marBottom w:val="0"/>
      <w:divBdr>
        <w:top w:val="none" w:sz="0" w:space="0" w:color="auto"/>
        <w:left w:val="none" w:sz="0" w:space="0" w:color="auto"/>
        <w:bottom w:val="none" w:sz="0" w:space="0" w:color="auto"/>
        <w:right w:val="none" w:sz="0" w:space="0" w:color="auto"/>
      </w:divBdr>
    </w:div>
    <w:div w:id="1573152140">
      <w:bodyDiv w:val="1"/>
      <w:marLeft w:val="0"/>
      <w:marRight w:val="0"/>
      <w:marTop w:val="0"/>
      <w:marBottom w:val="0"/>
      <w:divBdr>
        <w:top w:val="none" w:sz="0" w:space="0" w:color="auto"/>
        <w:left w:val="none" w:sz="0" w:space="0" w:color="auto"/>
        <w:bottom w:val="none" w:sz="0" w:space="0" w:color="auto"/>
        <w:right w:val="none" w:sz="0" w:space="0" w:color="auto"/>
      </w:divBdr>
    </w:div>
    <w:div w:id="1577477969">
      <w:bodyDiv w:val="1"/>
      <w:marLeft w:val="0"/>
      <w:marRight w:val="0"/>
      <w:marTop w:val="0"/>
      <w:marBottom w:val="0"/>
      <w:divBdr>
        <w:top w:val="none" w:sz="0" w:space="0" w:color="auto"/>
        <w:left w:val="none" w:sz="0" w:space="0" w:color="auto"/>
        <w:bottom w:val="none" w:sz="0" w:space="0" w:color="auto"/>
        <w:right w:val="none" w:sz="0" w:space="0" w:color="auto"/>
      </w:divBdr>
    </w:div>
    <w:div w:id="1631783379">
      <w:bodyDiv w:val="1"/>
      <w:marLeft w:val="0"/>
      <w:marRight w:val="0"/>
      <w:marTop w:val="0"/>
      <w:marBottom w:val="0"/>
      <w:divBdr>
        <w:top w:val="none" w:sz="0" w:space="0" w:color="auto"/>
        <w:left w:val="none" w:sz="0" w:space="0" w:color="auto"/>
        <w:bottom w:val="none" w:sz="0" w:space="0" w:color="auto"/>
        <w:right w:val="none" w:sz="0" w:space="0" w:color="auto"/>
      </w:divBdr>
    </w:div>
    <w:div w:id="1674380750">
      <w:bodyDiv w:val="1"/>
      <w:marLeft w:val="0"/>
      <w:marRight w:val="0"/>
      <w:marTop w:val="0"/>
      <w:marBottom w:val="0"/>
      <w:divBdr>
        <w:top w:val="none" w:sz="0" w:space="0" w:color="auto"/>
        <w:left w:val="none" w:sz="0" w:space="0" w:color="auto"/>
        <w:bottom w:val="none" w:sz="0" w:space="0" w:color="auto"/>
        <w:right w:val="none" w:sz="0" w:space="0" w:color="auto"/>
      </w:divBdr>
    </w:div>
    <w:div w:id="1674606259">
      <w:bodyDiv w:val="1"/>
      <w:marLeft w:val="0"/>
      <w:marRight w:val="0"/>
      <w:marTop w:val="0"/>
      <w:marBottom w:val="0"/>
      <w:divBdr>
        <w:top w:val="none" w:sz="0" w:space="0" w:color="auto"/>
        <w:left w:val="none" w:sz="0" w:space="0" w:color="auto"/>
        <w:bottom w:val="none" w:sz="0" w:space="0" w:color="auto"/>
        <w:right w:val="none" w:sz="0" w:space="0" w:color="auto"/>
      </w:divBdr>
      <w:divsChild>
        <w:div w:id="888692011">
          <w:marLeft w:val="0"/>
          <w:marRight w:val="0"/>
          <w:marTop w:val="0"/>
          <w:marBottom w:val="0"/>
          <w:divBdr>
            <w:top w:val="none" w:sz="0" w:space="0" w:color="auto"/>
            <w:left w:val="none" w:sz="0" w:space="0" w:color="auto"/>
            <w:bottom w:val="none" w:sz="0" w:space="0" w:color="auto"/>
            <w:right w:val="none" w:sz="0" w:space="0" w:color="auto"/>
          </w:divBdr>
        </w:div>
      </w:divsChild>
    </w:div>
    <w:div w:id="1704554798">
      <w:bodyDiv w:val="1"/>
      <w:marLeft w:val="0"/>
      <w:marRight w:val="0"/>
      <w:marTop w:val="0"/>
      <w:marBottom w:val="0"/>
      <w:divBdr>
        <w:top w:val="none" w:sz="0" w:space="0" w:color="auto"/>
        <w:left w:val="none" w:sz="0" w:space="0" w:color="auto"/>
        <w:bottom w:val="none" w:sz="0" w:space="0" w:color="auto"/>
        <w:right w:val="none" w:sz="0" w:space="0" w:color="auto"/>
      </w:divBdr>
      <w:divsChild>
        <w:div w:id="1828354770">
          <w:marLeft w:val="0"/>
          <w:marRight w:val="0"/>
          <w:marTop w:val="0"/>
          <w:marBottom w:val="0"/>
          <w:divBdr>
            <w:top w:val="none" w:sz="0" w:space="0" w:color="auto"/>
            <w:left w:val="none" w:sz="0" w:space="0" w:color="auto"/>
            <w:bottom w:val="none" w:sz="0" w:space="0" w:color="auto"/>
            <w:right w:val="none" w:sz="0" w:space="0" w:color="auto"/>
          </w:divBdr>
        </w:div>
      </w:divsChild>
    </w:div>
    <w:div w:id="1713993988">
      <w:bodyDiv w:val="1"/>
      <w:marLeft w:val="0"/>
      <w:marRight w:val="0"/>
      <w:marTop w:val="0"/>
      <w:marBottom w:val="0"/>
      <w:divBdr>
        <w:top w:val="none" w:sz="0" w:space="0" w:color="auto"/>
        <w:left w:val="none" w:sz="0" w:space="0" w:color="auto"/>
        <w:bottom w:val="none" w:sz="0" w:space="0" w:color="auto"/>
        <w:right w:val="none" w:sz="0" w:space="0" w:color="auto"/>
      </w:divBdr>
    </w:div>
    <w:div w:id="1754623873">
      <w:bodyDiv w:val="1"/>
      <w:marLeft w:val="0"/>
      <w:marRight w:val="0"/>
      <w:marTop w:val="0"/>
      <w:marBottom w:val="0"/>
      <w:divBdr>
        <w:top w:val="none" w:sz="0" w:space="0" w:color="auto"/>
        <w:left w:val="none" w:sz="0" w:space="0" w:color="auto"/>
        <w:bottom w:val="none" w:sz="0" w:space="0" w:color="auto"/>
        <w:right w:val="none" w:sz="0" w:space="0" w:color="auto"/>
      </w:divBdr>
    </w:div>
    <w:div w:id="1760364997">
      <w:bodyDiv w:val="1"/>
      <w:marLeft w:val="0"/>
      <w:marRight w:val="0"/>
      <w:marTop w:val="0"/>
      <w:marBottom w:val="0"/>
      <w:divBdr>
        <w:top w:val="none" w:sz="0" w:space="0" w:color="auto"/>
        <w:left w:val="none" w:sz="0" w:space="0" w:color="auto"/>
        <w:bottom w:val="none" w:sz="0" w:space="0" w:color="auto"/>
        <w:right w:val="none" w:sz="0" w:space="0" w:color="auto"/>
      </w:divBdr>
    </w:div>
    <w:div w:id="1780294553">
      <w:bodyDiv w:val="1"/>
      <w:marLeft w:val="0"/>
      <w:marRight w:val="0"/>
      <w:marTop w:val="0"/>
      <w:marBottom w:val="0"/>
      <w:divBdr>
        <w:top w:val="none" w:sz="0" w:space="0" w:color="auto"/>
        <w:left w:val="none" w:sz="0" w:space="0" w:color="auto"/>
        <w:bottom w:val="none" w:sz="0" w:space="0" w:color="auto"/>
        <w:right w:val="none" w:sz="0" w:space="0" w:color="auto"/>
      </w:divBdr>
    </w:div>
    <w:div w:id="1785688431">
      <w:bodyDiv w:val="1"/>
      <w:marLeft w:val="0"/>
      <w:marRight w:val="0"/>
      <w:marTop w:val="0"/>
      <w:marBottom w:val="0"/>
      <w:divBdr>
        <w:top w:val="none" w:sz="0" w:space="0" w:color="auto"/>
        <w:left w:val="none" w:sz="0" w:space="0" w:color="auto"/>
        <w:bottom w:val="none" w:sz="0" w:space="0" w:color="auto"/>
        <w:right w:val="none" w:sz="0" w:space="0" w:color="auto"/>
      </w:divBdr>
    </w:div>
    <w:div w:id="1847161389">
      <w:bodyDiv w:val="1"/>
      <w:marLeft w:val="0"/>
      <w:marRight w:val="0"/>
      <w:marTop w:val="0"/>
      <w:marBottom w:val="0"/>
      <w:divBdr>
        <w:top w:val="none" w:sz="0" w:space="0" w:color="auto"/>
        <w:left w:val="none" w:sz="0" w:space="0" w:color="auto"/>
        <w:bottom w:val="none" w:sz="0" w:space="0" w:color="auto"/>
        <w:right w:val="none" w:sz="0" w:space="0" w:color="auto"/>
      </w:divBdr>
    </w:div>
    <w:div w:id="1873491050">
      <w:bodyDiv w:val="1"/>
      <w:marLeft w:val="0"/>
      <w:marRight w:val="0"/>
      <w:marTop w:val="0"/>
      <w:marBottom w:val="0"/>
      <w:divBdr>
        <w:top w:val="none" w:sz="0" w:space="0" w:color="auto"/>
        <w:left w:val="none" w:sz="0" w:space="0" w:color="auto"/>
        <w:bottom w:val="none" w:sz="0" w:space="0" w:color="auto"/>
        <w:right w:val="none" w:sz="0" w:space="0" w:color="auto"/>
      </w:divBdr>
    </w:div>
    <w:div w:id="1961833760">
      <w:bodyDiv w:val="1"/>
      <w:marLeft w:val="0"/>
      <w:marRight w:val="0"/>
      <w:marTop w:val="0"/>
      <w:marBottom w:val="0"/>
      <w:divBdr>
        <w:top w:val="none" w:sz="0" w:space="0" w:color="auto"/>
        <w:left w:val="none" w:sz="0" w:space="0" w:color="auto"/>
        <w:bottom w:val="none" w:sz="0" w:space="0" w:color="auto"/>
        <w:right w:val="none" w:sz="0" w:space="0" w:color="auto"/>
      </w:divBdr>
    </w:div>
    <w:div w:id="1994411015">
      <w:bodyDiv w:val="1"/>
      <w:marLeft w:val="0"/>
      <w:marRight w:val="0"/>
      <w:marTop w:val="0"/>
      <w:marBottom w:val="0"/>
      <w:divBdr>
        <w:top w:val="none" w:sz="0" w:space="0" w:color="auto"/>
        <w:left w:val="none" w:sz="0" w:space="0" w:color="auto"/>
        <w:bottom w:val="none" w:sz="0" w:space="0" w:color="auto"/>
        <w:right w:val="none" w:sz="0" w:space="0" w:color="auto"/>
      </w:divBdr>
    </w:div>
    <w:div w:id="1999646476">
      <w:bodyDiv w:val="1"/>
      <w:marLeft w:val="0"/>
      <w:marRight w:val="0"/>
      <w:marTop w:val="0"/>
      <w:marBottom w:val="0"/>
      <w:divBdr>
        <w:top w:val="none" w:sz="0" w:space="0" w:color="auto"/>
        <w:left w:val="none" w:sz="0" w:space="0" w:color="auto"/>
        <w:bottom w:val="none" w:sz="0" w:space="0" w:color="auto"/>
        <w:right w:val="none" w:sz="0" w:space="0" w:color="auto"/>
      </w:divBdr>
    </w:div>
    <w:div w:id="2029793178">
      <w:bodyDiv w:val="1"/>
      <w:marLeft w:val="0"/>
      <w:marRight w:val="0"/>
      <w:marTop w:val="0"/>
      <w:marBottom w:val="0"/>
      <w:divBdr>
        <w:top w:val="none" w:sz="0" w:space="0" w:color="auto"/>
        <w:left w:val="none" w:sz="0" w:space="0" w:color="auto"/>
        <w:bottom w:val="none" w:sz="0" w:space="0" w:color="auto"/>
        <w:right w:val="none" w:sz="0" w:space="0" w:color="auto"/>
      </w:divBdr>
    </w:div>
    <w:div w:id="2035228150">
      <w:bodyDiv w:val="1"/>
      <w:marLeft w:val="0"/>
      <w:marRight w:val="0"/>
      <w:marTop w:val="0"/>
      <w:marBottom w:val="0"/>
      <w:divBdr>
        <w:top w:val="none" w:sz="0" w:space="0" w:color="auto"/>
        <w:left w:val="none" w:sz="0" w:space="0" w:color="auto"/>
        <w:bottom w:val="none" w:sz="0" w:space="0" w:color="auto"/>
        <w:right w:val="none" w:sz="0" w:space="0" w:color="auto"/>
      </w:divBdr>
    </w:div>
    <w:div w:id="2053924396">
      <w:bodyDiv w:val="1"/>
      <w:marLeft w:val="0"/>
      <w:marRight w:val="0"/>
      <w:marTop w:val="0"/>
      <w:marBottom w:val="0"/>
      <w:divBdr>
        <w:top w:val="none" w:sz="0" w:space="0" w:color="auto"/>
        <w:left w:val="none" w:sz="0" w:space="0" w:color="auto"/>
        <w:bottom w:val="none" w:sz="0" w:space="0" w:color="auto"/>
        <w:right w:val="none" w:sz="0" w:space="0" w:color="auto"/>
      </w:divBdr>
    </w:div>
    <w:div w:id="2064480886">
      <w:bodyDiv w:val="1"/>
      <w:marLeft w:val="0"/>
      <w:marRight w:val="0"/>
      <w:marTop w:val="0"/>
      <w:marBottom w:val="0"/>
      <w:divBdr>
        <w:top w:val="none" w:sz="0" w:space="0" w:color="auto"/>
        <w:left w:val="none" w:sz="0" w:space="0" w:color="auto"/>
        <w:bottom w:val="none" w:sz="0" w:space="0" w:color="auto"/>
        <w:right w:val="none" w:sz="0" w:space="0" w:color="auto"/>
      </w:divBdr>
    </w:div>
    <w:div w:id="2110269170">
      <w:bodyDiv w:val="1"/>
      <w:marLeft w:val="0"/>
      <w:marRight w:val="0"/>
      <w:marTop w:val="0"/>
      <w:marBottom w:val="0"/>
      <w:divBdr>
        <w:top w:val="none" w:sz="0" w:space="0" w:color="auto"/>
        <w:left w:val="none" w:sz="0" w:space="0" w:color="auto"/>
        <w:bottom w:val="none" w:sz="0" w:space="0" w:color="auto"/>
        <w:right w:val="none" w:sz="0" w:space="0" w:color="auto"/>
      </w:divBdr>
    </w:div>
    <w:div w:id="213451340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8" Type="http://schemas.openxmlformats.org/officeDocument/2006/relationships/hyperlink" Target="https://bit.ly/3GzUQUp" TargetMode="External"/><Relationship Id="rId13" Type="http://schemas.openxmlformats.org/officeDocument/2006/relationships/hyperlink" Target="https://bit.ly/38m65n8" TargetMode="External"/><Relationship Id="rId3" Type="http://schemas.openxmlformats.org/officeDocument/2006/relationships/hyperlink" Target="https://bit.ly/3fvvprk" TargetMode="External"/><Relationship Id="rId7" Type="http://schemas.openxmlformats.org/officeDocument/2006/relationships/hyperlink" Target="https://bit.ly/3ft5Oz5" TargetMode="External"/><Relationship Id="rId12" Type="http://schemas.openxmlformats.org/officeDocument/2006/relationships/hyperlink" Target="https://bit.ly/3vLg65B" TargetMode="External"/><Relationship Id="rId2" Type="http://schemas.openxmlformats.org/officeDocument/2006/relationships/hyperlink" Target="https://bit.ly/3GA3QJn" TargetMode="External"/><Relationship Id="rId1" Type="http://schemas.openxmlformats.org/officeDocument/2006/relationships/hyperlink" Target="https://bit.ly/3HgjhqB" TargetMode="External"/><Relationship Id="rId6" Type="http://schemas.openxmlformats.org/officeDocument/2006/relationships/hyperlink" Target="https://bit.ly/3tyItVg" TargetMode="External"/><Relationship Id="rId11" Type="http://schemas.openxmlformats.org/officeDocument/2006/relationships/hyperlink" Target="https://bit.ly/3pdBI8f" TargetMode="External"/><Relationship Id="rId5" Type="http://schemas.openxmlformats.org/officeDocument/2006/relationships/hyperlink" Target="https://bit.ly/3L71fsu" TargetMode="External"/><Relationship Id="rId15" Type="http://schemas.openxmlformats.org/officeDocument/2006/relationships/hyperlink" Target="https://bit.ly/35r3irY" TargetMode="External"/><Relationship Id="rId10" Type="http://schemas.openxmlformats.org/officeDocument/2006/relationships/hyperlink" Target="https://bit.ly/3rrqYDk" TargetMode="External"/><Relationship Id="rId4" Type="http://schemas.openxmlformats.org/officeDocument/2006/relationships/hyperlink" Target="https://bit.ly/3KgDkqu" TargetMode="External"/><Relationship Id="rId9" Type="http://schemas.openxmlformats.org/officeDocument/2006/relationships/hyperlink" Target="https://bit.ly/3L71fsu" TargetMode="External"/><Relationship Id="rId14" Type="http://schemas.openxmlformats.org/officeDocument/2006/relationships/hyperlink" Target="https://bit.ly/37TZiB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4DC6E63E0E4C40BB58A92BBDBC479C" ma:contentTypeVersion="0" ma:contentTypeDescription="Create a new document." ma:contentTypeScope="" ma:versionID="f85965e7da94c04701e9b0b0ee7922a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36032-DA64-4ECB-BAAF-D6119E865141}">
  <ds:schemaRefs>
    <ds:schemaRef ds:uri="http://schemas.microsoft.com/sharepoint/v3/contenttype/forms"/>
  </ds:schemaRefs>
</ds:datastoreItem>
</file>

<file path=customXml/itemProps2.xml><?xml version="1.0" encoding="utf-8"?>
<ds:datastoreItem xmlns:ds="http://schemas.openxmlformats.org/officeDocument/2006/customXml" ds:itemID="{849AAA5C-5CE2-43CF-8EE2-DF9C76A8AB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B34365B-64A9-497C-93D4-7FFC79E44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CB1D76A-296F-EF4C-8080-AA0ACFD14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2059</Words>
  <Characters>12978</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15007</CharactersWithSpaces>
  <SharedDoc>false</SharedDoc>
  <HLinks>
    <vt:vector size="360" baseType="variant">
      <vt:variant>
        <vt:i4>5242883</vt:i4>
      </vt:variant>
      <vt:variant>
        <vt:i4>177</vt:i4>
      </vt:variant>
      <vt:variant>
        <vt:i4>0</vt:i4>
      </vt:variant>
      <vt:variant>
        <vt:i4>5</vt:i4>
      </vt:variant>
      <vt:variant>
        <vt:lpwstr>https://www.ohchr.org/documents/publications/nhrihandbook.pdf</vt:lpwstr>
      </vt:variant>
      <vt:variant>
        <vt:lpwstr/>
      </vt:variant>
      <vt:variant>
        <vt:i4>4915264</vt:i4>
      </vt:variant>
      <vt:variant>
        <vt:i4>174</vt:i4>
      </vt:variant>
      <vt:variant>
        <vt:i4>0</vt:i4>
      </vt:variant>
      <vt:variant>
        <vt:i4>5</vt:i4>
      </vt:variant>
      <vt:variant>
        <vt:lpwstr>https://undocs.org/CCPR/C/119/D/2425/2014</vt:lpwstr>
      </vt:variant>
      <vt:variant>
        <vt:lpwstr/>
      </vt:variant>
      <vt:variant>
        <vt:i4>1835017</vt:i4>
      </vt:variant>
      <vt:variant>
        <vt:i4>171</vt:i4>
      </vt:variant>
      <vt:variant>
        <vt:i4>0</vt:i4>
      </vt:variant>
      <vt:variant>
        <vt:i4>5</vt:i4>
      </vt:variant>
      <vt:variant>
        <vt:lpwstr>https://undocs.org/en/CCPR/C/116/D/2324/2013</vt:lpwstr>
      </vt:variant>
      <vt:variant>
        <vt:lpwstr/>
      </vt:variant>
      <vt:variant>
        <vt:i4>5439597</vt:i4>
      </vt:variant>
      <vt:variant>
        <vt:i4>168</vt:i4>
      </vt:variant>
      <vt:variant>
        <vt:i4>0</vt:i4>
      </vt:variant>
      <vt:variant>
        <vt:i4>5</vt:i4>
      </vt:variant>
      <vt:variant>
        <vt:lpwstr>https://tbinternet.ohchr.org/_layouts/15/treatybodyexternal/Download.aspx?symbolno=INT%2fCCPR%2fGEC%2f6624&amp;Lang=en</vt:lpwstr>
      </vt:variant>
      <vt:variant>
        <vt:lpwstr/>
      </vt:variant>
      <vt:variant>
        <vt:i4>4456511</vt:i4>
      </vt:variant>
      <vt:variant>
        <vt:i4>165</vt:i4>
      </vt:variant>
      <vt:variant>
        <vt:i4>0</vt:i4>
      </vt:variant>
      <vt:variant>
        <vt:i4>5</vt:i4>
      </vt:variant>
      <vt:variant>
        <vt:lpwstr>https://www.oas.org/en/iachr/media_center/PReleases/2017/165.asp</vt:lpwstr>
      </vt:variant>
      <vt:variant>
        <vt:lpwstr/>
      </vt:variant>
      <vt:variant>
        <vt:i4>3407972</vt:i4>
      </vt:variant>
      <vt:variant>
        <vt:i4>162</vt:i4>
      </vt:variant>
      <vt:variant>
        <vt:i4>0</vt:i4>
      </vt:variant>
      <vt:variant>
        <vt:i4>5</vt:i4>
      </vt:variant>
      <vt:variant>
        <vt:lpwstr>https://undocs.org/en/A/61/338</vt:lpwstr>
      </vt:variant>
      <vt:variant>
        <vt:lpwstr/>
      </vt:variant>
      <vt:variant>
        <vt:i4>3014769</vt:i4>
      </vt:variant>
      <vt:variant>
        <vt:i4>159</vt:i4>
      </vt:variant>
      <vt:variant>
        <vt:i4>0</vt:i4>
      </vt:variant>
      <vt:variant>
        <vt:i4>5</vt:i4>
      </vt:variant>
      <vt:variant>
        <vt:lpwstr>https://undocs.org/es/CCPR/C/GC/35</vt:lpwstr>
      </vt:variant>
      <vt:variant>
        <vt:lpwstr/>
      </vt:variant>
      <vt:variant>
        <vt:i4>2031626</vt:i4>
      </vt:variant>
      <vt:variant>
        <vt:i4>156</vt:i4>
      </vt:variant>
      <vt:variant>
        <vt:i4>0</vt:i4>
      </vt:variant>
      <vt:variant>
        <vt:i4>5</vt:i4>
      </vt:variant>
      <vt:variant>
        <vt:lpwstr>https://www.refworld.org/cases,HRC,525414304.html</vt:lpwstr>
      </vt:variant>
      <vt:variant>
        <vt:lpwstr/>
      </vt:variant>
      <vt:variant>
        <vt:i4>40</vt:i4>
      </vt:variant>
      <vt:variant>
        <vt:i4>153</vt:i4>
      </vt:variant>
      <vt:variant>
        <vt:i4>0</vt:i4>
      </vt:variant>
      <vt:variant>
        <vt:i4>5</vt:i4>
      </vt:variant>
      <vt:variant>
        <vt:lpwstr>https://tbinternet.ohchr.org/_layouts/15/treatybodyexternal/Download.aspx?symbolno=CCPR%2FC%2F89%2FD%2F1172%2F2003&amp;Lang=en</vt:lpwstr>
      </vt:variant>
      <vt:variant>
        <vt:lpwstr/>
      </vt:variant>
      <vt:variant>
        <vt:i4>327712</vt:i4>
      </vt:variant>
      <vt:variant>
        <vt:i4>150</vt:i4>
      </vt:variant>
      <vt:variant>
        <vt:i4>0</vt:i4>
      </vt:variant>
      <vt:variant>
        <vt:i4>5</vt:i4>
      </vt:variant>
      <vt:variant>
        <vt:lpwstr>https://tbinternet.ohchr.org/_layouts/15/treatybodyexternal/Download.aspx?symbolno=CCPR%2FC%2F78%2FD%2F1014%2F2001&amp;Lang=en</vt:lpwstr>
      </vt:variant>
      <vt:variant>
        <vt:lpwstr/>
      </vt:variant>
      <vt:variant>
        <vt:i4>7274623</vt:i4>
      </vt:variant>
      <vt:variant>
        <vt:i4>147</vt:i4>
      </vt:variant>
      <vt:variant>
        <vt:i4>0</vt:i4>
      </vt:variant>
      <vt:variant>
        <vt:i4>5</vt:i4>
      </vt:variant>
      <vt:variant>
        <vt:lpwstr>https://undocs.org/en/CCPR/C/99/D/1502/2006</vt:lpwstr>
      </vt:variant>
      <vt:variant>
        <vt:lpwstr/>
      </vt:variant>
      <vt:variant>
        <vt:i4>2031626</vt:i4>
      </vt:variant>
      <vt:variant>
        <vt:i4>144</vt:i4>
      </vt:variant>
      <vt:variant>
        <vt:i4>0</vt:i4>
      </vt:variant>
      <vt:variant>
        <vt:i4>5</vt:i4>
      </vt:variant>
      <vt:variant>
        <vt:lpwstr>https://www.refworld.org/cases,HRC,525414304.html</vt:lpwstr>
      </vt:variant>
      <vt:variant>
        <vt:lpwstr/>
      </vt:variant>
      <vt:variant>
        <vt:i4>6684693</vt:i4>
      </vt:variant>
      <vt:variant>
        <vt:i4>141</vt:i4>
      </vt:variant>
      <vt:variant>
        <vt:i4>0</vt:i4>
      </vt:variant>
      <vt:variant>
        <vt:i4>5</vt:i4>
      </vt:variant>
      <vt:variant>
        <vt:lpwstr>https://tbinternet.ohchr.org/_layouts/15/treatybodyexternal/Download.aspx?symbolno=CCPR%2FC%2F74%2FD%2F794%2F1998&amp;Lang=en</vt:lpwstr>
      </vt:variant>
      <vt:variant>
        <vt:lpwstr/>
      </vt:variant>
      <vt:variant>
        <vt:i4>7340059</vt:i4>
      </vt:variant>
      <vt:variant>
        <vt:i4>138</vt:i4>
      </vt:variant>
      <vt:variant>
        <vt:i4>0</vt:i4>
      </vt:variant>
      <vt:variant>
        <vt:i4>5</vt:i4>
      </vt:variant>
      <vt:variant>
        <vt:lpwstr>https://www.un.org/ga/search/viewm_doc.asp?symbol=CCPR/C/83/D/1134/2002</vt:lpwstr>
      </vt:variant>
      <vt:variant>
        <vt:lpwstr/>
      </vt:variant>
      <vt:variant>
        <vt:i4>2687013</vt:i4>
      </vt:variant>
      <vt:variant>
        <vt:i4>135</vt:i4>
      </vt:variant>
      <vt:variant>
        <vt:i4>0</vt:i4>
      </vt:variant>
      <vt:variant>
        <vt:i4>5</vt:i4>
      </vt:variant>
      <vt:variant>
        <vt:lpwstr>https://undocs.org/CCPR/C/51/D/458/1991</vt:lpwstr>
      </vt:variant>
      <vt:variant>
        <vt:lpwstr/>
      </vt:variant>
      <vt:variant>
        <vt:i4>327701</vt:i4>
      </vt:variant>
      <vt:variant>
        <vt:i4>132</vt:i4>
      </vt:variant>
      <vt:variant>
        <vt:i4>0</vt:i4>
      </vt:variant>
      <vt:variant>
        <vt:i4>5</vt:i4>
      </vt:variant>
      <vt:variant>
        <vt:lpwstr>https://undocs.org/CEDAW/C/GC/35</vt:lpwstr>
      </vt:variant>
      <vt:variant>
        <vt:lpwstr/>
      </vt:variant>
      <vt:variant>
        <vt:i4>2752567</vt:i4>
      </vt:variant>
      <vt:variant>
        <vt:i4>129</vt:i4>
      </vt:variant>
      <vt:variant>
        <vt:i4>0</vt:i4>
      </vt:variant>
      <vt:variant>
        <vt:i4>5</vt:i4>
      </vt:variant>
      <vt:variant>
        <vt:lpwstr>https://undocs.org/A/HRC/31/57</vt:lpwstr>
      </vt:variant>
      <vt:variant>
        <vt:lpwstr/>
      </vt:variant>
      <vt:variant>
        <vt:i4>5505031</vt:i4>
      </vt:variant>
      <vt:variant>
        <vt:i4>126</vt:i4>
      </vt:variant>
      <vt:variant>
        <vt:i4>0</vt:i4>
      </vt:variant>
      <vt:variant>
        <vt:i4>5</vt:i4>
      </vt:variant>
      <vt:variant>
        <vt:lpwstr>https://undocs.org/en/CAT/C/ECU/CO/7</vt:lpwstr>
      </vt:variant>
      <vt:variant>
        <vt:lpwstr/>
      </vt:variant>
      <vt:variant>
        <vt:i4>4456521</vt:i4>
      </vt:variant>
      <vt:variant>
        <vt:i4>123</vt:i4>
      </vt:variant>
      <vt:variant>
        <vt:i4>0</vt:i4>
      </vt:variant>
      <vt:variant>
        <vt:i4>5</vt:i4>
      </vt:variant>
      <vt:variant>
        <vt:lpwstr>https://undocs.org/CCPR/C/101/D/1608/2007</vt:lpwstr>
      </vt:variant>
      <vt:variant>
        <vt:lpwstr/>
      </vt:variant>
      <vt:variant>
        <vt:i4>65547</vt:i4>
      </vt:variant>
      <vt:variant>
        <vt:i4>120</vt:i4>
      </vt:variant>
      <vt:variant>
        <vt:i4>0</vt:i4>
      </vt:variant>
      <vt:variant>
        <vt:i4>5</vt:i4>
      </vt:variant>
      <vt:variant>
        <vt:lpwstr>https://undocs.org/CCPR/C/85/D/1153/2003</vt:lpwstr>
      </vt:variant>
      <vt:variant>
        <vt:lpwstr/>
      </vt:variant>
      <vt:variant>
        <vt:i4>1835017</vt:i4>
      </vt:variant>
      <vt:variant>
        <vt:i4>117</vt:i4>
      </vt:variant>
      <vt:variant>
        <vt:i4>0</vt:i4>
      </vt:variant>
      <vt:variant>
        <vt:i4>5</vt:i4>
      </vt:variant>
      <vt:variant>
        <vt:lpwstr>https://undocs.org/en/CCPR/C/116/D/2324/2013</vt:lpwstr>
      </vt:variant>
      <vt:variant>
        <vt:lpwstr/>
      </vt:variant>
      <vt:variant>
        <vt:i4>4915264</vt:i4>
      </vt:variant>
      <vt:variant>
        <vt:i4>114</vt:i4>
      </vt:variant>
      <vt:variant>
        <vt:i4>0</vt:i4>
      </vt:variant>
      <vt:variant>
        <vt:i4>5</vt:i4>
      </vt:variant>
      <vt:variant>
        <vt:lpwstr>https://undocs.org/CCPR/C/119/D/2425/2014</vt:lpwstr>
      </vt:variant>
      <vt:variant>
        <vt:lpwstr/>
      </vt:variant>
      <vt:variant>
        <vt:i4>4456521</vt:i4>
      </vt:variant>
      <vt:variant>
        <vt:i4>111</vt:i4>
      </vt:variant>
      <vt:variant>
        <vt:i4>0</vt:i4>
      </vt:variant>
      <vt:variant>
        <vt:i4>5</vt:i4>
      </vt:variant>
      <vt:variant>
        <vt:lpwstr>https://undocs.org/CCPR/C/101/D/1608/2007</vt:lpwstr>
      </vt:variant>
      <vt:variant>
        <vt:lpwstr/>
      </vt:variant>
      <vt:variant>
        <vt:i4>4456465</vt:i4>
      </vt:variant>
      <vt:variant>
        <vt:i4>108</vt:i4>
      </vt:variant>
      <vt:variant>
        <vt:i4>0</vt:i4>
      </vt:variant>
      <vt:variant>
        <vt:i4>5</vt:i4>
      </vt:variant>
      <vt:variant>
        <vt:lpwstr>https://www.acnur.org/fileadmin/Documentos/BDL/2001/1399.pdf</vt:lpwstr>
      </vt:variant>
      <vt:variant>
        <vt:lpwstr/>
      </vt:variant>
      <vt:variant>
        <vt:i4>4456465</vt:i4>
      </vt:variant>
      <vt:variant>
        <vt:i4>105</vt:i4>
      </vt:variant>
      <vt:variant>
        <vt:i4>0</vt:i4>
      </vt:variant>
      <vt:variant>
        <vt:i4>5</vt:i4>
      </vt:variant>
      <vt:variant>
        <vt:lpwstr>https://www.acnur.org/fileadmin/Documentos/BDL/2001/1399.pdf</vt:lpwstr>
      </vt:variant>
      <vt:variant>
        <vt:lpwstr/>
      </vt:variant>
      <vt:variant>
        <vt:i4>2621563</vt:i4>
      </vt:variant>
      <vt:variant>
        <vt:i4>102</vt:i4>
      </vt:variant>
      <vt:variant>
        <vt:i4>0</vt:i4>
      </vt:variant>
      <vt:variant>
        <vt:i4>5</vt:i4>
      </vt:variant>
      <vt:variant>
        <vt:lpwstr>https://undocs.org/CCPR/C/GC/36</vt:lpwstr>
      </vt:variant>
      <vt:variant>
        <vt:lpwstr/>
      </vt:variant>
      <vt:variant>
        <vt:i4>2621563</vt:i4>
      </vt:variant>
      <vt:variant>
        <vt:i4>99</vt:i4>
      </vt:variant>
      <vt:variant>
        <vt:i4>0</vt:i4>
      </vt:variant>
      <vt:variant>
        <vt:i4>5</vt:i4>
      </vt:variant>
      <vt:variant>
        <vt:lpwstr>https://undocs.org/CCPR/C/GC/36</vt:lpwstr>
      </vt:variant>
      <vt:variant>
        <vt:lpwstr/>
      </vt:variant>
      <vt:variant>
        <vt:i4>4128858</vt:i4>
      </vt:variant>
      <vt:variant>
        <vt:i4>96</vt:i4>
      </vt:variant>
      <vt:variant>
        <vt:i4>0</vt:i4>
      </vt:variant>
      <vt:variant>
        <vt:i4>5</vt:i4>
      </vt:variant>
      <vt:variant>
        <vt:lpwstr>https://tbinternet.ohchr.org/_layouts/15/treatybodyexternal/Download.aspx?symbolno=CCPR%2fC%2f21%2fRev.1%2fAdd.10&amp;Lang=en</vt:lpwstr>
      </vt:variant>
      <vt:variant>
        <vt:lpwstr/>
      </vt:variant>
      <vt:variant>
        <vt:i4>5570669</vt:i4>
      </vt:variant>
      <vt:variant>
        <vt:i4>93</vt:i4>
      </vt:variant>
      <vt:variant>
        <vt:i4>0</vt:i4>
      </vt:variant>
      <vt:variant>
        <vt:i4>5</vt:i4>
      </vt:variant>
      <vt:variant>
        <vt:lpwstr>https://tbinternet.ohchr.org/_layouts/15/treatybodyexternal/Download.aspx?symbolno=INT%2fCCPR%2fGEC%2f6622&amp;Lang=en</vt:lpwstr>
      </vt:variant>
      <vt:variant>
        <vt:lpwstr/>
      </vt:variant>
      <vt:variant>
        <vt:i4>3670059</vt:i4>
      </vt:variant>
      <vt:variant>
        <vt:i4>90</vt:i4>
      </vt:variant>
      <vt:variant>
        <vt:i4>0</vt:i4>
      </vt:variant>
      <vt:variant>
        <vt:i4>5</vt:i4>
      </vt:variant>
      <vt:variant>
        <vt:lpwstr>https://www.estadao.com.br/infograficos/economia,com-pandemia-participacao-das-mulheres-no-mercado-de-trabalho-e-a-menor-em-30-anos,1130056</vt:lpwstr>
      </vt:variant>
      <vt:variant>
        <vt:lpwstr/>
      </vt:variant>
      <vt:variant>
        <vt:i4>8061033</vt:i4>
      </vt:variant>
      <vt:variant>
        <vt:i4>87</vt:i4>
      </vt:variant>
      <vt:variant>
        <vt:i4>0</vt:i4>
      </vt:variant>
      <vt:variant>
        <vt:i4>5</vt:i4>
      </vt:variant>
      <vt:variant>
        <vt:lpwstr>https://g1.globo.com/sp/sao-paulo/noticia/2020/04/28/pretos-tem-62percent-mais-chance-de-morrer-por-covid-19-em-sao-paulo-do-que-brancos.ghtml</vt:lpwstr>
      </vt:variant>
      <vt:variant>
        <vt:lpwstr/>
      </vt:variant>
      <vt:variant>
        <vt:i4>7340071</vt:i4>
      </vt:variant>
      <vt:variant>
        <vt:i4>84</vt:i4>
      </vt:variant>
      <vt:variant>
        <vt:i4>0</vt:i4>
      </vt:variant>
      <vt:variant>
        <vt:i4>5</vt:i4>
      </vt:variant>
      <vt:variant>
        <vt:lpwstr>https://emergenciaindigena.apiboficial.org/files/2020/12/APIB_relatoriocovid_v7EN.pdf</vt:lpwstr>
      </vt:variant>
      <vt:variant>
        <vt:lpwstr/>
      </vt:variant>
      <vt:variant>
        <vt:i4>4653072</vt:i4>
      </vt:variant>
      <vt:variant>
        <vt:i4>81</vt:i4>
      </vt:variant>
      <vt:variant>
        <vt:i4>0</vt:i4>
      </vt:variant>
      <vt:variant>
        <vt:i4>5</vt:i4>
      </vt:variant>
      <vt:variant>
        <vt:lpwstr>https://obgyn.onlinelibrary.wiley.com/doi/abs/10.1002/ijgo.13300</vt:lpwstr>
      </vt:variant>
      <vt:variant>
        <vt:lpwstr/>
      </vt:variant>
      <vt:variant>
        <vt:i4>3276855</vt:i4>
      </vt:variant>
      <vt:variant>
        <vt:i4>78</vt:i4>
      </vt:variant>
      <vt:variant>
        <vt:i4>0</vt:i4>
      </vt:variant>
      <vt:variant>
        <vt:i4>5</vt:i4>
      </vt:variant>
      <vt:variant>
        <vt:lpwstr>https://g.co/kgs/ScQwxP</vt:lpwstr>
      </vt:variant>
      <vt:variant>
        <vt:lpwstr/>
      </vt:variant>
      <vt:variant>
        <vt:i4>1114192</vt:i4>
      </vt:variant>
      <vt:variant>
        <vt:i4>75</vt:i4>
      </vt:variant>
      <vt:variant>
        <vt:i4>0</vt:i4>
      </vt:variant>
      <vt:variant>
        <vt:i4>5</vt:i4>
      </vt:variant>
      <vt:variant>
        <vt:lpwstr>https://apublica.org/2020/04/minha-filha-morreu-a-mingua/?mc_cid=861d3a6af1&amp;mc_eid=97864c06e1</vt:lpwstr>
      </vt:variant>
      <vt:variant>
        <vt:lpwstr/>
      </vt:variant>
      <vt:variant>
        <vt:i4>6029330</vt:i4>
      </vt:variant>
      <vt:variant>
        <vt:i4>72</vt:i4>
      </vt:variant>
      <vt:variant>
        <vt:i4>0</vt:i4>
      </vt:variant>
      <vt:variant>
        <vt:i4>5</vt:i4>
      </vt:variant>
      <vt:variant>
        <vt:lpwstr>https://www.reproductiverights.org/sites/crr.civicactions.net/files/documents/CRR-Zika-Brazil (1).pdf</vt:lpwstr>
      </vt:variant>
      <vt:variant>
        <vt:lpwstr/>
      </vt:variant>
      <vt:variant>
        <vt:i4>2424875</vt:i4>
      </vt:variant>
      <vt:variant>
        <vt:i4>69</vt:i4>
      </vt:variant>
      <vt:variant>
        <vt:i4>0</vt:i4>
      </vt:variant>
      <vt:variant>
        <vt:i4>5</vt:i4>
      </vt:variant>
      <vt:variant>
        <vt:lpwstr>https://www.paho.org/hq/dmdocuments/2017/2017-oct-5-phe-ZIKV-cases.pdf</vt:lpwstr>
      </vt:variant>
      <vt:variant>
        <vt:lpwstr/>
      </vt:variant>
      <vt:variant>
        <vt:i4>3735648</vt:i4>
      </vt:variant>
      <vt:variant>
        <vt:i4>66</vt:i4>
      </vt:variant>
      <vt:variant>
        <vt:i4>0</vt:i4>
      </vt:variant>
      <vt:variant>
        <vt:i4>5</vt:i4>
      </vt:variant>
      <vt:variant>
        <vt:lpwstr>https://www.guttmacher.org/about/journals/ipsrh/2015/03/higher-levels-education-associated-greater-access-safe-abortion-brazil</vt:lpwstr>
      </vt:variant>
      <vt:variant>
        <vt:lpwstr/>
      </vt:variant>
      <vt:variant>
        <vt:i4>4390967</vt:i4>
      </vt:variant>
      <vt:variant>
        <vt:i4>63</vt:i4>
      </vt:variant>
      <vt:variant>
        <vt:i4>0</vt:i4>
      </vt:variant>
      <vt:variant>
        <vt:i4>5</vt:i4>
      </vt:variant>
      <vt:variant>
        <vt:lpwstr>http://www.portaldpge.rj.gov.br/Portal/sarova/imagem-dpge/public/arquivos/Relatorio_Final_Processo_Aborto.pdf</vt:lpwstr>
      </vt:variant>
      <vt:variant>
        <vt:lpwstr/>
      </vt:variant>
      <vt:variant>
        <vt:i4>196611</vt:i4>
      </vt:variant>
      <vt:variant>
        <vt:i4>60</vt:i4>
      </vt:variant>
      <vt:variant>
        <vt:i4>0</vt:i4>
      </vt:variant>
      <vt:variant>
        <vt:i4>5</vt:i4>
      </vt:variant>
      <vt:variant>
        <vt:lpwstr>https://oglobo.globo.com/celina/impacto-da-pandemia-nos-servicos-de-planejamento-familiar-faz-oferta-de-diu-laqueadura-pelo-sus-cair-mais-de-40-25028586</vt:lpwstr>
      </vt:variant>
      <vt:variant>
        <vt:lpwstr/>
      </vt:variant>
      <vt:variant>
        <vt:i4>196611</vt:i4>
      </vt:variant>
      <vt:variant>
        <vt:i4>57</vt:i4>
      </vt:variant>
      <vt:variant>
        <vt:i4>0</vt:i4>
      </vt:variant>
      <vt:variant>
        <vt:i4>5</vt:i4>
      </vt:variant>
      <vt:variant>
        <vt:lpwstr>https://oglobo.globo.com/celina/impacto-da-pandemia-nos-servicos-de-planejamento-familiar-faz-oferta-de-diu-laqueadura-pelo-sus-cair-mais-de-40-25028586</vt:lpwstr>
      </vt:variant>
      <vt:variant>
        <vt:lpwstr/>
      </vt:variant>
      <vt:variant>
        <vt:i4>2031621</vt:i4>
      </vt:variant>
      <vt:variant>
        <vt:i4>54</vt:i4>
      </vt:variant>
      <vt:variant>
        <vt:i4>0</vt:i4>
      </vt:variant>
      <vt:variant>
        <vt:i4>5</vt:i4>
      </vt:variant>
      <vt:variant>
        <vt:lpwstr>https://oglobo.globo.com/sociedade/ministerio-da-saude-recomenda-que-mulheres-adiem-gravidez-devido-pandemia-24974423</vt:lpwstr>
      </vt:variant>
      <vt:variant>
        <vt:lpwstr/>
      </vt:variant>
      <vt:variant>
        <vt:i4>7209067</vt:i4>
      </vt:variant>
      <vt:variant>
        <vt:i4>51</vt:i4>
      </vt:variant>
      <vt:variant>
        <vt:i4>0</vt:i4>
      </vt:variant>
      <vt:variant>
        <vt:i4>5</vt:i4>
      </vt:variant>
      <vt:variant>
        <vt:lpwstr>http://www.ncbi.nlm.nih.gov/pmc/articles/PMC4203075/</vt:lpwstr>
      </vt:variant>
      <vt:variant>
        <vt:lpwstr>fn4</vt:lpwstr>
      </vt:variant>
      <vt:variant>
        <vt:i4>983124</vt:i4>
      </vt:variant>
      <vt:variant>
        <vt:i4>48</vt:i4>
      </vt:variant>
      <vt:variant>
        <vt:i4>0</vt:i4>
      </vt:variant>
      <vt:variant>
        <vt:i4>5</vt:i4>
      </vt:variant>
      <vt:variant>
        <vt:lpwstr>https://www.hrw.org/world-report/2015/country-chapters/brazil</vt:lpwstr>
      </vt:variant>
      <vt:variant>
        <vt:lpwstr/>
      </vt:variant>
      <vt:variant>
        <vt:i4>4980797</vt:i4>
      </vt:variant>
      <vt:variant>
        <vt:i4>45</vt:i4>
      </vt:variant>
      <vt:variant>
        <vt:i4>0</vt:i4>
      </vt:variant>
      <vt:variant>
        <vt:i4>5</vt:i4>
      </vt:variant>
      <vt:variant>
        <vt:lpwstr>http://www.scielo.br/scielo.php?script=sci_arttext&amp;pid=S0100-72032018000900501&amp;lng=en&amp;nrm=iso</vt:lpwstr>
      </vt:variant>
      <vt:variant>
        <vt:lpwstr/>
      </vt:variant>
      <vt:variant>
        <vt:i4>4128814</vt:i4>
      </vt:variant>
      <vt:variant>
        <vt:i4>42</vt:i4>
      </vt:variant>
      <vt:variant>
        <vt:i4>0</vt:i4>
      </vt:variant>
      <vt:variant>
        <vt:i4>5</vt:i4>
      </vt:variant>
      <vt:variant>
        <vt:lpwstr>https://www.thelancet.com/journals/lancet/article/PIIS0140-6736(20)31956-5/fulltext</vt:lpwstr>
      </vt:variant>
      <vt:variant>
        <vt:lpwstr/>
      </vt:variant>
      <vt:variant>
        <vt:i4>5767250</vt:i4>
      </vt:variant>
      <vt:variant>
        <vt:i4>39</vt:i4>
      </vt:variant>
      <vt:variant>
        <vt:i4>0</vt:i4>
      </vt:variant>
      <vt:variant>
        <vt:i4>5</vt:i4>
      </vt:variant>
      <vt:variant>
        <vt:lpwstr>https://www1.folha.uol.com.br/internacional/en/brazil/2020/09/minister-damares-alves-tried-prevent-abortion-of-a-10-year-old-child.shtml</vt:lpwstr>
      </vt:variant>
      <vt:variant>
        <vt:lpwstr/>
      </vt:variant>
      <vt:variant>
        <vt:i4>5308485</vt:i4>
      </vt:variant>
      <vt:variant>
        <vt:i4>36</vt:i4>
      </vt:variant>
      <vt:variant>
        <vt:i4>0</vt:i4>
      </vt:variant>
      <vt:variant>
        <vt:i4>5</vt:i4>
      </vt:variant>
      <vt:variant>
        <vt:lpwstr>https://www.theguardian.com/world/2020/aug/17/brazil-protest-abortion-recife-hospital</vt:lpwstr>
      </vt:variant>
      <vt:variant>
        <vt:lpwstr/>
      </vt:variant>
      <vt:variant>
        <vt:i4>1638472</vt:i4>
      </vt:variant>
      <vt:variant>
        <vt:i4>33</vt:i4>
      </vt:variant>
      <vt:variant>
        <vt:i4>0</vt:i4>
      </vt:variant>
      <vt:variant>
        <vt:i4>5</vt:i4>
      </vt:variant>
      <vt:variant>
        <vt:lpwstr>https://mapaabortolegal.org/</vt:lpwstr>
      </vt:variant>
      <vt:variant>
        <vt:lpwstr/>
      </vt:variant>
      <vt:variant>
        <vt:i4>7143466</vt:i4>
      </vt:variant>
      <vt:variant>
        <vt:i4>30</vt:i4>
      </vt:variant>
      <vt:variant>
        <vt:i4>0</vt:i4>
      </vt:variant>
      <vt:variant>
        <vt:i4>5</vt:i4>
      </vt:variant>
      <vt:variant>
        <vt:lpwstr>http://www.generonumero.media/so-55-dos-hospitais-que-ofereciam-servico-de-aborto-legal-no-brasil-seguem-atendendo-na-pandemia/</vt:lpwstr>
      </vt:variant>
      <vt:variant>
        <vt:lpwstr/>
      </vt:variant>
      <vt:variant>
        <vt:i4>2883692</vt:i4>
      </vt:variant>
      <vt:variant>
        <vt:i4>27</vt:i4>
      </vt:variant>
      <vt:variant>
        <vt:i4>0</vt:i4>
      </vt:variant>
      <vt:variant>
        <vt:i4>5</vt:i4>
      </vt:variant>
      <vt:variant>
        <vt:lpwstr>http://apublica.org/2014/05/dor-em-dobro-2</vt:lpwstr>
      </vt:variant>
      <vt:variant>
        <vt:lpwstr/>
      </vt:variant>
      <vt:variant>
        <vt:i4>5505098</vt:i4>
      </vt:variant>
      <vt:variant>
        <vt:i4>24</vt:i4>
      </vt:variant>
      <vt:variant>
        <vt:i4>0</vt:i4>
      </vt:variant>
      <vt:variant>
        <vt:i4>5</vt:i4>
      </vt:variant>
      <vt:variant>
        <vt:lpwstr>https://www1.folha.uol.com.br/equilibrioesaude/2021/04/em-manaus-medicos-ignoram-protocolos-para-ministrar-nebulizacao-de-cloroquina-em-maternidade.shtml</vt:lpwstr>
      </vt:variant>
      <vt:variant>
        <vt:lpwstr/>
      </vt:variant>
      <vt:variant>
        <vt:i4>1900545</vt:i4>
      </vt:variant>
      <vt:variant>
        <vt:i4>21</vt:i4>
      </vt:variant>
      <vt:variant>
        <vt:i4>0</vt:i4>
      </vt:variant>
      <vt:variant>
        <vt:i4>5</vt:i4>
      </vt:variant>
      <vt:variant>
        <vt:lpwstr>https://extra.globo.com/noticias/rio/familia-suspeita-de-morte-de-jovem-em-maternidade-prefeitura-do-rio-promete-apurar-24617770.html</vt:lpwstr>
      </vt:variant>
      <vt:variant>
        <vt:lpwstr/>
      </vt:variant>
      <vt:variant>
        <vt:i4>5046338</vt:i4>
      </vt:variant>
      <vt:variant>
        <vt:i4>18</vt:i4>
      </vt:variant>
      <vt:variant>
        <vt:i4>0</vt:i4>
      </vt:variant>
      <vt:variant>
        <vt:i4>5</vt:i4>
      </vt:variant>
      <vt:variant>
        <vt:lpwstr>https://www.geledes.org.br/wp-content/uploads/2016/11/Dossie-Mulheres-Negras-PT-WEB3.pdf</vt:lpwstr>
      </vt:variant>
      <vt:variant>
        <vt:lpwstr/>
      </vt:variant>
      <vt:variant>
        <vt:i4>3866751</vt:i4>
      </vt:variant>
      <vt:variant>
        <vt:i4>15</vt:i4>
      </vt:variant>
      <vt:variant>
        <vt:i4>0</vt:i4>
      </vt:variant>
      <vt:variant>
        <vt:i4>5</vt:i4>
      </vt:variant>
      <vt:variant>
        <vt:lpwstr>https://doi.org/10.1590/1413-812320182311.31552016</vt:lpwstr>
      </vt:variant>
      <vt:variant>
        <vt:lpwstr/>
      </vt:variant>
      <vt:variant>
        <vt:i4>1703957</vt:i4>
      </vt:variant>
      <vt:variant>
        <vt:i4>12</vt:i4>
      </vt:variant>
      <vt:variant>
        <vt:i4>0</vt:i4>
      </vt:variant>
      <vt:variant>
        <vt:i4>5</vt:i4>
      </vt:variant>
      <vt:variant>
        <vt:lpwstr>http://datasus.saude.gov.br/noticias/atualizacoes/658-dados-do-datasus-mostram-que-numero-de-mortes-na-gravidez-e-preocupante</vt:lpwstr>
      </vt:variant>
      <vt:variant>
        <vt:lpwstr/>
      </vt:variant>
      <vt:variant>
        <vt:i4>1900637</vt:i4>
      </vt:variant>
      <vt:variant>
        <vt:i4>9</vt:i4>
      </vt:variant>
      <vt:variant>
        <vt:i4>0</vt:i4>
      </vt:variant>
      <vt:variant>
        <vt:i4>5</vt:i4>
      </vt:variant>
      <vt:variant>
        <vt:lpwstr>http://www.scielo.br/pdf/csp/v33s1/1678-4464-csp-33-s1-e00078816.pdf</vt:lpwstr>
      </vt:variant>
      <vt:variant>
        <vt:lpwstr/>
      </vt:variant>
      <vt:variant>
        <vt:i4>5505117</vt:i4>
      </vt:variant>
      <vt:variant>
        <vt:i4>6</vt:i4>
      </vt:variant>
      <vt:variant>
        <vt:i4>0</vt:i4>
      </vt:variant>
      <vt:variant>
        <vt:i4>5</vt:i4>
      </vt:variant>
      <vt:variant>
        <vt:lpwstr>http://www.generonumero.media/racismo-mortalidade-materna</vt:lpwstr>
      </vt:variant>
      <vt:variant>
        <vt:lpwstr/>
      </vt:variant>
      <vt:variant>
        <vt:i4>3276892</vt:i4>
      </vt:variant>
      <vt:variant>
        <vt:i4>3</vt:i4>
      </vt:variant>
      <vt:variant>
        <vt:i4>0</vt:i4>
      </vt:variant>
      <vt:variant>
        <vt:i4>5</vt:i4>
      </vt:variant>
      <vt:variant>
        <vt:lpwstr>https://www.who.int/gho/maternal_health/countries/bra.pdf?ua=1</vt:lpwstr>
      </vt:variant>
      <vt:variant>
        <vt:lpwstr/>
      </vt:variant>
      <vt:variant>
        <vt:i4>4980797</vt:i4>
      </vt:variant>
      <vt:variant>
        <vt:i4>0</vt:i4>
      </vt:variant>
      <vt:variant>
        <vt:i4>0</vt:i4>
      </vt:variant>
      <vt:variant>
        <vt:i4>5</vt:i4>
      </vt:variant>
      <vt:variant>
        <vt:lpwstr>http://www.scielo.br/scielo.php?script=sci_arttext&amp;pid=S0100-72032018000900501&amp;lng=en&amp;nrm=iso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 Cesario Alvim</dc:creator>
  <cp:keywords/>
  <dc:description/>
  <cp:lastModifiedBy>Allacher Harald (OeRK)</cp:lastModifiedBy>
  <cp:revision>2</cp:revision>
  <dcterms:created xsi:type="dcterms:W3CDTF">2022-05-11T12:50:00Z</dcterms:created>
  <dcterms:modified xsi:type="dcterms:W3CDTF">2022-05-11T12:50:00Z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0x010100D94DC6E63E0E4C40BB58A92BBDBC479C</vt:lpwstr>
  </property>
</Properties>
</file>