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1F06" w14:textId="77777777" w:rsidR="008066F7" w:rsidRPr="000861D3" w:rsidRDefault="008066F7" w:rsidP="008066F7">
      <w:pPr>
        <w:pStyle w:val="Normal1"/>
        <w:jc w:val="right"/>
        <w:rPr>
          <w:rFonts w:ascii="Franklin Gothic Medium" w:hAnsi="Franklin Gothic Medium"/>
          <w:sz w:val="24"/>
          <w:szCs w:val="24"/>
        </w:rPr>
      </w:pPr>
      <w:r w:rsidRPr="000861D3">
        <w:rPr>
          <w:rFonts w:ascii="Franklin Gothic Demi" w:hAnsi="Franklin Gothic Demi" w:cs="Cordia New"/>
          <w:b/>
          <w:noProof/>
          <w:color w:val="17365D" w:themeColor="text2" w:themeShade="BF"/>
          <w:sz w:val="40"/>
          <w:szCs w:val="40"/>
        </w:rPr>
        <w:drawing>
          <wp:inline distT="0" distB="0" distL="0" distR="0" wp14:anchorId="61FF467C" wp14:editId="193FE176">
            <wp:extent cx="3038821" cy="493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F_with_byline_left_positive.png"/>
                    <pic:cNvPicPr/>
                  </pic:nvPicPr>
                  <pic:blipFill>
                    <a:blip r:embed="rId9"/>
                    <a:stretch>
                      <a:fillRect/>
                    </a:stretch>
                  </pic:blipFill>
                  <pic:spPr>
                    <a:xfrm>
                      <a:off x="0" y="0"/>
                      <a:ext cx="3140699" cy="509692"/>
                    </a:xfrm>
                    <a:prstGeom prst="rect">
                      <a:avLst/>
                    </a:prstGeom>
                  </pic:spPr>
                </pic:pic>
              </a:graphicData>
            </a:graphic>
          </wp:inline>
        </w:drawing>
      </w:r>
    </w:p>
    <w:p w14:paraId="0DBBDB03" w14:textId="77777777" w:rsidR="008066F7" w:rsidRPr="000861D3" w:rsidRDefault="008066F7" w:rsidP="008066F7">
      <w:pPr>
        <w:pStyle w:val="Normal1"/>
        <w:jc w:val="right"/>
        <w:rPr>
          <w:rFonts w:ascii="Franklin Gothic Medium" w:hAnsi="Franklin Gothic Medium"/>
          <w:sz w:val="24"/>
          <w:szCs w:val="24"/>
        </w:rPr>
      </w:pPr>
    </w:p>
    <w:p w14:paraId="7ACDAD8C" w14:textId="77777777" w:rsidR="008066F7" w:rsidRPr="000861D3" w:rsidRDefault="008066F7" w:rsidP="008066F7">
      <w:pPr>
        <w:pStyle w:val="Normal1"/>
        <w:shd w:val="clear" w:color="auto" w:fill="F2F2F2" w:themeFill="background1" w:themeFillShade="F2"/>
        <w:jc w:val="center"/>
        <w:rPr>
          <w:rFonts w:ascii="Franklin Gothic Demi" w:hAnsi="Franklin Gothic Demi" w:cs="Cordia New"/>
          <w:b/>
          <w:sz w:val="20"/>
          <w:szCs w:val="20"/>
        </w:rPr>
      </w:pPr>
    </w:p>
    <w:p w14:paraId="27676F89" w14:textId="6CE40D4E" w:rsidR="002E4741" w:rsidRPr="004E53E4" w:rsidRDefault="000118E0" w:rsidP="002E4741">
      <w:pPr>
        <w:pStyle w:val="Normal1"/>
        <w:shd w:val="clear" w:color="auto" w:fill="F2F2F2" w:themeFill="background1" w:themeFillShade="F2"/>
        <w:jc w:val="center"/>
        <w:rPr>
          <w:rFonts w:ascii="Franklin Gothic Demi" w:hAnsi="Franklin Gothic Demi" w:cs="Cordia New"/>
          <w:b/>
          <w:bCs/>
          <w:color w:val="17365D" w:themeColor="text2" w:themeShade="BF"/>
          <w:sz w:val="44"/>
          <w:szCs w:val="44"/>
        </w:rPr>
      </w:pPr>
      <w:r>
        <w:rPr>
          <w:rFonts w:ascii="Franklin Gothic Demi" w:hAnsi="Franklin Gothic Demi" w:cs="Cordia New"/>
          <w:b/>
          <w:bCs/>
          <w:color w:val="17365D" w:themeColor="text2" w:themeShade="BF"/>
          <w:sz w:val="44"/>
          <w:szCs w:val="44"/>
        </w:rPr>
        <w:t>Egypt</w:t>
      </w:r>
    </w:p>
    <w:p w14:paraId="462EAFE3" w14:textId="19F7A7C2" w:rsidR="002E4741" w:rsidRDefault="002E4741" w:rsidP="000118E0">
      <w:pPr>
        <w:pStyle w:val="Normal1"/>
        <w:shd w:val="clear" w:color="auto" w:fill="F2F2F2" w:themeFill="background1" w:themeFillShade="F2"/>
        <w:jc w:val="center"/>
        <w:rPr>
          <w:rFonts w:ascii="Franklin Gothic Demi" w:hAnsi="Franklin Gothic Demi" w:cs="Cordia New"/>
          <w:b/>
          <w:bCs/>
          <w:color w:val="17365D" w:themeColor="text2" w:themeShade="BF"/>
          <w:sz w:val="36"/>
          <w:szCs w:val="36"/>
        </w:rPr>
      </w:pPr>
      <w:r>
        <w:rPr>
          <w:rFonts w:ascii="Franklin Gothic Demi" w:hAnsi="Franklin Gothic Demi" w:cs="Cordia New"/>
          <w:b/>
          <w:bCs/>
          <w:color w:val="17365D" w:themeColor="text2" w:themeShade="BF"/>
          <w:sz w:val="36"/>
          <w:szCs w:val="36"/>
        </w:rPr>
        <w:t>S</w:t>
      </w:r>
      <w:r w:rsidRPr="004E53E4">
        <w:rPr>
          <w:rFonts w:ascii="Franklin Gothic Demi" w:hAnsi="Franklin Gothic Demi" w:cs="Cordia New"/>
          <w:b/>
          <w:bCs/>
          <w:color w:val="17365D" w:themeColor="text2" w:themeShade="BF"/>
          <w:sz w:val="36"/>
          <w:szCs w:val="36"/>
        </w:rPr>
        <w:t xml:space="preserve">ubmission to the </w:t>
      </w:r>
      <w:r w:rsidR="000118E0" w:rsidRPr="000118E0">
        <w:rPr>
          <w:rFonts w:ascii="Franklin Gothic Demi" w:hAnsi="Franklin Gothic Demi" w:cs="Cordia New"/>
          <w:b/>
          <w:bCs/>
          <w:color w:val="17365D" w:themeColor="text2" w:themeShade="BF"/>
          <w:sz w:val="36"/>
          <w:szCs w:val="36"/>
        </w:rPr>
        <w:t>Human Rights Committee</w:t>
      </w:r>
    </w:p>
    <w:p w14:paraId="008F8459" w14:textId="77777777" w:rsidR="000118E0" w:rsidRPr="000118E0" w:rsidRDefault="000118E0" w:rsidP="000118E0">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rPr>
      </w:pPr>
      <w:r w:rsidRPr="000118E0">
        <w:rPr>
          <w:rFonts w:ascii="Franklin Gothic Demi" w:hAnsi="Franklin Gothic Demi" w:cs="Cordia New"/>
          <w:b/>
          <w:bCs/>
          <w:color w:val="17365D" w:themeColor="text2" w:themeShade="BF"/>
          <w:sz w:val="28"/>
          <w:szCs w:val="28"/>
        </w:rPr>
        <w:t>134th session (28 February 2022 – 25 March 2022)</w:t>
      </w:r>
    </w:p>
    <w:p w14:paraId="3FB2A5B0" w14:textId="03DF4B32" w:rsidR="000118E0" w:rsidRDefault="000118E0" w:rsidP="000118E0">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rPr>
      </w:pPr>
      <w:r w:rsidRPr="000118E0">
        <w:rPr>
          <w:rFonts w:ascii="Franklin Gothic Demi" w:hAnsi="Franklin Gothic Demi" w:cs="Cordia New"/>
          <w:b/>
          <w:bCs/>
          <w:color w:val="17365D" w:themeColor="text2" w:themeShade="BF"/>
          <w:sz w:val="28"/>
          <w:szCs w:val="28"/>
        </w:rPr>
        <w:t>List of Issues</w:t>
      </w:r>
    </w:p>
    <w:p w14:paraId="5C85B9FE" w14:textId="77777777" w:rsidR="002E4741" w:rsidRPr="004E53E4" w:rsidRDefault="002E4741" w:rsidP="002E4741">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rPr>
      </w:pPr>
    </w:p>
    <w:p w14:paraId="0000000C" w14:textId="3B0560D3" w:rsidR="00FF0B19" w:rsidRDefault="00FF0B19">
      <w:pPr>
        <w:pBdr>
          <w:top w:val="nil"/>
          <w:left w:val="nil"/>
          <w:bottom w:val="nil"/>
          <w:right w:val="nil"/>
          <w:between w:val="nil"/>
        </w:pBdr>
        <w:spacing w:line="276" w:lineRule="auto"/>
        <w:jc w:val="left"/>
        <w:rPr>
          <w:rFonts w:ascii="Libre Franklin" w:hAnsi="Libre Franklin"/>
          <w:b/>
          <w:color w:val="000000"/>
          <w:sz w:val="28"/>
          <w:szCs w:val="28"/>
        </w:rPr>
      </w:pPr>
    </w:p>
    <w:p w14:paraId="58606095" w14:textId="77777777" w:rsidR="002E4741" w:rsidRDefault="002E4741">
      <w:pPr>
        <w:pBdr>
          <w:top w:val="nil"/>
          <w:left w:val="nil"/>
          <w:bottom w:val="nil"/>
          <w:right w:val="nil"/>
          <w:between w:val="nil"/>
        </w:pBdr>
        <w:spacing w:line="276" w:lineRule="auto"/>
        <w:jc w:val="left"/>
        <w:rPr>
          <w:rFonts w:ascii="Libre Franklin" w:hAnsi="Libre Franklin"/>
          <w:b/>
          <w:color w:val="000000"/>
          <w:sz w:val="28"/>
          <w:szCs w:val="28"/>
        </w:rPr>
      </w:pPr>
    </w:p>
    <w:p w14:paraId="0000000D" w14:textId="77777777" w:rsidR="00FF0B19" w:rsidRDefault="00FF0B19"/>
    <w:p w14:paraId="0000000E" w14:textId="3DE9235B" w:rsidR="00FF0B19" w:rsidRDefault="00F1611E">
      <w:pPr>
        <w:spacing w:line="276" w:lineRule="auto"/>
        <w:jc w:val="left"/>
        <w:sectPr w:rsidR="00FF0B19" w:rsidSect="002F3BBB">
          <w:headerReference w:type="default" r:id="rId10"/>
          <w:footerReference w:type="even" r:id="rId11"/>
          <w:footerReference w:type="default" r:id="rId12"/>
          <w:pgSz w:w="12240" w:h="15840"/>
          <w:pgMar w:top="1440" w:right="1440" w:bottom="1440" w:left="1440" w:header="0" w:footer="720" w:gutter="0"/>
          <w:pgNumType w:start="0"/>
          <w:cols w:space="720"/>
          <w:titlePg/>
          <w:docGrid w:linePitch="299"/>
        </w:sectPr>
      </w:pPr>
      <w:r w:rsidRPr="004E53E4">
        <w:rPr>
          <w:b/>
          <w:noProof/>
        </w:rPr>
        <mc:AlternateContent>
          <mc:Choice Requires="wps">
            <w:drawing>
              <wp:anchor distT="0" distB="0" distL="114300" distR="114300" simplePos="0" relativeHeight="251659264" behindDoc="0" locked="0" layoutInCell="1" allowOverlap="1" wp14:anchorId="33FE2882" wp14:editId="69C11012">
                <wp:simplePos x="0" y="0"/>
                <wp:positionH relativeFrom="column">
                  <wp:posOffset>1988862</wp:posOffset>
                </wp:positionH>
                <wp:positionV relativeFrom="paragraph">
                  <wp:posOffset>3365458</wp:posOffset>
                </wp:positionV>
                <wp:extent cx="4318000" cy="125980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18000" cy="1259802"/>
                        </a:xfrm>
                        <a:prstGeom prst="rect">
                          <a:avLst/>
                        </a:prstGeom>
                        <a:noFill/>
                        <a:ln w="6350">
                          <a:noFill/>
                        </a:ln>
                      </wps:spPr>
                      <wps:txbx>
                        <w:txbxContent>
                          <w:p w14:paraId="2D945870" w14:textId="77777777" w:rsidR="001715E1" w:rsidRDefault="001715E1" w:rsidP="00F1611E">
                            <w:pPr>
                              <w:tabs>
                                <w:tab w:val="left" w:pos="8647"/>
                              </w:tabs>
                              <w:ind w:right="283"/>
                              <w:jc w:val="right"/>
                              <w:rPr>
                                <w:b/>
                                <w:color w:val="1F497D" w:themeColor="text2"/>
                                <w:sz w:val="20"/>
                                <w:szCs w:val="20"/>
                              </w:rPr>
                            </w:pPr>
                          </w:p>
                          <w:p w14:paraId="6F13BD35" w14:textId="66823E13" w:rsidR="00ED7AC1" w:rsidRPr="00F12D2A" w:rsidRDefault="00ED7AC1" w:rsidP="00F1611E">
                            <w:pPr>
                              <w:tabs>
                                <w:tab w:val="left" w:pos="8647"/>
                              </w:tabs>
                              <w:ind w:right="283"/>
                              <w:jc w:val="right"/>
                              <w:rPr>
                                <w:color w:val="1F497D" w:themeColor="text2"/>
                                <w:sz w:val="20"/>
                                <w:szCs w:val="20"/>
                              </w:rPr>
                            </w:pPr>
                            <w:r w:rsidRPr="00F12D2A">
                              <w:rPr>
                                <w:color w:val="1F497D" w:themeColor="text2"/>
                                <w:sz w:val="20"/>
                                <w:szCs w:val="20"/>
                              </w:rPr>
                              <w:t>For more information, please contact:</w:t>
                            </w:r>
                          </w:p>
                          <w:p w14:paraId="634E92E3" w14:textId="77777777" w:rsidR="00ED7AC1" w:rsidRPr="00F12D2A" w:rsidRDefault="00ED7AC1" w:rsidP="00F1611E">
                            <w:pPr>
                              <w:tabs>
                                <w:tab w:val="left" w:pos="8647"/>
                              </w:tabs>
                              <w:ind w:right="283"/>
                              <w:jc w:val="right"/>
                              <w:rPr>
                                <w:color w:val="1F497D" w:themeColor="text2"/>
                                <w:sz w:val="20"/>
                                <w:szCs w:val="20"/>
                              </w:rPr>
                            </w:pPr>
                            <w:r w:rsidRPr="00F12D2A">
                              <w:rPr>
                                <w:color w:val="1F497D" w:themeColor="text2"/>
                                <w:sz w:val="20"/>
                                <w:szCs w:val="20"/>
                              </w:rPr>
                              <w:t>Women’s International League for Peace and Freedom (WILPF)</w:t>
                            </w:r>
                          </w:p>
                          <w:p w14:paraId="5B1D2C85" w14:textId="77777777" w:rsidR="00ED7AC1" w:rsidRPr="00734E49" w:rsidRDefault="00ED7AC1" w:rsidP="00F1611E">
                            <w:pPr>
                              <w:tabs>
                                <w:tab w:val="left" w:pos="8647"/>
                              </w:tabs>
                              <w:ind w:right="283"/>
                              <w:jc w:val="right"/>
                              <w:rPr>
                                <w:color w:val="1F497D" w:themeColor="text2"/>
                                <w:sz w:val="20"/>
                                <w:szCs w:val="20"/>
                              </w:rPr>
                            </w:pPr>
                            <w:r w:rsidRPr="00734E49">
                              <w:rPr>
                                <w:color w:val="1F497D" w:themeColor="text2"/>
                                <w:sz w:val="20"/>
                                <w:szCs w:val="20"/>
                              </w:rPr>
                              <w:t xml:space="preserve">Email: </w:t>
                            </w:r>
                            <w:r>
                              <w:rPr>
                                <w:color w:val="1F497D" w:themeColor="text2"/>
                                <w:sz w:val="20"/>
                                <w:szCs w:val="20"/>
                              </w:rPr>
                              <w:t>secretariat</w:t>
                            </w:r>
                            <w:r w:rsidRPr="00734E49">
                              <w:rPr>
                                <w:color w:val="1F497D" w:themeColor="text2"/>
                                <w:sz w:val="20"/>
                                <w:szCs w:val="20"/>
                              </w:rPr>
                              <w:t>@wilpf.org| Tel: +41 (0) 22919 70 80 | Web: wilpf.org</w:t>
                            </w:r>
                          </w:p>
                          <w:p w14:paraId="0941D731" w14:textId="77777777" w:rsidR="00ED7AC1" w:rsidRPr="00734E49" w:rsidRDefault="00ED7AC1" w:rsidP="00F1611E">
                            <w:pPr>
                              <w:jc w:val="right"/>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E2882" id="_x0000_t202" coordsize="21600,21600" o:spt="202" path="m,l,21600r21600,l21600,xe">
                <v:stroke joinstyle="miter"/>
                <v:path gradientshapeok="t" o:connecttype="rect"/>
              </v:shapetype>
              <v:shape id="Text Box 12" o:spid="_x0000_s1026" type="#_x0000_t202" style="position:absolute;margin-left:156.6pt;margin-top:265pt;width:340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" filled="f" stroked="f" strokeweight=".5pt">
                <v:textbox>
                  <w:txbxContent>
                    <w:p w14:paraId="2D945870" w14:textId="77777777" w:rsidR="001715E1" w:rsidRDefault="001715E1" w:rsidP="00F1611E">
                      <w:pPr>
                        <w:tabs>
                          <w:tab w:val="left" w:pos="8647"/>
                        </w:tabs>
                        <w:ind w:right="283"/>
                        <w:jc w:val="right"/>
                        <w:rPr>
                          <w:b/>
                          <w:color w:val="1F497D" w:themeColor="text2"/>
                          <w:sz w:val="20"/>
                          <w:szCs w:val="20"/>
                        </w:rPr>
                      </w:pPr>
                    </w:p>
                    <w:p w14:paraId="6F13BD35" w14:textId="66823E13" w:rsidR="00ED7AC1" w:rsidRPr="00F12D2A" w:rsidRDefault="00ED7AC1" w:rsidP="00F1611E">
                      <w:pPr>
                        <w:tabs>
                          <w:tab w:val="left" w:pos="8647"/>
                        </w:tabs>
                        <w:ind w:right="283"/>
                        <w:jc w:val="right"/>
                        <w:rPr>
                          <w:color w:val="1F497D" w:themeColor="text2"/>
                          <w:sz w:val="20"/>
                          <w:szCs w:val="20"/>
                        </w:rPr>
                      </w:pPr>
                      <w:r w:rsidRPr="00F12D2A">
                        <w:rPr>
                          <w:color w:val="1F497D" w:themeColor="text2"/>
                          <w:sz w:val="20"/>
                          <w:szCs w:val="20"/>
                        </w:rPr>
                        <w:t>For more information, please contact:</w:t>
                      </w:r>
                    </w:p>
                    <w:p w14:paraId="634E92E3" w14:textId="77777777" w:rsidR="00ED7AC1" w:rsidRPr="00F12D2A" w:rsidRDefault="00ED7AC1" w:rsidP="00F1611E">
                      <w:pPr>
                        <w:tabs>
                          <w:tab w:val="left" w:pos="8647"/>
                        </w:tabs>
                        <w:ind w:right="283"/>
                        <w:jc w:val="right"/>
                        <w:rPr>
                          <w:color w:val="1F497D" w:themeColor="text2"/>
                          <w:sz w:val="20"/>
                          <w:szCs w:val="20"/>
                        </w:rPr>
                      </w:pPr>
                      <w:r w:rsidRPr="00F12D2A">
                        <w:rPr>
                          <w:color w:val="1F497D" w:themeColor="text2"/>
                          <w:sz w:val="20"/>
                          <w:szCs w:val="20"/>
                        </w:rPr>
                        <w:t>Women’s International League for Peace and Freedom (WILPF)</w:t>
                      </w:r>
                    </w:p>
                    <w:p w14:paraId="5B1D2C85" w14:textId="77777777" w:rsidR="00ED7AC1" w:rsidRPr="00734E49" w:rsidRDefault="00ED7AC1" w:rsidP="00F1611E">
                      <w:pPr>
                        <w:tabs>
                          <w:tab w:val="left" w:pos="8647"/>
                        </w:tabs>
                        <w:ind w:right="283"/>
                        <w:jc w:val="right"/>
                        <w:rPr>
                          <w:color w:val="1F497D" w:themeColor="text2"/>
                          <w:sz w:val="20"/>
                          <w:szCs w:val="20"/>
                        </w:rPr>
                      </w:pPr>
                      <w:r w:rsidRPr="00734E49">
                        <w:rPr>
                          <w:color w:val="1F497D" w:themeColor="text2"/>
                          <w:sz w:val="20"/>
                          <w:szCs w:val="20"/>
                        </w:rPr>
                        <w:t xml:space="preserve">Email: </w:t>
                      </w:r>
                      <w:r>
                        <w:rPr>
                          <w:color w:val="1F497D" w:themeColor="text2"/>
                          <w:sz w:val="20"/>
                          <w:szCs w:val="20"/>
                        </w:rPr>
                        <w:t>secretariat</w:t>
                      </w:r>
                      <w:r w:rsidRPr="00734E49">
                        <w:rPr>
                          <w:color w:val="1F497D" w:themeColor="text2"/>
                          <w:sz w:val="20"/>
                          <w:szCs w:val="20"/>
                        </w:rPr>
                        <w:t>@wilpf.org| Tel: +41 (0) 22919 70 80 | Web: wilpf.org</w:t>
                      </w:r>
                    </w:p>
                    <w:p w14:paraId="0941D731" w14:textId="77777777" w:rsidR="00ED7AC1" w:rsidRPr="00734E49" w:rsidRDefault="00ED7AC1" w:rsidP="00F1611E">
                      <w:pPr>
                        <w:jc w:val="right"/>
                        <w:rPr>
                          <w:b/>
                          <w:color w:val="000000" w:themeColor="text1"/>
                        </w:rPr>
                      </w:pPr>
                    </w:p>
                  </w:txbxContent>
                </v:textbox>
              </v:shape>
            </w:pict>
          </mc:Fallback>
        </mc:AlternateContent>
      </w:r>
      <w:r w:rsidR="00963801">
        <w:br w:type="page"/>
      </w:r>
    </w:p>
    <w:p w14:paraId="4D42B8E1" w14:textId="1FB62C61" w:rsidR="00470175" w:rsidRPr="00ED7AC1" w:rsidRDefault="00470175" w:rsidP="00ED7AC1">
      <w:pPr>
        <w:jc w:val="center"/>
        <w:rPr>
          <w:b/>
          <w:bCs/>
        </w:rPr>
      </w:pPr>
      <w:bookmarkStart w:id="0" w:name="_Toc63423263"/>
      <w:r w:rsidRPr="00ED7AC1">
        <w:rPr>
          <w:b/>
          <w:bCs/>
        </w:rPr>
        <w:lastRenderedPageBreak/>
        <w:t>Contents</w:t>
      </w:r>
    </w:p>
    <w:p w14:paraId="2AD13FD5" w14:textId="388AA9DE" w:rsidR="00470175" w:rsidRDefault="00470175" w:rsidP="00470175">
      <w:pPr>
        <w:pStyle w:val="Normal1"/>
      </w:pPr>
    </w:p>
    <w:p w14:paraId="0D7B04B6" w14:textId="20ED250B" w:rsidR="00D81E13" w:rsidRDefault="00470175" w:rsidP="00D81E13">
      <w:pPr>
        <w:pStyle w:val="TOC1"/>
        <w:tabs>
          <w:tab w:val="clear" w:pos="9350"/>
          <w:tab w:val="right" w:leader="dot" w:pos="10065"/>
        </w:tabs>
        <w:rPr>
          <w:rFonts w:asciiTheme="minorHAnsi" w:eastAsiaTheme="minorEastAsia" w:hAnsiTheme="minorHAnsi" w:cstheme="minorBidi"/>
          <w:noProof/>
          <w:sz w:val="24"/>
          <w:szCs w:val="24"/>
          <w:lang w:val="en-US"/>
        </w:rPr>
      </w:pPr>
      <w:r>
        <w:rPr>
          <w:b/>
          <w:bCs/>
        </w:rPr>
        <w:fldChar w:fldCharType="begin"/>
      </w:r>
      <w:r>
        <w:rPr>
          <w:b/>
          <w:bCs/>
        </w:rPr>
        <w:instrText xml:space="preserve"> TOC \o "1-3" \h \z \u </w:instrText>
      </w:r>
      <w:r>
        <w:rPr>
          <w:b/>
          <w:bCs/>
        </w:rPr>
        <w:fldChar w:fldCharType="separate"/>
      </w:r>
      <w:hyperlink w:anchor="_Toc94794188" w:history="1">
        <w:r w:rsidR="00D81E13" w:rsidRPr="000D3BAB">
          <w:rPr>
            <w:rStyle w:val="Hyperlink"/>
            <w:noProof/>
          </w:rPr>
          <w:t>I.</w:t>
        </w:r>
        <w:r w:rsidR="00D81E13">
          <w:rPr>
            <w:rFonts w:asciiTheme="minorHAnsi" w:eastAsiaTheme="minorEastAsia" w:hAnsiTheme="minorHAnsi" w:cstheme="minorBidi"/>
            <w:noProof/>
            <w:sz w:val="24"/>
            <w:szCs w:val="24"/>
            <w:lang w:val="en-US"/>
          </w:rPr>
          <w:tab/>
        </w:r>
        <w:r w:rsidR="00D81E13" w:rsidRPr="000D3BAB">
          <w:rPr>
            <w:rStyle w:val="Hyperlink"/>
            <w:noProof/>
          </w:rPr>
          <w:t>REPRESSION OF CIVIL SOCIETY (Arts. 2.1, 3, 9, 14, 19, 21, 22)</w:t>
        </w:r>
        <w:r w:rsidR="00D81E13">
          <w:rPr>
            <w:noProof/>
            <w:webHidden/>
          </w:rPr>
          <w:tab/>
        </w:r>
        <w:r w:rsidR="00D81E13">
          <w:rPr>
            <w:noProof/>
            <w:webHidden/>
          </w:rPr>
          <w:fldChar w:fldCharType="begin"/>
        </w:r>
        <w:r w:rsidR="00D81E13">
          <w:rPr>
            <w:noProof/>
            <w:webHidden/>
          </w:rPr>
          <w:instrText xml:space="preserve"> PAGEREF _Toc94794188 \h </w:instrText>
        </w:r>
        <w:r w:rsidR="00D81E13">
          <w:rPr>
            <w:noProof/>
            <w:webHidden/>
          </w:rPr>
        </w:r>
        <w:r w:rsidR="00D81E13">
          <w:rPr>
            <w:noProof/>
            <w:webHidden/>
          </w:rPr>
          <w:fldChar w:fldCharType="separate"/>
        </w:r>
        <w:r w:rsidR="001B21BF">
          <w:rPr>
            <w:noProof/>
            <w:webHidden/>
          </w:rPr>
          <w:t>1</w:t>
        </w:r>
        <w:r w:rsidR="00D81E13">
          <w:rPr>
            <w:noProof/>
            <w:webHidden/>
          </w:rPr>
          <w:fldChar w:fldCharType="end"/>
        </w:r>
      </w:hyperlink>
    </w:p>
    <w:p w14:paraId="437080A0" w14:textId="1DC00B15"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89" w:history="1">
        <w:r w:rsidRPr="000D3BAB">
          <w:rPr>
            <w:rStyle w:val="Hyperlink"/>
            <w:noProof/>
          </w:rPr>
          <w:t>Violations of rights of Women Human Rights Defenders (WHRDs)</w:t>
        </w:r>
        <w:r>
          <w:rPr>
            <w:noProof/>
            <w:webHidden/>
          </w:rPr>
          <w:tab/>
        </w:r>
        <w:r>
          <w:rPr>
            <w:noProof/>
            <w:webHidden/>
          </w:rPr>
          <w:fldChar w:fldCharType="begin"/>
        </w:r>
        <w:r>
          <w:rPr>
            <w:noProof/>
            <w:webHidden/>
          </w:rPr>
          <w:instrText xml:space="preserve"> PAGEREF _Toc94794189 \h </w:instrText>
        </w:r>
        <w:r>
          <w:rPr>
            <w:noProof/>
            <w:webHidden/>
          </w:rPr>
        </w:r>
        <w:r>
          <w:rPr>
            <w:noProof/>
            <w:webHidden/>
          </w:rPr>
          <w:fldChar w:fldCharType="separate"/>
        </w:r>
        <w:r w:rsidR="001B21BF">
          <w:rPr>
            <w:noProof/>
            <w:webHidden/>
          </w:rPr>
          <w:t>3</w:t>
        </w:r>
        <w:r>
          <w:rPr>
            <w:noProof/>
            <w:webHidden/>
          </w:rPr>
          <w:fldChar w:fldCharType="end"/>
        </w:r>
      </w:hyperlink>
    </w:p>
    <w:p w14:paraId="4E03510B" w14:textId="26A7CAAD"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90" w:history="1">
        <w:r w:rsidRPr="000D3BAB">
          <w:rPr>
            <w:rStyle w:val="Hyperlink"/>
            <w:noProof/>
          </w:rPr>
          <w:t>Crackdown on Women Social Media Influencers</w:t>
        </w:r>
        <w:r>
          <w:rPr>
            <w:noProof/>
            <w:webHidden/>
          </w:rPr>
          <w:tab/>
        </w:r>
        <w:r>
          <w:rPr>
            <w:noProof/>
            <w:webHidden/>
          </w:rPr>
          <w:fldChar w:fldCharType="begin"/>
        </w:r>
        <w:r>
          <w:rPr>
            <w:noProof/>
            <w:webHidden/>
          </w:rPr>
          <w:instrText xml:space="preserve"> PAGEREF _Toc94794190 \h </w:instrText>
        </w:r>
        <w:r>
          <w:rPr>
            <w:noProof/>
            <w:webHidden/>
          </w:rPr>
        </w:r>
        <w:r>
          <w:rPr>
            <w:noProof/>
            <w:webHidden/>
          </w:rPr>
          <w:fldChar w:fldCharType="separate"/>
        </w:r>
        <w:r w:rsidR="001B21BF">
          <w:rPr>
            <w:noProof/>
            <w:webHidden/>
          </w:rPr>
          <w:t>6</w:t>
        </w:r>
        <w:r>
          <w:rPr>
            <w:noProof/>
            <w:webHidden/>
          </w:rPr>
          <w:fldChar w:fldCharType="end"/>
        </w:r>
      </w:hyperlink>
    </w:p>
    <w:p w14:paraId="7048E172" w14:textId="263F1F1E" w:rsidR="00D81E13" w:rsidRDefault="00D81E13" w:rsidP="00D81E13">
      <w:pPr>
        <w:pStyle w:val="TOC2"/>
        <w:tabs>
          <w:tab w:val="right" w:leader="dot" w:pos="10065"/>
        </w:tabs>
        <w:rPr>
          <w:rStyle w:val="Hyperlink"/>
          <w:noProof/>
        </w:rPr>
      </w:pPr>
      <w:hyperlink w:anchor="_Toc94794191" w:history="1">
        <w:r w:rsidRPr="000D3BAB">
          <w:rPr>
            <w:rStyle w:val="Hyperlink"/>
            <w:noProof/>
          </w:rPr>
          <w:t>Suggested questions</w:t>
        </w:r>
        <w:r>
          <w:rPr>
            <w:noProof/>
            <w:webHidden/>
          </w:rPr>
          <w:tab/>
        </w:r>
        <w:r>
          <w:rPr>
            <w:noProof/>
            <w:webHidden/>
          </w:rPr>
          <w:fldChar w:fldCharType="begin"/>
        </w:r>
        <w:r>
          <w:rPr>
            <w:noProof/>
            <w:webHidden/>
          </w:rPr>
          <w:instrText xml:space="preserve"> PAGEREF _Toc94794191 \h </w:instrText>
        </w:r>
        <w:r>
          <w:rPr>
            <w:noProof/>
            <w:webHidden/>
          </w:rPr>
        </w:r>
        <w:r>
          <w:rPr>
            <w:noProof/>
            <w:webHidden/>
          </w:rPr>
          <w:fldChar w:fldCharType="separate"/>
        </w:r>
        <w:r w:rsidR="001B21BF">
          <w:rPr>
            <w:noProof/>
            <w:webHidden/>
          </w:rPr>
          <w:t>8</w:t>
        </w:r>
        <w:r>
          <w:rPr>
            <w:noProof/>
            <w:webHidden/>
          </w:rPr>
          <w:fldChar w:fldCharType="end"/>
        </w:r>
      </w:hyperlink>
    </w:p>
    <w:p w14:paraId="55E58C9A" w14:textId="77777777" w:rsidR="00D81E13" w:rsidRPr="00D81E13" w:rsidRDefault="00D81E13" w:rsidP="00D81E13">
      <w:pPr>
        <w:rPr>
          <w:noProof/>
        </w:rPr>
      </w:pPr>
    </w:p>
    <w:p w14:paraId="36FDB313" w14:textId="4107AC3C" w:rsidR="00D81E13" w:rsidRDefault="00D81E13" w:rsidP="00D81E13">
      <w:pPr>
        <w:pStyle w:val="TOC1"/>
        <w:tabs>
          <w:tab w:val="clear" w:pos="9350"/>
          <w:tab w:val="right" w:leader="dot" w:pos="10065"/>
        </w:tabs>
        <w:rPr>
          <w:rFonts w:asciiTheme="minorHAnsi" w:eastAsiaTheme="minorEastAsia" w:hAnsiTheme="minorHAnsi" w:cstheme="minorBidi"/>
          <w:noProof/>
          <w:sz w:val="24"/>
          <w:szCs w:val="24"/>
          <w:lang w:val="en-US"/>
        </w:rPr>
      </w:pPr>
      <w:hyperlink w:anchor="_Toc94794192" w:history="1">
        <w:r w:rsidRPr="000D3BAB">
          <w:rPr>
            <w:rStyle w:val="Hyperlink"/>
            <w:noProof/>
          </w:rPr>
          <w:t xml:space="preserve">II. </w:t>
        </w:r>
        <w:r>
          <w:rPr>
            <w:rFonts w:asciiTheme="minorHAnsi" w:eastAsiaTheme="minorEastAsia" w:hAnsiTheme="minorHAnsi" w:cstheme="minorBidi"/>
            <w:noProof/>
            <w:sz w:val="24"/>
            <w:szCs w:val="24"/>
            <w:lang w:val="en-US"/>
          </w:rPr>
          <w:tab/>
        </w:r>
        <w:r w:rsidRPr="000D3BAB">
          <w:rPr>
            <w:rStyle w:val="Hyperlink"/>
            <w:noProof/>
          </w:rPr>
          <w:t>IMPACTS OF MILITARISATION ON HUMAN RIGHTS (Arts. 2.1, 3, 6, 17, 19, 21)</w:t>
        </w:r>
        <w:r>
          <w:rPr>
            <w:noProof/>
            <w:webHidden/>
          </w:rPr>
          <w:tab/>
        </w:r>
        <w:r>
          <w:rPr>
            <w:noProof/>
            <w:webHidden/>
          </w:rPr>
          <w:fldChar w:fldCharType="begin"/>
        </w:r>
        <w:r>
          <w:rPr>
            <w:noProof/>
            <w:webHidden/>
          </w:rPr>
          <w:instrText xml:space="preserve"> PAGEREF _Toc94794192 \h </w:instrText>
        </w:r>
        <w:r>
          <w:rPr>
            <w:noProof/>
            <w:webHidden/>
          </w:rPr>
        </w:r>
        <w:r>
          <w:rPr>
            <w:noProof/>
            <w:webHidden/>
          </w:rPr>
          <w:fldChar w:fldCharType="separate"/>
        </w:r>
        <w:r w:rsidR="001B21BF">
          <w:rPr>
            <w:noProof/>
            <w:webHidden/>
          </w:rPr>
          <w:t>10</w:t>
        </w:r>
        <w:r>
          <w:rPr>
            <w:noProof/>
            <w:webHidden/>
          </w:rPr>
          <w:fldChar w:fldCharType="end"/>
        </w:r>
      </w:hyperlink>
    </w:p>
    <w:p w14:paraId="3DCB9FAB" w14:textId="3E761513"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93" w:history="1">
        <w:r w:rsidRPr="000D3BAB">
          <w:rPr>
            <w:rStyle w:val="Hyperlink"/>
            <w:noProof/>
          </w:rPr>
          <w:t>Impacts of arms on human rights</w:t>
        </w:r>
        <w:r>
          <w:rPr>
            <w:noProof/>
            <w:webHidden/>
          </w:rPr>
          <w:tab/>
        </w:r>
        <w:r>
          <w:rPr>
            <w:noProof/>
            <w:webHidden/>
          </w:rPr>
          <w:fldChar w:fldCharType="begin"/>
        </w:r>
        <w:r>
          <w:rPr>
            <w:noProof/>
            <w:webHidden/>
          </w:rPr>
          <w:instrText xml:space="preserve"> PAGEREF _Toc94794193 \h </w:instrText>
        </w:r>
        <w:r>
          <w:rPr>
            <w:noProof/>
            <w:webHidden/>
          </w:rPr>
        </w:r>
        <w:r>
          <w:rPr>
            <w:noProof/>
            <w:webHidden/>
          </w:rPr>
          <w:fldChar w:fldCharType="separate"/>
        </w:r>
        <w:r w:rsidR="001B21BF">
          <w:rPr>
            <w:noProof/>
            <w:webHidden/>
          </w:rPr>
          <w:t>10</w:t>
        </w:r>
        <w:r>
          <w:rPr>
            <w:noProof/>
            <w:webHidden/>
          </w:rPr>
          <w:fldChar w:fldCharType="end"/>
        </w:r>
      </w:hyperlink>
    </w:p>
    <w:p w14:paraId="47B92CB3" w14:textId="27A2F025" w:rsidR="00D81E13" w:rsidRDefault="00D81E13" w:rsidP="00D81E13">
      <w:pPr>
        <w:pStyle w:val="TOC3"/>
        <w:tabs>
          <w:tab w:val="right" w:leader="dot" w:pos="10065"/>
        </w:tabs>
        <w:rPr>
          <w:rFonts w:asciiTheme="minorHAnsi" w:eastAsiaTheme="minorEastAsia" w:hAnsiTheme="minorHAnsi" w:cstheme="minorBidi"/>
          <w:noProof/>
          <w:sz w:val="24"/>
          <w:szCs w:val="24"/>
          <w:lang w:val="en-US"/>
        </w:rPr>
      </w:pPr>
      <w:hyperlink w:anchor="_Toc94794194" w:history="1">
        <w:r w:rsidRPr="000D3BAB">
          <w:rPr>
            <w:rStyle w:val="Hyperlink"/>
            <w:noProof/>
          </w:rPr>
          <w:t>Impacts on women’s rights</w:t>
        </w:r>
        <w:r>
          <w:rPr>
            <w:noProof/>
            <w:webHidden/>
          </w:rPr>
          <w:tab/>
        </w:r>
        <w:r>
          <w:rPr>
            <w:noProof/>
            <w:webHidden/>
          </w:rPr>
          <w:fldChar w:fldCharType="begin"/>
        </w:r>
        <w:r>
          <w:rPr>
            <w:noProof/>
            <w:webHidden/>
          </w:rPr>
          <w:instrText xml:space="preserve"> PAGEREF _Toc94794194 \h </w:instrText>
        </w:r>
        <w:r>
          <w:rPr>
            <w:noProof/>
            <w:webHidden/>
          </w:rPr>
        </w:r>
        <w:r>
          <w:rPr>
            <w:noProof/>
            <w:webHidden/>
          </w:rPr>
          <w:fldChar w:fldCharType="separate"/>
        </w:r>
        <w:r w:rsidR="001B21BF">
          <w:rPr>
            <w:noProof/>
            <w:webHidden/>
          </w:rPr>
          <w:t>10</w:t>
        </w:r>
        <w:r>
          <w:rPr>
            <w:noProof/>
            <w:webHidden/>
          </w:rPr>
          <w:fldChar w:fldCharType="end"/>
        </w:r>
      </w:hyperlink>
    </w:p>
    <w:p w14:paraId="25F4B71B" w14:textId="242810BF"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95" w:history="1">
        <w:r w:rsidRPr="000D3BAB">
          <w:rPr>
            <w:rStyle w:val="Hyperlink"/>
            <w:noProof/>
          </w:rPr>
          <w:t>Arms imports and arms proliferation</w:t>
        </w:r>
        <w:r>
          <w:rPr>
            <w:noProof/>
            <w:webHidden/>
          </w:rPr>
          <w:tab/>
        </w:r>
        <w:r>
          <w:rPr>
            <w:noProof/>
            <w:webHidden/>
          </w:rPr>
          <w:fldChar w:fldCharType="begin"/>
        </w:r>
        <w:r>
          <w:rPr>
            <w:noProof/>
            <w:webHidden/>
          </w:rPr>
          <w:instrText xml:space="preserve"> PAGEREF _Toc94794195 \h </w:instrText>
        </w:r>
        <w:r>
          <w:rPr>
            <w:noProof/>
            <w:webHidden/>
          </w:rPr>
        </w:r>
        <w:r>
          <w:rPr>
            <w:noProof/>
            <w:webHidden/>
          </w:rPr>
          <w:fldChar w:fldCharType="separate"/>
        </w:r>
        <w:r w:rsidR="001B21BF">
          <w:rPr>
            <w:noProof/>
            <w:webHidden/>
          </w:rPr>
          <w:t>11</w:t>
        </w:r>
        <w:r>
          <w:rPr>
            <w:noProof/>
            <w:webHidden/>
          </w:rPr>
          <w:fldChar w:fldCharType="end"/>
        </w:r>
      </w:hyperlink>
    </w:p>
    <w:p w14:paraId="382145C0" w14:textId="05AF26C9"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96" w:history="1">
        <w:r w:rsidRPr="000D3BAB">
          <w:rPr>
            <w:rStyle w:val="Hyperlink"/>
            <w:noProof/>
          </w:rPr>
          <w:t>Impacts of small arms on human rights</w:t>
        </w:r>
        <w:r>
          <w:rPr>
            <w:noProof/>
            <w:webHidden/>
          </w:rPr>
          <w:tab/>
        </w:r>
        <w:r>
          <w:rPr>
            <w:noProof/>
            <w:webHidden/>
          </w:rPr>
          <w:fldChar w:fldCharType="begin"/>
        </w:r>
        <w:r>
          <w:rPr>
            <w:noProof/>
            <w:webHidden/>
          </w:rPr>
          <w:instrText xml:space="preserve"> PAGEREF _Toc94794196 \h </w:instrText>
        </w:r>
        <w:r>
          <w:rPr>
            <w:noProof/>
            <w:webHidden/>
          </w:rPr>
        </w:r>
        <w:r>
          <w:rPr>
            <w:noProof/>
            <w:webHidden/>
          </w:rPr>
          <w:fldChar w:fldCharType="separate"/>
        </w:r>
        <w:r w:rsidR="001B21BF">
          <w:rPr>
            <w:noProof/>
            <w:webHidden/>
          </w:rPr>
          <w:t>13</w:t>
        </w:r>
        <w:r>
          <w:rPr>
            <w:noProof/>
            <w:webHidden/>
          </w:rPr>
          <w:fldChar w:fldCharType="end"/>
        </w:r>
      </w:hyperlink>
    </w:p>
    <w:p w14:paraId="6F7DA067" w14:textId="7319C911"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97" w:history="1">
        <w:r w:rsidRPr="000D3BAB">
          <w:rPr>
            <w:rStyle w:val="Hyperlink"/>
            <w:noProof/>
          </w:rPr>
          <w:t>Examples of violations linked to the use of other types of weapons</w:t>
        </w:r>
        <w:r>
          <w:rPr>
            <w:noProof/>
            <w:webHidden/>
          </w:rPr>
          <w:tab/>
        </w:r>
        <w:r>
          <w:rPr>
            <w:noProof/>
            <w:webHidden/>
          </w:rPr>
          <w:fldChar w:fldCharType="begin"/>
        </w:r>
        <w:r>
          <w:rPr>
            <w:noProof/>
            <w:webHidden/>
          </w:rPr>
          <w:instrText xml:space="preserve"> PAGEREF _Toc94794197 \h </w:instrText>
        </w:r>
        <w:r>
          <w:rPr>
            <w:noProof/>
            <w:webHidden/>
          </w:rPr>
        </w:r>
        <w:r>
          <w:rPr>
            <w:noProof/>
            <w:webHidden/>
          </w:rPr>
          <w:fldChar w:fldCharType="separate"/>
        </w:r>
        <w:r w:rsidR="001B21BF">
          <w:rPr>
            <w:noProof/>
            <w:webHidden/>
          </w:rPr>
          <w:t>14</w:t>
        </w:r>
        <w:r>
          <w:rPr>
            <w:noProof/>
            <w:webHidden/>
          </w:rPr>
          <w:fldChar w:fldCharType="end"/>
        </w:r>
      </w:hyperlink>
    </w:p>
    <w:p w14:paraId="417F7E76" w14:textId="1C3E9E3B"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98" w:history="1">
        <w:r w:rsidRPr="000D3BAB">
          <w:rPr>
            <w:rStyle w:val="Hyperlink"/>
            <w:noProof/>
          </w:rPr>
          <w:t>Impacts of surveillance technologies on human rights</w:t>
        </w:r>
        <w:r>
          <w:rPr>
            <w:noProof/>
            <w:webHidden/>
          </w:rPr>
          <w:tab/>
        </w:r>
        <w:r>
          <w:rPr>
            <w:noProof/>
            <w:webHidden/>
          </w:rPr>
          <w:fldChar w:fldCharType="begin"/>
        </w:r>
        <w:r>
          <w:rPr>
            <w:noProof/>
            <w:webHidden/>
          </w:rPr>
          <w:instrText xml:space="preserve"> PAGEREF _Toc94794198 \h </w:instrText>
        </w:r>
        <w:r>
          <w:rPr>
            <w:noProof/>
            <w:webHidden/>
          </w:rPr>
        </w:r>
        <w:r>
          <w:rPr>
            <w:noProof/>
            <w:webHidden/>
          </w:rPr>
          <w:fldChar w:fldCharType="separate"/>
        </w:r>
        <w:r w:rsidR="001B21BF">
          <w:rPr>
            <w:noProof/>
            <w:webHidden/>
          </w:rPr>
          <w:t>16</w:t>
        </w:r>
        <w:r>
          <w:rPr>
            <w:noProof/>
            <w:webHidden/>
          </w:rPr>
          <w:fldChar w:fldCharType="end"/>
        </w:r>
      </w:hyperlink>
    </w:p>
    <w:p w14:paraId="53235633" w14:textId="72066182"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199" w:history="1">
        <w:r w:rsidRPr="000D3BAB">
          <w:rPr>
            <w:rStyle w:val="Hyperlink"/>
            <w:noProof/>
          </w:rPr>
          <w:t>Examples of human rights violations of WHRDs and LGBTIQ+ persons enabled by surveillance and digital technologies</w:t>
        </w:r>
        <w:r>
          <w:rPr>
            <w:noProof/>
            <w:webHidden/>
          </w:rPr>
          <w:tab/>
        </w:r>
        <w:r>
          <w:rPr>
            <w:noProof/>
            <w:webHidden/>
          </w:rPr>
          <w:fldChar w:fldCharType="begin"/>
        </w:r>
        <w:r>
          <w:rPr>
            <w:noProof/>
            <w:webHidden/>
          </w:rPr>
          <w:instrText xml:space="preserve"> PAGEREF _Toc94794199 \h </w:instrText>
        </w:r>
        <w:r>
          <w:rPr>
            <w:noProof/>
            <w:webHidden/>
          </w:rPr>
        </w:r>
        <w:r>
          <w:rPr>
            <w:noProof/>
            <w:webHidden/>
          </w:rPr>
          <w:fldChar w:fldCharType="separate"/>
        </w:r>
        <w:r w:rsidR="001B21BF">
          <w:rPr>
            <w:noProof/>
            <w:webHidden/>
          </w:rPr>
          <w:t>17</w:t>
        </w:r>
        <w:r>
          <w:rPr>
            <w:noProof/>
            <w:webHidden/>
          </w:rPr>
          <w:fldChar w:fldCharType="end"/>
        </w:r>
      </w:hyperlink>
    </w:p>
    <w:p w14:paraId="0DAEBA7F" w14:textId="6086AB44" w:rsidR="00D81E13" w:rsidRDefault="00D81E13" w:rsidP="00D81E13">
      <w:pPr>
        <w:pStyle w:val="TOC2"/>
        <w:tabs>
          <w:tab w:val="right" w:leader="dot" w:pos="10065"/>
        </w:tabs>
        <w:rPr>
          <w:rFonts w:asciiTheme="minorHAnsi" w:eastAsiaTheme="minorEastAsia" w:hAnsiTheme="minorHAnsi" w:cstheme="minorBidi"/>
          <w:noProof/>
          <w:sz w:val="24"/>
          <w:szCs w:val="24"/>
          <w:lang w:val="en-US"/>
        </w:rPr>
      </w:pPr>
      <w:hyperlink w:anchor="_Toc94794200" w:history="1">
        <w:r w:rsidRPr="000D3BAB">
          <w:rPr>
            <w:rStyle w:val="Hyperlink"/>
            <w:noProof/>
          </w:rPr>
          <w:t>Suggested questions</w:t>
        </w:r>
        <w:r>
          <w:rPr>
            <w:noProof/>
            <w:webHidden/>
          </w:rPr>
          <w:tab/>
        </w:r>
        <w:r>
          <w:rPr>
            <w:noProof/>
            <w:webHidden/>
          </w:rPr>
          <w:fldChar w:fldCharType="begin"/>
        </w:r>
        <w:r>
          <w:rPr>
            <w:noProof/>
            <w:webHidden/>
          </w:rPr>
          <w:instrText xml:space="preserve"> PAGEREF _Toc94794200 \h </w:instrText>
        </w:r>
        <w:r>
          <w:rPr>
            <w:noProof/>
            <w:webHidden/>
          </w:rPr>
        </w:r>
        <w:r>
          <w:rPr>
            <w:noProof/>
            <w:webHidden/>
          </w:rPr>
          <w:fldChar w:fldCharType="separate"/>
        </w:r>
        <w:r w:rsidR="001B21BF">
          <w:rPr>
            <w:noProof/>
            <w:webHidden/>
          </w:rPr>
          <w:t>18</w:t>
        </w:r>
        <w:r>
          <w:rPr>
            <w:noProof/>
            <w:webHidden/>
          </w:rPr>
          <w:fldChar w:fldCharType="end"/>
        </w:r>
      </w:hyperlink>
    </w:p>
    <w:p w14:paraId="3AA37B2C" w14:textId="7EDD5E63" w:rsidR="00470175" w:rsidRPr="00470175" w:rsidRDefault="00470175" w:rsidP="00D81E13">
      <w:pPr>
        <w:pStyle w:val="Normal1"/>
        <w:tabs>
          <w:tab w:val="right" w:leader="dot" w:pos="10065"/>
        </w:tabs>
        <w:rPr>
          <w:b/>
          <w:bCs/>
        </w:rPr>
      </w:pPr>
      <w:r>
        <w:rPr>
          <w:b/>
          <w:bCs/>
        </w:rPr>
        <w:fldChar w:fldCharType="end"/>
      </w:r>
    </w:p>
    <w:p w14:paraId="79F7F466" w14:textId="61621764" w:rsidR="00ED7AC1" w:rsidRPr="001B21BF" w:rsidRDefault="00470175" w:rsidP="001B21BF">
      <w:pPr>
        <w:tabs>
          <w:tab w:val="right" w:leader="dot" w:pos="10080"/>
        </w:tabs>
        <w:rPr>
          <w:rFonts w:ascii="Franklin Gothic Demi" w:hAnsi="Franklin Gothic Demi"/>
          <w:b/>
          <w:color w:val="17365D" w:themeColor="text2" w:themeShade="BF"/>
          <w:sz w:val="36"/>
          <w:szCs w:val="40"/>
        </w:rPr>
      </w:pPr>
      <w:r>
        <w:br w:type="page"/>
      </w:r>
      <w:bookmarkEnd w:id="0"/>
    </w:p>
    <w:p w14:paraId="07343B4B" w14:textId="2F6EF14E" w:rsidR="00ED7AC1" w:rsidRPr="00ED7AC1" w:rsidRDefault="00ED7AC1" w:rsidP="00ED7AC1">
      <w:pPr>
        <w:pStyle w:val="Heading1"/>
      </w:pPr>
      <w:bookmarkStart w:id="1" w:name="_Toc94794188"/>
      <w:r>
        <w:lastRenderedPageBreak/>
        <w:t>I.</w:t>
      </w:r>
      <w:r>
        <w:tab/>
      </w:r>
      <w:r w:rsidRPr="00ED7AC1">
        <w:t>REPRESSION OF CIVIL SOCIETY (</w:t>
      </w:r>
      <w:r>
        <w:t>A</w:t>
      </w:r>
      <w:r w:rsidRPr="00ED7AC1">
        <w:t>rt</w:t>
      </w:r>
      <w:r>
        <w:t>s</w:t>
      </w:r>
      <w:r w:rsidRPr="00ED7AC1">
        <w:t>. 2.1, 3, 9, 14, 19, 21, 22)</w:t>
      </w:r>
      <w:bookmarkEnd w:id="1"/>
    </w:p>
    <w:p w14:paraId="79D37107" w14:textId="77777777" w:rsidR="00ED7AC1" w:rsidRPr="00ED7AC1" w:rsidRDefault="00ED7AC1" w:rsidP="00ED7AC1">
      <w:r w:rsidRPr="00ED7AC1">
        <w:t>In its last review of Egypt almost 20 years ago, the Human Rights Committee expressed serious concerns about the “semi-permanent state of emergency”</w:t>
      </w:r>
      <w:r w:rsidRPr="00ED7AC1">
        <w:rPr>
          <w:vertAlign w:val="superscript"/>
        </w:rPr>
        <w:footnoteReference w:id="1"/>
      </w:r>
      <w:r w:rsidRPr="00ED7AC1">
        <w:t xml:space="preserve"> (the then state of emergency had been in place since 1981);</w:t>
      </w:r>
      <w:r w:rsidRPr="00ED7AC1">
        <w:rPr>
          <w:vertAlign w:val="superscript"/>
        </w:rPr>
        <w:footnoteReference w:id="2"/>
      </w:r>
      <w:r w:rsidRPr="00ED7AC1">
        <w:t xml:space="preserve"> “the persistence of torture, cruel, inhuman or degrading treatment at the hands of law-enforcement personnel, in particular the security services, whose recourse to such practices appears to display a systematic pattern;”</w:t>
      </w:r>
      <w:r w:rsidRPr="00ED7AC1">
        <w:rPr>
          <w:vertAlign w:val="superscript"/>
        </w:rPr>
        <w:footnoteReference w:id="3"/>
      </w:r>
      <w:r w:rsidRPr="00ED7AC1">
        <w:t xml:space="preserve"> the lack of accountability for such violations.</w:t>
      </w:r>
      <w:r w:rsidRPr="00ED7AC1">
        <w:rPr>
          <w:vertAlign w:val="superscript"/>
        </w:rPr>
        <w:footnoteReference w:id="4"/>
      </w:r>
      <w:r w:rsidRPr="00ED7AC1">
        <w:t xml:space="preserve"> It also voiced concerns over the broad and general definition of terrorism;</w:t>
      </w:r>
      <w:r w:rsidRPr="00ED7AC1">
        <w:rPr>
          <w:vertAlign w:val="superscript"/>
        </w:rPr>
        <w:footnoteReference w:id="5"/>
      </w:r>
      <w:r w:rsidRPr="00ED7AC1">
        <w:t xml:space="preserve"> the use of military courts and State security courts to try civilians and recommended Egypt to ensure that “legitimate action against terrorism does not become a source of violations of the Covenant.”</w:t>
      </w:r>
      <w:r w:rsidRPr="00ED7AC1">
        <w:rPr>
          <w:vertAlign w:val="superscript"/>
        </w:rPr>
        <w:footnoteReference w:id="6"/>
      </w:r>
      <w:r w:rsidRPr="00ED7AC1">
        <w:t xml:space="preserve"> </w:t>
      </w:r>
    </w:p>
    <w:p w14:paraId="3FA41001" w14:textId="77777777" w:rsidR="00ED7AC1" w:rsidRPr="00ED7AC1" w:rsidRDefault="00ED7AC1" w:rsidP="00ED7AC1"/>
    <w:p w14:paraId="1406D6F3" w14:textId="77777777" w:rsidR="00ED7AC1" w:rsidRPr="00ED7AC1" w:rsidRDefault="00ED7AC1" w:rsidP="00ED7AC1">
      <w:r w:rsidRPr="00ED7AC1">
        <w:t>The Committee also expressed concern at the criminalisation of some behaviours characterised as “debauchery”</w:t>
      </w:r>
      <w:r w:rsidRPr="00ED7AC1">
        <w:rPr>
          <w:vertAlign w:val="superscript"/>
        </w:rPr>
        <w:footnoteReference w:id="7"/>
      </w:r>
      <w:r w:rsidRPr="00ED7AC1">
        <w:t xml:space="preserve"> and at discriminatory provisions against women in the Penal Code, notably with regard to adultery.</w:t>
      </w:r>
      <w:r w:rsidRPr="00ED7AC1">
        <w:rPr>
          <w:vertAlign w:val="superscript"/>
        </w:rPr>
        <w:footnoteReference w:id="8"/>
      </w:r>
      <w:r w:rsidRPr="00ED7AC1">
        <w:t xml:space="preserve"> It also recommended Egypt to review its laws and practices on NGOs to enable them to discharge their functions without impediments such as, prior authorisation, funding controls and administrative dissolution.</w:t>
      </w:r>
      <w:r w:rsidRPr="00ED7AC1">
        <w:rPr>
          <w:vertAlign w:val="superscript"/>
        </w:rPr>
        <w:footnoteReference w:id="9"/>
      </w:r>
      <w:r w:rsidRPr="00ED7AC1">
        <w:t xml:space="preserve"> Twenty years later, not only are these concerns still present but they have, by and large, become worse.</w:t>
      </w:r>
    </w:p>
    <w:p w14:paraId="6570E0EC" w14:textId="77777777" w:rsidR="00ED7AC1" w:rsidRPr="00ED7AC1" w:rsidRDefault="00ED7AC1" w:rsidP="00ED7AC1"/>
    <w:p w14:paraId="3671A3DD" w14:textId="77777777" w:rsidR="00ED7AC1" w:rsidRPr="00ED7AC1" w:rsidRDefault="00ED7AC1" w:rsidP="00ED7AC1">
      <w:r w:rsidRPr="00ED7AC1">
        <w:t>The state of emergency proclaimed in 1981 was in place for 31 years (it was ended in 2012); however, a state of emergency was proclaimed again in April 2017. Throughout 2020, amidst the COVID-19 crisis, the Egyptian authorities intensified repression of critical voices,</w:t>
      </w:r>
      <w:r w:rsidRPr="00ED7AC1">
        <w:rPr>
          <w:vertAlign w:val="superscript"/>
        </w:rPr>
        <w:footnoteReference w:id="10"/>
      </w:r>
      <w:r w:rsidRPr="00ED7AC1">
        <w:t xml:space="preserve"> including by adopting amendments to the Emergency Law </w:t>
      </w:r>
      <w:r w:rsidRPr="00ED7AC1">
        <w:lastRenderedPageBreak/>
        <w:t>No. 162 of 1958 in 2020, which granted additional power to police and security forces and prohibited all public and private meetings, assemblies, protests, parades, and any other forms of assemblies — thus adding to the existing severe restrictions on freedom of expression and association and rendering peaceful assembly almost impossible.</w:t>
      </w:r>
      <w:r w:rsidRPr="00ED7AC1">
        <w:rPr>
          <w:vertAlign w:val="superscript"/>
        </w:rPr>
        <w:footnoteReference w:id="11"/>
      </w:r>
      <w:r w:rsidRPr="00ED7AC1">
        <w:t xml:space="preserve"> </w:t>
      </w:r>
    </w:p>
    <w:p w14:paraId="40A81EDD" w14:textId="77777777" w:rsidR="00ED7AC1" w:rsidRPr="00ED7AC1" w:rsidRDefault="00ED7AC1" w:rsidP="00ED7AC1"/>
    <w:p w14:paraId="13DC6ABA" w14:textId="20D6ADAF" w:rsidR="00ED7AC1" w:rsidRDefault="00ED7AC1" w:rsidP="00ED7AC1">
      <w:r w:rsidRPr="00ED7AC1">
        <w:t>The state of emergency was eventually lifted in October 2021.</w:t>
      </w:r>
      <w:r w:rsidRPr="00ED7AC1">
        <w:rPr>
          <w:vertAlign w:val="superscript"/>
        </w:rPr>
        <w:footnoteReference w:id="12"/>
      </w:r>
      <w:r w:rsidRPr="00ED7AC1">
        <w:t xml:space="preserve"> While this is a positive step, existing trials before these emergency courts are set to continue, which is even more concerning given that, as reported by Amnesty International, “in the three months preceding this decision, the Egyptian authorities referred at least 20 human rights defenders, activists and opposition politicians to trial before emergency courts.”</w:t>
      </w:r>
      <w:r w:rsidRPr="00ED7AC1">
        <w:rPr>
          <w:vertAlign w:val="superscript"/>
        </w:rPr>
        <w:footnoteReference w:id="13"/>
      </w:r>
      <w:r w:rsidRPr="00ED7AC1">
        <w:t xml:space="preserve"> Moreover, the Emergency Law was just one aspect of an overall repressive legal arsenal, which has normalised emergency-like powers during normal times including in the law on public protests and in the Counter-terrorism law.</w:t>
      </w:r>
      <w:r w:rsidRPr="00ED7AC1">
        <w:rPr>
          <w:vertAlign w:val="superscript"/>
        </w:rPr>
        <w:footnoteReference w:id="14"/>
      </w:r>
      <w:r w:rsidRPr="00ED7AC1">
        <w:t xml:space="preserve"> </w:t>
      </w:r>
    </w:p>
    <w:p w14:paraId="66D1E285" w14:textId="77777777" w:rsidR="00ED7AC1" w:rsidRPr="00ED7AC1" w:rsidRDefault="00ED7AC1" w:rsidP="00ED7AC1"/>
    <w:p w14:paraId="09F72B3A" w14:textId="77777777" w:rsidR="00ED7AC1" w:rsidRPr="00ED7AC1" w:rsidRDefault="00ED7AC1" w:rsidP="00ED7AC1">
      <w:r w:rsidRPr="00ED7AC1">
        <w:t>In this context, human rights defenders, journalists, LGBTIQ+ persons or those perceived as such, peaceful protesters, human rights organisations, and healthcare workers questioning the government’s management of the pandemic, are continuously subjected to a myriad of violations, often facing charges of ‘terrorism’ as the regime clamps down on peaceful opposition.</w:t>
      </w:r>
      <w:r w:rsidRPr="00ED7AC1">
        <w:rPr>
          <w:vertAlign w:val="superscript"/>
        </w:rPr>
        <w:footnoteReference w:id="15"/>
      </w:r>
      <w:r w:rsidRPr="00ED7AC1">
        <w:t xml:space="preserve"> </w:t>
      </w:r>
    </w:p>
    <w:p w14:paraId="6A4218C0" w14:textId="77777777" w:rsidR="00ED7AC1" w:rsidRPr="00ED7AC1" w:rsidRDefault="00ED7AC1" w:rsidP="00ED7AC1"/>
    <w:p w14:paraId="04BC5EF0" w14:textId="77777777" w:rsidR="00ED7AC1" w:rsidRPr="00ED7AC1" w:rsidRDefault="00ED7AC1" w:rsidP="00ED7AC1">
      <w:r w:rsidRPr="00ED7AC1">
        <w:lastRenderedPageBreak/>
        <w:t>Such violations include mass arbitrary detentions, torture, forced disappearances, and extrajudicial killings , including  of civilians during protests.</w:t>
      </w:r>
      <w:r w:rsidRPr="00ED7AC1">
        <w:rPr>
          <w:vertAlign w:val="superscript"/>
        </w:rPr>
        <w:footnoteReference w:id="16"/>
      </w:r>
      <w:r w:rsidRPr="00ED7AC1">
        <w:t xml:space="preserve"> In 2019, in its latest Universal Periodic Review (UPR), Egypt received 15 recommendations related to freedom of expression and 16 recommendations on human rights defenders,</w:t>
      </w:r>
      <w:r w:rsidRPr="00ED7AC1">
        <w:rPr>
          <w:vertAlign w:val="superscript"/>
        </w:rPr>
        <w:footnoteReference w:id="17"/>
      </w:r>
      <w:r w:rsidRPr="00ED7AC1">
        <w:t xml:space="preserve"> demonstrating the scale of international concern on these issues.</w:t>
      </w:r>
      <w:r w:rsidRPr="00ED7AC1">
        <w:rPr>
          <w:vertAlign w:val="superscript"/>
        </w:rPr>
        <w:footnoteReference w:id="18"/>
      </w:r>
      <w:r w:rsidRPr="00ED7AC1">
        <w:rPr>
          <w:vertAlign w:val="superscript"/>
        </w:rPr>
        <w:t xml:space="preserve"> </w:t>
      </w:r>
      <w:r w:rsidRPr="00ED7AC1">
        <w:t xml:space="preserve"> In November 2021, in its review of Egypt, the CEDAW Committee expressed deep concern that women human rights defenders (WHRDs), “have been subjected to restrictions, arbitrary detention, prolonged pre-trial detention, ill-treatment in detention and travel ban for their civic engagement.”</w:t>
      </w:r>
      <w:r w:rsidRPr="00ED7AC1">
        <w:rPr>
          <w:vertAlign w:val="superscript"/>
        </w:rPr>
        <w:footnoteReference w:id="19"/>
      </w:r>
      <w:r w:rsidRPr="00ED7AC1">
        <w:t xml:space="preserve"> It recommended that Egypt “respect its obligations in accordance with international human rights treaties when dealing with women human rights defenders and their organisations exercising the right to freedom of expression and association” and  “to systematically investigate cases of reprisals, harassment and restrictions against women human rights defenders , including gender-based violence and ill-treatment in detention by law enforcement officials.</w:t>
      </w:r>
      <w:r w:rsidRPr="00ED7AC1">
        <w:rPr>
          <w:vertAlign w:val="superscript"/>
        </w:rPr>
        <w:footnoteReference w:id="20"/>
      </w:r>
      <w:r w:rsidRPr="00ED7AC1">
        <w:t xml:space="preserve"> </w:t>
      </w:r>
    </w:p>
    <w:p w14:paraId="4992C0DA" w14:textId="77777777" w:rsidR="00ED7AC1" w:rsidRPr="00ED7AC1" w:rsidRDefault="00ED7AC1" w:rsidP="00ED7AC1"/>
    <w:p w14:paraId="4FBF1FD0" w14:textId="13F6E09F" w:rsidR="00DA7233" w:rsidRPr="00DA7233" w:rsidRDefault="00ED7AC1" w:rsidP="00DA7233">
      <w:pPr>
        <w:pStyle w:val="Heading2"/>
      </w:pPr>
      <w:bookmarkStart w:id="2" w:name="_Toc505418086"/>
      <w:bookmarkStart w:id="3" w:name="_Toc505419568"/>
      <w:bookmarkStart w:id="4" w:name="_Toc94794189"/>
      <w:r w:rsidRPr="00ED7AC1">
        <w:t>Violations of rights of Women Human Rights Defenders (WHRDs)</w:t>
      </w:r>
      <w:bookmarkEnd w:id="2"/>
      <w:bookmarkEnd w:id="3"/>
      <w:bookmarkEnd w:id="4"/>
    </w:p>
    <w:p w14:paraId="5695E52F" w14:textId="77777777" w:rsidR="00C024DF" w:rsidRPr="00C024DF" w:rsidRDefault="00C024DF" w:rsidP="00ED7AC1">
      <w:pPr>
        <w:rPr>
          <w:sz w:val="12"/>
          <w:szCs w:val="12"/>
        </w:rPr>
      </w:pPr>
    </w:p>
    <w:p w14:paraId="35480423" w14:textId="32C8A605" w:rsidR="00ED7AC1" w:rsidRDefault="00ED7AC1" w:rsidP="00ED7AC1">
      <w:r w:rsidRPr="00ED7AC1">
        <w:t>This submission, which draws from a WILPF submission to the CEDAW Committee, highlights of the concerns specifically relating to the situation of WHRDs. Egyptian WHRDs have faced reprisals due to their engagement with the UN, including when participating in training on gender equality and women’s rights.</w:t>
      </w:r>
      <w:r w:rsidRPr="00ED7AC1">
        <w:rPr>
          <w:vertAlign w:val="superscript"/>
        </w:rPr>
        <w:footnoteReference w:id="21"/>
      </w:r>
      <w:r w:rsidRPr="00ED7AC1">
        <w:t xml:space="preserve"> In 2018, the Special Rapporteur on the right to housing condemned arbitrary arrest, intimidation and reprisals and other violations against persons she met during her official country visit to Egypt.</w:t>
      </w:r>
      <w:r w:rsidRPr="00ED7AC1">
        <w:rPr>
          <w:vertAlign w:val="superscript"/>
        </w:rPr>
        <w:footnoteReference w:id="22"/>
      </w:r>
      <w:r w:rsidRPr="00ED7AC1">
        <w:t xml:space="preserve"> Together with the Special </w:t>
      </w:r>
      <w:r w:rsidRPr="00ED7AC1">
        <w:lastRenderedPageBreak/>
        <w:t>Rapporteur on Human Rights Defenders (HRDs), she cautioned against further Special Procedures’ visits in current circumstances. The experts stated that “unless Egypt ensures that human rights defenders and victims of human rights violations can interact with UN human rights envoys without fear of reprisal, it is in our view not ready to host further visits”</w:t>
      </w:r>
      <w:r w:rsidRPr="00ED7AC1">
        <w:rPr>
          <w:vertAlign w:val="superscript"/>
        </w:rPr>
        <w:footnoteReference w:id="23"/>
      </w:r>
    </w:p>
    <w:p w14:paraId="1F176E2E" w14:textId="77777777" w:rsidR="002F3BBB" w:rsidRPr="00ED7AC1" w:rsidRDefault="002F3BBB" w:rsidP="00ED7AC1">
      <w:pPr>
        <w:rPr>
          <w:vertAlign w:val="superscript"/>
        </w:rPr>
      </w:pPr>
    </w:p>
    <w:p w14:paraId="12EB2842" w14:textId="60EA942E" w:rsidR="00ED7AC1" w:rsidRDefault="005D5D0E" w:rsidP="002F3BBB">
      <w:r w:rsidRPr="00ED7AC1">
        <w:t xml:space="preserve">Moreover, despite Egypt’s passing of a new law on NGOs in 2019 (Law no. 149), human rights defenders are still facing travel bans, asset freezes, and, </w:t>
      </w:r>
      <w:r w:rsidRPr="00ED7AC1">
        <w:rPr>
          <w:rFonts w:ascii="Arial" w:hAnsi="Arial" w:cs="Arial"/>
        </w:rPr>
        <w:t>​​</w:t>
      </w:r>
      <w:r w:rsidRPr="00ED7AC1">
        <w:t>in case no. 173/2011, up to 25 years imprisonment.</w:t>
      </w:r>
      <w:r w:rsidRPr="00ED7AC1">
        <w:rPr>
          <w:vertAlign w:val="superscript"/>
        </w:rPr>
        <w:footnoteReference w:id="24"/>
      </w:r>
      <w:r w:rsidRPr="00ED7AC1">
        <w:t xml:space="preserve"> Abductions, arrests and torture of WHRDs have been reported on multiple</w:t>
      </w:r>
      <w:r>
        <w:t xml:space="preserve"> </w:t>
      </w:r>
      <w:r w:rsidRPr="00ED7AC1">
        <w:t>occasions.</w:t>
      </w:r>
      <w:r w:rsidR="002F3BBB">
        <w:rPr>
          <w:rStyle w:val="FootnoteReference"/>
        </w:rPr>
        <w:footnoteReference w:id="25"/>
      </w:r>
      <w:r w:rsidRPr="00ED7AC1">
        <w:t xml:space="preserve"> In some cases, WHRDs were subjected to house arrest on the basis of false accusations, such as in case 173 (NGOs foreign funding case)</w:t>
      </w:r>
      <w:r w:rsidRPr="00ED7AC1">
        <w:rPr>
          <w:vertAlign w:val="superscript"/>
        </w:rPr>
        <w:footnoteReference w:id="26"/>
      </w:r>
      <w:r w:rsidRPr="00ED7AC1">
        <w:t xml:space="preserve"> and case 621.</w:t>
      </w:r>
      <w:r w:rsidRPr="00ED7AC1">
        <w:rPr>
          <w:vertAlign w:val="superscript"/>
        </w:rPr>
        <w:footnoteReference w:id="27"/>
      </w:r>
    </w:p>
    <w:p w14:paraId="22438EC4" w14:textId="77777777" w:rsidR="002F3BBB" w:rsidRPr="00ED7AC1" w:rsidRDefault="002F3BBB" w:rsidP="002F3BBB"/>
    <w:p w14:paraId="62743A93" w14:textId="77777777" w:rsidR="00ED7AC1" w:rsidRPr="00ED7AC1" w:rsidRDefault="00ED7AC1" w:rsidP="00ED7AC1">
      <w:r w:rsidRPr="00ED7AC1">
        <w:t>Furthermore, in July 2021, the Special Rapporteur on HRDs stated that HRDs have been “detained without warrants, held incommunicado and then accused of multiple spurious offences.”</w:t>
      </w:r>
      <w:r w:rsidRPr="00ED7AC1">
        <w:rPr>
          <w:vertAlign w:val="superscript"/>
        </w:rPr>
        <w:footnoteReference w:id="28"/>
      </w:r>
      <w:r w:rsidRPr="00ED7AC1">
        <w:t xml:space="preserve"> These include WHRDs such </w:t>
      </w:r>
      <w:r w:rsidRPr="00ED7AC1">
        <w:lastRenderedPageBreak/>
        <w:t>as: a lawyer, two board members of the Egyptian Coordination for Rights and Freedoms (ECRF) and a film editor.</w:t>
      </w:r>
      <w:r w:rsidRPr="00ED7AC1">
        <w:rPr>
          <w:vertAlign w:val="superscript"/>
        </w:rPr>
        <w:footnoteReference w:id="29"/>
      </w:r>
      <w:r w:rsidRPr="00ED7AC1">
        <w:t xml:space="preserve"> WHRDs are facing gender-specific risks and violence during their detention. For instance, a journalist and </w:t>
      </w:r>
      <w:proofErr w:type="spellStart"/>
      <w:r w:rsidRPr="00ED7AC1">
        <w:t>whistleblower</w:t>
      </w:r>
      <w:proofErr w:type="spellEnd"/>
      <w:r w:rsidRPr="00ED7AC1">
        <w:t>, who was finally released in April 2021, had been denied access to food and medical supplies and contact with her family during her detention.</w:t>
      </w:r>
      <w:r w:rsidRPr="00ED7AC1">
        <w:rPr>
          <w:vertAlign w:val="superscript"/>
        </w:rPr>
        <w:footnoteReference w:id="30"/>
      </w:r>
      <w:r w:rsidRPr="00ED7AC1">
        <w:t xml:space="preserve"> She also had repeatedly been physically and sexually assaulted whilst in prison.</w:t>
      </w:r>
      <w:r w:rsidRPr="00ED7AC1">
        <w:rPr>
          <w:vertAlign w:val="superscript"/>
        </w:rPr>
        <w:footnoteReference w:id="31"/>
      </w:r>
      <w:r w:rsidRPr="00ED7AC1">
        <w:t xml:space="preserve"> </w:t>
      </w:r>
    </w:p>
    <w:p w14:paraId="1FF80800" w14:textId="77777777" w:rsidR="00ED7AC1" w:rsidRPr="00ED7AC1" w:rsidRDefault="00ED7AC1" w:rsidP="00ED7AC1"/>
    <w:p w14:paraId="1B3595C1" w14:textId="2A677A9E" w:rsidR="00C024DF" w:rsidRDefault="00ED7AC1" w:rsidP="001B21BF">
      <w:r w:rsidRPr="00ED7AC1">
        <w:t>In July 2021, three Special Procedures sent to the government a detailed communication with concerns regarding the Law 149/2019 and its 2021 by-law (or regulations).</w:t>
      </w:r>
      <w:r w:rsidRPr="00ED7AC1">
        <w:rPr>
          <w:vertAlign w:val="superscript"/>
        </w:rPr>
        <w:footnoteReference w:id="32"/>
      </w:r>
      <w:r w:rsidRPr="00ED7AC1">
        <w:t xml:space="preserve"> Cases of HRDs have also been the subject of several urgent appeals and communications by Special Procedures (all available in the OHCHR Communications database).</w:t>
      </w:r>
      <w:r w:rsidRPr="00ED7AC1">
        <w:rPr>
          <w:vertAlign w:val="superscript"/>
        </w:rPr>
        <w:footnoteReference w:id="33"/>
      </w:r>
      <w:bookmarkStart w:id="6" w:name="_Toc505418087"/>
      <w:bookmarkStart w:id="7" w:name="_Toc505419569"/>
      <w:bookmarkStart w:id="8" w:name="_GoBack"/>
      <w:bookmarkEnd w:id="8"/>
    </w:p>
    <w:p w14:paraId="6043E40A" w14:textId="77777777" w:rsidR="00C024DF" w:rsidRDefault="00C024DF" w:rsidP="00DA7233"/>
    <w:p w14:paraId="083FD558" w14:textId="5E4CBC67" w:rsidR="00DA7233" w:rsidRPr="00DA7233" w:rsidRDefault="00ED7AC1" w:rsidP="00DA7233">
      <w:pPr>
        <w:pStyle w:val="Heading2"/>
      </w:pPr>
      <w:bookmarkStart w:id="9" w:name="_Toc94794190"/>
      <w:r w:rsidRPr="00ED7AC1">
        <w:t>Crackdown on Women Social Media Influencers</w:t>
      </w:r>
      <w:bookmarkEnd w:id="6"/>
      <w:bookmarkEnd w:id="7"/>
      <w:bookmarkEnd w:id="9"/>
    </w:p>
    <w:p w14:paraId="64D2D163" w14:textId="77777777" w:rsidR="00C024DF" w:rsidRPr="00C024DF" w:rsidRDefault="00C024DF" w:rsidP="00ED7AC1">
      <w:pPr>
        <w:rPr>
          <w:sz w:val="12"/>
          <w:szCs w:val="12"/>
        </w:rPr>
      </w:pPr>
    </w:p>
    <w:p w14:paraId="75541DFC" w14:textId="4F860DF8" w:rsidR="00ED7AC1" w:rsidRPr="00ED7AC1" w:rsidRDefault="00ED7AC1" w:rsidP="00ED7AC1">
      <w:pPr>
        <w:rPr>
          <w:lang w:val="en-US"/>
        </w:rPr>
      </w:pPr>
      <w:r w:rsidRPr="00ED7AC1">
        <w:t xml:space="preserve">Two laws passed in 2018, namely the </w:t>
      </w:r>
      <w:r w:rsidRPr="00ED7AC1">
        <w:rPr>
          <w:rFonts w:ascii="Arial" w:hAnsi="Arial" w:cs="Arial"/>
        </w:rPr>
        <w:t>​​</w:t>
      </w:r>
      <w:r w:rsidRPr="00ED7AC1">
        <w:t>Law on the Organisation of Press, Media and the Supreme Council of Media</w:t>
      </w:r>
      <w:r w:rsidRPr="00ED7AC1">
        <w:rPr>
          <w:vertAlign w:val="superscript"/>
        </w:rPr>
        <w:footnoteReference w:id="34"/>
      </w:r>
      <w:r w:rsidRPr="00ED7AC1">
        <w:t xml:space="preserve"> (</w:t>
      </w:r>
      <w:r w:rsidRPr="00ED7AC1">
        <w:rPr>
          <w:lang w:val="en-US"/>
        </w:rPr>
        <w:t>hereinafter</w:t>
      </w:r>
      <w:r w:rsidRPr="00ED7AC1">
        <w:t xml:space="preserve"> the ‘Media Regulation Law’) and the Anti-Cyber and Information Technology Crimes</w:t>
      </w:r>
      <w:r w:rsidRPr="00ED7AC1">
        <w:rPr>
          <w:vertAlign w:val="superscript"/>
        </w:rPr>
        <w:footnoteReference w:id="35"/>
      </w:r>
      <w:r w:rsidRPr="00ED7AC1">
        <w:t xml:space="preserve"> (</w:t>
      </w:r>
      <w:r w:rsidRPr="00ED7AC1">
        <w:rPr>
          <w:lang w:val="en-US"/>
        </w:rPr>
        <w:t>hereinafter</w:t>
      </w:r>
      <w:r w:rsidRPr="00ED7AC1">
        <w:t xml:space="preserve"> the ‘Cyber-crime Law’), are used to curb freedom of expression online, including of women social </w:t>
      </w:r>
      <w:r w:rsidRPr="00ED7AC1">
        <w:lastRenderedPageBreak/>
        <w:t>media influencers. The Media Regulation Law stipulates, among other things, that social media accounts with over 5,000 followers are treated as media outlets and can therefore be subject to censorship and penalties for publishing false news.</w:t>
      </w:r>
      <w:r w:rsidRPr="00ED7AC1">
        <w:rPr>
          <w:vertAlign w:val="superscript"/>
        </w:rPr>
        <w:footnoteReference w:id="36"/>
      </w:r>
      <w:r w:rsidRPr="00ED7AC1">
        <w:t xml:space="preserve"> The Cyber-crime law legalises censorship and website blocking and allows the mass surveillance of communications.</w:t>
      </w:r>
      <w:r w:rsidRPr="00ED7AC1">
        <w:rPr>
          <w:vertAlign w:val="superscript"/>
        </w:rPr>
        <w:footnoteReference w:id="37"/>
      </w:r>
      <w:r w:rsidRPr="00ED7AC1">
        <w:t xml:space="preserve"> In its latest UPR, Egypt received three recommendations, which it did not support, to amend these laws and to bring them in line with international human rights standards.</w:t>
      </w:r>
      <w:r w:rsidRPr="00ED7AC1">
        <w:rPr>
          <w:vertAlign w:val="superscript"/>
        </w:rPr>
        <w:footnoteReference w:id="38"/>
      </w:r>
    </w:p>
    <w:p w14:paraId="370F5059" w14:textId="77777777" w:rsidR="00ED7AC1" w:rsidRPr="00ED7AC1" w:rsidRDefault="00ED7AC1" w:rsidP="00ED7AC1"/>
    <w:p w14:paraId="618A2D4A" w14:textId="77777777" w:rsidR="00ED7AC1" w:rsidRPr="00ED7AC1" w:rsidRDefault="00ED7AC1" w:rsidP="00ED7AC1">
      <w:r w:rsidRPr="00ED7AC1">
        <w:t xml:space="preserve">According to Amnesty International, “Since April 2020, the authorities have intensified their crackdown on social media influencers in an apparent attempt to control cyber space by policing women’s bodies and conduct and by undermining their ability to earn an independent living. Since then, the Egyptian authorities have arrested and prosecuted ten women </w:t>
      </w:r>
      <w:proofErr w:type="spellStart"/>
      <w:r w:rsidRPr="00ED7AC1">
        <w:t>TikTok</w:t>
      </w:r>
      <w:proofErr w:type="spellEnd"/>
      <w:r w:rsidRPr="00ED7AC1">
        <w:t xml:space="preserve"> influencers for violating the draconian Cyber-crimes law, and other overly vague legal provisions related to “decency” and “inciting immorality.”</w:t>
      </w:r>
      <w:r w:rsidRPr="00ED7AC1">
        <w:rPr>
          <w:vertAlign w:val="superscript"/>
        </w:rPr>
        <w:footnoteReference w:id="39"/>
      </w:r>
      <w:r w:rsidRPr="00ED7AC1">
        <w:t xml:space="preserve"> A clear example is two social media influencers known as “</w:t>
      </w:r>
      <w:proofErr w:type="spellStart"/>
      <w:r w:rsidRPr="00ED7AC1">
        <w:t>TikTok</w:t>
      </w:r>
      <w:proofErr w:type="spellEnd"/>
      <w:r w:rsidRPr="00ED7AC1">
        <w:t xml:space="preserve"> women”, who were prosecuted under absurd charges of undermining family values and principles by publishing “indecent” videos, sentenced a Misdemeanours Cairo Economic Court to two years in prison and a fine each, but an appeal court acquitted one of them and commuted the sentence of the other to a fine. </w:t>
      </w:r>
      <w:r w:rsidRPr="00ED7AC1">
        <w:rPr>
          <w:vertAlign w:val="superscript"/>
        </w:rPr>
        <w:footnoteReference w:id="40"/>
      </w:r>
      <w:r w:rsidRPr="00ED7AC1">
        <w:t xml:space="preserve"> Egypt indicated in its written replies to the CEDAW Committee that on 12 January 2021, the Economic Court of Appeals of Cairo acquitted them and three others of the charge of infringing family values and principles.</w:t>
      </w:r>
      <w:r w:rsidRPr="00ED7AC1">
        <w:rPr>
          <w:vertAlign w:val="superscript"/>
        </w:rPr>
        <w:footnoteReference w:id="41"/>
      </w:r>
      <w:r w:rsidRPr="00ED7AC1">
        <w:t xml:space="preserve"> However, the public prosecution indicted them on separate charges including “human trafficking” and referred them to criminal court. They were then sentenced, </w:t>
      </w:r>
      <w:r w:rsidRPr="00ED7AC1">
        <w:lastRenderedPageBreak/>
        <w:t>respectively, to six years and ten years’ imprisonment for “human trafficking” in June 2021. Amnesty International, which has reviewed the videos and found no credible evidence linking the two women to acts that would amount to trafficking in persons as defined by the Protocol to Prevent, Suppress and Punish Trafficking in Persons, has issued an urgent action calling for their immediate release and their sentences to be quashed (additional information on the case available at the link to the urgent action in the footnote.)</w:t>
      </w:r>
      <w:r w:rsidRPr="00ED7AC1">
        <w:rPr>
          <w:vertAlign w:val="superscript"/>
        </w:rPr>
        <w:t xml:space="preserve"> </w:t>
      </w:r>
      <w:r w:rsidRPr="00ED7AC1">
        <w:rPr>
          <w:vertAlign w:val="superscript"/>
        </w:rPr>
        <w:footnoteReference w:id="42"/>
      </w:r>
    </w:p>
    <w:p w14:paraId="0CF84A40" w14:textId="77777777" w:rsidR="00ED7AC1" w:rsidRPr="00ED7AC1" w:rsidRDefault="00ED7AC1" w:rsidP="00ED7AC1"/>
    <w:p w14:paraId="2C452EFA" w14:textId="77777777" w:rsidR="00ED7AC1" w:rsidRPr="00ED7AC1" w:rsidRDefault="00ED7AC1" w:rsidP="00ED7AC1">
      <w:r w:rsidRPr="00ED7AC1">
        <w:t>Also, according to Amnesty International, “women who reported sexual assault, violations of their right to privacy and online abuse are among social media influencers targeted by the authorities’ use of new repressive tactics to control cyber space by policing women’s bodies and conduct and by undermining their ability to earn an independent living.”</w:t>
      </w:r>
      <w:r w:rsidRPr="00ED7AC1">
        <w:rPr>
          <w:vertAlign w:val="superscript"/>
        </w:rPr>
        <w:footnoteReference w:id="43"/>
      </w:r>
      <w:r w:rsidRPr="00ED7AC1">
        <w:t xml:space="preserve"> </w:t>
      </w:r>
    </w:p>
    <w:p w14:paraId="7527E95C" w14:textId="77777777" w:rsidR="00ED7AC1" w:rsidRPr="00ED7AC1" w:rsidRDefault="00ED7AC1" w:rsidP="00ED7AC1">
      <w:r w:rsidRPr="00ED7AC1">
        <w:t xml:space="preserve"> </w:t>
      </w:r>
    </w:p>
    <w:p w14:paraId="173065A3" w14:textId="77777777" w:rsidR="00ED7AC1" w:rsidRPr="00ED7AC1" w:rsidRDefault="00ED7AC1" w:rsidP="00ED7AC1">
      <w:r w:rsidRPr="00ED7AC1">
        <w:t>The crackdown on women social media influencers follows a pattern used by the government against WHRDs, using degrading and misogynist stereotypes of women’s sexuality, women’s personal and marital status/choices, how they dress, the language they use, sometimes considered “indecent” or “improper” for a woman, or accusations related to the type of work and activism they do. Indeed</w:t>
      </w:r>
      <w:r w:rsidRPr="00ED7AC1">
        <w:rPr>
          <w:i/>
        </w:rPr>
        <w:t>,</w:t>
      </w:r>
      <w:r w:rsidRPr="00ED7AC1">
        <w:t xml:space="preserve"> a WHRD working for the Committee for Justice emphasises, in an interview for </w:t>
      </w:r>
      <w:proofErr w:type="spellStart"/>
      <w:r w:rsidRPr="00ED7AC1">
        <w:t>EuroMed</w:t>
      </w:r>
      <w:proofErr w:type="spellEnd"/>
      <w:r w:rsidRPr="00ED7AC1">
        <w:t xml:space="preserve"> Rights, that “the attacks on social media are exacerbated for WHRDs, who are seen as the weakest link in the movement.”</w:t>
      </w:r>
      <w:r w:rsidRPr="00ED7AC1">
        <w:rPr>
          <w:vertAlign w:val="superscript"/>
        </w:rPr>
        <w:footnoteReference w:id="44"/>
      </w:r>
      <w:r w:rsidRPr="00ED7AC1">
        <w:t xml:space="preserve"> She explains that “smear campaigns against WHRDs often use their personal photos and information, and that this was the case for a journalist</w:t>
      </w:r>
      <w:r w:rsidRPr="00ED7AC1">
        <w:rPr>
          <w:i/>
        </w:rPr>
        <w:t>,</w:t>
      </w:r>
      <w:r w:rsidRPr="00ED7AC1">
        <w:t xml:space="preserve"> who was subjected to a smear campaign on social media using her personal photos before her arrest in October 2019.”</w:t>
      </w:r>
      <w:r w:rsidRPr="00ED7AC1">
        <w:rPr>
          <w:vertAlign w:val="superscript"/>
        </w:rPr>
        <w:footnoteReference w:id="45"/>
      </w:r>
      <w:r w:rsidRPr="00ED7AC1">
        <w:t xml:space="preserve"> </w:t>
      </w:r>
    </w:p>
    <w:p w14:paraId="36B7D164" w14:textId="77777777" w:rsidR="00ED7AC1" w:rsidRPr="00ED7AC1" w:rsidRDefault="00ED7AC1" w:rsidP="00ED7AC1"/>
    <w:p w14:paraId="44E8C57D" w14:textId="77777777" w:rsidR="00ED7AC1" w:rsidRPr="00ED7AC1" w:rsidRDefault="00ED7AC1" w:rsidP="00ED7AC1">
      <w:r w:rsidRPr="00ED7AC1">
        <w:t>Moreover, as Human Rights Watch has raised, “the public prosecution’s aggressive campaign targeting women social media influencers stands in stark contrast to the authorities’ failure to investigate and prosecute men for sexual violence against women and girls”.</w:t>
      </w:r>
      <w:r w:rsidRPr="00ED7AC1">
        <w:rPr>
          <w:vertAlign w:val="superscript"/>
        </w:rPr>
        <w:footnoteReference w:id="46"/>
      </w:r>
      <w:r w:rsidRPr="00ED7AC1">
        <w:t xml:space="preserve"> Indeed, four defendants have been released for “lack of </w:t>
      </w:r>
      <w:r w:rsidRPr="00ED7AC1">
        <w:lastRenderedPageBreak/>
        <w:t>evidence” in “the Fairmont case” in which a woman reported that several men had gang-raped her in Cairo’s Fairmont Hotel in 2014</w:t>
      </w:r>
      <w:r w:rsidRPr="00ED7AC1">
        <w:rPr>
          <w:vertAlign w:val="superscript"/>
        </w:rPr>
        <w:footnoteReference w:id="47"/>
      </w:r>
      <w:r w:rsidRPr="00ED7AC1">
        <w:t xml:space="preserve"> Instead, the authorities arrested seven witnesses in the case, and some were prosecuted on spurious “immorality” and “debauchery” charges.</w:t>
      </w:r>
      <w:r w:rsidRPr="00ED7AC1">
        <w:rPr>
          <w:vertAlign w:val="superscript"/>
        </w:rPr>
        <w:footnoteReference w:id="48"/>
      </w:r>
      <w:r w:rsidRPr="00ED7AC1">
        <w:t xml:space="preserve"> Four witnesses were released early, including three on bail, but three others were detained for over four months before being released in January 2021.</w:t>
      </w:r>
      <w:r w:rsidRPr="00ED7AC1">
        <w:rPr>
          <w:vertAlign w:val="superscript"/>
        </w:rPr>
        <w:footnoteReference w:id="49"/>
      </w:r>
      <w:r w:rsidRPr="00ED7AC1">
        <w:t xml:space="preserve"> One female witness described being abused in detention.</w:t>
      </w:r>
      <w:r w:rsidRPr="00ED7AC1">
        <w:rPr>
          <w:vertAlign w:val="superscript"/>
        </w:rPr>
        <w:footnoteReference w:id="50"/>
      </w:r>
      <w:r w:rsidRPr="00ED7AC1">
        <w:t xml:space="preserve"> Instead of prosecuting sexual violence, Egyptian authorities are sending the message that survivors and witnesses of sexual violence can themselves face charges and imprisonment if they report the crime. </w:t>
      </w:r>
    </w:p>
    <w:p w14:paraId="30ED3649" w14:textId="77777777" w:rsidR="00ED7AC1" w:rsidRPr="00ED7AC1" w:rsidRDefault="00ED7AC1" w:rsidP="00ED7AC1"/>
    <w:p w14:paraId="6C807955" w14:textId="2AB50D87" w:rsidR="00DA7233" w:rsidRDefault="00ED7AC1" w:rsidP="00DA7233">
      <w:pPr>
        <w:pStyle w:val="Heading2"/>
      </w:pPr>
      <w:bookmarkStart w:id="10" w:name="_Toc505418088"/>
      <w:bookmarkStart w:id="11" w:name="_Toc505419570"/>
      <w:bookmarkStart w:id="12" w:name="_Toc94794191"/>
      <w:r w:rsidRPr="00ED7AC1">
        <w:t>Suggested questions</w:t>
      </w:r>
      <w:bookmarkEnd w:id="10"/>
      <w:bookmarkEnd w:id="11"/>
      <w:bookmarkEnd w:id="12"/>
    </w:p>
    <w:p w14:paraId="7ED4C6E9" w14:textId="77777777" w:rsidR="00C024DF" w:rsidRPr="00C024DF" w:rsidRDefault="00C024DF" w:rsidP="00C024DF">
      <w:pPr>
        <w:pStyle w:val="Normal1"/>
        <w:rPr>
          <w:sz w:val="12"/>
          <w:szCs w:val="12"/>
        </w:rPr>
      </w:pPr>
    </w:p>
    <w:p w14:paraId="6EC851E9" w14:textId="7072FF83" w:rsidR="00ED7AC1" w:rsidRPr="00ED7AC1" w:rsidRDefault="00ED7AC1" w:rsidP="001715E1">
      <w:pPr>
        <w:numPr>
          <w:ilvl w:val="0"/>
          <w:numId w:val="11"/>
        </w:numPr>
        <w:ind w:left="709" w:hanging="425"/>
      </w:pPr>
      <w:r w:rsidRPr="00ED7AC1">
        <w:t>What steps have been taken to immediately and unconditionally release all those arbitrarily detained and to drop charges against HRDs and others who are being prosecuted for exercising their right to freedom of expression, association and assembly?</w:t>
      </w:r>
    </w:p>
    <w:p w14:paraId="15FB4C3C" w14:textId="77777777" w:rsidR="00ED7AC1" w:rsidRPr="00ED7AC1" w:rsidRDefault="00ED7AC1" w:rsidP="001715E1">
      <w:pPr>
        <w:numPr>
          <w:ilvl w:val="0"/>
          <w:numId w:val="11"/>
        </w:numPr>
        <w:ind w:left="709" w:hanging="425"/>
      </w:pPr>
      <w:r w:rsidRPr="00ED7AC1">
        <w:t>What steps have been  taken to cease the ongoing harassment of HRDs, including defamation campaigns and threats against them?</w:t>
      </w:r>
    </w:p>
    <w:p w14:paraId="64A8658C" w14:textId="77777777" w:rsidR="00ED7AC1" w:rsidRPr="00ED7AC1" w:rsidRDefault="00ED7AC1" w:rsidP="001715E1">
      <w:pPr>
        <w:numPr>
          <w:ilvl w:val="0"/>
          <w:numId w:val="11"/>
        </w:numPr>
        <w:ind w:left="709" w:hanging="425"/>
        <w:rPr>
          <w:lang w:val="en-US"/>
        </w:rPr>
      </w:pPr>
      <w:r w:rsidRPr="00ED7AC1">
        <w:t xml:space="preserve">What steps have been taken to repeal all laws and policies that infringe on </w:t>
      </w:r>
      <w:r w:rsidRPr="00ED7AC1">
        <w:rPr>
          <w:lang w:val="en-US"/>
        </w:rPr>
        <w:t>the rights to freedom of expression, association and peaceful assembly and</w:t>
      </w:r>
      <w:r w:rsidRPr="00ED7AC1">
        <w:t xml:space="preserve"> restrict activities and rights of HRDs such as the Anti-Cyber and Information Technology Crimes Law and the Media Regulation Law? </w:t>
      </w:r>
    </w:p>
    <w:p w14:paraId="355DEB69" w14:textId="58441733" w:rsidR="00ED7AC1" w:rsidRPr="00ED7AC1" w:rsidRDefault="00ED7AC1" w:rsidP="001715E1">
      <w:pPr>
        <w:numPr>
          <w:ilvl w:val="0"/>
          <w:numId w:val="11"/>
        </w:numPr>
        <w:ind w:left="709" w:hanging="425"/>
      </w:pPr>
      <w:r w:rsidRPr="00ED7AC1">
        <w:t>Provide information on the status of prosecutions restricting WHRDs’ activities and women’s right to freedom of expression online and offline, including prosecutions regarding online content deemed to “violate the family principles and values upheld by Egyptian society” such as those based on provisions of the Penal Code, the Law no 10/1961 on the combating of prostitution, the 2010 Trafficking law and article 25 of the Anti-Cyber and Information Technology Crimes Law;</w:t>
      </w:r>
    </w:p>
    <w:p w14:paraId="6F1CEFA9" w14:textId="77777777" w:rsidR="00ED7AC1" w:rsidRPr="00ED7AC1" w:rsidRDefault="00ED7AC1" w:rsidP="001715E1">
      <w:pPr>
        <w:numPr>
          <w:ilvl w:val="0"/>
          <w:numId w:val="11"/>
        </w:numPr>
        <w:ind w:left="709" w:hanging="425"/>
      </w:pPr>
      <w:r w:rsidRPr="00ED7AC1">
        <w:t>How does the State party ensure that HRDs are protected from prosecutions based on defamation and security grounds? What are the mechanisms put in place to ensure specific and enhanced protection for WHRDs and others needing it?</w:t>
      </w:r>
    </w:p>
    <w:p w14:paraId="44232267" w14:textId="77777777" w:rsidR="00ED7AC1" w:rsidRPr="00ED7AC1" w:rsidRDefault="00ED7AC1" w:rsidP="001715E1">
      <w:pPr>
        <w:numPr>
          <w:ilvl w:val="0"/>
          <w:numId w:val="11"/>
        </w:numPr>
        <w:ind w:left="709" w:hanging="425"/>
      </w:pPr>
      <w:r w:rsidRPr="00ED7AC1">
        <w:lastRenderedPageBreak/>
        <w:t xml:space="preserve">Which steps has the State party  taken towards removing restrictions and amending laws to guarantee the rights to freedom of expression, association and peaceful assembly, and in particular towards  ending the practice of  “precautionary measures” against HRDs, including WHRDs, such as the freezing of accounts, travel bans, passport confiscations and other intimidation measures? </w:t>
      </w:r>
    </w:p>
    <w:p w14:paraId="12EB9493" w14:textId="77777777" w:rsidR="00ED7AC1" w:rsidRPr="00ED7AC1" w:rsidRDefault="00ED7AC1" w:rsidP="001715E1">
      <w:pPr>
        <w:numPr>
          <w:ilvl w:val="0"/>
          <w:numId w:val="11"/>
        </w:numPr>
        <w:ind w:left="709" w:hanging="425"/>
      </w:pPr>
      <w:r w:rsidRPr="00ED7AC1">
        <w:t>Which measures has the State party taken towards the release of all journalists, political activists, HRDs and anyone held simply for expressing their opinions, peacefully protesting or charged for offences related to “morality”?</w:t>
      </w:r>
    </w:p>
    <w:p w14:paraId="72AF85FE" w14:textId="77777777" w:rsidR="00ED7AC1" w:rsidRPr="00ED7AC1" w:rsidRDefault="00ED7AC1" w:rsidP="001715E1">
      <w:pPr>
        <w:numPr>
          <w:ilvl w:val="0"/>
          <w:numId w:val="11"/>
        </w:numPr>
        <w:ind w:left="709" w:hanging="425"/>
      </w:pPr>
      <w:r w:rsidRPr="00ED7AC1">
        <w:t>What are the remedies available to those who have been arbitrarily arrested, physically assaulted or tortured for their human rights work, political opinions or online content?</w:t>
      </w:r>
    </w:p>
    <w:p w14:paraId="52B46320" w14:textId="77777777" w:rsidR="00ED7AC1" w:rsidRPr="00ED7AC1" w:rsidRDefault="00ED7AC1" w:rsidP="001715E1">
      <w:pPr>
        <w:numPr>
          <w:ilvl w:val="0"/>
          <w:numId w:val="11"/>
        </w:numPr>
        <w:ind w:left="709" w:hanging="425"/>
      </w:pPr>
      <w:r w:rsidRPr="00ED7AC1">
        <w:t xml:space="preserve">Provide information on the status of social media influencers who have been prosecuted for their conduct online in the name of “morality” and “decency”. What measures is the State party taking to respect and protect women’s rights to privacy, freedom of expression, non-discrimination and bodily autonomy online, including on social media in the country? </w:t>
      </w:r>
    </w:p>
    <w:p w14:paraId="263DC156" w14:textId="71C052CD" w:rsidR="00ED7AC1" w:rsidRDefault="00ED7AC1" w:rsidP="001715E1">
      <w:pPr>
        <w:numPr>
          <w:ilvl w:val="0"/>
          <w:numId w:val="11"/>
        </w:numPr>
        <w:ind w:left="709" w:hanging="425"/>
      </w:pPr>
      <w:bookmarkStart w:id="13" w:name="_heading=h.3whwml4" w:colFirst="0" w:colLast="0"/>
      <w:bookmarkEnd w:id="13"/>
      <w:r w:rsidRPr="00ED7AC1">
        <w:t>What steps has the State Party taken to address acts of intimidation and reprisals against HRDs and others who cooperate, have cooperated or seek to cooperate with the UN, its representatives and mechanisms?</w:t>
      </w:r>
    </w:p>
    <w:p w14:paraId="7A358525" w14:textId="27BD8E08" w:rsidR="00C024DF" w:rsidRDefault="00C024DF">
      <w:r>
        <w:br w:type="page"/>
      </w:r>
    </w:p>
    <w:p w14:paraId="2DFE7EC8" w14:textId="77777777" w:rsidR="00ED7AC1" w:rsidRPr="00ED7AC1" w:rsidRDefault="00ED7AC1" w:rsidP="00ED7AC1">
      <w:pPr>
        <w:ind w:left="720"/>
      </w:pPr>
    </w:p>
    <w:p w14:paraId="60466242" w14:textId="1ABCA5E0" w:rsidR="00ED7AC1" w:rsidRPr="00ED7AC1" w:rsidRDefault="00ED7AC1" w:rsidP="0003077B">
      <w:pPr>
        <w:pStyle w:val="Heading1"/>
        <w:ind w:left="426" w:hanging="426"/>
      </w:pPr>
      <w:bookmarkStart w:id="14" w:name="_Toc505418089"/>
      <w:bookmarkStart w:id="15" w:name="_Toc505419571"/>
      <w:bookmarkStart w:id="16" w:name="_Toc94794192"/>
      <w:r w:rsidRPr="00ED7AC1">
        <w:t xml:space="preserve">II. </w:t>
      </w:r>
      <w:r w:rsidRPr="00ED7AC1">
        <w:tab/>
        <w:t>IMPACTS OF MILITARISATION ON HUMAN RIGHTS (</w:t>
      </w:r>
      <w:r>
        <w:t>A</w:t>
      </w:r>
      <w:r w:rsidRPr="00ED7AC1">
        <w:t>rt</w:t>
      </w:r>
      <w:r>
        <w:t>s</w:t>
      </w:r>
      <w:r w:rsidRPr="00ED7AC1">
        <w:t>. 2.1, 3, 6, 17, 19, 21)</w:t>
      </w:r>
      <w:bookmarkEnd w:id="14"/>
      <w:bookmarkEnd w:id="15"/>
      <w:bookmarkEnd w:id="16"/>
    </w:p>
    <w:p w14:paraId="3E852190" w14:textId="77777777" w:rsidR="00A56F93" w:rsidRPr="00A56F93" w:rsidRDefault="00A56F93" w:rsidP="00ED7AC1">
      <w:pPr>
        <w:pStyle w:val="Heading2"/>
        <w:rPr>
          <w:sz w:val="12"/>
          <w:szCs w:val="12"/>
        </w:rPr>
      </w:pPr>
      <w:bookmarkStart w:id="17" w:name="_Toc505418090"/>
      <w:bookmarkStart w:id="18" w:name="_Toc505419572"/>
    </w:p>
    <w:p w14:paraId="07347378" w14:textId="5ABA7771" w:rsidR="00ED7AC1" w:rsidRDefault="00ED7AC1" w:rsidP="00ED7AC1">
      <w:pPr>
        <w:pStyle w:val="Heading2"/>
      </w:pPr>
      <w:bookmarkStart w:id="19" w:name="_Toc94794193"/>
      <w:r w:rsidRPr="00ED7AC1">
        <w:t>Impacts of arms on human rights</w:t>
      </w:r>
      <w:bookmarkEnd w:id="17"/>
      <w:bookmarkEnd w:id="18"/>
      <w:bookmarkEnd w:id="19"/>
      <w:r w:rsidRPr="00ED7AC1">
        <w:t xml:space="preserve"> </w:t>
      </w:r>
    </w:p>
    <w:p w14:paraId="7CF3958F" w14:textId="77777777" w:rsidR="00C024DF" w:rsidRPr="00C024DF" w:rsidRDefault="00C024DF" w:rsidP="00C024DF">
      <w:pPr>
        <w:pStyle w:val="Normal1"/>
        <w:rPr>
          <w:sz w:val="12"/>
          <w:szCs w:val="12"/>
        </w:rPr>
      </w:pPr>
    </w:p>
    <w:p w14:paraId="5A2A976C" w14:textId="621C3174" w:rsidR="00DA7233" w:rsidRDefault="00ED7AC1" w:rsidP="00DA7233">
      <w:r w:rsidRPr="00ED7AC1">
        <w:t xml:space="preserve">The negative impacts of weapons on human rights have been recognised, </w:t>
      </w:r>
      <w:r w:rsidRPr="00ED7AC1">
        <w:rPr>
          <w:i/>
        </w:rPr>
        <w:t>inter alia,</w:t>
      </w:r>
      <w:r w:rsidRPr="00ED7AC1">
        <w:t xml:space="preserve"> by several human rights treaty bodies and are increasingly being investigated and criticised by investigative mechanisms created by the UN Human Rights Council (HRC). </w:t>
      </w:r>
    </w:p>
    <w:p w14:paraId="6EA2296C" w14:textId="77777777" w:rsidR="00DA7233" w:rsidRPr="00DA7233" w:rsidRDefault="00DA7233" w:rsidP="00DA7233">
      <w:pPr>
        <w:rPr>
          <w:sz w:val="12"/>
          <w:szCs w:val="12"/>
        </w:rPr>
      </w:pPr>
    </w:p>
    <w:p w14:paraId="2DC8F901" w14:textId="77777777" w:rsidR="00ED7AC1" w:rsidRPr="00ED7AC1" w:rsidRDefault="00ED7AC1" w:rsidP="00ED7AC1">
      <w:pPr>
        <w:pStyle w:val="Heading3"/>
        <w:rPr>
          <w:lang w:val="uz-Cyrl-UZ"/>
        </w:rPr>
      </w:pPr>
      <w:bookmarkStart w:id="20" w:name="_Toc505419573"/>
      <w:bookmarkStart w:id="21" w:name="_Toc94794194"/>
      <w:r w:rsidRPr="00ED7AC1">
        <w:t>Impacts on women’s rights</w:t>
      </w:r>
      <w:bookmarkEnd w:id="20"/>
      <w:bookmarkEnd w:id="21"/>
    </w:p>
    <w:p w14:paraId="4D10D581" w14:textId="45CD83B9" w:rsidR="00ED7AC1" w:rsidRPr="00ED7AC1" w:rsidRDefault="00ED7AC1" w:rsidP="00ED7AC1">
      <w:r w:rsidRPr="00ED7AC1">
        <w:t xml:space="preserve">The specific impacts on women and girls have also been highlighted. For example, </w:t>
      </w:r>
      <w:r w:rsidR="00835052">
        <w:t xml:space="preserve">the </w:t>
      </w:r>
      <w:r w:rsidRPr="00ED7AC1">
        <w:t>CEDAW Committee has repeatedly recognised such negative impacts</w:t>
      </w:r>
      <w:r w:rsidRPr="00ED7AC1">
        <w:rPr>
          <w:vertAlign w:val="superscript"/>
        </w:rPr>
        <w:footnoteReference w:id="51"/>
      </w:r>
      <w:r w:rsidRPr="00ED7AC1">
        <w:t xml:space="preserve"> </w:t>
      </w:r>
      <w:r>
        <w:t xml:space="preserve"> </w:t>
      </w:r>
      <w:r w:rsidRPr="00ED7AC1">
        <w:t>and, in particular, has noted that: “the proliferation of conventional arms, especially small arms, including diverted arms from the legal trade, can have a direct or indirect effect on women as victims of conflict-related gender-based violence, as victims of domestic violence and also as protesters or actors in resistance movements”.</w:t>
      </w:r>
      <w:r w:rsidRPr="00ED7AC1">
        <w:rPr>
          <w:vertAlign w:val="superscript"/>
        </w:rPr>
        <w:footnoteReference w:id="52"/>
      </w:r>
      <w:r w:rsidRPr="00ED7AC1">
        <w:t xml:space="preserve"> It has further observed that the accessibility and availability of firearms heighten women’s risk of exposure to serious forms of gender-based violence.</w:t>
      </w:r>
      <w:r w:rsidRPr="00ED7AC1">
        <w:rPr>
          <w:vertAlign w:val="superscript"/>
        </w:rPr>
        <w:footnoteReference w:id="53"/>
      </w:r>
      <w:r w:rsidRPr="00ED7AC1">
        <w:t xml:space="preserve"> It has recalled the State parties’ obligations under the Convention </w:t>
      </w:r>
      <w:r w:rsidRPr="00ED7AC1">
        <w:rPr>
          <w:lang w:val="en-US"/>
        </w:rPr>
        <w:t>to focus on the prevention of conflict and all forms of violence and that prevention measures include robust and effective arms regulation.</w:t>
      </w:r>
      <w:r w:rsidRPr="00ED7AC1">
        <w:rPr>
          <w:vertAlign w:val="superscript"/>
          <w:lang w:val="en-US"/>
        </w:rPr>
        <w:footnoteReference w:id="54"/>
      </w:r>
      <w:r w:rsidRPr="00ED7AC1">
        <w:t xml:space="preserve"> </w:t>
      </w:r>
    </w:p>
    <w:p w14:paraId="19DB9D7E" w14:textId="77777777" w:rsidR="00ED7AC1" w:rsidRPr="00ED7AC1" w:rsidRDefault="00ED7AC1" w:rsidP="00ED7AC1"/>
    <w:p w14:paraId="1935A645" w14:textId="77777777" w:rsidR="00ED7AC1" w:rsidRPr="00ED7AC1" w:rsidRDefault="00ED7AC1" w:rsidP="00ED7AC1">
      <w:r w:rsidRPr="00ED7AC1">
        <w:t xml:space="preserve">Weapons such as battle tanks and armoured vehicles can be used to block roads or surround a village in order to force women or men to be cornered or trapped and subsequently raped, killed, or abducted. Weapons that use surveillance to build ‘target profiles’ for people, such as drones, are also capable of being used to facilitate gender-based violence and discrimination. </w:t>
      </w:r>
    </w:p>
    <w:p w14:paraId="3A386116" w14:textId="77777777" w:rsidR="00ED7AC1" w:rsidRPr="00ED7AC1" w:rsidRDefault="00ED7AC1" w:rsidP="00ED7AC1"/>
    <w:p w14:paraId="0780D88D" w14:textId="730D03AD" w:rsidR="00ED7AC1" w:rsidRDefault="00ED7AC1" w:rsidP="00DA7233">
      <w:r w:rsidRPr="00ED7AC1">
        <w:t>WILPF has shown numerous times how the “regulated” or “legal” arms trade with end users that include armies, police, and state security services is connected to a high risk of human rights violations.</w:t>
      </w:r>
      <w:r w:rsidRPr="00ED7AC1">
        <w:rPr>
          <w:vertAlign w:val="superscript"/>
        </w:rPr>
        <w:footnoteReference w:id="55"/>
      </w:r>
      <w:r w:rsidRPr="00ED7AC1">
        <w:t xml:space="preserve"> Arms transfers and small arms availability is also linked to violent masculinities and the heightened levels of militarisation within communities. This means that arms are correlated with an increase in gendered inequality and a generalised culture of violence, often with specific gendered impacts. Violence against women and girls increases along with militarisation, often as a result of exacerbating hegemonic masculinities.</w:t>
      </w:r>
      <w:r w:rsidRPr="00ED7AC1">
        <w:rPr>
          <w:vertAlign w:val="superscript"/>
        </w:rPr>
        <w:footnoteReference w:id="56"/>
      </w:r>
      <w:r w:rsidRPr="00ED7AC1">
        <w:t xml:space="preserve"> In addition to being used to facilitate or commit sexual and gender-based violence, the proliferation of small arms and light weapons jeopardises women’s ability to participate in public and political life including conflict resolution, elections and public protests. It negatively impacts on women’s equality and bargaining power within the household, their mobility, and access to, and use of, resources and business and employment opportunities.</w:t>
      </w:r>
      <w:r w:rsidRPr="00ED7AC1">
        <w:rPr>
          <w:vertAlign w:val="superscript"/>
        </w:rPr>
        <w:footnoteReference w:id="57"/>
      </w:r>
      <w:r w:rsidRPr="00ED7AC1">
        <w:t xml:space="preserve"> </w:t>
      </w:r>
    </w:p>
    <w:p w14:paraId="5553082C" w14:textId="77777777" w:rsidR="00DA7233" w:rsidRPr="00DA7233" w:rsidRDefault="00DA7233" w:rsidP="00DA7233">
      <w:pPr>
        <w:rPr>
          <w:sz w:val="12"/>
          <w:szCs w:val="12"/>
        </w:rPr>
      </w:pPr>
    </w:p>
    <w:p w14:paraId="0752F2A6" w14:textId="17528923" w:rsidR="001715E1" w:rsidRDefault="00ED7AC1" w:rsidP="00DA7233">
      <w:pPr>
        <w:pStyle w:val="Heading2"/>
      </w:pPr>
      <w:bookmarkStart w:id="22" w:name="_Toc505418091"/>
      <w:bookmarkStart w:id="23" w:name="_Toc505419574"/>
      <w:bookmarkStart w:id="24" w:name="_Toc94794195"/>
      <w:r w:rsidRPr="00ED7AC1">
        <w:t>Arms imports and arms proliferation</w:t>
      </w:r>
      <w:bookmarkEnd w:id="22"/>
      <w:bookmarkEnd w:id="23"/>
      <w:bookmarkEnd w:id="24"/>
      <w:r w:rsidRPr="00ED7AC1">
        <w:t xml:space="preserve"> </w:t>
      </w:r>
    </w:p>
    <w:p w14:paraId="5463CC52" w14:textId="77777777" w:rsidR="00C024DF" w:rsidRPr="00C024DF" w:rsidRDefault="00C024DF" w:rsidP="00C024DF">
      <w:pPr>
        <w:pStyle w:val="Normal1"/>
        <w:rPr>
          <w:sz w:val="12"/>
          <w:szCs w:val="12"/>
        </w:rPr>
      </w:pPr>
    </w:p>
    <w:p w14:paraId="1DF74C1C" w14:textId="4297A1FE" w:rsidR="002F3BBB" w:rsidRDefault="00ED7AC1" w:rsidP="001715E1">
      <w:r w:rsidRPr="00ED7AC1">
        <w:t>In its General Comment 36 on the right to life, the Committee stated that:</w:t>
      </w:r>
    </w:p>
    <w:p w14:paraId="4E2E60C8" w14:textId="77777777" w:rsidR="00DA7233" w:rsidRPr="00DA7233" w:rsidRDefault="00DA7233" w:rsidP="001715E1">
      <w:pPr>
        <w:rPr>
          <w:sz w:val="12"/>
          <w:szCs w:val="12"/>
        </w:rPr>
      </w:pPr>
    </w:p>
    <w:p w14:paraId="67A3C0EE" w14:textId="77777777" w:rsidR="00ED7AC1" w:rsidRPr="00ED7AC1" w:rsidRDefault="00ED7AC1" w:rsidP="00ED7AC1">
      <w:pPr>
        <w:ind w:left="720"/>
        <w:rPr>
          <w:sz w:val="20"/>
          <w:szCs w:val="20"/>
        </w:rPr>
      </w:pPr>
      <w:r w:rsidRPr="00ED7AC1">
        <w:rPr>
          <w:sz w:val="20"/>
          <w:szCs w:val="20"/>
        </w:rPr>
        <w:t>“States parties engaged in the deployment, use, sale or purchase of existing weapons and in the study, development, acquisition or adoption of  weapons, and means or  methods of warfare,  must always  consider their impact  on the right  to life.”</w:t>
      </w:r>
      <w:r w:rsidRPr="00ED7AC1">
        <w:rPr>
          <w:sz w:val="20"/>
          <w:szCs w:val="20"/>
          <w:vertAlign w:val="superscript"/>
        </w:rPr>
        <w:footnoteReference w:id="58"/>
      </w:r>
    </w:p>
    <w:p w14:paraId="102D6100" w14:textId="77777777" w:rsidR="00ED7AC1" w:rsidRPr="00ED7AC1" w:rsidRDefault="00ED7AC1" w:rsidP="00ED7AC1"/>
    <w:p w14:paraId="37EEFE1D" w14:textId="77777777" w:rsidR="00ED7AC1" w:rsidRPr="00ED7AC1" w:rsidRDefault="00ED7AC1" w:rsidP="00ED7AC1">
      <w:r w:rsidRPr="00ED7AC1">
        <w:t>Since Abdel Fattah al-</w:t>
      </w:r>
      <w:proofErr w:type="spellStart"/>
      <w:r w:rsidRPr="00ED7AC1">
        <w:t>Sisi</w:t>
      </w:r>
      <w:proofErr w:type="spellEnd"/>
      <w:r w:rsidRPr="00ED7AC1">
        <w:t xml:space="preserve"> assumed office in 2014, Egypt’s arms and surveillance imports increased to a marked extent. According to a report by the Stockholm International Peace Research Institute (SIPRI), Egypt’s </w:t>
      </w:r>
      <w:r w:rsidRPr="00ED7AC1">
        <w:lastRenderedPageBreak/>
        <w:t>arms imports increased by 136% between the periods of 2011–15 and 2016–20,</w:t>
      </w:r>
      <w:r w:rsidRPr="00ED7AC1">
        <w:rPr>
          <w:vertAlign w:val="superscript"/>
        </w:rPr>
        <w:footnoteReference w:id="59"/>
      </w:r>
      <w:r w:rsidRPr="00ED7AC1">
        <w:t xml:space="preserve"> becoming the world’s 3</w:t>
      </w:r>
      <w:r w:rsidRPr="00ED7AC1">
        <w:rPr>
          <w:vertAlign w:val="superscript"/>
        </w:rPr>
        <w:t>rd</w:t>
      </w:r>
      <w:r w:rsidRPr="00ED7AC1">
        <w:t xml:space="preserve"> largest importer of arms in the years 2016-2020.</w:t>
      </w:r>
      <w:r w:rsidRPr="00ED7AC1">
        <w:rPr>
          <w:vertAlign w:val="superscript"/>
        </w:rPr>
        <w:footnoteReference w:id="60"/>
      </w:r>
      <w:r w:rsidRPr="00ED7AC1">
        <w:t xml:space="preserve"> Despite this, Egypt is not a State party to the Arms Trade Treaty.</w:t>
      </w:r>
      <w:r w:rsidRPr="00ED7AC1">
        <w:rPr>
          <w:vertAlign w:val="superscript"/>
        </w:rPr>
        <w:footnoteReference w:id="61"/>
      </w:r>
      <w:r w:rsidRPr="00ED7AC1">
        <w:t xml:space="preserve"> In 2021, Egypt notably became the largest buyer of German weapons, helping Germany hit record levels with Egypt’s imported goods valued at EUR  4.34 billion and making up 46% of total German arms exports that year; among the weapons imported by Egypt are three MEKO A-200 EN frigates from Kiel-based Thyssenkrupp Marine Systems and 16 air defence systems from Diehl Defence in Baden-Württemberg.</w:t>
      </w:r>
      <w:r w:rsidRPr="00ED7AC1">
        <w:rPr>
          <w:vertAlign w:val="superscript"/>
        </w:rPr>
        <w:footnoteReference w:id="62"/>
      </w:r>
      <w:r w:rsidRPr="00ED7AC1">
        <w:t xml:space="preserve"> Moreover, there are reports that the US State Department has approved the sale to Egypt of 12 Super Hercules C-130 transport aircrafts and air defence radar systems estimated at USD 2.5 billion in January 2022.</w:t>
      </w:r>
      <w:r w:rsidRPr="00ED7AC1">
        <w:rPr>
          <w:vertAlign w:val="superscript"/>
        </w:rPr>
        <w:footnoteReference w:id="63"/>
      </w:r>
      <w:r w:rsidRPr="00ED7AC1">
        <w:t xml:space="preserve"> This despite the US’ own concerns regarding Egypt’s human rights record, confirmed by the fact that the US State Department has recently announced that Egypt will not receive the annual USD 130 million in military aid as it failed to meet the conditions for it.</w:t>
      </w:r>
      <w:r w:rsidRPr="00ED7AC1">
        <w:rPr>
          <w:vertAlign w:val="superscript"/>
        </w:rPr>
        <w:footnoteReference w:id="64"/>
      </w:r>
    </w:p>
    <w:p w14:paraId="66977274" w14:textId="77777777" w:rsidR="00ED7AC1" w:rsidRPr="00ED7AC1" w:rsidRDefault="00ED7AC1" w:rsidP="00ED7AC1"/>
    <w:p w14:paraId="5B0EB6C3" w14:textId="77777777" w:rsidR="00ED7AC1" w:rsidRPr="00ED7AC1" w:rsidRDefault="00ED7AC1" w:rsidP="00ED7AC1">
      <w:r w:rsidRPr="00ED7AC1">
        <w:t>In terms of firearms possession, Small Arms Survey found that Egypt had the highest number of firearms among civilians in 2017, estimated at a total of 3,900,000 registered and illicit weapons;</w:t>
      </w:r>
      <w:r w:rsidRPr="00ED7AC1">
        <w:rPr>
          <w:vertAlign w:val="superscript"/>
        </w:rPr>
        <w:footnoteReference w:id="65"/>
      </w:r>
      <w:r w:rsidRPr="00ED7AC1">
        <w:t xml:space="preserve"> though exact figures for illicit firearms trade and holding are not available, a comparison of expert assessments indicates that the number of civilian firearms in 2017 had doubled compared to 2007.</w:t>
      </w:r>
      <w:r w:rsidRPr="00ED7AC1">
        <w:rPr>
          <w:vertAlign w:val="superscript"/>
        </w:rPr>
        <w:footnoteReference w:id="66"/>
      </w:r>
      <w:r w:rsidRPr="00ED7AC1">
        <w:t xml:space="preserve"> Egypt was also the first in Africa </w:t>
      </w:r>
      <w:r w:rsidRPr="00ED7AC1">
        <w:lastRenderedPageBreak/>
        <w:t>in terms of military small arms holding with a reported at around 1,540,000 firearms,</w:t>
      </w:r>
      <w:r w:rsidRPr="00ED7AC1">
        <w:rPr>
          <w:vertAlign w:val="superscript"/>
        </w:rPr>
        <w:footnoteReference w:id="67"/>
      </w:r>
      <w:r w:rsidRPr="00ED7AC1">
        <w:t xml:space="preserve"> and one of the continent’s top five in firearms reportedly held by law enforcement with 1,530,000.</w:t>
      </w:r>
      <w:r w:rsidRPr="00ED7AC1">
        <w:rPr>
          <w:vertAlign w:val="superscript"/>
        </w:rPr>
        <w:footnoteReference w:id="68"/>
      </w:r>
      <w:r w:rsidRPr="00ED7AC1">
        <w:t xml:space="preserve"> Egypt is also a producer of small arms and munitions.</w:t>
      </w:r>
      <w:r w:rsidRPr="00ED7AC1">
        <w:rPr>
          <w:vertAlign w:val="superscript"/>
        </w:rPr>
        <w:footnoteReference w:id="69"/>
      </w:r>
    </w:p>
    <w:p w14:paraId="5E8642E3" w14:textId="77777777" w:rsidR="00ED7AC1" w:rsidRPr="00ED7AC1" w:rsidRDefault="00ED7AC1" w:rsidP="00ED7AC1"/>
    <w:p w14:paraId="2207D8A1" w14:textId="13A24001" w:rsidR="00ED7AC1" w:rsidRDefault="00ED7AC1" w:rsidP="00835052">
      <w:pPr>
        <w:pStyle w:val="Heading2"/>
      </w:pPr>
      <w:bookmarkStart w:id="25" w:name="_Toc505418092"/>
      <w:bookmarkStart w:id="26" w:name="_Toc505419575"/>
      <w:bookmarkStart w:id="27" w:name="_Toc94794196"/>
      <w:r w:rsidRPr="00ED7AC1">
        <w:t>Impacts of small arms on human rights</w:t>
      </w:r>
      <w:bookmarkEnd w:id="25"/>
      <w:bookmarkEnd w:id="26"/>
      <w:bookmarkEnd w:id="27"/>
    </w:p>
    <w:p w14:paraId="527E3483" w14:textId="77777777" w:rsidR="00C024DF" w:rsidRPr="00C024DF" w:rsidRDefault="00C024DF" w:rsidP="00C024DF">
      <w:pPr>
        <w:pStyle w:val="Normal1"/>
        <w:rPr>
          <w:sz w:val="12"/>
          <w:szCs w:val="12"/>
        </w:rPr>
      </w:pPr>
    </w:p>
    <w:p w14:paraId="297EA411" w14:textId="57CD236A" w:rsidR="00ED7AC1" w:rsidRDefault="00ED7AC1" w:rsidP="001715E1">
      <w:r w:rsidRPr="00ED7AC1">
        <w:t>According to the Committee’s General Comment on the right of peaceful assembly,</w:t>
      </w:r>
    </w:p>
    <w:p w14:paraId="73D46C3A" w14:textId="77777777" w:rsidR="00DA7233" w:rsidRPr="00DA7233" w:rsidRDefault="00DA7233" w:rsidP="001715E1">
      <w:pPr>
        <w:rPr>
          <w:sz w:val="12"/>
          <w:szCs w:val="12"/>
        </w:rPr>
      </w:pPr>
    </w:p>
    <w:p w14:paraId="68AC5081" w14:textId="77777777" w:rsidR="00ED7AC1" w:rsidRPr="00ED7AC1" w:rsidRDefault="00ED7AC1" w:rsidP="00ED7AC1">
      <w:pPr>
        <w:ind w:left="720"/>
        <w:rPr>
          <w:sz w:val="20"/>
          <w:szCs w:val="20"/>
        </w:rPr>
      </w:pPr>
      <w:r w:rsidRPr="00ED7AC1">
        <w:rPr>
          <w:sz w:val="20"/>
          <w:szCs w:val="20"/>
        </w:rPr>
        <w:t>“Law enforcement officials [...] are obliged to exhaust non-violent means and to give prior warning if it becomes absolutely necessary to use force, unless doing either would be manifestly ineffective. Any use of force must comply with the fundamental principles of legality, necessity, proportionality, precaution and non-discrimination applicable to articles 6 and 7 of the Covenant, and those using force must be accountable for each use of force. Domestic legal regimes on the use of force by law enforcement officials must be brought into line with the requirements enshrined in international law, guided by standards such as the Basic Principles on the Use of Force and Firearms by Law Enforcement Officials and the United Nations Human Rights Guidance on Less-Lethal Weapons in Law Enforcement.”</w:t>
      </w:r>
      <w:r w:rsidRPr="00ED7AC1">
        <w:rPr>
          <w:sz w:val="20"/>
          <w:szCs w:val="20"/>
          <w:vertAlign w:val="superscript"/>
        </w:rPr>
        <w:footnoteReference w:id="70"/>
      </w:r>
    </w:p>
    <w:p w14:paraId="35994E83" w14:textId="77777777" w:rsidR="00ED7AC1" w:rsidRPr="00ED7AC1" w:rsidRDefault="00ED7AC1" w:rsidP="00ED7AC1"/>
    <w:p w14:paraId="5C588572" w14:textId="26247432" w:rsidR="00C219F6" w:rsidRDefault="00ED7AC1" w:rsidP="00C219F6">
      <w:pPr>
        <w:rPr>
          <w:b/>
        </w:rPr>
      </w:pPr>
      <w:r w:rsidRPr="00ED7AC1">
        <w:t>In Egypt, national laws on the use of firearms by the police are extremely lax and do not comply with international standards on the use of force by the police.</w:t>
      </w:r>
      <w:r w:rsidRPr="00ED7AC1">
        <w:rPr>
          <w:vertAlign w:val="superscript"/>
        </w:rPr>
        <w:footnoteReference w:id="71"/>
      </w:r>
      <w:r w:rsidRPr="00ED7AC1">
        <w:t xml:space="preserve"> For instance, Article 102 of the 1971 Police Act Law permits the police to use firearms when they are guarding prisoners or to disperse gatherings or demonstrations of at least five people when public order is under threat and after warning the protesters to disperse.</w:t>
      </w:r>
      <w:r w:rsidRPr="00ED7AC1">
        <w:rPr>
          <w:vertAlign w:val="superscript"/>
        </w:rPr>
        <w:footnoteReference w:id="72"/>
      </w:r>
      <w:r w:rsidRPr="00ED7AC1">
        <w:t xml:space="preserve"> This grants wide discretion to the police regarding the use of force in the context of public protests </w:t>
      </w:r>
      <w:r w:rsidRPr="00ED7AC1">
        <w:lastRenderedPageBreak/>
        <w:t>and is particularly concerning given the draconian 2020 amendments to the Emergency Law, which have granted additional power to police and security forces and which severely restricted the right to peaceful assembly.</w:t>
      </w:r>
      <w:r w:rsidRPr="00ED7AC1">
        <w:rPr>
          <w:vertAlign w:val="superscript"/>
        </w:rPr>
        <w:footnoteReference w:id="73"/>
      </w:r>
    </w:p>
    <w:p w14:paraId="5F8A6CF1" w14:textId="77777777" w:rsidR="00C219F6" w:rsidRPr="002F3BBB" w:rsidRDefault="00C219F6" w:rsidP="00C219F6">
      <w:pPr>
        <w:rPr>
          <w:b/>
        </w:rPr>
      </w:pPr>
    </w:p>
    <w:p w14:paraId="5A9743BD" w14:textId="4EB170BD" w:rsidR="001715E1" w:rsidRDefault="00ED7AC1" w:rsidP="00DA7233">
      <w:pPr>
        <w:pStyle w:val="Heading2"/>
      </w:pPr>
      <w:bookmarkStart w:id="28" w:name="_Toc505418093"/>
      <w:bookmarkStart w:id="29" w:name="_Toc505419576"/>
      <w:bookmarkStart w:id="30" w:name="_Toc94794197"/>
      <w:r w:rsidRPr="00ED7AC1">
        <w:t>Examples of violations linked to the use of other types of weapons</w:t>
      </w:r>
      <w:bookmarkEnd w:id="28"/>
      <w:bookmarkEnd w:id="29"/>
      <w:bookmarkEnd w:id="30"/>
    </w:p>
    <w:p w14:paraId="083ED2C3" w14:textId="77777777" w:rsidR="00C024DF" w:rsidRPr="00C024DF" w:rsidRDefault="00C024DF" w:rsidP="00C024DF">
      <w:pPr>
        <w:pStyle w:val="Normal1"/>
        <w:rPr>
          <w:sz w:val="12"/>
          <w:szCs w:val="12"/>
        </w:rPr>
      </w:pPr>
    </w:p>
    <w:p w14:paraId="04E8570F" w14:textId="77777777" w:rsidR="00ED7AC1" w:rsidRPr="00ED7AC1" w:rsidRDefault="00ED7AC1" w:rsidP="00ED7AC1">
      <w:r w:rsidRPr="00ED7AC1">
        <w:t>Following the military coup led by Al-</w:t>
      </w:r>
      <w:proofErr w:type="spellStart"/>
      <w:r w:rsidRPr="00ED7AC1">
        <w:t>Sisi</w:t>
      </w:r>
      <w:proofErr w:type="spellEnd"/>
      <w:r w:rsidRPr="00ED7AC1">
        <w:t xml:space="preserve"> in 2013, clashes between armed insurgents and the Egyptian army — supported by special military units of the Central Security Forces — have proliferated in the Sinai Peninsula. In addition to ongoing activity in the peninsula, Al-</w:t>
      </w:r>
      <w:proofErr w:type="spellStart"/>
      <w:r w:rsidRPr="00ED7AC1">
        <w:t>Sisi’s</w:t>
      </w:r>
      <w:proofErr w:type="spellEnd"/>
      <w:r w:rsidRPr="00ED7AC1">
        <w:t xml:space="preserve"> forces carried out large-scale operations in Sinai 2015 and 2018, committing numerous violations of international law under the government’s counter-terrorism campaign.</w:t>
      </w:r>
      <w:r w:rsidRPr="00ED7AC1">
        <w:rPr>
          <w:vertAlign w:val="superscript"/>
        </w:rPr>
        <w:footnoteReference w:id="74"/>
      </w:r>
      <w:r w:rsidRPr="00ED7AC1">
        <w:t xml:space="preserve"> Since the onset of armed conflict, the Egyptian military engaged in indiscriminate attacks on local population, with ground and air raids claiming mostly civilian lives; in the 2018 Sinai Operation, internationally banned cluster munitions were utilised in North Sinai.</w:t>
      </w:r>
      <w:r w:rsidRPr="00ED7AC1">
        <w:rPr>
          <w:vertAlign w:val="superscript"/>
        </w:rPr>
        <w:footnoteReference w:id="75"/>
      </w:r>
      <w:r w:rsidRPr="00ED7AC1">
        <w:t xml:space="preserve"> There are also credible reports of crimes including extrajudicial killings, enforced disappearances and arbitrary arrests, as well as in the displacement of around 3,200 families through mass demolitions near the Gaza Strip border in 2013-2015.</w:t>
      </w:r>
      <w:r w:rsidRPr="00ED7AC1">
        <w:rPr>
          <w:vertAlign w:val="superscript"/>
        </w:rPr>
        <w:footnoteReference w:id="76"/>
      </w:r>
      <w:r w:rsidRPr="00ED7AC1">
        <w:rPr>
          <w:vertAlign w:val="superscript"/>
        </w:rPr>
        <w:t xml:space="preserve"> </w:t>
      </w:r>
      <w:r w:rsidRPr="00ED7AC1">
        <w:t>In its General Comment regarding the right to life, the Human Rights Committee stated that in situations of armed conflict,</w:t>
      </w:r>
    </w:p>
    <w:p w14:paraId="60608827" w14:textId="77777777" w:rsidR="00ED7AC1" w:rsidRPr="00ED7AC1" w:rsidRDefault="00ED7AC1" w:rsidP="00ED7AC1"/>
    <w:p w14:paraId="725438BA" w14:textId="77777777" w:rsidR="00ED7AC1" w:rsidRPr="00A56F93" w:rsidRDefault="00ED7AC1" w:rsidP="00A56F93">
      <w:pPr>
        <w:ind w:left="720"/>
        <w:rPr>
          <w:sz w:val="20"/>
          <w:szCs w:val="20"/>
        </w:rPr>
      </w:pPr>
      <w:r w:rsidRPr="00A56F93">
        <w:rPr>
          <w:sz w:val="20"/>
          <w:szCs w:val="20"/>
        </w:rPr>
        <w:t>“[P]</w:t>
      </w:r>
      <w:proofErr w:type="spellStart"/>
      <w:r w:rsidRPr="00A56F93">
        <w:rPr>
          <w:sz w:val="20"/>
          <w:szCs w:val="20"/>
        </w:rPr>
        <w:t>ractices</w:t>
      </w:r>
      <w:proofErr w:type="spellEnd"/>
      <w:r w:rsidRPr="00A56F93">
        <w:rPr>
          <w:sz w:val="20"/>
          <w:szCs w:val="20"/>
        </w:rPr>
        <w:t xml:space="preserve"> inconsistent with international humanitarian law, entailing a risk to the lives of civilians and other persons protected by international humanitarian law, including the targeting of civilians, civilian objects and objects indispensable to the survival of the civilian population, indiscriminate attacks, failure to apply the principles of precaution and proportionality, and the use of human shields would also violate article 6 of the Covenant.”</w:t>
      </w:r>
      <w:r w:rsidRPr="00A56F93">
        <w:rPr>
          <w:sz w:val="20"/>
          <w:szCs w:val="20"/>
          <w:vertAlign w:val="superscript"/>
        </w:rPr>
        <w:footnoteReference w:id="77"/>
      </w:r>
    </w:p>
    <w:p w14:paraId="24111B60" w14:textId="77777777" w:rsidR="00ED7AC1" w:rsidRPr="00ED7AC1" w:rsidRDefault="00ED7AC1" w:rsidP="00ED7AC1"/>
    <w:p w14:paraId="56FDA2FA" w14:textId="77777777" w:rsidR="00DA7233" w:rsidRDefault="00ED7AC1" w:rsidP="00ED7AC1">
      <w:r w:rsidRPr="00ED7AC1">
        <w:t>CSOs have for long raised alarm at transfers of arms and military equipment to Egypt including armoured vehicles, which have been used to violently repress peaceful protests.</w:t>
      </w:r>
      <w:r w:rsidRPr="00ED7AC1">
        <w:rPr>
          <w:vertAlign w:val="superscript"/>
        </w:rPr>
        <w:footnoteReference w:id="78"/>
      </w:r>
      <w:r w:rsidRPr="00ED7AC1">
        <w:t xml:space="preserve"> Security forces have a bleak record </w:t>
      </w:r>
      <w:r w:rsidRPr="00ED7AC1">
        <w:lastRenderedPageBreak/>
        <w:t xml:space="preserve">of using arbitrary and abusive force against protesters including through the use of firearms. For example, in 2013, police and military forces systematically and intentionally used excessive lethal force including with live ammunition on a large scale to disperse protests in </w:t>
      </w:r>
      <w:proofErr w:type="spellStart"/>
      <w:r w:rsidRPr="00ED7AC1">
        <w:t>Rab’a</w:t>
      </w:r>
      <w:proofErr w:type="spellEnd"/>
      <w:r w:rsidRPr="00ED7AC1">
        <w:t xml:space="preserve"> al-</w:t>
      </w:r>
      <w:proofErr w:type="spellStart"/>
      <w:r w:rsidRPr="00ED7AC1">
        <w:t>Adawiya</w:t>
      </w:r>
      <w:proofErr w:type="spellEnd"/>
      <w:r w:rsidRPr="00ED7AC1">
        <w:t xml:space="preserve"> Square and al-Nahda squares in Cairo.</w:t>
      </w:r>
      <w:r w:rsidRPr="00ED7AC1">
        <w:rPr>
          <w:vertAlign w:val="superscript"/>
        </w:rPr>
        <w:footnoteReference w:id="79"/>
      </w:r>
      <w:r w:rsidRPr="00ED7AC1">
        <w:t xml:space="preserve"> At least 900 people were killed largely by gunshot including children and 21 women.</w:t>
      </w:r>
      <w:r w:rsidRPr="00ED7AC1">
        <w:rPr>
          <w:vertAlign w:val="superscript"/>
        </w:rPr>
        <w:footnoteReference w:id="80"/>
      </w:r>
      <w:r w:rsidRPr="00ED7AC1">
        <w:t xml:space="preserve"> </w:t>
      </w:r>
    </w:p>
    <w:p w14:paraId="494A628E" w14:textId="77777777" w:rsidR="00C024DF" w:rsidRDefault="00C024DF" w:rsidP="00C024DF"/>
    <w:p w14:paraId="1601C0C7" w14:textId="63442B9F" w:rsidR="00ED7AC1" w:rsidRDefault="00ED7AC1" w:rsidP="00C024DF">
      <w:r w:rsidRPr="00ED7AC1">
        <w:t>In its General Comment 37 on the right of peaceful assembly, the Committee stated that:</w:t>
      </w:r>
    </w:p>
    <w:p w14:paraId="772D1234" w14:textId="77777777" w:rsidR="00DA7233" w:rsidRPr="00DA7233" w:rsidRDefault="00DA7233" w:rsidP="00DA7233">
      <w:pPr>
        <w:rPr>
          <w:sz w:val="12"/>
          <w:szCs w:val="12"/>
        </w:rPr>
      </w:pPr>
    </w:p>
    <w:p w14:paraId="5C4D459E" w14:textId="77777777" w:rsidR="00ED7AC1" w:rsidRPr="00ED7AC1" w:rsidRDefault="00ED7AC1" w:rsidP="00ED7AC1">
      <w:pPr>
        <w:ind w:left="720"/>
        <w:rPr>
          <w:sz w:val="20"/>
          <w:szCs w:val="20"/>
        </w:rPr>
      </w:pPr>
      <w:r w:rsidRPr="00ED7AC1">
        <w:rPr>
          <w:sz w:val="20"/>
          <w:szCs w:val="20"/>
        </w:rPr>
        <w:t>“Firearms are not an appropriate tool for the policing of assemblies. They must never be used simply to disperse an assembly. In order to comply with international law, any use of firearms by law enforcement officials in the context of assemblies must be limited to targeted individuals in circumstances in which it is strictly necessary to confront an imminent threat of death or serious injury. Given the threat that such weapons pose to life, this minimum threshold should also be applied to the firing of rubber-coated metal bullets. [...] It is never lawful to fire indiscriminately or to use firearms in fully automatic mode when policing an assembly.”</w:t>
      </w:r>
      <w:r w:rsidRPr="00ED7AC1">
        <w:rPr>
          <w:sz w:val="20"/>
          <w:szCs w:val="20"/>
          <w:vertAlign w:val="superscript"/>
        </w:rPr>
        <w:footnoteReference w:id="81"/>
      </w:r>
    </w:p>
    <w:p w14:paraId="1B74A880" w14:textId="77777777" w:rsidR="00ED7AC1" w:rsidRPr="00ED7AC1" w:rsidRDefault="00ED7AC1" w:rsidP="00ED7AC1"/>
    <w:p w14:paraId="6570F1C4" w14:textId="77777777" w:rsidR="00ED7AC1" w:rsidRPr="00ED7AC1" w:rsidRDefault="00ED7AC1" w:rsidP="00ED7AC1">
      <w:r w:rsidRPr="00ED7AC1">
        <w:t xml:space="preserve">In its last UPR, Egypt received a recommendation to investigate </w:t>
      </w:r>
      <w:r w:rsidRPr="00ED7AC1">
        <w:rPr>
          <w:rFonts w:ascii="Arial" w:hAnsi="Arial" w:cs="Arial"/>
        </w:rPr>
        <w:t>​​</w:t>
      </w:r>
      <w:r w:rsidRPr="00ED7AC1">
        <w:t>excessive violence committed by military and security forces during demonstrations and to bring those responsible to justice.</w:t>
      </w:r>
      <w:r w:rsidRPr="00ED7AC1">
        <w:rPr>
          <w:vertAlign w:val="superscript"/>
        </w:rPr>
        <w:footnoteReference w:id="82"/>
      </w:r>
      <w:r w:rsidRPr="00ED7AC1">
        <w:t xml:space="preserve"> According to Amnesty International, the authorities have failed to this day to hold accountable a single member of the security forces while many protesters are still detained and on death row.</w:t>
      </w:r>
      <w:r w:rsidRPr="00ED7AC1">
        <w:rPr>
          <w:vertAlign w:val="superscript"/>
        </w:rPr>
        <w:footnoteReference w:id="83"/>
      </w:r>
      <w:r w:rsidRPr="00ED7AC1">
        <w:t xml:space="preserve"> In September 2020, in protests which erupted primarily against house demolitions and socio-economic conditions, security forces also used teargas, batons, birdshot and on at least one occasion live ammunition, and arrested hundreds of protestors and bystanders to disperse demonstrations over several days.</w:t>
      </w:r>
      <w:r w:rsidRPr="00ED7AC1">
        <w:rPr>
          <w:vertAlign w:val="superscript"/>
        </w:rPr>
        <w:footnoteReference w:id="84"/>
      </w:r>
    </w:p>
    <w:p w14:paraId="38F7E00B" w14:textId="77777777" w:rsidR="00ED7AC1" w:rsidRPr="00ED7AC1" w:rsidRDefault="00ED7AC1" w:rsidP="00ED7AC1"/>
    <w:p w14:paraId="703BB291" w14:textId="6D283CFB" w:rsidR="00ED7AC1" w:rsidRDefault="00ED7AC1" w:rsidP="008F524E">
      <w:pPr>
        <w:pStyle w:val="Heading2"/>
      </w:pPr>
      <w:bookmarkStart w:id="32" w:name="_Toc505418094"/>
      <w:bookmarkStart w:id="33" w:name="_Toc505419577"/>
      <w:bookmarkStart w:id="34" w:name="_Toc94794198"/>
      <w:r w:rsidRPr="00ED7AC1">
        <w:t>Impacts of surveillance technologies on human rights</w:t>
      </w:r>
      <w:bookmarkStart w:id="35" w:name="_heading=h.3o7alnk" w:colFirst="0" w:colLast="0"/>
      <w:bookmarkEnd w:id="32"/>
      <w:bookmarkEnd w:id="33"/>
      <w:bookmarkEnd w:id="34"/>
      <w:bookmarkEnd w:id="35"/>
    </w:p>
    <w:p w14:paraId="3BB86797" w14:textId="77777777" w:rsidR="00C024DF" w:rsidRPr="00C024DF" w:rsidRDefault="00C024DF" w:rsidP="00C024DF">
      <w:pPr>
        <w:pStyle w:val="Normal1"/>
        <w:rPr>
          <w:sz w:val="12"/>
          <w:szCs w:val="12"/>
        </w:rPr>
      </w:pPr>
    </w:p>
    <w:p w14:paraId="3D3E682D" w14:textId="77777777" w:rsidR="00ED7AC1" w:rsidRPr="00ED7AC1" w:rsidRDefault="00ED7AC1" w:rsidP="00ED7AC1">
      <w:r w:rsidRPr="00ED7AC1">
        <w:t>Since 2011, Egyptian authorities have developed their surveillance systems, acquiring tools for mass interception of communications and data collection capable of monitoring citizens’ digital activity and private exchanges.</w:t>
      </w:r>
      <w:r w:rsidRPr="00ED7AC1">
        <w:rPr>
          <w:vertAlign w:val="superscript"/>
        </w:rPr>
        <w:footnoteReference w:id="85"/>
      </w:r>
      <w:r w:rsidRPr="00ED7AC1">
        <w:t xml:space="preserve"> For instance, in 2014 Egypt acquired the cyber surveillance system CEREBRO from French company </w:t>
      </w:r>
      <w:proofErr w:type="spellStart"/>
      <w:r w:rsidRPr="00ED7AC1">
        <w:t>Nexa</w:t>
      </w:r>
      <w:proofErr w:type="spellEnd"/>
      <w:r w:rsidRPr="00ED7AC1">
        <w:t xml:space="preserve"> Technologies, which enables large-scale interception of communications and real-time surveillance.</w:t>
      </w:r>
      <w:r w:rsidRPr="00ED7AC1">
        <w:rPr>
          <w:vertAlign w:val="superscript"/>
        </w:rPr>
        <w:footnoteReference w:id="86"/>
      </w:r>
      <w:r w:rsidRPr="00ED7AC1">
        <w:t xml:space="preserve"> In June 2021, executives of </w:t>
      </w:r>
      <w:proofErr w:type="spellStart"/>
      <w:r w:rsidRPr="00ED7AC1">
        <w:t>Nexa</w:t>
      </w:r>
      <w:proofErr w:type="spellEnd"/>
      <w:r w:rsidRPr="00ED7AC1">
        <w:t xml:space="preserve"> Technologies were indicted by investigating judges of the crimes against humanity and war crimes unit of the Paris Judicial Court for complicity in torture and enforced disappearance in Egypt.</w:t>
      </w:r>
      <w:r w:rsidRPr="00ED7AC1">
        <w:rPr>
          <w:vertAlign w:val="superscript"/>
        </w:rPr>
        <w:footnoteReference w:id="87"/>
      </w:r>
    </w:p>
    <w:p w14:paraId="1E2F57CC" w14:textId="77777777" w:rsidR="00ED7AC1" w:rsidRPr="00ED7AC1" w:rsidRDefault="00ED7AC1" w:rsidP="00ED7AC1"/>
    <w:p w14:paraId="1947F199" w14:textId="77777777" w:rsidR="00ED7AC1" w:rsidRPr="00ED7AC1" w:rsidRDefault="00ED7AC1" w:rsidP="00ED7AC1">
      <w:pPr>
        <w:rPr>
          <w:vertAlign w:val="superscript"/>
        </w:rPr>
      </w:pPr>
      <w:r w:rsidRPr="00ED7AC1">
        <w:t xml:space="preserve">In addition to CEREBRO, another even more intrusive surveillance system was supplied in 2014 to the Egyptian intelligence services by the French company </w:t>
      </w:r>
      <w:proofErr w:type="spellStart"/>
      <w:r w:rsidRPr="00ED7AC1">
        <w:t>Ercom</w:t>
      </w:r>
      <w:proofErr w:type="spellEnd"/>
      <w:r w:rsidRPr="00ED7AC1">
        <w:t xml:space="preserve"> through its subsidiary </w:t>
      </w:r>
      <w:proofErr w:type="spellStart"/>
      <w:r w:rsidRPr="00ED7AC1">
        <w:t>Suneris</w:t>
      </w:r>
      <w:proofErr w:type="spellEnd"/>
      <w:r w:rsidRPr="00ED7AC1">
        <w:t>.</w:t>
      </w:r>
      <w:r w:rsidRPr="00ED7AC1">
        <w:rPr>
          <w:vertAlign w:val="superscript"/>
        </w:rPr>
        <w:footnoteReference w:id="88"/>
      </w:r>
      <w:r w:rsidRPr="00ED7AC1">
        <w:t xml:space="preserve"> The system enables voice interception of telephone conversations and offers spatial geolocation of targets in real-time, using the IP address of the mobile phone.</w:t>
      </w:r>
      <w:r w:rsidRPr="00ED7AC1">
        <w:rPr>
          <w:vertAlign w:val="superscript"/>
        </w:rPr>
        <w:footnoteReference w:id="89"/>
      </w:r>
      <w:r w:rsidRPr="00ED7AC1">
        <w:t xml:space="preserve"> A 2016 report by Privacy International (PI) also found that surveillance equipment from companies such as Advanced German Technology and the Italian Hacking Team had been sold to an obscure Egyptian intelligence unit — the Technical Research Department (TRD); the report points to acquisitions of equipment with extensive interception and monitoring capacities made by the TRD.</w:t>
      </w:r>
      <w:r w:rsidRPr="00ED7AC1">
        <w:rPr>
          <w:vertAlign w:val="superscript"/>
        </w:rPr>
        <w:footnoteReference w:id="90"/>
      </w:r>
      <w:r w:rsidRPr="00ED7AC1">
        <w:t xml:space="preserve"> Other products that Egypt purchased from France include patroller drones and surveillance satellites for crowd </w:t>
      </w:r>
      <w:r w:rsidRPr="00ED7AC1">
        <w:lastRenderedPageBreak/>
        <w:t>control, which provide precise details to spot the beginnings of a crowd including in urban settings, thus potentially preventing the formation of peaceful protests and social movements.</w:t>
      </w:r>
      <w:r w:rsidRPr="00ED7AC1">
        <w:rPr>
          <w:vertAlign w:val="superscript"/>
        </w:rPr>
        <w:footnoteReference w:id="91"/>
      </w:r>
    </w:p>
    <w:p w14:paraId="780C2ECE" w14:textId="77777777" w:rsidR="00ED7AC1" w:rsidRPr="00ED7AC1" w:rsidRDefault="00ED7AC1" w:rsidP="00ED7AC1"/>
    <w:p w14:paraId="066C85D5" w14:textId="77777777" w:rsidR="00ED7AC1" w:rsidRPr="00ED7AC1" w:rsidRDefault="00ED7AC1" w:rsidP="00ED7AC1">
      <w:r w:rsidRPr="00ED7AC1">
        <w:t>In December 2021, Citizen Lab</w:t>
      </w:r>
      <w:r w:rsidRPr="00ED7AC1">
        <w:rPr>
          <w:vertAlign w:val="superscript"/>
        </w:rPr>
        <w:footnoteReference w:id="92"/>
      </w:r>
      <w:r w:rsidRPr="00ED7AC1">
        <w:t xml:space="preserve"> found out that the phone of a prominent Egyptian opposition leader in exile was hacked in two separate attacks including with the Pegasus spyware developed by the Israeli NSO Group and with the Predator spyware developed by the Europe-based firm </w:t>
      </w:r>
      <w:proofErr w:type="spellStart"/>
      <w:r w:rsidRPr="00ED7AC1">
        <w:t>Cytrox</w:t>
      </w:r>
      <w:proofErr w:type="spellEnd"/>
      <w:r w:rsidRPr="00ED7AC1">
        <w:t>.</w:t>
      </w:r>
      <w:r w:rsidRPr="00ED7AC1">
        <w:rPr>
          <w:vertAlign w:val="superscript"/>
        </w:rPr>
        <w:footnoteReference w:id="93"/>
      </w:r>
      <w:r w:rsidRPr="00ED7AC1">
        <w:t xml:space="preserve"> Another Egyptian journalist in exile was also targeted with the Predator software.</w:t>
      </w:r>
      <w:r w:rsidRPr="00ED7AC1">
        <w:rPr>
          <w:vertAlign w:val="superscript"/>
        </w:rPr>
        <w:footnoteReference w:id="94"/>
      </w:r>
    </w:p>
    <w:p w14:paraId="0C56EC90" w14:textId="77777777" w:rsidR="00ED7AC1" w:rsidRPr="00ED7AC1" w:rsidRDefault="00ED7AC1" w:rsidP="00ED7AC1">
      <w:bookmarkStart w:id="36" w:name="_heading=h.23ckvvd" w:colFirst="0" w:colLast="0"/>
      <w:bookmarkEnd w:id="36"/>
    </w:p>
    <w:p w14:paraId="78A3726A" w14:textId="1397A5F7" w:rsidR="00ED7AC1" w:rsidRDefault="00ED7AC1" w:rsidP="00C219F6">
      <w:pPr>
        <w:pStyle w:val="Heading2"/>
        <w:ind w:left="0" w:firstLine="0"/>
      </w:pPr>
      <w:bookmarkStart w:id="37" w:name="_Toc505418095"/>
      <w:bookmarkStart w:id="38" w:name="_Toc505419578"/>
      <w:bookmarkStart w:id="39" w:name="_Toc94794199"/>
      <w:r w:rsidRPr="00ED7AC1">
        <w:t xml:space="preserve">Examples of human rights violations of WHRDs and LGBTIQ+ </w:t>
      </w:r>
      <w:r w:rsidR="00A56F93">
        <w:t>persons</w:t>
      </w:r>
      <w:r w:rsidRPr="00ED7AC1">
        <w:t xml:space="preserve"> enabled by surveillance and digital technologies</w:t>
      </w:r>
      <w:bookmarkEnd w:id="37"/>
      <w:bookmarkEnd w:id="38"/>
      <w:bookmarkEnd w:id="39"/>
    </w:p>
    <w:p w14:paraId="26B2E987" w14:textId="77777777" w:rsidR="00C024DF" w:rsidRPr="00C024DF" w:rsidRDefault="00C024DF" w:rsidP="00C024DF">
      <w:pPr>
        <w:pStyle w:val="Normal1"/>
        <w:rPr>
          <w:sz w:val="12"/>
          <w:szCs w:val="12"/>
        </w:rPr>
      </w:pPr>
    </w:p>
    <w:p w14:paraId="7C765BA1" w14:textId="77777777" w:rsidR="00ED7AC1" w:rsidRPr="00ED7AC1" w:rsidRDefault="00ED7AC1" w:rsidP="00ED7AC1">
      <w:r w:rsidRPr="00ED7AC1">
        <w:t xml:space="preserve">As evidenced in the above-mentioned case of “the </w:t>
      </w:r>
      <w:proofErr w:type="spellStart"/>
      <w:r w:rsidRPr="00ED7AC1">
        <w:t>Tik</w:t>
      </w:r>
      <w:proofErr w:type="spellEnd"/>
      <w:r w:rsidRPr="00ED7AC1">
        <w:t xml:space="preserve"> </w:t>
      </w:r>
      <w:proofErr w:type="spellStart"/>
      <w:r w:rsidRPr="00ED7AC1">
        <w:t>Tok</w:t>
      </w:r>
      <w:proofErr w:type="spellEnd"/>
      <w:r w:rsidRPr="00ED7AC1">
        <w:t xml:space="preserve"> women”, the government is increasingly expanding its repression to cyberspace, including by violating women’s rights to freedom of expression, privacy, to earn a living online, and by policing women’s bodies.</w:t>
      </w:r>
      <w:r w:rsidRPr="00ED7AC1">
        <w:rPr>
          <w:vertAlign w:val="superscript"/>
        </w:rPr>
        <w:footnoteReference w:id="95"/>
      </w:r>
      <w:r w:rsidRPr="00ED7AC1">
        <w:t xml:space="preserve"> Large-scale phishing campaigns against activists that likely originated from government-backed entities were also documented in 2016-2017 and 2019.</w:t>
      </w:r>
      <w:r w:rsidRPr="00ED7AC1">
        <w:rPr>
          <w:vertAlign w:val="superscript"/>
        </w:rPr>
        <w:footnoteReference w:id="96"/>
      </w:r>
      <w:r w:rsidRPr="00ED7AC1">
        <w:t xml:space="preserve"> These attacks have notably targeted WHRDs including an organisation promoting the political participation of women, addressing sexual violence, and on other gender issues.</w:t>
      </w:r>
      <w:r w:rsidRPr="00ED7AC1">
        <w:rPr>
          <w:vertAlign w:val="superscript"/>
        </w:rPr>
        <w:footnoteReference w:id="97"/>
      </w:r>
      <w:r w:rsidRPr="00ED7AC1">
        <w:t xml:space="preserve"> Egyptian women activists in exile also continue to </w:t>
      </w:r>
      <w:r w:rsidRPr="00ED7AC1">
        <w:lastRenderedPageBreak/>
        <w:t>face digital threats and online censorship. For instance, the spokesperson for Egypt’s April 6 Youth Movement, has reportedly had her Facebook account shut down numerous times during the past years because of complaints from pro-</w:t>
      </w:r>
      <w:proofErr w:type="spellStart"/>
      <w:r w:rsidRPr="00ED7AC1">
        <w:t>Sisi</w:t>
      </w:r>
      <w:proofErr w:type="spellEnd"/>
      <w:r w:rsidRPr="00ED7AC1">
        <w:t xml:space="preserve"> digital agents.</w:t>
      </w:r>
      <w:r w:rsidRPr="00ED7AC1">
        <w:rPr>
          <w:vertAlign w:val="superscript"/>
        </w:rPr>
        <w:footnoteReference w:id="98"/>
      </w:r>
      <w:r w:rsidRPr="00ED7AC1">
        <w:t xml:space="preserve"> LGBTIQ+ individuals are also increasingly targeted and arrested by the police, which use fake accounts on social media and dating apps, as well as digital evidence for prosecution.</w:t>
      </w:r>
      <w:r w:rsidRPr="00ED7AC1">
        <w:rPr>
          <w:vertAlign w:val="superscript"/>
        </w:rPr>
        <w:footnoteReference w:id="99"/>
      </w:r>
      <w:r w:rsidRPr="00ED7AC1">
        <w:t xml:space="preserve"> </w:t>
      </w:r>
    </w:p>
    <w:p w14:paraId="63A63A07" w14:textId="77777777" w:rsidR="00ED7AC1" w:rsidRPr="00DA7233" w:rsidRDefault="00ED7AC1" w:rsidP="00ED7AC1">
      <w:pPr>
        <w:rPr>
          <w:sz w:val="12"/>
          <w:szCs w:val="12"/>
        </w:rPr>
      </w:pPr>
    </w:p>
    <w:p w14:paraId="7B0D1933" w14:textId="3BC6B432" w:rsidR="00ED7AC1" w:rsidRDefault="00ED7AC1" w:rsidP="00ED7AC1">
      <w:pPr>
        <w:pStyle w:val="Heading2"/>
      </w:pPr>
      <w:bookmarkStart w:id="40" w:name="_Toc505418096"/>
      <w:bookmarkStart w:id="41" w:name="_Toc505419579"/>
      <w:bookmarkStart w:id="42" w:name="_Toc94794200"/>
      <w:r w:rsidRPr="00ED7AC1">
        <w:t>Suggested questions</w:t>
      </w:r>
      <w:bookmarkEnd w:id="40"/>
      <w:bookmarkEnd w:id="41"/>
      <w:bookmarkEnd w:id="42"/>
    </w:p>
    <w:p w14:paraId="50FBB63C" w14:textId="77777777" w:rsidR="00A56F93" w:rsidRPr="00A56F93" w:rsidRDefault="00A56F93" w:rsidP="00A56F93">
      <w:pPr>
        <w:pStyle w:val="Normal1"/>
        <w:rPr>
          <w:sz w:val="12"/>
          <w:szCs w:val="12"/>
        </w:rPr>
      </w:pPr>
    </w:p>
    <w:p w14:paraId="408CA0A1" w14:textId="77777777" w:rsidR="00ED7AC1" w:rsidRPr="00ED7AC1" w:rsidRDefault="00ED7AC1" w:rsidP="00DA7233">
      <w:pPr>
        <w:pStyle w:val="ListParagraph"/>
        <w:numPr>
          <w:ilvl w:val="0"/>
          <w:numId w:val="12"/>
        </w:numPr>
        <w:ind w:left="709" w:hanging="425"/>
      </w:pPr>
      <w:r w:rsidRPr="00ED7AC1">
        <w:t>What measures are in place to ensure the respect and protection of the right of peaceful assembly and to regulate the use of force and firearms by security forces during assemblies in line with international human rights standards, including the Basic Principles on the Use of Force and Firearms by Law Enforcement Officials, and the State party’s  human rights obligations?</w:t>
      </w:r>
    </w:p>
    <w:p w14:paraId="6DFB17ED" w14:textId="77777777" w:rsidR="00ED7AC1" w:rsidRPr="00ED7AC1" w:rsidRDefault="00ED7AC1" w:rsidP="00DA7233">
      <w:pPr>
        <w:pStyle w:val="ListParagraph"/>
        <w:numPr>
          <w:ilvl w:val="0"/>
          <w:numId w:val="12"/>
        </w:numPr>
        <w:ind w:left="709" w:hanging="425"/>
      </w:pPr>
      <w:r w:rsidRPr="00ED7AC1">
        <w:t>How does the State party  ensure that domestic laws permit the use of surveillance technologies only in accordance with the Covenant, in particular with article 17 and the principles of legality, necessity and legitimacy of objectives?</w:t>
      </w:r>
    </w:p>
    <w:p w14:paraId="54D1DE53" w14:textId="77777777" w:rsidR="00ED7AC1" w:rsidRPr="00ED7AC1" w:rsidRDefault="00ED7AC1" w:rsidP="00DA7233">
      <w:pPr>
        <w:pStyle w:val="ListParagraph"/>
        <w:numPr>
          <w:ilvl w:val="0"/>
          <w:numId w:val="12"/>
        </w:numPr>
        <w:ind w:left="709" w:hanging="425"/>
      </w:pPr>
      <w:r w:rsidRPr="00ED7AC1">
        <w:t>How does the State party ensure that all types of surveillance activities and interference with privacy, including online surveillance for the purposes of state security and interception, are subject to judicial authorisation, to effective and independent oversight mechanisms?</w:t>
      </w:r>
    </w:p>
    <w:p w14:paraId="124B007B" w14:textId="77777777" w:rsidR="00ED7AC1" w:rsidRPr="00ED7AC1" w:rsidRDefault="00ED7AC1" w:rsidP="00DA7233">
      <w:pPr>
        <w:pStyle w:val="ListParagraph"/>
        <w:numPr>
          <w:ilvl w:val="0"/>
          <w:numId w:val="12"/>
        </w:numPr>
        <w:ind w:left="709" w:hanging="425"/>
      </w:pPr>
      <w:r w:rsidRPr="00ED7AC1">
        <w:t>Which steps have been taken to establish legal mechanisms of redress consistent with the State party’s obligation to provide victims of surveillance-related abuses with an effective remedy?</w:t>
      </w:r>
    </w:p>
    <w:p w14:paraId="625E187E" w14:textId="77777777" w:rsidR="00ED7AC1" w:rsidRPr="00ED7AC1" w:rsidRDefault="00ED7AC1" w:rsidP="00DA7233">
      <w:pPr>
        <w:pStyle w:val="ListParagraph"/>
        <w:numPr>
          <w:ilvl w:val="0"/>
          <w:numId w:val="12"/>
        </w:numPr>
        <w:ind w:left="709" w:hanging="425"/>
      </w:pPr>
      <w:r w:rsidRPr="00ED7AC1">
        <w:t xml:space="preserve">Which mechanisms are in place to ensure public and independent approval, oversight and control of the purchase of surveillance technologies? </w:t>
      </w:r>
    </w:p>
    <w:p w14:paraId="4EDE8140" w14:textId="77777777" w:rsidR="00ED7AC1" w:rsidRPr="00ED7AC1" w:rsidRDefault="00ED7AC1" w:rsidP="00DA7233">
      <w:pPr>
        <w:pStyle w:val="ListParagraph"/>
        <w:numPr>
          <w:ilvl w:val="0"/>
          <w:numId w:val="12"/>
        </w:numPr>
        <w:ind w:left="709" w:hanging="425"/>
      </w:pPr>
      <w:r w:rsidRPr="00ED7AC1">
        <w:t>Has the State party taken steps to amend the Telecommunication Regulation Law No 10 of 2003, the 2018 Cybercrime law and the Data Protection Law (Law No. 151 of 2020) to bring them in line with its human rights obligations, especially with regard to the right to privacy and freedom of expression?</w:t>
      </w:r>
    </w:p>
    <w:p w14:paraId="0000009E" w14:textId="4E08D4A2" w:rsidR="00FF0B19" w:rsidRDefault="00ED7AC1" w:rsidP="00DA7233">
      <w:pPr>
        <w:pStyle w:val="ListParagraph"/>
        <w:numPr>
          <w:ilvl w:val="0"/>
          <w:numId w:val="12"/>
        </w:numPr>
        <w:ind w:left="709" w:hanging="425"/>
      </w:pPr>
      <w:r w:rsidRPr="00ED7AC1">
        <w:t>Does the State party intend to accede to the Arms Trade Treaty and does it  report on its military spending as well as on its weapons acquisition by to the UN Register of Conventional Arms?</w:t>
      </w:r>
      <w:bookmarkStart w:id="43" w:name="_heading=h.2jxsxqh" w:colFirst="0" w:colLast="0"/>
      <w:bookmarkEnd w:id="43"/>
    </w:p>
    <w:sectPr w:rsidR="00FF0B19" w:rsidSect="00A56F93">
      <w:type w:val="continuous"/>
      <w:pgSz w:w="12240" w:h="15840"/>
      <w:pgMar w:top="1304" w:right="1077" w:bottom="1304" w:left="1077"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F9B5" w14:textId="77777777" w:rsidR="00D07B87" w:rsidRDefault="00D07B87">
      <w:pPr>
        <w:spacing w:line="240" w:lineRule="auto"/>
      </w:pPr>
      <w:r>
        <w:separator/>
      </w:r>
    </w:p>
  </w:endnote>
  <w:endnote w:type="continuationSeparator" w:id="0">
    <w:p w14:paraId="14288DEA" w14:textId="77777777" w:rsidR="00D07B87" w:rsidRDefault="00D0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Libre Franklin">
    <w:altName w:val="Calibri"/>
    <w:panose1 w:val="020B06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Franklin Gothic">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8083351"/>
      <w:docPartObj>
        <w:docPartGallery w:val="Page Numbers (Bottom of Page)"/>
        <w:docPartUnique/>
      </w:docPartObj>
    </w:sdtPr>
    <w:sdtContent>
      <w:p w14:paraId="57A5C226" w14:textId="228429DD" w:rsidR="0003077B" w:rsidRDefault="0003077B" w:rsidP="000A3E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F2" w14:textId="77777777" w:rsidR="00ED7AC1" w:rsidRDefault="00ED7AC1">
    <w:pPr>
      <w:pBdr>
        <w:top w:val="nil"/>
        <w:left w:val="nil"/>
        <w:bottom w:val="nil"/>
        <w:right w:val="nil"/>
        <w:between w:val="nil"/>
      </w:pBdr>
      <w:tabs>
        <w:tab w:val="center" w:pos="4680"/>
        <w:tab w:val="right" w:pos="9360"/>
      </w:tabs>
      <w:spacing w:line="240" w:lineRule="auto"/>
      <w:jc w:val="right"/>
      <w:rPr>
        <w:rFonts w:ascii="Libre Franklin" w:hAnsi="Libre Franklin"/>
        <w:color w:val="000000"/>
      </w:rPr>
    </w:pPr>
  </w:p>
  <w:p w14:paraId="000000F3" w14:textId="2CEE93B8" w:rsidR="00ED7AC1" w:rsidRDefault="00ED7AC1">
    <w:pPr>
      <w:pBdr>
        <w:top w:val="nil"/>
        <w:left w:val="nil"/>
        <w:bottom w:val="nil"/>
        <w:right w:val="nil"/>
        <w:between w:val="nil"/>
      </w:pBdr>
      <w:tabs>
        <w:tab w:val="center" w:pos="4680"/>
        <w:tab w:val="right" w:pos="9360"/>
      </w:tabs>
      <w:spacing w:line="240" w:lineRule="auto"/>
      <w:ind w:right="360"/>
      <w:rPr>
        <w:rFonts w:ascii="Libre Franklin" w:hAnsi="Libre Frankli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5" w14:textId="77777777" w:rsidR="00ED7AC1" w:rsidRDefault="00ED7AC1">
    <w:pPr>
      <w:pBdr>
        <w:top w:val="nil"/>
        <w:left w:val="nil"/>
        <w:bottom w:val="nil"/>
        <w:right w:val="nil"/>
        <w:between w:val="nil"/>
      </w:pBdr>
      <w:spacing w:line="276" w:lineRule="auto"/>
      <w:ind w:right="360"/>
      <w:jc w:val="right"/>
      <w:rPr>
        <w:rFonts w:ascii="Libre Franklin" w:hAnsi="Libre Franklin"/>
        <w:color w:val="000000"/>
        <w:sz w:val="21"/>
        <w:szCs w:val="21"/>
      </w:rPr>
    </w:pPr>
  </w:p>
  <w:sdt>
    <w:sdtPr>
      <w:rPr>
        <w:rStyle w:val="PageNumber"/>
      </w:rPr>
      <w:id w:val="172775286"/>
      <w:docPartObj>
        <w:docPartGallery w:val="Page Numbers (Bottom of Page)"/>
        <w:docPartUnique/>
      </w:docPartObj>
    </w:sdtPr>
    <w:sdtContent>
      <w:p w14:paraId="0A93B3F2" w14:textId="77777777" w:rsidR="00D25D45" w:rsidRDefault="00D25D45" w:rsidP="00D25D45">
        <w:pPr>
          <w:pStyle w:val="Footer"/>
          <w:framePr w:wrap="none" w:vAnchor="text" w:hAnchor="page" w:x="5978" w:y="19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00000F6" w14:textId="77777777" w:rsidR="00ED7AC1" w:rsidRDefault="00ED7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E85B" w14:textId="77777777" w:rsidR="00D07B87" w:rsidRDefault="00D07B87">
      <w:pPr>
        <w:spacing w:line="240" w:lineRule="auto"/>
      </w:pPr>
      <w:r>
        <w:separator/>
      </w:r>
    </w:p>
  </w:footnote>
  <w:footnote w:type="continuationSeparator" w:id="0">
    <w:p w14:paraId="753A5C09" w14:textId="77777777" w:rsidR="00D07B87" w:rsidRDefault="00D07B87">
      <w:pPr>
        <w:spacing w:line="240" w:lineRule="auto"/>
      </w:pPr>
      <w:r>
        <w:continuationSeparator/>
      </w:r>
    </w:p>
  </w:footnote>
  <w:footnote w:id="1">
    <w:p w14:paraId="1EA58D5F" w14:textId="4B893BE6" w:rsidR="00ED7AC1" w:rsidRPr="00835052" w:rsidRDefault="00ED7AC1" w:rsidP="00835052">
      <w:pPr>
        <w:pStyle w:val="FootnoteText"/>
      </w:pPr>
      <w:r w:rsidRPr="00835052">
        <w:rPr>
          <w:vertAlign w:val="superscript"/>
        </w:rPr>
        <w:footnoteRef/>
      </w:r>
      <w:r w:rsidRPr="00835052">
        <w:t xml:space="preserve"> Human Rights Committee, ‘Concluding observations of the Human Rights Committee: Egypt’ (28 November 2002), UN Doc CCPR/CO/76/EGY, para.</w:t>
      </w:r>
      <w:r w:rsidR="00835052">
        <w:t xml:space="preserve"> 6.</w:t>
      </w:r>
    </w:p>
  </w:footnote>
  <w:footnote w:id="2">
    <w:p w14:paraId="7DC2EF67" w14:textId="3862261B" w:rsidR="00ED7AC1" w:rsidRPr="00835052" w:rsidRDefault="00ED7AC1" w:rsidP="00835052">
      <w:pPr>
        <w:pStyle w:val="FootnoteText"/>
        <w:rPr>
          <w:szCs w:val="20"/>
        </w:rPr>
      </w:pPr>
      <w:r w:rsidRPr="00835052">
        <w:rPr>
          <w:rStyle w:val="FootnoteReference"/>
          <w:szCs w:val="20"/>
        </w:rPr>
        <w:footnoteRef/>
      </w:r>
      <w:r w:rsidRPr="00835052">
        <w:rPr>
          <w:szCs w:val="20"/>
        </w:rPr>
        <w:t xml:space="preserve"> The state of emergency was eventually ended in 2012 (see, for example, “Egypt must return to rule of law as state of emergency ends” at https://www.amnesty.org/en/latest/news/2012/06/egypt-must-return-rule-law-state-emergency-ends/ ). However, it was proclaimed again in 2017 (see for example, ‘Egypt’s Emergency Law Explained’ at </w:t>
      </w:r>
      <w:hyperlink r:id="rId1" w:history="1">
        <w:r w:rsidRPr="00835052">
          <w:rPr>
            <w:rStyle w:val="Hyperlink"/>
            <w:szCs w:val="20"/>
          </w:rPr>
          <w:t>https://www.aljazeera.com/features/2017/4/11/egypts-emergency-law-explained</w:t>
        </w:r>
      </w:hyperlink>
      <w:r w:rsidRPr="00835052">
        <w:rPr>
          <w:szCs w:val="20"/>
        </w:rPr>
        <w:t>; ‘https://www.bbc.com/news/world-middle-east-18283635’</w:t>
      </w:r>
      <w:r w:rsidR="00835052">
        <w:rPr>
          <w:szCs w:val="20"/>
        </w:rPr>
        <w:t>.)</w:t>
      </w:r>
      <w:r w:rsidRPr="00835052">
        <w:rPr>
          <w:szCs w:val="20"/>
        </w:rPr>
        <w:t xml:space="preserve"> </w:t>
      </w:r>
    </w:p>
  </w:footnote>
  <w:footnote w:id="3">
    <w:p w14:paraId="34EDFA08" w14:textId="59380B76" w:rsidR="00ED7AC1" w:rsidRPr="00835052" w:rsidRDefault="00ED7AC1" w:rsidP="00835052">
      <w:pPr>
        <w:pStyle w:val="FootnoteText"/>
      </w:pPr>
      <w:r w:rsidRPr="00835052">
        <w:rPr>
          <w:vertAlign w:val="superscript"/>
        </w:rPr>
        <w:footnoteRef/>
      </w:r>
      <w:r w:rsidRPr="00835052">
        <w:t xml:space="preserve"> Human Rights Committee, ‘Concluding observations of the Human Rights Committee: Egypt’ (28 November 2002), UN Doc CCPR/CO/76/EGY, paras. 13, 14, 15.</w:t>
      </w:r>
      <w:r w:rsidRPr="00835052">
        <w:tab/>
      </w:r>
    </w:p>
  </w:footnote>
  <w:footnote w:id="4">
    <w:p w14:paraId="289DDA54"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Ibid.</w:t>
      </w:r>
      <w:r w:rsidRPr="00835052">
        <w:rPr>
          <w:szCs w:val="20"/>
        </w:rPr>
        <w:t xml:space="preserve"> </w:t>
      </w:r>
    </w:p>
  </w:footnote>
  <w:footnote w:id="5">
    <w:p w14:paraId="4ACD7EB0"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Ibid.</w:t>
      </w:r>
      <w:r w:rsidRPr="00835052">
        <w:rPr>
          <w:szCs w:val="20"/>
        </w:rPr>
        <w:t xml:space="preserve"> para. 16 (a).</w:t>
      </w:r>
    </w:p>
  </w:footnote>
  <w:footnote w:id="6">
    <w:p w14:paraId="48820C4A"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 xml:space="preserve">Ibid. </w:t>
      </w:r>
      <w:r w:rsidRPr="00835052">
        <w:rPr>
          <w:szCs w:val="20"/>
        </w:rPr>
        <w:t>para. 16.</w:t>
      </w:r>
    </w:p>
  </w:footnote>
  <w:footnote w:id="7">
    <w:p w14:paraId="401E515E"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Ibid.</w:t>
      </w:r>
      <w:r w:rsidRPr="00835052">
        <w:rPr>
          <w:szCs w:val="20"/>
        </w:rPr>
        <w:t xml:space="preserve"> para. 19.</w:t>
      </w:r>
    </w:p>
  </w:footnote>
  <w:footnote w:id="8">
    <w:p w14:paraId="66245EDC"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Ibid.</w:t>
      </w:r>
      <w:r w:rsidRPr="00835052">
        <w:rPr>
          <w:szCs w:val="20"/>
        </w:rPr>
        <w:t xml:space="preserve"> para. 9.</w:t>
      </w:r>
    </w:p>
  </w:footnote>
  <w:footnote w:id="9">
    <w:p w14:paraId="1C58045A"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Ibid.</w:t>
      </w:r>
      <w:r w:rsidRPr="00835052">
        <w:rPr>
          <w:szCs w:val="20"/>
        </w:rPr>
        <w:t xml:space="preserve"> para. 21.</w:t>
      </w:r>
    </w:p>
  </w:footnote>
  <w:footnote w:id="10">
    <w:p w14:paraId="2559EC2F" w14:textId="067D15F2" w:rsidR="00ED7AC1" w:rsidRPr="00835052" w:rsidRDefault="00ED7AC1" w:rsidP="00835052">
      <w:pPr>
        <w:pStyle w:val="FootnoteText"/>
      </w:pPr>
      <w:r w:rsidRPr="00835052">
        <w:rPr>
          <w:vertAlign w:val="superscript"/>
        </w:rPr>
        <w:footnoteRef/>
      </w:r>
      <w:r w:rsidRPr="00835052">
        <w:t xml:space="preserve"> Human Rights Watch, ‘Egypt: No End to Escalating Repression’ (13 January 2021), available at:</w:t>
      </w:r>
      <w:r w:rsidR="0003077B">
        <w:t xml:space="preserve"> </w:t>
      </w:r>
      <w:r w:rsidRPr="00835052">
        <w:t xml:space="preserve"> </w:t>
      </w:r>
      <w:hyperlink r:id="rId2">
        <w:r w:rsidRPr="00835052">
          <w:t>https://www.hrw.org/news/2021/01/13/egypt-no-end-escalating-repression</w:t>
        </w:r>
      </w:hyperlink>
      <w:r w:rsidRPr="00835052">
        <w:t xml:space="preserve">. </w:t>
      </w:r>
    </w:p>
  </w:footnote>
  <w:footnote w:id="11">
    <w:p w14:paraId="2E5A76BA" w14:textId="24F8D489" w:rsidR="00ED7AC1" w:rsidRPr="00835052" w:rsidRDefault="00ED7AC1" w:rsidP="00835052">
      <w:pPr>
        <w:pStyle w:val="FootnoteText"/>
        <w:rPr>
          <w:rFonts w:cstheme="majorBidi"/>
        </w:rPr>
      </w:pPr>
      <w:r w:rsidRPr="00835052">
        <w:rPr>
          <w:vertAlign w:val="superscript"/>
        </w:rPr>
        <w:footnoteRef/>
      </w:r>
      <w:r w:rsidRPr="00835052">
        <w:t xml:space="preserve"> Law No. 22 of 2020 </w:t>
      </w:r>
      <w:r w:rsidRPr="00835052">
        <w:rPr>
          <w:rFonts w:cstheme="majorBidi"/>
        </w:rPr>
        <w:t xml:space="preserve">amending the Emergency Law No. 162 of 1958, available at: </w:t>
      </w:r>
      <w:hyperlink r:id="rId3">
        <w:r w:rsidRPr="00835052">
          <w:rPr>
            <w:rFonts w:cstheme="majorBidi"/>
          </w:rPr>
          <w:t>https://www.ilo.org/dyn/natlex/n</w:t>
        </w:r>
        <w:r w:rsidRPr="00835052">
          <w:rPr>
            <w:rFonts w:cstheme="majorBidi"/>
          </w:rPr>
          <w:t>a</w:t>
        </w:r>
        <w:r w:rsidRPr="00835052">
          <w:rPr>
            <w:rFonts w:cstheme="majorBidi"/>
          </w:rPr>
          <w:t>tlex4.detail?p_lan</w:t>
        </w:r>
        <w:r w:rsidRPr="00835052">
          <w:rPr>
            <w:rFonts w:cstheme="majorBidi"/>
          </w:rPr>
          <w:t>g</w:t>
        </w:r>
        <w:r w:rsidRPr="00835052">
          <w:rPr>
            <w:rFonts w:cstheme="majorBidi"/>
          </w:rPr>
          <w:t>=en&amp;p_isn=111244&amp;p_count=19&amp;p_classification=01</w:t>
        </w:r>
      </w:hyperlink>
      <w:r w:rsidRPr="00835052">
        <w:rPr>
          <w:rFonts w:cstheme="majorBidi"/>
        </w:rPr>
        <w:t xml:space="preserve">; see also: Human Rights Watch, ‘Egypt: Covid-19 Cover for New Repressive Powers’ (7 May 2020), available at: </w:t>
      </w:r>
      <w:hyperlink r:id="rId4">
        <w:r w:rsidRPr="00835052">
          <w:rPr>
            <w:rFonts w:cstheme="majorBidi"/>
          </w:rPr>
          <w:t>https://www.hrw.org/news/2020/05/07/egypt-covid-19-cover-new-repressive-powers</w:t>
        </w:r>
      </w:hyperlink>
      <w:r w:rsidRPr="00835052">
        <w:rPr>
          <w:rFonts w:cstheme="majorBidi"/>
        </w:rPr>
        <w:t xml:space="preserve">; </w:t>
      </w:r>
      <w:r w:rsidRPr="00835052">
        <w:rPr>
          <w:rStyle w:val="Emphasis"/>
          <w:szCs w:val="20"/>
        </w:rPr>
        <w:t>Cairo Institute for Human Rights Studies,</w:t>
      </w:r>
      <w:r w:rsidRPr="00835052">
        <w:t xml:space="preserve"> </w:t>
      </w:r>
      <w:r w:rsidRPr="00835052">
        <w:rPr>
          <w:rFonts w:cstheme="majorBidi"/>
        </w:rPr>
        <w:t xml:space="preserve">‘Egypt: Amendments to Emergency Law exploit </w:t>
      </w:r>
      <w:proofErr w:type="spellStart"/>
      <w:r w:rsidRPr="00835052">
        <w:rPr>
          <w:rFonts w:cstheme="majorBidi"/>
        </w:rPr>
        <w:t>Covid</w:t>
      </w:r>
      <w:proofErr w:type="spellEnd"/>
      <w:r w:rsidRPr="00835052">
        <w:rPr>
          <w:rFonts w:cstheme="majorBidi"/>
        </w:rPr>
        <w:t xml:space="preserve"> 19 to undermine judicial independence’ (9th May 2020), available at: </w:t>
      </w:r>
      <w:hyperlink r:id="rId5">
        <w:r w:rsidRPr="00835052">
          <w:rPr>
            <w:rFonts w:cstheme="majorBidi"/>
          </w:rPr>
          <w:t>https://cihrs.org/egypt-amendments-to-emergency-law-exploit-covid-19-to-undermine-judicial-independence/?lang=en</w:t>
        </w:r>
      </w:hyperlink>
      <w:r w:rsidRPr="00835052">
        <w:rPr>
          <w:rFonts w:cstheme="majorBidi"/>
        </w:rPr>
        <w:t>.</w:t>
      </w:r>
    </w:p>
  </w:footnote>
  <w:footnote w:id="12">
    <w:p w14:paraId="3A6EA0BE" w14:textId="4F25EA87" w:rsidR="00ED7AC1" w:rsidRPr="00835052" w:rsidRDefault="00ED7AC1" w:rsidP="00835052">
      <w:pPr>
        <w:pStyle w:val="FootnoteText"/>
      </w:pPr>
      <w:r w:rsidRPr="00835052">
        <w:rPr>
          <w:vertAlign w:val="superscript"/>
        </w:rPr>
        <w:footnoteRef/>
      </w:r>
      <w:r w:rsidRPr="00835052">
        <w:t xml:space="preserve"> On 25 October 2021, President al-</w:t>
      </w:r>
      <w:proofErr w:type="spellStart"/>
      <w:r w:rsidRPr="00835052">
        <w:t>Sisi</w:t>
      </w:r>
      <w:proofErr w:type="spellEnd"/>
      <w:r w:rsidRPr="00835052">
        <w:t xml:space="preserve"> announced the lifting of the state of emergency, which had been in place for the duration of 4 years. See: Human Rights Watch, ‘Egypt: Ending State of Emergency  a  Start,  but Insufficient’ (26 October 2021), available at: </w:t>
      </w:r>
      <w:hyperlink r:id="rId6" w:history="1">
        <w:r w:rsidRPr="00835052">
          <w:rPr>
            <w:rStyle w:val="Hyperlink"/>
          </w:rPr>
          <w:t>https://www.hrw.org/news/2021/10/26/egypt-ending-state-emergency-start-insufficient</w:t>
        </w:r>
      </w:hyperlink>
      <w:r w:rsidRPr="00835052">
        <w:t>.</w:t>
      </w:r>
    </w:p>
  </w:footnote>
  <w:footnote w:id="13">
    <w:p w14:paraId="6E33C05D" w14:textId="7CA32B8F" w:rsidR="00ED7AC1" w:rsidRPr="00835052" w:rsidRDefault="00ED7AC1" w:rsidP="00835052">
      <w:pPr>
        <w:pStyle w:val="FootnoteText"/>
      </w:pPr>
      <w:r w:rsidRPr="00835052">
        <w:rPr>
          <w:vertAlign w:val="superscript"/>
        </w:rPr>
        <w:footnoteRef/>
      </w:r>
      <w:r w:rsidRPr="00835052">
        <w:t xml:space="preserve"> Amnesty International, ‘Egypt: Stop trials by emergency courts’ (31 October 2021), available at: </w:t>
      </w:r>
      <w:hyperlink r:id="rId7" w:history="1">
        <w:r w:rsidRPr="00835052">
          <w:rPr>
            <w:rStyle w:val="Hyperlink"/>
          </w:rPr>
          <w:t>https://www.amnesty.org/en/latest/news/2021/10/egypt-stop-trials-by-emergency-courts/</w:t>
        </w:r>
      </w:hyperlink>
      <w:r w:rsidRPr="00835052">
        <w:t>.</w:t>
      </w:r>
    </w:p>
  </w:footnote>
  <w:footnote w:id="14">
    <w:p w14:paraId="0FABDAB5" w14:textId="4EC87A01" w:rsidR="00ED7AC1" w:rsidRPr="00835052" w:rsidRDefault="00ED7AC1" w:rsidP="00835052">
      <w:pPr>
        <w:pStyle w:val="FootnoteText"/>
        <w:rPr>
          <w:rFonts w:eastAsia="Franklin Gothic"/>
        </w:rPr>
      </w:pPr>
      <w:r w:rsidRPr="00835052">
        <w:rPr>
          <w:rStyle w:val="FootnoteReference"/>
          <w:rFonts w:cstheme="majorBidi"/>
          <w:szCs w:val="20"/>
        </w:rPr>
        <w:footnoteRef/>
      </w:r>
      <w:r w:rsidRPr="00835052">
        <w:t xml:space="preserve"> The Tahrir Institute for Middle East Policy, ‘Egypt Lifted its State of Emergency: What Now?’ (10 November 2021), available at: </w:t>
      </w:r>
      <w:hyperlink r:id="rId8" w:history="1">
        <w:r w:rsidRPr="00835052">
          <w:rPr>
            <w:rStyle w:val="Hyperlink"/>
            <w:rFonts w:cstheme="majorBidi"/>
            <w:szCs w:val="20"/>
          </w:rPr>
          <w:t>https://timep.org/explainers/egypt-lifted-its-state-of-emergency-what-now/</w:t>
        </w:r>
      </w:hyperlink>
      <w:r w:rsidRPr="00835052">
        <w:t xml:space="preserve">; Egyptian Initiative for Personal Rights, ‘Lifting State of Emergency positive step, but more action required to dismantle repressive laws’ (31 October 2021), available at: </w:t>
      </w:r>
      <w:hyperlink r:id="rId9" w:history="1">
        <w:r w:rsidRPr="00835052">
          <w:rPr>
            <w:rStyle w:val="Hyperlink"/>
          </w:rPr>
          <w:t>https://eipr.org/en/press/2021/10/lifting-state-emergency-positive-step-more-action-required-dismantle-repressive-laws</w:t>
        </w:r>
      </w:hyperlink>
      <w:r w:rsidRPr="00835052">
        <w:t xml:space="preserve">. </w:t>
      </w:r>
    </w:p>
  </w:footnote>
  <w:footnote w:id="15">
    <w:p w14:paraId="4515341C" w14:textId="7D1E537F" w:rsidR="00ED7AC1" w:rsidRPr="00835052" w:rsidRDefault="00ED7AC1" w:rsidP="00731809">
      <w:pPr>
        <w:pStyle w:val="FootnoteText"/>
        <w:rPr>
          <w:lang w:val="en-US"/>
        </w:rPr>
      </w:pPr>
      <w:r w:rsidRPr="00835052">
        <w:rPr>
          <w:rStyle w:val="FootnoteReference"/>
        </w:rPr>
        <w:footnoteRef/>
      </w:r>
      <w:r w:rsidRPr="00835052">
        <w:t xml:space="preserve"> See, for example, Amnesty International, ‘UN: States must denounce Egypt’s disastrous human rights record’ (12 November 2019), available at:  </w:t>
      </w:r>
      <w:hyperlink r:id="rId10" w:history="1">
        <w:r w:rsidRPr="00835052">
          <w:rPr>
            <w:rStyle w:val="Hyperlink"/>
          </w:rPr>
          <w:t>https://www.amnesty.org/en/latest/news/2019/11/un-states-must-denounce-egypts-disastrous-human-rights-record/</w:t>
        </w:r>
      </w:hyperlink>
      <w:r w:rsidRPr="00835052">
        <w:rPr>
          <w:lang w:val="en-US"/>
        </w:rPr>
        <w:t>.</w:t>
      </w:r>
    </w:p>
  </w:footnote>
  <w:footnote w:id="16">
    <w:p w14:paraId="2AD625C9" w14:textId="1ACB0A15" w:rsidR="00ED7AC1" w:rsidRPr="00835052" w:rsidRDefault="00ED7AC1" w:rsidP="00835052">
      <w:pPr>
        <w:pStyle w:val="FootnoteText"/>
      </w:pPr>
      <w:r w:rsidRPr="00835052">
        <w:rPr>
          <w:vertAlign w:val="superscript"/>
        </w:rPr>
        <w:footnoteRef/>
      </w:r>
      <w:r w:rsidRPr="00835052">
        <w:t xml:space="preserve"> Amnesty International, Report 2020/21 : ‘The state of the world’s human rights’  (POL 10/3202/2021), pp. 146–151, available at: </w:t>
      </w:r>
      <w:hyperlink r:id="rId11" w:history="1">
        <w:r w:rsidRPr="00835052">
          <w:rPr>
            <w:rStyle w:val="Hyperlink"/>
            <w:szCs w:val="20"/>
          </w:rPr>
          <w:t>https://www.amnesty.org/en/documents/pol10/3202/2021/en/</w:t>
        </w:r>
      </w:hyperlink>
      <w:r w:rsidRPr="00835052">
        <w:t xml:space="preserve">. </w:t>
      </w:r>
    </w:p>
  </w:footnote>
  <w:footnote w:id="17">
    <w:p w14:paraId="2F814071" w14:textId="7A4E884A" w:rsidR="00ED7AC1" w:rsidRPr="00835052" w:rsidRDefault="00ED7AC1" w:rsidP="00835052">
      <w:pPr>
        <w:pStyle w:val="FootnoteText"/>
      </w:pPr>
      <w:r w:rsidRPr="00835052">
        <w:rPr>
          <w:vertAlign w:val="superscript"/>
        </w:rPr>
        <w:footnoteRef/>
      </w:r>
      <w:r w:rsidRPr="00835052">
        <w:t xml:space="preserve"> HRC, ‘Report of the Working Group on the Universal Periodic Review of Egypt’ (27 December 2019), UN Doc A/HRC/43/16, recommendations 31.124, 31.126, 31.128, 31.130, 31.134, 31.165, 31.174, 31.178, 31.188, 31.189, 31.190, 31.191, 31.192, 31.199, 31.207, available at </w:t>
      </w:r>
      <w:hyperlink r:id="rId12" w:history="1">
        <w:r w:rsidRPr="00835052">
          <w:rPr>
            <w:rStyle w:val="Hyperlink"/>
            <w:szCs w:val="20"/>
          </w:rPr>
          <w:t>https://ap.ohchr.org/documents/dpage_e.aspx?si=A/HRC/43/16</w:t>
        </w:r>
      </w:hyperlink>
      <w:r w:rsidRPr="00835052">
        <w:t xml:space="preserve">. </w:t>
      </w:r>
    </w:p>
  </w:footnote>
  <w:footnote w:id="18">
    <w:p w14:paraId="5857F0EA" w14:textId="31CF75B8" w:rsidR="00ED7AC1" w:rsidRPr="00835052" w:rsidRDefault="00ED7AC1" w:rsidP="00835052">
      <w:pPr>
        <w:pStyle w:val="FootnoteText"/>
      </w:pPr>
      <w:r w:rsidRPr="00835052">
        <w:rPr>
          <w:vertAlign w:val="superscript"/>
        </w:rPr>
        <w:footnoteRef/>
      </w:r>
      <w:r w:rsidRPr="00835052">
        <w:t xml:space="preserve"> HRC, ‘Report of the Working Group on the Universal Periodic Review of Egypt’ (27 December 2019), UN Doc A/HRC/43/16, recommendations 31.22, 31.126, 31.130, 31.163, 31.178, 31.194, 31.197, 31.198, 31.199, 31.200, 31.202, 31.204, 31.205, 31.206, 31.207, 31.208. </w:t>
      </w:r>
    </w:p>
  </w:footnote>
  <w:footnote w:id="19">
    <w:p w14:paraId="1750896B" w14:textId="7EE3F0FA" w:rsidR="00ED7AC1" w:rsidRPr="00835052" w:rsidRDefault="00ED7AC1" w:rsidP="00835052">
      <w:pPr>
        <w:pStyle w:val="FootnoteText"/>
      </w:pPr>
      <w:r w:rsidRPr="00835052">
        <w:rPr>
          <w:vertAlign w:val="superscript"/>
        </w:rPr>
        <w:footnoteRef/>
      </w:r>
      <w:r w:rsidRPr="00835052">
        <w:t xml:space="preserve"> Committee on the Elimination of Discrimination against Women, ‘Concluding observations on the combined eighth to tenth periodic reports of Egypt’ (26 November 2021), UN Doc</w:t>
      </w:r>
      <w:r w:rsidRPr="00835052">
        <w:rPr>
          <w:lang w:eastAsia="fr-FR"/>
        </w:rPr>
        <w:t xml:space="preserve"> </w:t>
      </w:r>
      <w:r w:rsidRPr="00835052">
        <w:t>CEDAW/C/EGY/CO/8-10, para. 29, available at: https://tbinternet.ohchr.org/_layouts/15/treatybodyexternal/Download.aspx?symbolno=CEDAW%2fC%2fEGY%2fCO%2f8-10&amp;Lang=en .</w:t>
      </w:r>
    </w:p>
  </w:footnote>
  <w:footnote w:id="20">
    <w:p w14:paraId="21760E82" w14:textId="2D0F640C" w:rsidR="00ED7AC1" w:rsidRPr="00835052" w:rsidRDefault="00ED7AC1" w:rsidP="00835052">
      <w:pPr>
        <w:pStyle w:val="FootnoteText"/>
      </w:pPr>
      <w:r w:rsidRPr="00835052">
        <w:rPr>
          <w:vertAlign w:val="superscript"/>
        </w:rPr>
        <w:footnoteRef/>
      </w:r>
      <w:r w:rsidRPr="00835052">
        <w:t xml:space="preserve"> Committee on the Elimination of Discrimination against Women, ‘Concluding observations on the combined eighth to tenth periodic reports of Egypt’ (26 November 2021), UN Doc</w:t>
      </w:r>
      <w:r w:rsidRPr="00835052">
        <w:rPr>
          <w:lang w:eastAsia="fr-FR"/>
        </w:rPr>
        <w:t xml:space="preserve"> </w:t>
      </w:r>
      <w:r w:rsidRPr="00835052">
        <w:t xml:space="preserve">CEDAW/C/EGY/CO/8-10,  para.  30, available at: </w:t>
      </w:r>
      <w:hyperlink r:id="rId13">
        <w:r w:rsidRPr="00835052">
          <w:t>https://tbinternet.ohchr.org/_layouts/15/treatybodyexternal/Download.aspx?symbolno=CEDAW%2fC%2fEGY%2fCO%2f8-10&amp;Lang=en</w:t>
        </w:r>
      </w:hyperlink>
      <w:r w:rsidRPr="00835052">
        <w:t xml:space="preserve">. </w:t>
      </w:r>
    </w:p>
  </w:footnote>
  <w:footnote w:id="21">
    <w:p w14:paraId="33FDF78E" w14:textId="427DF7A7" w:rsidR="00ED7AC1" w:rsidRPr="00835052" w:rsidRDefault="00ED7AC1" w:rsidP="00835052">
      <w:pPr>
        <w:pStyle w:val="FootnoteText"/>
      </w:pPr>
      <w:r w:rsidRPr="00835052">
        <w:rPr>
          <w:vertAlign w:val="superscript"/>
        </w:rPr>
        <w:footnoteRef/>
      </w:r>
      <w:r w:rsidRPr="00835052">
        <w:t xml:space="preserve"> ‘Cooperation with the United Nations, its representatives and mechanisms in the field of human rights’, Report of the UN Secretary General, (25 September 2020), UN doc A/HRC/45/36, paras. 65–70, available at: </w:t>
      </w:r>
      <w:hyperlink r:id="rId14">
        <w:r w:rsidRPr="00835052">
          <w:t>https://undocs.org/en/A/HRC/45/36</w:t>
        </w:r>
      </w:hyperlink>
      <w:r w:rsidRPr="00835052">
        <w:t>.</w:t>
      </w:r>
    </w:p>
  </w:footnote>
  <w:footnote w:id="22">
    <w:p w14:paraId="211CDF6E" w14:textId="75928C98" w:rsidR="00ED7AC1" w:rsidRPr="00835052" w:rsidRDefault="00ED7AC1" w:rsidP="00835052">
      <w:pPr>
        <w:pStyle w:val="FootnoteText"/>
      </w:pPr>
      <w:r w:rsidRPr="00835052">
        <w:rPr>
          <w:rFonts w:cstheme="majorBidi"/>
          <w:vertAlign w:val="superscript"/>
        </w:rPr>
        <w:footnoteRef/>
      </w:r>
      <w:r w:rsidRPr="00835052">
        <w:rPr>
          <w:rFonts w:cstheme="majorBidi"/>
        </w:rPr>
        <w:t xml:space="preserve"> </w:t>
      </w:r>
      <w:r w:rsidRPr="00835052">
        <w:t xml:space="preserve">OHCHR, ‘Egypt: UN experts alarmed by treatment of human rights defenders after visit’ (4 December 2018), available at: </w:t>
      </w:r>
      <w:hyperlink r:id="rId15" w:history="1">
        <w:r w:rsidRPr="00835052">
          <w:rPr>
            <w:rStyle w:val="Hyperlink"/>
          </w:rPr>
          <w:t>https://www.ohchr.org/EN/NewsEvents/Pages/DisplayNews.aspx?NewsID=23971&amp;LangID=E</w:t>
        </w:r>
      </w:hyperlink>
      <w:r w:rsidRPr="00835052" w:rsidDel="00031B7F">
        <w:t xml:space="preserve"> </w:t>
      </w:r>
    </w:p>
  </w:footnote>
  <w:footnote w:id="23">
    <w:p w14:paraId="1AEA5F28" w14:textId="77777777" w:rsidR="00ED7AC1" w:rsidRPr="00835052" w:rsidRDefault="00ED7AC1" w:rsidP="00835052">
      <w:pPr>
        <w:pStyle w:val="FootnoteText"/>
        <w:rPr>
          <w:szCs w:val="20"/>
          <w:vertAlign w:val="superscript"/>
        </w:rPr>
      </w:pPr>
      <w:r w:rsidRPr="00835052">
        <w:rPr>
          <w:rFonts w:cstheme="majorBidi"/>
          <w:szCs w:val="20"/>
          <w:vertAlign w:val="superscript"/>
        </w:rPr>
        <w:footnoteRef/>
      </w:r>
      <w:r w:rsidRPr="00835052">
        <w:rPr>
          <w:rFonts w:cstheme="majorBidi"/>
          <w:szCs w:val="20"/>
          <w:vertAlign w:val="superscript"/>
        </w:rPr>
        <w:t xml:space="preserve"> </w:t>
      </w:r>
      <w:r w:rsidRPr="00835052">
        <w:rPr>
          <w:rFonts w:cstheme="majorBidi"/>
          <w:i/>
          <w:iCs/>
          <w:szCs w:val="20"/>
        </w:rPr>
        <w:t>Ibid.</w:t>
      </w:r>
    </w:p>
  </w:footnote>
  <w:footnote w:id="24">
    <w:p w14:paraId="744E4629" w14:textId="338EBBB6" w:rsidR="005D5D0E" w:rsidRPr="00835052" w:rsidRDefault="005D5D0E" w:rsidP="005D5D0E">
      <w:pPr>
        <w:pStyle w:val="FootnoteText"/>
        <w:rPr>
          <w:vertAlign w:val="superscript"/>
        </w:rPr>
      </w:pPr>
      <w:r w:rsidRPr="00835052">
        <w:rPr>
          <w:vertAlign w:val="superscript"/>
        </w:rPr>
        <w:footnoteRef/>
      </w:r>
      <w:r w:rsidRPr="00835052">
        <w:rPr>
          <w:vertAlign w:val="superscript"/>
        </w:rPr>
        <w:t xml:space="preserve"> </w:t>
      </w:r>
      <w:r w:rsidRPr="00835052">
        <w:t xml:space="preserve">International Service for Human </w:t>
      </w:r>
      <w:r w:rsidRPr="00731809">
        <w:t>Rights</w:t>
      </w:r>
      <w:r w:rsidRPr="00835052">
        <w:t xml:space="preserve">, ‘Egypt: Let human rights defenders work for a better future’ (18 October 2019), available at : https://ishr.ch/latest-updates/egypt-let-human-rights-defenders-work-better-future/; Human Rights Watch, ‘Egypt: New NGO Law Renews Draconian Restrictions’ (24 July 2019), available at: </w:t>
      </w:r>
      <w:hyperlink r:id="rId16" w:history="1">
        <w:r w:rsidR="0003077B" w:rsidRPr="000A3EF2">
          <w:rPr>
            <w:rStyle w:val="Hyperlink"/>
            <w:highlight w:val="white"/>
          </w:rPr>
          <w:t>https://www.hrw.org/news/2019/07/24/egypt-new-ngo-law-renews-draconian-restrictions.</w:t>
        </w:r>
      </w:hyperlink>
      <w:r w:rsidR="0003077B">
        <w:rPr>
          <w:highlight w:val="white"/>
        </w:rPr>
        <w:t xml:space="preserve"> </w:t>
      </w:r>
    </w:p>
  </w:footnote>
  <w:footnote w:id="25">
    <w:p w14:paraId="354A23EB" w14:textId="5F786FF0" w:rsidR="002F3BBB" w:rsidRPr="002F3BBB" w:rsidRDefault="002F3BBB">
      <w:pPr>
        <w:pStyle w:val="FootnoteText"/>
        <w:rPr>
          <w:lang w:val="en-US"/>
        </w:rPr>
      </w:pPr>
      <w:r>
        <w:rPr>
          <w:rStyle w:val="FootnoteReference"/>
        </w:rPr>
        <w:footnoteRef/>
      </w:r>
      <w:r>
        <w:t xml:space="preserve"> </w:t>
      </w:r>
      <w:r w:rsidRPr="00835052">
        <w:t xml:space="preserve">Amnesty International, ‘Egypt: Human Rights Activist </w:t>
      </w:r>
      <w:r w:rsidRPr="00731809">
        <w:t>detained for a third time: [WHRD]’ (7 September 2020), available at: https://www.amnesty.org/en/documents/mde12/3013/2020/en/; Amnesty International, ‘Prominent Human Rights Lawyer Detained’ (9 October 2019), available at:</w:t>
      </w:r>
      <w:r w:rsidR="0003077B">
        <w:t xml:space="preserve"> </w:t>
      </w:r>
      <w:hyperlink r:id="rId17" w:history="1">
        <w:r w:rsidR="0003077B" w:rsidRPr="000A3EF2">
          <w:rPr>
            <w:rStyle w:val="Hyperlink"/>
          </w:rPr>
          <w:t>https://www.amnesty.org/download/Documents/MDE1211402019ENGLISH.pdf</w:t>
        </w:r>
      </w:hyperlink>
      <w:r w:rsidRPr="00731809">
        <w:t xml:space="preserve">; Amnesty international,  ‘Egypt steps up brutality with abduction and torture of human rights defender’ (14 Oct 2019), available at: </w:t>
      </w:r>
      <w:hyperlink r:id="rId18" w:history="1">
        <w:r w:rsidRPr="00731809">
          <w:t>https://www.amnesty.org/en/latest</w:t>
        </w:r>
        <w:r w:rsidRPr="00731809">
          <w:t>/</w:t>
        </w:r>
        <w:r w:rsidRPr="00731809">
          <w:t>news/2019/10/egypt-steps-up-brutality-with-abduction-and-torture-of-human-rights-defender/</w:t>
        </w:r>
      </w:hyperlink>
      <w:r w:rsidRPr="00731809">
        <w:t>; Amnesty International, ‘Egypt: Three journalists arbitrarily detained: [WHRDs]’ (18</w:t>
      </w:r>
      <w:r w:rsidRPr="00835052">
        <w:rPr>
          <w:szCs w:val="20"/>
        </w:rPr>
        <w:t xml:space="preserve"> December 2019), available at: https://www.amnesty.org/en/documents/mde12/1602/2019/en/; WILPF et al., ‘Joint submission to the UPR Working Group’ (19 Oct 2019), available at: https://www.wilpf.org/wp-content/uploads/2019/09/20190328_JoinedSubmissionUPREgypt-.pdf.</w:t>
      </w:r>
    </w:p>
  </w:footnote>
  <w:footnote w:id="26">
    <w:p w14:paraId="1D2A5D51" w14:textId="77777777" w:rsidR="005D5D0E" w:rsidRPr="00835052" w:rsidRDefault="005D5D0E" w:rsidP="005D5D0E">
      <w:pPr>
        <w:pStyle w:val="FootnoteText"/>
      </w:pPr>
      <w:r w:rsidRPr="00835052">
        <w:rPr>
          <w:vertAlign w:val="superscript"/>
        </w:rPr>
        <w:footnoteRef/>
      </w:r>
      <w:r w:rsidRPr="00835052">
        <w:t xml:space="preserve"> </w:t>
      </w:r>
      <w:r w:rsidRPr="00731809">
        <w:t>Case No 173, known as the ‘Case on foreign funding of civil society’. In July 2011, the cabinet ordered the Minister of Justice to set up a fact-finding committee to look into foreign funding received by civil society groups and to determine which of those groups are registered under Law 84. The document includes a report from the National Security Agency and another from the Egyptian General Intelligence Agency that lists almost every independent human rights organisation in Egypt as well as the international NGOs who were subsequently prosecuted and sentenced. See: International Federation for Human Rights, ‘Background on Case No. 173 - the ‘foreign funding case’ Imminent Risk of Prosecution and Closure’ (23 March 2016), available at: https://www.fidh.org/en/region/north-africa-middle-east/egypt/background-on-case-no-173-the-foreign-funding-case-imminent-risk-of.</w:t>
      </w:r>
    </w:p>
  </w:footnote>
  <w:footnote w:id="27">
    <w:p w14:paraId="7D4AB747" w14:textId="77777777" w:rsidR="005D5D0E" w:rsidRPr="00835052" w:rsidRDefault="005D5D0E" w:rsidP="005D5D0E">
      <w:pPr>
        <w:pStyle w:val="FootnoteText"/>
      </w:pPr>
      <w:r w:rsidRPr="00835052">
        <w:rPr>
          <w:vertAlign w:val="superscript"/>
        </w:rPr>
        <w:footnoteRef/>
      </w:r>
      <w:r w:rsidRPr="00835052">
        <w:t xml:space="preserve"> Case No. 621, where different activists were prosecuted and detained for the charges of spreading false news that harms </w:t>
      </w:r>
      <w:r w:rsidRPr="00731809">
        <w:t>national</w:t>
      </w:r>
      <w:r w:rsidRPr="00835052">
        <w:t xml:space="preserve"> security and joining a group established contrary to the provisions of the law and the constitution. See: International Service for Human Rights, ‘Egypt: Quash verdicts and stop unfair trials’  (January 2022), available at: </w:t>
      </w:r>
      <w:hyperlink r:id="rId19">
        <w:r w:rsidRPr="00835052">
          <w:t>https://ishr.ch/latest-updates/egypt-quash-verdicts-and-stop-unfair-trials-by-emergency-courts/</w:t>
        </w:r>
      </w:hyperlink>
      <w:r w:rsidRPr="00835052">
        <w:t>; see also:  Euromed Rights, ‘The chilling effect: A study on the use of pre-trial detention as a tool of repression against human rights defenders and activists in Egypt’ (March 2020), p.13, available at: https://euromedrights.org/wp-content/uploads/2020/03/Chilling-Effect-of-Pre-Trial-Detention-on-Human-Rights-Defenders-in-Egypt.pdf.</w:t>
      </w:r>
    </w:p>
  </w:footnote>
  <w:footnote w:id="28">
    <w:p w14:paraId="79A77493" w14:textId="3D297EB0" w:rsidR="00ED7AC1" w:rsidRPr="00731809" w:rsidRDefault="00ED7AC1" w:rsidP="00731809">
      <w:pPr>
        <w:pStyle w:val="FootnoteText"/>
      </w:pPr>
      <w:r w:rsidRPr="00835052">
        <w:rPr>
          <w:vertAlign w:val="superscript"/>
        </w:rPr>
        <w:footnoteRef/>
      </w:r>
      <w:r w:rsidRPr="00835052">
        <w:rPr>
          <w:vertAlign w:val="superscript"/>
        </w:rPr>
        <w:t xml:space="preserve"> </w:t>
      </w:r>
      <w:r w:rsidRPr="00835052">
        <w:t>OHCHR, ‘Egypt; Human rights defenders held incommunicado, face spurious charges, says UN expert’ (15 July 2021) available at:</w:t>
      </w:r>
      <w:r w:rsidR="00731809">
        <w:t xml:space="preserve"> </w:t>
      </w:r>
      <w:r w:rsidRPr="00835052">
        <w:t>https://www.ohchr.org/EN/NewsEvents/Pages/DisplayNews.aspx?NewsID=27314&amp;LangID=E.</w:t>
      </w:r>
    </w:p>
  </w:footnote>
  <w:footnote w:id="29">
    <w:p w14:paraId="4841529A" w14:textId="76D3A697" w:rsidR="00ED7AC1" w:rsidRPr="00731809" w:rsidRDefault="00ED7AC1" w:rsidP="00731809">
      <w:pPr>
        <w:pStyle w:val="FootnoteText"/>
      </w:pPr>
      <w:r w:rsidRPr="00835052">
        <w:rPr>
          <w:vertAlign w:val="superscript"/>
        </w:rPr>
        <w:footnoteRef/>
      </w:r>
      <w:r w:rsidRPr="00835052">
        <w:rPr>
          <w:vertAlign w:val="superscript"/>
        </w:rPr>
        <w:t xml:space="preserve"> </w:t>
      </w:r>
      <w:r w:rsidRPr="00835052">
        <w:t xml:space="preserve">Front Line Defenders, ‘[WHRD ]released on bail’ (22 July 2021), available at: https://www.frontlinedefenders.org/en/case/mahienour-el-masry-released-bail#case-update-id-14066; Amnesty International, ‘Egypt: Further Information: Detained Lawyer in Critical Health Condition’ (4 December 2020), available at: </w:t>
      </w:r>
      <w:hyperlink r:id="rId20" w:history="1">
        <w:r w:rsidR="00731809" w:rsidRPr="000A3EF2">
          <w:rPr>
            <w:rStyle w:val="Hyperlink"/>
            <w:szCs w:val="20"/>
          </w:rPr>
          <w:t>https://www.amnesty.org/ar/wp-content/uploads/2021/05/MDE1234292020ENGLISH.pdf</w:t>
        </w:r>
      </w:hyperlink>
      <w:r w:rsidRPr="00835052">
        <w:t xml:space="preserve">; Amnesty International, ‘Egypt: [film editor’s] conviction on bogus charges a travesty of justice’ (17 March 2021) available at: </w:t>
      </w:r>
      <w:hyperlink r:id="rId21" w:history="1">
        <w:r w:rsidRPr="00835052">
          <w:rPr>
            <w:rStyle w:val="Hyperlink"/>
            <w:color w:val="000000" w:themeColor="text1"/>
            <w:szCs w:val="20"/>
            <w14:textFill>
              <w14:solidFill>
                <w14:schemeClr w14:val="tx1">
                  <w14:lumMod w14:val="50000"/>
                  <w14:lumOff w14:val="50000"/>
                  <w14:lumMod w14:val="65000"/>
                  <w14:lumOff w14:val="35000"/>
                </w14:schemeClr>
              </w14:solidFill>
            </w14:textFill>
          </w:rPr>
          <w:t>https://www.amnesty.org/en/latest/news/2021/03/egypt-sanaa-seifs-conviction-on-bogus-charges-a-cruel-blow-for-freedom-of-expression-2/</w:t>
        </w:r>
      </w:hyperlink>
      <w:r w:rsidRPr="00835052">
        <w:t>;</w:t>
      </w:r>
      <w:bookmarkStart w:id="5" w:name="_heading=h.1hmsyys" w:colFirst="0" w:colLast="0"/>
      <w:bookmarkEnd w:id="5"/>
      <w:r w:rsidRPr="00835052">
        <w:t xml:space="preserve"> </w:t>
      </w:r>
      <w:r w:rsidRPr="00731809">
        <w:t>Amnesty</w:t>
      </w:r>
      <w:r w:rsidRPr="00835052">
        <w:t xml:space="preserve"> International, ‘Egypt: ‘[WHRD ]critically ill amid torture and denial of medical treatment in prison’ (21 November 2019), available at: https://www.amnesty.org/en/latest/news/2019/11/egypt-aisha-el-shater-critically-ill-amid-torture-and-denial-of-medical-treatment-in-prison/</w:t>
      </w:r>
      <w:r w:rsidR="0003077B">
        <w:t>.</w:t>
      </w:r>
    </w:p>
  </w:footnote>
  <w:footnote w:id="30">
    <w:p w14:paraId="0D0AC9C5" w14:textId="77777777" w:rsidR="00ED7AC1" w:rsidRPr="00835052" w:rsidRDefault="00ED7AC1" w:rsidP="00731809">
      <w:pPr>
        <w:pStyle w:val="FootnoteText"/>
        <w:rPr>
          <w:vertAlign w:val="superscript"/>
        </w:rPr>
      </w:pPr>
      <w:r w:rsidRPr="00835052">
        <w:rPr>
          <w:vertAlign w:val="superscript"/>
        </w:rPr>
        <w:footnoteRef/>
      </w:r>
      <w:r w:rsidRPr="00835052">
        <w:t xml:space="preserve"> Middle East Monitor, ‘Egypt releases [WHRD] and husband from prison’ (14 April 2021), available at: </w:t>
      </w:r>
      <w:hyperlink r:id="rId22" w:history="1">
        <w:r w:rsidRPr="00835052">
          <w:rPr>
            <w:rStyle w:val="Hyperlink"/>
            <w:color w:val="000000" w:themeColor="text1"/>
            <w:szCs w:val="20"/>
            <w14:textFill>
              <w14:solidFill>
                <w14:schemeClr w14:val="tx1">
                  <w14:lumMod w14:val="50000"/>
                  <w14:lumOff w14:val="50000"/>
                  <w14:lumMod w14:val="65000"/>
                  <w14:lumOff w14:val="35000"/>
                </w14:schemeClr>
              </w14:solidFill>
            </w14:textFill>
          </w:rPr>
          <w:t>https://www.middleeastmonitor.com/20210414-egypt-releases-solafa-magdy-and-husband-from-prison/</w:t>
        </w:r>
      </w:hyperlink>
      <w:r w:rsidRPr="00835052">
        <w:t>; Amnesty International, ‘Egypt: Further information: Loss of contact with detained journalist’ (4 May 2020), available at: https://www.amnesty.org/en/documents/</w:t>
      </w:r>
      <w:r w:rsidRPr="00731809">
        <w:t>mde12</w:t>
      </w:r>
      <w:r w:rsidRPr="00835052">
        <w:t>/2262/2020/en/.</w:t>
      </w:r>
    </w:p>
  </w:footnote>
  <w:footnote w:id="31">
    <w:p w14:paraId="71EB4CA7" w14:textId="77777777" w:rsidR="00ED7AC1" w:rsidRPr="00835052" w:rsidRDefault="00ED7AC1" w:rsidP="00731809">
      <w:pPr>
        <w:pStyle w:val="FootnoteText"/>
        <w:rPr>
          <w:vertAlign w:val="superscript"/>
        </w:rPr>
      </w:pPr>
      <w:r w:rsidRPr="00835052">
        <w:rPr>
          <w:vertAlign w:val="superscript"/>
        </w:rPr>
        <w:footnoteRef/>
      </w:r>
      <w:r w:rsidRPr="00835052">
        <w:t xml:space="preserve"> Middle East Monitor, ‘Egypt releases [WHRD] and husband from prison’ (14 April 2021), available at: https://www.</w:t>
      </w:r>
      <w:r w:rsidRPr="00731809">
        <w:t>middleeastmonitor</w:t>
      </w:r>
      <w:r w:rsidRPr="00835052">
        <w:t>.com/20210414-egypt-releases-solafa-magdy-and-husband-from-prison/; Amnesty International, ‘Egypt: Further information: Loss of contact with detained journalist’ (4 May 2020), available at: https://www.amnesty.org/en/documents/mde12/2262/2020/en/.</w:t>
      </w:r>
    </w:p>
  </w:footnote>
  <w:footnote w:id="32">
    <w:p w14:paraId="752E0B43" w14:textId="30AAD462" w:rsidR="00ED7AC1" w:rsidRPr="00835052" w:rsidRDefault="00ED7AC1" w:rsidP="00731809">
      <w:pPr>
        <w:pStyle w:val="FootnoteText"/>
      </w:pPr>
      <w:r w:rsidRPr="00835052">
        <w:rPr>
          <w:vertAlign w:val="superscript"/>
        </w:rPr>
        <w:footnoteRef/>
      </w:r>
      <w:r w:rsidRPr="00835052">
        <w:t xml:space="preserve"> Communication sent by the Special Rapporteur on the rights to freedom of peaceful assembly and of association, the Special Rapporteur on Human Rights Defenders and the Special Rapporteur on the promotion and protection of human rights and fundamental freedoms while countering terrorism, AL EGY 6/2021 (8 July 2021), available at:</w:t>
      </w:r>
      <w:r w:rsidR="00731809">
        <w:t xml:space="preserve"> </w:t>
      </w:r>
      <w:hyperlink r:id="rId23" w:history="1">
        <w:r w:rsidR="00731809" w:rsidRPr="000A3EF2">
          <w:rPr>
            <w:rStyle w:val="Hyperlink"/>
          </w:rPr>
          <w:t>https://spcommreports.ohchr.org/TMResultsBase/DownLoadPublicCommunicationFile?gId=26522</w:t>
        </w:r>
      </w:hyperlink>
      <w:r w:rsidRPr="00835052">
        <w:t xml:space="preserve"> </w:t>
      </w:r>
      <w:r w:rsidR="0003077B">
        <w:t>.</w:t>
      </w:r>
    </w:p>
  </w:footnote>
  <w:footnote w:id="33">
    <w:p w14:paraId="0273014E" w14:textId="24A2923D" w:rsidR="00ED7AC1" w:rsidRPr="00835052" w:rsidRDefault="00ED7AC1" w:rsidP="00731809">
      <w:pPr>
        <w:pStyle w:val="FootnoteText"/>
      </w:pPr>
      <w:r w:rsidRPr="00835052">
        <w:rPr>
          <w:vertAlign w:val="superscript"/>
        </w:rPr>
        <w:footnoteRef/>
      </w:r>
      <w:r w:rsidRPr="00835052">
        <w:t xml:space="preserve"> The search </w:t>
      </w:r>
      <w:r w:rsidRPr="00731809">
        <w:t>function</w:t>
      </w:r>
      <w:r w:rsidRPr="00835052">
        <w:t xml:space="preserve"> is available at: </w:t>
      </w:r>
      <w:hyperlink r:id="rId24" w:history="1">
        <w:r w:rsidRPr="00835052">
          <w:rPr>
            <w:rStyle w:val="Hyperlink"/>
          </w:rPr>
          <w:t>https://spcommreports.ohchr.org/TmSearch/Results</w:t>
        </w:r>
      </w:hyperlink>
      <w:r w:rsidRPr="00835052">
        <w:t xml:space="preserve">, a Search guide is available at: </w:t>
      </w:r>
      <w:hyperlink r:id="rId25" w:history="1">
        <w:r w:rsidRPr="00835052">
          <w:rPr>
            <w:rStyle w:val="Hyperlink"/>
            <w:szCs w:val="20"/>
          </w:rPr>
          <w:t>https://spcommreports.ohchr.org/about/guide</w:t>
        </w:r>
      </w:hyperlink>
      <w:r w:rsidRPr="00835052">
        <w:t xml:space="preserve"> </w:t>
      </w:r>
      <w:r w:rsidR="0003077B">
        <w:t>.</w:t>
      </w:r>
    </w:p>
  </w:footnote>
  <w:footnote w:id="34">
    <w:p w14:paraId="1105B979" w14:textId="69CB8099" w:rsidR="00ED7AC1" w:rsidRPr="00835052" w:rsidRDefault="00ED7AC1" w:rsidP="00731809">
      <w:pPr>
        <w:pStyle w:val="FootnoteText"/>
      </w:pPr>
      <w:r w:rsidRPr="00835052">
        <w:rPr>
          <w:rStyle w:val="FootnoteReference"/>
        </w:rPr>
        <w:footnoteRef/>
      </w:r>
      <w:r w:rsidRPr="00835052">
        <w:t xml:space="preserve"> </w:t>
      </w:r>
      <w:r w:rsidRPr="00835052">
        <w:rPr>
          <w:lang w:val="en-US"/>
        </w:rPr>
        <w:t>Law No. 180 of 2018</w:t>
      </w:r>
      <w:r w:rsidR="0003077B">
        <w:rPr>
          <w:lang w:val="en-US"/>
        </w:rPr>
        <w:t>.</w:t>
      </w:r>
    </w:p>
  </w:footnote>
  <w:footnote w:id="35">
    <w:p w14:paraId="26EE0DE8" w14:textId="16C81692" w:rsidR="00ED7AC1" w:rsidRPr="00835052" w:rsidRDefault="00ED7AC1" w:rsidP="00731809">
      <w:pPr>
        <w:pStyle w:val="FootnoteText"/>
      </w:pPr>
      <w:r w:rsidRPr="00835052">
        <w:rPr>
          <w:rStyle w:val="FootnoteReference"/>
        </w:rPr>
        <w:footnoteRef/>
      </w:r>
      <w:r w:rsidRPr="00835052">
        <w:t xml:space="preserve"> </w:t>
      </w:r>
      <w:r w:rsidRPr="00731809">
        <w:t xml:space="preserve">Law No. 175 of 2018 Regarding Anti-Cyber and Information Technology Crimes, available at: </w:t>
      </w:r>
      <w:r w:rsidR="00731809" w:rsidRPr="00731809">
        <w:fldChar w:fldCharType="begin"/>
      </w:r>
      <w:r w:rsidR="00731809" w:rsidRPr="00731809">
        <w:instrText xml:space="preserve"> HYPERLINK "http://ilo.org/dyn/natlex/natlex4.detail?p_lang=en&amp;p_isn=108464&amp;p_country=EGY&amp;p_count=499" </w:instrText>
      </w:r>
      <w:r w:rsidR="00731809" w:rsidRPr="00731809">
        <w:fldChar w:fldCharType="separate"/>
      </w:r>
      <w:r w:rsidR="00731809" w:rsidRPr="00731809">
        <w:t>http://ilo.org/dyn/natlex/natlex4.detail?p_lang=en&amp;p_isn=108464&amp;p_country=EGY&amp;p_count=499</w:t>
      </w:r>
      <w:r w:rsidR="00731809" w:rsidRPr="00731809">
        <w:fldChar w:fldCharType="end"/>
      </w:r>
      <w:r w:rsidR="0003077B">
        <w:t xml:space="preserve"> .</w:t>
      </w:r>
    </w:p>
  </w:footnote>
  <w:footnote w:id="36">
    <w:p w14:paraId="430C93B4" w14:textId="7D99D29E" w:rsidR="00ED7AC1" w:rsidRPr="00835052" w:rsidRDefault="00ED7AC1" w:rsidP="008F524E">
      <w:pPr>
        <w:pStyle w:val="FootnoteText"/>
      </w:pPr>
      <w:r w:rsidRPr="00835052">
        <w:rPr>
          <w:vertAlign w:val="superscript"/>
        </w:rPr>
        <w:footnoteRef/>
      </w:r>
      <w:r w:rsidRPr="00835052">
        <w:t xml:space="preserve"> See, for example, Open </w:t>
      </w:r>
      <w:r w:rsidRPr="008F524E">
        <w:t>Technology</w:t>
      </w:r>
      <w:r w:rsidRPr="00835052">
        <w:t xml:space="preserve"> Fund, ‘Digital Authoritarianism in Egypt’ (October 2019), p.23, available at: </w:t>
      </w:r>
      <w:hyperlink r:id="rId26" w:history="1">
        <w:r w:rsidRPr="00835052">
          <w:rPr>
            <w:rStyle w:val="Hyperlink"/>
            <w:szCs w:val="20"/>
          </w:rPr>
          <w:t>https://public.opentech.fund/documents/EgyptReportV06.pdf</w:t>
        </w:r>
      </w:hyperlink>
      <w:r w:rsidRPr="00835052">
        <w:t xml:space="preserve">; </w:t>
      </w:r>
      <w:r w:rsidRPr="00835052">
        <w:rPr>
          <w:lang w:val="en-US"/>
        </w:rPr>
        <w:t xml:space="preserve">Article 19, ‘Egypt: 2018 Law on the </w:t>
      </w:r>
      <w:proofErr w:type="spellStart"/>
      <w:r w:rsidRPr="00835052">
        <w:rPr>
          <w:lang w:val="en-US"/>
        </w:rPr>
        <w:t>Organisation</w:t>
      </w:r>
      <w:proofErr w:type="spellEnd"/>
      <w:r w:rsidRPr="00835052">
        <w:rPr>
          <w:lang w:val="en-US"/>
        </w:rPr>
        <w:t xml:space="preserve"> of Press, Media and the Supreme Council of Media’ (18 March 2019), </w:t>
      </w:r>
      <w:hyperlink r:id="rId27" w:history="1">
        <w:r w:rsidRPr="00835052">
          <w:rPr>
            <w:rStyle w:val="Hyperlink"/>
            <w:szCs w:val="20"/>
            <w:lang w:val="en-US"/>
          </w:rPr>
          <w:t>https://www.article19.org/resources/egypt-2018-law-on-the-organisation-of-press-media-and-the-supreme-council-of-media/</w:t>
        </w:r>
      </w:hyperlink>
      <w:r w:rsidRPr="00835052">
        <w:rPr>
          <w:lang w:val="en-US"/>
        </w:rPr>
        <w:t xml:space="preserve">; </w:t>
      </w:r>
      <w:r w:rsidRPr="00835052">
        <w:t xml:space="preserve">TIMEP Brief: The Law Regulating the Press, Media, and the Supreme Council for Media Regulation (15 May 2019), available at: </w:t>
      </w:r>
      <w:hyperlink r:id="rId28" w:history="1">
        <w:r w:rsidRPr="00835052">
          <w:rPr>
            <w:rStyle w:val="Hyperlink"/>
            <w:szCs w:val="20"/>
          </w:rPr>
          <w:t>https://timep.org/reports-briefings/timep-brief-the-law-regulating-the-press-media-and-the-supreme-council-for-media-regulation/</w:t>
        </w:r>
      </w:hyperlink>
      <w:r w:rsidR="00835052" w:rsidRPr="00835052">
        <w:t>.</w:t>
      </w:r>
      <w:r w:rsidRPr="00835052">
        <w:t xml:space="preserve"> </w:t>
      </w:r>
    </w:p>
  </w:footnote>
  <w:footnote w:id="37">
    <w:p w14:paraId="548B386E" w14:textId="77777777" w:rsidR="00ED7AC1" w:rsidRPr="00835052" w:rsidRDefault="00ED7AC1" w:rsidP="008F524E">
      <w:pPr>
        <w:pStyle w:val="FootnoteText"/>
      </w:pPr>
      <w:r w:rsidRPr="00835052">
        <w:rPr>
          <w:vertAlign w:val="superscript"/>
        </w:rPr>
        <w:footnoteRef/>
      </w:r>
      <w:r w:rsidRPr="00835052">
        <w:t xml:space="preserve"> Open Technology Fund, ‘Digital </w:t>
      </w:r>
      <w:r w:rsidRPr="008F524E">
        <w:t>Authoritarianism</w:t>
      </w:r>
      <w:r w:rsidRPr="00835052">
        <w:t xml:space="preserve"> in Egypt’ (October 2019), p.20, available at: https://public.opentech.fund/documents/EgyptReportV06.pdf.</w:t>
      </w:r>
    </w:p>
  </w:footnote>
  <w:footnote w:id="38">
    <w:p w14:paraId="7C00BE35" w14:textId="77777777" w:rsidR="00ED7AC1" w:rsidRPr="00835052" w:rsidRDefault="00ED7AC1" w:rsidP="008F524E">
      <w:pPr>
        <w:pStyle w:val="FootnoteText"/>
        <w:rPr>
          <w:lang w:val="en-US"/>
        </w:rPr>
      </w:pPr>
      <w:r w:rsidRPr="00835052">
        <w:rPr>
          <w:vertAlign w:val="superscript"/>
        </w:rPr>
        <w:footnoteRef/>
      </w:r>
      <w:r w:rsidRPr="00835052">
        <w:t xml:space="preserve"> HRC ‘Report of the Working Group on the Universal Periodic Review of Egypt (27 December 2019) UN Doc </w:t>
      </w:r>
      <w:r w:rsidRPr="00835052">
        <w:rPr>
          <w:lang w:val="en-US"/>
        </w:rPr>
        <w:t xml:space="preserve">A/HRC/43/16, </w:t>
      </w:r>
      <w:r w:rsidRPr="00835052">
        <w:t xml:space="preserve">recommendations 31.129, 31.203 and 31.183, available at: </w:t>
      </w:r>
      <w:hyperlink r:id="rId29" w:history="1">
        <w:r w:rsidRPr="00835052">
          <w:rPr>
            <w:rStyle w:val="Hyperlink"/>
            <w:szCs w:val="20"/>
          </w:rPr>
          <w:t>https://undocs.org/A/HRC/43/16</w:t>
        </w:r>
      </w:hyperlink>
      <w:r w:rsidRPr="00835052">
        <w:t xml:space="preserve"> and HRC ‘Report of the Working Group on the Universal Periodic Review of Egypt, Addendum’ (5 March 2020) UN Doc A/HRC/43/16/Add.1, paras 8 and 12 , available at: https://undocs.org/A/HRC/43/16/add.1.</w:t>
      </w:r>
    </w:p>
  </w:footnote>
  <w:footnote w:id="39">
    <w:p w14:paraId="35DCF1F6" w14:textId="003A229E" w:rsidR="00ED7AC1" w:rsidRPr="00835052" w:rsidRDefault="00ED7AC1" w:rsidP="008F524E">
      <w:pPr>
        <w:pStyle w:val="FootnoteText"/>
      </w:pPr>
      <w:r w:rsidRPr="00835052">
        <w:rPr>
          <w:vertAlign w:val="superscript"/>
        </w:rPr>
        <w:footnoteRef/>
      </w:r>
      <w:r w:rsidRPr="00835052">
        <w:t xml:space="preserve"> Amnesty International, ‘Egypt: Survivors of sexual violence and online abuse among prosecuted women </w:t>
      </w:r>
      <w:proofErr w:type="spellStart"/>
      <w:r w:rsidRPr="00835052">
        <w:t>TikTok</w:t>
      </w:r>
      <w:proofErr w:type="spellEnd"/>
      <w:r w:rsidRPr="00835052">
        <w:t xml:space="preserve"> influencers’ (13 August 2020), available at:</w:t>
      </w:r>
      <w:r w:rsidR="00835052" w:rsidRPr="00835052">
        <w:t xml:space="preserve"> </w:t>
      </w:r>
      <w:r w:rsidR="00835052" w:rsidRPr="00835052">
        <w:t>https://www.amnesty.org/en/latest/news/2020/08/egypt-survivors-of-sexual-violence-and-online-abuse-among-prosecuted-women-tiktok-influencers-2/.</w:t>
      </w:r>
    </w:p>
  </w:footnote>
  <w:footnote w:id="40">
    <w:p w14:paraId="14CE55C4" w14:textId="545B2CF2" w:rsidR="00ED7AC1" w:rsidRPr="00835052" w:rsidRDefault="00ED7AC1" w:rsidP="008F524E">
      <w:pPr>
        <w:pStyle w:val="FootnoteText"/>
      </w:pPr>
      <w:r w:rsidRPr="00835052">
        <w:rPr>
          <w:vertAlign w:val="superscript"/>
        </w:rPr>
        <w:footnoteRef/>
      </w:r>
      <w:r w:rsidRPr="00835052">
        <w:t xml:space="preserve"> Human Rights Watch, ‘Egypt Persecutes </w:t>
      </w:r>
      <w:proofErr w:type="spellStart"/>
      <w:r w:rsidRPr="00835052">
        <w:t>TikTok</w:t>
      </w:r>
      <w:proofErr w:type="spellEnd"/>
      <w:r w:rsidRPr="00835052">
        <w:t xml:space="preserve"> Women While Men Get Impunity for Sexual Violence’ (28 June 2021), </w:t>
      </w:r>
      <w:r w:rsidRPr="008F524E">
        <w:t>available</w:t>
      </w:r>
      <w:r w:rsidRPr="00835052">
        <w:t xml:space="preserve"> at:</w:t>
      </w:r>
      <w:r w:rsidR="00835052" w:rsidRPr="00835052">
        <w:t xml:space="preserve"> </w:t>
      </w:r>
      <w:hyperlink r:id="rId30">
        <w:r w:rsidR="00835052" w:rsidRPr="00835052">
          <w:t>https://www.hrw.org/news/2021/06/28/egypt-persecutes-tiktok-women-while-men-get-impunity-sexual-violence</w:t>
        </w:r>
      </w:hyperlink>
      <w:r w:rsidR="00835052" w:rsidRPr="00835052">
        <w:t xml:space="preserve">. </w:t>
      </w:r>
    </w:p>
  </w:footnote>
  <w:footnote w:id="41">
    <w:p w14:paraId="4ABCF494" w14:textId="7A37292F" w:rsidR="00ED7AC1" w:rsidRPr="00835052" w:rsidRDefault="00ED7AC1" w:rsidP="008F524E">
      <w:pPr>
        <w:pStyle w:val="FootnoteText"/>
      </w:pPr>
      <w:r w:rsidRPr="00835052">
        <w:rPr>
          <w:vertAlign w:val="superscript"/>
        </w:rPr>
        <w:footnoteRef/>
      </w:r>
      <w:r w:rsidRPr="00835052">
        <w:t xml:space="preserve"> </w:t>
      </w:r>
      <w:r w:rsidRPr="00835052">
        <w:rPr>
          <w:rFonts w:cstheme="majorBidi"/>
        </w:rPr>
        <w:t xml:space="preserve">Committee on the Elimination of Discrimination against Women, </w:t>
      </w:r>
      <w:r w:rsidRPr="00835052">
        <w:t xml:space="preserve">‘Replies of Egypt to the list of issues and questions in </w:t>
      </w:r>
      <w:r w:rsidRPr="008F524E">
        <w:t>relation</w:t>
      </w:r>
      <w:r w:rsidRPr="00835052">
        <w:t xml:space="preserve"> to its combined eighth to tenth periodic reports’ (7 July 2021), UN Doc CEDAW/C/EGY/RQ/8-10, para. 69, available at: </w:t>
      </w:r>
      <w:hyperlink r:id="rId31" w:history="1">
        <w:r w:rsidR="0003077B" w:rsidRPr="000A3EF2">
          <w:rPr>
            <w:rStyle w:val="Hyperlink"/>
          </w:rPr>
          <w:t>https://tbinternet.ohchr.org/_layouts/15/treatybodyexternal/Download.aspx?symbolno=CEDAW%2fC%2fEGY%2fRQ%2f8-10&amp;Lang=en</w:t>
        </w:r>
      </w:hyperlink>
      <w:r w:rsidR="0003077B">
        <w:t xml:space="preserve"> .</w:t>
      </w:r>
    </w:p>
  </w:footnote>
  <w:footnote w:id="42">
    <w:p w14:paraId="4DFFAA55" w14:textId="2D00AEB9" w:rsidR="00ED7AC1" w:rsidRPr="00835052" w:rsidRDefault="00ED7AC1" w:rsidP="008F524E">
      <w:pPr>
        <w:pStyle w:val="FootnoteText"/>
      </w:pPr>
      <w:r w:rsidRPr="00835052">
        <w:rPr>
          <w:vertAlign w:val="superscript"/>
        </w:rPr>
        <w:footnoteRef/>
      </w:r>
      <w:r w:rsidRPr="00835052">
        <w:t xml:space="preserve"> Amnesty International, ‘Women influencers jailed for ‘indecency’’ (14 July 2021), available at: https://www.amnesty.org/en/documents/mde12/4443/2021/en/; see also  Human Rights Watch, ‘Egypt persecutes </w:t>
      </w:r>
      <w:proofErr w:type="spellStart"/>
      <w:r w:rsidRPr="00835052">
        <w:t>TikTok</w:t>
      </w:r>
      <w:proofErr w:type="spellEnd"/>
      <w:r w:rsidRPr="00835052">
        <w:t xml:space="preserve"> Women while men get impunity for sexual violence’ (28 June 2021),  </w:t>
      </w:r>
      <w:hyperlink r:id="rId32">
        <w:r w:rsidRPr="00835052">
          <w:t>https://www.hrw.org/news/2021/06/28/egypt-persecutes-tiktok-women-while-men-get-impunity-sexual-violence</w:t>
        </w:r>
      </w:hyperlink>
      <w:r w:rsidR="0003077B">
        <w:t xml:space="preserve">. </w:t>
      </w:r>
      <w:r w:rsidRPr="00835052">
        <w:t xml:space="preserve"> </w:t>
      </w:r>
    </w:p>
  </w:footnote>
  <w:footnote w:id="43">
    <w:p w14:paraId="64364D2D" w14:textId="7F20A279" w:rsidR="00ED7AC1" w:rsidRPr="00835052" w:rsidRDefault="00ED7AC1" w:rsidP="008F524E">
      <w:pPr>
        <w:pStyle w:val="FootnoteText"/>
        <w:rPr>
          <w:vertAlign w:val="superscript"/>
        </w:rPr>
      </w:pPr>
      <w:r w:rsidRPr="00835052">
        <w:rPr>
          <w:vertAlign w:val="superscript"/>
        </w:rPr>
        <w:footnoteRef/>
      </w:r>
      <w:r w:rsidRPr="00835052">
        <w:t xml:space="preserve"> Amnesty International, ‘Egypt: Survivors of sexual violence and online abuse among prosecuted women </w:t>
      </w:r>
      <w:proofErr w:type="spellStart"/>
      <w:r w:rsidRPr="00835052">
        <w:t>TikTok</w:t>
      </w:r>
      <w:proofErr w:type="spellEnd"/>
      <w:r w:rsidRPr="00835052">
        <w:t xml:space="preserve"> </w:t>
      </w:r>
      <w:r w:rsidRPr="008F524E">
        <w:t>influencers’</w:t>
      </w:r>
      <w:r w:rsidRPr="00835052">
        <w:t xml:space="preserve"> (13 August 2020), available at: </w:t>
      </w:r>
      <w:hyperlink r:id="rId33" w:history="1">
        <w:r w:rsidR="0003077B" w:rsidRPr="000A3EF2">
          <w:rPr>
            <w:rStyle w:val="Hyperlink"/>
          </w:rPr>
          <w:t>https://www.amnesty.org/en/latest/news/2020/08/egypt-survivors-of-sexual-violence-and-online-abuse-among-prosecuted-women-tiktok-influencers-2/</w:t>
        </w:r>
      </w:hyperlink>
      <w:r w:rsidR="0003077B">
        <w:t xml:space="preserve">. </w:t>
      </w:r>
    </w:p>
  </w:footnote>
  <w:footnote w:id="44">
    <w:p w14:paraId="16EC5A2F" w14:textId="48D831A8" w:rsidR="00ED7AC1" w:rsidRPr="00835052" w:rsidRDefault="00ED7AC1" w:rsidP="008F524E">
      <w:pPr>
        <w:pStyle w:val="FootnoteText"/>
      </w:pPr>
      <w:r w:rsidRPr="00835052">
        <w:rPr>
          <w:vertAlign w:val="superscript"/>
        </w:rPr>
        <w:footnoteRef/>
      </w:r>
      <w:r w:rsidRPr="00835052">
        <w:t xml:space="preserve"> </w:t>
      </w:r>
      <w:proofErr w:type="spellStart"/>
      <w:r w:rsidRPr="00835052">
        <w:t>EuroMed</w:t>
      </w:r>
      <w:proofErr w:type="spellEnd"/>
      <w:r w:rsidRPr="00835052">
        <w:t xml:space="preserve"> Rights, ‘Dangerous liaisons: Social media as (flawed) tool of resistance in Egypt’ (15</w:t>
      </w:r>
      <w:r w:rsidRPr="00835052">
        <w:rPr>
          <w:vertAlign w:val="superscript"/>
        </w:rPr>
        <w:t xml:space="preserve"> </w:t>
      </w:r>
      <w:r w:rsidRPr="00835052">
        <w:t>September 2020) p.6, available at: https://euromedrights.org/wp-content/uploads/2020/09/</w:t>
      </w:r>
      <w:r w:rsidRPr="008F524E">
        <w:t>Study</w:t>
      </w:r>
      <w:r w:rsidRPr="00835052">
        <w:t>_on_social_media_in_Egypt.pdf.</w:t>
      </w:r>
    </w:p>
  </w:footnote>
  <w:footnote w:id="45">
    <w:p w14:paraId="044C77F9"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Ibid</w:t>
      </w:r>
      <w:r w:rsidRPr="00835052">
        <w:rPr>
          <w:szCs w:val="20"/>
        </w:rPr>
        <w:t>.</w:t>
      </w:r>
    </w:p>
  </w:footnote>
  <w:footnote w:id="46">
    <w:p w14:paraId="04A33618" w14:textId="77777777" w:rsidR="00ED7AC1" w:rsidRPr="00835052" w:rsidRDefault="00ED7AC1" w:rsidP="008F524E">
      <w:pPr>
        <w:pStyle w:val="FootnoteText"/>
        <w:rPr>
          <w:vertAlign w:val="superscript"/>
        </w:rPr>
      </w:pPr>
      <w:r w:rsidRPr="00835052">
        <w:rPr>
          <w:vertAlign w:val="superscript"/>
        </w:rPr>
        <w:footnoteRef/>
      </w:r>
      <w:r w:rsidRPr="00835052">
        <w:rPr>
          <w:vertAlign w:val="superscript"/>
        </w:rPr>
        <w:t xml:space="preserve"> </w:t>
      </w:r>
      <w:r w:rsidRPr="00835052">
        <w:t xml:space="preserve"> Human Rights </w:t>
      </w:r>
      <w:r w:rsidRPr="008F524E">
        <w:t>Watch</w:t>
      </w:r>
      <w:r w:rsidRPr="00835052">
        <w:t xml:space="preserve">, ‘Egypt persecutes </w:t>
      </w:r>
      <w:proofErr w:type="spellStart"/>
      <w:r w:rsidRPr="00835052">
        <w:t>TikTok</w:t>
      </w:r>
      <w:proofErr w:type="spellEnd"/>
      <w:r w:rsidRPr="00835052">
        <w:t xml:space="preserve"> Women while Men get Impunity for Sexual Violence’ (28 June 2021), available at: https://www.hrw.org/news/2021/06/28/egypt-persecutes-tiktok-women-while-men-get-impunity-sexual-violence.</w:t>
      </w:r>
    </w:p>
  </w:footnote>
  <w:footnote w:id="47">
    <w:p w14:paraId="045EF7C3" w14:textId="4026156C" w:rsidR="00ED7AC1" w:rsidRPr="00835052" w:rsidRDefault="00ED7AC1" w:rsidP="008F524E">
      <w:pPr>
        <w:pStyle w:val="FootnoteText"/>
        <w:rPr>
          <w:vertAlign w:val="superscript"/>
        </w:rPr>
      </w:pPr>
      <w:r w:rsidRPr="00835052">
        <w:rPr>
          <w:vertAlign w:val="superscript"/>
        </w:rPr>
        <w:footnoteRef/>
      </w:r>
      <w:r w:rsidRPr="00835052">
        <w:rPr>
          <w:vertAlign w:val="superscript"/>
        </w:rPr>
        <w:t xml:space="preserve"> </w:t>
      </w:r>
      <w:r w:rsidRPr="00835052">
        <w:t>Human Rights Watch</w:t>
      </w:r>
      <w:r w:rsidRPr="00835052" w:rsidDel="003E3579">
        <w:t xml:space="preserve"> </w:t>
      </w:r>
      <w:r w:rsidRPr="00835052">
        <w:t xml:space="preserve">‘Justice Stalled </w:t>
      </w:r>
      <w:r w:rsidRPr="008F524E">
        <w:t>in</w:t>
      </w:r>
      <w:r w:rsidRPr="00835052">
        <w:t xml:space="preserve"> Egypt’s ‘Fairmont’ Rape Case; Drop charges against witnesses, Investigate alleged perpetrators’ (8 February 2021), available at: </w:t>
      </w:r>
      <w:hyperlink r:id="rId34" w:history="1">
        <w:r w:rsidR="0003077B" w:rsidRPr="000A3EF2">
          <w:rPr>
            <w:rStyle w:val="Hyperlink"/>
          </w:rPr>
          <w:t>https://www.hrw.org/news/2021/02/08/justice-stalled-egypts-fairmont-rape-case</w:t>
        </w:r>
      </w:hyperlink>
      <w:r w:rsidR="0003077B">
        <w:t xml:space="preserve">. </w:t>
      </w:r>
    </w:p>
  </w:footnote>
  <w:footnote w:id="48">
    <w:p w14:paraId="4A539A6D" w14:textId="77777777" w:rsidR="00ED7AC1" w:rsidRPr="00835052" w:rsidRDefault="00ED7AC1" w:rsidP="008F524E">
      <w:pPr>
        <w:pStyle w:val="FootnoteText"/>
      </w:pPr>
      <w:r w:rsidRPr="00835052">
        <w:rPr>
          <w:vertAlign w:val="superscript"/>
        </w:rPr>
        <w:footnoteRef/>
      </w:r>
      <w:r w:rsidRPr="00835052">
        <w:t xml:space="preserve">  Human Rights Watch ‘Egypt Detains Men for Alleged Sexual Orientation, Alongside Alleged Rapists’ (2 November 2020), available at: https://www.hrw.org/news/2020/11/02/egypt-detains-men-alleged-sexual-orientation-alongside-alleged-rapists.</w:t>
      </w:r>
    </w:p>
  </w:footnote>
  <w:footnote w:id="49">
    <w:p w14:paraId="04583658" w14:textId="29521CAE" w:rsidR="00ED7AC1" w:rsidRPr="00835052" w:rsidRDefault="00ED7AC1" w:rsidP="008F524E">
      <w:pPr>
        <w:pStyle w:val="FootnoteText"/>
      </w:pPr>
      <w:r w:rsidRPr="00835052">
        <w:rPr>
          <w:vertAlign w:val="superscript"/>
        </w:rPr>
        <w:footnoteRef/>
      </w:r>
      <w:r w:rsidRPr="00835052">
        <w:t xml:space="preserve"> </w:t>
      </w:r>
      <w:proofErr w:type="spellStart"/>
      <w:r w:rsidRPr="00835052">
        <w:t>Mada</w:t>
      </w:r>
      <w:proofErr w:type="spellEnd"/>
      <w:r w:rsidRPr="00835052">
        <w:t xml:space="preserve"> Masr, ‘Witnesses arrested and intimidated: How the Fairmont rape case fell apart’ (2 September 2021), available at: </w:t>
      </w:r>
      <w:hyperlink r:id="rId35" w:history="1">
        <w:r w:rsidR="0003077B" w:rsidRPr="000A3EF2">
          <w:rPr>
            <w:rStyle w:val="Hyperlink"/>
          </w:rPr>
          <w:t>https://www.madamasr.com/en/2021/09/02/feature/politics/witnesses-arrested-and-intimidated-how-the-fairmont-rape-case-fell-apart/</w:t>
        </w:r>
      </w:hyperlink>
      <w:r w:rsidR="0003077B">
        <w:t xml:space="preserve">. </w:t>
      </w:r>
    </w:p>
  </w:footnote>
  <w:footnote w:id="50">
    <w:p w14:paraId="47299347" w14:textId="77777777" w:rsidR="00ED7AC1" w:rsidRPr="00835052" w:rsidRDefault="00ED7AC1" w:rsidP="008F524E">
      <w:pPr>
        <w:pStyle w:val="FootnoteText"/>
      </w:pPr>
      <w:r w:rsidRPr="00835052">
        <w:rPr>
          <w:vertAlign w:val="superscript"/>
        </w:rPr>
        <w:footnoteRef/>
      </w:r>
      <w:r w:rsidRPr="00835052">
        <w:t xml:space="preserve">  Human Rights Watch ‘Egypt: Gang Rape Witnesses Arrested, </w:t>
      </w:r>
      <w:r w:rsidRPr="008F524E">
        <w:t>Smeared’</w:t>
      </w:r>
      <w:r w:rsidRPr="00835052">
        <w:t xml:space="preserve"> (8 January 2021), available at: https://www.hrw.org/news/2020/09/11/egypt-gang-rape-witnesses-arrested-smeared.</w:t>
      </w:r>
    </w:p>
  </w:footnote>
  <w:footnote w:id="51">
    <w:p w14:paraId="2103E54F" w14:textId="77777777" w:rsidR="00ED7AC1" w:rsidRPr="00835052" w:rsidRDefault="00ED7AC1" w:rsidP="008F524E">
      <w:pPr>
        <w:pStyle w:val="FootnoteText"/>
      </w:pPr>
      <w:r w:rsidRPr="00835052">
        <w:rPr>
          <w:vertAlign w:val="superscript"/>
        </w:rPr>
        <w:footnoteRef/>
      </w:r>
      <w:r w:rsidRPr="00835052">
        <w:t xml:space="preserve"> It has done so, for example, in ‘General Recommendation No. 30 on women in conflict prevention, conflict and post-conflict situations’ (18 October 2013), UN Doc CEDAW/C/GC/30, para. 32; ‘General Recommendation No. 35 on gender-based violence against women, updating General Recommendation No. 19’ (14 July 2017), UN Doc CEDAW/C/GC/35, para. 31(c), and ‘General recommendation No. 38 (2020) on trafficking in women and girls in the context of global migration’ (20 November 2020), UN Doc CEDAW/C/GC/38, paras. 34 and 70.</w:t>
      </w:r>
    </w:p>
  </w:footnote>
  <w:footnote w:id="52">
    <w:p w14:paraId="2D80CB5C" w14:textId="77777777" w:rsidR="00ED7AC1" w:rsidRPr="00835052" w:rsidRDefault="00ED7AC1" w:rsidP="008F524E">
      <w:pPr>
        <w:pStyle w:val="FootnoteText"/>
        <w:rPr>
          <w:lang w:val="en-US"/>
        </w:rPr>
      </w:pPr>
      <w:r w:rsidRPr="00835052">
        <w:rPr>
          <w:vertAlign w:val="superscript"/>
        </w:rPr>
        <w:footnoteRef/>
      </w:r>
      <w:r w:rsidRPr="00835052">
        <w:t xml:space="preserve"> ‘General Recommendation No. 30 on women in conflict prevention, conflict and post-conflict situations’ (18 October 2013), UN Doc CEDAW/C/GC/30, para. 32.  </w:t>
      </w:r>
    </w:p>
  </w:footnote>
  <w:footnote w:id="53">
    <w:p w14:paraId="41066316" w14:textId="77777777" w:rsidR="00ED7AC1" w:rsidRPr="00835052" w:rsidRDefault="00ED7AC1" w:rsidP="008F524E">
      <w:pPr>
        <w:pStyle w:val="FootnoteText"/>
      </w:pPr>
      <w:r w:rsidRPr="00835052">
        <w:rPr>
          <w:vertAlign w:val="superscript"/>
        </w:rPr>
        <w:footnoteRef/>
      </w:r>
      <w:r w:rsidRPr="00835052">
        <w:t xml:space="preserve"> </w:t>
      </w:r>
      <w:r w:rsidRPr="00835052">
        <w:rPr>
          <w:rFonts w:cstheme="majorBidi"/>
        </w:rPr>
        <w:t>Committee on the Elimination of Discrimination against Women, ‘</w:t>
      </w:r>
      <w:r w:rsidRPr="00835052">
        <w:t xml:space="preserve">General recommendation No. 35 on gender-based violence against women, </w:t>
      </w:r>
      <w:r w:rsidRPr="008F524E">
        <w:t>updating</w:t>
      </w:r>
      <w:r w:rsidRPr="00835052">
        <w:t xml:space="preserve"> general recommendation No. 19’ (14 July 2017), UN Doc CEDAW/C/GC/35, para. 42.</w:t>
      </w:r>
    </w:p>
  </w:footnote>
  <w:footnote w:id="54">
    <w:p w14:paraId="2D141497" w14:textId="77777777" w:rsidR="00ED7AC1" w:rsidRPr="00835052" w:rsidRDefault="00ED7AC1" w:rsidP="008F524E">
      <w:pPr>
        <w:pStyle w:val="FootnoteText"/>
        <w:rPr>
          <w:lang w:val="en-US"/>
        </w:rPr>
      </w:pPr>
      <w:r w:rsidRPr="00835052">
        <w:rPr>
          <w:rStyle w:val="FootnoteReference"/>
        </w:rPr>
        <w:footnoteRef/>
      </w:r>
      <w:r w:rsidRPr="00835052">
        <w:t xml:space="preserve"> ‘General Recommendation No. 30 on women in conflict prevention, conflict and post-conflict situations’ (18 October 2013), UN Doc CEDAW/C/GC/30, para. 29 in which the Committee recalls that </w:t>
      </w:r>
      <w:r w:rsidRPr="00835052">
        <w:rPr>
          <w:lang w:val="en-US"/>
        </w:rPr>
        <w:t xml:space="preserve">“ Obligations under the Convention require States parties to </w:t>
      </w:r>
      <w:r w:rsidRPr="008F524E">
        <w:t>focus</w:t>
      </w:r>
      <w:r w:rsidRPr="00835052">
        <w:rPr>
          <w:lang w:val="en-US"/>
        </w:rPr>
        <w:t xml:space="preserve"> on the prevention of conflict and all forms of violence. Such conflict prevention includes (…) robust and effective regulation of the arms trade, in addition to appropriate control over the circulation of existing and often illicit conventional arms, including small arms, to prevent their use to commit or facilitate serious acts of gender-based violence.”</w:t>
      </w:r>
    </w:p>
  </w:footnote>
  <w:footnote w:id="55">
    <w:p w14:paraId="7666B746" w14:textId="77777777" w:rsidR="00ED7AC1" w:rsidRPr="00835052" w:rsidRDefault="00ED7AC1" w:rsidP="008F524E">
      <w:pPr>
        <w:pStyle w:val="FootnoteText"/>
      </w:pPr>
      <w:r w:rsidRPr="00835052">
        <w:rPr>
          <w:vertAlign w:val="superscript"/>
        </w:rPr>
        <w:footnoteRef/>
      </w:r>
      <w:r w:rsidRPr="00835052">
        <w:t xml:space="preserve"> See for example, WILPF, ‘Submission to the UN Office of the High Commissioner for Human Rights on the Impact of the Diversion of Arms and Unregulated or Illicit Arms Transfers on the Human Rights of Women and Girls’ (10 April 2020), available at: </w:t>
      </w:r>
      <w:hyperlink r:id="rId36" w:history="1">
        <w:r w:rsidRPr="00835052">
          <w:rPr>
            <w:rStyle w:val="Hyperlink"/>
            <w:szCs w:val="20"/>
          </w:rPr>
          <w:t>https://www.wilpf.org/advocacy_documents/submission-to-the-un-office-of-the-high-commissioner-for-human-rights-on-the-impact-of-the-diversion-of-arms-and-unregulated-or-illicit-arms-transfers-on-the-human-rights-of-women-and-girls/</w:t>
        </w:r>
      </w:hyperlink>
      <w:r w:rsidRPr="00835052">
        <w:t xml:space="preserve">; WILPF, HRC45: Written Statement on the Gendered Impact of Arms (19 August 2020) available at: https://www.wilpf.org/advocacy_documents/hrc45-written-statement-on-the-gendered-impact-of-arms/ . </w:t>
      </w:r>
    </w:p>
  </w:footnote>
  <w:footnote w:id="56">
    <w:p w14:paraId="42DCBD88" w14:textId="2BE0D2CC" w:rsidR="00ED7AC1" w:rsidRPr="00835052" w:rsidRDefault="00ED7AC1" w:rsidP="008F524E">
      <w:pPr>
        <w:pStyle w:val="FootnoteText"/>
        <w:rPr>
          <w:lang w:val="en-US"/>
        </w:rPr>
      </w:pPr>
      <w:r w:rsidRPr="00835052">
        <w:rPr>
          <w:vertAlign w:val="superscript"/>
        </w:rPr>
        <w:footnoteRef/>
      </w:r>
      <w:r w:rsidRPr="00835052">
        <w:t xml:space="preserve"> For example, the Group of Experts on Yemen as well as a joint report by WILPF and partners offer in-depth analyses how the armed conflict has exacerbated already deeply rooted gender inequalities in Yemen;  a report of the Commission of Inquiry on Syria provides similar analysis for Syria; see: HRC ‘Report of the detailed findings of the Group of Eminent </w:t>
      </w:r>
      <w:r w:rsidRPr="008F524E">
        <w:t>International</w:t>
      </w:r>
      <w:r w:rsidRPr="00835052">
        <w:t xml:space="preserve"> and Regional Experts on Yemen’ (3 September 2019) UN Doc A/HRC/42/17, paras. 624</w:t>
      </w:r>
      <w:r w:rsidRPr="00835052">
        <w:rPr>
          <w:lang w:val="en-US"/>
        </w:rPr>
        <w:t>–</w:t>
      </w:r>
      <w:r w:rsidRPr="00835052">
        <w:t xml:space="preserve">633, available at: https://www.ohchr.org/Documents/HRBodies/HRCouncil/GEE-Yemen/A_HRC_42_CRP_1.PDF; WILPF et al., ‘Changes ahead: Yemeni women map the road to peace, joint submission to the Universal Periodic Review of Yemen’ (July 2018), available at: https://reliefweb.int/sites/reliefweb.int/files/resources/WILPF_Yemen- Publication_web.pdf; HRC, ‘“I lost my dignity”: Sexual </w:t>
      </w:r>
      <w:r w:rsidRPr="008F524E">
        <w:t>and</w:t>
      </w:r>
      <w:r w:rsidRPr="00835052">
        <w:t xml:space="preserve"> gender-based violence in the Syrian Arab Republic’ (8 March 2018) UN Doc A/HRC/37/CRP.3, available at: </w:t>
      </w:r>
      <w:hyperlink r:id="rId37" w:history="1">
        <w:r w:rsidR="0003077B" w:rsidRPr="000A3EF2">
          <w:rPr>
            <w:rStyle w:val="Hyperlink"/>
          </w:rPr>
          <w:t>https://www.ohchr.org/Documents/HRBodies/HRCouncil/CoISyria/A-HRC-37-CRP-3.pdf</w:t>
        </w:r>
      </w:hyperlink>
      <w:r w:rsidR="0003077B">
        <w:t xml:space="preserve"> . </w:t>
      </w:r>
    </w:p>
  </w:footnote>
  <w:footnote w:id="57">
    <w:p w14:paraId="295FE0E0" w14:textId="77777777" w:rsidR="00ED7AC1" w:rsidRPr="00835052" w:rsidRDefault="00ED7AC1" w:rsidP="008F524E">
      <w:pPr>
        <w:pStyle w:val="FootnoteText"/>
        <w:rPr>
          <w:highlight w:val="white"/>
        </w:rPr>
      </w:pPr>
      <w:r w:rsidRPr="00835052">
        <w:rPr>
          <w:vertAlign w:val="superscript"/>
        </w:rPr>
        <w:footnoteRef/>
      </w:r>
      <w:r w:rsidRPr="00835052">
        <w:rPr>
          <w:highlight w:val="white"/>
        </w:rPr>
        <w:t xml:space="preserve"> See, for example, HRC, ‘Impact of arms transfers on the enjoyment of human rights’ (3 May 2017), UN Doc A/HRC/35/8, para. 12, available at: https://undocs.org/A/HRC/35/8. </w:t>
      </w:r>
    </w:p>
  </w:footnote>
  <w:footnote w:id="58">
    <w:p w14:paraId="5E42BC60" w14:textId="77777777" w:rsidR="00ED7AC1" w:rsidRPr="00835052" w:rsidRDefault="00ED7AC1" w:rsidP="008F524E">
      <w:pPr>
        <w:pStyle w:val="FootnoteText"/>
      </w:pPr>
      <w:r w:rsidRPr="00835052">
        <w:rPr>
          <w:vertAlign w:val="superscript"/>
        </w:rPr>
        <w:footnoteRef/>
      </w:r>
      <w:r w:rsidRPr="00835052">
        <w:t xml:space="preserve"> Human Rights Committee, ‘General comment No. 36 - Article 6: right to life’ (3 September 2019) UN Doc CCPR/C/GC/36, para. 65.</w:t>
      </w:r>
    </w:p>
  </w:footnote>
  <w:footnote w:id="59">
    <w:p w14:paraId="4141A842" w14:textId="77777777" w:rsidR="00ED7AC1" w:rsidRPr="00835052" w:rsidRDefault="00ED7AC1" w:rsidP="008F524E">
      <w:pPr>
        <w:pStyle w:val="FootnoteText"/>
      </w:pPr>
      <w:r w:rsidRPr="00835052">
        <w:rPr>
          <w:vertAlign w:val="superscript"/>
        </w:rPr>
        <w:footnoteRef/>
      </w:r>
      <w:r w:rsidRPr="00835052">
        <w:t xml:space="preserve"> Stockholm International Peace Research Institute (SIPRI), ‘International arms transfers level off after years of sharp growth; Middle Eastern arms imports grow most, says SIPRI’ (15 March 2021), available at: https://www.sipri.org/media/press-release/2021/international-arms-transfers-level-after-years-sharp-growth-middle-eastern-arms-imports-grow-most. </w:t>
      </w:r>
    </w:p>
  </w:footnote>
  <w:footnote w:id="60">
    <w:p w14:paraId="0EE0CFB6" w14:textId="77777777" w:rsidR="00ED7AC1" w:rsidRPr="00835052" w:rsidRDefault="00ED7AC1" w:rsidP="008F524E">
      <w:pPr>
        <w:pStyle w:val="FootnoteText"/>
      </w:pPr>
      <w:r w:rsidRPr="00835052">
        <w:rPr>
          <w:vertAlign w:val="superscript"/>
        </w:rPr>
        <w:footnoteRef/>
      </w:r>
      <w:r w:rsidRPr="00835052">
        <w:t xml:space="preserve"> SIPRI, ‘Trends in </w:t>
      </w:r>
      <w:r w:rsidRPr="008F524E">
        <w:t>international</w:t>
      </w:r>
      <w:r w:rsidRPr="00835052">
        <w:t xml:space="preserve"> arms transfers, 2020’ (March 2021), pp. 6-7, available at: </w:t>
      </w:r>
      <w:hyperlink r:id="rId38" w:history="1">
        <w:r w:rsidRPr="00835052">
          <w:rPr>
            <w:rStyle w:val="Hyperlink"/>
            <w:szCs w:val="20"/>
          </w:rPr>
          <w:t>https://sipri.org/publications/2021/sipri-fact-sheets/trends-international-arms-transfers-2020</w:t>
        </w:r>
      </w:hyperlink>
      <w:r w:rsidRPr="00835052">
        <w:t xml:space="preserve">. </w:t>
      </w:r>
    </w:p>
  </w:footnote>
  <w:footnote w:id="61">
    <w:p w14:paraId="618D2386" w14:textId="77777777" w:rsidR="00ED7AC1" w:rsidRPr="00835052" w:rsidRDefault="00ED7AC1" w:rsidP="008F524E">
      <w:pPr>
        <w:pStyle w:val="FootnoteText"/>
      </w:pPr>
      <w:r w:rsidRPr="00835052">
        <w:rPr>
          <w:vertAlign w:val="superscript"/>
        </w:rPr>
        <w:footnoteRef/>
      </w:r>
      <w:r w:rsidRPr="00835052">
        <w:t xml:space="preserve"> See Arms Trade Treaty, Treaty </w:t>
      </w:r>
      <w:r w:rsidRPr="008F524E">
        <w:t>Status</w:t>
      </w:r>
      <w:r w:rsidRPr="00835052">
        <w:t>, available at https://thearmstradetreaty.org/treaty-status.html?templateId=209883 .</w:t>
      </w:r>
    </w:p>
  </w:footnote>
  <w:footnote w:id="62">
    <w:p w14:paraId="5AFBF208" w14:textId="32BEB7D7" w:rsidR="00ED7AC1" w:rsidRPr="00835052" w:rsidRDefault="00ED7AC1" w:rsidP="008F524E">
      <w:pPr>
        <w:pStyle w:val="FootnoteText"/>
      </w:pPr>
      <w:r w:rsidRPr="00835052">
        <w:rPr>
          <w:vertAlign w:val="superscript"/>
        </w:rPr>
        <w:footnoteRef/>
      </w:r>
      <w:r w:rsidRPr="00835052">
        <w:t xml:space="preserve"> </w:t>
      </w:r>
      <w:r w:rsidRPr="008F524E">
        <w:t xml:space="preserve">Deutsche </w:t>
      </w:r>
      <w:proofErr w:type="spellStart"/>
      <w:r w:rsidRPr="008F524E">
        <w:t>Welle</w:t>
      </w:r>
      <w:proofErr w:type="spellEnd"/>
      <w:r w:rsidRPr="008F524E">
        <w:t>, ‘German weapons exports hit record with bumper Egypt sales’, (18 January 2022), available at:</w:t>
      </w:r>
      <w:r w:rsidR="00835052" w:rsidRPr="008F524E">
        <w:t xml:space="preserve"> </w:t>
      </w:r>
      <w:hyperlink r:id="rId39" w:history="1">
        <w:r w:rsidR="00835052" w:rsidRPr="008F524E">
          <w:t>https://www.dw.com/en/german-weapons-exports-hit-record-with-bumper-egypt-sales/a-60466572</w:t>
        </w:r>
      </w:hyperlink>
      <w:r w:rsidRPr="008F524E">
        <w:t xml:space="preserve">; Deutsche </w:t>
      </w:r>
      <w:proofErr w:type="spellStart"/>
      <w:r w:rsidRPr="008F524E">
        <w:t>Welle</w:t>
      </w:r>
      <w:proofErr w:type="spellEnd"/>
      <w:r w:rsidRPr="008F524E">
        <w:t xml:space="preserve">, ‘Germany: Merkel government greenlit controversial arms deal with Egypt’ (16 December 2021), available at: </w:t>
      </w:r>
      <w:hyperlink r:id="rId40" w:history="1">
        <w:r w:rsidRPr="008F524E">
          <w:t>https://www.dw.com/en/germany-merkel-government-greenlit-controversial-arms-deal-with-egypt/a-60152751</w:t>
        </w:r>
      </w:hyperlink>
    </w:p>
  </w:footnote>
  <w:footnote w:id="63">
    <w:p w14:paraId="0E811325" w14:textId="711EDB51" w:rsidR="00ED7AC1" w:rsidRPr="00835052" w:rsidRDefault="00ED7AC1" w:rsidP="00835052">
      <w:pPr>
        <w:pStyle w:val="FootnoteText"/>
      </w:pPr>
      <w:r w:rsidRPr="00835052">
        <w:rPr>
          <w:vertAlign w:val="superscript"/>
        </w:rPr>
        <w:footnoteRef/>
      </w:r>
      <w:r w:rsidRPr="00835052">
        <w:t xml:space="preserve"> Al-Jazeera, ‘US approves $2.5bn arms sale to Egypt, despite rights concerns’ (26 January 2022), available at:</w:t>
      </w:r>
      <w:r w:rsidR="00835052">
        <w:t xml:space="preserve"> </w:t>
      </w:r>
      <w:r w:rsidRPr="00835052">
        <w:t xml:space="preserve">https://www.aljazeera.com/news/2022/1/26/us-approves-2-5bn-arms-sale-egypt-despite-rights-concerns </w:t>
      </w:r>
      <w:r w:rsidR="0003077B">
        <w:t xml:space="preserve">. </w:t>
      </w:r>
    </w:p>
  </w:footnote>
  <w:footnote w:id="64">
    <w:p w14:paraId="08C83E0C" w14:textId="72252475" w:rsidR="00ED7AC1" w:rsidRPr="00835052" w:rsidRDefault="00ED7AC1" w:rsidP="008F524E">
      <w:pPr>
        <w:pStyle w:val="FootnoteText"/>
      </w:pPr>
      <w:r w:rsidRPr="00835052">
        <w:rPr>
          <w:rStyle w:val="FootnoteReference"/>
        </w:rPr>
        <w:footnoteRef/>
      </w:r>
      <w:r w:rsidR="00835052">
        <w:t xml:space="preserve"> </w:t>
      </w:r>
      <w:r w:rsidRPr="00835052">
        <w:rPr>
          <w:rStyle w:val="FootnoteReference"/>
        </w:rPr>
        <w:t xml:space="preserve"> </w:t>
      </w:r>
      <w:r w:rsidRPr="00835052">
        <w:t xml:space="preserve">Deutsche </w:t>
      </w:r>
      <w:proofErr w:type="spellStart"/>
      <w:r w:rsidRPr="00835052">
        <w:t>Welle</w:t>
      </w:r>
      <w:proofErr w:type="spellEnd"/>
      <w:r w:rsidRPr="00835052">
        <w:t>, ‘US cancels military aid for Egypt after major arms sale’ (29 January 2022), available at:</w:t>
      </w:r>
      <w:r w:rsidRPr="00835052">
        <w:br/>
        <w:t>https://www.dw.com/en/us-cancels-</w:t>
      </w:r>
      <w:r w:rsidRPr="008F524E">
        <w:t>military</w:t>
      </w:r>
      <w:r w:rsidRPr="00835052">
        <w:t>-aid-for-egypt-after-major-arms-sale/a-60595661</w:t>
      </w:r>
    </w:p>
  </w:footnote>
  <w:footnote w:id="65">
    <w:p w14:paraId="14DF022F" w14:textId="5F7A4CA7" w:rsidR="00ED7AC1" w:rsidRPr="00835052" w:rsidRDefault="00ED7AC1" w:rsidP="008F524E">
      <w:pPr>
        <w:pStyle w:val="FootnoteText"/>
      </w:pPr>
      <w:r w:rsidRPr="00835052">
        <w:rPr>
          <w:vertAlign w:val="superscript"/>
        </w:rPr>
        <w:footnoteRef/>
      </w:r>
      <w:r w:rsidRPr="00835052">
        <w:t xml:space="preserve"> Small Arms Survey, ‘Civilian Firearms Holdings, 2017’, Estimating Global Civilian-Held Firearms Numbers (Small Arms Survey, June 2018), available </w:t>
      </w:r>
      <w:r w:rsidRPr="008F524E">
        <w:t>at</w:t>
      </w:r>
      <w:r w:rsidRPr="00835052">
        <w:t>:</w:t>
      </w:r>
      <w:r w:rsidR="00835052">
        <w:t xml:space="preserve"> </w:t>
      </w:r>
      <w:r w:rsidRPr="00835052">
        <w:t xml:space="preserve">http://www.smallarmssurvey.org/fileadmin/docs/Weapons_and_Markets/Tools/Firearms_holdings/SAS-BP-Civilian-held-firearms-annexe.pdf. </w:t>
      </w:r>
    </w:p>
  </w:footnote>
  <w:footnote w:id="66">
    <w:p w14:paraId="7BD9CB6F" w14:textId="661E908D" w:rsidR="00ED7AC1" w:rsidRPr="00835052" w:rsidRDefault="00ED7AC1" w:rsidP="008F524E">
      <w:pPr>
        <w:pStyle w:val="FootnoteText"/>
      </w:pPr>
      <w:r w:rsidRPr="00835052">
        <w:rPr>
          <w:vertAlign w:val="superscript"/>
        </w:rPr>
        <w:footnoteRef/>
      </w:r>
      <w:r w:rsidRPr="00835052">
        <w:t xml:space="preserve"> </w:t>
      </w:r>
      <w:r w:rsidRPr="00835052">
        <w:rPr>
          <w:lang w:val="en-US"/>
        </w:rPr>
        <w:t xml:space="preserve">Small Arms Survey found that Egypt had the highest number of firearms among civilians in 2017, estimated at a total of 3,900,000 registered and illicit weapons; this is more than twice the number of civilian firearms in 2007, estimated at 1,900,000. (Estimates for 2007 can be found in </w:t>
      </w:r>
      <w:r w:rsidRPr="00835052">
        <w:rPr>
          <w:highlight w:val="white"/>
        </w:rPr>
        <w:t>Small Arms Survey, ‘</w:t>
      </w:r>
      <w:r w:rsidRPr="00835052">
        <w:t>Annexe 4: Civilian gun ownership for 178 countries, in descending order of averaged firearm’ to Chapter 2. Completing the Count: Civilian Firearms</w:t>
      </w:r>
      <w:r w:rsidRPr="00835052" w:rsidDel="009C7B38">
        <w:rPr>
          <w:highlight w:val="white"/>
        </w:rPr>
        <w:t xml:space="preserve"> </w:t>
      </w:r>
      <w:r w:rsidRPr="00835052">
        <w:rPr>
          <w:highlight w:val="white"/>
        </w:rPr>
        <w:t xml:space="preserve">of  ‘Small Arms Survey 2007: Guns and the City’ (August 2007), available at: </w:t>
      </w:r>
      <w:hyperlink r:id="rId41" w:history="1">
        <w:r w:rsidRPr="00835052">
          <w:rPr>
            <w:rStyle w:val="Hyperlink"/>
            <w:szCs w:val="20"/>
            <w:highlight w:val="white"/>
          </w:rPr>
          <w:t>http://www.smallarmssurvey.org/publications/by-type/yearbook/small-arms-survey-2007.html</w:t>
        </w:r>
      </w:hyperlink>
      <w:r w:rsidRPr="00835052">
        <w:rPr>
          <w:highlight w:val="white"/>
        </w:rPr>
        <w:t xml:space="preserve">; estimates for 2017 are available in </w:t>
      </w:r>
      <w:r w:rsidRPr="00835052">
        <w:t>Small Arms Survey, ‘Civilian Firearms Holdings, 2017’, Estimating Global Civilian-Held Firearms Numbers (Small Arms Survey, June 2018), available at:</w:t>
      </w:r>
      <w:r w:rsidR="00835052">
        <w:t xml:space="preserve"> </w:t>
      </w:r>
      <w:r w:rsidRPr="00835052">
        <w:t>http://www.</w:t>
      </w:r>
      <w:r w:rsidRPr="008F524E">
        <w:t>smallarmssurvey</w:t>
      </w:r>
      <w:r w:rsidRPr="00835052">
        <w:t>.org/fileadmin/docs/Weapons_and_Markets/Tools/Firearms_holdings/SAS-BP-Civilian-held-firearms-annexe.pdf</w:t>
      </w:r>
      <w:r w:rsidR="00835052">
        <w:t>)</w:t>
      </w:r>
      <w:r w:rsidR="008F524E">
        <w:t>.</w:t>
      </w:r>
    </w:p>
  </w:footnote>
  <w:footnote w:id="67">
    <w:p w14:paraId="58464FFF" w14:textId="6D3769B4" w:rsidR="00ED7AC1" w:rsidRPr="008F524E" w:rsidRDefault="00ED7AC1" w:rsidP="008F524E">
      <w:pPr>
        <w:pStyle w:val="FootnoteText"/>
        <w:rPr>
          <w:lang w:val="en-US"/>
        </w:rPr>
      </w:pPr>
      <w:r w:rsidRPr="00835052">
        <w:rPr>
          <w:vertAlign w:val="superscript"/>
        </w:rPr>
        <w:footnoteRef/>
      </w:r>
      <w:r w:rsidRPr="00835052">
        <w:t xml:space="preserve"> </w:t>
      </w:r>
      <w:r w:rsidRPr="00835052">
        <w:rPr>
          <w:lang w:val="en-US"/>
        </w:rPr>
        <w:t>See Small Arms Survey, ‘</w:t>
      </w:r>
      <w:r w:rsidRPr="008F524E">
        <w:t>Annexe</w:t>
      </w:r>
      <w:r w:rsidRPr="00835052">
        <w:rPr>
          <w:lang w:val="en-US"/>
        </w:rPr>
        <w:t xml:space="preserve"> with data by country/territory’ to the ‘Estimating Global Military-owned Firearms Numbers. </w:t>
      </w:r>
      <w:r w:rsidRPr="00835052">
        <w:t>Briefing</w:t>
      </w:r>
      <w:r w:rsidRPr="00835052">
        <w:rPr>
          <w:lang w:val="en-US"/>
        </w:rPr>
        <w:t xml:space="preserve"> Paper, June 2018’, available at:</w:t>
      </w:r>
      <w:r w:rsidR="008F524E">
        <w:rPr>
          <w:lang w:val="en-US"/>
        </w:rPr>
        <w:t xml:space="preserve"> </w:t>
      </w:r>
      <w:hyperlink r:id="rId42" w:history="1">
        <w:r w:rsidR="008F524E" w:rsidRPr="000A3EF2">
          <w:rPr>
            <w:rStyle w:val="Hyperlink"/>
            <w:szCs w:val="20"/>
            <w:lang w:val="en-US"/>
          </w:rPr>
          <w:t>https://www.smallarmssurvey.org/database/global-firearms-holdings</w:t>
        </w:r>
      </w:hyperlink>
      <w:r w:rsidRPr="00835052">
        <w:rPr>
          <w:lang w:val="en-US"/>
        </w:rPr>
        <w:t xml:space="preserve"> and at</w:t>
      </w:r>
      <w:r w:rsidR="008F524E">
        <w:rPr>
          <w:lang w:val="en-US"/>
        </w:rPr>
        <w:t xml:space="preserve"> </w:t>
      </w:r>
      <w:hyperlink r:id="rId43" w:history="1">
        <w:r w:rsidR="008F524E" w:rsidRPr="000A3EF2">
          <w:rPr>
            <w:rStyle w:val="Hyperlink"/>
            <w:szCs w:val="20"/>
            <w:lang w:val="en-US"/>
          </w:rPr>
          <w:t>https://www.smallarmssurvey.org/sites/default/files/resources/SAS-BP-Military-owned-firearms-annexe.pdf</w:t>
        </w:r>
      </w:hyperlink>
      <w:r w:rsidRPr="00835052">
        <w:rPr>
          <w:szCs w:val="20"/>
          <w:lang w:val="en-US"/>
        </w:rPr>
        <w:t xml:space="preserve"> . </w:t>
      </w:r>
      <w:r w:rsidRPr="00835052">
        <w:rPr>
          <w:szCs w:val="20"/>
          <w:highlight w:val="white"/>
        </w:rPr>
        <w:t xml:space="preserve"> </w:t>
      </w:r>
    </w:p>
  </w:footnote>
  <w:footnote w:id="68">
    <w:p w14:paraId="1C77D011" w14:textId="77777777" w:rsidR="00ED7AC1" w:rsidRPr="00835052" w:rsidRDefault="00ED7AC1" w:rsidP="008F524E">
      <w:pPr>
        <w:pStyle w:val="FootnoteText"/>
      </w:pPr>
      <w:r w:rsidRPr="00835052">
        <w:rPr>
          <w:vertAlign w:val="superscript"/>
        </w:rPr>
        <w:footnoteRef/>
      </w:r>
      <w:r w:rsidRPr="00835052">
        <w:t xml:space="preserve"> </w:t>
      </w:r>
      <w:r w:rsidRPr="008F524E">
        <w:t xml:space="preserve">See Small Arms Survey, ‘Annexe with data by country/territory’ to the </w:t>
      </w:r>
      <w:r w:rsidRPr="008F524E">
        <w:rPr>
          <w:highlight w:val="white"/>
        </w:rPr>
        <w:t xml:space="preserve">‘Estimating Global Law Enforcement Firearms Numbers’ </w:t>
      </w:r>
      <w:r w:rsidRPr="008F524E">
        <w:t>(Small Arms Survey, June 2018)</w:t>
      </w:r>
      <w:r w:rsidRPr="008F524E">
        <w:rPr>
          <w:highlight w:val="white"/>
        </w:rPr>
        <w:t xml:space="preserve">, available at: </w:t>
      </w:r>
      <w:r w:rsidRPr="008F524E">
        <w:t>https://www.smallarmssurvey.org/database/global-firearms-holdings</w:t>
      </w:r>
      <w:r w:rsidRPr="008F524E">
        <w:rPr>
          <w:highlight w:val="white"/>
        </w:rPr>
        <w:t xml:space="preserve">  and </w:t>
      </w:r>
      <w:hyperlink r:id="rId44" w:history="1">
        <w:r w:rsidRPr="008F524E">
          <w:t>https://www.smallarmssurvey.org/sites/default/files/resources/SAS-BP-Law-enforcement-firearms-annexe.pdf</w:t>
        </w:r>
      </w:hyperlink>
      <w:r w:rsidRPr="008F524E">
        <w:t>.</w:t>
      </w:r>
      <w:r w:rsidRPr="00835052">
        <w:t xml:space="preserve"> </w:t>
      </w:r>
    </w:p>
  </w:footnote>
  <w:footnote w:id="69">
    <w:p w14:paraId="3B75DB44" w14:textId="04818A5F" w:rsidR="00ED7AC1" w:rsidRPr="00835052" w:rsidRDefault="00ED7AC1" w:rsidP="008F524E">
      <w:pPr>
        <w:pStyle w:val="FootnoteText"/>
      </w:pPr>
      <w:r w:rsidRPr="00835052">
        <w:rPr>
          <w:vertAlign w:val="superscript"/>
        </w:rPr>
        <w:footnoteRef/>
      </w:r>
      <w:r w:rsidRPr="00835052">
        <w:t xml:space="preserve"> Small Arms Survey, ‘Weapons Compass: Mapping Illicit Small Arms Flows in Africa’ (2019), p. 27, available at: https://reliefweb.int/report/world/weapons-compass-mapping-illicit-small-arms-flows-africa-enarpt-january-2019. </w:t>
      </w:r>
    </w:p>
  </w:footnote>
  <w:footnote w:id="70">
    <w:p w14:paraId="3369974C" w14:textId="77777777" w:rsidR="00ED7AC1" w:rsidRPr="00835052" w:rsidRDefault="00ED7AC1" w:rsidP="008F524E">
      <w:pPr>
        <w:pStyle w:val="FootnoteText"/>
      </w:pPr>
      <w:r w:rsidRPr="00835052">
        <w:rPr>
          <w:vertAlign w:val="superscript"/>
        </w:rPr>
        <w:footnoteRef/>
      </w:r>
      <w:r w:rsidRPr="00835052">
        <w:t xml:space="preserve"> Human Rights Committee, ‘</w:t>
      </w:r>
      <w:r w:rsidRPr="008F524E">
        <w:t>General</w:t>
      </w:r>
      <w:r w:rsidRPr="00835052">
        <w:t xml:space="preserve"> comment No. 37 (2020) on the right of peaceful assembly (article 21)’ (17 September 2020), UN Doc CCPR/C/GC/37, para. 78.</w:t>
      </w:r>
    </w:p>
  </w:footnote>
  <w:footnote w:id="71">
    <w:p w14:paraId="74DDFF0B" w14:textId="77B1FF37" w:rsidR="00ED7AC1" w:rsidRPr="00835052" w:rsidRDefault="00ED7AC1" w:rsidP="008F524E">
      <w:pPr>
        <w:pStyle w:val="FootnoteText"/>
      </w:pPr>
      <w:r w:rsidRPr="00835052">
        <w:rPr>
          <w:vertAlign w:val="superscript"/>
        </w:rPr>
        <w:footnoteRef/>
      </w:r>
      <w:r w:rsidRPr="00835052">
        <w:t xml:space="preserve"> ‘Laws on the Right of </w:t>
      </w:r>
      <w:r w:rsidRPr="008F524E">
        <w:t>peaceful</w:t>
      </w:r>
      <w:r w:rsidRPr="00835052">
        <w:t xml:space="preserve"> Assembly </w:t>
      </w:r>
      <w:proofErr w:type="spellStart"/>
      <w:r w:rsidRPr="00835052">
        <w:t>WorldWide</w:t>
      </w:r>
      <w:proofErr w:type="spellEnd"/>
      <w:r w:rsidRPr="00835052">
        <w:t>: Egypt’ (last accessed 10 January 2022)</w:t>
      </w:r>
      <w:r w:rsidR="0003077B">
        <w:t xml:space="preserve">, </w:t>
      </w:r>
      <w:r w:rsidRPr="00835052">
        <w:t>available at: https://www.rightofassembly.info/country/egypt.</w:t>
      </w:r>
    </w:p>
  </w:footnote>
  <w:footnote w:id="72">
    <w:p w14:paraId="038E514B" w14:textId="77777777" w:rsidR="00ED7AC1" w:rsidRPr="00835052" w:rsidRDefault="00ED7AC1" w:rsidP="00835052">
      <w:pPr>
        <w:pStyle w:val="FootnoteText"/>
        <w:rPr>
          <w:szCs w:val="20"/>
        </w:rPr>
      </w:pPr>
      <w:r w:rsidRPr="00835052">
        <w:rPr>
          <w:szCs w:val="20"/>
          <w:vertAlign w:val="superscript"/>
        </w:rPr>
        <w:footnoteRef/>
      </w:r>
      <w:r w:rsidRPr="00835052">
        <w:rPr>
          <w:szCs w:val="20"/>
        </w:rPr>
        <w:t xml:space="preserve"> </w:t>
      </w:r>
      <w:r w:rsidRPr="00835052">
        <w:rPr>
          <w:i/>
          <w:iCs/>
          <w:szCs w:val="20"/>
        </w:rPr>
        <w:t>Ibid.</w:t>
      </w:r>
    </w:p>
  </w:footnote>
  <w:footnote w:id="73">
    <w:p w14:paraId="05D16D50" w14:textId="77777777" w:rsidR="00ED7AC1" w:rsidRPr="00835052" w:rsidRDefault="00ED7AC1" w:rsidP="008F524E">
      <w:pPr>
        <w:pStyle w:val="FootnoteText"/>
      </w:pPr>
      <w:r w:rsidRPr="00835052">
        <w:rPr>
          <w:vertAlign w:val="superscript"/>
        </w:rPr>
        <w:footnoteRef/>
      </w:r>
      <w:r w:rsidRPr="00835052">
        <w:rPr>
          <w:vertAlign w:val="superscript"/>
        </w:rPr>
        <w:t xml:space="preserve"> </w:t>
      </w:r>
      <w:r w:rsidRPr="00835052">
        <w:t>Human Rights Watch, ‘Egypt: Covid-19 Cover for New Repressive Powers: Amendments Could Curb Rights in Name of ‘Public Order’’ (7 May 2020), available at: https://www.hrw.org/news/2020/05/07/egypt-covid-19-cover-new-repressive-powers.</w:t>
      </w:r>
    </w:p>
  </w:footnote>
  <w:footnote w:id="74">
    <w:p w14:paraId="4E5B38FB" w14:textId="77777777" w:rsidR="00ED7AC1" w:rsidRPr="00835052" w:rsidRDefault="00ED7AC1" w:rsidP="008F524E">
      <w:pPr>
        <w:pStyle w:val="FootnoteText"/>
      </w:pPr>
      <w:r w:rsidRPr="00835052">
        <w:rPr>
          <w:vertAlign w:val="superscript"/>
        </w:rPr>
        <w:footnoteRef/>
      </w:r>
      <w:r w:rsidRPr="00835052">
        <w:t xml:space="preserve"> Carnegie Endowment for International Peace, ‘The Egyptian Military’s Terrorism Containment Campaign in North Sinai’ (30 June 2020), available at: https://carnegieendowment.org/sada/82218. </w:t>
      </w:r>
    </w:p>
  </w:footnote>
  <w:footnote w:id="75">
    <w:p w14:paraId="1CA5C163" w14:textId="77777777" w:rsidR="00ED7AC1" w:rsidRPr="00835052" w:rsidRDefault="00ED7AC1" w:rsidP="008F524E">
      <w:pPr>
        <w:pStyle w:val="FootnoteText"/>
      </w:pPr>
      <w:r w:rsidRPr="00835052">
        <w:rPr>
          <w:vertAlign w:val="superscript"/>
        </w:rPr>
        <w:footnoteRef/>
      </w:r>
      <w:r w:rsidRPr="00835052">
        <w:t xml:space="preserve"> Amnesty </w:t>
      </w:r>
      <w:r w:rsidRPr="008F524E">
        <w:t>International</w:t>
      </w:r>
      <w:r w:rsidRPr="00835052">
        <w:t>, ‘Egypt: How French arms were used to crush dissent’ (16 October 2018), p. 19, available at: https://www.amnesty.org/en/documents/eur21/9038/2018/en/.</w:t>
      </w:r>
    </w:p>
  </w:footnote>
  <w:footnote w:id="76">
    <w:p w14:paraId="1DF8C264" w14:textId="77777777" w:rsidR="00ED7AC1" w:rsidRPr="00835052" w:rsidRDefault="00ED7AC1" w:rsidP="008F524E">
      <w:pPr>
        <w:pStyle w:val="FootnoteText"/>
      </w:pPr>
      <w:r w:rsidRPr="00835052">
        <w:rPr>
          <w:vertAlign w:val="superscript"/>
        </w:rPr>
        <w:footnoteRef/>
      </w:r>
      <w:r w:rsidRPr="00835052">
        <w:t xml:space="preserve"> International Federation for Human Rights et al., ‘Egypt: A Repression Made in France: exports of weapons and surveillance technologies’ (June 2018), p. 18-19, available at: https://www.fidh.org/IMG/pdf/382873255-egypt-a-repression-made-in-france.pdf.</w:t>
      </w:r>
    </w:p>
  </w:footnote>
  <w:footnote w:id="77">
    <w:p w14:paraId="6B463E7B" w14:textId="77777777" w:rsidR="00ED7AC1" w:rsidRPr="00835052" w:rsidRDefault="00ED7AC1" w:rsidP="008F524E">
      <w:pPr>
        <w:pStyle w:val="FootnoteText"/>
      </w:pPr>
      <w:r w:rsidRPr="00835052">
        <w:rPr>
          <w:vertAlign w:val="superscript"/>
        </w:rPr>
        <w:footnoteRef/>
      </w:r>
      <w:r w:rsidRPr="00835052">
        <w:t xml:space="preserve"> Human Rights Committee, ‘</w:t>
      </w:r>
      <w:r w:rsidRPr="008F524E">
        <w:t>General</w:t>
      </w:r>
      <w:r w:rsidRPr="00835052">
        <w:t xml:space="preserve"> comment No. 36 - Article 6: right to life’ (3 September 2019) UN Doc CCPR/C/GC/36, para. 64.</w:t>
      </w:r>
    </w:p>
  </w:footnote>
  <w:footnote w:id="78">
    <w:p w14:paraId="00D7F1D1" w14:textId="77777777" w:rsidR="00ED7AC1" w:rsidRPr="00835052" w:rsidRDefault="00ED7AC1" w:rsidP="008F524E">
      <w:pPr>
        <w:pStyle w:val="FootnoteText"/>
      </w:pPr>
      <w:r w:rsidRPr="00835052">
        <w:rPr>
          <w:vertAlign w:val="superscript"/>
        </w:rPr>
        <w:footnoteRef/>
      </w:r>
      <w:r w:rsidRPr="00835052">
        <w:t xml:space="preserve"> </w:t>
      </w:r>
      <w:r w:rsidRPr="00A56F93">
        <w:t xml:space="preserve">Amnesty International, ‘Egypt: How French arms were used to crush dissent’ (15 October 2018), available at: </w:t>
      </w:r>
      <w:hyperlink r:id="rId45" w:history="1">
        <w:r w:rsidRPr="00A56F93">
          <w:t>https://www.amnesty.org/en/documents/eur21/9038/2018/en/</w:t>
        </w:r>
      </w:hyperlink>
      <w:r w:rsidRPr="00A56F93">
        <w:t>; International Federation for Human Rights et al. ‘Egypt: A Repression Made in France: exports of weapons and surveillance technologies’ (June 2018) p. 18-19, available at: https://www.fidh.org/IMG/pdf/382873255-egypt-a-repression-made-in-france.pdf; See also: Human Rights Watch, ’How French weapons enable Egypt’s abuses’ (29 January 2019), available at: https://www.hrw.org/news/2019/01/28/how-french-weapons-enable-egypts-abuses.</w:t>
      </w:r>
    </w:p>
  </w:footnote>
  <w:footnote w:id="79">
    <w:p w14:paraId="6A4B3454" w14:textId="7C7963DC" w:rsidR="00ED7AC1" w:rsidRPr="00835052" w:rsidRDefault="00ED7AC1" w:rsidP="008F524E">
      <w:pPr>
        <w:pStyle w:val="FootnoteText"/>
      </w:pPr>
      <w:r w:rsidRPr="00835052">
        <w:rPr>
          <w:vertAlign w:val="superscript"/>
        </w:rPr>
        <w:footnoteRef/>
      </w:r>
      <w:r w:rsidRPr="00835052">
        <w:t xml:space="preserve"> Amnesty International, ‘Egypt: Bitter legacy of </w:t>
      </w:r>
      <w:proofErr w:type="spellStart"/>
      <w:r w:rsidRPr="00835052">
        <w:t>Rabaa</w:t>
      </w:r>
      <w:proofErr w:type="spellEnd"/>
      <w:r w:rsidRPr="00835052">
        <w:t xml:space="preserve"> massacre continues to haunt Egyptians’ (14 August 2019), available at:</w:t>
      </w:r>
      <w:r w:rsidR="008F524E">
        <w:t xml:space="preserve"> </w:t>
      </w:r>
      <w:r w:rsidRPr="00835052">
        <w:t>https://www.amnesty.org/en/latest/press-release/2019/08/egypt-bitter-legacy-of-rabaa-massacre-continues-to-haunt-egyptians/; Human Rights Watch, ‘Egypt: Security Forces Used Excessive Lethal Force’ (19 August 2013) available at: https://www.hrw.org/news/2013/08/19/egypt-security-forces-used-excessive-lethal-force.</w:t>
      </w:r>
    </w:p>
  </w:footnote>
  <w:footnote w:id="80">
    <w:p w14:paraId="6223630A" w14:textId="77777777" w:rsidR="00ED7AC1" w:rsidRPr="00835052" w:rsidRDefault="00ED7AC1" w:rsidP="008F524E">
      <w:pPr>
        <w:pStyle w:val="FootnoteText"/>
      </w:pPr>
      <w:bookmarkStart w:id="31" w:name="_heading=h.41mghml" w:colFirst="0" w:colLast="0"/>
      <w:bookmarkEnd w:id="31"/>
      <w:r w:rsidRPr="00835052">
        <w:rPr>
          <w:vertAlign w:val="superscript"/>
        </w:rPr>
        <w:footnoteRef/>
      </w:r>
      <w:r w:rsidRPr="00835052">
        <w:t xml:space="preserve"> Middle East Monitor, ‘The names and faces of the 21 women killed in Egypt's </w:t>
      </w:r>
      <w:proofErr w:type="spellStart"/>
      <w:r w:rsidRPr="00835052">
        <w:t>Rabaa</w:t>
      </w:r>
      <w:proofErr w:type="spellEnd"/>
      <w:r w:rsidRPr="00835052">
        <w:t>’ (14 August 2019), available at: https://www.middleeastmonitor.com/20190814-the-names-and-faces-of-the-21-women-killed-in-egypts-rabaa/.</w:t>
      </w:r>
    </w:p>
  </w:footnote>
  <w:footnote w:id="81">
    <w:p w14:paraId="029B5F63" w14:textId="77777777" w:rsidR="00ED7AC1" w:rsidRPr="00835052" w:rsidRDefault="00ED7AC1" w:rsidP="008F524E">
      <w:pPr>
        <w:pStyle w:val="FootnoteText"/>
      </w:pPr>
      <w:r w:rsidRPr="00835052">
        <w:rPr>
          <w:vertAlign w:val="superscript"/>
        </w:rPr>
        <w:footnoteRef/>
      </w:r>
      <w:r w:rsidRPr="00835052">
        <w:t xml:space="preserve"> General comment No. 37 (</w:t>
      </w:r>
      <w:r w:rsidRPr="008F524E">
        <w:t>2020</w:t>
      </w:r>
      <w:r w:rsidRPr="00835052">
        <w:t>) on the right of peaceful assembly (article 21)’ (17 September 2020) UN Doc CCPR/C/GC/37, para. 88.</w:t>
      </w:r>
    </w:p>
  </w:footnote>
  <w:footnote w:id="82">
    <w:p w14:paraId="1DA709E5" w14:textId="07F58BA9" w:rsidR="00ED7AC1" w:rsidRPr="00835052" w:rsidRDefault="00ED7AC1" w:rsidP="008F524E">
      <w:pPr>
        <w:pStyle w:val="FootnoteText"/>
      </w:pPr>
      <w:r w:rsidRPr="00835052">
        <w:rPr>
          <w:vertAlign w:val="superscript"/>
        </w:rPr>
        <w:footnoteRef/>
      </w:r>
      <w:r w:rsidRPr="00835052">
        <w:t xml:space="preserve"> Recommendation 31.79 in HRC ‘Report of the Working Group on the Universal Periodic Review of Egypt, (27 December 2019) UN Doc A/HRC/43/</w:t>
      </w:r>
      <w:r w:rsidRPr="008F524E">
        <w:t>16</w:t>
      </w:r>
      <w:r w:rsidRPr="00835052">
        <w:t xml:space="preserve">, available at: </w:t>
      </w:r>
      <w:hyperlink r:id="rId46" w:history="1">
        <w:r w:rsidR="00D25D45" w:rsidRPr="000A3EF2">
          <w:rPr>
            <w:rStyle w:val="Hyperlink"/>
          </w:rPr>
          <w:t>https://undocs.org/A/HRC/43/16</w:t>
        </w:r>
      </w:hyperlink>
      <w:r w:rsidR="00D25D45">
        <w:t xml:space="preserve">. </w:t>
      </w:r>
    </w:p>
  </w:footnote>
  <w:footnote w:id="83">
    <w:p w14:paraId="4A21C551" w14:textId="606AB97A" w:rsidR="00ED7AC1" w:rsidRPr="00835052" w:rsidRDefault="00ED7AC1" w:rsidP="008F524E">
      <w:pPr>
        <w:pStyle w:val="FootnoteText"/>
      </w:pPr>
      <w:r w:rsidRPr="00835052">
        <w:rPr>
          <w:vertAlign w:val="superscript"/>
        </w:rPr>
        <w:footnoteRef/>
      </w:r>
      <w:r w:rsidRPr="00835052">
        <w:t xml:space="preserve"> ‘Egypt: Bitter legacy of </w:t>
      </w:r>
      <w:proofErr w:type="spellStart"/>
      <w:r w:rsidRPr="00835052">
        <w:t>Rabaa</w:t>
      </w:r>
      <w:proofErr w:type="spellEnd"/>
      <w:r w:rsidRPr="00835052">
        <w:t xml:space="preserve"> massacre continues to haunt Egyptians’ (Amnesty International, 14 August 2019) available at:</w:t>
      </w:r>
      <w:r w:rsidR="008F524E">
        <w:t xml:space="preserve"> </w:t>
      </w:r>
      <w:r w:rsidRPr="00835052">
        <w:t>https://www.amnesty.org/en/latest/press-release/2019/08/egypt-bitter-legacy-of-rabaa-massacre-continues-to-haunt-egyptians/.</w:t>
      </w:r>
    </w:p>
  </w:footnote>
  <w:footnote w:id="84">
    <w:p w14:paraId="0C9B9337" w14:textId="77777777" w:rsidR="00ED7AC1" w:rsidRPr="00835052" w:rsidRDefault="00ED7AC1" w:rsidP="008F524E">
      <w:pPr>
        <w:pStyle w:val="FootnoteText"/>
      </w:pPr>
      <w:r w:rsidRPr="00835052">
        <w:rPr>
          <w:vertAlign w:val="superscript"/>
        </w:rPr>
        <w:footnoteRef/>
      </w:r>
      <w:r w:rsidRPr="00835052">
        <w:t xml:space="preserve"> Amnesty International, ‘Egypt: Rare </w:t>
      </w:r>
      <w:r w:rsidRPr="008F524E">
        <w:t>protests</w:t>
      </w:r>
      <w:r w:rsidRPr="00835052">
        <w:t xml:space="preserve"> met with unlawful force and mass arrests’ (2 October 2020) available at: https://www.amnesty.org/en/latest/press-release/2020/10/egypt-rare-protests-met-with-unlawful-force-and-mass-arrests/.</w:t>
      </w:r>
    </w:p>
  </w:footnote>
  <w:footnote w:id="85">
    <w:p w14:paraId="476B4FD7" w14:textId="77777777" w:rsidR="00ED7AC1" w:rsidRPr="00835052" w:rsidRDefault="00ED7AC1" w:rsidP="008F524E">
      <w:pPr>
        <w:pStyle w:val="FootnoteText"/>
      </w:pPr>
      <w:r w:rsidRPr="00835052">
        <w:rPr>
          <w:vertAlign w:val="superscript"/>
        </w:rPr>
        <w:footnoteRef/>
      </w:r>
      <w:r w:rsidRPr="00835052">
        <w:t xml:space="preserve"> International Federation for Human Rights et al., ‘Egypt: A Repression Made in France: exports of weapons and surveillance technologies’ (June 2018) p. 20, available at: </w:t>
      </w:r>
      <w:hyperlink r:id="rId47">
        <w:r w:rsidRPr="00835052">
          <w:t>https://www.fidh.org/IMG/pdf/382873255-egypt-a-repression-made-in-france.pdf</w:t>
        </w:r>
      </w:hyperlink>
      <w:r w:rsidRPr="00835052">
        <w:t>.</w:t>
      </w:r>
    </w:p>
  </w:footnote>
  <w:footnote w:id="86">
    <w:p w14:paraId="7AE2C10C" w14:textId="77777777" w:rsidR="00ED7AC1" w:rsidRPr="00835052" w:rsidRDefault="00ED7AC1" w:rsidP="008F524E">
      <w:pPr>
        <w:pStyle w:val="FootnoteText"/>
      </w:pPr>
      <w:r w:rsidRPr="00835052">
        <w:rPr>
          <w:vertAlign w:val="superscript"/>
        </w:rPr>
        <w:footnoteRef/>
      </w:r>
      <w:r w:rsidRPr="00835052">
        <w:t xml:space="preserve"> Olivier </w:t>
      </w:r>
      <w:proofErr w:type="spellStart"/>
      <w:r w:rsidRPr="00835052">
        <w:t>Tesquet</w:t>
      </w:r>
      <w:proofErr w:type="spellEnd"/>
      <w:r w:rsidRPr="00835052">
        <w:t xml:space="preserve"> ‘</w:t>
      </w:r>
      <w:proofErr w:type="spellStart"/>
      <w:r w:rsidRPr="00835052">
        <w:t>Amesys</w:t>
      </w:r>
      <w:proofErr w:type="spellEnd"/>
      <w:r w:rsidRPr="00835052">
        <w:t xml:space="preserve">: Egyptian </w:t>
      </w:r>
      <w:r w:rsidRPr="008F524E">
        <w:t>trials</w:t>
      </w:r>
      <w:r w:rsidRPr="00835052">
        <w:t xml:space="preserve"> and tribulations of a French digital arms dealer’ (</w:t>
      </w:r>
      <w:proofErr w:type="spellStart"/>
      <w:r w:rsidRPr="00835052">
        <w:t>Télérama</w:t>
      </w:r>
      <w:proofErr w:type="spellEnd"/>
      <w:r w:rsidRPr="00835052">
        <w:t>, 7 August 2020) available at: https://www.telerama.fr/monde/amesys-egyptian-trials-and-tribulations-of-a-french-digital-arms-dealer,160452.php.</w:t>
      </w:r>
    </w:p>
  </w:footnote>
  <w:footnote w:id="87">
    <w:p w14:paraId="018856B9" w14:textId="42D85CFA" w:rsidR="00ED7AC1" w:rsidRPr="00835052" w:rsidRDefault="00ED7AC1" w:rsidP="008F524E">
      <w:pPr>
        <w:pStyle w:val="FootnoteText"/>
      </w:pPr>
      <w:r w:rsidRPr="00835052">
        <w:rPr>
          <w:vertAlign w:val="superscript"/>
        </w:rPr>
        <w:footnoteRef/>
      </w:r>
      <w:r w:rsidRPr="00835052">
        <w:t xml:space="preserve"> International Federation for Human Rights, ‘</w:t>
      </w:r>
      <w:r w:rsidRPr="008F524E">
        <w:t>Surveillance</w:t>
      </w:r>
      <w:r w:rsidRPr="00835052">
        <w:t xml:space="preserve"> and torture in Egypt and Libya: </w:t>
      </w:r>
      <w:proofErr w:type="spellStart"/>
      <w:r w:rsidRPr="00835052">
        <w:t>Amesys</w:t>
      </w:r>
      <w:proofErr w:type="spellEnd"/>
      <w:r w:rsidRPr="00835052">
        <w:t xml:space="preserve"> and </w:t>
      </w:r>
      <w:proofErr w:type="spellStart"/>
      <w:r w:rsidRPr="00835052">
        <w:t>Nexa</w:t>
      </w:r>
      <w:proofErr w:type="spellEnd"/>
      <w:r w:rsidRPr="00835052">
        <w:t xml:space="preserve"> Technologies executives indicted’ (22 June 2021) available at:</w:t>
      </w:r>
      <w:r w:rsidR="008F524E">
        <w:t xml:space="preserve"> </w:t>
      </w:r>
      <w:r w:rsidRPr="00835052">
        <w:t>https://www.fidh.org/en/region/north-africa-middle-east/egypt/surveillance-and-torture-in-egypt-and-libya-amesys-and-nexa.</w:t>
      </w:r>
    </w:p>
  </w:footnote>
  <w:footnote w:id="88">
    <w:p w14:paraId="66739986" w14:textId="4EF15E63" w:rsidR="00ED7AC1" w:rsidRPr="00835052" w:rsidRDefault="00ED7AC1" w:rsidP="008F524E">
      <w:pPr>
        <w:pStyle w:val="FootnoteText"/>
        <w:rPr>
          <w:lang w:val="fr-CH"/>
        </w:rPr>
      </w:pPr>
      <w:r w:rsidRPr="00835052">
        <w:rPr>
          <w:vertAlign w:val="superscript"/>
        </w:rPr>
        <w:footnoteRef/>
      </w:r>
      <w:r w:rsidRPr="00835052">
        <w:rPr>
          <w:lang w:val="fr-CH"/>
        </w:rPr>
        <w:t xml:space="preserve"> Olivier </w:t>
      </w:r>
      <w:proofErr w:type="spellStart"/>
      <w:r w:rsidRPr="00835052">
        <w:rPr>
          <w:lang w:val="fr-CH"/>
        </w:rPr>
        <w:t>Tesquet</w:t>
      </w:r>
      <w:proofErr w:type="spellEnd"/>
      <w:r w:rsidRPr="00835052">
        <w:rPr>
          <w:lang w:val="fr-CH"/>
        </w:rPr>
        <w:t xml:space="preserve"> ‘On a encore trouvé une </w:t>
      </w:r>
      <w:r w:rsidRPr="008F524E">
        <w:rPr>
          <w:lang w:val="fr-CH"/>
        </w:rPr>
        <w:t>société</w:t>
      </w:r>
      <w:r w:rsidRPr="00835052">
        <w:rPr>
          <w:lang w:val="fr-CH"/>
        </w:rPr>
        <w:t xml:space="preserve"> française qui vend du matériel de surveillance électronique à l’</w:t>
      </w:r>
      <w:proofErr w:type="spellStart"/>
      <w:r w:rsidRPr="00835052">
        <w:rPr>
          <w:lang w:val="fr-CH"/>
        </w:rPr>
        <w:t>Egypte</w:t>
      </w:r>
      <w:proofErr w:type="spellEnd"/>
      <w:r w:rsidRPr="00835052">
        <w:rPr>
          <w:lang w:val="fr-CH"/>
        </w:rPr>
        <w:t xml:space="preserve">’ (Télérama, 26 </w:t>
      </w:r>
      <w:r w:rsidRPr="008F524E">
        <w:rPr>
          <w:lang w:val="fr-CH"/>
        </w:rPr>
        <w:t>March</w:t>
      </w:r>
      <w:r w:rsidRPr="00835052">
        <w:rPr>
          <w:lang w:val="fr-CH"/>
        </w:rPr>
        <w:t xml:space="preserve"> 2018) </w:t>
      </w:r>
      <w:r w:rsidRPr="008F524E">
        <w:t xml:space="preserve">available </w:t>
      </w:r>
      <w:proofErr w:type="gramStart"/>
      <w:r w:rsidRPr="008F524E">
        <w:t>at:</w:t>
      </w:r>
      <w:proofErr w:type="gramEnd"/>
      <w:r w:rsidRPr="00835052">
        <w:rPr>
          <w:lang w:val="fr-CH"/>
        </w:rPr>
        <w:t xml:space="preserve"> https://www.telerama.fr/monde/on-a-encore-trouve-une-societe-francaise-qui-vend-du-materiel-de-surveillance-electronique-a-legypte,n5533721.php.</w:t>
      </w:r>
    </w:p>
  </w:footnote>
  <w:footnote w:id="89">
    <w:p w14:paraId="7BD58ADC" w14:textId="77777777" w:rsidR="00ED7AC1" w:rsidRPr="00835052" w:rsidRDefault="00ED7AC1" w:rsidP="008F524E">
      <w:pPr>
        <w:pStyle w:val="FootnoteText"/>
      </w:pPr>
      <w:r w:rsidRPr="00835052">
        <w:rPr>
          <w:vertAlign w:val="superscript"/>
        </w:rPr>
        <w:footnoteRef/>
      </w:r>
      <w:r w:rsidRPr="00835052">
        <w:t xml:space="preserve"> International </w:t>
      </w:r>
      <w:r w:rsidRPr="008F524E">
        <w:t>Federation</w:t>
      </w:r>
      <w:r w:rsidRPr="00835052">
        <w:t xml:space="preserve"> for Human Rights et al., ‘Egypt: A Repression Made in France: exports of weapons and surveillance technologies’ (June 2018) p. 38, available at: </w:t>
      </w:r>
      <w:hyperlink r:id="rId48">
        <w:r w:rsidRPr="00835052">
          <w:t>https://www.fidh.org/IMG/pdf/382873255-egypt-a-repression</w:t>
        </w:r>
        <w:r w:rsidRPr="00835052">
          <w:t>-</w:t>
        </w:r>
        <w:r w:rsidRPr="00835052">
          <w:t>made-in-france.pdf</w:t>
        </w:r>
      </w:hyperlink>
      <w:r w:rsidRPr="00835052">
        <w:t>.</w:t>
      </w:r>
    </w:p>
  </w:footnote>
  <w:footnote w:id="90">
    <w:p w14:paraId="4A3D15C7" w14:textId="77777777" w:rsidR="00ED7AC1" w:rsidRPr="00835052" w:rsidRDefault="00ED7AC1" w:rsidP="008F524E">
      <w:pPr>
        <w:pStyle w:val="FootnoteText"/>
      </w:pPr>
      <w:r w:rsidRPr="00835052">
        <w:rPr>
          <w:vertAlign w:val="superscript"/>
        </w:rPr>
        <w:footnoteRef/>
      </w:r>
      <w:r w:rsidRPr="00835052">
        <w:t xml:space="preserve"> Privacy International, ‘THE PRESIDENT’S MEN? Inside the Technical Research Department’ (February 2016), available at: https://privacyinternational.org/sites/default/files/2017-12/egypt_reportEnglish.pdf </w:t>
      </w:r>
    </w:p>
  </w:footnote>
  <w:footnote w:id="91">
    <w:p w14:paraId="247956E0" w14:textId="5408250C" w:rsidR="00ED7AC1" w:rsidRPr="00835052" w:rsidRDefault="00ED7AC1" w:rsidP="008F524E">
      <w:pPr>
        <w:pStyle w:val="FootnoteText"/>
        <w:rPr>
          <w:szCs w:val="20"/>
        </w:rPr>
      </w:pPr>
      <w:r w:rsidRPr="00835052">
        <w:rPr>
          <w:szCs w:val="20"/>
          <w:vertAlign w:val="superscript"/>
        </w:rPr>
        <w:footnoteRef/>
      </w:r>
      <w:r w:rsidRPr="00835052">
        <w:rPr>
          <w:szCs w:val="20"/>
        </w:rPr>
        <w:t xml:space="preserve"> </w:t>
      </w:r>
      <w:r w:rsidR="008F524E" w:rsidRPr="00D46BFB">
        <w:rPr>
          <w:lang w:val="en-US"/>
        </w:rPr>
        <w:t xml:space="preserve">‘Egypt: Rare </w:t>
      </w:r>
      <w:r w:rsidR="008F524E" w:rsidRPr="008F524E">
        <w:t>protests</w:t>
      </w:r>
      <w:r w:rsidR="008F524E" w:rsidRPr="00D46BFB">
        <w:rPr>
          <w:lang w:val="en-US"/>
        </w:rPr>
        <w:t xml:space="preserve"> met with unlawful force and mass arrests’ (</w:t>
      </w:r>
      <w:r w:rsidR="008F524E" w:rsidRPr="00D46BFB">
        <w:rPr>
          <w:i/>
          <w:lang w:val="en-US"/>
        </w:rPr>
        <w:t>Amnesty International</w:t>
      </w:r>
      <w:r w:rsidR="008F524E" w:rsidRPr="00D46BFB">
        <w:rPr>
          <w:lang w:val="en-US"/>
        </w:rPr>
        <w:t>, 2 October 2020) available at: https://www.</w:t>
      </w:r>
      <w:r w:rsidR="008F524E" w:rsidRPr="008F524E">
        <w:t>amnesty</w:t>
      </w:r>
      <w:r w:rsidR="008F524E" w:rsidRPr="00D46BFB">
        <w:rPr>
          <w:lang w:val="en-US"/>
        </w:rPr>
        <w:t>.org/en/latest/press-release/2020/10/egypt-rare-protests-met-with-unlawful-force-and-mass-arrests/.</w:t>
      </w:r>
    </w:p>
    <w:p w14:paraId="5E069236" w14:textId="77777777" w:rsidR="00ED7AC1" w:rsidRPr="00835052" w:rsidRDefault="00ED7AC1" w:rsidP="008F524E">
      <w:pPr>
        <w:pStyle w:val="FootnoteText"/>
      </w:pPr>
      <w:r w:rsidRPr="00835052">
        <w:rPr>
          <w:vertAlign w:val="superscript"/>
        </w:rPr>
        <w:footnoteRef/>
      </w:r>
      <w:r w:rsidRPr="00835052">
        <w:t xml:space="preserve"> International Federation for Human Rights et al., ‘Egypt: A Repression Made in France: exports of weapons and surveillance technologies’ (June 2018) p. 35 and 36, available at: </w:t>
      </w:r>
      <w:hyperlink r:id="rId49">
        <w:r w:rsidRPr="00835052">
          <w:t>https://www.fidh.org/IMG/pdf/382873255-egypt-a-repression-made-in-france.pdf</w:t>
        </w:r>
      </w:hyperlink>
      <w:r w:rsidRPr="00835052">
        <w:t>.</w:t>
      </w:r>
    </w:p>
  </w:footnote>
  <w:footnote w:id="92">
    <w:p w14:paraId="3D23FC5B" w14:textId="77777777" w:rsidR="00ED7AC1" w:rsidRPr="00835052" w:rsidRDefault="00ED7AC1" w:rsidP="008F524E">
      <w:pPr>
        <w:pStyle w:val="FootnoteText"/>
      </w:pPr>
      <w:r w:rsidRPr="00835052">
        <w:rPr>
          <w:vertAlign w:val="superscript"/>
        </w:rPr>
        <w:footnoteRef/>
      </w:r>
      <w:r w:rsidRPr="00835052">
        <w:t xml:space="preserve">  Citizen Lab is an </w:t>
      </w:r>
      <w:r w:rsidRPr="008F524E">
        <w:t>interdisciplinary</w:t>
      </w:r>
      <w:r w:rsidRPr="00835052">
        <w:t xml:space="preserve"> laboratory based at the </w:t>
      </w:r>
      <w:proofErr w:type="spellStart"/>
      <w:r w:rsidRPr="00835052">
        <w:t>Munk</w:t>
      </w:r>
      <w:proofErr w:type="spellEnd"/>
      <w:r w:rsidRPr="00835052">
        <w:t xml:space="preserve"> School of Global Affairs &amp; Public Policy, University of Toronto, focusing on research, development, and high-level strategic policy and legal engagement at the intersection of </w:t>
      </w:r>
      <w:r w:rsidRPr="008F524E">
        <w:t>information</w:t>
      </w:r>
      <w:r w:rsidRPr="00835052">
        <w:t xml:space="preserve"> and communication technologies, human rights, and global security: https://citizenlab.ca/about/</w:t>
      </w:r>
    </w:p>
  </w:footnote>
  <w:footnote w:id="93">
    <w:p w14:paraId="289507A0" w14:textId="77777777" w:rsidR="00ED7AC1" w:rsidRPr="00835052" w:rsidRDefault="00ED7AC1" w:rsidP="008F524E">
      <w:pPr>
        <w:pStyle w:val="FootnoteText"/>
      </w:pPr>
      <w:r w:rsidRPr="00835052">
        <w:rPr>
          <w:vertAlign w:val="superscript"/>
        </w:rPr>
        <w:footnoteRef/>
      </w:r>
      <w:r w:rsidRPr="00835052">
        <w:t xml:space="preserve"> Reuters, ‘Prominent Egyptian opposition activist’s phone hacked – watchdog’, (17 December 2021), available at: https://www.</w:t>
      </w:r>
      <w:r w:rsidRPr="008F524E">
        <w:t>reuters</w:t>
      </w:r>
      <w:r w:rsidRPr="00835052">
        <w:t>.com/world/</w:t>
      </w:r>
      <w:r w:rsidRPr="008F524E">
        <w:t>africa</w:t>
      </w:r>
      <w:r w:rsidRPr="00835052">
        <w:t>/prominent-egyptian-opposition-activists-phone-hacked-watchdog-2021-12-16/</w:t>
      </w:r>
    </w:p>
  </w:footnote>
  <w:footnote w:id="94">
    <w:p w14:paraId="09574F52" w14:textId="16076B84" w:rsidR="00ED7AC1" w:rsidRPr="00835052" w:rsidRDefault="00ED7AC1" w:rsidP="008F524E">
      <w:pPr>
        <w:pStyle w:val="FootnoteText"/>
      </w:pPr>
      <w:r w:rsidRPr="00835052">
        <w:rPr>
          <w:vertAlign w:val="superscript"/>
        </w:rPr>
        <w:footnoteRef/>
      </w:r>
      <w:r w:rsidRPr="00835052">
        <w:t xml:space="preserve"> Citizen Lab, ‘Pegasus vs. Predator Dissident’s Doubly-Infected iPhone Reveals </w:t>
      </w:r>
      <w:proofErr w:type="spellStart"/>
      <w:r w:rsidRPr="00835052">
        <w:t>Cytrox</w:t>
      </w:r>
      <w:proofErr w:type="spellEnd"/>
      <w:r w:rsidRPr="00835052">
        <w:t xml:space="preserve"> Mercenary Spyware’ (16 December 2021), available at:  https://citizenlab.ca/2021/12/pegasus-vs-predator-dissidents-doubly-infected-iphone-reveals-cytrox-mercenary-spyware/</w:t>
      </w:r>
    </w:p>
  </w:footnote>
  <w:footnote w:id="95">
    <w:p w14:paraId="758AC4A4" w14:textId="77777777" w:rsidR="00ED7AC1" w:rsidRPr="00835052" w:rsidRDefault="00ED7AC1" w:rsidP="008F524E">
      <w:pPr>
        <w:pStyle w:val="FootnoteText"/>
      </w:pPr>
      <w:r w:rsidRPr="00835052">
        <w:rPr>
          <w:vertAlign w:val="superscript"/>
        </w:rPr>
        <w:footnoteRef/>
      </w:r>
      <w:r w:rsidRPr="00835052">
        <w:t xml:space="preserve"> Amnesty </w:t>
      </w:r>
      <w:r w:rsidRPr="008F524E">
        <w:t>International</w:t>
      </w:r>
      <w:r w:rsidRPr="00835052">
        <w:t xml:space="preserve">, ‘Egypt: Survivors of sexual violence and online abuse among prosecuted women </w:t>
      </w:r>
      <w:proofErr w:type="spellStart"/>
      <w:r w:rsidRPr="00835052">
        <w:t>TikTok</w:t>
      </w:r>
      <w:proofErr w:type="spellEnd"/>
      <w:r w:rsidRPr="00835052">
        <w:t xml:space="preserve"> influencers’ (13 August 2020) available at: https://www.amnesty.org/en/latest/press-release/2020/08/egypt-survivors-of-sexual-violence-and-online-abuse-among-prosecuted-women-tiktok-influencers/.</w:t>
      </w:r>
    </w:p>
  </w:footnote>
  <w:footnote w:id="96">
    <w:p w14:paraId="67A6CF32" w14:textId="77777777" w:rsidR="00ED7AC1" w:rsidRPr="00835052" w:rsidRDefault="00ED7AC1" w:rsidP="008F524E">
      <w:pPr>
        <w:pStyle w:val="FootnoteText"/>
      </w:pPr>
      <w:r w:rsidRPr="00835052">
        <w:rPr>
          <w:vertAlign w:val="superscript"/>
        </w:rPr>
        <w:footnoteRef/>
      </w:r>
      <w:r w:rsidRPr="00835052">
        <w:t xml:space="preserve"> </w:t>
      </w:r>
      <w:r w:rsidRPr="00835052">
        <w:rPr>
          <w:highlight w:val="white"/>
        </w:rPr>
        <w:t>Citizen Lab</w:t>
      </w:r>
      <w:r w:rsidRPr="00835052">
        <w:t xml:space="preserve"> ‘Nile </w:t>
      </w:r>
      <w:r w:rsidRPr="008F524E">
        <w:t>Phish</w:t>
      </w:r>
      <w:r w:rsidRPr="00835052">
        <w:t>: Large-Scale Phishing Campaign Targeting Egyptian Civil Society’ (2 February 2017) available at: https://citizenlab.ca/2017/02/nilephish-report/; Amnesty International, ‘Phishing attacks using third-party applications against Egyptian civil society organizations’ (6 March 2019) available at: https://www.amnesty.org/en/latest/research/2019/03/phishing-attacks-using-third-party-applications-against-egyptian-civil-society-organizations/.</w:t>
      </w:r>
    </w:p>
  </w:footnote>
  <w:footnote w:id="97">
    <w:p w14:paraId="0567A8AE" w14:textId="62B35D19" w:rsidR="00ED7AC1" w:rsidRPr="00835052" w:rsidRDefault="00ED7AC1" w:rsidP="008F524E">
      <w:pPr>
        <w:pStyle w:val="FootnoteText"/>
      </w:pPr>
      <w:r w:rsidRPr="00835052">
        <w:rPr>
          <w:vertAlign w:val="superscript"/>
        </w:rPr>
        <w:footnoteRef/>
      </w:r>
      <w:r w:rsidRPr="00835052">
        <w:t xml:space="preserve"> </w:t>
      </w:r>
      <w:r w:rsidRPr="00835052">
        <w:rPr>
          <w:highlight w:val="white"/>
        </w:rPr>
        <w:t>Citizen</w:t>
      </w:r>
      <w:r w:rsidR="008F524E">
        <w:rPr>
          <w:highlight w:val="white"/>
        </w:rPr>
        <w:t xml:space="preserve"> </w:t>
      </w:r>
      <w:r w:rsidR="008F524E" w:rsidRPr="008F524E">
        <w:rPr>
          <w:highlight w:val="white"/>
        </w:rPr>
        <w:t>L</w:t>
      </w:r>
      <w:r w:rsidRPr="008F524E">
        <w:rPr>
          <w:highlight w:val="white"/>
        </w:rPr>
        <w:t>ab</w:t>
      </w:r>
      <w:r w:rsidRPr="00835052">
        <w:t>, ‘Nile Phish: Large-Scale Phishing Campaign Targeting Egyptian Civil Society’ (2 February 2017) p.9, available at: https://citizenlab.ca/2017/02/nilephish-report/.</w:t>
      </w:r>
    </w:p>
  </w:footnote>
  <w:footnote w:id="98">
    <w:p w14:paraId="74BEC3D2" w14:textId="77777777" w:rsidR="00ED7AC1" w:rsidRPr="00835052" w:rsidRDefault="00ED7AC1" w:rsidP="008F524E">
      <w:pPr>
        <w:pStyle w:val="FootnoteText"/>
      </w:pPr>
      <w:r w:rsidRPr="00835052">
        <w:rPr>
          <w:vertAlign w:val="superscript"/>
        </w:rPr>
        <w:footnoteRef/>
      </w:r>
      <w:r w:rsidRPr="00835052">
        <w:t xml:space="preserve"> </w:t>
      </w:r>
      <w:proofErr w:type="spellStart"/>
      <w:r w:rsidRPr="00835052">
        <w:t>IEMed</w:t>
      </w:r>
      <w:proofErr w:type="spellEnd"/>
      <w:r w:rsidRPr="00835052">
        <w:t>, ‘Three Steps in Ensuring Digital Security of Egyptian Activists Abroad’ (16 September 2021) available at: https://www.iemed.org/publication/three-steps-in-ensuring-digital-security-of-egyptian-activists-abroad/; Middle East Eye, ‘</w:t>
      </w:r>
      <w:r w:rsidRPr="008F524E">
        <w:t>Revealed</w:t>
      </w:r>
      <w:r w:rsidRPr="00835052">
        <w:t xml:space="preserve">: Seven years later, how Facebook shuts down free speech in Egypt’ (30 January 2018) available at: https://www.middleeasteye.net/news/revealed-seven-years-later-how-facebook-shuts-down-free-speech-egypt. </w:t>
      </w:r>
    </w:p>
  </w:footnote>
  <w:footnote w:id="99">
    <w:p w14:paraId="556B3A5C" w14:textId="77777777" w:rsidR="00ED7AC1" w:rsidRPr="00835052" w:rsidRDefault="00ED7AC1" w:rsidP="008F524E">
      <w:pPr>
        <w:pStyle w:val="FootnoteText"/>
      </w:pPr>
      <w:r w:rsidRPr="00835052">
        <w:rPr>
          <w:vertAlign w:val="superscript"/>
        </w:rPr>
        <w:footnoteRef/>
      </w:r>
      <w:r w:rsidRPr="00835052">
        <w:t xml:space="preserve"> Article 19, ‘Apps, arrests and abuse in Egypt, Lebanon and Iran’ (February 2018) pp. 8–9, available at: https://www.article19.org/wp-content/uploads/2018/02/LGBTQ-Apps-Arrest-and-Abuse-report_22.2.18.pdf; Human Rights Watch, ‘“Clean the Streets of Faggots”: Digital Targeting of LGBT People by Middle East/North Africa Governments’ (4 August 2021) available at: </w:t>
      </w:r>
      <w:hyperlink r:id="rId50">
        <w:r w:rsidRPr="00835052">
          <w:t>https://www.hrw.org/news/2021/08/04/clean-streets-faggots</w:t>
        </w:r>
      </w:hyperlink>
      <w:r w:rsidRPr="0083505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ED7AC1" w:rsidRDefault="00ED7AC1">
    <w:pPr>
      <w:pBdr>
        <w:top w:val="nil"/>
        <w:left w:val="nil"/>
        <w:bottom w:val="nil"/>
        <w:right w:val="nil"/>
        <w:between w:val="nil"/>
      </w:pBdr>
      <w:tabs>
        <w:tab w:val="center" w:pos="4320"/>
        <w:tab w:val="right" w:pos="8640"/>
      </w:tabs>
      <w:spacing w:line="276" w:lineRule="auto"/>
      <w:jc w:val="left"/>
      <w:rPr>
        <w:rFonts w:ascii="Arial" w:eastAsia="Arial" w:hAnsi="Arial" w:cs="Arial"/>
        <w:color w:val="000000"/>
      </w:rPr>
    </w:pPr>
  </w:p>
  <w:p w14:paraId="000000F1" w14:textId="77777777" w:rsidR="00ED7AC1" w:rsidRDefault="00ED7A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321"/>
    <w:multiLevelType w:val="multilevel"/>
    <w:tmpl w:val="BD22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D16FA"/>
    <w:multiLevelType w:val="hybridMultilevel"/>
    <w:tmpl w:val="81E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4F41"/>
    <w:multiLevelType w:val="hybridMultilevel"/>
    <w:tmpl w:val="649E6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D4168"/>
    <w:multiLevelType w:val="hybridMultilevel"/>
    <w:tmpl w:val="018CA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41AD6"/>
    <w:multiLevelType w:val="hybridMultilevel"/>
    <w:tmpl w:val="61D211D6"/>
    <w:lvl w:ilvl="0" w:tplc="F9C0D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55837"/>
    <w:multiLevelType w:val="multilevel"/>
    <w:tmpl w:val="09E6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F7224A"/>
    <w:multiLevelType w:val="multilevel"/>
    <w:tmpl w:val="3C260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5724C8"/>
    <w:multiLevelType w:val="multilevel"/>
    <w:tmpl w:val="A9F83A54"/>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B478DD"/>
    <w:multiLevelType w:val="multilevel"/>
    <w:tmpl w:val="671C125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F34E80"/>
    <w:multiLevelType w:val="multilevel"/>
    <w:tmpl w:val="7EA40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8D65BC"/>
    <w:multiLevelType w:val="hybridMultilevel"/>
    <w:tmpl w:val="5BE6FCAA"/>
    <w:lvl w:ilvl="0" w:tplc="28D0415C">
      <w:start w:val="1"/>
      <w:numFmt w:val="upperLetter"/>
      <w:pStyle w:val="Heading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1"/>
  </w:num>
  <w:num w:numId="6">
    <w:abstractNumId w:val="9"/>
  </w:num>
  <w:num w:numId="7">
    <w:abstractNumId w:val="6"/>
  </w:num>
  <w:num w:numId="8">
    <w:abstractNumId w:val="10"/>
  </w:num>
  <w:num w:numId="9">
    <w:abstractNumId w:val="10"/>
    <w:lvlOverride w:ilvl="0">
      <w:startOverride w:val="1"/>
    </w:lvlOverride>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19"/>
    <w:rsid w:val="0000290B"/>
    <w:rsid w:val="0000612A"/>
    <w:rsid w:val="000118E0"/>
    <w:rsid w:val="0003077B"/>
    <w:rsid w:val="000B1037"/>
    <w:rsid w:val="00104DB4"/>
    <w:rsid w:val="0015533E"/>
    <w:rsid w:val="001715E1"/>
    <w:rsid w:val="001B21BF"/>
    <w:rsid w:val="001B590D"/>
    <w:rsid w:val="001F40A6"/>
    <w:rsid w:val="00221661"/>
    <w:rsid w:val="00253D90"/>
    <w:rsid w:val="002722E2"/>
    <w:rsid w:val="00272C4B"/>
    <w:rsid w:val="002B1000"/>
    <w:rsid w:val="002D3AC6"/>
    <w:rsid w:val="002E4741"/>
    <w:rsid w:val="002F3BBB"/>
    <w:rsid w:val="00340DBC"/>
    <w:rsid w:val="003945BA"/>
    <w:rsid w:val="003D3829"/>
    <w:rsid w:val="0041610C"/>
    <w:rsid w:val="00442E00"/>
    <w:rsid w:val="0045495E"/>
    <w:rsid w:val="00470175"/>
    <w:rsid w:val="004A468B"/>
    <w:rsid w:val="005225D1"/>
    <w:rsid w:val="00531D82"/>
    <w:rsid w:val="00540186"/>
    <w:rsid w:val="005844B6"/>
    <w:rsid w:val="005C64AB"/>
    <w:rsid w:val="005D5D0E"/>
    <w:rsid w:val="005E2F06"/>
    <w:rsid w:val="006018EB"/>
    <w:rsid w:val="00616390"/>
    <w:rsid w:val="00651E68"/>
    <w:rsid w:val="006644AC"/>
    <w:rsid w:val="006870AE"/>
    <w:rsid w:val="006C2028"/>
    <w:rsid w:val="006C71AC"/>
    <w:rsid w:val="006C794D"/>
    <w:rsid w:val="00731809"/>
    <w:rsid w:val="00793CAA"/>
    <w:rsid w:val="007A7B8F"/>
    <w:rsid w:val="007E3C76"/>
    <w:rsid w:val="008066F7"/>
    <w:rsid w:val="00812DCF"/>
    <w:rsid w:val="00835052"/>
    <w:rsid w:val="00861136"/>
    <w:rsid w:val="0086558A"/>
    <w:rsid w:val="00871A9C"/>
    <w:rsid w:val="00886557"/>
    <w:rsid w:val="008F524E"/>
    <w:rsid w:val="00913960"/>
    <w:rsid w:val="00942D82"/>
    <w:rsid w:val="00963801"/>
    <w:rsid w:val="009A1647"/>
    <w:rsid w:val="009B3A0A"/>
    <w:rsid w:val="009D2A4C"/>
    <w:rsid w:val="00A56F93"/>
    <w:rsid w:val="00A604A8"/>
    <w:rsid w:val="00A67206"/>
    <w:rsid w:val="00AC129F"/>
    <w:rsid w:val="00AD7009"/>
    <w:rsid w:val="00AF1C5E"/>
    <w:rsid w:val="00B00EDA"/>
    <w:rsid w:val="00B37190"/>
    <w:rsid w:val="00B50D8C"/>
    <w:rsid w:val="00B8779D"/>
    <w:rsid w:val="00BA072D"/>
    <w:rsid w:val="00BE328F"/>
    <w:rsid w:val="00C024DF"/>
    <w:rsid w:val="00C067E7"/>
    <w:rsid w:val="00C219F6"/>
    <w:rsid w:val="00C6178F"/>
    <w:rsid w:val="00C64657"/>
    <w:rsid w:val="00C76D86"/>
    <w:rsid w:val="00CB7A22"/>
    <w:rsid w:val="00CD3399"/>
    <w:rsid w:val="00CF6AEA"/>
    <w:rsid w:val="00D07B87"/>
    <w:rsid w:val="00D25D45"/>
    <w:rsid w:val="00D81E13"/>
    <w:rsid w:val="00D81F79"/>
    <w:rsid w:val="00DA1393"/>
    <w:rsid w:val="00DA7233"/>
    <w:rsid w:val="00DC2C67"/>
    <w:rsid w:val="00DC4B4D"/>
    <w:rsid w:val="00DE6119"/>
    <w:rsid w:val="00E01E6F"/>
    <w:rsid w:val="00E35299"/>
    <w:rsid w:val="00E37E5C"/>
    <w:rsid w:val="00E44C7C"/>
    <w:rsid w:val="00E520A2"/>
    <w:rsid w:val="00E82C93"/>
    <w:rsid w:val="00E837D8"/>
    <w:rsid w:val="00E84B68"/>
    <w:rsid w:val="00EA5DD2"/>
    <w:rsid w:val="00EB7C75"/>
    <w:rsid w:val="00ED7AC1"/>
    <w:rsid w:val="00EE57B3"/>
    <w:rsid w:val="00F1611E"/>
    <w:rsid w:val="00F27953"/>
    <w:rsid w:val="00F855B9"/>
    <w:rsid w:val="00FC400B"/>
    <w:rsid w:val="00FC5211"/>
    <w:rsid w:val="00FE0640"/>
    <w:rsid w:val="00FE0AE9"/>
    <w:rsid w:val="00FF0B19"/>
    <w:rsid w:val="00FF4C9E"/>
    <w:rsid w:val="00FF7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GB"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5E1"/>
    <w:rPr>
      <w:rFonts w:ascii="Franklin Gothic Book" w:hAnsi="Franklin Gothic Book"/>
    </w:rPr>
  </w:style>
  <w:style w:type="paragraph" w:styleId="Heading1">
    <w:name w:val="heading 1"/>
    <w:basedOn w:val="Normal1"/>
    <w:next w:val="Normal1"/>
    <w:uiPriority w:val="9"/>
    <w:qFormat/>
    <w:rsid w:val="00FE0AE9"/>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17365D" w:themeColor="text2" w:themeShade="BF"/>
      <w:sz w:val="36"/>
      <w:szCs w:val="40"/>
    </w:rPr>
  </w:style>
  <w:style w:type="paragraph" w:styleId="Heading2">
    <w:name w:val="heading 2"/>
    <w:basedOn w:val="Normal1"/>
    <w:next w:val="Normal1"/>
    <w:uiPriority w:val="9"/>
    <w:unhideWhenUsed/>
    <w:qFormat/>
    <w:rsid w:val="001715E1"/>
    <w:pPr>
      <w:keepNext/>
      <w:keepLines/>
      <w:pBdr>
        <w:top w:val="nil"/>
        <w:left w:val="nil"/>
        <w:bottom w:val="nil"/>
        <w:right w:val="nil"/>
        <w:between w:val="nil"/>
      </w:pBdr>
      <w:tabs>
        <w:tab w:val="left" w:pos="426"/>
      </w:tabs>
      <w:spacing w:after="40" w:line="240" w:lineRule="auto"/>
      <w:ind w:left="425" w:hanging="425"/>
      <w:outlineLvl w:val="1"/>
    </w:pPr>
    <w:rPr>
      <w:rFonts w:ascii="Franklin Gothic Medium" w:hAnsi="Franklin Gothic Medium"/>
      <w:color w:val="17365D" w:themeColor="text2" w:themeShade="BF"/>
      <w:sz w:val="28"/>
      <w:szCs w:val="28"/>
    </w:rPr>
  </w:style>
  <w:style w:type="paragraph" w:styleId="Heading3">
    <w:name w:val="heading 3"/>
    <w:basedOn w:val="Heading2"/>
    <w:next w:val="Normal1"/>
    <w:uiPriority w:val="9"/>
    <w:unhideWhenUsed/>
    <w:qFormat/>
    <w:rsid w:val="00ED7AC1"/>
    <w:pPr>
      <w:outlineLvl w:val="2"/>
    </w:pPr>
    <w:rPr>
      <w:iCs/>
      <w:sz w:val="24"/>
      <w:szCs w:val="24"/>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after="60"/>
    </w:pPr>
    <w:rPr>
      <w:color w:val="000000"/>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jc w:val="left"/>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D25D45"/>
    <w:pPr>
      <w:spacing w:after="120"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D25D45"/>
    <w:rPr>
      <w:rFonts w:ascii="Franklin Gothic Book" w:hAnsi="Franklin Gothic Book"/>
      <w:color w:val="595959" w:themeColor="text1" w:themeTint="A6"/>
      <w:sz w:val="20"/>
      <w:szCs w:val="24"/>
    </w:rPr>
  </w:style>
  <w:style w:type="character" w:styleId="FootnoteReference">
    <w:name w:val="footnote reference"/>
    <w:aliases w:val="4_G,ftref,Footnote Reference1,Char Char,Footnote Reference1 Char,ftref Char,Char Char Char,Footnote Text Char2 Char,Footnote Text Char1 Char Char,Footnote Text Char Char Char Char,single space Char1 Char,ft Char1 Char,fr"/>
    <w:basedOn w:val="DefaultParagraphFont"/>
    <w:uiPriority w:val="99"/>
    <w:unhideWhenUsed/>
    <w:qFormat/>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03077B"/>
    <w:pPr>
      <w:tabs>
        <w:tab w:val="left" w:pos="567"/>
        <w:tab w:val="right" w:leader="dot" w:pos="9350"/>
      </w:tabs>
      <w:spacing w:after="100"/>
    </w:pPr>
    <w:rPr>
      <w:rFonts w:ascii="Franklin Gothic Book" w:hAnsi="Franklin Gothic Book"/>
    </w:rPr>
  </w:style>
  <w:style w:type="paragraph" w:styleId="TOC2">
    <w:name w:val="toc 2"/>
    <w:basedOn w:val="Normal"/>
    <w:next w:val="Normal"/>
    <w:autoRedefine/>
    <w:uiPriority w:val="39"/>
    <w:unhideWhenUsed/>
    <w:rsid w:val="00BF6E4E"/>
    <w:pPr>
      <w:spacing w:after="100"/>
      <w:ind w:left="220"/>
    </w:pPr>
  </w:style>
  <w:style w:type="paragraph" w:styleId="TOC3">
    <w:name w:val="toc 3"/>
    <w:basedOn w:val="Normal"/>
    <w:next w:val="Normal"/>
    <w:autoRedefine/>
    <w:uiPriority w:val="39"/>
    <w:unhideWhenUsed/>
    <w:rsid w:val="00BF6E4E"/>
    <w:pPr>
      <w:spacing w:after="100"/>
      <w:ind w:left="440"/>
    </w:pPr>
  </w:style>
  <w:style w:type="character" w:styleId="FollowedHyperlink">
    <w:name w:val="FollowedHyperlink"/>
    <w:basedOn w:val="DefaultParagraphFont"/>
    <w:uiPriority w:val="99"/>
    <w:semiHidden/>
    <w:unhideWhenUsed/>
    <w:rsid w:val="00952EA0"/>
    <w:rPr>
      <w:color w:val="800080"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styleId="UnresolvedMention">
    <w:name w:val="Unresolved Mention"/>
    <w:basedOn w:val="DefaultParagraphFont"/>
    <w:uiPriority w:val="99"/>
    <w:semiHidden/>
    <w:unhideWhenUsed/>
    <w:rsid w:val="00773397"/>
    <w:rPr>
      <w:color w:val="605E5C"/>
      <w:shd w:val="clear" w:color="auto" w:fill="E1DFDD"/>
    </w:rPr>
  </w:style>
  <w:style w:type="character" w:styleId="PageNumber">
    <w:name w:val="page number"/>
    <w:basedOn w:val="DefaultParagraphFont"/>
    <w:uiPriority w:val="99"/>
    <w:semiHidden/>
    <w:unhideWhenUsed/>
    <w:rsid w:val="006734C2"/>
  </w:style>
  <w:style w:type="paragraph" w:customStyle="1" w:styleId="SubParagraphs">
    <w:name w:val="SubParagraphs"/>
    <w:basedOn w:val="Normal"/>
    <w:qFormat/>
    <w:rsid w:val="00682E25"/>
    <w:rPr>
      <w:rFonts w:ascii="Franklin Gothic Medium" w:hAnsi="Franklin Gothic Medium"/>
      <w:color w:val="1F497D" w:themeColor="text2"/>
      <w:sz w:val="24"/>
      <w:szCs w:val="24"/>
    </w:rPr>
  </w:style>
  <w:style w:type="table" w:styleId="TableGrid">
    <w:name w:val="Table Grid"/>
    <w:basedOn w:val="TableNormal"/>
    <w:uiPriority w:val="59"/>
    <w:rsid w:val="00F32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82646A"/>
    <w:pPr>
      <w:suppressAutoHyphens/>
      <w:spacing w:after="120" w:line="240" w:lineRule="atLeast"/>
      <w:ind w:left="1134" w:right="1134"/>
    </w:pPr>
    <w:rPr>
      <w:rFonts w:ascii="Times New Roman" w:eastAsia="Times New Roman" w:hAnsi="Times New Roman" w:cs="Times New Roman"/>
      <w:sz w:val="20"/>
      <w:szCs w:val="20"/>
    </w:rPr>
  </w:style>
  <w:style w:type="paragraph" w:customStyle="1" w:styleId="H23G">
    <w:name w:val="_ H_2/3_G"/>
    <w:basedOn w:val="Normal"/>
    <w:next w:val="Normal"/>
    <w:rsid w:val="0082646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rPr>
  </w:style>
  <w:style w:type="paragraph" w:styleId="Revision">
    <w:name w:val="Revision"/>
    <w:hidden/>
    <w:uiPriority w:val="99"/>
    <w:semiHidden/>
    <w:rsid w:val="00437423"/>
    <w:pPr>
      <w:spacing w:line="240" w:lineRule="auto"/>
    </w:pPr>
    <w:rPr>
      <w:rFonts w:ascii="Franklin Gothic Book" w:hAnsi="Franklin Gothic Book"/>
    </w:rPr>
  </w:style>
  <w:style w:type="paragraph" w:styleId="NormalWeb">
    <w:name w:val="Normal (Web)"/>
    <w:basedOn w:val="Normal"/>
    <w:uiPriority w:val="99"/>
    <w:semiHidden/>
    <w:unhideWhenUsed/>
    <w:rsid w:val="006A41F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64AB"/>
  </w:style>
  <w:style w:type="character" w:styleId="Emphasis">
    <w:name w:val="Emphasis"/>
    <w:basedOn w:val="DefaultParagraphFont"/>
    <w:uiPriority w:val="20"/>
    <w:qFormat/>
    <w:rsid w:val="00ED7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1851">
      <w:bodyDiv w:val="1"/>
      <w:marLeft w:val="0"/>
      <w:marRight w:val="0"/>
      <w:marTop w:val="0"/>
      <w:marBottom w:val="0"/>
      <w:divBdr>
        <w:top w:val="none" w:sz="0" w:space="0" w:color="auto"/>
        <w:left w:val="none" w:sz="0" w:space="0" w:color="auto"/>
        <w:bottom w:val="none" w:sz="0" w:space="0" w:color="auto"/>
        <w:right w:val="none" w:sz="0" w:space="0" w:color="auto"/>
      </w:divBdr>
    </w:div>
    <w:div w:id="128057899">
      <w:bodyDiv w:val="1"/>
      <w:marLeft w:val="0"/>
      <w:marRight w:val="0"/>
      <w:marTop w:val="0"/>
      <w:marBottom w:val="0"/>
      <w:divBdr>
        <w:top w:val="none" w:sz="0" w:space="0" w:color="auto"/>
        <w:left w:val="none" w:sz="0" w:space="0" w:color="auto"/>
        <w:bottom w:val="none" w:sz="0" w:space="0" w:color="auto"/>
        <w:right w:val="none" w:sz="0" w:space="0" w:color="auto"/>
      </w:divBdr>
      <w:divsChild>
        <w:div w:id="251545412">
          <w:marLeft w:val="0"/>
          <w:marRight w:val="0"/>
          <w:marTop w:val="0"/>
          <w:marBottom w:val="0"/>
          <w:divBdr>
            <w:top w:val="none" w:sz="0" w:space="0" w:color="auto"/>
            <w:left w:val="none" w:sz="0" w:space="0" w:color="auto"/>
            <w:bottom w:val="none" w:sz="0" w:space="0" w:color="auto"/>
            <w:right w:val="none" w:sz="0" w:space="0" w:color="auto"/>
          </w:divBdr>
          <w:divsChild>
            <w:div w:id="629475592">
              <w:marLeft w:val="0"/>
              <w:marRight w:val="0"/>
              <w:marTop w:val="0"/>
              <w:marBottom w:val="0"/>
              <w:divBdr>
                <w:top w:val="none" w:sz="0" w:space="0" w:color="auto"/>
                <w:left w:val="none" w:sz="0" w:space="0" w:color="auto"/>
                <w:bottom w:val="none" w:sz="0" w:space="0" w:color="auto"/>
                <w:right w:val="none" w:sz="0" w:space="0" w:color="auto"/>
              </w:divBdr>
              <w:divsChild>
                <w:div w:id="3172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521">
      <w:bodyDiv w:val="1"/>
      <w:marLeft w:val="0"/>
      <w:marRight w:val="0"/>
      <w:marTop w:val="0"/>
      <w:marBottom w:val="0"/>
      <w:divBdr>
        <w:top w:val="none" w:sz="0" w:space="0" w:color="auto"/>
        <w:left w:val="none" w:sz="0" w:space="0" w:color="auto"/>
        <w:bottom w:val="none" w:sz="0" w:space="0" w:color="auto"/>
        <w:right w:val="none" w:sz="0" w:space="0" w:color="auto"/>
      </w:divBdr>
      <w:divsChild>
        <w:div w:id="629166833">
          <w:marLeft w:val="0"/>
          <w:marRight w:val="0"/>
          <w:marTop w:val="0"/>
          <w:marBottom w:val="0"/>
          <w:divBdr>
            <w:top w:val="none" w:sz="0" w:space="0" w:color="auto"/>
            <w:left w:val="none" w:sz="0" w:space="0" w:color="auto"/>
            <w:bottom w:val="none" w:sz="0" w:space="0" w:color="auto"/>
            <w:right w:val="none" w:sz="0" w:space="0" w:color="auto"/>
          </w:divBdr>
          <w:divsChild>
            <w:div w:id="2048682399">
              <w:marLeft w:val="0"/>
              <w:marRight w:val="0"/>
              <w:marTop w:val="0"/>
              <w:marBottom w:val="0"/>
              <w:divBdr>
                <w:top w:val="none" w:sz="0" w:space="0" w:color="auto"/>
                <w:left w:val="none" w:sz="0" w:space="0" w:color="auto"/>
                <w:bottom w:val="none" w:sz="0" w:space="0" w:color="auto"/>
                <w:right w:val="none" w:sz="0" w:space="0" w:color="auto"/>
              </w:divBdr>
              <w:divsChild>
                <w:div w:id="145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790">
      <w:bodyDiv w:val="1"/>
      <w:marLeft w:val="0"/>
      <w:marRight w:val="0"/>
      <w:marTop w:val="0"/>
      <w:marBottom w:val="0"/>
      <w:divBdr>
        <w:top w:val="none" w:sz="0" w:space="0" w:color="auto"/>
        <w:left w:val="none" w:sz="0" w:space="0" w:color="auto"/>
        <w:bottom w:val="none" w:sz="0" w:space="0" w:color="auto"/>
        <w:right w:val="none" w:sz="0" w:space="0" w:color="auto"/>
      </w:divBdr>
      <w:divsChild>
        <w:div w:id="180555233">
          <w:marLeft w:val="0"/>
          <w:marRight w:val="0"/>
          <w:marTop w:val="0"/>
          <w:marBottom w:val="0"/>
          <w:divBdr>
            <w:top w:val="none" w:sz="0" w:space="0" w:color="auto"/>
            <w:left w:val="none" w:sz="0" w:space="0" w:color="auto"/>
            <w:bottom w:val="none" w:sz="0" w:space="0" w:color="auto"/>
            <w:right w:val="none" w:sz="0" w:space="0" w:color="auto"/>
          </w:divBdr>
          <w:divsChild>
            <w:div w:id="662322661">
              <w:marLeft w:val="0"/>
              <w:marRight w:val="0"/>
              <w:marTop w:val="0"/>
              <w:marBottom w:val="0"/>
              <w:divBdr>
                <w:top w:val="none" w:sz="0" w:space="0" w:color="auto"/>
                <w:left w:val="none" w:sz="0" w:space="0" w:color="auto"/>
                <w:bottom w:val="none" w:sz="0" w:space="0" w:color="auto"/>
                <w:right w:val="none" w:sz="0" w:space="0" w:color="auto"/>
              </w:divBdr>
              <w:divsChild>
                <w:div w:id="310211963">
                  <w:marLeft w:val="0"/>
                  <w:marRight w:val="0"/>
                  <w:marTop w:val="0"/>
                  <w:marBottom w:val="0"/>
                  <w:divBdr>
                    <w:top w:val="none" w:sz="0" w:space="0" w:color="auto"/>
                    <w:left w:val="none" w:sz="0" w:space="0" w:color="auto"/>
                    <w:bottom w:val="none" w:sz="0" w:space="0" w:color="auto"/>
                    <w:right w:val="none" w:sz="0" w:space="0" w:color="auto"/>
                  </w:divBdr>
                  <w:divsChild>
                    <w:div w:id="796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2077">
      <w:bodyDiv w:val="1"/>
      <w:marLeft w:val="0"/>
      <w:marRight w:val="0"/>
      <w:marTop w:val="0"/>
      <w:marBottom w:val="0"/>
      <w:divBdr>
        <w:top w:val="none" w:sz="0" w:space="0" w:color="auto"/>
        <w:left w:val="none" w:sz="0" w:space="0" w:color="auto"/>
        <w:bottom w:val="none" w:sz="0" w:space="0" w:color="auto"/>
        <w:right w:val="none" w:sz="0" w:space="0" w:color="auto"/>
      </w:divBdr>
      <w:divsChild>
        <w:div w:id="1359772287">
          <w:marLeft w:val="0"/>
          <w:marRight w:val="0"/>
          <w:marTop w:val="0"/>
          <w:marBottom w:val="0"/>
          <w:divBdr>
            <w:top w:val="none" w:sz="0" w:space="0" w:color="auto"/>
            <w:left w:val="none" w:sz="0" w:space="0" w:color="auto"/>
            <w:bottom w:val="none" w:sz="0" w:space="0" w:color="auto"/>
            <w:right w:val="none" w:sz="0" w:space="0" w:color="auto"/>
          </w:divBdr>
          <w:divsChild>
            <w:div w:id="1560357569">
              <w:marLeft w:val="0"/>
              <w:marRight w:val="0"/>
              <w:marTop w:val="0"/>
              <w:marBottom w:val="0"/>
              <w:divBdr>
                <w:top w:val="none" w:sz="0" w:space="0" w:color="auto"/>
                <w:left w:val="none" w:sz="0" w:space="0" w:color="auto"/>
                <w:bottom w:val="none" w:sz="0" w:space="0" w:color="auto"/>
                <w:right w:val="none" w:sz="0" w:space="0" w:color="auto"/>
              </w:divBdr>
              <w:divsChild>
                <w:div w:id="132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6787">
      <w:bodyDiv w:val="1"/>
      <w:marLeft w:val="0"/>
      <w:marRight w:val="0"/>
      <w:marTop w:val="0"/>
      <w:marBottom w:val="0"/>
      <w:divBdr>
        <w:top w:val="none" w:sz="0" w:space="0" w:color="auto"/>
        <w:left w:val="none" w:sz="0" w:space="0" w:color="auto"/>
        <w:bottom w:val="none" w:sz="0" w:space="0" w:color="auto"/>
        <w:right w:val="none" w:sz="0" w:space="0" w:color="auto"/>
      </w:divBdr>
    </w:div>
    <w:div w:id="346369360">
      <w:bodyDiv w:val="1"/>
      <w:marLeft w:val="0"/>
      <w:marRight w:val="0"/>
      <w:marTop w:val="0"/>
      <w:marBottom w:val="0"/>
      <w:divBdr>
        <w:top w:val="none" w:sz="0" w:space="0" w:color="auto"/>
        <w:left w:val="none" w:sz="0" w:space="0" w:color="auto"/>
        <w:bottom w:val="none" w:sz="0" w:space="0" w:color="auto"/>
        <w:right w:val="none" w:sz="0" w:space="0" w:color="auto"/>
      </w:divBdr>
      <w:divsChild>
        <w:div w:id="2103866463">
          <w:marLeft w:val="0"/>
          <w:marRight w:val="0"/>
          <w:marTop w:val="0"/>
          <w:marBottom w:val="0"/>
          <w:divBdr>
            <w:top w:val="none" w:sz="0" w:space="0" w:color="auto"/>
            <w:left w:val="none" w:sz="0" w:space="0" w:color="auto"/>
            <w:bottom w:val="none" w:sz="0" w:space="0" w:color="auto"/>
            <w:right w:val="none" w:sz="0" w:space="0" w:color="auto"/>
          </w:divBdr>
          <w:divsChild>
            <w:div w:id="169957102">
              <w:marLeft w:val="0"/>
              <w:marRight w:val="0"/>
              <w:marTop w:val="0"/>
              <w:marBottom w:val="0"/>
              <w:divBdr>
                <w:top w:val="none" w:sz="0" w:space="0" w:color="auto"/>
                <w:left w:val="none" w:sz="0" w:space="0" w:color="auto"/>
                <w:bottom w:val="none" w:sz="0" w:space="0" w:color="auto"/>
                <w:right w:val="none" w:sz="0" w:space="0" w:color="auto"/>
              </w:divBdr>
              <w:divsChild>
                <w:div w:id="810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573">
      <w:bodyDiv w:val="1"/>
      <w:marLeft w:val="0"/>
      <w:marRight w:val="0"/>
      <w:marTop w:val="0"/>
      <w:marBottom w:val="0"/>
      <w:divBdr>
        <w:top w:val="none" w:sz="0" w:space="0" w:color="auto"/>
        <w:left w:val="none" w:sz="0" w:space="0" w:color="auto"/>
        <w:bottom w:val="none" w:sz="0" w:space="0" w:color="auto"/>
        <w:right w:val="none" w:sz="0" w:space="0" w:color="auto"/>
      </w:divBdr>
    </w:div>
    <w:div w:id="376204207">
      <w:bodyDiv w:val="1"/>
      <w:marLeft w:val="0"/>
      <w:marRight w:val="0"/>
      <w:marTop w:val="0"/>
      <w:marBottom w:val="0"/>
      <w:divBdr>
        <w:top w:val="none" w:sz="0" w:space="0" w:color="auto"/>
        <w:left w:val="none" w:sz="0" w:space="0" w:color="auto"/>
        <w:bottom w:val="none" w:sz="0" w:space="0" w:color="auto"/>
        <w:right w:val="none" w:sz="0" w:space="0" w:color="auto"/>
      </w:divBdr>
      <w:divsChild>
        <w:div w:id="1484156639">
          <w:marLeft w:val="0"/>
          <w:marRight w:val="0"/>
          <w:marTop w:val="0"/>
          <w:marBottom w:val="0"/>
          <w:divBdr>
            <w:top w:val="none" w:sz="0" w:space="0" w:color="auto"/>
            <w:left w:val="none" w:sz="0" w:space="0" w:color="auto"/>
            <w:bottom w:val="none" w:sz="0" w:space="0" w:color="auto"/>
            <w:right w:val="none" w:sz="0" w:space="0" w:color="auto"/>
          </w:divBdr>
          <w:divsChild>
            <w:div w:id="1112475821">
              <w:marLeft w:val="0"/>
              <w:marRight w:val="0"/>
              <w:marTop w:val="0"/>
              <w:marBottom w:val="0"/>
              <w:divBdr>
                <w:top w:val="none" w:sz="0" w:space="0" w:color="auto"/>
                <w:left w:val="none" w:sz="0" w:space="0" w:color="auto"/>
                <w:bottom w:val="none" w:sz="0" w:space="0" w:color="auto"/>
                <w:right w:val="none" w:sz="0" w:space="0" w:color="auto"/>
              </w:divBdr>
              <w:divsChild>
                <w:div w:id="5109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90766">
      <w:bodyDiv w:val="1"/>
      <w:marLeft w:val="0"/>
      <w:marRight w:val="0"/>
      <w:marTop w:val="0"/>
      <w:marBottom w:val="0"/>
      <w:divBdr>
        <w:top w:val="none" w:sz="0" w:space="0" w:color="auto"/>
        <w:left w:val="none" w:sz="0" w:space="0" w:color="auto"/>
        <w:bottom w:val="none" w:sz="0" w:space="0" w:color="auto"/>
        <w:right w:val="none" w:sz="0" w:space="0" w:color="auto"/>
      </w:divBdr>
    </w:div>
    <w:div w:id="908420014">
      <w:bodyDiv w:val="1"/>
      <w:marLeft w:val="0"/>
      <w:marRight w:val="0"/>
      <w:marTop w:val="0"/>
      <w:marBottom w:val="0"/>
      <w:divBdr>
        <w:top w:val="none" w:sz="0" w:space="0" w:color="auto"/>
        <w:left w:val="none" w:sz="0" w:space="0" w:color="auto"/>
        <w:bottom w:val="none" w:sz="0" w:space="0" w:color="auto"/>
        <w:right w:val="none" w:sz="0" w:space="0" w:color="auto"/>
      </w:divBdr>
      <w:divsChild>
        <w:div w:id="61678009">
          <w:marLeft w:val="0"/>
          <w:marRight w:val="0"/>
          <w:marTop w:val="0"/>
          <w:marBottom w:val="0"/>
          <w:divBdr>
            <w:top w:val="none" w:sz="0" w:space="0" w:color="auto"/>
            <w:left w:val="none" w:sz="0" w:space="0" w:color="auto"/>
            <w:bottom w:val="none" w:sz="0" w:space="0" w:color="auto"/>
            <w:right w:val="none" w:sz="0" w:space="0" w:color="auto"/>
          </w:divBdr>
          <w:divsChild>
            <w:div w:id="1536773793">
              <w:marLeft w:val="0"/>
              <w:marRight w:val="0"/>
              <w:marTop w:val="0"/>
              <w:marBottom w:val="0"/>
              <w:divBdr>
                <w:top w:val="none" w:sz="0" w:space="0" w:color="auto"/>
                <w:left w:val="none" w:sz="0" w:space="0" w:color="auto"/>
                <w:bottom w:val="none" w:sz="0" w:space="0" w:color="auto"/>
                <w:right w:val="none" w:sz="0" w:space="0" w:color="auto"/>
              </w:divBdr>
              <w:divsChild>
                <w:div w:id="21229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71347">
      <w:bodyDiv w:val="1"/>
      <w:marLeft w:val="0"/>
      <w:marRight w:val="0"/>
      <w:marTop w:val="0"/>
      <w:marBottom w:val="0"/>
      <w:divBdr>
        <w:top w:val="none" w:sz="0" w:space="0" w:color="auto"/>
        <w:left w:val="none" w:sz="0" w:space="0" w:color="auto"/>
        <w:bottom w:val="none" w:sz="0" w:space="0" w:color="auto"/>
        <w:right w:val="none" w:sz="0" w:space="0" w:color="auto"/>
      </w:divBdr>
      <w:divsChild>
        <w:div w:id="2056612689">
          <w:marLeft w:val="0"/>
          <w:marRight w:val="0"/>
          <w:marTop w:val="0"/>
          <w:marBottom w:val="0"/>
          <w:divBdr>
            <w:top w:val="none" w:sz="0" w:space="0" w:color="auto"/>
            <w:left w:val="none" w:sz="0" w:space="0" w:color="auto"/>
            <w:bottom w:val="none" w:sz="0" w:space="0" w:color="auto"/>
            <w:right w:val="none" w:sz="0" w:space="0" w:color="auto"/>
          </w:divBdr>
          <w:divsChild>
            <w:div w:id="2018654956">
              <w:marLeft w:val="0"/>
              <w:marRight w:val="0"/>
              <w:marTop w:val="0"/>
              <w:marBottom w:val="0"/>
              <w:divBdr>
                <w:top w:val="none" w:sz="0" w:space="0" w:color="auto"/>
                <w:left w:val="none" w:sz="0" w:space="0" w:color="auto"/>
                <w:bottom w:val="none" w:sz="0" w:space="0" w:color="auto"/>
                <w:right w:val="none" w:sz="0" w:space="0" w:color="auto"/>
              </w:divBdr>
              <w:divsChild>
                <w:div w:id="772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546">
      <w:bodyDiv w:val="1"/>
      <w:marLeft w:val="0"/>
      <w:marRight w:val="0"/>
      <w:marTop w:val="0"/>
      <w:marBottom w:val="0"/>
      <w:divBdr>
        <w:top w:val="none" w:sz="0" w:space="0" w:color="auto"/>
        <w:left w:val="none" w:sz="0" w:space="0" w:color="auto"/>
        <w:bottom w:val="none" w:sz="0" w:space="0" w:color="auto"/>
        <w:right w:val="none" w:sz="0" w:space="0" w:color="auto"/>
      </w:divBdr>
      <w:divsChild>
        <w:div w:id="1444377966">
          <w:marLeft w:val="0"/>
          <w:marRight w:val="0"/>
          <w:marTop w:val="0"/>
          <w:marBottom w:val="0"/>
          <w:divBdr>
            <w:top w:val="none" w:sz="0" w:space="0" w:color="auto"/>
            <w:left w:val="none" w:sz="0" w:space="0" w:color="auto"/>
            <w:bottom w:val="none" w:sz="0" w:space="0" w:color="auto"/>
            <w:right w:val="none" w:sz="0" w:space="0" w:color="auto"/>
          </w:divBdr>
          <w:divsChild>
            <w:div w:id="2009869624">
              <w:marLeft w:val="0"/>
              <w:marRight w:val="0"/>
              <w:marTop w:val="0"/>
              <w:marBottom w:val="0"/>
              <w:divBdr>
                <w:top w:val="none" w:sz="0" w:space="0" w:color="auto"/>
                <w:left w:val="none" w:sz="0" w:space="0" w:color="auto"/>
                <w:bottom w:val="none" w:sz="0" w:space="0" w:color="auto"/>
                <w:right w:val="none" w:sz="0" w:space="0" w:color="auto"/>
              </w:divBdr>
              <w:divsChild>
                <w:div w:id="738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6865">
      <w:bodyDiv w:val="1"/>
      <w:marLeft w:val="0"/>
      <w:marRight w:val="0"/>
      <w:marTop w:val="0"/>
      <w:marBottom w:val="0"/>
      <w:divBdr>
        <w:top w:val="none" w:sz="0" w:space="0" w:color="auto"/>
        <w:left w:val="none" w:sz="0" w:space="0" w:color="auto"/>
        <w:bottom w:val="none" w:sz="0" w:space="0" w:color="auto"/>
        <w:right w:val="none" w:sz="0" w:space="0" w:color="auto"/>
      </w:divBdr>
      <w:divsChild>
        <w:div w:id="624430973">
          <w:marLeft w:val="0"/>
          <w:marRight w:val="0"/>
          <w:marTop w:val="0"/>
          <w:marBottom w:val="0"/>
          <w:divBdr>
            <w:top w:val="none" w:sz="0" w:space="0" w:color="auto"/>
            <w:left w:val="none" w:sz="0" w:space="0" w:color="auto"/>
            <w:bottom w:val="none" w:sz="0" w:space="0" w:color="auto"/>
            <w:right w:val="none" w:sz="0" w:space="0" w:color="auto"/>
          </w:divBdr>
          <w:divsChild>
            <w:div w:id="1788937000">
              <w:marLeft w:val="0"/>
              <w:marRight w:val="0"/>
              <w:marTop w:val="0"/>
              <w:marBottom w:val="0"/>
              <w:divBdr>
                <w:top w:val="none" w:sz="0" w:space="0" w:color="auto"/>
                <w:left w:val="none" w:sz="0" w:space="0" w:color="auto"/>
                <w:bottom w:val="none" w:sz="0" w:space="0" w:color="auto"/>
                <w:right w:val="none" w:sz="0" w:space="0" w:color="auto"/>
              </w:divBdr>
              <w:divsChild>
                <w:div w:id="1748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250">
      <w:bodyDiv w:val="1"/>
      <w:marLeft w:val="0"/>
      <w:marRight w:val="0"/>
      <w:marTop w:val="0"/>
      <w:marBottom w:val="0"/>
      <w:divBdr>
        <w:top w:val="none" w:sz="0" w:space="0" w:color="auto"/>
        <w:left w:val="none" w:sz="0" w:space="0" w:color="auto"/>
        <w:bottom w:val="none" w:sz="0" w:space="0" w:color="auto"/>
        <w:right w:val="none" w:sz="0" w:space="0" w:color="auto"/>
      </w:divBdr>
      <w:divsChild>
        <w:div w:id="629751637">
          <w:marLeft w:val="0"/>
          <w:marRight w:val="0"/>
          <w:marTop w:val="0"/>
          <w:marBottom w:val="0"/>
          <w:divBdr>
            <w:top w:val="none" w:sz="0" w:space="0" w:color="auto"/>
            <w:left w:val="none" w:sz="0" w:space="0" w:color="auto"/>
            <w:bottom w:val="none" w:sz="0" w:space="0" w:color="auto"/>
            <w:right w:val="none" w:sz="0" w:space="0" w:color="auto"/>
          </w:divBdr>
          <w:divsChild>
            <w:div w:id="982350534">
              <w:marLeft w:val="0"/>
              <w:marRight w:val="0"/>
              <w:marTop w:val="0"/>
              <w:marBottom w:val="0"/>
              <w:divBdr>
                <w:top w:val="none" w:sz="0" w:space="0" w:color="auto"/>
                <w:left w:val="none" w:sz="0" w:space="0" w:color="auto"/>
                <w:bottom w:val="none" w:sz="0" w:space="0" w:color="auto"/>
                <w:right w:val="none" w:sz="0" w:space="0" w:color="auto"/>
              </w:divBdr>
              <w:divsChild>
                <w:div w:id="5883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8691">
      <w:bodyDiv w:val="1"/>
      <w:marLeft w:val="0"/>
      <w:marRight w:val="0"/>
      <w:marTop w:val="0"/>
      <w:marBottom w:val="0"/>
      <w:divBdr>
        <w:top w:val="none" w:sz="0" w:space="0" w:color="auto"/>
        <w:left w:val="none" w:sz="0" w:space="0" w:color="auto"/>
        <w:bottom w:val="none" w:sz="0" w:space="0" w:color="auto"/>
        <w:right w:val="none" w:sz="0" w:space="0" w:color="auto"/>
      </w:divBdr>
    </w:div>
    <w:div w:id="1047871323">
      <w:bodyDiv w:val="1"/>
      <w:marLeft w:val="0"/>
      <w:marRight w:val="0"/>
      <w:marTop w:val="0"/>
      <w:marBottom w:val="0"/>
      <w:divBdr>
        <w:top w:val="none" w:sz="0" w:space="0" w:color="auto"/>
        <w:left w:val="none" w:sz="0" w:space="0" w:color="auto"/>
        <w:bottom w:val="none" w:sz="0" w:space="0" w:color="auto"/>
        <w:right w:val="none" w:sz="0" w:space="0" w:color="auto"/>
      </w:divBdr>
      <w:divsChild>
        <w:div w:id="1832331108">
          <w:marLeft w:val="0"/>
          <w:marRight w:val="0"/>
          <w:marTop w:val="0"/>
          <w:marBottom w:val="0"/>
          <w:divBdr>
            <w:top w:val="none" w:sz="0" w:space="0" w:color="auto"/>
            <w:left w:val="none" w:sz="0" w:space="0" w:color="auto"/>
            <w:bottom w:val="none" w:sz="0" w:space="0" w:color="auto"/>
            <w:right w:val="none" w:sz="0" w:space="0" w:color="auto"/>
          </w:divBdr>
          <w:divsChild>
            <w:div w:id="173037740">
              <w:marLeft w:val="0"/>
              <w:marRight w:val="0"/>
              <w:marTop w:val="0"/>
              <w:marBottom w:val="0"/>
              <w:divBdr>
                <w:top w:val="none" w:sz="0" w:space="0" w:color="auto"/>
                <w:left w:val="none" w:sz="0" w:space="0" w:color="auto"/>
                <w:bottom w:val="none" w:sz="0" w:space="0" w:color="auto"/>
                <w:right w:val="none" w:sz="0" w:space="0" w:color="auto"/>
              </w:divBdr>
              <w:divsChild>
                <w:div w:id="1527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877">
      <w:bodyDiv w:val="1"/>
      <w:marLeft w:val="0"/>
      <w:marRight w:val="0"/>
      <w:marTop w:val="0"/>
      <w:marBottom w:val="0"/>
      <w:divBdr>
        <w:top w:val="none" w:sz="0" w:space="0" w:color="auto"/>
        <w:left w:val="none" w:sz="0" w:space="0" w:color="auto"/>
        <w:bottom w:val="none" w:sz="0" w:space="0" w:color="auto"/>
        <w:right w:val="none" w:sz="0" w:space="0" w:color="auto"/>
      </w:divBdr>
    </w:div>
    <w:div w:id="1141658321">
      <w:bodyDiv w:val="1"/>
      <w:marLeft w:val="0"/>
      <w:marRight w:val="0"/>
      <w:marTop w:val="0"/>
      <w:marBottom w:val="0"/>
      <w:divBdr>
        <w:top w:val="none" w:sz="0" w:space="0" w:color="auto"/>
        <w:left w:val="none" w:sz="0" w:space="0" w:color="auto"/>
        <w:bottom w:val="none" w:sz="0" w:space="0" w:color="auto"/>
        <w:right w:val="none" w:sz="0" w:space="0" w:color="auto"/>
      </w:divBdr>
      <w:divsChild>
        <w:div w:id="61225239">
          <w:marLeft w:val="0"/>
          <w:marRight w:val="0"/>
          <w:marTop w:val="0"/>
          <w:marBottom w:val="0"/>
          <w:divBdr>
            <w:top w:val="none" w:sz="0" w:space="0" w:color="auto"/>
            <w:left w:val="none" w:sz="0" w:space="0" w:color="auto"/>
            <w:bottom w:val="none" w:sz="0" w:space="0" w:color="auto"/>
            <w:right w:val="none" w:sz="0" w:space="0" w:color="auto"/>
          </w:divBdr>
          <w:divsChild>
            <w:div w:id="601494306">
              <w:marLeft w:val="0"/>
              <w:marRight w:val="0"/>
              <w:marTop w:val="0"/>
              <w:marBottom w:val="0"/>
              <w:divBdr>
                <w:top w:val="none" w:sz="0" w:space="0" w:color="auto"/>
                <w:left w:val="none" w:sz="0" w:space="0" w:color="auto"/>
                <w:bottom w:val="none" w:sz="0" w:space="0" w:color="auto"/>
                <w:right w:val="none" w:sz="0" w:space="0" w:color="auto"/>
              </w:divBdr>
              <w:divsChild>
                <w:div w:id="1519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5866">
      <w:bodyDiv w:val="1"/>
      <w:marLeft w:val="0"/>
      <w:marRight w:val="0"/>
      <w:marTop w:val="0"/>
      <w:marBottom w:val="0"/>
      <w:divBdr>
        <w:top w:val="none" w:sz="0" w:space="0" w:color="auto"/>
        <w:left w:val="none" w:sz="0" w:space="0" w:color="auto"/>
        <w:bottom w:val="none" w:sz="0" w:space="0" w:color="auto"/>
        <w:right w:val="none" w:sz="0" w:space="0" w:color="auto"/>
      </w:divBdr>
    </w:div>
    <w:div w:id="1315916121">
      <w:bodyDiv w:val="1"/>
      <w:marLeft w:val="0"/>
      <w:marRight w:val="0"/>
      <w:marTop w:val="0"/>
      <w:marBottom w:val="0"/>
      <w:divBdr>
        <w:top w:val="none" w:sz="0" w:space="0" w:color="auto"/>
        <w:left w:val="none" w:sz="0" w:space="0" w:color="auto"/>
        <w:bottom w:val="none" w:sz="0" w:space="0" w:color="auto"/>
        <w:right w:val="none" w:sz="0" w:space="0" w:color="auto"/>
      </w:divBdr>
      <w:divsChild>
        <w:div w:id="571476514">
          <w:marLeft w:val="0"/>
          <w:marRight w:val="0"/>
          <w:marTop w:val="0"/>
          <w:marBottom w:val="0"/>
          <w:divBdr>
            <w:top w:val="none" w:sz="0" w:space="0" w:color="auto"/>
            <w:left w:val="none" w:sz="0" w:space="0" w:color="auto"/>
            <w:bottom w:val="none" w:sz="0" w:space="0" w:color="auto"/>
            <w:right w:val="none" w:sz="0" w:space="0" w:color="auto"/>
          </w:divBdr>
          <w:divsChild>
            <w:div w:id="1173759326">
              <w:marLeft w:val="0"/>
              <w:marRight w:val="0"/>
              <w:marTop w:val="0"/>
              <w:marBottom w:val="0"/>
              <w:divBdr>
                <w:top w:val="none" w:sz="0" w:space="0" w:color="auto"/>
                <w:left w:val="none" w:sz="0" w:space="0" w:color="auto"/>
                <w:bottom w:val="none" w:sz="0" w:space="0" w:color="auto"/>
                <w:right w:val="none" w:sz="0" w:space="0" w:color="auto"/>
              </w:divBdr>
              <w:divsChild>
                <w:div w:id="1225946636">
                  <w:marLeft w:val="0"/>
                  <w:marRight w:val="0"/>
                  <w:marTop w:val="0"/>
                  <w:marBottom w:val="0"/>
                  <w:divBdr>
                    <w:top w:val="none" w:sz="0" w:space="0" w:color="auto"/>
                    <w:left w:val="none" w:sz="0" w:space="0" w:color="auto"/>
                    <w:bottom w:val="none" w:sz="0" w:space="0" w:color="auto"/>
                    <w:right w:val="none" w:sz="0" w:space="0" w:color="auto"/>
                  </w:divBdr>
                </w:div>
              </w:divsChild>
            </w:div>
            <w:div w:id="208080094">
              <w:marLeft w:val="0"/>
              <w:marRight w:val="0"/>
              <w:marTop w:val="0"/>
              <w:marBottom w:val="0"/>
              <w:divBdr>
                <w:top w:val="none" w:sz="0" w:space="0" w:color="auto"/>
                <w:left w:val="none" w:sz="0" w:space="0" w:color="auto"/>
                <w:bottom w:val="none" w:sz="0" w:space="0" w:color="auto"/>
                <w:right w:val="none" w:sz="0" w:space="0" w:color="auto"/>
              </w:divBdr>
              <w:divsChild>
                <w:div w:id="326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7663">
      <w:bodyDiv w:val="1"/>
      <w:marLeft w:val="0"/>
      <w:marRight w:val="0"/>
      <w:marTop w:val="0"/>
      <w:marBottom w:val="0"/>
      <w:divBdr>
        <w:top w:val="none" w:sz="0" w:space="0" w:color="auto"/>
        <w:left w:val="none" w:sz="0" w:space="0" w:color="auto"/>
        <w:bottom w:val="none" w:sz="0" w:space="0" w:color="auto"/>
        <w:right w:val="none" w:sz="0" w:space="0" w:color="auto"/>
      </w:divBdr>
      <w:divsChild>
        <w:div w:id="1248268451">
          <w:marLeft w:val="0"/>
          <w:marRight w:val="0"/>
          <w:marTop w:val="0"/>
          <w:marBottom w:val="0"/>
          <w:divBdr>
            <w:top w:val="none" w:sz="0" w:space="0" w:color="auto"/>
            <w:left w:val="none" w:sz="0" w:space="0" w:color="auto"/>
            <w:bottom w:val="none" w:sz="0" w:space="0" w:color="auto"/>
            <w:right w:val="none" w:sz="0" w:space="0" w:color="auto"/>
          </w:divBdr>
          <w:divsChild>
            <w:div w:id="880164547">
              <w:marLeft w:val="0"/>
              <w:marRight w:val="0"/>
              <w:marTop w:val="0"/>
              <w:marBottom w:val="0"/>
              <w:divBdr>
                <w:top w:val="none" w:sz="0" w:space="0" w:color="auto"/>
                <w:left w:val="none" w:sz="0" w:space="0" w:color="auto"/>
                <w:bottom w:val="none" w:sz="0" w:space="0" w:color="auto"/>
                <w:right w:val="none" w:sz="0" w:space="0" w:color="auto"/>
              </w:divBdr>
              <w:divsChild>
                <w:div w:id="2080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990">
      <w:bodyDiv w:val="1"/>
      <w:marLeft w:val="0"/>
      <w:marRight w:val="0"/>
      <w:marTop w:val="0"/>
      <w:marBottom w:val="0"/>
      <w:divBdr>
        <w:top w:val="none" w:sz="0" w:space="0" w:color="auto"/>
        <w:left w:val="none" w:sz="0" w:space="0" w:color="auto"/>
        <w:bottom w:val="none" w:sz="0" w:space="0" w:color="auto"/>
        <w:right w:val="none" w:sz="0" w:space="0" w:color="auto"/>
      </w:divBdr>
      <w:divsChild>
        <w:div w:id="2118137208">
          <w:marLeft w:val="0"/>
          <w:marRight w:val="0"/>
          <w:marTop w:val="0"/>
          <w:marBottom w:val="0"/>
          <w:divBdr>
            <w:top w:val="none" w:sz="0" w:space="0" w:color="auto"/>
            <w:left w:val="none" w:sz="0" w:space="0" w:color="auto"/>
            <w:bottom w:val="none" w:sz="0" w:space="0" w:color="auto"/>
            <w:right w:val="none" w:sz="0" w:space="0" w:color="auto"/>
          </w:divBdr>
          <w:divsChild>
            <w:div w:id="323357273">
              <w:marLeft w:val="0"/>
              <w:marRight w:val="0"/>
              <w:marTop w:val="0"/>
              <w:marBottom w:val="0"/>
              <w:divBdr>
                <w:top w:val="none" w:sz="0" w:space="0" w:color="auto"/>
                <w:left w:val="none" w:sz="0" w:space="0" w:color="auto"/>
                <w:bottom w:val="none" w:sz="0" w:space="0" w:color="auto"/>
                <w:right w:val="none" w:sz="0" w:space="0" w:color="auto"/>
              </w:divBdr>
              <w:divsChild>
                <w:div w:id="16164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25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066">
          <w:marLeft w:val="0"/>
          <w:marRight w:val="0"/>
          <w:marTop w:val="0"/>
          <w:marBottom w:val="0"/>
          <w:divBdr>
            <w:top w:val="none" w:sz="0" w:space="0" w:color="auto"/>
            <w:left w:val="none" w:sz="0" w:space="0" w:color="auto"/>
            <w:bottom w:val="none" w:sz="0" w:space="0" w:color="auto"/>
            <w:right w:val="none" w:sz="0" w:space="0" w:color="auto"/>
          </w:divBdr>
          <w:divsChild>
            <w:div w:id="1775442629">
              <w:marLeft w:val="0"/>
              <w:marRight w:val="0"/>
              <w:marTop w:val="0"/>
              <w:marBottom w:val="0"/>
              <w:divBdr>
                <w:top w:val="none" w:sz="0" w:space="0" w:color="auto"/>
                <w:left w:val="none" w:sz="0" w:space="0" w:color="auto"/>
                <w:bottom w:val="none" w:sz="0" w:space="0" w:color="auto"/>
                <w:right w:val="none" w:sz="0" w:space="0" w:color="auto"/>
              </w:divBdr>
              <w:divsChild>
                <w:div w:id="1266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038">
      <w:bodyDiv w:val="1"/>
      <w:marLeft w:val="0"/>
      <w:marRight w:val="0"/>
      <w:marTop w:val="0"/>
      <w:marBottom w:val="0"/>
      <w:divBdr>
        <w:top w:val="none" w:sz="0" w:space="0" w:color="auto"/>
        <w:left w:val="none" w:sz="0" w:space="0" w:color="auto"/>
        <w:bottom w:val="none" w:sz="0" w:space="0" w:color="auto"/>
        <w:right w:val="none" w:sz="0" w:space="0" w:color="auto"/>
      </w:divBdr>
      <w:divsChild>
        <w:div w:id="2121024129">
          <w:marLeft w:val="0"/>
          <w:marRight w:val="0"/>
          <w:marTop w:val="0"/>
          <w:marBottom w:val="0"/>
          <w:divBdr>
            <w:top w:val="none" w:sz="0" w:space="0" w:color="auto"/>
            <w:left w:val="none" w:sz="0" w:space="0" w:color="auto"/>
            <w:bottom w:val="none" w:sz="0" w:space="0" w:color="auto"/>
            <w:right w:val="none" w:sz="0" w:space="0" w:color="auto"/>
          </w:divBdr>
          <w:divsChild>
            <w:div w:id="764693863">
              <w:marLeft w:val="0"/>
              <w:marRight w:val="0"/>
              <w:marTop w:val="0"/>
              <w:marBottom w:val="0"/>
              <w:divBdr>
                <w:top w:val="none" w:sz="0" w:space="0" w:color="auto"/>
                <w:left w:val="none" w:sz="0" w:space="0" w:color="auto"/>
                <w:bottom w:val="none" w:sz="0" w:space="0" w:color="auto"/>
                <w:right w:val="none" w:sz="0" w:space="0" w:color="auto"/>
              </w:divBdr>
              <w:divsChild>
                <w:div w:id="2121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202">
      <w:bodyDiv w:val="1"/>
      <w:marLeft w:val="0"/>
      <w:marRight w:val="0"/>
      <w:marTop w:val="0"/>
      <w:marBottom w:val="0"/>
      <w:divBdr>
        <w:top w:val="none" w:sz="0" w:space="0" w:color="auto"/>
        <w:left w:val="none" w:sz="0" w:space="0" w:color="auto"/>
        <w:bottom w:val="none" w:sz="0" w:space="0" w:color="auto"/>
        <w:right w:val="none" w:sz="0" w:space="0" w:color="auto"/>
      </w:divBdr>
      <w:divsChild>
        <w:div w:id="967593014">
          <w:marLeft w:val="0"/>
          <w:marRight w:val="0"/>
          <w:marTop w:val="0"/>
          <w:marBottom w:val="0"/>
          <w:divBdr>
            <w:top w:val="none" w:sz="0" w:space="0" w:color="auto"/>
            <w:left w:val="none" w:sz="0" w:space="0" w:color="auto"/>
            <w:bottom w:val="none" w:sz="0" w:space="0" w:color="auto"/>
            <w:right w:val="none" w:sz="0" w:space="0" w:color="auto"/>
          </w:divBdr>
          <w:divsChild>
            <w:div w:id="691493549">
              <w:marLeft w:val="0"/>
              <w:marRight w:val="0"/>
              <w:marTop w:val="0"/>
              <w:marBottom w:val="0"/>
              <w:divBdr>
                <w:top w:val="none" w:sz="0" w:space="0" w:color="auto"/>
                <w:left w:val="none" w:sz="0" w:space="0" w:color="auto"/>
                <w:bottom w:val="none" w:sz="0" w:space="0" w:color="auto"/>
                <w:right w:val="none" w:sz="0" w:space="0" w:color="auto"/>
              </w:divBdr>
              <w:divsChild>
                <w:div w:id="14773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4673">
      <w:bodyDiv w:val="1"/>
      <w:marLeft w:val="0"/>
      <w:marRight w:val="0"/>
      <w:marTop w:val="0"/>
      <w:marBottom w:val="0"/>
      <w:divBdr>
        <w:top w:val="none" w:sz="0" w:space="0" w:color="auto"/>
        <w:left w:val="none" w:sz="0" w:space="0" w:color="auto"/>
        <w:bottom w:val="none" w:sz="0" w:space="0" w:color="auto"/>
        <w:right w:val="none" w:sz="0" w:space="0" w:color="auto"/>
      </w:divBdr>
      <w:divsChild>
        <w:div w:id="685254554">
          <w:marLeft w:val="0"/>
          <w:marRight w:val="0"/>
          <w:marTop w:val="0"/>
          <w:marBottom w:val="0"/>
          <w:divBdr>
            <w:top w:val="none" w:sz="0" w:space="0" w:color="auto"/>
            <w:left w:val="none" w:sz="0" w:space="0" w:color="auto"/>
            <w:bottom w:val="none" w:sz="0" w:space="0" w:color="auto"/>
            <w:right w:val="none" w:sz="0" w:space="0" w:color="auto"/>
          </w:divBdr>
          <w:divsChild>
            <w:div w:id="1256134742">
              <w:marLeft w:val="0"/>
              <w:marRight w:val="0"/>
              <w:marTop w:val="0"/>
              <w:marBottom w:val="0"/>
              <w:divBdr>
                <w:top w:val="none" w:sz="0" w:space="0" w:color="auto"/>
                <w:left w:val="none" w:sz="0" w:space="0" w:color="auto"/>
                <w:bottom w:val="none" w:sz="0" w:space="0" w:color="auto"/>
                <w:right w:val="none" w:sz="0" w:space="0" w:color="auto"/>
              </w:divBdr>
              <w:divsChild>
                <w:div w:id="1869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481">
      <w:bodyDiv w:val="1"/>
      <w:marLeft w:val="0"/>
      <w:marRight w:val="0"/>
      <w:marTop w:val="0"/>
      <w:marBottom w:val="0"/>
      <w:divBdr>
        <w:top w:val="none" w:sz="0" w:space="0" w:color="auto"/>
        <w:left w:val="none" w:sz="0" w:space="0" w:color="auto"/>
        <w:bottom w:val="none" w:sz="0" w:space="0" w:color="auto"/>
        <w:right w:val="none" w:sz="0" w:space="0" w:color="auto"/>
      </w:divBdr>
    </w:div>
    <w:div w:id="1809857511">
      <w:bodyDiv w:val="1"/>
      <w:marLeft w:val="0"/>
      <w:marRight w:val="0"/>
      <w:marTop w:val="0"/>
      <w:marBottom w:val="0"/>
      <w:divBdr>
        <w:top w:val="none" w:sz="0" w:space="0" w:color="auto"/>
        <w:left w:val="none" w:sz="0" w:space="0" w:color="auto"/>
        <w:bottom w:val="none" w:sz="0" w:space="0" w:color="auto"/>
        <w:right w:val="none" w:sz="0" w:space="0" w:color="auto"/>
      </w:divBdr>
      <w:divsChild>
        <w:div w:id="1651248802">
          <w:marLeft w:val="0"/>
          <w:marRight w:val="0"/>
          <w:marTop w:val="0"/>
          <w:marBottom w:val="0"/>
          <w:divBdr>
            <w:top w:val="none" w:sz="0" w:space="0" w:color="auto"/>
            <w:left w:val="none" w:sz="0" w:space="0" w:color="auto"/>
            <w:bottom w:val="none" w:sz="0" w:space="0" w:color="auto"/>
            <w:right w:val="none" w:sz="0" w:space="0" w:color="auto"/>
          </w:divBdr>
          <w:divsChild>
            <w:div w:id="208886893">
              <w:marLeft w:val="0"/>
              <w:marRight w:val="0"/>
              <w:marTop w:val="0"/>
              <w:marBottom w:val="0"/>
              <w:divBdr>
                <w:top w:val="none" w:sz="0" w:space="0" w:color="auto"/>
                <w:left w:val="none" w:sz="0" w:space="0" w:color="auto"/>
                <w:bottom w:val="none" w:sz="0" w:space="0" w:color="auto"/>
                <w:right w:val="none" w:sz="0" w:space="0" w:color="auto"/>
              </w:divBdr>
              <w:divsChild>
                <w:div w:id="464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585">
      <w:bodyDiv w:val="1"/>
      <w:marLeft w:val="0"/>
      <w:marRight w:val="0"/>
      <w:marTop w:val="0"/>
      <w:marBottom w:val="0"/>
      <w:divBdr>
        <w:top w:val="none" w:sz="0" w:space="0" w:color="auto"/>
        <w:left w:val="none" w:sz="0" w:space="0" w:color="auto"/>
        <w:bottom w:val="none" w:sz="0" w:space="0" w:color="auto"/>
        <w:right w:val="none" w:sz="0" w:space="0" w:color="auto"/>
      </w:divBdr>
      <w:divsChild>
        <w:div w:id="1324813716">
          <w:marLeft w:val="0"/>
          <w:marRight w:val="0"/>
          <w:marTop w:val="0"/>
          <w:marBottom w:val="0"/>
          <w:divBdr>
            <w:top w:val="none" w:sz="0" w:space="0" w:color="auto"/>
            <w:left w:val="none" w:sz="0" w:space="0" w:color="auto"/>
            <w:bottom w:val="none" w:sz="0" w:space="0" w:color="auto"/>
            <w:right w:val="none" w:sz="0" w:space="0" w:color="auto"/>
          </w:divBdr>
          <w:divsChild>
            <w:div w:id="1424840111">
              <w:marLeft w:val="0"/>
              <w:marRight w:val="0"/>
              <w:marTop w:val="0"/>
              <w:marBottom w:val="0"/>
              <w:divBdr>
                <w:top w:val="none" w:sz="0" w:space="0" w:color="auto"/>
                <w:left w:val="none" w:sz="0" w:space="0" w:color="auto"/>
                <w:bottom w:val="none" w:sz="0" w:space="0" w:color="auto"/>
                <w:right w:val="none" w:sz="0" w:space="0" w:color="auto"/>
              </w:divBdr>
              <w:divsChild>
                <w:div w:id="1330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2518">
      <w:bodyDiv w:val="1"/>
      <w:marLeft w:val="0"/>
      <w:marRight w:val="0"/>
      <w:marTop w:val="0"/>
      <w:marBottom w:val="0"/>
      <w:divBdr>
        <w:top w:val="none" w:sz="0" w:space="0" w:color="auto"/>
        <w:left w:val="none" w:sz="0" w:space="0" w:color="auto"/>
        <w:bottom w:val="none" w:sz="0" w:space="0" w:color="auto"/>
        <w:right w:val="none" w:sz="0" w:space="0" w:color="auto"/>
      </w:divBdr>
      <w:divsChild>
        <w:div w:id="68938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5748">
              <w:marLeft w:val="0"/>
              <w:marRight w:val="0"/>
              <w:marTop w:val="0"/>
              <w:marBottom w:val="0"/>
              <w:divBdr>
                <w:top w:val="none" w:sz="0" w:space="0" w:color="auto"/>
                <w:left w:val="none" w:sz="0" w:space="0" w:color="auto"/>
                <w:bottom w:val="none" w:sz="0" w:space="0" w:color="auto"/>
                <w:right w:val="none" w:sz="0" w:space="0" w:color="auto"/>
              </w:divBdr>
              <w:divsChild>
                <w:div w:id="2039889016">
                  <w:marLeft w:val="0"/>
                  <w:marRight w:val="0"/>
                  <w:marTop w:val="0"/>
                  <w:marBottom w:val="0"/>
                  <w:divBdr>
                    <w:top w:val="none" w:sz="0" w:space="0" w:color="auto"/>
                    <w:left w:val="none" w:sz="0" w:space="0" w:color="auto"/>
                    <w:bottom w:val="none" w:sz="0" w:space="0" w:color="auto"/>
                    <w:right w:val="none" w:sz="0" w:space="0" w:color="auto"/>
                  </w:divBdr>
                  <w:divsChild>
                    <w:div w:id="601107702">
                      <w:marLeft w:val="0"/>
                      <w:marRight w:val="0"/>
                      <w:marTop w:val="0"/>
                      <w:marBottom w:val="0"/>
                      <w:divBdr>
                        <w:top w:val="none" w:sz="0" w:space="0" w:color="auto"/>
                        <w:left w:val="none" w:sz="0" w:space="0" w:color="auto"/>
                        <w:bottom w:val="none" w:sz="0" w:space="0" w:color="auto"/>
                        <w:right w:val="none" w:sz="0" w:space="0" w:color="auto"/>
                      </w:divBdr>
                      <w:divsChild>
                        <w:div w:id="1009061396">
                          <w:marLeft w:val="0"/>
                          <w:marRight w:val="0"/>
                          <w:marTop w:val="0"/>
                          <w:marBottom w:val="0"/>
                          <w:divBdr>
                            <w:top w:val="none" w:sz="0" w:space="0" w:color="auto"/>
                            <w:left w:val="none" w:sz="0" w:space="0" w:color="auto"/>
                            <w:bottom w:val="none" w:sz="0" w:space="0" w:color="auto"/>
                            <w:right w:val="none" w:sz="0" w:space="0" w:color="auto"/>
                          </w:divBdr>
                          <w:divsChild>
                            <w:div w:id="6174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642">
                                  <w:marLeft w:val="0"/>
                                  <w:marRight w:val="0"/>
                                  <w:marTop w:val="0"/>
                                  <w:marBottom w:val="0"/>
                                  <w:divBdr>
                                    <w:top w:val="none" w:sz="0" w:space="0" w:color="auto"/>
                                    <w:left w:val="none" w:sz="0" w:space="0" w:color="auto"/>
                                    <w:bottom w:val="none" w:sz="0" w:space="0" w:color="auto"/>
                                    <w:right w:val="none" w:sz="0" w:space="0" w:color="auto"/>
                                  </w:divBdr>
                                  <w:divsChild>
                                    <w:div w:id="1725325623">
                                      <w:marLeft w:val="0"/>
                                      <w:marRight w:val="0"/>
                                      <w:marTop w:val="0"/>
                                      <w:marBottom w:val="0"/>
                                      <w:divBdr>
                                        <w:top w:val="none" w:sz="0" w:space="0" w:color="auto"/>
                                        <w:left w:val="none" w:sz="0" w:space="0" w:color="auto"/>
                                        <w:bottom w:val="none" w:sz="0" w:space="0" w:color="auto"/>
                                        <w:right w:val="none" w:sz="0" w:space="0" w:color="auto"/>
                                      </w:divBdr>
                                      <w:divsChild>
                                        <w:div w:id="20069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855951">
      <w:bodyDiv w:val="1"/>
      <w:marLeft w:val="0"/>
      <w:marRight w:val="0"/>
      <w:marTop w:val="0"/>
      <w:marBottom w:val="0"/>
      <w:divBdr>
        <w:top w:val="none" w:sz="0" w:space="0" w:color="auto"/>
        <w:left w:val="none" w:sz="0" w:space="0" w:color="auto"/>
        <w:bottom w:val="none" w:sz="0" w:space="0" w:color="auto"/>
        <w:right w:val="none" w:sz="0" w:space="0" w:color="auto"/>
      </w:divBdr>
      <w:divsChild>
        <w:div w:id="2057047484">
          <w:marLeft w:val="0"/>
          <w:marRight w:val="0"/>
          <w:marTop w:val="0"/>
          <w:marBottom w:val="0"/>
          <w:divBdr>
            <w:top w:val="none" w:sz="0" w:space="0" w:color="auto"/>
            <w:left w:val="none" w:sz="0" w:space="0" w:color="auto"/>
            <w:bottom w:val="none" w:sz="0" w:space="0" w:color="auto"/>
            <w:right w:val="none" w:sz="0" w:space="0" w:color="auto"/>
          </w:divBdr>
          <w:divsChild>
            <w:div w:id="560560366">
              <w:marLeft w:val="0"/>
              <w:marRight w:val="0"/>
              <w:marTop w:val="0"/>
              <w:marBottom w:val="0"/>
              <w:divBdr>
                <w:top w:val="none" w:sz="0" w:space="0" w:color="auto"/>
                <w:left w:val="none" w:sz="0" w:space="0" w:color="auto"/>
                <w:bottom w:val="none" w:sz="0" w:space="0" w:color="auto"/>
                <w:right w:val="none" w:sz="0" w:space="0" w:color="auto"/>
              </w:divBdr>
              <w:divsChild>
                <w:div w:id="14960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1219">
      <w:bodyDiv w:val="1"/>
      <w:marLeft w:val="0"/>
      <w:marRight w:val="0"/>
      <w:marTop w:val="0"/>
      <w:marBottom w:val="0"/>
      <w:divBdr>
        <w:top w:val="none" w:sz="0" w:space="0" w:color="auto"/>
        <w:left w:val="none" w:sz="0" w:space="0" w:color="auto"/>
        <w:bottom w:val="none" w:sz="0" w:space="0" w:color="auto"/>
        <w:right w:val="none" w:sz="0" w:space="0" w:color="auto"/>
      </w:divBdr>
      <w:divsChild>
        <w:div w:id="1297491290">
          <w:marLeft w:val="0"/>
          <w:marRight w:val="0"/>
          <w:marTop w:val="0"/>
          <w:marBottom w:val="0"/>
          <w:divBdr>
            <w:top w:val="none" w:sz="0" w:space="0" w:color="auto"/>
            <w:left w:val="none" w:sz="0" w:space="0" w:color="auto"/>
            <w:bottom w:val="none" w:sz="0" w:space="0" w:color="auto"/>
            <w:right w:val="none" w:sz="0" w:space="0" w:color="auto"/>
          </w:divBdr>
          <w:divsChild>
            <w:div w:id="2008946948">
              <w:marLeft w:val="0"/>
              <w:marRight w:val="0"/>
              <w:marTop w:val="0"/>
              <w:marBottom w:val="0"/>
              <w:divBdr>
                <w:top w:val="none" w:sz="0" w:space="0" w:color="auto"/>
                <w:left w:val="none" w:sz="0" w:space="0" w:color="auto"/>
                <w:bottom w:val="none" w:sz="0" w:space="0" w:color="auto"/>
                <w:right w:val="none" w:sz="0" w:space="0" w:color="auto"/>
              </w:divBdr>
              <w:divsChild>
                <w:div w:id="6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373">
      <w:bodyDiv w:val="1"/>
      <w:marLeft w:val="0"/>
      <w:marRight w:val="0"/>
      <w:marTop w:val="0"/>
      <w:marBottom w:val="0"/>
      <w:divBdr>
        <w:top w:val="none" w:sz="0" w:space="0" w:color="auto"/>
        <w:left w:val="none" w:sz="0" w:space="0" w:color="auto"/>
        <w:bottom w:val="none" w:sz="0" w:space="0" w:color="auto"/>
        <w:right w:val="none" w:sz="0" w:space="0" w:color="auto"/>
      </w:divBdr>
      <w:divsChild>
        <w:div w:id="483088690">
          <w:marLeft w:val="0"/>
          <w:marRight w:val="0"/>
          <w:marTop w:val="0"/>
          <w:marBottom w:val="0"/>
          <w:divBdr>
            <w:top w:val="none" w:sz="0" w:space="0" w:color="auto"/>
            <w:left w:val="none" w:sz="0" w:space="0" w:color="auto"/>
            <w:bottom w:val="none" w:sz="0" w:space="0" w:color="auto"/>
            <w:right w:val="none" w:sz="0" w:space="0" w:color="auto"/>
          </w:divBdr>
          <w:divsChild>
            <w:div w:id="1723753400">
              <w:marLeft w:val="0"/>
              <w:marRight w:val="0"/>
              <w:marTop w:val="0"/>
              <w:marBottom w:val="0"/>
              <w:divBdr>
                <w:top w:val="none" w:sz="0" w:space="0" w:color="auto"/>
                <w:left w:val="none" w:sz="0" w:space="0" w:color="auto"/>
                <w:bottom w:val="none" w:sz="0" w:space="0" w:color="auto"/>
                <w:right w:val="none" w:sz="0" w:space="0" w:color="auto"/>
              </w:divBdr>
              <w:divsChild>
                <w:div w:id="11708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328">
      <w:bodyDiv w:val="1"/>
      <w:marLeft w:val="0"/>
      <w:marRight w:val="0"/>
      <w:marTop w:val="0"/>
      <w:marBottom w:val="0"/>
      <w:divBdr>
        <w:top w:val="none" w:sz="0" w:space="0" w:color="auto"/>
        <w:left w:val="none" w:sz="0" w:space="0" w:color="auto"/>
        <w:bottom w:val="none" w:sz="0" w:space="0" w:color="auto"/>
        <w:right w:val="none" w:sz="0" w:space="0" w:color="auto"/>
      </w:divBdr>
      <w:divsChild>
        <w:div w:id="1240213756">
          <w:marLeft w:val="0"/>
          <w:marRight w:val="0"/>
          <w:marTop w:val="0"/>
          <w:marBottom w:val="0"/>
          <w:divBdr>
            <w:top w:val="none" w:sz="0" w:space="0" w:color="auto"/>
            <w:left w:val="none" w:sz="0" w:space="0" w:color="auto"/>
            <w:bottom w:val="none" w:sz="0" w:space="0" w:color="auto"/>
            <w:right w:val="none" w:sz="0" w:space="0" w:color="auto"/>
          </w:divBdr>
          <w:divsChild>
            <w:div w:id="698241041">
              <w:marLeft w:val="0"/>
              <w:marRight w:val="0"/>
              <w:marTop w:val="0"/>
              <w:marBottom w:val="0"/>
              <w:divBdr>
                <w:top w:val="none" w:sz="0" w:space="0" w:color="auto"/>
                <w:left w:val="none" w:sz="0" w:space="0" w:color="auto"/>
                <w:bottom w:val="none" w:sz="0" w:space="0" w:color="auto"/>
                <w:right w:val="none" w:sz="0" w:space="0" w:color="auto"/>
              </w:divBdr>
              <w:divsChild>
                <w:div w:id="1408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4505">
      <w:bodyDiv w:val="1"/>
      <w:marLeft w:val="0"/>
      <w:marRight w:val="0"/>
      <w:marTop w:val="0"/>
      <w:marBottom w:val="0"/>
      <w:divBdr>
        <w:top w:val="none" w:sz="0" w:space="0" w:color="auto"/>
        <w:left w:val="none" w:sz="0" w:space="0" w:color="auto"/>
        <w:bottom w:val="none" w:sz="0" w:space="0" w:color="auto"/>
        <w:right w:val="none" w:sz="0" w:space="0" w:color="auto"/>
      </w:divBdr>
    </w:div>
    <w:div w:id="2061055855">
      <w:bodyDiv w:val="1"/>
      <w:marLeft w:val="0"/>
      <w:marRight w:val="0"/>
      <w:marTop w:val="0"/>
      <w:marBottom w:val="0"/>
      <w:divBdr>
        <w:top w:val="none" w:sz="0" w:space="0" w:color="auto"/>
        <w:left w:val="none" w:sz="0" w:space="0" w:color="auto"/>
        <w:bottom w:val="none" w:sz="0" w:space="0" w:color="auto"/>
        <w:right w:val="none" w:sz="0" w:space="0" w:color="auto"/>
      </w:divBdr>
      <w:divsChild>
        <w:div w:id="1763064025">
          <w:marLeft w:val="0"/>
          <w:marRight w:val="0"/>
          <w:marTop w:val="0"/>
          <w:marBottom w:val="0"/>
          <w:divBdr>
            <w:top w:val="none" w:sz="0" w:space="0" w:color="auto"/>
            <w:left w:val="none" w:sz="0" w:space="0" w:color="auto"/>
            <w:bottom w:val="none" w:sz="0" w:space="0" w:color="auto"/>
            <w:right w:val="none" w:sz="0" w:space="0" w:color="auto"/>
          </w:divBdr>
          <w:divsChild>
            <w:div w:id="1267927036">
              <w:marLeft w:val="0"/>
              <w:marRight w:val="0"/>
              <w:marTop w:val="0"/>
              <w:marBottom w:val="0"/>
              <w:divBdr>
                <w:top w:val="none" w:sz="0" w:space="0" w:color="auto"/>
                <w:left w:val="none" w:sz="0" w:space="0" w:color="auto"/>
                <w:bottom w:val="none" w:sz="0" w:space="0" w:color="auto"/>
                <w:right w:val="none" w:sz="0" w:space="0" w:color="auto"/>
              </w:divBdr>
              <w:divsChild>
                <w:div w:id="1862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2870">
      <w:bodyDiv w:val="1"/>
      <w:marLeft w:val="0"/>
      <w:marRight w:val="0"/>
      <w:marTop w:val="0"/>
      <w:marBottom w:val="0"/>
      <w:divBdr>
        <w:top w:val="none" w:sz="0" w:space="0" w:color="auto"/>
        <w:left w:val="none" w:sz="0" w:space="0" w:color="auto"/>
        <w:bottom w:val="none" w:sz="0" w:space="0" w:color="auto"/>
        <w:right w:val="none" w:sz="0" w:space="0" w:color="auto"/>
      </w:divBdr>
      <w:divsChild>
        <w:div w:id="836001595">
          <w:marLeft w:val="0"/>
          <w:marRight w:val="0"/>
          <w:marTop w:val="0"/>
          <w:marBottom w:val="0"/>
          <w:divBdr>
            <w:top w:val="none" w:sz="0" w:space="0" w:color="auto"/>
            <w:left w:val="none" w:sz="0" w:space="0" w:color="auto"/>
            <w:bottom w:val="none" w:sz="0" w:space="0" w:color="auto"/>
            <w:right w:val="none" w:sz="0" w:space="0" w:color="auto"/>
          </w:divBdr>
          <w:divsChild>
            <w:div w:id="1336418337">
              <w:marLeft w:val="0"/>
              <w:marRight w:val="0"/>
              <w:marTop w:val="0"/>
              <w:marBottom w:val="0"/>
              <w:divBdr>
                <w:top w:val="none" w:sz="0" w:space="0" w:color="auto"/>
                <w:left w:val="none" w:sz="0" w:space="0" w:color="auto"/>
                <w:bottom w:val="none" w:sz="0" w:space="0" w:color="auto"/>
                <w:right w:val="none" w:sz="0" w:space="0" w:color="auto"/>
              </w:divBdr>
              <w:divsChild>
                <w:div w:id="974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19192">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sChild>
        <w:div w:id="1202212202">
          <w:marLeft w:val="0"/>
          <w:marRight w:val="0"/>
          <w:marTop w:val="0"/>
          <w:marBottom w:val="0"/>
          <w:divBdr>
            <w:top w:val="none" w:sz="0" w:space="0" w:color="auto"/>
            <w:left w:val="none" w:sz="0" w:space="0" w:color="auto"/>
            <w:bottom w:val="none" w:sz="0" w:space="0" w:color="auto"/>
            <w:right w:val="none" w:sz="0" w:space="0" w:color="auto"/>
          </w:divBdr>
          <w:divsChild>
            <w:div w:id="1895390683">
              <w:marLeft w:val="0"/>
              <w:marRight w:val="0"/>
              <w:marTop w:val="0"/>
              <w:marBottom w:val="0"/>
              <w:divBdr>
                <w:top w:val="none" w:sz="0" w:space="0" w:color="auto"/>
                <w:left w:val="none" w:sz="0" w:space="0" w:color="auto"/>
                <w:bottom w:val="none" w:sz="0" w:space="0" w:color="auto"/>
                <w:right w:val="none" w:sz="0" w:space="0" w:color="auto"/>
              </w:divBdr>
              <w:divsChild>
                <w:div w:id="8764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2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EDAW%2fC%2fEGY%2fCO%2f8-10&amp;Lang=en" TargetMode="External"/><Relationship Id="rId18" Type="http://schemas.openxmlformats.org/officeDocument/2006/relationships/hyperlink" Target="https://www.amnesty.org/en/latest/news/2019/10/egypt-steps-up-brutality-with-abduction-and-torture-of-human-rights-defender/" TargetMode="External"/><Relationship Id="rId26" Type="http://schemas.openxmlformats.org/officeDocument/2006/relationships/hyperlink" Target="https://public.opentech.fund/documents/EgyptReportV06.pdf" TargetMode="External"/><Relationship Id="rId39" Type="http://schemas.openxmlformats.org/officeDocument/2006/relationships/hyperlink" Target="https://www.dw.com/en/german-weapons-exports-hit-record-with-bumper-egypt-sales/a-60466572" TargetMode="External"/><Relationship Id="rId21" Type="http://schemas.openxmlformats.org/officeDocument/2006/relationships/hyperlink" Target="https://www.amnesty.org/en/latest/news/2021/03/egypt-sanaa-seifs-conviction-on-bogus-charges-a-cruel-blow-for-freedom-of-expression-2/" TargetMode="External"/><Relationship Id="rId34" Type="http://schemas.openxmlformats.org/officeDocument/2006/relationships/hyperlink" Target="https://www.hrw.org/news/2021/02/08/justice-stalled-egypts-fairmont-rape-case" TargetMode="External"/><Relationship Id="rId42" Type="http://schemas.openxmlformats.org/officeDocument/2006/relationships/hyperlink" Target="https://www.smallarmssurvey.org/database/global-firearms-holdings" TargetMode="External"/><Relationship Id="rId47" Type="http://schemas.openxmlformats.org/officeDocument/2006/relationships/hyperlink" Target="https://www.fidh.org/IMG/pdf/382873255-egypt-a-repression-made-in-france.pdf" TargetMode="External"/><Relationship Id="rId50" Type="http://schemas.openxmlformats.org/officeDocument/2006/relationships/hyperlink" Target="https://www.hrw.org/news/2021/08/04/clean-streets-faggots" TargetMode="External"/><Relationship Id="rId7" Type="http://schemas.openxmlformats.org/officeDocument/2006/relationships/hyperlink" Target="https://www.amnesty.org/en/latest/news/2021/10/egypt-stop-trials-by-emergency-courts/" TargetMode="External"/><Relationship Id="rId2" Type="http://schemas.openxmlformats.org/officeDocument/2006/relationships/hyperlink" Target="https://www.hrw.org/news/2021/01/13/egypt-no-end-escalating-repression" TargetMode="External"/><Relationship Id="rId16" Type="http://schemas.openxmlformats.org/officeDocument/2006/relationships/hyperlink" Target="https://www.hrw.org/news/2019/07/24/egypt-new-ngo-law-renews-draconian-restrictions." TargetMode="External"/><Relationship Id="rId29" Type="http://schemas.openxmlformats.org/officeDocument/2006/relationships/hyperlink" Target="https://undocs.org/A/HRC/43/16" TargetMode="External"/><Relationship Id="rId11" Type="http://schemas.openxmlformats.org/officeDocument/2006/relationships/hyperlink" Target="https://www.amnesty.org/en/documents/pol10/3202/2021/en/" TargetMode="External"/><Relationship Id="rId24" Type="http://schemas.openxmlformats.org/officeDocument/2006/relationships/hyperlink" Target="https://spcommreports.ohchr.org/TmSearch/Results" TargetMode="External"/><Relationship Id="rId32" Type="http://schemas.openxmlformats.org/officeDocument/2006/relationships/hyperlink" Target="https://www.hrw.org/news/2021/06/28/egypt-persecutes-tiktok-women-while-men-get-impunity-sexual-violence" TargetMode="External"/><Relationship Id="rId37" Type="http://schemas.openxmlformats.org/officeDocument/2006/relationships/hyperlink" Target="https://www.ohchr.org/Documents/HRBodies/HRCouncil/CoISyria/A-HRC-37-CRP-3.pdf" TargetMode="External"/><Relationship Id="rId40" Type="http://schemas.openxmlformats.org/officeDocument/2006/relationships/hyperlink" Target="https://www.dw.com/en/germany-merkel-government-greenlit-controversial-arms-deal-with-egypt/a-60152751" TargetMode="External"/><Relationship Id="rId45" Type="http://schemas.openxmlformats.org/officeDocument/2006/relationships/hyperlink" Target="https://www.amnesty.org/en/documents/eur21/9038/2018/en/" TargetMode="External"/><Relationship Id="rId5" Type="http://schemas.openxmlformats.org/officeDocument/2006/relationships/hyperlink" Target="https://cihrs.org/egypt-amendments-to-emergency-law-exploit-covid-19-to-undermine-judicial-independence/?lang=en" TargetMode="External"/><Relationship Id="rId15" Type="http://schemas.openxmlformats.org/officeDocument/2006/relationships/hyperlink" Target="https://www.ohchr.org/EN/NewsEvents/Pages/DisplayNews.aspx?NewsID=23971&amp;LangID=E" TargetMode="External"/><Relationship Id="rId23" Type="http://schemas.openxmlformats.org/officeDocument/2006/relationships/hyperlink" Target="https://spcommreports.ohchr.org/TMResultsBase/DownLoadPublicCommunicationFile?gId=26522" TargetMode="External"/><Relationship Id="rId28" Type="http://schemas.openxmlformats.org/officeDocument/2006/relationships/hyperlink" Target="https://timep.org/reports-briefings/timep-brief-the-law-regulating-the-press-media-and-the-supreme-council-for-media-regulation/" TargetMode="External"/><Relationship Id="rId36" Type="http://schemas.openxmlformats.org/officeDocument/2006/relationships/hyperlink" Target="https://www.wilpf.org/advocacy_documents/submission-to-the-un-office-of-the-high-commissioner-for-human-rights-on-the-impact-of-the-diversion-of-arms-and-unregulated-or-illicit-arms-transfers-on-the-human-rights-of-women-and-girls/" TargetMode="External"/><Relationship Id="rId49" Type="http://schemas.openxmlformats.org/officeDocument/2006/relationships/hyperlink" Target="https://www.fidh.org/IMG/pdf/382873255-egypt-a-repression-made-in-france.pdf" TargetMode="External"/><Relationship Id="rId10" Type="http://schemas.openxmlformats.org/officeDocument/2006/relationships/hyperlink" Target="https://www.amnesty.org/en/latest/news/2019/11/un-states-must-denounce-egypts-disastrous-human-rights-record/" TargetMode="External"/><Relationship Id="rId19" Type="http://schemas.openxmlformats.org/officeDocument/2006/relationships/hyperlink" Target="https://ishr.ch/latest-updates/egypt-quash-verdicts-and-stop-unfair-trials-by-emergency-courts/" TargetMode="External"/><Relationship Id="rId31" Type="http://schemas.openxmlformats.org/officeDocument/2006/relationships/hyperlink" Target="https://tbinternet.ohchr.org/_layouts/15/treatybodyexternal/Download.aspx?symbolno=CEDAW%2fC%2fEGY%2fRQ%2f8-10&amp;Lang=en" TargetMode="External"/><Relationship Id="rId44" Type="http://schemas.openxmlformats.org/officeDocument/2006/relationships/hyperlink" Target="https://www.smallarmssurvey.org/sites/default/files/resources/SAS-BP-Law-enforcement-firearms-annexe.pdf" TargetMode="External"/><Relationship Id="rId4" Type="http://schemas.openxmlformats.org/officeDocument/2006/relationships/hyperlink" Target="https://www.hrw.org/news/2020/05/07/egypt-covid-19-cover-new-repressive-powers" TargetMode="External"/><Relationship Id="rId9" Type="http://schemas.openxmlformats.org/officeDocument/2006/relationships/hyperlink" Target="https://eipr.org/en/press/2021/10/lifting-state-emergency-positive-step-more-action-required-dismantle-repressive-laws" TargetMode="External"/><Relationship Id="rId14" Type="http://schemas.openxmlformats.org/officeDocument/2006/relationships/hyperlink" Target="https://undocs.org/en/A/HRC/45/36" TargetMode="External"/><Relationship Id="rId22" Type="http://schemas.openxmlformats.org/officeDocument/2006/relationships/hyperlink" Target="https://www.middleeastmonitor.com/20210414-egypt-releases-solafa-magdy-and-husband-from-prison/" TargetMode="External"/><Relationship Id="rId27" Type="http://schemas.openxmlformats.org/officeDocument/2006/relationships/hyperlink" Target="https://www.article19.org/resources/egypt-2018-law-on-the-organisation-of-press-media-and-the-supreme-council-of-media/" TargetMode="External"/><Relationship Id="rId30" Type="http://schemas.openxmlformats.org/officeDocument/2006/relationships/hyperlink" Target="https://www.hrw.org/news/2021/06/28/egypt-persecutes-tiktok-women-while-men-get-impunity-sexual-violence" TargetMode="External"/><Relationship Id="rId35" Type="http://schemas.openxmlformats.org/officeDocument/2006/relationships/hyperlink" Target="https://www.madamasr.com/en/2021/09/02/feature/politics/witnesses-arrested-and-intimidated-how-the-fairmont-rape-case-fell-apart/" TargetMode="External"/><Relationship Id="rId43" Type="http://schemas.openxmlformats.org/officeDocument/2006/relationships/hyperlink" Target="https://www.smallarmssurvey.org/sites/default/files/resources/SAS-BP-Military-owned-firearms-annexe.pdf" TargetMode="External"/><Relationship Id="rId48" Type="http://schemas.openxmlformats.org/officeDocument/2006/relationships/hyperlink" Target="https://www.fidh.org/IMG/pdf/382873255-egypt-a-repression-made-in-france.pdf" TargetMode="External"/><Relationship Id="rId8" Type="http://schemas.openxmlformats.org/officeDocument/2006/relationships/hyperlink" Target="https://timep.org/explainers/egypt-lifted-its-state-of-emergency-what-now/" TargetMode="External"/><Relationship Id="rId3" Type="http://schemas.openxmlformats.org/officeDocument/2006/relationships/hyperlink" Target="https://www.ilo.org/dyn/natlex/natlex4.detail?p_lang=en&amp;p_isn=111244&amp;p_count=19&amp;p_classification=01" TargetMode="External"/><Relationship Id="rId12" Type="http://schemas.openxmlformats.org/officeDocument/2006/relationships/hyperlink" Target="https://ap.ohchr.org/documents/dpage_e.aspx?si=A/HRC/43/16" TargetMode="External"/><Relationship Id="rId17" Type="http://schemas.openxmlformats.org/officeDocument/2006/relationships/hyperlink" Target="https://www.amnesty.org/download/Documents/MDE1211402019ENGLISH.pdf" TargetMode="External"/><Relationship Id="rId25" Type="http://schemas.openxmlformats.org/officeDocument/2006/relationships/hyperlink" Target="https://spcommreports.ohchr.org/about/guide" TargetMode="External"/><Relationship Id="rId33" Type="http://schemas.openxmlformats.org/officeDocument/2006/relationships/hyperlink" Target="https://www.amnesty.org/en/latest/news/2020/08/egypt-survivors-of-sexual-violence-and-online-abuse-among-prosecuted-women-tiktok-influencers-2/" TargetMode="External"/><Relationship Id="rId38" Type="http://schemas.openxmlformats.org/officeDocument/2006/relationships/hyperlink" Target="https://sipri.org/publications/2021/sipri-fact-sheets/trends-international-arms-transfers-2020" TargetMode="External"/><Relationship Id="rId46" Type="http://schemas.openxmlformats.org/officeDocument/2006/relationships/hyperlink" Target="https://undocs.org/A/HRC/43/16" TargetMode="External"/><Relationship Id="rId20" Type="http://schemas.openxmlformats.org/officeDocument/2006/relationships/hyperlink" Target="https://www.amnesty.org/ar/wp-content/uploads/2021/05/MDE1234292020ENGLISH.pdf" TargetMode="External"/><Relationship Id="rId41" Type="http://schemas.openxmlformats.org/officeDocument/2006/relationships/hyperlink" Target="http://www.smallarmssurvey.org/publications/by-type/yearbook/small-arms-survey-2007.html" TargetMode="External"/><Relationship Id="rId1" Type="http://schemas.openxmlformats.org/officeDocument/2006/relationships/hyperlink" Target="https://www.aljazeera.com/features/2017/4/11/egypts-emergency-law-explained" TargetMode="External"/><Relationship Id="rId6" Type="http://schemas.openxmlformats.org/officeDocument/2006/relationships/hyperlink" Target="https://www.hrw.org/news/2021/10/26/egypt-ending-state-emergency-start-insuffi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9aFqWx8ifxDewIz76/L0B1NTw==">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86D0D3-A06A-3B41-A3D0-F05C4B55F167}">
  <ds:schemaRefs>
    <ds:schemaRef ds:uri="http://schemas.openxmlformats.org/officeDocument/2006/bibliography"/>
  </ds:schemaRefs>
</ds:datastoreItem>
</file>

<file path=customXml/itemProps3.xml><?xml version="1.0" encoding="utf-8"?>
<ds:datastoreItem xmlns:ds="http://schemas.openxmlformats.org/officeDocument/2006/customXml" ds:itemID="{D4134FEE-9BBB-44D4-9861-B41462EF99D1}"/>
</file>

<file path=customXml/itemProps4.xml><?xml version="1.0" encoding="utf-8"?>
<ds:datastoreItem xmlns:ds="http://schemas.openxmlformats.org/officeDocument/2006/customXml" ds:itemID="{517C70DB-F131-4D1A-BB55-31943010676F}"/>
</file>

<file path=customXml/itemProps5.xml><?xml version="1.0" encoding="utf-8"?>
<ds:datastoreItem xmlns:ds="http://schemas.openxmlformats.org/officeDocument/2006/customXml" ds:itemID="{0576A397-6893-4A42-AF25-D12CF22D515E}"/>
</file>

<file path=docProps/app.xml><?xml version="1.0" encoding="utf-8"?>
<Properties xmlns="http://schemas.openxmlformats.org/officeDocument/2006/extended-properties" xmlns:vt="http://schemas.openxmlformats.org/officeDocument/2006/docPropsVTypes">
  <Template>Normal.dotm</Template>
  <TotalTime>0</TotalTime>
  <Pages>20</Pages>
  <Words>5260</Words>
  <Characters>26092</Characters>
  <Application>Microsoft Office Word</Application>
  <DocSecurity>0</DocSecurity>
  <Lines>511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2022-02-03T14:13:00Z</dcterms:created>
  <dcterms:modified xsi:type="dcterms:W3CDTF">2022-02-03T14:24:00Z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