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487F75" w14:paraId="17A9CCAA" w14:textId="77777777">
        <w:trPr>
          <w:cantSplit/>
          <w:trHeight w:hRule="exact" w:val="851"/>
        </w:trPr>
        <w:tc>
          <w:tcPr>
            <w:tcW w:w="1276" w:type="dxa"/>
            <w:tcBorders>
              <w:bottom w:val="single" w:sz="4" w:space="0" w:color="auto"/>
            </w:tcBorders>
            <w:vAlign w:val="bottom"/>
          </w:tcPr>
          <w:p w14:paraId="2FB7D325" w14:textId="77777777" w:rsidR="00AF16FC" w:rsidRPr="004F37AC" w:rsidRDefault="00AF16FC">
            <w:pPr>
              <w:spacing w:after="80"/>
              <w:rPr>
                <w:lang w:val="en-US"/>
              </w:rPr>
            </w:pPr>
          </w:p>
        </w:tc>
        <w:tc>
          <w:tcPr>
            <w:tcW w:w="2268" w:type="dxa"/>
            <w:tcBorders>
              <w:bottom w:val="single" w:sz="4" w:space="0" w:color="auto"/>
            </w:tcBorders>
            <w:vAlign w:val="bottom"/>
          </w:tcPr>
          <w:p w14:paraId="3A2BFAF9" w14:textId="77777777" w:rsidR="00AF16FC" w:rsidRDefault="0061695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447F5B4" w14:textId="77777777" w:rsidR="00AF16FC" w:rsidRDefault="00616959" w:rsidP="00384D33">
            <w:pPr>
              <w:suppressAutoHyphens w:val="0"/>
              <w:spacing w:after="20"/>
              <w:jc w:val="right"/>
            </w:pPr>
            <w:r>
              <w:rPr>
                <w:sz w:val="40"/>
              </w:rPr>
              <w:t>CRC</w:t>
            </w:r>
            <w:r>
              <w:t>/C/</w:t>
            </w:r>
            <w:r w:rsidR="00384D33">
              <w:t>NLD</w:t>
            </w:r>
            <w:r>
              <w:t>/CO/5-6</w:t>
            </w:r>
          </w:p>
        </w:tc>
      </w:tr>
      <w:tr w:rsidR="00487F75" w14:paraId="6BC75BF2" w14:textId="77777777">
        <w:trPr>
          <w:cantSplit/>
          <w:trHeight w:hRule="exact" w:val="2835"/>
        </w:trPr>
        <w:tc>
          <w:tcPr>
            <w:tcW w:w="1276" w:type="dxa"/>
            <w:tcBorders>
              <w:top w:val="single" w:sz="4" w:space="0" w:color="auto"/>
              <w:bottom w:val="single" w:sz="12" w:space="0" w:color="auto"/>
            </w:tcBorders>
          </w:tcPr>
          <w:p w14:paraId="681D5A2A" w14:textId="77777777" w:rsidR="00AF16FC" w:rsidRDefault="00616959">
            <w:pPr>
              <w:spacing w:before="120"/>
              <w:jc w:val="center"/>
            </w:pPr>
            <w:r>
              <w:rPr>
                <w:noProof/>
                <w:lang w:eastAsia="ko-KR"/>
              </w:rPr>
              <w:drawing>
                <wp:inline distT="0" distB="0" distL="0" distR="0" wp14:anchorId="02A6BD8F" wp14:editId="51C2B84B">
                  <wp:extent cx="714375" cy="590550"/>
                  <wp:effectExtent l="0" t="0" r="9525" b="0"/>
                  <wp:docPr id="8736570"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511427"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18F73E" w14:textId="77777777" w:rsidR="00AF16FC" w:rsidRDefault="00616959">
            <w:pPr>
              <w:spacing w:before="120" w:line="420" w:lineRule="exact"/>
            </w:pPr>
            <w:r>
              <w:rPr>
                <w:b/>
                <w:sz w:val="40"/>
                <w:szCs w:val="40"/>
              </w:rPr>
              <w:t>Convention on the</w:t>
            </w:r>
            <w:r>
              <w:rPr>
                <w:b/>
                <w:sz w:val="40"/>
                <w:szCs w:val="40"/>
              </w:rPr>
              <w:br/>
              <w:t>Rights of the Child</w:t>
            </w:r>
          </w:p>
        </w:tc>
        <w:tc>
          <w:tcPr>
            <w:tcW w:w="2835" w:type="dxa"/>
            <w:tcBorders>
              <w:top w:val="single" w:sz="4" w:space="0" w:color="auto"/>
              <w:bottom w:val="single" w:sz="12" w:space="0" w:color="auto"/>
            </w:tcBorders>
          </w:tcPr>
          <w:p w14:paraId="5DD1D446" w14:textId="77777777" w:rsidR="00AF16FC" w:rsidRPr="00616959" w:rsidRDefault="00616959">
            <w:pPr>
              <w:suppressAutoHyphens w:val="0"/>
              <w:spacing w:before="240" w:line="240" w:lineRule="exact"/>
            </w:pPr>
            <w:r w:rsidRPr="00616959">
              <w:t>Distr.: General</w:t>
            </w:r>
          </w:p>
          <w:p w14:paraId="55C95799" w14:textId="77777777" w:rsidR="00AF16FC" w:rsidRPr="00616959" w:rsidRDefault="005434BF">
            <w:pPr>
              <w:suppressAutoHyphens w:val="0"/>
            </w:pPr>
            <w:r>
              <w:t>11</w:t>
            </w:r>
            <w:r w:rsidR="00641D78">
              <w:t xml:space="preserve"> February</w:t>
            </w:r>
            <w:r w:rsidR="001C585F">
              <w:t xml:space="preserve"> 2022</w:t>
            </w:r>
          </w:p>
          <w:p w14:paraId="28325E14" w14:textId="77777777" w:rsidR="00AF16FC" w:rsidRPr="00616959" w:rsidRDefault="00AF16FC">
            <w:pPr>
              <w:suppressAutoHyphens w:val="0"/>
            </w:pPr>
          </w:p>
          <w:p w14:paraId="2F4FE269" w14:textId="77777777" w:rsidR="00AF16FC" w:rsidRPr="00616959" w:rsidRDefault="00616959">
            <w:pPr>
              <w:suppressAutoHyphens w:val="0"/>
            </w:pPr>
            <w:r w:rsidRPr="00616959">
              <w:t>Original: English</w:t>
            </w:r>
          </w:p>
          <w:p w14:paraId="26AD9204" w14:textId="77777777" w:rsidR="00AF16FC" w:rsidRPr="00384D33" w:rsidRDefault="00AF16FC">
            <w:pPr>
              <w:suppressAutoHyphens w:val="0"/>
            </w:pPr>
          </w:p>
        </w:tc>
      </w:tr>
    </w:tbl>
    <w:p w14:paraId="5A1F5177" w14:textId="77777777" w:rsidR="00AF16FC" w:rsidRDefault="00616959">
      <w:pPr>
        <w:spacing w:before="120"/>
        <w:rPr>
          <w:b/>
          <w:sz w:val="24"/>
        </w:rPr>
      </w:pPr>
      <w:r>
        <w:rPr>
          <w:b/>
          <w:sz w:val="24"/>
        </w:rPr>
        <w:t>Committee on the Rights of the Child</w:t>
      </w:r>
    </w:p>
    <w:p w14:paraId="7E853A7D" w14:textId="77777777" w:rsidR="00616959" w:rsidRPr="00FC61EB" w:rsidRDefault="00616959" w:rsidP="00616959">
      <w:pPr>
        <w:pStyle w:val="HChG"/>
        <w:rPr>
          <w:b w:val="0"/>
          <w:sz w:val="20"/>
        </w:rPr>
      </w:pPr>
      <w:r>
        <w:tab/>
      </w:r>
      <w:r>
        <w:tab/>
      </w:r>
      <w:r>
        <w:tab/>
      </w:r>
      <w:r w:rsidRPr="00FC61EB">
        <w:t xml:space="preserve">Concluding observations on the combined </w:t>
      </w:r>
      <w:r>
        <w:t>fifth and</w:t>
      </w:r>
      <w:r w:rsidRPr="00FC61EB">
        <w:t xml:space="preserve"> sixth </w:t>
      </w:r>
      <w:proofErr w:type="gramStart"/>
      <w:r w:rsidRPr="00FC61EB">
        <w:t>periodic</w:t>
      </w:r>
      <w:proofErr w:type="gramEnd"/>
      <w:r w:rsidRPr="00FC61EB">
        <w:t xml:space="preserve"> reports of </w:t>
      </w:r>
      <w:r w:rsidR="00384D33">
        <w:t>the Netherlands</w:t>
      </w:r>
      <w:r w:rsidR="00D07060" w:rsidRPr="00D07060">
        <w:rPr>
          <w:rStyle w:val="FootnoteReference"/>
          <w:sz w:val="20"/>
          <w:vertAlign w:val="baseline"/>
        </w:rPr>
        <w:footnoteReference w:customMarkFollows="1" w:id="2"/>
        <w:t>*</w:t>
      </w:r>
    </w:p>
    <w:p w14:paraId="5821BBB4" w14:textId="77777777" w:rsidR="00616959" w:rsidRPr="00FC61EB" w:rsidRDefault="00616959" w:rsidP="00616959">
      <w:pPr>
        <w:pStyle w:val="HChG"/>
        <w:rPr>
          <w:lang w:eastAsia="zh-CN"/>
        </w:rPr>
      </w:pPr>
      <w:r w:rsidRPr="00FC61EB">
        <w:rPr>
          <w:color w:val="92D050"/>
          <w:lang w:eastAsia="zh-CN"/>
        </w:rPr>
        <w:tab/>
      </w:r>
      <w:r w:rsidRPr="00FC61EB">
        <w:rPr>
          <w:lang w:eastAsia="zh-CN"/>
        </w:rPr>
        <w:t>I.</w:t>
      </w:r>
      <w:r w:rsidRPr="00FC61EB">
        <w:rPr>
          <w:lang w:eastAsia="zh-CN"/>
        </w:rPr>
        <w:tab/>
        <w:t>Introduction</w:t>
      </w:r>
    </w:p>
    <w:p w14:paraId="212AD09E" w14:textId="77777777" w:rsidR="00616959" w:rsidRPr="00703C32" w:rsidRDefault="00616959" w:rsidP="00616959">
      <w:pPr>
        <w:pStyle w:val="SingleTxtG"/>
        <w:numPr>
          <w:ilvl w:val="0"/>
          <w:numId w:val="6"/>
        </w:numPr>
        <w:tabs>
          <w:tab w:val="clear" w:pos="1701"/>
          <w:tab w:val="clear" w:pos="2268"/>
          <w:tab w:val="clear" w:pos="2835"/>
        </w:tabs>
        <w:ind w:left="1134" w:firstLine="0"/>
      </w:pPr>
      <w:r w:rsidRPr="00FC61EB">
        <w:rPr>
          <w:rFonts w:eastAsia="Malgun Gothic"/>
          <w:lang w:eastAsia="zh-CN"/>
        </w:rPr>
        <w:t xml:space="preserve">The </w:t>
      </w:r>
      <w:r w:rsidRPr="00FC61EB">
        <w:t>Committee considered the</w:t>
      </w:r>
      <w:r>
        <w:t xml:space="preserve"> combined fifth and sixth periodic reports of </w:t>
      </w:r>
      <w:r w:rsidR="00384D33">
        <w:t>the Netherlands</w:t>
      </w:r>
      <w:r w:rsidR="00474E2A">
        <w:rPr>
          <w:rStyle w:val="FootnoteReference"/>
        </w:rPr>
        <w:footnoteReference w:id="3"/>
      </w:r>
      <w:r>
        <w:t xml:space="preserve"> </w:t>
      </w:r>
      <w:r w:rsidRPr="00FC61EB">
        <w:t xml:space="preserve">at </w:t>
      </w:r>
      <w:r w:rsidRPr="006130FE">
        <w:t>its 2</w:t>
      </w:r>
      <w:r w:rsidR="00A87171" w:rsidRPr="006130FE">
        <w:t>5</w:t>
      </w:r>
      <w:r w:rsidR="006130FE" w:rsidRPr="006130FE">
        <w:t>6</w:t>
      </w:r>
      <w:r w:rsidR="00384D33" w:rsidRPr="006130FE">
        <w:t>6th</w:t>
      </w:r>
      <w:r w:rsidRPr="006130FE">
        <w:t xml:space="preserve"> and 2</w:t>
      </w:r>
      <w:r w:rsidR="00A87171" w:rsidRPr="006130FE">
        <w:t>5</w:t>
      </w:r>
      <w:r w:rsidR="006130FE" w:rsidRPr="006130FE">
        <w:t>68</w:t>
      </w:r>
      <w:r w:rsidR="00A87171" w:rsidRPr="006130FE">
        <w:t>th</w:t>
      </w:r>
      <w:r w:rsidRPr="006130FE">
        <w:t xml:space="preserve"> </w:t>
      </w:r>
      <w:r w:rsidRPr="00703C32">
        <w:t>meetings,</w:t>
      </w:r>
      <w:r w:rsidR="00474E2A" w:rsidRPr="00703C32">
        <w:rPr>
          <w:rStyle w:val="FootnoteReference"/>
        </w:rPr>
        <w:footnoteReference w:id="4"/>
      </w:r>
      <w:r w:rsidRPr="00703C32">
        <w:t xml:space="preserve"> held on </w:t>
      </w:r>
      <w:proofErr w:type="gramStart"/>
      <w:r w:rsidR="00384D33" w:rsidRPr="00703C32">
        <w:t>1</w:t>
      </w:r>
      <w:proofErr w:type="gramEnd"/>
      <w:r w:rsidR="00384D33" w:rsidRPr="00703C32">
        <w:t xml:space="preserve"> and 2 February 2022</w:t>
      </w:r>
      <w:r w:rsidRPr="00703C32">
        <w:t>, and adopted the present concluding observations at its 2</w:t>
      </w:r>
      <w:r w:rsidR="006130FE" w:rsidRPr="00703C32">
        <w:t>682</w:t>
      </w:r>
      <w:r w:rsidR="00345E65">
        <w:t>nd</w:t>
      </w:r>
      <w:r w:rsidR="00B06A62">
        <w:t xml:space="preserve"> </w:t>
      </w:r>
      <w:r w:rsidRPr="00703C32">
        <w:t xml:space="preserve">meeting, held on </w:t>
      </w:r>
      <w:r w:rsidR="00384D33" w:rsidRPr="00703C32">
        <w:t>11 February 2022</w:t>
      </w:r>
      <w:r w:rsidRPr="00703C32">
        <w:t>.</w:t>
      </w:r>
    </w:p>
    <w:p w14:paraId="02920A47" w14:textId="77777777" w:rsidR="00A307CE" w:rsidRPr="002F124B" w:rsidRDefault="00616959" w:rsidP="00FF5043">
      <w:pPr>
        <w:pStyle w:val="SingleTxtG"/>
        <w:numPr>
          <w:ilvl w:val="0"/>
          <w:numId w:val="6"/>
        </w:numPr>
        <w:tabs>
          <w:tab w:val="clear" w:pos="1701"/>
          <w:tab w:val="clear" w:pos="2268"/>
          <w:tab w:val="clear" w:pos="2835"/>
        </w:tabs>
        <w:ind w:left="1134" w:firstLine="0"/>
        <w:rPr>
          <w:lang w:eastAsia="zh-CN"/>
        </w:rPr>
      </w:pPr>
      <w:r w:rsidRPr="00A307CE">
        <w:rPr>
          <w:rFonts w:eastAsia="Malgun Gothic"/>
          <w:lang w:eastAsia="zh-CN"/>
        </w:rPr>
        <w:t xml:space="preserve">The </w:t>
      </w:r>
      <w:r w:rsidRPr="00FC61EB">
        <w:t>Committee welcomes the submission of the</w:t>
      </w:r>
      <w:r>
        <w:t xml:space="preserve"> combined fifth </w:t>
      </w:r>
      <w:r w:rsidR="00A87171">
        <w:t>and</w:t>
      </w:r>
      <w:r>
        <w:t xml:space="preserve"> sixth periodic reports of </w:t>
      </w:r>
      <w:r w:rsidRPr="00FC61EB">
        <w:t>the State party</w:t>
      </w:r>
      <w:r>
        <w:t xml:space="preserve">, under the simplified reporting procedure, </w:t>
      </w:r>
      <w:r w:rsidRPr="00FC61EB">
        <w:t xml:space="preserve">which allowed for a better understanding of the situation of children’s rights in the State party. </w:t>
      </w:r>
      <w:r w:rsidRPr="00A307CE">
        <w:rPr>
          <w:rFonts w:eastAsia="Malgun Gothic"/>
          <w:lang w:eastAsia="zh-CN"/>
        </w:rPr>
        <w:t xml:space="preserve">The Committee expresses appreciation for the constructive dialogue held </w:t>
      </w:r>
      <w:r w:rsidR="00040B80" w:rsidRPr="00A307CE">
        <w:rPr>
          <w:rFonts w:eastAsia="Malgun Gothic"/>
          <w:lang w:eastAsia="zh-CN"/>
        </w:rPr>
        <w:t xml:space="preserve">virtually </w:t>
      </w:r>
      <w:r w:rsidRPr="00A307CE">
        <w:rPr>
          <w:rFonts w:eastAsia="Malgun Gothic"/>
          <w:lang w:eastAsia="zh-CN"/>
        </w:rPr>
        <w:t xml:space="preserve">with the </w:t>
      </w:r>
      <w:r w:rsidRPr="002F124B">
        <w:t xml:space="preserve">high-level </w:t>
      </w:r>
      <w:r w:rsidR="00040B80">
        <w:t xml:space="preserve">and </w:t>
      </w:r>
      <w:proofErr w:type="spellStart"/>
      <w:r w:rsidR="00040B80">
        <w:t>multisectoral</w:t>
      </w:r>
      <w:proofErr w:type="spellEnd"/>
      <w:r w:rsidR="00040B80">
        <w:t xml:space="preserve"> </w:t>
      </w:r>
      <w:r w:rsidRPr="00A307CE">
        <w:rPr>
          <w:rFonts w:eastAsia="Malgun Gothic"/>
          <w:lang w:eastAsia="zh-CN"/>
        </w:rPr>
        <w:t>delegation of the State party</w:t>
      </w:r>
      <w:r w:rsidRPr="002F124B">
        <w:rPr>
          <w:lang w:eastAsia="zh-CN"/>
        </w:rPr>
        <w:t>.</w:t>
      </w:r>
      <w:r w:rsidR="00A307CE" w:rsidRPr="00703C32">
        <w:rPr>
          <w:rStyle w:val="FootnoteReference"/>
        </w:rPr>
        <w:footnoteReference w:id="5"/>
      </w:r>
      <w:r w:rsidR="00A307CE" w:rsidRPr="00A307CE">
        <w:rPr>
          <w:color w:val="000000"/>
          <w:sz w:val="24"/>
          <w:szCs w:val="24"/>
        </w:rPr>
        <w:t xml:space="preserve"> </w:t>
      </w:r>
    </w:p>
    <w:p w14:paraId="37A10735" w14:textId="77777777" w:rsidR="00616959" w:rsidRPr="00FC61EB" w:rsidRDefault="00616959" w:rsidP="00616959">
      <w:pPr>
        <w:pStyle w:val="HChG"/>
        <w:rPr>
          <w:lang w:eastAsia="zh-CN"/>
        </w:rPr>
      </w:pPr>
      <w:r w:rsidRPr="00FC61EB">
        <w:rPr>
          <w:lang w:eastAsia="zh-CN"/>
        </w:rPr>
        <w:tab/>
        <w:t>II.</w:t>
      </w:r>
      <w:r w:rsidRPr="00FC61EB">
        <w:rPr>
          <w:lang w:eastAsia="zh-CN"/>
        </w:rPr>
        <w:tab/>
        <w:t>Follow-up measures taken and progress achieved by the State party</w:t>
      </w:r>
    </w:p>
    <w:p w14:paraId="379E45B0" w14:textId="77777777" w:rsidR="00616959" w:rsidRPr="00FC61EB" w:rsidRDefault="00616959" w:rsidP="00616959">
      <w:pPr>
        <w:pStyle w:val="SingleTxtG"/>
        <w:numPr>
          <w:ilvl w:val="0"/>
          <w:numId w:val="6"/>
        </w:numPr>
        <w:tabs>
          <w:tab w:val="clear" w:pos="1701"/>
          <w:tab w:val="clear" w:pos="2268"/>
          <w:tab w:val="clear" w:pos="2835"/>
        </w:tabs>
        <w:ind w:left="1134" w:firstLine="0"/>
        <w:rPr>
          <w:lang w:eastAsia="zh-CN"/>
        </w:rPr>
      </w:pPr>
      <w:proofErr w:type="gramStart"/>
      <w:r w:rsidRPr="00FC61EB">
        <w:rPr>
          <w:rFonts w:eastAsia="Malgun Gothic"/>
          <w:lang w:eastAsia="zh-CN"/>
        </w:rPr>
        <w:t xml:space="preserve">The </w:t>
      </w:r>
      <w:r w:rsidRPr="00BB663E">
        <w:rPr>
          <w:rFonts w:eastAsia="Malgun Gothic"/>
          <w:lang w:eastAsia="zh-CN"/>
        </w:rPr>
        <w:t xml:space="preserve">Committee welcomes the various </w:t>
      </w:r>
      <w:r w:rsidRPr="00FC61EB">
        <w:rPr>
          <w:rFonts w:eastAsia="Malgun Gothic"/>
          <w:lang w:eastAsia="zh-CN"/>
        </w:rPr>
        <w:t xml:space="preserve">legislative, institutional and policy measures taken by the State party </w:t>
      </w:r>
      <w:r w:rsidRPr="00FC61EB">
        <w:t xml:space="preserve">to implement the </w:t>
      </w:r>
      <w:r w:rsidRPr="00F11019">
        <w:t>Convention, including</w:t>
      </w:r>
      <w:r w:rsidR="00F11019" w:rsidRPr="00F11019">
        <w:t xml:space="preserve"> </w:t>
      </w:r>
      <w:r w:rsidR="00F11019">
        <w:t xml:space="preserve">the </w:t>
      </w:r>
      <w:r w:rsidR="0069066C">
        <w:t>addition of sexual orientation and disability to the list of prohibited grounds of discrimination under Article 1 of the Constitution</w:t>
      </w:r>
      <w:r w:rsidR="002C1EA7">
        <w:t>,</w:t>
      </w:r>
      <w:r w:rsidR="0069066C">
        <w:t xml:space="preserve"> the </w:t>
      </w:r>
      <w:r w:rsidR="00F11019" w:rsidRPr="00F11019">
        <w:t>adoption of the Child Labour (Duty of Care) Act</w:t>
      </w:r>
      <w:r w:rsidR="002C1EA7">
        <w:t xml:space="preserve"> and the prohibition of corporal punishment in the home in Aruba, Bonaire, </w:t>
      </w:r>
      <w:proofErr w:type="spellStart"/>
      <w:r w:rsidR="002C1EA7">
        <w:t>Saba</w:t>
      </w:r>
      <w:proofErr w:type="spellEnd"/>
      <w:r w:rsidR="002C1EA7">
        <w:t xml:space="preserve"> and </w:t>
      </w:r>
      <w:proofErr w:type="spellStart"/>
      <w:r w:rsidR="002C1EA7">
        <w:t>Sint</w:t>
      </w:r>
      <w:proofErr w:type="spellEnd"/>
      <w:r w:rsidR="002C1EA7">
        <w:t xml:space="preserve"> Eustatius</w:t>
      </w:r>
      <w:r w:rsidR="00F11019">
        <w:t>.</w:t>
      </w:r>
      <w:proofErr w:type="gramEnd"/>
      <w:r w:rsidRPr="00040B80">
        <w:rPr>
          <w:rFonts w:eastAsia="Malgun Gothic"/>
          <w:color w:val="FF0000"/>
          <w:lang w:eastAsia="zh-CN"/>
        </w:rPr>
        <w:t xml:space="preserve"> </w:t>
      </w:r>
      <w:r w:rsidRPr="00080D5B">
        <w:rPr>
          <w:rFonts w:eastAsia="Malgun Gothic"/>
          <w:lang w:eastAsia="zh-CN"/>
        </w:rPr>
        <w:t>The Committee notes with</w:t>
      </w:r>
      <w:r>
        <w:t xml:space="preserve"> appreciation the ratification of</w:t>
      </w:r>
      <w:r w:rsidR="00DE4675">
        <w:t xml:space="preserve"> the Convention on the Rights of Persons with Disabilities</w:t>
      </w:r>
      <w:r>
        <w:t>.</w:t>
      </w:r>
    </w:p>
    <w:p w14:paraId="4DE43BB7" w14:textId="77777777" w:rsidR="00616959" w:rsidRPr="00FC61EB" w:rsidRDefault="00616959" w:rsidP="00616959">
      <w:pPr>
        <w:pStyle w:val="HChG"/>
        <w:rPr>
          <w:lang w:eastAsia="zh-CN"/>
        </w:rPr>
      </w:pPr>
      <w:r w:rsidRPr="00FC61EB">
        <w:rPr>
          <w:lang w:eastAsia="zh-CN"/>
        </w:rPr>
        <w:tab/>
        <w:t>III.</w:t>
      </w:r>
      <w:r w:rsidRPr="00FC61EB">
        <w:rPr>
          <w:lang w:eastAsia="zh-CN"/>
        </w:rPr>
        <w:tab/>
      </w:r>
      <w:r w:rsidRPr="00FC61EB">
        <w:rPr>
          <w:lang w:eastAsia="zh-CN"/>
        </w:rPr>
        <w:tab/>
        <w:t>Main areas of concern and recommendations</w:t>
      </w:r>
    </w:p>
    <w:p w14:paraId="47D3BFF6" w14:textId="77777777" w:rsidR="00616959" w:rsidRPr="00180462" w:rsidRDefault="00616959" w:rsidP="00616959">
      <w:pPr>
        <w:pStyle w:val="SingleTxtG"/>
        <w:numPr>
          <w:ilvl w:val="0"/>
          <w:numId w:val="6"/>
        </w:numPr>
        <w:tabs>
          <w:tab w:val="clear" w:pos="1701"/>
          <w:tab w:val="clear" w:pos="2268"/>
          <w:tab w:val="clear" w:pos="2835"/>
        </w:tabs>
        <w:ind w:left="1134" w:firstLine="0"/>
        <w:rPr>
          <w:lang w:eastAsia="zh-CN"/>
        </w:rPr>
      </w:pPr>
      <w:r w:rsidRPr="00FC61EB">
        <w:t xml:space="preserve">The Committee reminds the State party of the indivisibility and interdependence of all the rights enshrined in the Convention and emphasizes the importance of all the recommendations contained in the present concluding observations. </w:t>
      </w:r>
      <w:proofErr w:type="gramStart"/>
      <w:r w:rsidRPr="00FC61EB">
        <w:t xml:space="preserve">The Committee would like to draw the State party’s attention to the </w:t>
      </w:r>
      <w:r w:rsidRPr="00180462">
        <w:t xml:space="preserve">recommendations concerning the following areas, in respect of which urgent measures must be taken: </w:t>
      </w:r>
      <w:r w:rsidR="004C5CDF" w:rsidRPr="004C5CDF">
        <w:t>non-discrimination</w:t>
      </w:r>
      <w:r w:rsidR="005C2EEE" w:rsidRPr="004C5CDF">
        <w:t xml:space="preserve"> (para.</w:t>
      </w:r>
      <w:r w:rsidR="005C2EEE" w:rsidRPr="005C2EEE">
        <w:t xml:space="preserve"> </w:t>
      </w:r>
      <w:r w:rsidR="00DF2EFC">
        <w:t>15</w:t>
      </w:r>
      <w:r w:rsidR="005C2EEE" w:rsidRPr="005C2EEE">
        <w:t xml:space="preserve">), </w:t>
      </w:r>
      <w:r w:rsidR="0002673B">
        <w:t>violence against children (para. 2</w:t>
      </w:r>
      <w:r w:rsidR="00670EE6">
        <w:t>2</w:t>
      </w:r>
      <w:r w:rsidR="0002673B">
        <w:t>)</w:t>
      </w:r>
      <w:r w:rsidR="00B86E8E">
        <w:t xml:space="preserve">, </w:t>
      </w:r>
      <w:r w:rsidRPr="00596236">
        <w:t xml:space="preserve">children with disabilities (para. </w:t>
      </w:r>
      <w:r w:rsidR="00DF2EFC">
        <w:t>2</w:t>
      </w:r>
      <w:r w:rsidR="009D189A">
        <w:t>7</w:t>
      </w:r>
      <w:r w:rsidRPr="00596236">
        <w:t xml:space="preserve">), </w:t>
      </w:r>
      <w:r w:rsidR="00670EE6">
        <w:t>i</w:t>
      </w:r>
      <w:r w:rsidR="00670EE6" w:rsidRPr="00415FFD">
        <w:t xml:space="preserve">mpact of climate </w:t>
      </w:r>
      <w:r w:rsidR="00670EE6" w:rsidRPr="00415FFD">
        <w:lastRenderedPageBreak/>
        <w:t>change on the rights of the child</w:t>
      </w:r>
      <w:r w:rsidR="00670EE6">
        <w:t xml:space="preserve"> (para. 3</w:t>
      </w:r>
      <w:r w:rsidR="009D189A">
        <w:t>2</w:t>
      </w:r>
      <w:r w:rsidR="00670EE6">
        <w:t>),</w:t>
      </w:r>
      <w:r w:rsidR="00D71847">
        <w:t xml:space="preserve"> </w:t>
      </w:r>
      <w:r w:rsidRPr="00596236">
        <w:t xml:space="preserve">asylum-seeking, refugee and migrant children (para. </w:t>
      </w:r>
      <w:r w:rsidR="00DF2EFC">
        <w:t>3</w:t>
      </w:r>
      <w:r w:rsidR="009D189A">
        <w:t>7</w:t>
      </w:r>
      <w:r w:rsidRPr="00596236">
        <w:t xml:space="preserve">) and administration of child </w:t>
      </w:r>
      <w:r w:rsidRPr="003D1EF3">
        <w:t xml:space="preserve">justice (para. </w:t>
      </w:r>
      <w:r w:rsidR="00DF2EFC">
        <w:t>4</w:t>
      </w:r>
      <w:r w:rsidR="009D189A">
        <w:t>1</w:t>
      </w:r>
      <w:r w:rsidRPr="003D1EF3">
        <w:t>).</w:t>
      </w:r>
      <w:proofErr w:type="gramEnd"/>
    </w:p>
    <w:p w14:paraId="21780A19" w14:textId="77777777" w:rsidR="00616959" w:rsidRPr="00FC61EB" w:rsidRDefault="00616959" w:rsidP="00616959">
      <w:pPr>
        <w:pStyle w:val="SingleTxtG"/>
        <w:numPr>
          <w:ilvl w:val="0"/>
          <w:numId w:val="6"/>
        </w:numPr>
        <w:tabs>
          <w:tab w:val="clear" w:pos="1701"/>
          <w:tab w:val="clear" w:pos="2268"/>
          <w:tab w:val="clear" w:pos="2835"/>
        </w:tabs>
        <w:ind w:left="1134" w:firstLine="0"/>
        <w:rPr>
          <w:b/>
          <w:bCs/>
          <w:lang w:eastAsia="zh-CN"/>
        </w:rPr>
      </w:pPr>
      <w:r w:rsidRPr="00FC61EB">
        <w:rPr>
          <w:b/>
          <w:bCs/>
          <w:lang w:eastAsia="zh-CN"/>
        </w:rPr>
        <w:t xml:space="preserve">The </w:t>
      </w:r>
      <w:r w:rsidRPr="00FC61EB">
        <w:rPr>
          <w:b/>
          <w:bCs/>
        </w:rPr>
        <w:t xml:space="preserve">Committee recommends that the State party ensure the realization of children’s rights in accordance with the Convention and </w:t>
      </w:r>
      <w:r>
        <w:rPr>
          <w:b/>
          <w:bCs/>
        </w:rPr>
        <w:t xml:space="preserve">the </w:t>
      </w:r>
      <w:r w:rsidRPr="00FC61EB">
        <w:rPr>
          <w:b/>
          <w:bCs/>
        </w:rPr>
        <w:t>Optional Protocol</w:t>
      </w:r>
      <w:r w:rsidR="001933E5">
        <w:rPr>
          <w:b/>
          <w:bCs/>
        </w:rPr>
        <w:t>s thereto</w:t>
      </w:r>
      <w:r w:rsidRPr="00FC61EB">
        <w:rPr>
          <w:b/>
          <w:bCs/>
        </w:rPr>
        <w:t xml:space="preserve"> throughout the process of implementing the 2030 Agenda for Sustainable Development. It urges the State party to ensure the meaningful participation of children in the design and implementation of policies and programmes aimed at achieving all 17 Sustainable Development Goals as far as they concern children</w:t>
      </w:r>
      <w:r w:rsidRPr="00FC61EB">
        <w:rPr>
          <w:b/>
        </w:rPr>
        <w:t>.</w:t>
      </w:r>
    </w:p>
    <w:p w14:paraId="152830BC" w14:textId="77777777" w:rsidR="00616959" w:rsidRPr="00FC61EB" w:rsidRDefault="00616959" w:rsidP="00616959">
      <w:pPr>
        <w:pStyle w:val="H1G"/>
      </w:pPr>
      <w:r w:rsidRPr="00FC61EB">
        <w:tab/>
        <w:t>A.</w:t>
      </w:r>
      <w:r w:rsidRPr="00FC61EB">
        <w:tab/>
        <w:t>General measures of implementation (arts. 4, 42 and 44 (6))</w:t>
      </w:r>
    </w:p>
    <w:p w14:paraId="41E252FF" w14:textId="77777777" w:rsidR="00D96C8C" w:rsidRPr="00FC61EB" w:rsidRDefault="00616959" w:rsidP="00616959">
      <w:pPr>
        <w:pStyle w:val="H23G"/>
      </w:pPr>
      <w:r w:rsidRPr="00FC61EB">
        <w:tab/>
      </w:r>
      <w:r w:rsidRPr="00FC61EB">
        <w:tab/>
      </w:r>
      <w:r w:rsidRPr="00660E92">
        <w:rPr>
          <w:lang w:eastAsia="zh-CN"/>
        </w:rPr>
        <w:t>Reservations</w:t>
      </w:r>
      <w:r w:rsidRPr="00FC61EB">
        <w:t xml:space="preserve"> </w:t>
      </w:r>
      <w:r w:rsidR="00384D33">
        <w:t>and declarations</w:t>
      </w:r>
    </w:p>
    <w:p w14:paraId="2296CB0B" w14:textId="77777777" w:rsidR="00616959" w:rsidRPr="00233C21" w:rsidRDefault="00616959" w:rsidP="00616959">
      <w:pPr>
        <w:pStyle w:val="SingleTxtG"/>
        <w:numPr>
          <w:ilvl w:val="0"/>
          <w:numId w:val="6"/>
        </w:numPr>
        <w:tabs>
          <w:tab w:val="clear" w:pos="1701"/>
          <w:tab w:val="clear" w:pos="2268"/>
          <w:tab w:val="clear" w:pos="2835"/>
        </w:tabs>
        <w:ind w:left="1134" w:firstLine="0"/>
        <w:rPr>
          <w:b/>
        </w:rPr>
      </w:pPr>
      <w:r>
        <w:rPr>
          <w:b/>
        </w:rPr>
        <w:t>The Committee reiterates its previous recommendations</w:t>
      </w:r>
      <w:r w:rsidR="0096532F">
        <w:rPr>
          <w:b/>
        </w:rPr>
        <w:t xml:space="preserve"> of 1999, 2004, 2009 and 2015</w:t>
      </w:r>
      <w:r>
        <w:rPr>
          <w:rStyle w:val="FootnoteReference"/>
          <w:b/>
        </w:rPr>
        <w:footnoteReference w:id="6"/>
      </w:r>
      <w:r>
        <w:rPr>
          <w:b/>
        </w:rPr>
        <w:t xml:space="preserve"> </w:t>
      </w:r>
      <w:r w:rsidR="0096532F">
        <w:rPr>
          <w:b/>
        </w:rPr>
        <w:t>and urges</w:t>
      </w:r>
      <w:r>
        <w:rPr>
          <w:b/>
        </w:rPr>
        <w:t xml:space="preserve"> the State party to consider withdrawing </w:t>
      </w:r>
      <w:r w:rsidRPr="00233C21">
        <w:rPr>
          <w:b/>
        </w:rPr>
        <w:t>its reservations to article</w:t>
      </w:r>
      <w:r w:rsidR="00E55903" w:rsidRPr="00233C21">
        <w:rPr>
          <w:b/>
        </w:rPr>
        <w:t>s</w:t>
      </w:r>
      <w:r w:rsidRPr="00233C21">
        <w:rPr>
          <w:b/>
        </w:rPr>
        <w:t xml:space="preserve"> </w:t>
      </w:r>
      <w:r w:rsidR="00233C21" w:rsidRPr="00233C21">
        <w:rPr>
          <w:b/>
        </w:rPr>
        <w:t>26</w:t>
      </w:r>
      <w:r w:rsidRPr="00233C21">
        <w:rPr>
          <w:b/>
        </w:rPr>
        <w:t xml:space="preserve">, 37 (c) and 40 </w:t>
      </w:r>
      <w:r w:rsidR="00233C21" w:rsidRPr="00233C21">
        <w:rPr>
          <w:b/>
        </w:rPr>
        <w:t xml:space="preserve">and </w:t>
      </w:r>
      <w:r w:rsidR="00B06A62">
        <w:rPr>
          <w:b/>
        </w:rPr>
        <w:t xml:space="preserve">its </w:t>
      </w:r>
      <w:r w:rsidR="00233C21" w:rsidRPr="00233C21">
        <w:rPr>
          <w:b/>
        </w:rPr>
        <w:t>interpretative declarations to articles 14, 22 and 38 of the Convention</w:t>
      </w:r>
      <w:r w:rsidRPr="00233C21">
        <w:rPr>
          <w:b/>
        </w:rPr>
        <w:t>.</w:t>
      </w:r>
    </w:p>
    <w:p w14:paraId="0DF826A3" w14:textId="77777777" w:rsidR="00616959" w:rsidRPr="009B7E63" w:rsidRDefault="00616959" w:rsidP="00616959">
      <w:pPr>
        <w:pStyle w:val="H23G"/>
      </w:pPr>
      <w:r>
        <w:tab/>
      </w:r>
      <w:r>
        <w:tab/>
      </w:r>
      <w:r w:rsidRPr="00F656E7">
        <w:t>Legislation</w:t>
      </w:r>
    </w:p>
    <w:p w14:paraId="03EEF331" w14:textId="77777777" w:rsidR="00616959" w:rsidRDefault="00616959" w:rsidP="00616959">
      <w:pPr>
        <w:pStyle w:val="SingleTxtG"/>
        <w:numPr>
          <w:ilvl w:val="0"/>
          <w:numId w:val="6"/>
        </w:numPr>
        <w:tabs>
          <w:tab w:val="clear" w:pos="1701"/>
          <w:tab w:val="clear" w:pos="2268"/>
          <w:tab w:val="clear" w:pos="2835"/>
        </w:tabs>
        <w:ind w:left="1134" w:firstLine="0"/>
        <w:rPr>
          <w:b/>
        </w:rPr>
      </w:pPr>
      <w:r>
        <w:rPr>
          <w:b/>
        </w:rPr>
        <w:t>The Committee recommends that the State party</w:t>
      </w:r>
      <w:r w:rsidR="003E7E66">
        <w:rPr>
          <w:b/>
        </w:rPr>
        <w:t xml:space="preserve"> d</w:t>
      </w:r>
      <w:r w:rsidR="003E7E66" w:rsidRPr="00190031">
        <w:rPr>
          <w:b/>
        </w:rPr>
        <w:t>evelop child-rights impact assessment procedure</w:t>
      </w:r>
      <w:r w:rsidR="003E7E66">
        <w:rPr>
          <w:b/>
        </w:rPr>
        <w:t>s</w:t>
      </w:r>
      <w:r w:rsidR="003E7E66" w:rsidRPr="00190031">
        <w:rPr>
          <w:b/>
        </w:rPr>
        <w:t xml:space="preserve"> for national </w:t>
      </w:r>
      <w:r w:rsidR="003E7E66">
        <w:rPr>
          <w:b/>
        </w:rPr>
        <w:t xml:space="preserve">and sub-national </w:t>
      </w:r>
      <w:r w:rsidR="003E7E66" w:rsidRPr="00190031">
        <w:rPr>
          <w:b/>
        </w:rPr>
        <w:t xml:space="preserve">legislation and policies relevant to </w:t>
      </w:r>
      <w:r w:rsidR="003E7E66">
        <w:rPr>
          <w:b/>
        </w:rPr>
        <w:t>children.</w:t>
      </w:r>
    </w:p>
    <w:p w14:paraId="00F44638" w14:textId="77777777" w:rsidR="00D96C8C" w:rsidRPr="00FC61EB" w:rsidRDefault="00616959" w:rsidP="00847597">
      <w:pPr>
        <w:pStyle w:val="H23G"/>
        <w:ind w:firstLine="0"/>
        <w:rPr>
          <w:lang w:eastAsia="en-GB"/>
        </w:rPr>
      </w:pPr>
      <w:r w:rsidRPr="00E976EE">
        <w:rPr>
          <w:lang w:eastAsia="en-GB"/>
        </w:rPr>
        <w:t>Coordination</w:t>
      </w:r>
    </w:p>
    <w:p w14:paraId="3636744A" w14:textId="77777777" w:rsidR="00616959" w:rsidRPr="00FC61EB" w:rsidRDefault="004C7EB3" w:rsidP="00616959">
      <w:pPr>
        <w:pStyle w:val="SingleTxtG"/>
        <w:numPr>
          <w:ilvl w:val="0"/>
          <w:numId w:val="6"/>
        </w:numPr>
        <w:tabs>
          <w:tab w:val="clear" w:pos="1701"/>
          <w:tab w:val="clear" w:pos="2268"/>
          <w:tab w:val="clear" w:pos="2835"/>
        </w:tabs>
        <w:ind w:left="1134" w:firstLine="0"/>
      </w:pPr>
      <w:r>
        <w:rPr>
          <w:rFonts w:eastAsia="Malgun Gothic"/>
          <w:b/>
          <w:lang w:eastAsia="zh-CN"/>
        </w:rPr>
        <w:t>Recalling</w:t>
      </w:r>
      <w:r w:rsidR="001F5535">
        <w:rPr>
          <w:rFonts w:eastAsia="Malgun Gothic"/>
          <w:b/>
          <w:lang w:eastAsia="zh-CN"/>
        </w:rPr>
        <w:t xml:space="preserve"> its previous recommendations</w:t>
      </w:r>
      <w:r>
        <w:rPr>
          <w:rFonts w:eastAsia="Malgun Gothic"/>
          <w:b/>
          <w:lang w:eastAsia="zh-CN"/>
        </w:rPr>
        <w:t>,</w:t>
      </w:r>
      <w:r w:rsidR="001F5535">
        <w:rPr>
          <w:rStyle w:val="FootnoteReference"/>
          <w:b/>
        </w:rPr>
        <w:footnoteReference w:id="7"/>
      </w:r>
      <w:r>
        <w:rPr>
          <w:rFonts w:eastAsia="Malgun Gothic"/>
          <w:b/>
          <w:lang w:eastAsia="zh-CN"/>
        </w:rPr>
        <w:t xml:space="preserve"> the Committee recommends that</w:t>
      </w:r>
      <w:r>
        <w:rPr>
          <w:b/>
        </w:rPr>
        <w:t xml:space="preserve"> the State party</w:t>
      </w:r>
      <w:r w:rsidR="00616959" w:rsidRPr="00FC61EB">
        <w:rPr>
          <w:b/>
          <w:lang w:eastAsia="zh-CN"/>
        </w:rPr>
        <w:t>:</w:t>
      </w:r>
    </w:p>
    <w:p w14:paraId="6217F939" w14:textId="77777777" w:rsidR="0011364F" w:rsidRDefault="009B496A" w:rsidP="00616959">
      <w:pPr>
        <w:pStyle w:val="SingleTxtG"/>
        <w:numPr>
          <w:ilvl w:val="1"/>
          <w:numId w:val="6"/>
        </w:numPr>
        <w:tabs>
          <w:tab w:val="clear" w:pos="1701"/>
          <w:tab w:val="clear" w:pos="2268"/>
          <w:tab w:val="clear" w:pos="2835"/>
        </w:tabs>
        <w:ind w:left="1134" w:firstLine="567"/>
        <w:rPr>
          <w:b/>
        </w:rPr>
      </w:pPr>
      <w:r>
        <w:rPr>
          <w:b/>
        </w:rPr>
        <w:t xml:space="preserve">Provide the </w:t>
      </w:r>
      <w:r w:rsidR="007F7CDF">
        <w:rPr>
          <w:b/>
        </w:rPr>
        <w:t xml:space="preserve">intercountry </w:t>
      </w:r>
      <w:r>
        <w:rPr>
          <w:b/>
        </w:rPr>
        <w:t>task force on ch</w:t>
      </w:r>
      <w:r w:rsidR="0011364F">
        <w:rPr>
          <w:b/>
        </w:rPr>
        <w:t xml:space="preserve">ildren’s rights with a clear mandate and sufficient authority to coordinate all activities related to the implementation of the Convention at the cross-sectoral, national and municipal levels, and the implementation of the </w:t>
      </w:r>
      <w:r w:rsidR="005663F7">
        <w:rPr>
          <w:b/>
        </w:rPr>
        <w:t>various action plans in the area of children’s rights</w:t>
      </w:r>
      <w:r w:rsidR="0011364F">
        <w:rPr>
          <w:b/>
        </w:rPr>
        <w:t>;</w:t>
      </w:r>
    </w:p>
    <w:p w14:paraId="4CC0E9CE" w14:textId="77777777" w:rsidR="0011364F" w:rsidRDefault="0011364F" w:rsidP="00616959">
      <w:pPr>
        <w:pStyle w:val="SingleTxtG"/>
        <w:numPr>
          <w:ilvl w:val="1"/>
          <w:numId w:val="6"/>
        </w:numPr>
        <w:tabs>
          <w:tab w:val="clear" w:pos="1701"/>
          <w:tab w:val="clear" w:pos="2268"/>
          <w:tab w:val="clear" w:pos="2835"/>
        </w:tabs>
        <w:ind w:left="1134" w:firstLine="567"/>
        <w:rPr>
          <w:b/>
        </w:rPr>
      </w:pPr>
      <w:r>
        <w:rPr>
          <w:b/>
        </w:rPr>
        <w:t xml:space="preserve">Ensure that </w:t>
      </w:r>
      <w:r w:rsidR="008336F9">
        <w:rPr>
          <w:b/>
        </w:rPr>
        <w:t>the task force</w:t>
      </w:r>
      <w:r>
        <w:rPr>
          <w:b/>
        </w:rPr>
        <w:t xml:space="preserve"> </w:t>
      </w:r>
      <w:proofErr w:type="gramStart"/>
      <w:r>
        <w:rPr>
          <w:b/>
        </w:rPr>
        <w:t>is provided</w:t>
      </w:r>
      <w:proofErr w:type="gramEnd"/>
      <w:r>
        <w:rPr>
          <w:b/>
        </w:rPr>
        <w:t xml:space="preserve"> with the human, technical and financial resources necessary</w:t>
      </w:r>
      <w:r w:rsidR="007F7CDF">
        <w:rPr>
          <w:b/>
        </w:rPr>
        <w:t xml:space="preserve"> to support the effective and equal implementation of the Convention across the constituent countries</w:t>
      </w:r>
      <w:r>
        <w:rPr>
          <w:b/>
        </w:rPr>
        <w:t xml:space="preserve">, </w:t>
      </w:r>
      <w:r w:rsidR="00A328B1">
        <w:rPr>
          <w:b/>
        </w:rPr>
        <w:t xml:space="preserve">including through a common set of goals and mechanism for monitoring implementation, </w:t>
      </w:r>
      <w:r>
        <w:rPr>
          <w:b/>
        </w:rPr>
        <w:t>and that it includes the participation of children and civil society</w:t>
      </w:r>
      <w:r w:rsidR="008336F9">
        <w:rPr>
          <w:b/>
        </w:rPr>
        <w:t>.</w:t>
      </w:r>
    </w:p>
    <w:p w14:paraId="1FD66578" w14:textId="77777777" w:rsidR="00D96C8C" w:rsidRPr="00FC61EB" w:rsidRDefault="00616959" w:rsidP="00616959">
      <w:pPr>
        <w:pStyle w:val="H23G"/>
        <w:rPr>
          <w:lang w:eastAsia="en-GB"/>
        </w:rPr>
      </w:pPr>
      <w:r w:rsidRPr="00FC61EB">
        <w:rPr>
          <w:lang w:eastAsia="zh-CN"/>
        </w:rPr>
        <w:tab/>
      </w:r>
      <w:r w:rsidRPr="00FC61EB">
        <w:rPr>
          <w:lang w:eastAsia="zh-CN"/>
        </w:rPr>
        <w:tab/>
      </w:r>
      <w:r w:rsidRPr="001B4E9A">
        <w:rPr>
          <w:lang w:eastAsia="zh-CN"/>
        </w:rPr>
        <w:t>Allocation of resources</w:t>
      </w:r>
    </w:p>
    <w:p w14:paraId="7EFF7A11" w14:textId="77777777" w:rsidR="00CC4CC5" w:rsidRPr="00CC4CC5" w:rsidRDefault="00616959" w:rsidP="00616959">
      <w:pPr>
        <w:pStyle w:val="SingleTxtG"/>
        <w:numPr>
          <w:ilvl w:val="0"/>
          <w:numId w:val="6"/>
        </w:numPr>
        <w:tabs>
          <w:tab w:val="clear" w:pos="1701"/>
          <w:tab w:val="clear" w:pos="2268"/>
          <w:tab w:val="clear" w:pos="2835"/>
        </w:tabs>
        <w:ind w:left="1134" w:firstLine="0"/>
        <w:rPr>
          <w:b/>
          <w:lang w:eastAsia="zh-CN"/>
        </w:rPr>
      </w:pPr>
      <w:r>
        <w:rPr>
          <w:rFonts w:eastAsia="Malgun Gothic"/>
          <w:b/>
          <w:lang w:eastAsia="zh-CN"/>
        </w:rPr>
        <w:t xml:space="preserve">With reference to its general comment No. 19 (2016) on public budgeting for the realization of children’s rights, the Committee </w:t>
      </w:r>
      <w:r w:rsidR="00CC4CC5">
        <w:rPr>
          <w:rFonts w:eastAsia="Malgun Gothic"/>
          <w:b/>
          <w:lang w:eastAsia="zh-CN"/>
        </w:rPr>
        <w:t>recommends that the State party incorporate a child rights-based approach into the State budgeting process and:</w:t>
      </w:r>
    </w:p>
    <w:p w14:paraId="29FAD756" w14:textId="77777777" w:rsidR="00CC4CC5" w:rsidRDefault="00CC4CC5" w:rsidP="00CC4CC5">
      <w:pPr>
        <w:pStyle w:val="SingleTxtG"/>
        <w:numPr>
          <w:ilvl w:val="1"/>
          <w:numId w:val="6"/>
        </w:numPr>
        <w:tabs>
          <w:tab w:val="clear" w:pos="1701"/>
          <w:tab w:val="clear" w:pos="2268"/>
          <w:tab w:val="clear" w:pos="2835"/>
        </w:tabs>
        <w:ind w:left="1134" w:firstLine="567"/>
        <w:rPr>
          <w:b/>
          <w:lang w:eastAsia="zh-CN"/>
        </w:rPr>
      </w:pPr>
      <w:r w:rsidRPr="00F7398D">
        <w:rPr>
          <w:b/>
        </w:rPr>
        <w:t>Implement</w:t>
      </w:r>
      <w:r w:rsidR="00616959" w:rsidRPr="00F7398D">
        <w:rPr>
          <w:b/>
        </w:rPr>
        <w:t xml:space="preserve"> a tracking system for the allocation</w:t>
      </w:r>
      <w:r w:rsidRPr="00F7398D">
        <w:rPr>
          <w:b/>
        </w:rPr>
        <w:t>,</w:t>
      </w:r>
      <w:r w:rsidR="00F7398D" w:rsidRPr="00F7398D">
        <w:rPr>
          <w:b/>
        </w:rPr>
        <w:t xml:space="preserve"> use and</w:t>
      </w:r>
      <w:r w:rsidRPr="00F7398D">
        <w:rPr>
          <w:b/>
        </w:rPr>
        <w:t xml:space="preserve"> monitoring of</w:t>
      </w:r>
      <w:r w:rsidR="00616959" w:rsidRPr="00F7398D">
        <w:rPr>
          <w:b/>
        </w:rPr>
        <w:t xml:space="preserve"> resources for children </w:t>
      </w:r>
      <w:r w:rsidR="00F7398D" w:rsidRPr="00F7398D">
        <w:rPr>
          <w:b/>
        </w:rPr>
        <w:t xml:space="preserve">throughout all constituent countries, with a view to eliminating disparities and ensuring equitability, and </w:t>
      </w:r>
      <w:r w:rsidR="00616959" w:rsidRPr="00F7398D">
        <w:rPr>
          <w:b/>
        </w:rPr>
        <w:t>assess how investments in all sectors serve the best interests of children</w:t>
      </w:r>
      <w:r w:rsidRPr="00F7398D">
        <w:rPr>
          <w:b/>
        </w:rPr>
        <w:t>;</w:t>
      </w:r>
    </w:p>
    <w:p w14:paraId="1723CD25" w14:textId="77777777" w:rsidR="009422BD" w:rsidRDefault="009422BD" w:rsidP="00CC4CC5">
      <w:pPr>
        <w:pStyle w:val="SingleTxtG"/>
        <w:numPr>
          <w:ilvl w:val="1"/>
          <w:numId w:val="6"/>
        </w:numPr>
        <w:tabs>
          <w:tab w:val="clear" w:pos="1701"/>
          <w:tab w:val="clear" w:pos="2268"/>
          <w:tab w:val="clear" w:pos="2835"/>
        </w:tabs>
        <w:ind w:left="1134" w:firstLine="567"/>
        <w:rPr>
          <w:b/>
          <w:lang w:eastAsia="zh-CN"/>
        </w:rPr>
      </w:pPr>
      <w:r w:rsidRPr="00F7398D">
        <w:rPr>
          <w:b/>
        </w:rPr>
        <w:t>Ensure transparent and participatory budgeting processes at central, regional and local levels in which civil society, the public and children can participate effectively</w:t>
      </w:r>
      <w:r>
        <w:rPr>
          <w:b/>
        </w:rPr>
        <w:t>;</w:t>
      </w:r>
    </w:p>
    <w:p w14:paraId="5381C22E" w14:textId="77777777" w:rsidR="009422BD" w:rsidRPr="00F7398D" w:rsidRDefault="00D82DEC" w:rsidP="00CC4CC5">
      <w:pPr>
        <w:pStyle w:val="SingleTxtG"/>
        <w:numPr>
          <w:ilvl w:val="1"/>
          <w:numId w:val="6"/>
        </w:numPr>
        <w:tabs>
          <w:tab w:val="clear" w:pos="1701"/>
          <w:tab w:val="clear" w:pos="2268"/>
          <w:tab w:val="clear" w:pos="2835"/>
        </w:tabs>
        <w:ind w:left="1134" w:firstLine="567"/>
        <w:rPr>
          <w:b/>
          <w:lang w:eastAsia="zh-CN"/>
        </w:rPr>
      </w:pPr>
      <w:r>
        <w:rPr>
          <w:b/>
        </w:rPr>
        <w:t xml:space="preserve">Conduct independent and participatory impact assessments of </w:t>
      </w:r>
      <w:r w:rsidR="008C2532">
        <w:rPr>
          <w:b/>
        </w:rPr>
        <w:t>its tax and financial policies</w:t>
      </w:r>
      <w:r>
        <w:rPr>
          <w:b/>
        </w:rPr>
        <w:t xml:space="preserve"> to ensur</w:t>
      </w:r>
      <w:r w:rsidR="006A349B">
        <w:rPr>
          <w:b/>
        </w:rPr>
        <w:t>e</w:t>
      </w:r>
      <w:r>
        <w:rPr>
          <w:b/>
        </w:rPr>
        <w:t xml:space="preserve"> that they</w:t>
      </w:r>
      <w:r w:rsidR="008C2532">
        <w:rPr>
          <w:b/>
        </w:rPr>
        <w:t xml:space="preserve"> do not contribute to tax abuse </w:t>
      </w:r>
      <w:r w:rsidR="008C2532" w:rsidRPr="00604AA0">
        <w:rPr>
          <w:b/>
        </w:rPr>
        <w:t xml:space="preserve">by </w:t>
      </w:r>
      <w:r w:rsidR="00B80558" w:rsidRPr="00604AA0">
        <w:rPr>
          <w:b/>
        </w:rPr>
        <w:t xml:space="preserve">national </w:t>
      </w:r>
      <w:r w:rsidR="008C2532" w:rsidRPr="00604AA0">
        <w:rPr>
          <w:b/>
        </w:rPr>
        <w:t>companies operating outside the State party that</w:t>
      </w:r>
      <w:r w:rsidR="009422BD" w:rsidRPr="00604AA0">
        <w:rPr>
          <w:b/>
        </w:rPr>
        <w:t xml:space="preserve"> lead to a negative impact on</w:t>
      </w:r>
      <w:r w:rsidR="009422BD">
        <w:rPr>
          <w:b/>
        </w:rPr>
        <w:t xml:space="preserve"> the </w:t>
      </w:r>
      <w:r w:rsidR="009422BD">
        <w:rPr>
          <w:b/>
        </w:rPr>
        <w:lastRenderedPageBreak/>
        <w:t>availability of resources for the realization of children’s rights in the countries</w:t>
      </w:r>
      <w:r w:rsidR="00DC1351">
        <w:rPr>
          <w:b/>
        </w:rPr>
        <w:t xml:space="preserve"> in which they are operating</w:t>
      </w:r>
      <w:r w:rsidR="009422BD">
        <w:rPr>
          <w:b/>
        </w:rPr>
        <w:t>.</w:t>
      </w:r>
    </w:p>
    <w:p w14:paraId="34035254" w14:textId="77777777" w:rsidR="00D96C8C" w:rsidRPr="00FC61EB" w:rsidRDefault="00616959" w:rsidP="00616959">
      <w:pPr>
        <w:pStyle w:val="H23G"/>
      </w:pPr>
      <w:r w:rsidRPr="00FC61EB">
        <w:tab/>
      </w:r>
      <w:r w:rsidRPr="00FC61EB">
        <w:tab/>
      </w:r>
      <w:r w:rsidRPr="00C0711B">
        <w:t>Data collection</w:t>
      </w:r>
    </w:p>
    <w:p w14:paraId="7E7A1E67" w14:textId="77777777" w:rsidR="00616959" w:rsidRPr="00FC61EB" w:rsidRDefault="001E0DDB" w:rsidP="00616959">
      <w:pPr>
        <w:pStyle w:val="SingleTxtG"/>
        <w:numPr>
          <w:ilvl w:val="0"/>
          <w:numId w:val="6"/>
        </w:numPr>
        <w:tabs>
          <w:tab w:val="clear" w:pos="1701"/>
          <w:tab w:val="clear" w:pos="2268"/>
          <w:tab w:val="clear" w:pos="2835"/>
        </w:tabs>
        <w:ind w:left="1134" w:firstLine="0"/>
        <w:rPr>
          <w:b/>
          <w:lang w:eastAsia="zh-CN"/>
        </w:rPr>
      </w:pPr>
      <w:r>
        <w:rPr>
          <w:b/>
        </w:rPr>
        <w:t>Th</w:t>
      </w:r>
      <w:r w:rsidR="00616959" w:rsidRPr="00FC61EB">
        <w:rPr>
          <w:b/>
        </w:rPr>
        <w:t xml:space="preserve">e Committee </w:t>
      </w:r>
      <w:r w:rsidR="008361DB">
        <w:rPr>
          <w:b/>
        </w:rPr>
        <w:t>notes the National Youth Monitor and</w:t>
      </w:r>
      <w:r w:rsidR="00140D70">
        <w:rPr>
          <w:b/>
        </w:rPr>
        <w:t xml:space="preserve"> the measures taken by Statistics Netherlands to improve</w:t>
      </w:r>
      <w:r w:rsidR="00855FA7">
        <w:rPr>
          <w:b/>
        </w:rPr>
        <w:t xml:space="preserve"> its data collection</w:t>
      </w:r>
      <w:r w:rsidR="002469D5">
        <w:rPr>
          <w:b/>
        </w:rPr>
        <w:t xml:space="preserve"> </w:t>
      </w:r>
      <w:r w:rsidR="00855FA7">
        <w:rPr>
          <w:b/>
        </w:rPr>
        <w:t>system</w:t>
      </w:r>
      <w:r w:rsidR="00140D70">
        <w:rPr>
          <w:b/>
        </w:rPr>
        <w:t xml:space="preserve">, but is concerned at the lack of a </w:t>
      </w:r>
      <w:r w:rsidR="00EA5CEA">
        <w:rPr>
          <w:b/>
        </w:rPr>
        <w:t>comprehensive and disaggregated</w:t>
      </w:r>
      <w:r w:rsidR="00140D70">
        <w:rPr>
          <w:b/>
        </w:rPr>
        <w:t xml:space="preserve"> data collection system</w:t>
      </w:r>
      <w:r w:rsidR="00EA5CEA">
        <w:rPr>
          <w:b/>
        </w:rPr>
        <w:t xml:space="preserve"> that encompasses all areas of the Convention in all constituent countries</w:t>
      </w:r>
      <w:r w:rsidR="00140D70">
        <w:rPr>
          <w:b/>
        </w:rPr>
        <w:t xml:space="preserve">. It </w:t>
      </w:r>
      <w:r w:rsidR="00140D70">
        <w:rPr>
          <w:rFonts w:eastAsia="Malgun Gothic"/>
          <w:b/>
          <w:lang w:eastAsia="zh-CN"/>
        </w:rPr>
        <w:t>recommends that</w:t>
      </w:r>
      <w:r w:rsidR="00616959" w:rsidRPr="00FC61EB">
        <w:rPr>
          <w:rFonts w:eastAsia="Malgun Gothic"/>
          <w:b/>
          <w:lang w:eastAsia="zh-CN"/>
        </w:rPr>
        <w:t xml:space="preserve"> the State party</w:t>
      </w:r>
      <w:r w:rsidR="00616959" w:rsidRPr="00FC61EB">
        <w:rPr>
          <w:b/>
          <w:lang w:eastAsia="zh-CN"/>
        </w:rPr>
        <w:t>:</w:t>
      </w:r>
    </w:p>
    <w:p w14:paraId="2DED56F8" w14:textId="77777777" w:rsidR="00616959" w:rsidRDefault="00F8126B" w:rsidP="00616959">
      <w:pPr>
        <w:pStyle w:val="SingleTxtG"/>
        <w:numPr>
          <w:ilvl w:val="1"/>
          <w:numId w:val="6"/>
        </w:numPr>
        <w:tabs>
          <w:tab w:val="clear" w:pos="1701"/>
          <w:tab w:val="clear" w:pos="2268"/>
          <w:tab w:val="clear" w:pos="2835"/>
        </w:tabs>
        <w:ind w:left="1134" w:firstLine="567"/>
        <w:rPr>
          <w:b/>
          <w:lang w:eastAsia="zh-CN"/>
        </w:rPr>
      </w:pPr>
      <w:r>
        <w:rPr>
          <w:b/>
        </w:rPr>
        <w:t>E</w:t>
      </w:r>
      <w:r w:rsidR="006C219B">
        <w:rPr>
          <w:b/>
        </w:rPr>
        <w:t>nsure that it</w:t>
      </w:r>
      <w:r>
        <w:rPr>
          <w:b/>
        </w:rPr>
        <w:t xml:space="preserve">s </w:t>
      </w:r>
      <w:r w:rsidR="000F5102">
        <w:rPr>
          <w:b/>
        </w:rPr>
        <w:t>data collection</w:t>
      </w:r>
      <w:r>
        <w:rPr>
          <w:b/>
        </w:rPr>
        <w:t xml:space="preserve"> system</w:t>
      </w:r>
      <w:r w:rsidR="000F5102">
        <w:rPr>
          <w:b/>
        </w:rPr>
        <w:t xml:space="preserve"> </w:t>
      </w:r>
      <w:r w:rsidR="006C219B">
        <w:rPr>
          <w:b/>
        </w:rPr>
        <w:t xml:space="preserve">covers </w:t>
      </w:r>
      <w:r w:rsidR="00947A47" w:rsidRPr="00D32375">
        <w:rPr>
          <w:b/>
        </w:rPr>
        <w:t>both qualitative</w:t>
      </w:r>
      <w:r w:rsidR="006C219B">
        <w:rPr>
          <w:b/>
        </w:rPr>
        <w:t xml:space="preserve"> and quantitative indicators</w:t>
      </w:r>
      <w:r w:rsidR="00340AEE">
        <w:rPr>
          <w:b/>
        </w:rPr>
        <w:t>;</w:t>
      </w:r>
      <w:r w:rsidR="00947A47" w:rsidRPr="00D32375">
        <w:rPr>
          <w:b/>
        </w:rPr>
        <w:t xml:space="preserve"> encompasses all areas of the Convention</w:t>
      </w:r>
      <w:r w:rsidR="00340AEE">
        <w:rPr>
          <w:b/>
        </w:rPr>
        <w:t xml:space="preserve">; </w:t>
      </w:r>
      <w:r w:rsidR="00947A47" w:rsidRPr="00D32375">
        <w:rPr>
          <w:b/>
        </w:rPr>
        <w:t>is disaggregated by age, sex, disability, geographic location, ethnic origin, nationality and socioeconomic background;</w:t>
      </w:r>
      <w:r w:rsidR="000F5102">
        <w:rPr>
          <w:b/>
        </w:rPr>
        <w:t xml:space="preserve"> and collects and analyses data by all relevant entities and municipalities, irrespective of the different methodologies used;</w:t>
      </w:r>
    </w:p>
    <w:p w14:paraId="052E442F" w14:textId="77777777" w:rsidR="00616959" w:rsidRPr="004B6E5C" w:rsidRDefault="00507569" w:rsidP="00616959">
      <w:pPr>
        <w:pStyle w:val="SingleTxtG"/>
        <w:numPr>
          <w:ilvl w:val="1"/>
          <w:numId w:val="6"/>
        </w:numPr>
        <w:tabs>
          <w:tab w:val="clear" w:pos="1701"/>
          <w:tab w:val="clear" w:pos="2268"/>
          <w:tab w:val="clear" w:pos="2835"/>
        </w:tabs>
        <w:ind w:left="1134" w:firstLine="567"/>
        <w:rPr>
          <w:b/>
          <w:lang w:eastAsia="zh-CN"/>
        </w:rPr>
      </w:pPr>
      <w:r w:rsidRPr="00507569">
        <w:rPr>
          <w:b/>
        </w:rPr>
        <w:t>Improve the collection and analysis of data on</w:t>
      </w:r>
      <w:r w:rsidR="00423CA2">
        <w:rPr>
          <w:b/>
        </w:rPr>
        <w:t xml:space="preserve"> </w:t>
      </w:r>
      <w:r w:rsidR="00BC1B8D">
        <w:rPr>
          <w:b/>
        </w:rPr>
        <w:t xml:space="preserve">discrimination against children, </w:t>
      </w:r>
      <w:r w:rsidR="00423CA2">
        <w:rPr>
          <w:b/>
        </w:rPr>
        <w:t>mental health,</w:t>
      </w:r>
      <w:r w:rsidRPr="00507569">
        <w:rPr>
          <w:b/>
        </w:rPr>
        <w:t xml:space="preserve"> </w:t>
      </w:r>
      <w:r w:rsidR="0092534E">
        <w:rPr>
          <w:b/>
        </w:rPr>
        <w:t xml:space="preserve">younger </w:t>
      </w:r>
      <w:r w:rsidR="00423CA2" w:rsidRPr="000A55D6">
        <w:rPr>
          <w:b/>
        </w:rPr>
        <w:t xml:space="preserve">children, </w:t>
      </w:r>
      <w:r w:rsidRPr="00507569">
        <w:rPr>
          <w:b/>
        </w:rPr>
        <w:t>child</w:t>
      </w:r>
      <w:r w:rsidR="00D8160D">
        <w:rPr>
          <w:b/>
        </w:rPr>
        <w:t>ren in alternative</w:t>
      </w:r>
      <w:r w:rsidRPr="00507569">
        <w:rPr>
          <w:b/>
        </w:rPr>
        <w:t xml:space="preserve"> care, </w:t>
      </w:r>
      <w:r w:rsidR="00C33259">
        <w:rPr>
          <w:b/>
        </w:rPr>
        <w:t xml:space="preserve">child poverty, </w:t>
      </w:r>
      <w:r w:rsidRPr="00507569">
        <w:rPr>
          <w:b/>
        </w:rPr>
        <w:t xml:space="preserve">children in </w:t>
      </w:r>
      <w:r w:rsidR="000A55D6">
        <w:rPr>
          <w:b/>
        </w:rPr>
        <w:t>the justice system</w:t>
      </w:r>
      <w:r w:rsidRPr="00507569">
        <w:rPr>
          <w:b/>
        </w:rPr>
        <w:t xml:space="preserve">, </w:t>
      </w:r>
      <w:r w:rsidR="00427EAF">
        <w:rPr>
          <w:b/>
        </w:rPr>
        <w:t>children whose nationality is unknown,</w:t>
      </w:r>
      <w:r w:rsidRPr="00507569">
        <w:rPr>
          <w:b/>
        </w:rPr>
        <w:t xml:space="preserve"> </w:t>
      </w:r>
      <w:r w:rsidR="00F61944">
        <w:rPr>
          <w:b/>
        </w:rPr>
        <w:t xml:space="preserve">child labour, </w:t>
      </w:r>
      <w:r w:rsidR="00340AEE">
        <w:rPr>
          <w:b/>
        </w:rPr>
        <w:t>and violence against children,</w:t>
      </w:r>
      <w:r w:rsidRPr="00507569">
        <w:rPr>
          <w:b/>
        </w:rPr>
        <w:t xml:space="preserve"> including sexual</w:t>
      </w:r>
      <w:r w:rsidR="00D8160D">
        <w:rPr>
          <w:b/>
        </w:rPr>
        <w:t xml:space="preserve"> exploitation,</w:t>
      </w:r>
      <w:r w:rsidRPr="00507569">
        <w:rPr>
          <w:b/>
        </w:rPr>
        <w:t xml:space="preserve"> abuse</w:t>
      </w:r>
      <w:r w:rsidR="00D8160D">
        <w:rPr>
          <w:b/>
        </w:rPr>
        <w:t xml:space="preserve"> and trafficking</w:t>
      </w:r>
      <w:r w:rsidR="004B6E5C">
        <w:rPr>
          <w:rFonts w:eastAsia="Malgun Gothic"/>
          <w:b/>
          <w:lang w:eastAsia="zh-CN"/>
        </w:rPr>
        <w:t xml:space="preserve">; </w:t>
      </w:r>
    </w:p>
    <w:p w14:paraId="5AFA7B9D" w14:textId="77777777" w:rsidR="004B6E5C" w:rsidRPr="00267377" w:rsidRDefault="004B6E5C" w:rsidP="00616959">
      <w:pPr>
        <w:pStyle w:val="SingleTxtG"/>
        <w:numPr>
          <w:ilvl w:val="1"/>
          <w:numId w:val="6"/>
        </w:numPr>
        <w:tabs>
          <w:tab w:val="clear" w:pos="1701"/>
          <w:tab w:val="clear" w:pos="2268"/>
          <w:tab w:val="clear" w:pos="2835"/>
        </w:tabs>
        <w:ind w:left="1134" w:firstLine="567"/>
        <w:rPr>
          <w:b/>
          <w:lang w:eastAsia="zh-CN"/>
        </w:rPr>
      </w:pPr>
      <w:r w:rsidRPr="004B6E5C">
        <w:rPr>
          <w:b/>
        </w:rPr>
        <w:t xml:space="preserve">Ensure that the data </w:t>
      </w:r>
      <w:proofErr w:type="gramStart"/>
      <w:r w:rsidRPr="004B6E5C">
        <w:rPr>
          <w:b/>
        </w:rPr>
        <w:t xml:space="preserve">are shared among </w:t>
      </w:r>
      <w:r>
        <w:rPr>
          <w:b/>
        </w:rPr>
        <w:t>relevant ministries</w:t>
      </w:r>
      <w:r w:rsidR="000615B0">
        <w:rPr>
          <w:b/>
        </w:rPr>
        <w:t>,</w:t>
      </w:r>
      <w:r>
        <w:rPr>
          <w:b/>
        </w:rPr>
        <w:t xml:space="preserve"> professional groups</w:t>
      </w:r>
      <w:r w:rsidR="000615B0">
        <w:rPr>
          <w:b/>
        </w:rPr>
        <w:t xml:space="preserve"> and civil society,</w:t>
      </w:r>
      <w:r w:rsidRPr="004B6E5C">
        <w:rPr>
          <w:b/>
        </w:rPr>
        <w:t xml:space="preserve"> and used for the evaluation of policies and projects</w:t>
      </w:r>
      <w:r>
        <w:rPr>
          <w:b/>
        </w:rPr>
        <w:t xml:space="preserve"> on children’s rights, including youth care</w:t>
      </w:r>
      <w:proofErr w:type="gramEnd"/>
      <w:r>
        <w:rPr>
          <w:b/>
        </w:rPr>
        <w:t>.</w:t>
      </w:r>
    </w:p>
    <w:p w14:paraId="56652D3F" w14:textId="77777777" w:rsidR="00D96C8C" w:rsidRPr="00FC61EB" w:rsidRDefault="00616959" w:rsidP="00616959">
      <w:pPr>
        <w:pStyle w:val="H23G"/>
      </w:pPr>
      <w:r w:rsidRPr="00FC61EB">
        <w:tab/>
      </w:r>
      <w:r w:rsidRPr="00FC61EB">
        <w:tab/>
        <w:t>Independent monitoring</w:t>
      </w:r>
    </w:p>
    <w:p w14:paraId="0285A35B" w14:textId="775A6CD9" w:rsidR="00616959" w:rsidRPr="00FC61EB" w:rsidRDefault="00737F2E" w:rsidP="00616959">
      <w:pPr>
        <w:pStyle w:val="SingleTxtG"/>
        <w:numPr>
          <w:ilvl w:val="0"/>
          <w:numId w:val="6"/>
        </w:numPr>
        <w:tabs>
          <w:tab w:val="clear" w:pos="1701"/>
          <w:tab w:val="clear" w:pos="2268"/>
          <w:tab w:val="clear" w:pos="2835"/>
        </w:tabs>
        <w:ind w:left="1134" w:firstLine="0"/>
      </w:pPr>
      <w:proofErr w:type="gramStart"/>
      <w:r>
        <w:rPr>
          <w:rFonts w:eastAsia="Malgun Gothic"/>
          <w:b/>
          <w:lang w:eastAsia="zh-CN"/>
        </w:rPr>
        <w:t xml:space="preserve">While </w:t>
      </w:r>
      <w:r w:rsidR="00B57588">
        <w:rPr>
          <w:rFonts w:eastAsia="Malgun Gothic"/>
          <w:b/>
          <w:lang w:eastAsia="zh-CN"/>
        </w:rPr>
        <w:t>welcom</w:t>
      </w:r>
      <w:r>
        <w:rPr>
          <w:rFonts w:eastAsia="Malgun Gothic"/>
          <w:b/>
          <w:lang w:eastAsia="zh-CN"/>
        </w:rPr>
        <w:t>ing</w:t>
      </w:r>
      <w:r w:rsidR="00B57588">
        <w:rPr>
          <w:rFonts w:eastAsia="Malgun Gothic"/>
          <w:b/>
          <w:lang w:eastAsia="zh-CN"/>
        </w:rPr>
        <w:t xml:space="preserve"> the ratification of the law establishing the children’s ombudsman in </w:t>
      </w:r>
      <w:proofErr w:type="spellStart"/>
      <w:r w:rsidR="00B57588" w:rsidRPr="001E7CE9">
        <w:rPr>
          <w:rFonts w:eastAsia="Malgun Gothic"/>
          <w:b/>
          <w:lang w:eastAsia="zh-CN"/>
        </w:rPr>
        <w:t>Curaçao</w:t>
      </w:r>
      <w:proofErr w:type="spellEnd"/>
      <w:r w:rsidR="00B57588">
        <w:rPr>
          <w:rFonts w:eastAsia="Malgun Gothic"/>
          <w:b/>
          <w:lang w:eastAsia="zh-CN"/>
        </w:rPr>
        <w:t xml:space="preserve"> and </w:t>
      </w:r>
      <w:r w:rsidR="00EC1FA7">
        <w:rPr>
          <w:rFonts w:eastAsia="Malgun Gothic"/>
          <w:b/>
          <w:lang w:eastAsia="zh-CN"/>
        </w:rPr>
        <w:t xml:space="preserve">the establishment of a National Children’s Rights Committee in </w:t>
      </w:r>
      <w:proofErr w:type="spellStart"/>
      <w:r w:rsidR="00EC1FA7">
        <w:rPr>
          <w:rFonts w:eastAsia="Malgun Gothic"/>
          <w:b/>
          <w:lang w:eastAsia="zh-CN"/>
        </w:rPr>
        <w:t>Sint</w:t>
      </w:r>
      <w:proofErr w:type="spellEnd"/>
      <w:r w:rsidR="00EC1FA7">
        <w:rPr>
          <w:rFonts w:eastAsia="Malgun Gothic"/>
          <w:b/>
          <w:lang w:eastAsia="zh-CN"/>
        </w:rPr>
        <w:t xml:space="preserve"> Maarten</w:t>
      </w:r>
      <w:r w:rsidR="000464F5">
        <w:rPr>
          <w:rFonts w:eastAsia="Malgun Gothic"/>
          <w:b/>
          <w:lang w:eastAsia="zh-CN"/>
        </w:rPr>
        <w:t>,</w:t>
      </w:r>
      <w:r w:rsidR="002F13FA">
        <w:rPr>
          <w:b/>
        </w:rPr>
        <w:t xml:space="preserve"> </w:t>
      </w:r>
      <w:r w:rsidR="000464F5">
        <w:rPr>
          <w:b/>
        </w:rPr>
        <w:t>the Committee recommends that</w:t>
      </w:r>
      <w:r w:rsidR="00616959" w:rsidRPr="00783C85">
        <w:rPr>
          <w:rFonts w:eastAsia="Malgun Gothic"/>
          <w:b/>
          <w:lang w:eastAsia="zh-CN"/>
        </w:rPr>
        <w:t xml:space="preserve"> the State party</w:t>
      </w:r>
      <w:r w:rsidR="00FC47D0">
        <w:rPr>
          <w:rFonts w:eastAsia="Malgun Gothic"/>
          <w:b/>
          <w:lang w:eastAsia="zh-CN"/>
        </w:rPr>
        <w:t xml:space="preserve"> expeditiously </w:t>
      </w:r>
      <w:r w:rsidR="00822CEC">
        <w:rPr>
          <w:rFonts w:eastAsia="Malgun Gothic"/>
          <w:b/>
          <w:lang w:eastAsia="zh-CN"/>
        </w:rPr>
        <w:t xml:space="preserve">establish </w:t>
      </w:r>
      <w:r w:rsidR="000464F5">
        <w:rPr>
          <w:rFonts w:eastAsia="Malgun Gothic"/>
          <w:b/>
          <w:lang w:eastAsia="zh-CN"/>
        </w:rPr>
        <w:t xml:space="preserve">an </w:t>
      </w:r>
      <w:r w:rsidR="00FC47D0">
        <w:rPr>
          <w:rFonts w:eastAsia="Malgun Gothic"/>
          <w:b/>
          <w:lang w:eastAsia="zh-CN"/>
        </w:rPr>
        <w:t>independent mechanism for monitoring</w:t>
      </w:r>
      <w:r w:rsidR="001E7CE9">
        <w:rPr>
          <w:rFonts w:eastAsia="Malgun Gothic"/>
          <w:b/>
          <w:lang w:eastAsia="zh-CN"/>
        </w:rPr>
        <w:t xml:space="preserve"> and promoting</w:t>
      </w:r>
      <w:r w:rsidR="00FC47D0">
        <w:rPr>
          <w:rFonts w:eastAsia="Malgun Gothic"/>
          <w:b/>
          <w:lang w:eastAsia="zh-CN"/>
        </w:rPr>
        <w:t xml:space="preserve"> children’s rights in </w:t>
      </w:r>
      <w:r w:rsidR="000464F5" w:rsidRPr="000464F5">
        <w:rPr>
          <w:rFonts w:eastAsia="Malgun Gothic"/>
          <w:b/>
          <w:lang w:eastAsia="zh-CN"/>
        </w:rPr>
        <w:t>Aruba</w:t>
      </w:r>
      <w:r w:rsidR="003F5D61">
        <w:rPr>
          <w:rFonts w:eastAsia="Malgun Gothic"/>
          <w:b/>
          <w:lang w:eastAsia="zh-CN"/>
        </w:rPr>
        <w:t xml:space="preserve">, and ensure that such mechanisms in all constituent countries </w:t>
      </w:r>
      <w:r w:rsidR="0009076D">
        <w:rPr>
          <w:rFonts w:eastAsia="Malgun Gothic"/>
          <w:b/>
          <w:lang w:eastAsia="zh-CN"/>
        </w:rPr>
        <w:t xml:space="preserve">are in full compliance with the Paris Principles and </w:t>
      </w:r>
      <w:r w:rsidR="003F5D61">
        <w:rPr>
          <w:rFonts w:eastAsia="Malgun Gothic"/>
          <w:b/>
          <w:lang w:eastAsia="zh-CN"/>
        </w:rPr>
        <w:t>can receive</w:t>
      </w:r>
      <w:r w:rsidR="00FC47D0">
        <w:rPr>
          <w:rFonts w:eastAsia="Malgun Gothic"/>
          <w:b/>
          <w:lang w:eastAsia="zh-CN"/>
        </w:rPr>
        <w:t>, investigate and</w:t>
      </w:r>
      <w:r w:rsidR="001E7CE9">
        <w:rPr>
          <w:rFonts w:eastAsia="Malgun Gothic"/>
          <w:b/>
          <w:lang w:eastAsia="zh-CN"/>
        </w:rPr>
        <w:t xml:space="preserve"> competently</w:t>
      </w:r>
      <w:r w:rsidR="00FC47D0">
        <w:rPr>
          <w:rFonts w:eastAsia="Malgun Gothic"/>
          <w:b/>
          <w:lang w:eastAsia="zh-CN"/>
        </w:rPr>
        <w:t xml:space="preserve"> address complaints by children in a child-friendly manner.</w:t>
      </w:r>
      <w:proofErr w:type="gramEnd"/>
    </w:p>
    <w:p w14:paraId="5BD888E3" w14:textId="77777777" w:rsidR="00D96C8C" w:rsidRDefault="00616959" w:rsidP="00616959">
      <w:pPr>
        <w:pStyle w:val="H23G"/>
        <w:rPr>
          <w:lang w:eastAsia="zh-CN"/>
        </w:rPr>
      </w:pPr>
      <w:r w:rsidRPr="00FC61EB">
        <w:rPr>
          <w:lang w:eastAsia="zh-CN"/>
        </w:rPr>
        <w:tab/>
      </w:r>
      <w:r w:rsidRPr="00FC61EB">
        <w:rPr>
          <w:lang w:eastAsia="zh-CN"/>
        </w:rPr>
        <w:tab/>
      </w:r>
      <w:r w:rsidRPr="00A2169C">
        <w:rPr>
          <w:lang w:eastAsia="zh-CN"/>
        </w:rPr>
        <w:t xml:space="preserve">Dissemination, </w:t>
      </w:r>
      <w:proofErr w:type="gramStart"/>
      <w:r w:rsidRPr="00A2169C">
        <w:rPr>
          <w:lang w:eastAsia="zh-CN"/>
        </w:rPr>
        <w:t>awareness-raising</w:t>
      </w:r>
      <w:proofErr w:type="gramEnd"/>
      <w:r w:rsidRPr="00A2169C">
        <w:rPr>
          <w:lang w:eastAsia="zh-CN"/>
        </w:rPr>
        <w:t xml:space="preserve"> and training</w:t>
      </w:r>
    </w:p>
    <w:p w14:paraId="1D085A77" w14:textId="77777777" w:rsidR="00616959" w:rsidRPr="00FC61EB" w:rsidRDefault="00616959" w:rsidP="00616959">
      <w:pPr>
        <w:pStyle w:val="SingleTxtG"/>
        <w:numPr>
          <w:ilvl w:val="0"/>
          <w:numId w:val="6"/>
        </w:numPr>
        <w:tabs>
          <w:tab w:val="clear" w:pos="1701"/>
          <w:tab w:val="clear" w:pos="2268"/>
          <w:tab w:val="clear" w:pos="2835"/>
        </w:tabs>
        <w:ind w:left="1134" w:firstLine="0"/>
        <w:rPr>
          <w:b/>
        </w:rPr>
      </w:pPr>
      <w:r>
        <w:rPr>
          <w:b/>
          <w:bCs/>
        </w:rPr>
        <w:t>The Committee</w:t>
      </w:r>
      <w:r w:rsidR="00BD051C">
        <w:rPr>
          <w:b/>
          <w:bCs/>
        </w:rPr>
        <w:t xml:space="preserve"> is concerned about the low level of knowledge of the Convention among children</w:t>
      </w:r>
      <w:r w:rsidR="009D3D6D">
        <w:rPr>
          <w:b/>
          <w:bCs/>
        </w:rPr>
        <w:t xml:space="preserve"> and</w:t>
      </w:r>
      <w:r>
        <w:rPr>
          <w:b/>
          <w:bCs/>
        </w:rPr>
        <w:t xml:space="preserve"> recommends</w:t>
      </w:r>
      <w:r w:rsidR="001E0DDB">
        <w:rPr>
          <w:b/>
          <w:bCs/>
        </w:rPr>
        <w:t xml:space="preserve"> </w:t>
      </w:r>
      <w:r w:rsidRPr="00FC61EB">
        <w:rPr>
          <w:b/>
        </w:rPr>
        <w:t>that the State party:</w:t>
      </w:r>
    </w:p>
    <w:p w14:paraId="64834438" w14:textId="77777777" w:rsidR="004543B6" w:rsidRPr="00845793" w:rsidRDefault="00845793" w:rsidP="00AC6ECA">
      <w:pPr>
        <w:pStyle w:val="SingleTxtG"/>
        <w:numPr>
          <w:ilvl w:val="1"/>
          <w:numId w:val="8"/>
        </w:numPr>
        <w:tabs>
          <w:tab w:val="clear" w:pos="1701"/>
          <w:tab w:val="clear" w:pos="2268"/>
          <w:tab w:val="clear" w:pos="2835"/>
        </w:tabs>
        <w:ind w:left="1134" w:firstLine="567"/>
        <w:rPr>
          <w:b/>
        </w:rPr>
      </w:pPr>
      <w:r w:rsidRPr="00845793">
        <w:rPr>
          <w:b/>
        </w:rPr>
        <w:t>Promote the active involvement of children in public outreach activities and c</w:t>
      </w:r>
      <w:r w:rsidR="00BD051C" w:rsidRPr="00845793">
        <w:rPr>
          <w:b/>
        </w:rPr>
        <w:t>ontinue its awareness-raising regarding children’s rights among the public</w:t>
      </w:r>
      <w:r w:rsidRPr="00845793">
        <w:rPr>
          <w:b/>
        </w:rPr>
        <w:t xml:space="preserve">, </w:t>
      </w:r>
      <w:r w:rsidR="004543B6" w:rsidRPr="00845793">
        <w:rPr>
          <w:b/>
        </w:rPr>
        <w:t xml:space="preserve">including </w:t>
      </w:r>
      <w:r w:rsidRPr="00845793">
        <w:rPr>
          <w:b/>
        </w:rPr>
        <w:t>by</w:t>
      </w:r>
      <w:r w:rsidR="004543B6" w:rsidRPr="00845793">
        <w:rPr>
          <w:b/>
        </w:rPr>
        <w:t xml:space="preserve"> disseminati</w:t>
      </w:r>
      <w:r w:rsidRPr="00845793">
        <w:rPr>
          <w:b/>
        </w:rPr>
        <w:t>ng</w:t>
      </w:r>
      <w:r w:rsidR="004543B6" w:rsidRPr="00845793">
        <w:rPr>
          <w:b/>
        </w:rPr>
        <w:t xml:space="preserve"> child-friendly pedagogical material in </w:t>
      </w:r>
      <w:r w:rsidR="0048233C">
        <w:rPr>
          <w:b/>
        </w:rPr>
        <w:t xml:space="preserve">the </w:t>
      </w:r>
      <w:r w:rsidR="004543B6" w:rsidRPr="00845793">
        <w:rPr>
          <w:b/>
        </w:rPr>
        <w:t>different languages</w:t>
      </w:r>
      <w:r w:rsidR="0048233C">
        <w:rPr>
          <w:b/>
        </w:rPr>
        <w:t xml:space="preserve"> of the State party</w:t>
      </w:r>
      <w:r w:rsidR="004543B6">
        <w:t>;</w:t>
      </w:r>
    </w:p>
    <w:p w14:paraId="1ADD1301" w14:textId="77777777" w:rsidR="00616959" w:rsidRPr="00205CD9" w:rsidRDefault="00845793" w:rsidP="00616959">
      <w:pPr>
        <w:pStyle w:val="SingleTxtG"/>
        <w:numPr>
          <w:ilvl w:val="1"/>
          <w:numId w:val="8"/>
        </w:numPr>
        <w:tabs>
          <w:tab w:val="clear" w:pos="1701"/>
          <w:tab w:val="clear" w:pos="2268"/>
          <w:tab w:val="clear" w:pos="2835"/>
        </w:tabs>
        <w:ind w:left="1134" w:firstLine="567"/>
        <w:rPr>
          <w:b/>
        </w:rPr>
      </w:pPr>
      <w:r w:rsidRPr="00845793">
        <w:rPr>
          <w:b/>
        </w:rPr>
        <w:t xml:space="preserve">Ensure systematic training </w:t>
      </w:r>
      <w:r w:rsidR="00EC5E99">
        <w:rPr>
          <w:b/>
        </w:rPr>
        <w:t>o</w:t>
      </w:r>
      <w:r w:rsidRPr="00845793">
        <w:rPr>
          <w:b/>
        </w:rPr>
        <w:t xml:space="preserve">n children’s </w:t>
      </w:r>
      <w:proofErr w:type="gramStart"/>
      <w:r w:rsidRPr="00845793">
        <w:rPr>
          <w:b/>
        </w:rPr>
        <w:t>rights and the Convention</w:t>
      </w:r>
      <w:proofErr w:type="gramEnd"/>
      <w:r w:rsidRPr="00845793">
        <w:rPr>
          <w:b/>
        </w:rPr>
        <w:t xml:space="preserve"> and the Optional Protocols thereto</w:t>
      </w:r>
      <w:r>
        <w:rPr>
          <w:color w:val="FF0000"/>
        </w:rPr>
        <w:t xml:space="preserve"> </w:t>
      </w:r>
      <w:r>
        <w:rPr>
          <w:b/>
        </w:rPr>
        <w:t>for all professionals working for and with children</w:t>
      </w:r>
      <w:r w:rsidR="00616959" w:rsidRPr="00205CD9">
        <w:rPr>
          <w:b/>
        </w:rPr>
        <w:t>.</w:t>
      </w:r>
    </w:p>
    <w:p w14:paraId="2E2ECE1A" w14:textId="77777777" w:rsidR="00D96C8C" w:rsidRPr="00A8195E" w:rsidRDefault="00616959" w:rsidP="00616959">
      <w:pPr>
        <w:pStyle w:val="H23G"/>
        <w:rPr>
          <w:lang w:eastAsia="zh-CN"/>
        </w:rPr>
      </w:pPr>
      <w:r>
        <w:rPr>
          <w:lang w:eastAsia="zh-CN"/>
        </w:rPr>
        <w:tab/>
      </w:r>
      <w:r>
        <w:rPr>
          <w:lang w:eastAsia="zh-CN"/>
        </w:rPr>
        <w:tab/>
      </w:r>
      <w:r w:rsidRPr="00A03DC5">
        <w:rPr>
          <w:lang w:eastAsia="zh-CN"/>
        </w:rPr>
        <w:t>Children’s rights and the business sector</w:t>
      </w:r>
    </w:p>
    <w:p w14:paraId="54A592E3" w14:textId="77777777" w:rsidR="00616959" w:rsidRDefault="00B92925" w:rsidP="00616959">
      <w:pPr>
        <w:pStyle w:val="SingleTxtG"/>
        <w:numPr>
          <w:ilvl w:val="0"/>
          <w:numId w:val="6"/>
        </w:numPr>
        <w:tabs>
          <w:tab w:val="clear" w:pos="1701"/>
          <w:tab w:val="clear" w:pos="2268"/>
          <w:tab w:val="clear" w:pos="2835"/>
        </w:tabs>
        <w:ind w:left="1134" w:firstLine="0"/>
        <w:rPr>
          <w:b/>
        </w:rPr>
      </w:pPr>
      <w:r>
        <w:rPr>
          <w:b/>
        </w:rPr>
        <w:t xml:space="preserve">The Committee notes the </w:t>
      </w:r>
      <w:r w:rsidR="008361DB">
        <w:rPr>
          <w:b/>
        </w:rPr>
        <w:t>introduction of legislation requiring businesses to apply due diligence, and the efforts to revise the</w:t>
      </w:r>
      <w:r w:rsidR="004C1FBF">
        <w:rPr>
          <w:b/>
        </w:rPr>
        <w:t xml:space="preserve"> national action plan on business and human rights</w:t>
      </w:r>
      <w:r w:rsidR="00781105">
        <w:rPr>
          <w:b/>
        </w:rPr>
        <w:t>. However</w:t>
      </w:r>
      <w:r>
        <w:rPr>
          <w:b/>
        </w:rPr>
        <w:t xml:space="preserve">, </w:t>
      </w:r>
      <w:r w:rsidR="00781105">
        <w:rPr>
          <w:b/>
        </w:rPr>
        <w:t>it</w:t>
      </w:r>
      <w:r>
        <w:rPr>
          <w:b/>
        </w:rPr>
        <w:t xml:space="preserve"> is concerned about </w:t>
      </w:r>
      <w:r w:rsidR="008361DB">
        <w:rPr>
          <w:b/>
        </w:rPr>
        <w:t>reports of the negative impact of the business sector, including in oil extraction and soy production, on children’s rights and the environment</w:t>
      </w:r>
      <w:r w:rsidRPr="00883466">
        <w:rPr>
          <w:b/>
        </w:rPr>
        <w:t xml:space="preserve"> and the lack of legal accountability for businesses that have violated children’s rights. </w:t>
      </w:r>
      <w:r w:rsidR="00041A17" w:rsidRPr="00883466">
        <w:rPr>
          <w:b/>
        </w:rPr>
        <w:t xml:space="preserve">Recalling </w:t>
      </w:r>
      <w:r w:rsidR="00041A17">
        <w:rPr>
          <w:b/>
        </w:rPr>
        <w:t>its previous recommendations,</w:t>
      </w:r>
      <w:r w:rsidR="00084B5D">
        <w:rPr>
          <w:rStyle w:val="FootnoteReference"/>
          <w:b/>
        </w:rPr>
        <w:footnoteReference w:id="8"/>
      </w:r>
      <w:r w:rsidR="00041A17">
        <w:rPr>
          <w:b/>
        </w:rPr>
        <w:t xml:space="preserve"> t</w:t>
      </w:r>
      <w:r w:rsidR="00616959">
        <w:rPr>
          <w:b/>
        </w:rPr>
        <w:t>he Committee recommends that the State party:</w:t>
      </w:r>
    </w:p>
    <w:p w14:paraId="6F00E754" w14:textId="77777777" w:rsidR="00EA38BA" w:rsidRPr="003C3D7E" w:rsidRDefault="00032928" w:rsidP="00AC6ECA">
      <w:pPr>
        <w:pStyle w:val="SingleTxtG"/>
        <w:numPr>
          <w:ilvl w:val="0"/>
          <w:numId w:val="21"/>
        </w:numPr>
        <w:tabs>
          <w:tab w:val="clear" w:pos="1701"/>
          <w:tab w:val="clear" w:pos="2268"/>
          <w:tab w:val="clear" w:pos="2835"/>
        </w:tabs>
        <w:ind w:left="1134" w:firstLine="567"/>
        <w:rPr>
          <w:b/>
        </w:rPr>
      </w:pPr>
      <w:r>
        <w:rPr>
          <w:b/>
        </w:rPr>
        <w:t>Continue to e</w:t>
      </w:r>
      <w:r w:rsidR="003C3D7E" w:rsidRPr="00BC12E4">
        <w:rPr>
          <w:b/>
        </w:rPr>
        <w:t xml:space="preserve">xamine and adapt its legislative framework (civil, criminal and administrative) </w:t>
      </w:r>
      <w:r w:rsidR="003C3D7E">
        <w:rPr>
          <w:b/>
        </w:rPr>
        <w:t>to e</w:t>
      </w:r>
      <w:r w:rsidR="00EA38BA" w:rsidRPr="003C3D7E">
        <w:rPr>
          <w:b/>
        </w:rPr>
        <w:t xml:space="preserve">nsure the </w:t>
      </w:r>
      <w:r w:rsidR="003C3D7E" w:rsidRPr="003C3D7E">
        <w:rPr>
          <w:b/>
        </w:rPr>
        <w:t xml:space="preserve">legal accountability of business enterprises and their subsidiaries operating in or managed from the State party’s territory, </w:t>
      </w:r>
      <w:r w:rsidR="00EA38BA" w:rsidRPr="003C3D7E">
        <w:rPr>
          <w:b/>
        </w:rPr>
        <w:t xml:space="preserve">including </w:t>
      </w:r>
      <w:r w:rsidR="00EA38BA" w:rsidRPr="003C3D7E">
        <w:rPr>
          <w:b/>
        </w:rPr>
        <w:lastRenderedPageBreak/>
        <w:t xml:space="preserve">companies that deal with the extraction of oil or trade in palm oil or soy, </w:t>
      </w:r>
      <w:r w:rsidR="003C3D7E">
        <w:rPr>
          <w:b/>
        </w:rPr>
        <w:t>in relation to</w:t>
      </w:r>
      <w:r w:rsidR="00EA38BA" w:rsidRPr="003C3D7E">
        <w:rPr>
          <w:b/>
        </w:rPr>
        <w:t xml:space="preserve"> international </w:t>
      </w:r>
      <w:r w:rsidR="00883466" w:rsidRPr="003C3D7E">
        <w:rPr>
          <w:b/>
        </w:rPr>
        <w:t xml:space="preserve">and national </w:t>
      </w:r>
      <w:r w:rsidR="00EA38BA" w:rsidRPr="003C3D7E">
        <w:rPr>
          <w:b/>
        </w:rPr>
        <w:t>human rights</w:t>
      </w:r>
      <w:r w:rsidR="00883466" w:rsidRPr="003C3D7E">
        <w:rPr>
          <w:b/>
        </w:rPr>
        <w:t>, labour, environmental and other standards</w:t>
      </w:r>
      <w:r w:rsidR="00EA38BA" w:rsidRPr="003C3D7E">
        <w:rPr>
          <w:b/>
        </w:rPr>
        <w:t xml:space="preserve">; </w:t>
      </w:r>
    </w:p>
    <w:p w14:paraId="10B76BB1" w14:textId="77777777" w:rsidR="003C3D7E" w:rsidRDefault="00EA38BA" w:rsidP="00616959">
      <w:pPr>
        <w:pStyle w:val="SingleTxtG"/>
        <w:numPr>
          <w:ilvl w:val="0"/>
          <w:numId w:val="21"/>
        </w:numPr>
        <w:tabs>
          <w:tab w:val="clear" w:pos="1701"/>
          <w:tab w:val="clear" w:pos="2268"/>
          <w:tab w:val="clear" w:pos="2835"/>
        </w:tabs>
        <w:ind w:left="1134" w:firstLine="567"/>
        <w:rPr>
          <w:b/>
        </w:rPr>
      </w:pPr>
      <w:r>
        <w:rPr>
          <w:b/>
        </w:rPr>
        <w:t xml:space="preserve">Establish </w:t>
      </w:r>
      <w:r w:rsidRPr="00DF1F6D">
        <w:rPr>
          <w:b/>
        </w:rPr>
        <w:t>monitoring mechanisms for the investigation and redress of violations of children’s rights, with a view to improving accountability and transparency</w:t>
      </w:r>
      <w:r w:rsidR="003C3D7E">
        <w:rPr>
          <w:b/>
        </w:rPr>
        <w:t>;</w:t>
      </w:r>
    </w:p>
    <w:p w14:paraId="67AB279C" w14:textId="77777777" w:rsidR="00EA38BA" w:rsidRDefault="003C3D7E" w:rsidP="00616959">
      <w:pPr>
        <w:pStyle w:val="SingleTxtG"/>
        <w:numPr>
          <w:ilvl w:val="0"/>
          <w:numId w:val="21"/>
        </w:numPr>
        <w:tabs>
          <w:tab w:val="clear" w:pos="1701"/>
          <w:tab w:val="clear" w:pos="2268"/>
          <w:tab w:val="clear" w:pos="2835"/>
        </w:tabs>
        <w:ind w:left="1134" w:firstLine="567"/>
        <w:rPr>
          <w:b/>
        </w:rPr>
      </w:pPr>
      <w:r w:rsidRPr="003F793C">
        <w:rPr>
          <w:b/>
        </w:rPr>
        <w:t xml:space="preserve">Strengthen its </w:t>
      </w:r>
      <w:r w:rsidRPr="00CB4966">
        <w:rPr>
          <w:b/>
        </w:rPr>
        <w:t>international cooperation against exploitation of children through multilateral, regional and bilateral arrangements for its prevention and elimination</w:t>
      </w:r>
      <w:r w:rsidR="00EA38BA">
        <w:rPr>
          <w:b/>
        </w:rPr>
        <w:t>.</w:t>
      </w:r>
    </w:p>
    <w:p w14:paraId="2C1B825C" w14:textId="77777777" w:rsidR="00616959" w:rsidRPr="00FC61EB" w:rsidRDefault="00616959" w:rsidP="00616959">
      <w:pPr>
        <w:pStyle w:val="H1G"/>
      </w:pPr>
      <w:r w:rsidRPr="00FC61EB">
        <w:tab/>
      </w:r>
      <w:r>
        <w:t>B</w:t>
      </w:r>
      <w:r w:rsidRPr="00FC61EB">
        <w:t>.</w:t>
      </w:r>
      <w:r w:rsidRPr="00FC61EB">
        <w:tab/>
        <w:t>General principles (arts. 2</w:t>
      </w:r>
      <w:r w:rsidR="00F67E02">
        <w:t>–</w:t>
      </w:r>
      <w:r w:rsidRPr="00FC61EB">
        <w:t>3, 6 and 12)</w:t>
      </w:r>
    </w:p>
    <w:p w14:paraId="3664D279" w14:textId="77777777" w:rsidR="00D96C8C" w:rsidRPr="00FC61EB" w:rsidRDefault="00616959" w:rsidP="00616959">
      <w:pPr>
        <w:pStyle w:val="H23G"/>
      </w:pPr>
      <w:r w:rsidRPr="00FC61EB">
        <w:tab/>
      </w:r>
      <w:r w:rsidRPr="00FC61EB">
        <w:tab/>
      </w:r>
      <w:r w:rsidRPr="00725DC1">
        <w:t>Non-discrimination</w:t>
      </w:r>
    </w:p>
    <w:p w14:paraId="54EB37A2" w14:textId="77777777" w:rsidR="00233B43" w:rsidRPr="005B2D7C" w:rsidRDefault="001E23CB" w:rsidP="00D53EF9">
      <w:pPr>
        <w:pStyle w:val="SingleTxtG"/>
        <w:numPr>
          <w:ilvl w:val="0"/>
          <w:numId w:val="6"/>
        </w:numPr>
        <w:tabs>
          <w:tab w:val="clear" w:pos="1701"/>
          <w:tab w:val="clear" w:pos="2268"/>
          <w:tab w:val="clear" w:pos="2835"/>
        </w:tabs>
        <w:ind w:left="1134" w:firstLine="0"/>
      </w:pPr>
      <w:proofErr w:type="gramStart"/>
      <w:r w:rsidRPr="005B2D7C">
        <w:t xml:space="preserve">The Committee </w:t>
      </w:r>
      <w:r w:rsidR="00032928">
        <w:t xml:space="preserve">welcomes the establishment of a National Coordinator against Discrimination and Racism and the measures taken to draft a national plan to combat all forms of discrimination, but </w:t>
      </w:r>
      <w:r w:rsidR="00AA745A" w:rsidRPr="005B2D7C">
        <w:t>remains concerned that not</w:t>
      </w:r>
      <w:r w:rsidRPr="005B2D7C">
        <w:t xml:space="preserve"> </w:t>
      </w:r>
      <w:r w:rsidR="00AA745A" w:rsidRPr="005B2D7C">
        <w:t xml:space="preserve">all municipalities have an anti-discrimination </w:t>
      </w:r>
      <w:r w:rsidR="00852BB0" w:rsidRPr="005B2D7C">
        <w:t>service</w:t>
      </w:r>
      <w:r w:rsidR="00AA745A" w:rsidRPr="005B2D7C">
        <w:t xml:space="preserve"> in accordance with the Municipal Anti-Discrimination Services Act</w:t>
      </w:r>
      <w:r w:rsidR="00EC72D1" w:rsidRPr="005B2D7C">
        <w:t>, and that</w:t>
      </w:r>
      <w:r w:rsidR="00EC7F27" w:rsidRPr="005B2D7C">
        <w:t xml:space="preserve"> </w:t>
      </w:r>
      <w:r w:rsidR="00C63AF0" w:rsidRPr="005B2D7C">
        <w:t xml:space="preserve">regional disparities and </w:t>
      </w:r>
      <w:r w:rsidR="00EC7F27" w:rsidRPr="005B2D7C">
        <w:t>de facto discrimination</w:t>
      </w:r>
      <w:r w:rsidR="00EC72D1" w:rsidRPr="005B2D7C">
        <w:t xml:space="preserve"> </w:t>
      </w:r>
      <w:r w:rsidR="00C63AF0" w:rsidRPr="005B2D7C">
        <w:t>disproportionately affect</w:t>
      </w:r>
      <w:r w:rsidR="00EC7F27" w:rsidRPr="005B2D7C">
        <w:t xml:space="preserve"> children in</w:t>
      </w:r>
      <w:r w:rsidR="00C63AF0" w:rsidRPr="005B2D7C">
        <w:t xml:space="preserve"> disadvantaged situations</w:t>
      </w:r>
      <w:r w:rsidR="008D3A2B">
        <w:t>, including in education, youth care and the justice system</w:t>
      </w:r>
      <w:r w:rsidR="00C63AF0" w:rsidRPr="005B2D7C">
        <w:t>.</w:t>
      </w:r>
      <w:proofErr w:type="gramEnd"/>
      <w:r w:rsidR="00A84179" w:rsidRPr="005B2D7C">
        <w:t xml:space="preserve"> </w:t>
      </w:r>
    </w:p>
    <w:p w14:paraId="5EC22D39" w14:textId="77777777" w:rsidR="00616959" w:rsidRPr="00A84179" w:rsidRDefault="00616959" w:rsidP="00D53EF9">
      <w:pPr>
        <w:pStyle w:val="SingleTxtG"/>
        <w:numPr>
          <w:ilvl w:val="0"/>
          <w:numId w:val="6"/>
        </w:numPr>
        <w:tabs>
          <w:tab w:val="clear" w:pos="1701"/>
          <w:tab w:val="clear" w:pos="2268"/>
          <w:tab w:val="clear" w:pos="2835"/>
        </w:tabs>
        <w:ind w:left="1134" w:firstLine="0"/>
        <w:rPr>
          <w:b/>
        </w:rPr>
      </w:pPr>
      <w:r w:rsidRPr="00A84179">
        <w:rPr>
          <w:b/>
        </w:rPr>
        <w:t xml:space="preserve">Taking note of target 10.3 </w:t>
      </w:r>
      <w:r w:rsidRPr="00A84179">
        <w:rPr>
          <w:b/>
          <w:bCs/>
        </w:rPr>
        <w:t xml:space="preserve">of </w:t>
      </w:r>
      <w:r w:rsidRPr="00A84179">
        <w:rPr>
          <w:b/>
        </w:rPr>
        <w:t>the Sustainable Development Goals, the Committee recommends that the State party:</w:t>
      </w:r>
    </w:p>
    <w:p w14:paraId="5A4DC8B6" w14:textId="77777777" w:rsidR="001E23CB" w:rsidRPr="001E23CB" w:rsidRDefault="001E23CB" w:rsidP="00616959">
      <w:pPr>
        <w:pStyle w:val="SingleTxtG"/>
        <w:numPr>
          <w:ilvl w:val="1"/>
          <w:numId w:val="9"/>
        </w:numPr>
        <w:tabs>
          <w:tab w:val="clear" w:pos="1701"/>
          <w:tab w:val="clear" w:pos="2268"/>
          <w:tab w:val="clear" w:pos="2835"/>
        </w:tabs>
        <w:ind w:left="1134" w:firstLine="567"/>
        <w:rPr>
          <w:rFonts w:eastAsia="Malgun Gothic"/>
          <w:b/>
        </w:rPr>
      </w:pPr>
      <w:r w:rsidRPr="001E23CB">
        <w:rPr>
          <w:b/>
        </w:rPr>
        <w:t xml:space="preserve">Eliminate disparities between </w:t>
      </w:r>
      <w:r w:rsidR="00824A72" w:rsidRPr="001E23CB">
        <w:rPr>
          <w:b/>
        </w:rPr>
        <w:t xml:space="preserve">constituent countries </w:t>
      </w:r>
      <w:r w:rsidR="00824A72">
        <w:rPr>
          <w:b/>
        </w:rPr>
        <w:t xml:space="preserve">and </w:t>
      </w:r>
      <w:r w:rsidRPr="001E23CB">
        <w:rPr>
          <w:b/>
        </w:rPr>
        <w:t xml:space="preserve">all municipalities, </w:t>
      </w:r>
      <w:r w:rsidR="00824A72">
        <w:rPr>
          <w:b/>
        </w:rPr>
        <w:t xml:space="preserve">including </w:t>
      </w:r>
      <w:r w:rsidR="00183F9E">
        <w:rPr>
          <w:b/>
        </w:rPr>
        <w:t xml:space="preserve">Bonaire, </w:t>
      </w:r>
      <w:proofErr w:type="spellStart"/>
      <w:r w:rsidR="00183F9E">
        <w:rPr>
          <w:b/>
        </w:rPr>
        <w:t>Saba</w:t>
      </w:r>
      <w:proofErr w:type="spellEnd"/>
      <w:r w:rsidR="00183F9E">
        <w:rPr>
          <w:b/>
        </w:rPr>
        <w:t xml:space="preserve"> and </w:t>
      </w:r>
      <w:proofErr w:type="spellStart"/>
      <w:r w:rsidR="00183F9E">
        <w:rPr>
          <w:b/>
        </w:rPr>
        <w:t>Sint</w:t>
      </w:r>
      <w:proofErr w:type="spellEnd"/>
      <w:r w:rsidR="00183F9E">
        <w:rPr>
          <w:b/>
        </w:rPr>
        <w:t xml:space="preserve"> Eustatius</w:t>
      </w:r>
      <w:r w:rsidRPr="001E23CB">
        <w:rPr>
          <w:b/>
        </w:rPr>
        <w:t xml:space="preserve">, regarding children’s access to youth services, health, education, social assistance, and support for child abuse and </w:t>
      </w:r>
      <w:r w:rsidR="00B42637">
        <w:rPr>
          <w:b/>
        </w:rPr>
        <w:t>neglect</w:t>
      </w:r>
      <w:r>
        <w:t>;</w:t>
      </w:r>
    </w:p>
    <w:p w14:paraId="7519C242" w14:textId="77777777" w:rsidR="00616959" w:rsidRDefault="001E23CB" w:rsidP="00616959">
      <w:pPr>
        <w:pStyle w:val="SingleTxtG"/>
        <w:numPr>
          <w:ilvl w:val="1"/>
          <w:numId w:val="9"/>
        </w:numPr>
        <w:tabs>
          <w:tab w:val="clear" w:pos="1701"/>
          <w:tab w:val="clear" w:pos="2268"/>
          <w:tab w:val="clear" w:pos="2835"/>
        </w:tabs>
        <w:ind w:left="1134" w:firstLine="567"/>
        <w:rPr>
          <w:rFonts w:eastAsia="Malgun Gothic"/>
          <w:b/>
        </w:rPr>
      </w:pPr>
      <w:r>
        <w:rPr>
          <w:rFonts w:eastAsia="Malgun Gothic"/>
          <w:b/>
        </w:rPr>
        <w:t>Ensure that all mu</w:t>
      </w:r>
      <w:r w:rsidR="00FC076A">
        <w:rPr>
          <w:rFonts w:eastAsia="Malgun Gothic"/>
          <w:b/>
        </w:rPr>
        <w:t>nicipalities have a child-friendly</w:t>
      </w:r>
      <w:r>
        <w:rPr>
          <w:rFonts w:eastAsia="Malgun Gothic"/>
          <w:b/>
        </w:rPr>
        <w:t xml:space="preserve"> anti-discrimination service where children can easily report cases of discrimination, and mechanisms to respond effectively and in a child-sensitive manner;</w:t>
      </w:r>
    </w:p>
    <w:p w14:paraId="783E5D80" w14:textId="77777777" w:rsidR="00617099" w:rsidRDefault="00617099" w:rsidP="00616959">
      <w:pPr>
        <w:pStyle w:val="SingleTxtG"/>
        <w:numPr>
          <w:ilvl w:val="1"/>
          <w:numId w:val="9"/>
        </w:numPr>
        <w:tabs>
          <w:tab w:val="clear" w:pos="1701"/>
          <w:tab w:val="clear" w:pos="2268"/>
          <w:tab w:val="clear" w:pos="2835"/>
        </w:tabs>
        <w:ind w:left="1134" w:firstLine="567"/>
        <w:rPr>
          <w:rFonts w:eastAsia="Malgun Gothic"/>
          <w:b/>
        </w:rPr>
      </w:pPr>
      <w:r>
        <w:rPr>
          <w:rFonts w:eastAsia="Malgun Gothic"/>
          <w:b/>
        </w:rPr>
        <w:t xml:space="preserve">Ensure </w:t>
      </w:r>
      <w:r w:rsidR="00522ECF">
        <w:rPr>
          <w:rFonts w:eastAsia="Malgun Gothic"/>
          <w:b/>
        </w:rPr>
        <w:t>the investigation of</w:t>
      </w:r>
      <w:r>
        <w:rPr>
          <w:rFonts w:eastAsia="Malgun Gothic"/>
          <w:b/>
        </w:rPr>
        <w:t xml:space="preserve"> cases of discrimination against children, including through specialised units or invest</w:t>
      </w:r>
      <w:r w:rsidR="00685152">
        <w:rPr>
          <w:rFonts w:eastAsia="Malgun Gothic"/>
          <w:b/>
        </w:rPr>
        <w:t>igators;</w:t>
      </w:r>
    </w:p>
    <w:p w14:paraId="0B95FDB3" w14:textId="77777777" w:rsidR="00EE251F" w:rsidRDefault="00EE251F" w:rsidP="00616959">
      <w:pPr>
        <w:pStyle w:val="SingleTxtG"/>
        <w:numPr>
          <w:ilvl w:val="1"/>
          <w:numId w:val="9"/>
        </w:numPr>
        <w:tabs>
          <w:tab w:val="clear" w:pos="1701"/>
          <w:tab w:val="clear" w:pos="2268"/>
          <w:tab w:val="clear" w:pos="2835"/>
        </w:tabs>
        <w:ind w:left="1134" w:firstLine="567"/>
        <w:rPr>
          <w:rFonts w:eastAsia="Malgun Gothic"/>
          <w:b/>
        </w:rPr>
      </w:pPr>
      <w:r>
        <w:rPr>
          <w:rFonts w:eastAsia="Malgun Gothic"/>
          <w:b/>
        </w:rPr>
        <w:t>Evaluate, with the participation of children and civil society, existing measures aimed at combating discrimination against children in disadvantaged situations, to assess their impact and revise measures accordingly;</w:t>
      </w:r>
    </w:p>
    <w:p w14:paraId="14327BCB" w14:textId="77777777" w:rsidR="00725444" w:rsidRPr="00725444" w:rsidRDefault="00725444" w:rsidP="00616959">
      <w:pPr>
        <w:pStyle w:val="SingleTxtG"/>
        <w:numPr>
          <w:ilvl w:val="1"/>
          <w:numId w:val="9"/>
        </w:numPr>
        <w:tabs>
          <w:tab w:val="clear" w:pos="1701"/>
          <w:tab w:val="clear" w:pos="2268"/>
          <w:tab w:val="clear" w:pos="2835"/>
        </w:tabs>
        <w:ind w:left="1134" w:firstLine="567"/>
        <w:rPr>
          <w:b/>
          <w:bCs/>
        </w:rPr>
      </w:pPr>
      <w:r>
        <w:rPr>
          <w:b/>
          <w:bCs/>
        </w:rPr>
        <w:t xml:space="preserve">Ensure that children with disabilities, </w:t>
      </w:r>
      <w:r w:rsidRPr="007F0DC6">
        <w:rPr>
          <w:b/>
        </w:rPr>
        <w:t xml:space="preserve">asylum-seeking </w:t>
      </w:r>
      <w:r>
        <w:rPr>
          <w:b/>
        </w:rPr>
        <w:t xml:space="preserve">and migrant </w:t>
      </w:r>
      <w:r w:rsidRPr="007F0DC6">
        <w:rPr>
          <w:b/>
        </w:rPr>
        <w:t>children</w:t>
      </w:r>
      <w:r>
        <w:rPr>
          <w:b/>
        </w:rPr>
        <w:t xml:space="preserve"> and children without a regular residence status</w:t>
      </w:r>
      <w:r>
        <w:rPr>
          <w:b/>
          <w:bCs/>
        </w:rPr>
        <w:t xml:space="preserve"> have access to inclusive and quality education, including early childhood education, without discrimination;</w:t>
      </w:r>
    </w:p>
    <w:p w14:paraId="6FC3E453" w14:textId="77777777" w:rsidR="008D3A2B" w:rsidRDefault="008D3A2B" w:rsidP="00616959">
      <w:pPr>
        <w:pStyle w:val="SingleTxtG"/>
        <w:numPr>
          <w:ilvl w:val="1"/>
          <w:numId w:val="9"/>
        </w:numPr>
        <w:tabs>
          <w:tab w:val="clear" w:pos="1701"/>
          <w:tab w:val="clear" w:pos="2268"/>
          <w:tab w:val="clear" w:pos="2835"/>
        </w:tabs>
        <w:ind w:left="1134" w:firstLine="567"/>
        <w:rPr>
          <w:rFonts w:eastAsia="Malgun Gothic"/>
          <w:b/>
        </w:rPr>
      </w:pPr>
      <w:r>
        <w:rPr>
          <w:rFonts w:eastAsia="Malgun Gothic"/>
          <w:b/>
        </w:rPr>
        <w:t>Address the overrepresentation of migrant children in special schools and the justice system</w:t>
      </w:r>
      <w:r w:rsidR="00A11BEB">
        <w:rPr>
          <w:rFonts w:eastAsia="Malgun Gothic"/>
          <w:b/>
        </w:rPr>
        <w:t xml:space="preserve">, including through mandatory training on </w:t>
      </w:r>
      <w:r w:rsidR="00B42637">
        <w:rPr>
          <w:rFonts w:eastAsia="Malgun Gothic"/>
          <w:b/>
        </w:rPr>
        <w:t>non-</w:t>
      </w:r>
      <w:r w:rsidR="00A11BEB">
        <w:rPr>
          <w:rFonts w:eastAsia="Malgun Gothic"/>
          <w:b/>
        </w:rPr>
        <w:t>discrimination for the judiciary, law enforcement officials and teachers</w:t>
      </w:r>
      <w:r>
        <w:rPr>
          <w:rFonts w:eastAsia="Malgun Gothic"/>
          <w:b/>
        </w:rPr>
        <w:t>;</w:t>
      </w:r>
    </w:p>
    <w:p w14:paraId="491B2C3A" w14:textId="77777777" w:rsidR="00616959" w:rsidRDefault="00EE251F" w:rsidP="00616959">
      <w:pPr>
        <w:pStyle w:val="SingleTxtG"/>
        <w:numPr>
          <w:ilvl w:val="1"/>
          <w:numId w:val="9"/>
        </w:numPr>
        <w:tabs>
          <w:tab w:val="clear" w:pos="1701"/>
          <w:tab w:val="clear" w:pos="2268"/>
          <w:tab w:val="clear" w:pos="2835"/>
        </w:tabs>
        <w:ind w:left="1134" w:firstLine="567"/>
        <w:rPr>
          <w:rFonts w:eastAsia="Malgun Gothic"/>
          <w:b/>
        </w:rPr>
      </w:pPr>
      <w:proofErr w:type="gramStart"/>
      <w:r>
        <w:rPr>
          <w:rFonts w:eastAsia="Malgun Gothic"/>
          <w:b/>
        </w:rPr>
        <w:t xml:space="preserve">Develop policies and awareness-raising measures aimed at addressing the root causes of </w:t>
      </w:r>
      <w:r w:rsidRPr="00884D1C">
        <w:rPr>
          <w:rFonts w:eastAsia="Malgun Gothic"/>
          <w:b/>
          <w:iCs/>
        </w:rPr>
        <w:t>de facto</w:t>
      </w:r>
      <w:r w:rsidRPr="008A08DE">
        <w:rPr>
          <w:rFonts w:eastAsia="Malgun Gothic"/>
          <w:b/>
          <w:iCs/>
        </w:rPr>
        <w:t xml:space="preserve"> </w:t>
      </w:r>
      <w:r>
        <w:rPr>
          <w:rFonts w:eastAsia="Malgun Gothic"/>
          <w:b/>
        </w:rPr>
        <w:t xml:space="preserve">discrimination, with a view to eliminating </w:t>
      </w:r>
      <w:r w:rsidR="00001F96">
        <w:rPr>
          <w:rFonts w:eastAsia="Malgun Gothic"/>
          <w:b/>
        </w:rPr>
        <w:t xml:space="preserve">stereotyping, prejudice and </w:t>
      </w:r>
      <w:r>
        <w:rPr>
          <w:rFonts w:eastAsia="Malgun Gothic"/>
          <w:b/>
        </w:rPr>
        <w:t>discrimination against</w:t>
      </w:r>
      <w:r w:rsidR="00197396">
        <w:rPr>
          <w:rFonts w:eastAsia="Malgun Gothic"/>
          <w:b/>
        </w:rPr>
        <w:t>, inter alia,</w:t>
      </w:r>
      <w:r>
        <w:rPr>
          <w:rFonts w:eastAsia="Malgun Gothic"/>
          <w:b/>
        </w:rPr>
        <w:t xml:space="preserve"> </w:t>
      </w:r>
      <w:r w:rsidR="00852BB0">
        <w:rPr>
          <w:rFonts w:eastAsia="Malgun Gothic"/>
          <w:b/>
        </w:rPr>
        <w:t xml:space="preserve">children </w:t>
      </w:r>
      <w:r w:rsidR="001E23CB" w:rsidRPr="001E23CB">
        <w:rPr>
          <w:b/>
        </w:rPr>
        <w:t xml:space="preserve">belonging to ethnic and religious minority groups (including </w:t>
      </w:r>
      <w:r w:rsidR="00035142">
        <w:rPr>
          <w:b/>
        </w:rPr>
        <w:t>Muslims, Jews and children</w:t>
      </w:r>
      <w:r w:rsidR="001E23CB" w:rsidRPr="001E23CB">
        <w:rPr>
          <w:b/>
        </w:rPr>
        <w:t xml:space="preserve"> of African descent), refugee, asylum-seeking, migrant and undocumented children, children with disabilities</w:t>
      </w:r>
      <w:r w:rsidR="00A128C2">
        <w:rPr>
          <w:b/>
        </w:rPr>
        <w:t>,</w:t>
      </w:r>
      <w:r w:rsidR="001E23CB" w:rsidRPr="001E23CB">
        <w:rPr>
          <w:b/>
        </w:rPr>
        <w:t xml:space="preserve"> </w:t>
      </w:r>
      <w:r w:rsidR="005C24A5">
        <w:rPr>
          <w:b/>
        </w:rPr>
        <w:t>lesbian, gay, bisexual, transgender and intersex</w:t>
      </w:r>
      <w:r w:rsidR="001E23CB" w:rsidRPr="001E23CB">
        <w:rPr>
          <w:b/>
        </w:rPr>
        <w:t xml:space="preserve"> children</w:t>
      </w:r>
      <w:r w:rsidR="00A128C2">
        <w:rPr>
          <w:b/>
        </w:rPr>
        <w:t xml:space="preserve"> and children living in poverty</w:t>
      </w:r>
      <w:r w:rsidR="007D7CC2">
        <w:rPr>
          <w:rFonts w:eastAsia="Malgun Gothic"/>
          <w:b/>
        </w:rPr>
        <w:t>.</w:t>
      </w:r>
      <w:proofErr w:type="gramEnd"/>
    </w:p>
    <w:p w14:paraId="327C9273" w14:textId="77777777" w:rsidR="00D96C8C" w:rsidRPr="00FC61EB" w:rsidRDefault="00616959" w:rsidP="00616959">
      <w:pPr>
        <w:pStyle w:val="H23G"/>
        <w:rPr>
          <w:rFonts w:eastAsia="Malgun Gothic"/>
          <w:lang w:eastAsia="ko-KR"/>
        </w:rPr>
      </w:pPr>
      <w:r w:rsidRPr="00FC61EB">
        <w:tab/>
      </w:r>
      <w:r w:rsidRPr="00FC61EB">
        <w:tab/>
      </w:r>
      <w:r w:rsidRPr="002847FC">
        <w:t>Best interests of the child</w:t>
      </w:r>
    </w:p>
    <w:p w14:paraId="700B1666" w14:textId="77777777" w:rsidR="00616959" w:rsidRPr="00FC61EB" w:rsidRDefault="00616959" w:rsidP="00616959">
      <w:pPr>
        <w:pStyle w:val="SingleTxtG"/>
        <w:numPr>
          <w:ilvl w:val="0"/>
          <w:numId w:val="6"/>
        </w:numPr>
        <w:tabs>
          <w:tab w:val="clear" w:pos="1701"/>
          <w:tab w:val="clear" w:pos="2268"/>
          <w:tab w:val="clear" w:pos="2835"/>
        </w:tabs>
        <w:ind w:left="1134" w:firstLine="0"/>
        <w:rPr>
          <w:b/>
        </w:rPr>
      </w:pPr>
      <w:r>
        <w:rPr>
          <w:b/>
        </w:rPr>
        <w:t xml:space="preserve">The Committee </w:t>
      </w:r>
      <w:r w:rsidRPr="00FC61EB">
        <w:rPr>
          <w:b/>
        </w:rPr>
        <w:t>recommends that the State party:</w:t>
      </w:r>
    </w:p>
    <w:p w14:paraId="746731F9" w14:textId="77777777" w:rsidR="00616959" w:rsidRPr="003A6698" w:rsidRDefault="00FC25A0" w:rsidP="00616959">
      <w:pPr>
        <w:pStyle w:val="SingleTxtG"/>
        <w:numPr>
          <w:ilvl w:val="1"/>
          <w:numId w:val="10"/>
        </w:numPr>
        <w:tabs>
          <w:tab w:val="clear" w:pos="1701"/>
          <w:tab w:val="clear" w:pos="2268"/>
          <w:tab w:val="clear" w:pos="2835"/>
        </w:tabs>
        <w:ind w:left="1134" w:firstLine="567"/>
        <w:rPr>
          <w:lang w:eastAsia="de-DE"/>
        </w:rPr>
      </w:pPr>
      <w:r>
        <w:rPr>
          <w:b/>
        </w:rPr>
        <w:t>Ensure that the principle of the best interests of the child is consistently applied in programmes and</w:t>
      </w:r>
      <w:r w:rsidR="0016133A">
        <w:rPr>
          <w:b/>
        </w:rPr>
        <w:t xml:space="preserve"> legislative,</w:t>
      </w:r>
      <w:r>
        <w:rPr>
          <w:b/>
        </w:rPr>
        <w:t xml:space="preserve"> administrative and judicial proceedings, </w:t>
      </w:r>
      <w:r w:rsidR="00F06249">
        <w:rPr>
          <w:b/>
        </w:rPr>
        <w:t>in</w:t>
      </w:r>
      <w:r w:rsidR="00450C09">
        <w:rPr>
          <w:b/>
        </w:rPr>
        <w:t xml:space="preserve">cluding </w:t>
      </w:r>
      <w:r w:rsidR="002D34CC">
        <w:rPr>
          <w:b/>
        </w:rPr>
        <w:t xml:space="preserve">in relation to youth support, placement in guardianship or foster families, parental custody, </w:t>
      </w:r>
      <w:r w:rsidR="00DE4AC1">
        <w:rPr>
          <w:b/>
        </w:rPr>
        <w:t xml:space="preserve">education, </w:t>
      </w:r>
      <w:r w:rsidR="002D34CC">
        <w:rPr>
          <w:b/>
        </w:rPr>
        <w:t>and migration and asylum procedures</w:t>
      </w:r>
      <w:r w:rsidR="0016133A" w:rsidRPr="0016133A">
        <w:rPr>
          <w:b/>
        </w:rPr>
        <w:t>, in all constituent countries</w:t>
      </w:r>
      <w:r w:rsidR="00616959">
        <w:rPr>
          <w:b/>
        </w:rPr>
        <w:t>;</w:t>
      </w:r>
    </w:p>
    <w:p w14:paraId="35F52574" w14:textId="77777777" w:rsidR="00616959" w:rsidRPr="0053410D" w:rsidRDefault="000948D5" w:rsidP="00616959">
      <w:pPr>
        <w:pStyle w:val="SingleTxtG"/>
        <w:numPr>
          <w:ilvl w:val="1"/>
          <w:numId w:val="10"/>
        </w:numPr>
        <w:tabs>
          <w:tab w:val="clear" w:pos="1701"/>
          <w:tab w:val="clear" w:pos="2268"/>
          <w:tab w:val="clear" w:pos="2835"/>
        </w:tabs>
        <w:ind w:left="1134" w:firstLine="567"/>
        <w:rPr>
          <w:lang w:eastAsia="de-DE"/>
        </w:rPr>
      </w:pPr>
      <w:r>
        <w:rPr>
          <w:b/>
        </w:rPr>
        <w:lastRenderedPageBreak/>
        <w:t>Strengthen measures</w:t>
      </w:r>
      <w:r w:rsidR="003F0E49">
        <w:rPr>
          <w:b/>
        </w:rPr>
        <w:t xml:space="preserve"> to provide guidance to all relevant persons in authority for determining the best interests of the child in every area and for giving it due weight as a primary consideration</w:t>
      </w:r>
      <w:r>
        <w:rPr>
          <w:b/>
        </w:rPr>
        <w:t>.</w:t>
      </w:r>
    </w:p>
    <w:p w14:paraId="18AAA0B2" w14:textId="77777777" w:rsidR="00D96C8C" w:rsidRPr="00110D04" w:rsidRDefault="00AC6ECA" w:rsidP="00AC6ECA">
      <w:pPr>
        <w:pStyle w:val="H23G"/>
        <w:rPr>
          <w:lang w:val="en-US" w:eastAsia="zh-CN"/>
        </w:rPr>
      </w:pPr>
      <w:r>
        <w:tab/>
      </w:r>
      <w:r>
        <w:tab/>
      </w:r>
      <w:r w:rsidRPr="00FC61EB">
        <w:rPr>
          <w:lang w:eastAsia="zh-CN"/>
        </w:rPr>
        <w:tab/>
      </w:r>
      <w:r w:rsidRPr="00754087">
        <w:rPr>
          <w:lang w:eastAsia="zh-CN"/>
        </w:rPr>
        <w:t>Respect for the views of the child</w:t>
      </w:r>
    </w:p>
    <w:p w14:paraId="64E38010" w14:textId="77777777" w:rsidR="00616959" w:rsidRPr="00FC61EB" w:rsidRDefault="00083403" w:rsidP="00616959">
      <w:pPr>
        <w:pStyle w:val="SingleTxtG"/>
        <w:numPr>
          <w:ilvl w:val="0"/>
          <w:numId w:val="6"/>
        </w:numPr>
        <w:tabs>
          <w:tab w:val="clear" w:pos="1701"/>
          <w:tab w:val="clear" w:pos="2268"/>
          <w:tab w:val="clear" w:pos="2835"/>
        </w:tabs>
        <w:ind w:left="1134" w:firstLine="0"/>
        <w:rPr>
          <w:b/>
          <w:lang w:eastAsia="zh-CN"/>
        </w:rPr>
      </w:pPr>
      <w:r>
        <w:rPr>
          <w:b/>
          <w:lang w:eastAsia="de-DE"/>
        </w:rPr>
        <w:t xml:space="preserve">The Committee </w:t>
      </w:r>
      <w:r w:rsidR="004C059E">
        <w:rPr>
          <w:b/>
          <w:lang w:eastAsia="de-DE"/>
        </w:rPr>
        <w:t xml:space="preserve">welcomes the efforts </w:t>
      </w:r>
      <w:r w:rsidR="004C059E" w:rsidRPr="00DD108C">
        <w:rPr>
          <w:b/>
          <w:bCs/>
        </w:rPr>
        <w:t xml:space="preserve">to promote child participation in the development of </w:t>
      </w:r>
      <w:r w:rsidR="004C059E">
        <w:rPr>
          <w:b/>
          <w:bCs/>
        </w:rPr>
        <w:t xml:space="preserve">programmes </w:t>
      </w:r>
      <w:r w:rsidR="00C05EC8">
        <w:rPr>
          <w:b/>
          <w:bCs/>
        </w:rPr>
        <w:t>affecting</w:t>
      </w:r>
      <w:r w:rsidR="004C059E">
        <w:rPr>
          <w:b/>
          <w:bCs/>
        </w:rPr>
        <w:t xml:space="preserve"> children, including in poverty reduction, but regrets</w:t>
      </w:r>
      <w:r>
        <w:rPr>
          <w:b/>
          <w:lang w:eastAsia="de-DE"/>
        </w:rPr>
        <w:t xml:space="preserve"> that the age limit for children’s involvement in </w:t>
      </w:r>
      <w:r w:rsidR="004C059E">
        <w:rPr>
          <w:b/>
          <w:lang w:eastAsia="de-DE"/>
        </w:rPr>
        <w:t xml:space="preserve">many </w:t>
      </w:r>
      <w:r>
        <w:rPr>
          <w:b/>
          <w:lang w:eastAsia="de-DE"/>
        </w:rPr>
        <w:t xml:space="preserve">decision-making processes remains at 12 years of age. </w:t>
      </w:r>
      <w:r w:rsidR="006100F3">
        <w:rPr>
          <w:b/>
          <w:lang w:eastAsia="de-DE"/>
        </w:rPr>
        <w:t>Recalling</w:t>
      </w:r>
      <w:r w:rsidR="00A44B61">
        <w:rPr>
          <w:b/>
        </w:rPr>
        <w:t xml:space="preserve"> its previous recommendations</w:t>
      </w:r>
      <w:r w:rsidR="006100F3">
        <w:rPr>
          <w:b/>
        </w:rPr>
        <w:t>,</w:t>
      </w:r>
      <w:r w:rsidR="00A44B61">
        <w:rPr>
          <w:rStyle w:val="FootnoteReference"/>
          <w:b/>
        </w:rPr>
        <w:footnoteReference w:id="9"/>
      </w:r>
      <w:r w:rsidR="00A44B61">
        <w:rPr>
          <w:b/>
        </w:rPr>
        <w:t xml:space="preserve"> </w:t>
      </w:r>
      <w:r w:rsidR="006100F3">
        <w:rPr>
          <w:b/>
        </w:rPr>
        <w:t>the Committee recommends that the State party</w:t>
      </w:r>
      <w:r w:rsidR="00616959" w:rsidRPr="00FC61EB">
        <w:rPr>
          <w:b/>
          <w:lang w:eastAsia="zh-CN"/>
        </w:rPr>
        <w:t>:</w:t>
      </w:r>
    </w:p>
    <w:p w14:paraId="06B4D6E2" w14:textId="77777777" w:rsidR="00616959" w:rsidRPr="0010188A" w:rsidRDefault="00DF4081" w:rsidP="00616959">
      <w:pPr>
        <w:pStyle w:val="SingleTxtG"/>
        <w:numPr>
          <w:ilvl w:val="1"/>
          <w:numId w:val="11"/>
        </w:numPr>
        <w:tabs>
          <w:tab w:val="clear" w:pos="1701"/>
          <w:tab w:val="clear" w:pos="2268"/>
          <w:tab w:val="clear" w:pos="2835"/>
        </w:tabs>
        <w:ind w:left="1134" w:firstLine="567"/>
        <w:rPr>
          <w:b/>
          <w:lang w:eastAsia="de-DE"/>
        </w:rPr>
      </w:pPr>
      <w:r>
        <w:rPr>
          <w:b/>
        </w:rPr>
        <w:t>Abolish any age limit on the right of children to express their views in all issues concerning them</w:t>
      </w:r>
      <w:r w:rsidRPr="00E06A86">
        <w:rPr>
          <w:b/>
        </w:rPr>
        <w:t xml:space="preserve"> </w:t>
      </w:r>
      <w:r>
        <w:rPr>
          <w:b/>
        </w:rPr>
        <w:t>and e</w:t>
      </w:r>
      <w:r w:rsidR="00E06A86" w:rsidRPr="00E06A86">
        <w:rPr>
          <w:b/>
        </w:rPr>
        <w:t xml:space="preserve">nsure </w:t>
      </w:r>
      <w:r w:rsidR="00C214E4">
        <w:rPr>
          <w:b/>
        </w:rPr>
        <w:t>that</w:t>
      </w:r>
      <w:r w:rsidR="00E06A86" w:rsidRPr="00E06A86">
        <w:rPr>
          <w:b/>
        </w:rPr>
        <w:t xml:space="preserve"> all children, including those under </w:t>
      </w:r>
      <w:r w:rsidR="00C214E4">
        <w:rPr>
          <w:b/>
        </w:rPr>
        <w:t xml:space="preserve">12 years of </w:t>
      </w:r>
      <w:r w:rsidR="00E06A86" w:rsidRPr="00E06A86">
        <w:rPr>
          <w:b/>
        </w:rPr>
        <w:t xml:space="preserve">age, </w:t>
      </w:r>
      <w:r w:rsidR="00C214E4">
        <w:rPr>
          <w:b/>
        </w:rPr>
        <w:t>can</w:t>
      </w:r>
      <w:r w:rsidR="00E06A86" w:rsidRPr="00E06A86">
        <w:rPr>
          <w:b/>
        </w:rPr>
        <w:t xml:space="preserve"> express their opinion and be heard in all decisions affecting them, including in courts and civil proceedings</w:t>
      </w:r>
      <w:r w:rsidR="00616959" w:rsidRPr="000E41A9">
        <w:rPr>
          <w:b/>
        </w:rPr>
        <w:t>;</w:t>
      </w:r>
    </w:p>
    <w:p w14:paraId="62A4533F" w14:textId="77777777" w:rsidR="00616959" w:rsidRDefault="00B546BB" w:rsidP="00616959">
      <w:pPr>
        <w:pStyle w:val="SingleTxtG"/>
        <w:numPr>
          <w:ilvl w:val="1"/>
          <w:numId w:val="11"/>
        </w:numPr>
        <w:tabs>
          <w:tab w:val="clear" w:pos="1701"/>
          <w:tab w:val="clear" w:pos="2268"/>
          <w:tab w:val="clear" w:pos="2835"/>
        </w:tabs>
        <w:ind w:left="1134" w:firstLine="567"/>
        <w:rPr>
          <w:b/>
          <w:lang w:eastAsia="de-DE"/>
        </w:rPr>
      </w:pPr>
      <w:r>
        <w:rPr>
          <w:b/>
        </w:rPr>
        <w:t>Continue to s</w:t>
      </w:r>
      <w:r w:rsidR="00766802">
        <w:rPr>
          <w:b/>
        </w:rPr>
        <w:t>trengthen measures to promote</w:t>
      </w:r>
      <w:r w:rsidR="00E06A86" w:rsidRPr="00E06A86">
        <w:rPr>
          <w:b/>
        </w:rPr>
        <w:t xml:space="preserve"> the meaningful and empowered participation of all children</w:t>
      </w:r>
      <w:r w:rsidR="00766802">
        <w:rPr>
          <w:b/>
        </w:rPr>
        <w:t>, including children in disadvantaged situations,</w:t>
      </w:r>
      <w:r w:rsidR="00E06A86" w:rsidRPr="00E06A86">
        <w:rPr>
          <w:b/>
        </w:rPr>
        <w:t xml:space="preserve"> within the family, the community, schools and the realm of policymaking at the municipal and national levels, </w:t>
      </w:r>
      <w:r w:rsidR="00766802" w:rsidRPr="00DE4FF9">
        <w:rPr>
          <w:b/>
        </w:rPr>
        <w:t xml:space="preserve">such as by developing toolkits for consulting children on national policy issues and ensuring that the outcomes </w:t>
      </w:r>
      <w:r w:rsidR="00766802" w:rsidRPr="00B21AFA">
        <w:rPr>
          <w:b/>
        </w:rPr>
        <w:t xml:space="preserve">of children’s </w:t>
      </w:r>
      <w:r>
        <w:rPr>
          <w:b/>
        </w:rPr>
        <w:t xml:space="preserve">councils </w:t>
      </w:r>
      <w:r w:rsidR="00766802" w:rsidRPr="00DE4FF9">
        <w:rPr>
          <w:b/>
        </w:rPr>
        <w:t>are systematically fed into public decision-making</w:t>
      </w:r>
      <w:r w:rsidR="00616959">
        <w:rPr>
          <w:b/>
        </w:rPr>
        <w:t>;</w:t>
      </w:r>
    </w:p>
    <w:p w14:paraId="551A8C19" w14:textId="77777777" w:rsidR="008D5A63" w:rsidRPr="008D5A63" w:rsidRDefault="002D041E" w:rsidP="00616959">
      <w:pPr>
        <w:pStyle w:val="SingleTxtG"/>
        <w:numPr>
          <w:ilvl w:val="1"/>
          <w:numId w:val="11"/>
        </w:numPr>
        <w:tabs>
          <w:tab w:val="clear" w:pos="1701"/>
          <w:tab w:val="clear" w:pos="2268"/>
          <w:tab w:val="clear" w:pos="2835"/>
        </w:tabs>
        <w:ind w:left="1134" w:firstLine="567"/>
        <w:rPr>
          <w:b/>
          <w:lang w:eastAsia="de-DE"/>
        </w:rPr>
      </w:pPr>
      <w:r w:rsidRPr="002D041E">
        <w:rPr>
          <w:b/>
        </w:rPr>
        <w:t xml:space="preserve">Ensure that </w:t>
      </w:r>
      <w:r>
        <w:rPr>
          <w:b/>
        </w:rPr>
        <w:t xml:space="preserve">all relevant </w:t>
      </w:r>
      <w:r w:rsidRPr="002D041E">
        <w:rPr>
          <w:b/>
        </w:rPr>
        <w:t>professionals</w:t>
      </w:r>
      <w:r>
        <w:rPr>
          <w:b/>
        </w:rPr>
        <w:t>, including teachers and youth care professionals,</w:t>
      </w:r>
      <w:r w:rsidRPr="002D041E">
        <w:rPr>
          <w:b/>
        </w:rPr>
        <w:t xml:space="preserve"> </w:t>
      </w:r>
      <w:r w:rsidRPr="00414FB8">
        <w:rPr>
          <w:b/>
        </w:rPr>
        <w:t>working with and for children</w:t>
      </w:r>
      <w:r w:rsidR="000756DA">
        <w:rPr>
          <w:b/>
        </w:rPr>
        <w:t>,</w:t>
      </w:r>
      <w:r w:rsidRPr="00414FB8">
        <w:rPr>
          <w:b/>
        </w:rPr>
        <w:t xml:space="preserve"> systematically receive appropriate training on the right of the child to </w:t>
      </w:r>
      <w:proofErr w:type="gramStart"/>
      <w:r w:rsidRPr="00414FB8">
        <w:rPr>
          <w:b/>
        </w:rPr>
        <w:t>be heard</w:t>
      </w:r>
      <w:proofErr w:type="gramEnd"/>
      <w:r w:rsidRPr="00414FB8">
        <w:rPr>
          <w:b/>
        </w:rPr>
        <w:t xml:space="preserve"> and have his or her opinion taken into account and in accordance </w:t>
      </w:r>
      <w:r w:rsidRPr="002D041E">
        <w:rPr>
          <w:b/>
        </w:rPr>
        <w:t>with the</w:t>
      </w:r>
      <w:r>
        <w:rPr>
          <w:b/>
        </w:rPr>
        <w:t xml:space="preserve"> ch</w:t>
      </w:r>
      <w:r w:rsidRPr="002D041E">
        <w:rPr>
          <w:b/>
        </w:rPr>
        <w:t>ild’s age and maturity</w:t>
      </w:r>
      <w:r w:rsidR="001F683A">
        <w:rPr>
          <w:b/>
        </w:rPr>
        <w:t>.</w:t>
      </w:r>
    </w:p>
    <w:p w14:paraId="767D90B7" w14:textId="77777777" w:rsidR="00616959" w:rsidRPr="00FC61EB" w:rsidRDefault="00616959" w:rsidP="00616959">
      <w:pPr>
        <w:pStyle w:val="H1G"/>
      </w:pPr>
      <w:r w:rsidRPr="00FC61EB">
        <w:tab/>
      </w:r>
      <w:r>
        <w:t>C</w:t>
      </w:r>
      <w:r w:rsidRPr="00FC61EB">
        <w:t>.</w:t>
      </w:r>
      <w:r w:rsidRPr="00FC61EB">
        <w:tab/>
        <w:t>Civil rights and freedoms (arts. 7</w:t>
      </w:r>
      <w:r w:rsidR="00F67E02">
        <w:t>–</w:t>
      </w:r>
      <w:r w:rsidRPr="00FC61EB">
        <w:t>8 and 13</w:t>
      </w:r>
      <w:r w:rsidR="00F67E02">
        <w:t>–</w:t>
      </w:r>
      <w:r w:rsidRPr="00FC61EB">
        <w:t>17)</w:t>
      </w:r>
    </w:p>
    <w:p w14:paraId="4A25C36D" w14:textId="77777777" w:rsidR="00D96C8C" w:rsidRPr="00FC61EB" w:rsidRDefault="00616959" w:rsidP="00616959">
      <w:pPr>
        <w:pStyle w:val="H23G"/>
      </w:pPr>
      <w:r w:rsidRPr="00FC61EB">
        <w:tab/>
      </w:r>
      <w:r w:rsidRPr="00FC61EB">
        <w:tab/>
      </w:r>
      <w:r w:rsidR="00391844">
        <w:t>Birth registration</w:t>
      </w:r>
      <w:r>
        <w:t xml:space="preserve"> and nationality</w:t>
      </w:r>
    </w:p>
    <w:p w14:paraId="25C70BAF" w14:textId="630EBD70" w:rsidR="00616959" w:rsidRPr="00FC61EB" w:rsidRDefault="007267A9" w:rsidP="00616959">
      <w:pPr>
        <w:pStyle w:val="SingleTxtG"/>
        <w:numPr>
          <w:ilvl w:val="0"/>
          <w:numId w:val="6"/>
        </w:numPr>
        <w:tabs>
          <w:tab w:val="clear" w:pos="1701"/>
          <w:tab w:val="clear" w:pos="2268"/>
          <w:tab w:val="clear" w:pos="2835"/>
        </w:tabs>
        <w:ind w:left="1134" w:firstLine="0"/>
        <w:rPr>
          <w:b/>
          <w:bCs/>
        </w:rPr>
      </w:pPr>
      <w:r w:rsidRPr="00BA19DC">
        <w:rPr>
          <w:b/>
          <w:bCs/>
        </w:rPr>
        <w:t xml:space="preserve">The Committee is concerned that conditions under which stateless children may apply for Dutch nationality under the </w:t>
      </w:r>
      <w:r w:rsidR="00015F2A">
        <w:rPr>
          <w:b/>
          <w:bCs/>
        </w:rPr>
        <w:t>present</w:t>
      </w:r>
      <w:r w:rsidRPr="00BA19DC">
        <w:rPr>
          <w:b/>
          <w:bCs/>
        </w:rPr>
        <w:t xml:space="preserve"> Nationality Act, which among others requires three years of legal residency, are very strict.</w:t>
      </w:r>
      <w:r>
        <w:rPr>
          <w:bCs/>
        </w:rPr>
        <w:t xml:space="preserve"> </w:t>
      </w:r>
      <w:r w:rsidR="00F17CA2">
        <w:rPr>
          <w:b/>
          <w:bCs/>
        </w:rPr>
        <w:t>Recalling its previous recommendations,</w:t>
      </w:r>
      <w:r w:rsidR="00F17CA2">
        <w:rPr>
          <w:rStyle w:val="FootnoteReference"/>
          <w:b/>
        </w:rPr>
        <w:footnoteReference w:id="10"/>
      </w:r>
      <w:r w:rsidR="00F17CA2">
        <w:rPr>
          <w:b/>
          <w:bCs/>
        </w:rPr>
        <w:t xml:space="preserve"> t</w:t>
      </w:r>
      <w:r w:rsidR="00616959">
        <w:rPr>
          <w:b/>
          <w:bCs/>
        </w:rPr>
        <w:t>he Committee recommends that</w:t>
      </w:r>
      <w:r w:rsidR="00616959" w:rsidRPr="00FC61EB">
        <w:rPr>
          <w:b/>
        </w:rPr>
        <w:t xml:space="preserve"> the State party</w:t>
      </w:r>
      <w:r w:rsidR="00616959">
        <w:rPr>
          <w:b/>
        </w:rPr>
        <w:t>:</w:t>
      </w:r>
      <w:r w:rsidR="00616959" w:rsidRPr="00FC61EB">
        <w:rPr>
          <w:rStyle w:val="FootnoteReference"/>
          <w:rFonts w:eastAsia="Malgun Gothic"/>
          <w:lang w:eastAsia="zh-CN"/>
        </w:rPr>
        <w:t xml:space="preserve"> </w:t>
      </w:r>
    </w:p>
    <w:p w14:paraId="6017FF4E" w14:textId="77777777" w:rsidR="00391844" w:rsidRDefault="00391844" w:rsidP="00E72692">
      <w:pPr>
        <w:pStyle w:val="SingleTxtG"/>
        <w:numPr>
          <w:ilvl w:val="1"/>
          <w:numId w:val="12"/>
        </w:numPr>
        <w:tabs>
          <w:tab w:val="clear" w:pos="1701"/>
          <w:tab w:val="clear" w:pos="2268"/>
          <w:tab w:val="clear" w:pos="2835"/>
        </w:tabs>
        <w:ind w:left="1134" w:firstLine="567"/>
        <w:rPr>
          <w:b/>
        </w:rPr>
      </w:pPr>
      <w:r>
        <w:rPr>
          <w:b/>
        </w:rPr>
        <w:t>Ensure that all children</w:t>
      </w:r>
      <w:r w:rsidR="00812B68">
        <w:rPr>
          <w:b/>
        </w:rPr>
        <w:t xml:space="preserve"> </w:t>
      </w:r>
      <w:r>
        <w:rPr>
          <w:b/>
        </w:rPr>
        <w:t xml:space="preserve">born in Aruba and </w:t>
      </w:r>
      <w:proofErr w:type="spellStart"/>
      <w:r w:rsidR="00715EB8">
        <w:rPr>
          <w:b/>
        </w:rPr>
        <w:t>Curaçao</w:t>
      </w:r>
      <w:proofErr w:type="spellEnd"/>
      <w:r w:rsidR="00812B68">
        <w:rPr>
          <w:b/>
        </w:rPr>
        <w:t>, including those</w:t>
      </w:r>
      <w:r w:rsidR="00CA0FFD">
        <w:rPr>
          <w:b/>
        </w:rPr>
        <w:t xml:space="preserve"> </w:t>
      </w:r>
      <w:r w:rsidR="00F175A5">
        <w:rPr>
          <w:b/>
        </w:rPr>
        <w:t>with an</w:t>
      </w:r>
      <w:r w:rsidR="00CA0FFD">
        <w:rPr>
          <w:b/>
        </w:rPr>
        <w:t xml:space="preserve"> </w:t>
      </w:r>
      <w:r w:rsidR="00812B68">
        <w:rPr>
          <w:b/>
        </w:rPr>
        <w:t>irregular residence status,</w:t>
      </w:r>
      <w:r>
        <w:rPr>
          <w:b/>
        </w:rPr>
        <w:t xml:space="preserve"> have access to birth registration</w:t>
      </w:r>
      <w:r w:rsidR="00A216B9">
        <w:rPr>
          <w:b/>
        </w:rPr>
        <w:t xml:space="preserve"> and/or identity cards</w:t>
      </w:r>
      <w:r w:rsidR="007B208B">
        <w:rPr>
          <w:b/>
        </w:rPr>
        <w:t>, and strengthen legal pathways to acquire a nationality</w:t>
      </w:r>
      <w:r>
        <w:rPr>
          <w:b/>
        </w:rPr>
        <w:t xml:space="preserve">; </w:t>
      </w:r>
    </w:p>
    <w:p w14:paraId="13AA3F29" w14:textId="77777777" w:rsidR="00CC1B2E" w:rsidRDefault="008C2B16" w:rsidP="00E72692">
      <w:pPr>
        <w:pStyle w:val="SingleTxtG"/>
        <w:numPr>
          <w:ilvl w:val="1"/>
          <w:numId w:val="12"/>
        </w:numPr>
        <w:tabs>
          <w:tab w:val="clear" w:pos="1701"/>
          <w:tab w:val="clear" w:pos="2268"/>
          <w:tab w:val="clear" w:pos="2835"/>
        </w:tabs>
        <w:ind w:left="1134" w:firstLine="567"/>
        <w:rPr>
          <w:b/>
        </w:rPr>
      </w:pPr>
      <w:r w:rsidRPr="008C2B16">
        <w:rPr>
          <w:b/>
        </w:rPr>
        <w:t>G</w:t>
      </w:r>
      <w:r w:rsidR="00CC1B2E">
        <w:rPr>
          <w:b/>
        </w:rPr>
        <w:t>uarantee all s</w:t>
      </w:r>
      <w:r w:rsidR="009F5EC9" w:rsidRPr="00CC1B2E">
        <w:rPr>
          <w:b/>
        </w:rPr>
        <w:t>tateless children</w:t>
      </w:r>
      <w:r w:rsidR="00D262F7" w:rsidRPr="00CC1B2E">
        <w:rPr>
          <w:b/>
        </w:rPr>
        <w:t xml:space="preserve"> born or present within the territory of the State party</w:t>
      </w:r>
      <w:r w:rsidR="001C46B0">
        <w:rPr>
          <w:b/>
        </w:rPr>
        <w:t xml:space="preserve"> the right to </w:t>
      </w:r>
      <w:r w:rsidR="00741843">
        <w:rPr>
          <w:b/>
        </w:rPr>
        <w:t>acquire</w:t>
      </w:r>
      <w:r w:rsidR="001C46B0">
        <w:rPr>
          <w:b/>
        </w:rPr>
        <w:t xml:space="preserve"> nationality</w:t>
      </w:r>
      <w:r w:rsidR="005C48C6">
        <w:rPr>
          <w:b/>
        </w:rPr>
        <w:t xml:space="preserve"> </w:t>
      </w:r>
      <w:r w:rsidR="001C46B0" w:rsidRPr="00CC1B2E">
        <w:rPr>
          <w:b/>
        </w:rPr>
        <w:t>irrespective of residency status</w:t>
      </w:r>
      <w:r w:rsidR="005C48C6">
        <w:rPr>
          <w:b/>
        </w:rPr>
        <w:t>;</w:t>
      </w:r>
    </w:p>
    <w:p w14:paraId="0545C9FC" w14:textId="77777777" w:rsidR="00CD681B" w:rsidRPr="006E443C" w:rsidRDefault="00CD681B" w:rsidP="006E443C">
      <w:pPr>
        <w:pStyle w:val="SingleTxtG"/>
        <w:numPr>
          <w:ilvl w:val="1"/>
          <w:numId w:val="12"/>
        </w:numPr>
        <w:tabs>
          <w:tab w:val="clear" w:pos="1701"/>
          <w:tab w:val="clear" w:pos="2268"/>
          <w:tab w:val="clear" w:pos="2835"/>
        </w:tabs>
        <w:ind w:left="1134" w:firstLine="567"/>
        <w:rPr>
          <w:b/>
        </w:rPr>
      </w:pPr>
      <w:r>
        <w:rPr>
          <w:b/>
        </w:rPr>
        <w:t xml:space="preserve">Implement </w:t>
      </w:r>
      <w:r w:rsidR="00B06A62">
        <w:rPr>
          <w:b/>
        </w:rPr>
        <w:t xml:space="preserve">measures </w:t>
      </w:r>
      <w:r>
        <w:rPr>
          <w:b/>
        </w:rPr>
        <w:t xml:space="preserve">for ensuring that children with an </w:t>
      </w:r>
      <w:r w:rsidR="00B06A62">
        <w:rPr>
          <w:b/>
        </w:rPr>
        <w:t>“</w:t>
      </w:r>
      <w:r>
        <w:rPr>
          <w:b/>
        </w:rPr>
        <w:t>unknown</w:t>
      </w:r>
      <w:r w:rsidR="00B06A62">
        <w:rPr>
          <w:b/>
        </w:rPr>
        <w:t>”</w:t>
      </w:r>
      <w:r>
        <w:rPr>
          <w:b/>
        </w:rPr>
        <w:t xml:space="preserve"> nationality</w:t>
      </w:r>
      <w:r w:rsidR="006E443C">
        <w:rPr>
          <w:b/>
        </w:rPr>
        <w:t xml:space="preserve">, a status that </w:t>
      </w:r>
      <w:r w:rsidR="006E443C" w:rsidRPr="00AC4086">
        <w:rPr>
          <w:b/>
          <w:bCs/>
        </w:rPr>
        <w:t>leaves them unable to be registered as stateless and obtain international protection,</w:t>
      </w:r>
      <w:r w:rsidR="006E443C">
        <w:rPr>
          <w:b/>
        </w:rPr>
        <w:t xml:space="preserve"> </w:t>
      </w:r>
      <w:r w:rsidRPr="006E443C">
        <w:rPr>
          <w:b/>
        </w:rPr>
        <w:t>do not remain in such a status for a prolonged period of time;</w:t>
      </w:r>
    </w:p>
    <w:p w14:paraId="616283F7" w14:textId="77777777" w:rsidR="002D5B9B" w:rsidRDefault="00CC1B2E" w:rsidP="00616959">
      <w:pPr>
        <w:pStyle w:val="SingleTxtG"/>
        <w:numPr>
          <w:ilvl w:val="1"/>
          <w:numId w:val="12"/>
        </w:numPr>
        <w:tabs>
          <w:tab w:val="clear" w:pos="1701"/>
          <w:tab w:val="clear" w:pos="2268"/>
          <w:tab w:val="clear" w:pos="2835"/>
        </w:tabs>
        <w:ind w:left="1134" w:firstLine="567"/>
        <w:rPr>
          <w:b/>
        </w:rPr>
      </w:pPr>
      <w:r>
        <w:rPr>
          <w:b/>
        </w:rPr>
        <w:t xml:space="preserve">Ensure </w:t>
      </w:r>
      <w:r w:rsidR="00F20244">
        <w:rPr>
          <w:b/>
        </w:rPr>
        <w:t xml:space="preserve">the access </w:t>
      </w:r>
      <w:r w:rsidR="00B06A62">
        <w:rPr>
          <w:b/>
        </w:rPr>
        <w:t xml:space="preserve">to education, health, and social services for </w:t>
      </w:r>
      <w:r w:rsidR="009F5EC9">
        <w:rPr>
          <w:b/>
        </w:rPr>
        <w:t xml:space="preserve">stateless children </w:t>
      </w:r>
      <w:r w:rsidR="005104EE">
        <w:rPr>
          <w:b/>
        </w:rPr>
        <w:t>and</w:t>
      </w:r>
      <w:r w:rsidR="009F5EC9">
        <w:rPr>
          <w:b/>
        </w:rPr>
        <w:t xml:space="preserve"> children with an </w:t>
      </w:r>
      <w:r w:rsidR="00B06A62">
        <w:rPr>
          <w:b/>
        </w:rPr>
        <w:t>“</w:t>
      </w:r>
      <w:r w:rsidR="009F5EC9">
        <w:rPr>
          <w:b/>
        </w:rPr>
        <w:t>unknown</w:t>
      </w:r>
      <w:r w:rsidR="00B06A62">
        <w:rPr>
          <w:b/>
        </w:rPr>
        <w:t>”</w:t>
      </w:r>
      <w:r w:rsidR="009F5EC9">
        <w:rPr>
          <w:b/>
        </w:rPr>
        <w:t xml:space="preserve"> nationality</w:t>
      </w:r>
      <w:r w:rsidR="002D5B9B">
        <w:rPr>
          <w:b/>
        </w:rPr>
        <w:t>;</w:t>
      </w:r>
    </w:p>
    <w:p w14:paraId="1B6D7625" w14:textId="77777777" w:rsidR="00616959" w:rsidRPr="007679E8" w:rsidRDefault="002D5B9B" w:rsidP="00616959">
      <w:pPr>
        <w:pStyle w:val="SingleTxtG"/>
        <w:numPr>
          <w:ilvl w:val="1"/>
          <w:numId w:val="12"/>
        </w:numPr>
        <w:tabs>
          <w:tab w:val="clear" w:pos="1701"/>
          <w:tab w:val="clear" w:pos="2268"/>
          <w:tab w:val="clear" w:pos="2835"/>
        </w:tabs>
        <w:ind w:left="1134" w:firstLine="567"/>
        <w:rPr>
          <w:b/>
        </w:rPr>
      </w:pPr>
      <w:r>
        <w:rPr>
          <w:b/>
        </w:rPr>
        <w:t xml:space="preserve">Ensure that no child, including those between 16 and 17 years of age, is deprived of his or her nationality for actions that </w:t>
      </w:r>
      <w:r w:rsidR="007B208B">
        <w:rPr>
          <w:b/>
        </w:rPr>
        <w:t xml:space="preserve">are considered to </w:t>
      </w:r>
      <w:r>
        <w:rPr>
          <w:b/>
        </w:rPr>
        <w:t>constitute a threat to national security</w:t>
      </w:r>
      <w:r w:rsidR="007B208B">
        <w:rPr>
          <w:b/>
        </w:rPr>
        <w:t xml:space="preserve">, </w:t>
      </w:r>
      <w:proofErr w:type="gramStart"/>
      <w:r w:rsidR="007B208B">
        <w:rPr>
          <w:b/>
        </w:rPr>
        <w:t>and also</w:t>
      </w:r>
      <w:proofErr w:type="gramEnd"/>
      <w:r w:rsidR="007B208B">
        <w:rPr>
          <w:b/>
        </w:rPr>
        <w:t xml:space="preserve"> </w:t>
      </w:r>
      <w:r w:rsidR="00E92034">
        <w:rPr>
          <w:b/>
        </w:rPr>
        <w:t>consider children’s best interests when such withdrawals of nationality are imposed on parents</w:t>
      </w:r>
      <w:r w:rsidR="00616959" w:rsidRPr="007679E8">
        <w:rPr>
          <w:b/>
          <w:szCs w:val="18"/>
        </w:rPr>
        <w:t>.</w:t>
      </w:r>
    </w:p>
    <w:p w14:paraId="515A33FF" w14:textId="77777777" w:rsidR="00D96C8C" w:rsidRDefault="00616959" w:rsidP="00616959">
      <w:pPr>
        <w:pStyle w:val="H23G"/>
      </w:pPr>
      <w:r w:rsidRPr="00FC61EB">
        <w:tab/>
      </w:r>
      <w:r w:rsidRPr="00FC61EB">
        <w:tab/>
        <w:t>Right to privacy and access to appropriate information</w:t>
      </w:r>
    </w:p>
    <w:p w14:paraId="0C898D37" w14:textId="77777777" w:rsidR="00616959" w:rsidRPr="00FC61EB" w:rsidRDefault="00B06A62" w:rsidP="00616959">
      <w:pPr>
        <w:pStyle w:val="SingleTxtG"/>
        <w:numPr>
          <w:ilvl w:val="0"/>
          <w:numId w:val="6"/>
        </w:numPr>
        <w:tabs>
          <w:tab w:val="clear" w:pos="1701"/>
          <w:tab w:val="clear" w:pos="2268"/>
          <w:tab w:val="clear" w:pos="2835"/>
        </w:tabs>
        <w:ind w:left="1134" w:firstLine="0"/>
        <w:rPr>
          <w:b/>
        </w:rPr>
      </w:pPr>
      <w:r>
        <w:rPr>
          <w:b/>
          <w:bCs/>
        </w:rPr>
        <w:t>While welcoming the various efforts undertaken by</w:t>
      </w:r>
      <w:r w:rsidR="006E443C">
        <w:rPr>
          <w:b/>
          <w:bCs/>
        </w:rPr>
        <w:t xml:space="preserve"> </w:t>
      </w:r>
      <w:r>
        <w:rPr>
          <w:b/>
          <w:bCs/>
        </w:rPr>
        <w:t xml:space="preserve">the State </w:t>
      </w:r>
      <w:r w:rsidR="006E443C">
        <w:rPr>
          <w:b/>
          <w:bCs/>
        </w:rPr>
        <w:t>p</w:t>
      </w:r>
      <w:r>
        <w:rPr>
          <w:b/>
          <w:bCs/>
        </w:rPr>
        <w:t xml:space="preserve">arty </w:t>
      </w:r>
      <w:r w:rsidR="00D417AA">
        <w:rPr>
          <w:b/>
          <w:bCs/>
        </w:rPr>
        <w:t>to</w:t>
      </w:r>
      <w:r>
        <w:rPr>
          <w:b/>
          <w:bCs/>
        </w:rPr>
        <w:t xml:space="preserve"> protect the rights of child</w:t>
      </w:r>
      <w:r w:rsidR="00D31467">
        <w:rPr>
          <w:b/>
          <w:bCs/>
        </w:rPr>
        <w:t>ren</w:t>
      </w:r>
      <w:r>
        <w:rPr>
          <w:b/>
          <w:bCs/>
        </w:rPr>
        <w:t xml:space="preserve"> in the context of digital media, </w:t>
      </w:r>
      <w:r w:rsidR="00D31467">
        <w:rPr>
          <w:b/>
          <w:bCs/>
        </w:rPr>
        <w:t xml:space="preserve">and </w:t>
      </w:r>
      <w:r>
        <w:rPr>
          <w:b/>
        </w:rPr>
        <w:t>w</w:t>
      </w:r>
      <w:r w:rsidR="00616959">
        <w:rPr>
          <w:b/>
        </w:rPr>
        <w:t>ith reference to</w:t>
      </w:r>
      <w:r w:rsidR="00616959" w:rsidRPr="00FC61EB">
        <w:rPr>
          <w:b/>
        </w:rPr>
        <w:t xml:space="preserve"> its general </w:t>
      </w:r>
      <w:r w:rsidR="00616959" w:rsidRPr="00FC61EB">
        <w:rPr>
          <w:b/>
        </w:rPr>
        <w:lastRenderedPageBreak/>
        <w:t>comment No. 25 (2021) on children’s rights in relation to the digital environment, the Committee recommends that the State party:</w:t>
      </w:r>
    </w:p>
    <w:p w14:paraId="13FB26B6" w14:textId="77777777" w:rsidR="00616959" w:rsidRPr="00274B83" w:rsidRDefault="00B06A62" w:rsidP="00616959">
      <w:pPr>
        <w:pStyle w:val="SingleTxtG"/>
        <w:numPr>
          <w:ilvl w:val="1"/>
          <w:numId w:val="6"/>
        </w:numPr>
        <w:tabs>
          <w:tab w:val="clear" w:pos="1701"/>
          <w:tab w:val="clear" w:pos="2268"/>
          <w:tab w:val="clear" w:pos="2835"/>
        </w:tabs>
        <w:ind w:left="1134" w:firstLine="567"/>
        <w:rPr>
          <w:b/>
        </w:rPr>
      </w:pPr>
      <w:r>
        <w:rPr>
          <w:b/>
        </w:rPr>
        <w:t>Further d</w:t>
      </w:r>
      <w:r w:rsidR="008E266B" w:rsidRPr="00274B83">
        <w:rPr>
          <w:b/>
        </w:rPr>
        <w:t xml:space="preserve">evelop regulations and safeguarding policies to protect the </w:t>
      </w:r>
      <w:r w:rsidR="006C35F2">
        <w:rPr>
          <w:b/>
        </w:rPr>
        <w:t xml:space="preserve">rights </w:t>
      </w:r>
      <w:r w:rsidR="007B208B">
        <w:rPr>
          <w:b/>
        </w:rPr>
        <w:t xml:space="preserve">and safety </w:t>
      </w:r>
      <w:r w:rsidR="008E266B" w:rsidRPr="00274B83">
        <w:rPr>
          <w:b/>
        </w:rPr>
        <w:t>of children in the digital environment</w:t>
      </w:r>
      <w:r w:rsidR="00616959" w:rsidRPr="00274B83">
        <w:rPr>
          <w:b/>
        </w:rPr>
        <w:t>;</w:t>
      </w:r>
    </w:p>
    <w:p w14:paraId="2508E2A5" w14:textId="77777777" w:rsidR="00616959" w:rsidRPr="005E7A7A" w:rsidRDefault="008E266B" w:rsidP="00616959">
      <w:pPr>
        <w:pStyle w:val="SingleTxtG"/>
        <w:numPr>
          <w:ilvl w:val="1"/>
          <w:numId w:val="6"/>
        </w:numPr>
        <w:tabs>
          <w:tab w:val="clear" w:pos="1701"/>
          <w:tab w:val="clear" w:pos="2268"/>
          <w:tab w:val="clear" w:pos="2835"/>
        </w:tabs>
        <w:ind w:left="1134" w:firstLine="567"/>
        <w:rPr>
          <w:b/>
        </w:rPr>
      </w:pPr>
      <w:r w:rsidRPr="005E7A7A">
        <w:rPr>
          <w:b/>
        </w:rPr>
        <w:t xml:space="preserve">Ensure that laws on access to information and the digital environment respect children’s right to </w:t>
      </w:r>
      <w:proofErr w:type="gramStart"/>
      <w:r w:rsidRPr="005E7A7A">
        <w:rPr>
          <w:b/>
        </w:rPr>
        <w:t>privacy,</w:t>
      </w:r>
      <w:proofErr w:type="gramEnd"/>
      <w:r w:rsidRPr="005E7A7A">
        <w:rPr>
          <w:b/>
        </w:rPr>
        <w:t xml:space="preserve"> protect children from harmful content and materials and online risks, and provide for </w:t>
      </w:r>
      <w:r w:rsidR="006C35F2">
        <w:rPr>
          <w:b/>
        </w:rPr>
        <w:t xml:space="preserve">effective </w:t>
      </w:r>
      <w:r w:rsidRPr="005E7A7A">
        <w:rPr>
          <w:b/>
        </w:rPr>
        <w:t xml:space="preserve">mechanisms to prosecute </w:t>
      </w:r>
      <w:r w:rsidR="00B06A62">
        <w:rPr>
          <w:b/>
        </w:rPr>
        <w:t>perpetrators</w:t>
      </w:r>
      <w:r w:rsidR="006C35F2">
        <w:rPr>
          <w:b/>
        </w:rPr>
        <w:t xml:space="preserve"> including in the context of extraterritorial jurisdiction</w:t>
      </w:r>
      <w:r w:rsidR="004F72D8">
        <w:rPr>
          <w:b/>
        </w:rPr>
        <w:t>.</w:t>
      </w:r>
    </w:p>
    <w:p w14:paraId="60EB9534" w14:textId="77777777" w:rsidR="00B06A62" w:rsidRDefault="007B208B" w:rsidP="00B06A62">
      <w:pPr>
        <w:pStyle w:val="H23G"/>
      </w:pPr>
      <w:r>
        <w:tab/>
      </w:r>
      <w:r>
        <w:tab/>
      </w:r>
      <w:r w:rsidR="00B06A62">
        <w:t>The right to identity</w:t>
      </w:r>
    </w:p>
    <w:p w14:paraId="48C7CDBF" w14:textId="47864E39" w:rsidR="00B06A62" w:rsidRPr="006B5422" w:rsidRDefault="00B06A62" w:rsidP="006B5422">
      <w:pPr>
        <w:pStyle w:val="SingleTxtG"/>
        <w:numPr>
          <w:ilvl w:val="0"/>
          <w:numId w:val="6"/>
        </w:numPr>
        <w:tabs>
          <w:tab w:val="clear" w:pos="1701"/>
          <w:tab w:val="clear" w:pos="2268"/>
          <w:tab w:val="clear" w:pos="2835"/>
        </w:tabs>
        <w:ind w:left="1134" w:firstLine="0"/>
        <w:rPr>
          <w:b/>
          <w:bCs/>
        </w:rPr>
      </w:pPr>
      <w:r w:rsidRPr="006B5422">
        <w:rPr>
          <w:b/>
          <w:bCs/>
        </w:rPr>
        <w:t>The Committee note</w:t>
      </w:r>
      <w:r w:rsidR="00B85B94">
        <w:rPr>
          <w:b/>
          <w:bCs/>
        </w:rPr>
        <w:t>s</w:t>
      </w:r>
      <w:r w:rsidRPr="006B5422">
        <w:rPr>
          <w:b/>
          <w:bCs/>
        </w:rPr>
        <w:t xml:space="preserve"> that no </w:t>
      </w:r>
      <w:proofErr w:type="spellStart"/>
      <w:r w:rsidRPr="006B5422">
        <w:rPr>
          <w:b/>
          <w:bCs/>
        </w:rPr>
        <w:t>newborns</w:t>
      </w:r>
      <w:proofErr w:type="spellEnd"/>
      <w:r w:rsidRPr="006B5422">
        <w:rPr>
          <w:b/>
          <w:bCs/>
        </w:rPr>
        <w:t xml:space="preserve"> </w:t>
      </w:r>
      <w:proofErr w:type="gramStart"/>
      <w:r w:rsidRPr="006B5422">
        <w:rPr>
          <w:b/>
          <w:bCs/>
        </w:rPr>
        <w:t>have been placed</w:t>
      </w:r>
      <w:proofErr w:type="gramEnd"/>
      <w:r w:rsidRPr="006B5422">
        <w:rPr>
          <w:b/>
          <w:bCs/>
        </w:rPr>
        <w:t xml:space="preserve"> in “baby </w:t>
      </w:r>
      <w:r w:rsidR="00015F2A">
        <w:rPr>
          <w:b/>
          <w:bCs/>
        </w:rPr>
        <w:t>rooms</w:t>
      </w:r>
      <w:r w:rsidR="00B85B94">
        <w:rPr>
          <w:b/>
          <w:bCs/>
        </w:rPr>
        <w:t>”</w:t>
      </w:r>
      <w:r w:rsidRPr="006B5422">
        <w:rPr>
          <w:b/>
          <w:bCs/>
        </w:rPr>
        <w:t xml:space="preserve"> </w:t>
      </w:r>
      <w:r w:rsidR="009731C5">
        <w:rPr>
          <w:b/>
          <w:bCs/>
        </w:rPr>
        <w:t xml:space="preserve">without information about their mother </w:t>
      </w:r>
      <w:r w:rsidRPr="006B5422">
        <w:rPr>
          <w:b/>
          <w:bCs/>
        </w:rPr>
        <w:t xml:space="preserve">during the reporting period and </w:t>
      </w:r>
      <w:r w:rsidR="007B208B">
        <w:rPr>
          <w:b/>
          <w:bCs/>
        </w:rPr>
        <w:t>recommends that</w:t>
      </w:r>
      <w:r w:rsidR="002A1447">
        <w:rPr>
          <w:b/>
          <w:bCs/>
        </w:rPr>
        <w:t xml:space="preserve"> the State party continue to ensure that the right to know one’s origins of children left at hospitals is respected.</w:t>
      </w:r>
    </w:p>
    <w:p w14:paraId="342CFAC5" w14:textId="77777777" w:rsidR="00616959" w:rsidRPr="00FC61EB" w:rsidRDefault="00616959" w:rsidP="00616959">
      <w:pPr>
        <w:pStyle w:val="H1G"/>
      </w:pPr>
      <w:r w:rsidRPr="00FC61EB">
        <w:tab/>
      </w:r>
      <w:r>
        <w:t>D</w:t>
      </w:r>
      <w:r w:rsidRPr="00FC61EB">
        <w:t>.</w:t>
      </w:r>
      <w:r w:rsidRPr="00FC61EB">
        <w:tab/>
        <w:t>Violence against children (arts. 19, 24 (3), 28 (2), 34, 37 (a) and 39)</w:t>
      </w:r>
    </w:p>
    <w:p w14:paraId="3C9D1E00" w14:textId="77777777" w:rsidR="00D96C8C" w:rsidRPr="00D57E28" w:rsidRDefault="00616959" w:rsidP="00616959">
      <w:pPr>
        <w:pStyle w:val="H23G"/>
      </w:pPr>
      <w:r>
        <w:tab/>
      </w:r>
      <w:r>
        <w:tab/>
        <w:t>Violence</w:t>
      </w:r>
      <w:r w:rsidR="003C53E6">
        <w:t xml:space="preserve"> against children</w:t>
      </w:r>
    </w:p>
    <w:p w14:paraId="7294B5F2" w14:textId="207D8326" w:rsidR="00C76F37" w:rsidRPr="00C76F37" w:rsidRDefault="00C76F37" w:rsidP="00616959">
      <w:pPr>
        <w:pStyle w:val="SingleTxtG"/>
        <w:numPr>
          <w:ilvl w:val="0"/>
          <w:numId w:val="6"/>
        </w:numPr>
        <w:tabs>
          <w:tab w:val="clear" w:pos="1701"/>
          <w:tab w:val="clear" w:pos="2268"/>
          <w:tab w:val="clear" w:pos="2835"/>
        </w:tabs>
        <w:ind w:left="1134" w:firstLine="0"/>
      </w:pPr>
      <w:r>
        <w:t>The Committee is concerned</w:t>
      </w:r>
      <w:r w:rsidR="00740098">
        <w:t xml:space="preserve"> about the </w:t>
      </w:r>
      <w:r w:rsidR="00B274ED">
        <w:t xml:space="preserve">high </w:t>
      </w:r>
      <w:r w:rsidR="00740098">
        <w:t>prevalence of violence against children</w:t>
      </w:r>
      <w:r w:rsidR="00A62397">
        <w:t>, including sexual exploitation and online violence</w:t>
      </w:r>
      <w:r w:rsidR="006F1FC9">
        <w:t xml:space="preserve">, in the State party, </w:t>
      </w:r>
      <w:r w:rsidR="00A62397">
        <w:t xml:space="preserve">and </w:t>
      </w:r>
      <w:r w:rsidR="00740098">
        <w:t xml:space="preserve">the lack of legislative measures to protect children </w:t>
      </w:r>
      <w:r w:rsidR="006F1FC9">
        <w:t>from</w:t>
      </w:r>
      <w:r w:rsidR="00740098">
        <w:t xml:space="preserve"> </w:t>
      </w:r>
      <w:r w:rsidR="000938F2">
        <w:t xml:space="preserve">abuse, </w:t>
      </w:r>
      <w:r w:rsidR="00740098">
        <w:t xml:space="preserve">domestic violence and corporal punishment in Bonaire, </w:t>
      </w:r>
      <w:proofErr w:type="spellStart"/>
      <w:r w:rsidR="00740098">
        <w:t>Saba</w:t>
      </w:r>
      <w:proofErr w:type="spellEnd"/>
      <w:r w:rsidR="00740098">
        <w:t xml:space="preserve"> and </w:t>
      </w:r>
      <w:proofErr w:type="spellStart"/>
      <w:r w:rsidR="00740098">
        <w:t>Sint</w:t>
      </w:r>
      <w:proofErr w:type="spellEnd"/>
      <w:r w:rsidR="00740098">
        <w:t xml:space="preserve"> Eustatius.</w:t>
      </w:r>
    </w:p>
    <w:p w14:paraId="4E14FDD9" w14:textId="77777777" w:rsidR="00616959" w:rsidRPr="00D57E28" w:rsidRDefault="0022641F" w:rsidP="00616959">
      <w:pPr>
        <w:pStyle w:val="SingleTxtG"/>
        <w:numPr>
          <w:ilvl w:val="0"/>
          <w:numId w:val="6"/>
        </w:numPr>
        <w:tabs>
          <w:tab w:val="clear" w:pos="1701"/>
          <w:tab w:val="clear" w:pos="2268"/>
          <w:tab w:val="clear" w:pos="2835"/>
        </w:tabs>
        <w:ind w:left="1134" w:firstLine="0"/>
      </w:pPr>
      <w:r>
        <w:rPr>
          <w:b/>
        </w:rPr>
        <w:t xml:space="preserve">Taking note of </w:t>
      </w:r>
      <w:r w:rsidR="00616959" w:rsidRPr="00FC61EB">
        <w:rPr>
          <w:b/>
        </w:rPr>
        <w:t xml:space="preserve">targets </w:t>
      </w:r>
      <w:r w:rsidR="00616959" w:rsidRPr="003A74C0">
        <w:rPr>
          <w:b/>
        </w:rPr>
        <w:t xml:space="preserve">5.2, 16.1 and 16.2 of the Sustainable </w:t>
      </w:r>
      <w:r w:rsidR="00616959" w:rsidRPr="00FC61EB">
        <w:rPr>
          <w:b/>
        </w:rPr>
        <w:t>Development Goals, t</w:t>
      </w:r>
      <w:r w:rsidR="00616959" w:rsidRPr="00FC61EB">
        <w:rPr>
          <w:b/>
          <w:bCs/>
        </w:rPr>
        <w:t xml:space="preserve">he Committee </w:t>
      </w:r>
      <w:r w:rsidR="00616959">
        <w:rPr>
          <w:b/>
          <w:bCs/>
        </w:rPr>
        <w:t>recommends that the State party</w:t>
      </w:r>
      <w:r w:rsidR="00616959" w:rsidRPr="00D57E28">
        <w:rPr>
          <w:b/>
          <w:lang w:eastAsia="zh-CN"/>
        </w:rPr>
        <w:t>:</w:t>
      </w:r>
    </w:p>
    <w:p w14:paraId="165B4E45" w14:textId="77777777" w:rsidR="00616959" w:rsidRPr="005F2B2E" w:rsidRDefault="00101B61" w:rsidP="00616959">
      <w:pPr>
        <w:pStyle w:val="SingleTxtG"/>
        <w:numPr>
          <w:ilvl w:val="1"/>
          <w:numId w:val="6"/>
        </w:numPr>
        <w:tabs>
          <w:tab w:val="clear" w:pos="1701"/>
          <w:tab w:val="clear" w:pos="2268"/>
          <w:tab w:val="clear" w:pos="2835"/>
        </w:tabs>
        <w:ind w:left="1134" w:firstLine="567"/>
        <w:rPr>
          <w:b/>
        </w:rPr>
      </w:pPr>
      <w:r w:rsidRPr="00101B61">
        <w:rPr>
          <w:b/>
        </w:rPr>
        <w:t xml:space="preserve">Ensure the </w:t>
      </w:r>
      <w:r>
        <w:rPr>
          <w:b/>
        </w:rPr>
        <w:t>effective</w:t>
      </w:r>
      <w:r w:rsidRPr="00101B61">
        <w:rPr>
          <w:b/>
        </w:rPr>
        <w:t xml:space="preserve"> </w:t>
      </w:r>
      <w:r w:rsidR="007B6376" w:rsidRPr="00101B61">
        <w:rPr>
          <w:b/>
        </w:rPr>
        <w:t xml:space="preserve">investigation </w:t>
      </w:r>
      <w:r w:rsidR="0087456F">
        <w:rPr>
          <w:b/>
        </w:rPr>
        <w:t xml:space="preserve">and intervention </w:t>
      </w:r>
      <w:r w:rsidR="00871D82">
        <w:rPr>
          <w:b/>
        </w:rPr>
        <w:t xml:space="preserve">in all cases </w:t>
      </w:r>
      <w:r w:rsidR="007B6376" w:rsidRPr="00101B61">
        <w:rPr>
          <w:b/>
        </w:rPr>
        <w:t xml:space="preserve">of violence against children, including </w:t>
      </w:r>
      <w:r w:rsidR="00F3638B">
        <w:rPr>
          <w:b/>
        </w:rPr>
        <w:t>neglect</w:t>
      </w:r>
      <w:r w:rsidR="007B6376" w:rsidRPr="00101B61">
        <w:rPr>
          <w:b/>
        </w:rPr>
        <w:t xml:space="preserve"> and sexual abuse, in and outside the home</w:t>
      </w:r>
      <w:r w:rsidR="005F2B2E">
        <w:rPr>
          <w:b/>
        </w:rPr>
        <w:t xml:space="preserve">, and </w:t>
      </w:r>
      <w:r w:rsidR="005F2B2E" w:rsidRPr="005F2B2E">
        <w:rPr>
          <w:b/>
          <w:lang w:eastAsia="zh-CN"/>
        </w:rPr>
        <w:t xml:space="preserve">in the digital environment, </w:t>
      </w:r>
      <w:r w:rsidR="00871D82">
        <w:rPr>
          <w:b/>
          <w:lang w:eastAsia="zh-CN"/>
        </w:rPr>
        <w:t xml:space="preserve">especially cases involving </w:t>
      </w:r>
      <w:r w:rsidR="005F2B2E" w:rsidRPr="005F2B2E">
        <w:rPr>
          <w:b/>
          <w:lang w:eastAsia="zh-CN"/>
        </w:rPr>
        <w:t xml:space="preserve">sexual exploitation, </w:t>
      </w:r>
      <w:proofErr w:type="spellStart"/>
      <w:r w:rsidR="005F2B2E" w:rsidRPr="005F2B2E">
        <w:rPr>
          <w:b/>
          <w:lang w:eastAsia="zh-CN"/>
        </w:rPr>
        <w:t>cyberaggression</w:t>
      </w:r>
      <w:proofErr w:type="spellEnd"/>
      <w:r w:rsidR="005F2B2E" w:rsidRPr="005F2B2E">
        <w:rPr>
          <w:b/>
          <w:lang w:eastAsia="zh-CN"/>
        </w:rPr>
        <w:t xml:space="preserve"> and grooming</w:t>
      </w:r>
      <w:r w:rsidR="00616959" w:rsidRPr="005F2B2E">
        <w:rPr>
          <w:b/>
        </w:rPr>
        <w:t>;</w:t>
      </w:r>
    </w:p>
    <w:p w14:paraId="47D657C6" w14:textId="77777777" w:rsidR="008B6782" w:rsidRDefault="008B6782" w:rsidP="008B6782">
      <w:pPr>
        <w:pStyle w:val="SingleTxtG"/>
        <w:numPr>
          <w:ilvl w:val="1"/>
          <w:numId w:val="6"/>
        </w:numPr>
        <w:tabs>
          <w:tab w:val="clear" w:pos="1701"/>
          <w:tab w:val="clear" w:pos="2268"/>
          <w:tab w:val="clear" w:pos="2835"/>
        </w:tabs>
        <w:ind w:left="1134" w:firstLine="567"/>
        <w:rPr>
          <w:b/>
        </w:rPr>
      </w:pPr>
      <w:r>
        <w:rPr>
          <w:b/>
        </w:rPr>
        <w:t xml:space="preserve">Take legislative and administrative measures to </w:t>
      </w:r>
      <w:r w:rsidR="0087456F">
        <w:rPr>
          <w:b/>
        </w:rPr>
        <w:t>set up a child protection infrastructure</w:t>
      </w:r>
      <w:r>
        <w:rPr>
          <w:b/>
        </w:rPr>
        <w:t xml:space="preserve"> in Bonaire, </w:t>
      </w:r>
      <w:proofErr w:type="spellStart"/>
      <w:r>
        <w:rPr>
          <w:b/>
        </w:rPr>
        <w:t>Saba</w:t>
      </w:r>
      <w:proofErr w:type="spellEnd"/>
      <w:r>
        <w:rPr>
          <w:b/>
        </w:rPr>
        <w:t xml:space="preserve"> and </w:t>
      </w:r>
      <w:proofErr w:type="spellStart"/>
      <w:r>
        <w:rPr>
          <w:b/>
        </w:rPr>
        <w:t>Sint</w:t>
      </w:r>
      <w:proofErr w:type="spellEnd"/>
      <w:r>
        <w:rPr>
          <w:b/>
        </w:rPr>
        <w:t xml:space="preserve"> Eustatius;</w:t>
      </w:r>
    </w:p>
    <w:p w14:paraId="04F2354E" w14:textId="77777777" w:rsidR="00616959" w:rsidRPr="00940785" w:rsidRDefault="00101B61" w:rsidP="00616959">
      <w:pPr>
        <w:pStyle w:val="SingleTxtG"/>
        <w:numPr>
          <w:ilvl w:val="1"/>
          <w:numId w:val="6"/>
        </w:numPr>
        <w:tabs>
          <w:tab w:val="clear" w:pos="1701"/>
          <w:tab w:val="clear" w:pos="2268"/>
          <w:tab w:val="clear" w:pos="2835"/>
        </w:tabs>
        <w:ind w:left="1134" w:firstLine="567"/>
        <w:rPr>
          <w:b/>
        </w:rPr>
      </w:pPr>
      <w:r w:rsidRPr="00876184">
        <w:rPr>
          <w:b/>
        </w:rPr>
        <w:t xml:space="preserve">Ensure the </w:t>
      </w:r>
      <w:r w:rsidR="007B6376" w:rsidRPr="00876184">
        <w:rPr>
          <w:b/>
        </w:rPr>
        <w:t>availability of legal support and child-friendly and confidential complaint mechanisms in residential care, mental health institutions</w:t>
      </w:r>
      <w:r w:rsidR="00876184">
        <w:rPr>
          <w:b/>
        </w:rPr>
        <w:t>,</w:t>
      </w:r>
      <w:r w:rsidR="007B6376" w:rsidRPr="00876184">
        <w:rPr>
          <w:b/>
        </w:rPr>
        <w:t xml:space="preserve"> foster care systems</w:t>
      </w:r>
      <w:r w:rsidR="00876184">
        <w:rPr>
          <w:b/>
        </w:rPr>
        <w:t xml:space="preserve"> and child protection services</w:t>
      </w:r>
      <w:r w:rsidR="008D3D03">
        <w:rPr>
          <w:b/>
        </w:rPr>
        <w:t>, and ensure that cases are promptly addressed</w:t>
      </w:r>
      <w:r w:rsidR="00616959" w:rsidRPr="00876184">
        <w:rPr>
          <w:rFonts w:eastAsia="Malgun Gothic"/>
          <w:b/>
          <w:lang w:eastAsia="zh-CN"/>
        </w:rPr>
        <w:t>;</w:t>
      </w:r>
    </w:p>
    <w:p w14:paraId="5AF393CD" w14:textId="5F68E405" w:rsidR="00480F5B" w:rsidRPr="00480F5B" w:rsidRDefault="00131B38" w:rsidP="00616959">
      <w:pPr>
        <w:pStyle w:val="SingleTxtG"/>
        <w:numPr>
          <w:ilvl w:val="1"/>
          <w:numId w:val="6"/>
        </w:numPr>
        <w:tabs>
          <w:tab w:val="clear" w:pos="1701"/>
          <w:tab w:val="clear" w:pos="2268"/>
          <w:tab w:val="clear" w:pos="2835"/>
        </w:tabs>
        <w:ind w:left="1134" w:firstLine="567"/>
        <w:rPr>
          <w:b/>
        </w:rPr>
      </w:pPr>
      <w:r>
        <w:rPr>
          <w:rFonts w:eastAsia="Malgun Gothic"/>
          <w:b/>
          <w:lang w:eastAsia="zh-CN"/>
        </w:rPr>
        <w:t>Strengthen measures for ensuring</w:t>
      </w:r>
      <w:r w:rsidR="00480F5B">
        <w:rPr>
          <w:rFonts w:eastAsia="Malgun Gothic"/>
          <w:b/>
          <w:lang w:eastAsia="zh-CN"/>
        </w:rPr>
        <w:t xml:space="preserve"> that children who are victims </w:t>
      </w:r>
      <w:r w:rsidR="00F3638B">
        <w:rPr>
          <w:rFonts w:eastAsia="Malgun Gothic"/>
          <w:b/>
          <w:lang w:eastAsia="zh-CN"/>
        </w:rPr>
        <w:t xml:space="preserve">or witnesses </w:t>
      </w:r>
      <w:r w:rsidR="00480F5B">
        <w:rPr>
          <w:rFonts w:eastAsia="Malgun Gothic"/>
          <w:b/>
          <w:lang w:eastAsia="zh-CN"/>
        </w:rPr>
        <w:t xml:space="preserve">of violence have </w:t>
      </w:r>
      <w:r w:rsidR="00BA4A2E">
        <w:rPr>
          <w:rFonts w:eastAsia="Malgun Gothic"/>
          <w:b/>
          <w:lang w:eastAsia="zh-CN"/>
        </w:rPr>
        <w:t xml:space="preserve">prompt </w:t>
      </w:r>
      <w:r w:rsidR="00480F5B">
        <w:rPr>
          <w:rFonts w:eastAsia="Malgun Gothic"/>
          <w:b/>
          <w:lang w:eastAsia="zh-CN"/>
        </w:rPr>
        <w:t xml:space="preserve">access to child-friendly and </w:t>
      </w:r>
      <w:proofErr w:type="spellStart"/>
      <w:r w:rsidR="00480F5B">
        <w:rPr>
          <w:rFonts w:eastAsia="Malgun Gothic"/>
          <w:b/>
          <w:lang w:eastAsia="zh-CN"/>
        </w:rPr>
        <w:t>multisectoral</w:t>
      </w:r>
      <w:proofErr w:type="spellEnd"/>
      <w:r w:rsidR="00480F5B">
        <w:rPr>
          <w:rFonts w:eastAsia="Malgun Gothic"/>
          <w:b/>
          <w:lang w:eastAsia="zh-CN"/>
        </w:rPr>
        <w:t xml:space="preserve"> remedies and comprehensive support, including forensic interviews</w:t>
      </w:r>
      <w:r w:rsidR="000306DA">
        <w:rPr>
          <w:rFonts w:eastAsia="Malgun Gothic"/>
          <w:b/>
          <w:lang w:eastAsia="zh-CN"/>
        </w:rPr>
        <w:t xml:space="preserve"> and</w:t>
      </w:r>
      <w:r w:rsidR="00480F5B">
        <w:rPr>
          <w:rFonts w:eastAsia="Malgun Gothic"/>
          <w:b/>
          <w:lang w:eastAsia="zh-CN"/>
        </w:rPr>
        <w:t xml:space="preserve"> psychological therapy </w:t>
      </w:r>
      <w:r w:rsidR="000306DA">
        <w:rPr>
          <w:rFonts w:eastAsia="Malgun Gothic"/>
          <w:b/>
          <w:lang w:eastAsia="zh-CN"/>
        </w:rPr>
        <w:t xml:space="preserve">by ensuring that the </w:t>
      </w:r>
      <w:r w:rsidR="00BC1911">
        <w:rPr>
          <w:rFonts w:eastAsia="Malgun Gothic"/>
          <w:b/>
          <w:lang w:eastAsia="zh-CN"/>
        </w:rPr>
        <w:t>multidisciplinary</w:t>
      </w:r>
      <w:r w:rsidR="000306DA">
        <w:rPr>
          <w:rFonts w:eastAsia="Malgun Gothic"/>
          <w:b/>
          <w:lang w:eastAsia="zh-CN"/>
        </w:rPr>
        <w:t xml:space="preserve"> </w:t>
      </w:r>
      <w:r w:rsidR="00F7631B">
        <w:rPr>
          <w:rFonts w:eastAsia="Malgun Gothic"/>
          <w:b/>
          <w:lang w:eastAsia="zh-CN"/>
        </w:rPr>
        <w:t xml:space="preserve">(MDA++) </w:t>
      </w:r>
      <w:r w:rsidR="000306DA">
        <w:rPr>
          <w:rFonts w:eastAsia="Malgun Gothic"/>
          <w:b/>
          <w:lang w:eastAsia="zh-CN"/>
        </w:rPr>
        <w:t>approach is child-</w:t>
      </w:r>
      <w:r w:rsidR="00927B7D">
        <w:rPr>
          <w:rFonts w:eastAsia="Malgun Gothic"/>
          <w:b/>
          <w:lang w:eastAsia="zh-CN"/>
        </w:rPr>
        <w:t>centred</w:t>
      </w:r>
      <w:r w:rsidR="000306DA">
        <w:rPr>
          <w:rFonts w:eastAsia="Malgun Gothic"/>
          <w:b/>
          <w:lang w:eastAsia="zh-CN"/>
        </w:rPr>
        <w:t xml:space="preserve"> through its methodology with the aim of</w:t>
      </w:r>
      <w:r w:rsidR="000B63A7">
        <w:rPr>
          <w:rFonts w:eastAsia="Malgun Gothic"/>
          <w:b/>
          <w:lang w:eastAsia="zh-CN"/>
        </w:rPr>
        <w:t xml:space="preserve"> prevent</w:t>
      </w:r>
      <w:r w:rsidR="000306DA">
        <w:rPr>
          <w:rFonts w:eastAsia="Malgun Gothic"/>
          <w:b/>
          <w:lang w:eastAsia="zh-CN"/>
        </w:rPr>
        <w:t>ing</w:t>
      </w:r>
      <w:r w:rsidR="000B63A7">
        <w:rPr>
          <w:rFonts w:eastAsia="Malgun Gothic"/>
          <w:b/>
          <w:lang w:eastAsia="zh-CN"/>
        </w:rPr>
        <w:t xml:space="preserve"> the secondary victimization of child victims</w:t>
      </w:r>
      <w:r w:rsidR="00480F5B">
        <w:rPr>
          <w:rFonts w:eastAsia="Malgun Gothic"/>
          <w:b/>
          <w:lang w:eastAsia="zh-CN"/>
        </w:rPr>
        <w:t>;</w:t>
      </w:r>
    </w:p>
    <w:p w14:paraId="4D7A0E97" w14:textId="77777777" w:rsidR="007B6376" w:rsidRPr="00F3638B" w:rsidRDefault="00F3638B" w:rsidP="00616959">
      <w:pPr>
        <w:pStyle w:val="SingleTxtG"/>
        <w:numPr>
          <w:ilvl w:val="1"/>
          <w:numId w:val="6"/>
        </w:numPr>
        <w:tabs>
          <w:tab w:val="clear" w:pos="1701"/>
          <w:tab w:val="clear" w:pos="2268"/>
          <w:tab w:val="clear" w:pos="2835"/>
        </w:tabs>
        <w:ind w:left="1134" w:firstLine="567"/>
        <w:rPr>
          <w:b/>
        </w:rPr>
      </w:pPr>
      <w:r w:rsidRPr="00F3638B">
        <w:rPr>
          <w:b/>
        </w:rPr>
        <w:t>Strengthen efforts to train professionals concerned to identify and adequately respond to ca</w:t>
      </w:r>
      <w:r w:rsidR="00411037">
        <w:rPr>
          <w:b/>
        </w:rPr>
        <w:t>ses of violence and child abuse in accordance with the Mandatory Reporting Code (Domestic Violence and Child Abuse) and other relevant protocols</w:t>
      </w:r>
      <w:r w:rsidR="00D13101">
        <w:rPr>
          <w:b/>
        </w:rPr>
        <w:t xml:space="preserve">, while simplifying such protocols to reduce the administrative burden </w:t>
      </w:r>
      <w:r w:rsidR="009B21FF">
        <w:rPr>
          <w:b/>
        </w:rPr>
        <w:t>on</w:t>
      </w:r>
      <w:r w:rsidR="00D13101">
        <w:rPr>
          <w:b/>
        </w:rPr>
        <w:t xml:space="preserve"> professionals</w:t>
      </w:r>
      <w:r w:rsidR="007B6376" w:rsidRPr="00F3638B">
        <w:rPr>
          <w:b/>
        </w:rPr>
        <w:t>;</w:t>
      </w:r>
    </w:p>
    <w:p w14:paraId="5E8E9F01" w14:textId="77777777" w:rsidR="000D75C5" w:rsidRDefault="00876184" w:rsidP="00616959">
      <w:pPr>
        <w:pStyle w:val="SingleTxtG"/>
        <w:numPr>
          <w:ilvl w:val="1"/>
          <w:numId w:val="6"/>
        </w:numPr>
        <w:tabs>
          <w:tab w:val="clear" w:pos="1701"/>
          <w:tab w:val="clear" w:pos="2268"/>
          <w:tab w:val="clear" w:pos="2835"/>
        </w:tabs>
        <w:ind w:left="1134" w:firstLine="567"/>
        <w:rPr>
          <w:b/>
        </w:rPr>
      </w:pPr>
      <w:r w:rsidRPr="00876184">
        <w:rPr>
          <w:b/>
        </w:rPr>
        <w:t xml:space="preserve">Develop initiatives aimed at </w:t>
      </w:r>
      <w:r w:rsidR="007B6376" w:rsidRPr="00876184">
        <w:rPr>
          <w:b/>
        </w:rPr>
        <w:t>protect</w:t>
      </w:r>
      <w:r w:rsidRPr="00876184">
        <w:rPr>
          <w:b/>
        </w:rPr>
        <w:t>ing</w:t>
      </w:r>
      <w:r w:rsidR="007B6376" w:rsidRPr="00876184">
        <w:rPr>
          <w:b/>
        </w:rPr>
        <w:t xml:space="preserve"> </w:t>
      </w:r>
      <w:r w:rsidRPr="00876184">
        <w:rPr>
          <w:b/>
        </w:rPr>
        <w:t xml:space="preserve">children with disabilities and </w:t>
      </w:r>
      <w:r w:rsidR="007B6376" w:rsidRPr="00876184">
        <w:rPr>
          <w:b/>
        </w:rPr>
        <w:t>transgender and gender</w:t>
      </w:r>
      <w:r w:rsidR="001449BE">
        <w:rPr>
          <w:b/>
        </w:rPr>
        <w:t>-</w:t>
      </w:r>
      <w:r w:rsidR="007B6376" w:rsidRPr="00876184">
        <w:rPr>
          <w:b/>
        </w:rPr>
        <w:t xml:space="preserve">diverse children from all forms of </w:t>
      </w:r>
      <w:r w:rsidR="00FC3536">
        <w:rPr>
          <w:b/>
        </w:rPr>
        <w:t xml:space="preserve">violence, including </w:t>
      </w:r>
      <w:r w:rsidR="007B6376" w:rsidRPr="00876184">
        <w:rPr>
          <w:b/>
        </w:rPr>
        <w:t>physical and mental abuse</w:t>
      </w:r>
      <w:r w:rsidR="00FC3536">
        <w:rPr>
          <w:b/>
        </w:rPr>
        <w:t>,</w:t>
      </w:r>
      <w:r w:rsidR="007B6376" w:rsidRPr="00876184">
        <w:rPr>
          <w:b/>
        </w:rPr>
        <w:t xml:space="preserve"> </w:t>
      </w:r>
      <w:r w:rsidR="00F23AEF">
        <w:rPr>
          <w:b/>
        </w:rPr>
        <w:t xml:space="preserve">maltreatment and </w:t>
      </w:r>
      <w:r w:rsidR="00FC3536">
        <w:rPr>
          <w:b/>
        </w:rPr>
        <w:t>sexual exploitation</w:t>
      </w:r>
      <w:r w:rsidR="000D75C5">
        <w:rPr>
          <w:b/>
        </w:rPr>
        <w:t>;</w:t>
      </w:r>
    </w:p>
    <w:p w14:paraId="2076D5A3" w14:textId="77777777" w:rsidR="004D02CA" w:rsidRPr="00473BA4" w:rsidRDefault="000D75C5" w:rsidP="00616959">
      <w:pPr>
        <w:pStyle w:val="SingleTxtG"/>
        <w:numPr>
          <w:ilvl w:val="1"/>
          <w:numId w:val="6"/>
        </w:numPr>
        <w:tabs>
          <w:tab w:val="clear" w:pos="1701"/>
          <w:tab w:val="clear" w:pos="2268"/>
          <w:tab w:val="clear" w:pos="2835"/>
        </w:tabs>
        <w:ind w:left="1134" w:firstLine="567"/>
        <w:rPr>
          <w:b/>
        </w:rPr>
      </w:pPr>
      <w:r>
        <w:rPr>
          <w:b/>
        </w:rPr>
        <w:t>Ensure the e</w:t>
      </w:r>
      <w:r>
        <w:rPr>
          <w:rFonts w:eastAsia="Calibri"/>
          <w:b/>
        </w:rPr>
        <w:t>xplicit prohibition of corporal punishment by law in alternative care settings, day care and schools</w:t>
      </w:r>
      <w:r w:rsidRPr="00EE5974">
        <w:rPr>
          <w:rFonts w:eastAsia="Calibri"/>
          <w:b/>
        </w:rPr>
        <w:t xml:space="preserve"> </w:t>
      </w:r>
      <w:r w:rsidRPr="00EE5974">
        <w:rPr>
          <w:b/>
        </w:rPr>
        <w:t xml:space="preserve">in Bonaire, </w:t>
      </w:r>
      <w:proofErr w:type="spellStart"/>
      <w:r w:rsidRPr="00EE5974">
        <w:rPr>
          <w:b/>
        </w:rPr>
        <w:t>Saba</w:t>
      </w:r>
      <w:proofErr w:type="spellEnd"/>
      <w:r w:rsidRPr="00EE5974">
        <w:rPr>
          <w:b/>
        </w:rPr>
        <w:t xml:space="preserve"> and </w:t>
      </w:r>
      <w:proofErr w:type="spellStart"/>
      <w:r w:rsidRPr="00EE5974">
        <w:rPr>
          <w:b/>
        </w:rPr>
        <w:t>Sint</w:t>
      </w:r>
      <w:proofErr w:type="spellEnd"/>
      <w:r w:rsidRPr="00EE5974">
        <w:rPr>
          <w:b/>
        </w:rPr>
        <w:t xml:space="preserve"> Eustatius</w:t>
      </w:r>
      <w:r>
        <w:rPr>
          <w:b/>
        </w:rPr>
        <w:t xml:space="preserve">, and strengthen </w:t>
      </w:r>
      <w:r>
        <w:rPr>
          <w:rFonts w:eastAsia="Calibri"/>
          <w:b/>
        </w:rPr>
        <w:t>awareness-raising campaigns aimed at promoting positive, non-violent and participatory forms of child-rearing and discipline and underscoring the adverse consequences of corporal punishment</w:t>
      </w:r>
      <w:r w:rsidR="004D02CA">
        <w:rPr>
          <w:rFonts w:eastAsia="Calibri"/>
          <w:b/>
        </w:rPr>
        <w:t>;</w:t>
      </w:r>
      <w:r w:rsidR="004D02CA" w:rsidRPr="004D02CA">
        <w:rPr>
          <w:rFonts w:eastAsia="Malgun Gothic"/>
          <w:b/>
          <w:lang w:eastAsia="zh-CN"/>
        </w:rPr>
        <w:t xml:space="preserve"> </w:t>
      </w:r>
    </w:p>
    <w:p w14:paraId="09EE93C0" w14:textId="77777777" w:rsidR="007B6376" w:rsidRDefault="004D02CA" w:rsidP="00616959">
      <w:pPr>
        <w:pStyle w:val="SingleTxtG"/>
        <w:numPr>
          <w:ilvl w:val="1"/>
          <w:numId w:val="6"/>
        </w:numPr>
        <w:tabs>
          <w:tab w:val="clear" w:pos="1701"/>
          <w:tab w:val="clear" w:pos="2268"/>
          <w:tab w:val="clear" w:pos="2835"/>
        </w:tabs>
        <w:ind w:left="1134" w:firstLine="567"/>
        <w:rPr>
          <w:b/>
        </w:rPr>
      </w:pPr>
      <w:r>
        <w:rPr>
          <w:rFonts w:eastAsia="Malgun Gothic"/>
          <w:b/>
          <w:lang w:eastAsia="zh-CN"/>
        </w:rPr>
        <w:lastRenderedPageBreak/>
        <w:t>Enhance access to treatment programmes for children with sexually inappropriate behaviour, including children who may have committed sexual offences, and ensure that such children receive appropriate therapeutic attention and benefit from child protection measures</w:t>
      </w:r>
      <w:r w:rsidR="00024DF3">
        <w:rPr>
          <w:rFonts w:eastAsia="Malgun Gothic"/>
          <w:b/>
          <w:lang w:eastAsia="zh-CN"/>
        </w:rPr>
        <w:t>.</w:t>
      </w:r>
    </w:p>
    <w:p w14:paraId="20A6F5CF" w14:textId="77777777" w:rsidR="00C9780A" w:rsidRPr="00C9780A" w:rsidRDefault="00C9780A" w:rsidP="00C9780A">
      <w:pPr>
        <w:pStyle w:val="H23G"/>
      </w:pPr>
      <w:r>
        <w:tab/>
      </w:r>
      <w:r>
        <w:tab/>
      </w:r>
      <w:r w:rsidRPr="00C9780A">
        <w:t>Harmful practices</w:t>
      </w:r>
    </w:p>
    <w:p w14:paraId="4030BD7F" w14:textId="77777777" w:rsidR="00C9780A" w:rsidRPr="00AD12E2" w:rsidRDefault="00A80C38" w:rsidP="00C9780A">
      <w:pPr>
        <w:pStyle w:val="SingleTxtG"/>
        <w:numPr>
          <w:ilvl w:val="0"/>
          <w:numId w:val="6"/>
        </w:numPr>
        <w:tabs>
          <w:tab w:val="clear" w:pos="1701"/>
          <w:tab w:val="clear" w:pos="2268"/>
          <w:tab w:val="clear" w:pos="2835"/>
        </w:tabs>
        <w:ind w:left="1134" w:firstLine="0"/>
        <w:rPr>
          <w:b/>
        </w:rPr>
      </w:pPr>
      <w:r>
        <w:rPr>
          <w:b/>
        </w:rPr>
        <w:t>T</w:t>
      </w:r>
      <w:r w:rsidR="005629B3">
        <w:rPr>
          <w:b/>
        </w:rPr>
        <w:t xml:space="preserve">he Committee </w:t>
      </w:r>
      <w:r w:rsidR="00C9780A" w:rsidRPr="00AD12E2">
        <w:rPr>
          <w:b/>
        </w:rPr>
        <w:t>recommends that the State party:</w:t>
      </w:r>
    </w:p>
    <w:p w14:paraId="28E28CED" w14:textId="77777777" w:rsidR="00E72692" w:rsidRPr="00316381" w:rsidRDefault="00770C53" w:rsidP="00E72692">
      <w:pPr>
        <w:pStyle w:val="SingleTxtG"/>
        <w:numPr>
          <w:ilvl w:val="1"/>
          <w:numId w:val="6"/>
        </w:numPr>
        <w:tabs>
          <w:tab w:val="clear" w:pos="1701"/>
          <w:tab w:val="clear" w:pos="2268"/>
          <w:tab w:val="clear" w:pos="2835"/>
        </w:tabs>
        <w:ind w:left="1134" w:firstLine="567"/>
        <w:rPr>
          <w:b/>
        </w:rPr>
      </w:pPr>
      <w:r w:rsidRPr="00316381">
        <w:rPr>
          <w:b/>
        </w:rPr>
        <w:t>Prohibit the performance of unnecessary medical or surgical treatment on intersex children where those procedures may be safely deferred until children are able to provide their informed consent</w:t>
      </w:r>
      <w:r w:rsidR="00F42C50">
        <w:rPr>
          <w:b/>
        </w:rPr>
        <w:t xml:space="preserve"> and provide reparations for children who received unnecessary treatment</w:t>
      </w:r>
      <w:r w:rsidRPr="00316381">
        <w:rPr>
          <w:b/>
        </w:rPr>
        <w:t>;</w:t>
      </w:r>
    </w:p>
    <w:p w14:paraId="16452722" w14:textId="77777777" w:rsidR="000306DA" w:rsidRDefault="00770C53" w:rsidP="00E72692">
      <w:pPr>
        <w:pStyle w:val="SingleTxtG"/>
        <w:numPr>
          <w:ilvl w:val="1"/>
          <w:numId w:val="6"/>
        </w:numPr>
        <w:tabs>
          <w:tab w:val="clear" w:pos="1701"/>
          <w:tab w:val="clear" w:pos="2268"/>
          <w:tab w:val="clear" w:pos="2835"/>
        </w:tabs>
        <w:ind w:left="1134" w:firstLine="567"/>
        <w:rPr>
          <w:b/>
        </w:rPr>
      </w:pPr>
      <w:r w:rsidRPr="00316381">
        <w:rPr>
          <w:b/>
        </w:rPr>
        <w:t xml:space="preserve">Provide </w:t>
      </w:r>
      <w:r w:rsidR="00D765E1">
        <w:rPr>
          <w:b/>
        </w:rPr>
        <w:t xml:space="preserve">adequate </w:t>
      </w:r>
      <w:r w:rsidRPr="00316381">
        <w:rPr>
          <w:b/>
        </w:rPr>
        <w:t>social, medical and psychological services, counselling</w:t>
      </w:r>
      <w:r w:rsidR="00F42C50">
        <w:rPr>
          <w:b/>
        </w:rPr>
        <w:t xml:space="preserve"> and</w:t>
      </w:r>
      <w:r w:rsidRPr="00316381">
        <w:rPr>
          <w:b/>
        </w:rPr>
        <w:t xml:space="preserve"> support to intersex children</w:t>
      </w:r>
      <w:r w:rsidR="00D765E1">
        <w:rPr>
          <w:b/>
        </w:rPr>
        <w:t xml:space="preserve"> and their families</w:t>
      </w:r>
      <w:r w:rsidR="000306DA">
        <w:rPr>
          <w:b/>
        </w:rPr>
        <w:t>;</w:t>
      </w:r>
    </w:p>
    <w:p w14:paraId="75FAFE51" w14:textId="77777777" w:rsidR="00770C53" w:rsidRPr="00316381" w:rsidRDefault="000306DA" w:rsidP="00E72692">
      <w:pPr>
        <w:pStyle w:val="SingleTxtG"/>
        <w:numPr>
          <w:ilvl w:val="1"/>
          <w:numId w:val="6"/>
        </w:numPr>
        <w:tabs>
          <w:tab w:val="clear" w:pos="1701"/>
          <w:tab w:val="clear" w:pos="2268"/>
          <w:tab w:val="clear" w:pos="2835"/>
        </w:tabs>
        <w:ind w:left="1134" w:firstLine="567"/>
        <w:rPr>
          <w:b/>
        </w:rPr>
      </w:pPr>
      <w:r>
        <w:rPr>
          <w:b/>
        </w:rPr>
        <w:t>Prohibit the use of isolation and restraint as disciplinary measures in mental health institutions and alternative care settings</w:t>
      </w:r>
      <w:r w:rsidR="00770C53" w:rsidRPr="00316381">
        <w:rPr>
          <w:b/>
        </w:rPr>
        <w:t>.</w:t>
      </w:r>
    </w:p>
    <w:p w14:paraId="38FB67C1" w14:textId="77777777" w:rsidR="00616959" w:rsidRPr="00FC61EB" w:rsidRDefault="00616959" w:rsidP="00616959">
      <w:pPr>
        <w:pStyle w:val="H1G"/>
      </w:pPr>
      <w:r w:rsidRPr="00FC61EB">
        <w:tab/>
      </w:r>
      <w:r>
        <w:t>E</w:t>
      </w:r>
      <w:r w:rsidRPr="00FC61EB">
        <w:t>.</w:t>
      </w:r>
      <w:r w:rsidRPr="00FC61EB">
        <w:tab/>
        <w:t>Family environment and alternative care (arts. 5, 9</w:t>
      </w:r>
      <w:r>
        <w:t>–</w:t>
      </w:r>
      <w:r w:rsidRPr="00FC61EB">
        <w:t>11, 18 (1)</w:t>
      </w:r>
      <w:r>
        <w:t>–</w:t>
      </w:r>
      <w:r w:rsidRPr="00FC61EB">
        <w:t>(2), 20</w:t>
      </w:r>
      <w:r>
        <w:t>–</w:t>
      </w:r>
      <w:r w:rsidRPr="00FC61EB">
        <w:t>21, 25 and 27 (4))</w:t>
      </w:r>
    </w:p>
    <w:p w14:paraId="1FC83A8C" w14:textId="77777777" w:rsidR="00D96C8C" w:rsidRPr="00FC61EB" w:rsidRDefault="00616959" w:rsidP="00616959">
      <w:pPr>
        <w:pStyle w:val="H23G"/>
      </w:pPr>
      <w:r w:rsidRPr="00FC61EB">
        <w:tab/>
      </w:r>
      <w:r w:rsidRPr="00FC61EB">
        <w:tab/>
        <w:t>Family environment</w:t>
      </w:r>
    </w:p>
    <w:p w14:paraId="5F7AC1C2" w14:textId="77777777" w:rsidR="00616959" w:rsidRDefault="005106EA" w:rsidP="00616959">
      <w:pPr>
        <w:pStyle w:val="SingleTxtG"/>
        <w:numPr>
          <w:ilvl w:val="0"/>
          <w:numId w:val="6"/>
        </w:numPr>
        <w:tabs>
          <w:tab w:val="clear" w:pos="1701"/>
          <w:tab w:val="clear" w:pos="2268"/>
          <w:tab w:val="clear" w:pos="2835"/>
        </w:tabs>
        <w:ind w:left="1134" w:firstLine="0"/>
        <w:rPr>
          <w:b/>
        </w:rPr>
      </w:pPr>
      <w:r w:rsidRPr="005106EA">
        <w:rPr>
          <w:b/>
          <w:bCs/>
        </w:rPr>
        <w:t>Noting with deep concern the h</w:t>
      </w:r>
      <w:r w:rsidR="00F965CB">
        <w:rPr>
          <w:b/>
          <w:bCs/>
        </w:rPr>
        <w:t>igh number of children who we</w:t>
      </w:r>
      <w:r w:rsidRPr="005106EA">
        <w:rPr>
          <w:b/>
          <w:bCs/>
        </w:rPr>
        <w:t>re separated from their families due to economic reasons</w:t>
      </w:r>
      <w:r w:rsidR="00F965CB">
        <w:rPr>
          <w:b/>
          <w:bCs/>
        </w:rPr>
        <w:t>, including</w:t>
      </w:r>
      <w:r w:rsidRPr="005106EA">
        <w:rPr>
          <w:b/>
          <w:bCs/>
        </w:rPr>
        <w:t xml:space="preserve"> in the context of the childcare benefits </w:t>
      </w:r>
      <w:r w:rsidR="004D3003">
        <w:rPr>
          <w:b/>
          <w:bCs/>
        </w:rPr>
        <w:t>affair</w:t>
      </w:r>
      <w:r w:rsidRPr="005106EA">
        <w:rPr>
          <w:b/>
          <w:bCs/>
        </w:rPr>
        <w:t>,</w:t>
      </w:r>
      <w:r>
        <w:rPr>
          <w:b/>
        </w:rPr>
        <w:t xml:space="preserve"> t</w:t>
      </w:r>
      <w:r w:rsidR="00616959">
        <w:rPr>
          <w:b/>
        </w:rPr>
        <w:t xml:space="preserve">he Committee </w:t>
      </w:r>
      <w:r w:rsidR="002627FF">
        <w:rPr>
          <w:b/>
        </w:rPr>
        <w:t>recommends that</w:t>
      </w:r>
      <w:r w:rsidR="000B301C">
        <w:rPr>
          <w:b/>
        </w:rPr>
        <w:t xml:space="preserve"> the</w:t>
      </w:r>
      <w:r w:rsidR="00616959" w:rsidRPr="00FC61EB">
        <w:rPr>
          <w:b/>
        </w:rPr>
        <w:t xml:space="preserve"> State party</w:t>
      </w:r>
      <w:r w:rsidR="00D51E73">
        <w:rPr>
          <w:b/>
        </w:rPr>
        <w:t>:</w:t>
      </w:r>
    </w:p>
    <w:p w14:paraId="03681276" w14:textId="77777777" w:rsidR="00D51E73" w:rsidRPr="00D51E73" w:rsidRDefault="00D51E73" w:rsidP="00D51E73">
      <w:pPr>
        <w:pStyle w:val="SingleTxtG"/>
        <w:numPr>
          <w:ilvl w:val="1"/>
          <w:numId w:val="6"/>
        </w:numPr>
        <w:tabs>
          <w:tab w:val="clear" w:pos="1701"/>
          <w:tab w:val="clear" w:pos="2268"/>
          <w:tab w:val="clear" w:pos="2835"/>
        </w:tabs>
        <w:ind w:left="1134" w:firstLine="567"/>
      </w:pPr>
      <w:r>
        <w:rPr>
          <w:b/>
        </w:rPr>
        <w:t>Prohibit</w:t>
      </w:r>
      <w:r w:rsidRPr="00C467E0">
        <w:rPr>
          <w:b/>
        </w:rPr>
        <w:t xml:space="preserve"> the separation of children from their </w:t>
      </w:r>
      <w:r>
        <w:rPr>
          <w:b/>
        </w:rPr>
        <w:t>families</w:t>
      </w:r>
      <w:r w:rsidRPr="00C467E0">
        <w:rPr>
          <w:b/>
        </w:rPr>
        <w:t xml:space="preserve"> </w:t>
      </w:r>
      <w:r w:rsidRPr="00D51E73">
        <w:rPr>
          <w:b/>
        </w:rPr>
        <w:t>and</w:t>
      </w:r>
      <w:r>
        <w:rPr>
          <w:b/>
        </w:rPr>
        <w:t xml:space="preserve"> their placement in alternative care on the basis of </w:t>
      </w:r>
      <w:r w:rsidR="00750D04">
        <w:rPr>
          <w:b/>
        </w:rPr>
        <w:t xml:space="preserve">only </w:t>
      </w:r>
      <w:r>
        <w:rPr>
          <w:b/>
        </w:rPr>
        <w:t>the economic situation of those families, including parents staying in homeless shelters, and</w:t>
      </w:r>
      <w:r w:rsidRPr="00D51E73">
        <w:rPr>
          <w:b/>
        </w:rPr>
        <w:t xml:space="preserve"> ensure that children staying in such shelters receive comprehensive support</w:t>
      </w:r>
      <w:r>
        <w:rPr>
          <w:b/>
        </w:rPr>
        <w:t>;</w:t>
      </w:r>
    </w:p>
    <w:p w14:paraId="4A98EA52" w14:textId="77777777" w:rsidR="005106EA" w:rsidRPr="00F82926" w:rsidRDefault="002A1447" w:rsidP="005106EA">
      <w:pPr>
        <w:pStyle w:val="SingleTxtG"/>
        <w:numPr>
          <w:ilvl w:val="1"/>
          <w:numId w:val="6"/>
        </w:numPr>
        <w:tabs>
          <w:tab w:val="clear" w:pos="1701"/>
          <w:tab w:val="clear" w:pos="2268"/>
          <w:tab w:val="clear" w:pos="2835"/>
        </w:tabs>
        <w:ind w:left="1134" w:firstLine="567"/>
        <w:rPr>
          <w:b/>
        </w:rPr>
      </w:pPr>
      <w:r>
        <w:rPr>
          <w:b/>
        </w:rPr>
        <w:t>Consider a</w:t>
      </w:r>
      <w:r w:rsidR="005106EA" w:rsidRPr="00F82926">
        <w:rPr>
          <w:b/>
        </w:rPr>
        <w:t>bolish</w:t>
      </w:r>
      <w:r>
        <w:rPr>
          <w:b/>
        </w:rPr>
        <w:t>ing</w:t>
      </w:r>
      <w:r w:rsidR="005106EA" w:rsidRPr="00F82926">
        <w:rPr>
          <w:b/>
        </w:rPr>
        <w:t xml:space="preserve"> the self-reliance criteria under the Social Support Act or develop a policy aimed at supporting families who are homeless for economic reasons;</w:t>
      </w:r>
      <w:r w:rsidR="00E92034">
        <w:rPr>
          <w:b/>
        </w:rPr>
        <w:t xml:space="preserve"> </w:t>
      </w:r>
    </w:p>
    <w:p w14:paraId="67622121" w14:textId="77777777" w:rsidR="00D96C8C" w:rsidRPr="00D51E73" w:rsidRDefault="002A1447" w:rsidP="00D51E73">
      <w:pPr>
        <w:pStyle w:val="SingleTxtG"/>
        <w:numPr>
          <w:ilvl w:val="1"/>
          <w:numId w:val="6"/>
        </w:numPr>
        <w:tabs>
          <w:tab w:val="clear" w:pos="1701"/>
          <w:tab w:val="clear" w:pos="2268"/>
          <w:tab w:val="clear" w:pos="2835"/>
        </w:tabs>
        <w:ind w:left="1134" w:firstLine="567"/>
      </w:pPr>
      <w:r>
        <w:rPr>
          <w:b/>
        </w:rPr>
        <w:t>Ensure</w:t>
      </w:r>
      <w:r w:rsidR="00D51E73">
        <w:rPr>
          <w:b/>
        </w:rPr>
        <w:t xml:space="preserve"> that</w:t>
      </w:r>
      <w:r w:rsidR="00D51E73" w:rsidRPr="007B23DE">
        <w:rPr>
          <w:b/>
        </w:rPr>
        <w:t xml:space="preserve"> all </w:t>
      </w:r>
      <w:r w:rsidR="004853CB">
        <w:rPr>
          <w:b/>
        </w:rPr>
        <w:t xml:space="preserve">children </w:t>
      </w:r>
      <w:r w:rsidR="00D51E73" w:rsidRPr="007B23DE">
        <w:rPr>
          <w:b/>
        </w:rPr>
        <w:t>affected</w:t>
      </w:r>
      <w:r w:rsidR="004853CB">
        <w:rPr>
          <w:b/>
        </w:rPr>
        <w:t xml:space="preserve"> by the childcare benefits affair </w:t>
      </w:r>
      <w:r w:rsidR="00D51E73" w:rsidRPr="007B23DE">
        <w:rPr>
          <w:b/>
        </w:rPr>
        <w:t>receive compensation and psychosocial support</w:t>
      </w:r>
      <w:r w:rsidR="00D51E73">
        <w:rPr>
          <w:b/>
        </w:rPr>
        <w:t xml:space="preserve"> and </w:t>
      </w:r>
      <w:proofErr w:type="gramStart"/>
      <w:r w:rsidR="00D51E73">
        <w:rPr>
          <w:b/>
        </w:rPr>
        <w:t>that measures</w:t>
      </w:r>
      <w:proofErr w:type="gramEnd"/>
      <w:r w:rsidR="00D51E73">
        <w:rPr>
          <w:b/>
        </w:rPr>
        <w:t xml:space="preserve"> </w:t>
      </w:r>
      <w:r w:rsidR="00D51E73" w:rsidRPr="007B23DE">
        <w:rPr>
          <w:b/>
        </w:rPr>
        <w:t>aimed at the rehabilitation of affected families take a child rights-based approach</w:t>
      </w:r>
      <w:r w:rsidR="00F82926">
        <w:rPr>
          <w:b/>
        </w:rPr>
        <w:t>.</w:t>
      </w:r>
    </w:p>
    <w:p w14:paraId="3A9DEAEC" w14:textId="77777777" w:rsidR="00D96C8C" w:rsidRPr="00FC61EB" w:rsidRDefault="00616959" w:rsidP="00616959">
      <w:pPr>
        <w:pStyle w:val="H23G"/>
      </w:pPr>
      <w:r w:rsidRPr="00FC61EB">
        <w:tab/>
      </w:r>
      <w:r w:rsidRPr="00FC61EB">
        <w:tab/>
      </w:r>
      <w:r w:rsidRPr="009B2890">
        <w:t>Children deprived of a family environment</w:t>
      </w:r>
    </w:p>
    <w:p w14:paraId="574A23D8" w14:textId="77777777" w:rsidR="00616959" w:rsidRPr="00FC61EB" w:rsidRDefault="003E6FAA" w:rsidP="00616959">
      <w:pPr>
        <w:pStyle w:val="SingleTxtG"/>
        <w:numPr>
          <w:ilvl w:val="0"/>
          <w:numId w:val="6"/>
        </w:numPr>
        <w:tabs>
          <w:tab w:val="clear" w:pos="1701"/>
          <w:tab w:val="clear" w:pos="2268"/>
          <w:tab w:val="clear" w:pos="2835"/>
        </w:tabs>
        <w:ind w:left="1134" w:firstLine="0"/>
        <w:rPr>
          <w:b/>
          <w:lang w:eastAsia="zh-CN"/>
        </w:rPr>
      </w:pPr>
      <w:r>
        <w:rPr>
          <w:rFonts w:eastAsia="Malgun Gothic"/>
          <w:b/>
          <w:lang w:eastAsia="zh-CN"/>
        </w:rPr>
        <w:t>The Committee welcomes the State party’s efforts to</w:t>
      </w:r>
      <w:r w:rsidR="00ED09B4">
        <w:rPr>
          <w:rFonts w:eastAsia="Malgun Gothic"/>
          <w:b/>
          <w:lang w:eastAsia="zh-CN"/>
        </w:rPr>
        <w:t xml:space="preserve"> </w:t>
      </w:r>
      <w:r w:rsidR="00A63357">
        <w:rPr>
          <w:rFonts w:eastAsia="Malgun Gothic"/>
          <w:b/>
          <w:lang w:eastAsia="zh-CN"/>
        </w:rPr>
        <w:t>reduce</w:t>
      </w:r>
      <w:r w:rsidR="00ED09B4">
        <w:rPr>
          <w:rFonts w:eastAsia="Malgun Gothic"/>
          <w:b/>
          <w:lang w:eastAsia="zh-CN"/>
        </w:rPr>
        <w:t xml:space="preserve"> youth care in closed institutions</w:t>
      </w:r>
      <w:r w:rsidR="008A09CE">
        <w:rPr>
          <w:rFonts w:eastAsia="Malgun Gothic"/>
          <w:b/>
          <w:lang w:eastAsia="zh-CN"/>
        </w:rPr>
        <w:t xml:space="preserve"> and </w:t>
      </w:r>
      <w:r w:rsidR="001A1A12">
        <w:rPr>
          <w:rFonts w:eastAsia="Malgun Gothic"/>
          <w:b/>
          <w:lang w:eastAsia="zh-CN"/>
        </w:rPr>
        <w:t xml:space="preserve">involuntary </w:t>
      </w:r>
      <w:r w:rsidR="00ED09B4">
        <w:rPr>
          <w:rFonts w:eastAsia="Malgun Gothic"/>
          <w:b/>
          <w:lang w:eastAsia="zh-CN"/>
        </w:rPr>
        <w:t>out-of-home placements</w:t>
      </w:r>
      <w:r w:rsidR="001A1A12">
        <w:rPr>
          <w:rFonts w:eastAsia="Malgun Gothic"/>
          <w:b/>
          <w:lang w:eastAsia="zh-CN"/>
        </w:rPr>
        <w:t>, and inform</w:t>
      </w:r>
      <w:r w:rsidR="00674684">
        <w:rPr>
          <w:rFonts w:eastAsia="Malgun Gothic"/>
          <w:b/>
          <w:lang w:eastAsia="zh-CN"/>
        </w:rPr>
        <w:t xml:space="preserve"> policies</w:t>
      </w:r>
      <w:r w:rsidR="001A1A12">
        <w:rPr>
          <w:rFonts w:eastAsia="Malgun Gothic"/>
          <w:b/>
          <w:lang w:eastAsia="zh-CN"/>
        </w:rPr>
        <w:t xml:space="preserve"> </w:t>
      </w:r>
      <w:r w:rsidR="00674684">
        <w:rPr>
          <w:rFonts w:eastAsia="Malgun Gothic"/>
          <w:b/>
          <w:lang w:eastAsia="zh-CN"/>
        </w:rPr>
        <w:t xml:space="preserve">on foster care breakdown </w:t>
      </w:r>
      <w:r w:rsidR="001A1A12">
        <w:rPr>
          <w:rFonts w:eastAsia="Malgun Gothic"/>
          <w:b/>
          <w:lang w:eastAsia="zh-CN"/>
        </w:rPr>
        <w:t>through research</w:t>
      </w:r>
      <w:r w:rsidR="00084516">
        <w:rPr>
          <w:rFonts w:eastAsia="Malgun Gothic"/>
          <w:b/>
          <w:lang w:eastAsia="zh-CN"/>
        </w:rPr>
        <w:t xml:space="preserve">, </w:t>
      </w:r>
      <w:r>
        <w:rPr>
          <w:rFonts w:eastAsia="Malgun Gothic"/>
          <w:b/>
          <w:lang w:eastAsia="zh-CN"/>
        </w:rPr>
        <w:t>but</w:t>
      </w:r>
      <w:r w:rsidR="00084516">
        <w:rPr>
          <w:rFonts w:eastAsia="Malgun Gothic"/>
          <w:b/>
          <w:lang w:eastAsia="zh-CN"/>
        </w:rPr>
        <w:t xml:space="preserve"> is concerned about the large number of emergency out-of-home placements</w:t>
      </w:r>
      <w:r w:rsidR="00A8250D">
        <w:rPr>
          <w:rFonts w:eastAsia="Malgun Gothic"/>
          <w:b/>
          <w:lang w:eastAsia="zh-CN"/>
        </w:rPr>
        <w:t>,</w:t>
      </w:r>
      <w:r w:rsidR="00084516">
        <w:rPr>
          <w:rFonts w:eastAsia="Malgun Gothic"/>
          <w:b/>
          <w:lang w:eastAsia="zh-CN"/>
        </w:rPr>
        <w:t xml:space="preserve"> </w:t>
      </w:r>
      <w:r w:rsidR="00207768">
        <w:rPr>
          <w:rFonts w:eastAsia="Malgun Gothic"/>
          <w:b/>
          <w:lang w:eastAsia="zh-CN"/>
        </w:rPr>
        <w:t xml:space="preserve">and frequent </w:t>
      </w:r>
      <w:r w:rsidR="00084516">
        <w:rPr>
          <w:rFonts w:eastAsia="Malgun Gothic"/>
          <w:b/>
          <w:lang w:eastAsia="zh-CN"/>
        </w:rPr>
        <w:t>transfers of children in residential youth care facilities</w:t>
      </w:r>
      <w:r w:rsidR="00ED09B4">
        <w:rPr>
          <w:rFonts w:eastAsia="Malgun Gothic"/>
          <w:b/>
          <w:lang w:eastAsia="zh-CN"/>
        </w:rPr>
        <w:t xml:space="preserve">. </w:t>
      </w:r>
      <w:r w:rsidR="00F34A1B">
        <w:rPr>
          <w:rFonts w:eastAsia="Malgun Gothic"/>
          <w:b/>
          <w:lang w:eastAsia="zh-CN"/>
        </w:rPr>
        <w:t>T</w:t>
      </w:r>
      <w:r w:rsidR="00616959" w:rsidRPr="00FC61EB">
        <w:rPr>
          <w:rFonts w:eastAsia="Malgun Gothic"/>
          <w:b/>
          <w:lang w:eastAsia="zh-CN"/>
        </w:rPr>
        <w:t>he Committee</w:t>
      </w:r>
      <w:r w:rsidR="00616959">
        <w:rPr>
          <w:rFonts w:eastAsia="Malgun Gothic"/>
          <w:b/>
          <w:lang w:eastAsia="zh-CN"/>
        </w:rPr>
        <w:t xml:space="preserve"> </w:t>
      </w:r>
      <w:r w:rsidR="00616959" w:rsidRPr="00FC61EB">
        <w:rPr>
          <w:rFonts w:eastAsia="Malgun Gothic"/>
          <w:b/>
          <w:lang w:eastAsia="zh-CN"/>
        </w:rPr>
        <w:t>recommends that the State party</w:t>
      </w:r>
      <w:r w:rsidR="00616959" w:rsidRPr="00FC61EB">
        <w:rPr>
          <w:b/>
          <w:lang w:eastAsia="zh-CN"/>
        </w:rPr>
        <w:t>:</w:t>
      </w:r>
    </w:p>
    <w:p w14:paraId="524DF394" w14:textId="77777777" w:rsidR="00616959" w:rsidRDefault="001A1A12" w:rsidP="00616959">
      <w:pPr>
        <w:pStyle w:val="SingleTxtG"/>
        <w:numPr>
          <w:ilvl w:val="0"/>
          <w:numId w:val="17"/>
        </w:numPr>
        <w:tabs>
          <w:tab w:val="clear" w:pos="1701"/>
          <w:tab w:val="clear" w:pos="2268"/>
          <w:tab w:val="clear" w:pos="2835"/>
        </w:tabs>
        <w:ind w:left="1134" w:firstLine="568"/>
        <w:rPr>
          <w:b/>
          <w:bCs/>
        </w:rPr>
      </w:pPr>
      <w:r>
        <w:rPr>
          <w:b/>
        </w:rPr>
        <w:t>Further s</w:t>
      </w:r>
      <w:r w:rsidR="00806467" w:rsidRPr="00806467">
        <w:rPr>
          <w:b/>
        </w:rPr>
        <w:t>trengthen its s</w:t>
      </w:r>
      <w:r w:rsidR="00AB4763" w:rsidRPr="00806467">
        <w:rPr>
          <w:b/>
        </w:rPr>
        <w:t>ystem of foster care and substitute family homes</w:t>
      </w:r>
      <w:r w:rsidR="00806467" w:rsidRPr="00806467">
        <w:rPr>
          <w:b/>
        </w:rPr>
        <w:t>, with a view to phasing out the institutionalization of children</w:t>
      </w:r>
      <w:r w:rsidR="00207768">
        <w:rPr>
          <w:b/>
        </w:rPr>
        <w:t>, especially young children</w:t>
      </w:r>
      <w:r w:rsidR="00674684">
        <w:rPr>
          <w:b/>
        </w:rPr>
        <w:t xml:space="preserve">; </w:t>
      </w:r>
      <w:r w:rsidR="00806467" w:rsidRPr="00806467">
        <w:rPr>
          <w:b/>
        </w:rPr>
        <w:t xml:space="preserve"> </w:t>
      </w:r>
      <w:r w:rsidR="00674684">
        <w:rPr>
          <w:b/>
        </w:rPr>
        <w:t xml:space="preserve">and </w:t>
      </w:r>
      <w:r w:rsidR="004853CB">
        <w:rPr>
          <w:b/>
        </w:rPr>
        <w:t xml:space="preserve">allocate adequate </w:t>
      </w:r>
      <w:r w:rsidR="00806467" w:rsidRPr="00806467">
        <w:rPr>
          <w:b/>
        </w:rPr>
        <w:t>funds towards famil</w:t>
      </w:r>
      <w:r w:rsidR="009B3BC6">
        <w:rPr>
          <w:b/>
        </w:rPr>
        <w:t>ies</w:t>
      </w:r>
      <w:r w:rsidR="00806467" w:rsidRPr="00806467">
        <w:rPr>
          <w:b/>
        </w:rPr>
        <w:t xml:space="preserve"> to promote and support care in a family environment</w:t>
      </w:r>
      <w:r w:rsidR="00616959">
        <w:rPr>
          <w:b/>
          <w:bCs/>
        </w:rPr>
        <w:t>;</w:t>
      </w:r>
      <w:r w:rsidR="00684407">
        <w:rPr>
          <w:b/>
          <w:bCs/>
        </w:rPr>
        <w:t xml:space="preserve"> </w:t>
      </w:r>
    </w:p>
    <w:p w14:paraId="13865401" w14:textId="77777777" w:rsidR="00D96C8C" w:rsidRPr="00A02030" w:rsidRDefault="00A02030" w:rsidP="00616959">
      <w:pPr>
        <w:pStyle w:val="SingleTxtG"/>
        <w:numPr>
          <w:ilvl w:val="0"/>
          <w:numId w:val="17"/>
        </w:numPr>
        <w:tabs>
          <w:tab w:val="clear" w:pos="1701"/>
          <w:tab w:val="clear" w:pos="2268"/>
          <w:tab w:val="clear" w:pos="2835"/>
        </w:tabs>
        <w:ind w:left="1134" w:firstLine="568"/>
        <w:rPr>
          <w:b/>
          <w:bCs/>
        </w:rPr>
      </w:pPr>
      <w:r>
        <w:rPr>
          <w:b/>
          <w:bCs/>
        </w:rPr>
        <w:t xml:space="preserve">Provide temporary, safe care alternatives and establish a system of foster care in </w:t>
      </w:r>
      <w:r w:rsidR="00183F9E" w:rsidRPr="00183F9E">
        <w:rPr>
          <w:b/>
        </w:rPr>
        <w:t xml:space="preserve">Aruba, </w:t>
      </w:r>
      <w:proofErr w:type="spellStart"/>
      <w:r w:rsidR="00183F9E" w:rsidRPr="00183F9E">
        <w:rPr>
          <w:b/>
        </w:rPr>
        <w:t>Curaçao</w:t>
      </w:r>
      <w:proofErr w:type="spellEnd"/>
      <w:r w:rsidR="00183F9E" w:rsidRPr="00183F9E">
        <w:rPr>
          <w:b/>
        </w:rPr>
        <w:t xml:space="preserve"> and </w:t>
      </w:r>
      <w:proofErr w:type="spellStart"/>
      <w:r w:rsidR="00183F9E" w:rsidRPr="00183F9E">
        <w:rPr>
          <w:b/>
        </w:rPr>
        <w:t>Sint</w:t>
      </w:r>
      <w:proofErr w:type="spellEnd"/>
      <w:r w:rsidR="00183F9E" w:rsidRPr="00183F9E">
        <w:rPr>
          <w:b/>
        </w:rPr>
        <w:t xml:space="preserve"> Maarten</w:t>
      </w:r>
      <w:r w:rsidRPr="00183F9E">
        <w:rPr>
          <w:b/>
          <w:bCs/>
        </w:rPr>
        <w:t xml:space="preserve"> </w:t>
      </w:r>
      <w:r w:rsidR="004853CB">
        <w:rPr>
          <w:b/>
          <w:bCs/>
        </w:rPr>
        <w:t xml:space="preserve">for children </w:t>
      </w:r>
      <w:r>
        <w:rPr>
          <w:b/>
          <w:bCs/>
        </w:rPr>
        <w:t>who cannot stay with their families;</w:t>
      </w:r>
    </w:p>
    <w:p w14:paraId="235158AC" w14:textId="77777777" w:rsidR="00616959" w:rsidRPr="0035319C" w:rsidRDefault="00750D04" w:rsidP="00616959">
      <w:pPr>
        <w:pStyle w:val="SingleTxtG"/>
        <w:numPr>
          <w:ilvl w:val="0"/>
          <w:numId w:val="17"/>
        </w:numPr>
        <w:tabs>
          <w:tab w:val="clear" w:pos="1701"/>
          <w:tab w:val="clear" w:pos="2268"/>
          <w:tab w:val="clear" w:pos="2835"/>
        </w:tabs>
        <w:ind w:left="1134" w:firstLine="568"/>
        <w:rPr>
          <w:b/>
          <w:bCs/>
        </w:rPr>
      </w:pPr>
      <w:r>
        <w:rPr>
          <w:b/>
        </w:rPr>
        <w:t>Undertake more focussed efforts to r</w:t>
      </w:r>
      <w:r w:rsidR="00DA15BD">
        <w:rPr>
          <w:b/>
        </w:rPr>
        <w:t>educe the number of emergency out-of-home placements</w:t>
      </w:r>
      <w:r w:rsidR="00616959" w:rsidRPr="0035319C">
        <w:rPr>
          <w:b/>
          <w:bCs/>
        </w:rPr>
        <w:t>;</w:t>
      </w:r>
    </w:p>
    <w:p w14:paraId="02C37BB4" w14:textId="77777777" w:rsidR="00D96C8C" w:rsidRPr="00674684" w:rsidRDefault="006A6EED" w:rsidP="00616959">
      <w:pPr>
        <w:pStyle w:val="SingleTxtG"/>
        <w:numPr>
          <w:ilvl w:val="0"/>
          <w:numId w:val="17"/>
        </w:numPr>
        <w:tabs>
          <w:tab w:val="clear" w:pos="1701"/>
          <w:tab w:val="clear" w:pos="2268"/>
          <w:tab w:val="clear" w:pos="2835"/>
        </w:tabs>
        <w:ind w:left="1134" w:firstLine="568"/>
        <w:rPr>
          <w:b/>
          <w:bCs/>
        </w:rPr>
      </w:pPr>
      <w:r w:rsidRPr="00674684">
        <w:rPr>
          <w:b/>
        </w:rPr>
        <w:t>Prevent frequent transfers of children in alternative care settings and m</w:t>
      </w:r>
      <w:r w:rsidR="00AB4763" w:rsidRPr="00674684">
        <w:rPr>
          <w:b/>
        </w:rPr>
        <w:t xml:space="preserve">onitor the quality of care </w:t>
      </w:r>
      <w:r w:rsidRPr="00674684">
        <w:rPr>
          <w:b/>
        </w:rPr>
        <w:t xml:space="preserve">therein, including by </w:t>
      </w:r>
      <w:r w:rsidR="00674684" w:rsidRPr="00674684">
        <w:rPr>
          <w:b/>
        </w:rPr>
        <w:t>improving</w:t>
      </w:r>
      <w:r w:rsidRPr="00674684">
        <w:rPr>
          <w:b/>
        </w:rPr>
        <w:t xml:space="preserve"> </w:t>
      </w:r>
      <w:r w:rsidR="00674684" w:rsidRPr="00674684">
        <w:rPr>
          <w:b/>
        </w:rPr>
        <w:t xml:space="preserve">availability of the </w:t>
      </w:r>
      <w:r w:rsidR="00674684" w:rsidRPr="005E118B">
        <w:rPr>
          <w:b/>
        </w:rPr>
        <w:t>national Inspectorate for Healthcare and Youth, and confidants;</w:t>
      </w:r>
      <w:r w:rsidR="00674684" w:rsidRPr="00674684" w:rsidDel="004853CB">
        <w:rPr>
          <w:b/>
        </w:rPr>
        <w:t xml:space="preserve"> </w:t>
      </w:r>
    </w:p>
    <w:p w14:paraId="206D6B3B" w14:textId="77777777" w:rsidR="00D96C8C" w:rsidRPr="00633DF4" w:rsidRDefault="009B3BC6" w:rsidP="00616959">
      <w:pPr>
        <w:pStyle w:val="SingleTxtG"/>
        <w:numPr>
          <w:ilvl w:val="0"/>
          <w:numId w:val="17"/>
        </w:numPr>
        <w:tabs>
          <w:tab w:val="clear" w:pos="1701"/>
          <w:tab w:val="clear" w:pos="2268"/>
          <w:tab w:val="clear" w:pos="2835"/>
        </w:tabs>
        <w:ind w:left="1134" w:firstLine="568"/>
        <w:rPr>
          <w:b/>
          <w:bCs/>
        </w:rPr>
      </w:pPr>
      <w:r>
        <w:rPr>
          <w:b/>
        </w:rPr>
        <w:lastRenderedPageBreak/>
        <w:t>Strengthen measures, including through increased funding, aimed at providing</w:t>
      </w:r>
      <w:r w:rsidR="00AB4763" w:rsidRPr="00D6341D">
        <w:rPr>
          <w:b/>
        </w:rPr>
        <w:t xml:space="preserve"> education, skills and opportunities for independent living for children leaving alternative care</w:t>
      </w:r>
      <w:r w:rsidR="00616959" w:rsidRPr="00D6341D">
        <w:rPr>
          <w:b/>
          <w:lang w:eastAsia="de-DE"/>
        </w:rPr>
        <w:t>;</w:t>
      </w:r>
    </w:p>
    <w:p w14:paraId="20B76AD0" w14:textId="77777777" w:rsidR="00183F9E" w:rsidRPr="00183F9E" w:rsidRDefault="00BF05CD" w:rsidP="00BF05CD">
      <w:pPr>
        <w:pStyle w:val="SingleTxtG"/>
        <w:numPr>
          <w:ilvl w:val="0"/>
          <w:numId w:val="17"/>
        </w:numPr>
        <w:tabs>
          <w:tab w:val="clear" w:pos="1701"/>
          <w:tab w:val="clear" w:pos="2268"/>
          <w:tab w:val="clear" w:pos="2835"/>
        </w:tabs>
        <w:ind w:left="1134" w:firstLine="568"/>
        <w:rPr>
          <w:b/>
          <w:bCs/>
        </w:rPr>
      </w:pPr>
      <w:r>
        <w:rPr>
          <w:rFonts w:eastAsia="Malgun Gothic"/>
          <w:b/>
          <w:lang w:eastAsia="zh-CN"/>
        </w:rPr>
        <w:t xml:space="preserve">Ensure that children in </w:t>
      </w:r>
      <w:r w:rsidRPr="000E2E15">
        <w:rPr>
          <w:rFonts w:eastAsia="Malgun Gothic"/>
          <w:b/>
          <w:lang w:eastAsia="zh-CN"/>
        </w:rPr>
        <w:t>youth care and mental health</w:t>
      </w:r>
      <w:r>
        <w:rPr>
          <w:rFonts w:eastAsia="Malgun Gothic"/>
          <w:b/>
          <w:lang w:eastAsia="zh-CN"/>
        </w:rPr>
        <w:t xml:space="preserve"> institutions</w:t>
      </w:r>
      <w:r w:rsidRPr="000E2E15">
        <w:rPr>
          <w:rFonts w:eastAsia="Malgun Gothic"/>
          <w:b/>
          <w:lang w:eastAsia="zh-CN"/>
        </w:rPr>
        <w:t xml:space="preserve"> have the right to appeal decisions made about them</w:t>
      </w:r>
      <w:r w:rsidR="000B0DF4">
        <w:rPr>
          <w:rFonts w:eastAsia="Malgun Gothic"/>
          <w:b/>
          <w:lang w:eastAsia="zh-CN"/>
        </w:rPr>
        <w:t>;</w:t>
      </w:r>
    </w:p>
    <w:p w14:paraId="378976C5" w14:textId="77777777" w:rsidR="00BF05CD" w:rsidRPr="00FB2ADB" w:rsidRDefault="00183F9E" w:rsidP="00BF05CD">
      <w:pPr>
        <w:pStyle w:val="SingleTxtG"/>
        <w:numPr>
          <w:ilvl w:val="0"/>
          <w:numId w:val="17"/>
        </w:numPr>
        <w:tabs>
          <w:tab w:val="clear" w:pos="1701"/>
          <w:tab w:val="clear" w:pos="2268"/>
          <w:tab w:val="clear" w:pos="2835"/>
        </w:tabs>
        <w:ind w:left="1134" w:firstLine="568"/>
        <w:rPr>
          <w:rFonts w:eastAsia="Malgun Gothic"/>
          <w:b/>
          <w:lang w:eastAsia="zh-CN"/>
        </w:rPr>
      </w:pPr>
      <w:r>
        <w:rPr>
          <w:rFonts w:eastAsia="Malgun Gothic"/>
          <w:b/>
          <w:lang w:eastAsia="zh-CN"/>
        </w:rPr>
        <w:t>Ensure</w:t>
      </w:r>
      <w:r w:rsidR="005010DA">
        <w:rPr>
          <w:rFonts w:eastAsia="Malgun Gothic"/>
          <w:b/>
          <w:lang w:eastAsia="zh-CN"/>
        </w:rPr>
        <w:t xml:space="preserve"> </w:t>
      </w:r>
      <w:r w:rsidR="003D593E">
        <w:rPr>
          <w:rFonts w:eastAsia="Malgun Gothic"/>
          <w:b/>
          <w:lang w:eastAsia="zh-CN"/>
        </w:rPr>
        <w:t>the regular monitoring</w:t>
      </w:r>
      <w:r w:rsidR="004853CB">
        <w:rPr>
          <w:rFonts w:eastAsia="Malgun Gothic"/>
          <w:b/>
          <w:lang w:eastAsia="zh-CN"/>
        </w:rPr>
        <w:t xml:space="preserve"> and evaluation</w:t>
      </w:r>
      <w:r w:rsidR="003D593E">
        <w:rPr>
          <w:rFonts w:eastAsia="Malgun Gothic"/>
          <w:b/>
          <w:lang w:eastAsia="zh-CN"/>
        </w:rPr>
        <w:t xml:space="preserve"> of the quality of care in </w:t>
      </w:r>
      <w:r w:rsidR="005010DA">
        <w:rPr>
          <w:rFonts w:eastAsia="Malgun Gothic"/>
          <w:b/>
          <w:lang w:eastAsia="zh-CN"/>
        </w:rPr>
        <w:t xml:space="preserve">alternative care centres in </w:t>
      </w:r>
      <w:r>
        <w:rPr>
          <w:rFonts w:eastAsia="Malgun Gothic"/>
          <w:b/>
          <w:lang w:eastAsia="zh-CN"/>
        </w:rPr>
        <w:t xml:space="preserve">Bonaire, </w:t>
      </w:r>
      <w:proofErr w:type="spellStart"/>
      <w:r>
        <w:rPr>
          <w:rFonts w:eastAsia="Malgun Gothic"/>
          <w:b/>
          <w:lang w:eastAsia="zh-CN"/>
        </w:rPr>
        <w:t>Saba</w:t>
      </w:r>
      <w:proofErr w:type="spellEnd"/>
      <w:r>
        <w:rPr>
          <w:rFonts w:eastAsia="Malgun Gothic"/>
          <w:b/>
          <w:lang w:eastAsia="zh-CN"/>
        </w:rPr>
        <w:t xml:space="preserve"> and </w:t>
      </w:r>
      <w:proofErr w:type="spellStart"/>
      <w:r>
        <w:rPr>
          <w:rFonts w:eastAsia="Malgun Gothic"/>
          <w:b/>
          <w:lang w:eastAsia="zh-CN"/>
        </w:rPr>
        <w:t>Sint</w:t>
      </w:r>
      <w:proofErr w:type="spellEnd"/>
      <w:r>
        <w:rPr>
          <w:rFonts w:eastAsia="Malgun Gothic"/>
          <w:b/>
          <w:lang w:eastAsia="zh-CN"/>
        </w:rPr>
        <w:t xml:space="preserve"> Eustatius</w:t>
      </w:r>
      <w:r w:rsidR="00BF05CD" w:rsidRPr="000E2E15">
        <w:rPr>
          <w:rFonts w:eastAsia="Malgun Gothic"/>
          <w:b/>
          <w:lang w:eastAsia="zh-CN"/>
        </w:rPr>
        <w:t>;</w:t>
      </w:r>
    </w:p>
    <w:p w14:paraId="2F9E28CD" w14:textId="77777777" w:rsidR="004853CB" w:rsidRPr="00AB0F00" w:rsidRDefault="004853CB" w:rsidP="00BF05CD">
      <w:pPr>
        <w:pStyle w:val="SingleTxtG"/>
        <w:numPr>
          <w:ilvl w:val="0"/>
          <w:numId w:val="17"/>
        </w:numPr>
        <w:tabs>
          <w:tab w:val="clear" w:pos="1701"/>
          <w:tab w:val="clear" w:pos="2268"/>
          <w:tab w:val="clear" w:pos="2835"/>
        </w:tabs>
        <w:ind w:left="1134" w:firstLine="568"/>
        <w:rPr>
          <w:b/>
          <w:bCs/>
        </w:rPr>
      </w:pPr>
      <w:r>
        <w:rPr>
          <w:rFonts w:eastAsia="Malgun Gothic"/>
          <w:b/>
          <w:lang w:eastAsia="zh-CN"/>
        </w:rPr>
        <w:t xml:space="preserve">Further strengthen </w:t>
      </w:r>
      <w:r w:rsidR="00207768">
        <w:rPr>
          <w:rFonts w:eastAsia="Malgun Gothic"/>
          <w:b/>
          <w:lang w:eastAsia="zh-CN"/>
        </w:rPr>
        <w:t xml:space="preserve">institutional measures such as </w:t>
      </w:r>
      <w:r>
        <w:rPr>
          <w:rFonts w:eastAsia="Malgun Gothic"/>
          <w:b/>
          <w:lang w:eastAsia="zh-CN"/>
        </w:rPr>
        <w:t xml:space="preserve">the </w:t>
      </w:r>
      <w:r w:rsidR="00207768">
        <w:rPr>
          <w:rFonts w:eastAsia="Malgun Gothic"/>
          <w:b/>
          <w:lang w:eastAsia="zh-CN"/>
        </w:rPr>
        <w:t xml:space="preserve">roles </w:t>
      </w:r>
      <w:r>
        <w:rPr>
          <w:rFonts w:eastAsia="Malgun Gothic"/>
          <w:b/>
          <w:lang w:eastAsia="zh-CN"/>
        </w:rPr>
        <w:t>of Family Supervision Agenc</w:t>
      </w:r>
      <w:r w:rsidR="00207768">
        <w:rPr>
          <w:rFonts w:eastAsia="Malgun Gothic"/>
          <w:b/>
          <w:lang w:eastAsia="zh-CN"/>
        </w:rPr>
        <w:t>ies</w:t>
      </w:r>
      <w:r>
        <w:rPr>
          <w:rFonts w:eastAsia="Malgun Gothic"/>
          <w:b/>
          <w:lang w:eastAsia="zh-CN"/>
        </w:rPr>
        <w:t xml:space="preserve"> </w:t>
      </w:r>
      <w:r w:rsidR="00207768">
        <w:rPr>
          <w:rFonts w:eastAsia="Malgun Gothic"/>
          <w:b/>
          <w:lang w:eastAsia="zh-CN"/>
        </w:rPr>
        <w:t>in preventing the need for alternative care</w:t>
      </w:r>
      <w:r w:rsidR="00E92034">
        <w:rPr>
          <w:rFonts w:eastAsia="Malgun Gothic"/>
          <w:b/>
          <w:lang w:eastAsia="zh-CN"/>
        </w:rPr>
        <w:t>, as well as</w:t>
      </w:r>
      <w:r w:rsidR="00207768">
        <w:rPr>
          <w:rFonts w:eastAsia="Malgun Gothic"/>
          <w:b/>
          <w:lang w:eastAsia="zh-CN"/>
        </w:rPr>
        <w:t xml:space="preserve"> improving the quality of alternative care in Aruba and </w:t>
      </w:r>
      <w:proofErr w:type="spellStart"/>
      <w:r w:rsidR="00207768" w:rsidRPr="001E7CE9">
        <w:rPr>
          <w:rFonts w:eastAsia="Malgun Gothic"/>
          <w:b/>
          <w:lang w:eastAsia="zh-CN"/>
        </w:rPr>
        <w:t>Curaçao</w:t>
      </w:r>
      <w:proofErr w:type="spellEnd"/>
      <w:r w:rsidR="00674684">
        <w:rPr>
          <w:rFonts w:eastAsia="Malgun Gothic"/>
          <w:b/>
          <w:lang w:eastAsia="zh-CN"/>
        </w:rPr>
        <w:t>;</w:t>
      </w:r>
    </w:p>
    <w:p w14:paraId="61901404" w14:textId="77777777" w:rsidR="00616959" w:rsidRPr="00FB2ADB" w:rsidRDefault="00AB4763" w:rsidP="00616959">
      <w:pPr>
        <w:pStyle w:val="SingleTxtG"/>
        <w:numPr>
          <w:ilvl w:val="0"/>
          <w:numId w:val="17"/>
        </w:numPr>
        <w:tabs>
          <w:tab w:val="clear" w:pos="1701"/>
          <w:tab w:val="clear" w:pos="2268"/>
          <w:tab w:val="clear" w:pos="2835"/>
        </w:tabs>
        <w:ind w:left="1134" w:firstLine="568"/>
        <w:rPr>
          <w:rFonts w:eastAsia="Malgun Gothic"/>
          <w:b/>
          <w:lang w:eastAsia="zh-CN"/>
        </w:rPr>
      </w:pPr>
      <w:r w:rsidRPr="00BF05CD">
        <w:rPr>
          <w:b/>
        </w:rPr>
        <w:t>Implement the recommendations of the 2018 evaluation of the Youth Act, including with regard to care for children in marginalized situations and the allocation of financial resources for children deprived of a family environment</w:t>
      </w:r>
      <w:r w:rsidR="00616959" w:rsidRPr="00BF05CD">
        <w:rPr>
          <w:rFonts w:eastAsia="Malgun Gothic"/>
          <w:b/>
          <w:lang w:eastAsia="zh-CN"/>
        </w:rPr>
        <w:t>.</w:t>
      </w:r>
    </w:p>
    <w:p w14:paraId="6F5CCB98" w14:textId="77777777" w:rsidR="00616959" w:rsidRPr="00FC61EB" w:rsidRDefault="00616959" w:rsidP="00616959">
      <w:pPr>
        <w:pStyle w:val="H1G"/>
      </w:pPr>
      <w:r w:rsidRPr="00FC61EB">
        <w:tab/>
      </w:r>
      <w:r>
        <w:t>F</w:t>
      </w:r>
      <w:r w:rsidRPr="003D5610">
        <w:t>.</w:t>
      </w:r>
      <w:r w:rsidRPr="003D5610">
        <w:tab/>
        <w:t>Children with disabilities (art. 23)</w:t>
      </w:r>
    </w:p>
    <w:p w14:paraId="55FB86DF" w14:textId="77777777" w:rsidR="001D6EFF" w:rsidRPr="001D6EFF" w:rsidRDefault="00187487" w:rsidP="00616959">
      <w:pPr>
        <w:pStyle w:val="SingleTxtG"/>
        <w:numPr>
          <w:ilvl w:val="0"/>
          <w:numId w:val="6"/>
        </w:numPr>
        <w:tabs>
          <w:tab w:val="clear" w:pos="1701"/>
          <w:tab w:val="clear" w:pos="2268"/>
          <w:tab w:val="clear" w:pos="2835"/>
        </w:tabs>
        <w:ind w:left="1134" w:firstLine="0"/>
      </w:pPr>
      <w:r w:rsidRPr="001D6EFF">
        <w:t>Th</w:t>
      </w:r>
      <w:r w:rsidR="00616959" w:rsidRPr="001D6EFF">
        <w:t>e Committee</w:t>
      </w:r>
      <w:r w:rsidR="006811C7" w:rsidRPr="001D6EFF">
        <w:t xml:space="preserve"> is concerned about the </w:t>
      </w:r>
      <w:r w:rsidR="00640B23" w:rsidRPr="001D6EFF">
        <w:t>increase in the</w:t>
      </w:r>
      <w:r w:rsidR="006811C7" w:rsidRPr="001D6EFF">
        <w:t xml:space="preserve"> number of children with disabilities attending special schools</w:t>
      </w:r>
      <w:r w:rsidR="00FA447D">
        <w:t>, lack of access to early education</w:t>
      </w:r>
      <w:r w:rsidR="006811C7" w:rsidRPr="001D6EFF">
        <w:t xml:space="preserve"> and the number of exemptions granted to children with disabilities under the Compulsory Education Act. </w:t>
      </w:r>
    </w:p>
    <w:p w14:paraId="2D71EE35" w14:textId="77777777" w:rsidR="00616959" w:rsidRPr="00FC61EB" w:rsidRDefault="006811C7" w:rsidP="00616959">
      <w:pPr>
        <w:pStyle w:val="SingleTxtG"/>
        <w:numPr>
          <w:ilvl w:val="0"/>
          <w:numId w:val="6"/>
        </w:numPr>
        <w:tabs>
          <w:tab w:val="clear" w:pos="1701"/>
          <w:tab w:val="clear" w:pos="2268"/>
          <w:tab w:val="clear" w:pos="2835"/>
        </w:tabs>
        <w:ind w:left="1134" w:firstLine="0"/>
      </w:pPr>
      <w:r>
        <w:rPr>
          <w:b/>
        </w:rPr>
        <w:t>The Committee</w:t>
      </w:r>
      <w:r w:rsidR="00616959" w:rsidRPr="00FC61EB">
        <w:rPr>
          <w:b/>
        </w:rPr>
        <w:t xml:space="preserve"> </w:t>
      </w:r>
      <w:r w:rsidR="00616959">
        <w:rPr>
          <w:b/>
        </w:rPr>
        <w:t xml:space="preserve">recommends that </w:t>
      </w:r>
      <w:r w:rsidR="00616959" w:rsidRPr="00FC61EB">
        <w:rPr>
          <w:b/>
        </w:rPr>
        <w:t>the State party:</w:t>
      </w:r>
    </w:p>
    <w:p w14:paraId="06CC2EE4" w14:textId="77777777" w:rsidR="006E3D20" w:rsidRPr="006E3D20" w:rsidRDefault="004E2E54" w:rsidP="00616959">
      <w:pPr>
        <w:pStyle w:val="SingleTxtG"/>
        <w:numPr>
          <w:ilvl w:val="0"/>
          <w:numId w:val="16"/>
        </w:numPr>
        <w:tabs>
          <w:tab w:val="clear" w:pos="1701"/>
          <w:tab w:val="clear" w:pos="2268"/>
          <w:tab w:val="clear" w:pos="2835"/>
        </w:tabs>
        <w:ind w:left="1134" w:firstLine="568"/>
        <w:rPr>
          <w:b/>
          <w:bCs/>
        </w:rPr>
      </w:pPr>
      <w:r w:rsidRPr="00817C43">
        <w:rPr>
          <w:b/>
        </w:rPr>
        <w:t>Ensure that all children with disabilities</w:t>
      </w:r>
      <w:r w:rsidR="003947BC">
        <w:rPr>
          <w:b/>
        </w:rPr>
        <w:t>, including those with intellectual and psychosocial disabilities,</w:t>
      </w:r>
      <w:r w:rsidRPr="00817C43">
        <w:rPr>
          <w:b/>
        </w:rPr>
        <w:t xml:space="preserve"> have access to and </w:t>
      </w:r>
      <w:r w:rsidR="00F105D0" w:rsidRPr="00817C43">
        <w:rPr>
          <w:b/>
        </w:rPr>
        <w:t>benefit from inclusive education</w:t>
      </w:r>
      <w:r w:rsidR="00FA447D">
        <w:rPr>
          <w:b/>
        </w:rPr>
        <w:t xml:space="preserve"> at all levels</w:t>
      </w:r>
      <w:r w:rsidR="000261E1">
        <w:rPr>
          <w:b/>
        </w:rPr>
        <w:t xml:space="preserve">, including in </w:t>
      </w:r>
      <w:r w:rsidR="005050C2">
        <w:rPr>
          <w:b/>
        </w:rPr>
        <w:t xml:space="preserve">Bonaire, </w:t>
      </w:r>
      <w:proofErr w:type="spellStart"/>
      <w:r w:rsidR="005050C2">
        <w:rPr>
          <w:b/>
        </w:rPr>
        <w:t>Saba</w:t>
      </w:r>
      <w:proofErr w:type="spellEnd"/>
      <w:r w:rsidR="005050C2">
        <w:rPr>
          <w:b/>
        </w:rPr>
        <w:t xml:space="preserve"> and </w:t>
      </w:r>
      <w:proofErr w:type="spellStart"/>
      <w:r w:rsidR="005050C2">
        <w:rPr>
          <w:b/>
        </w:rPr>
        <w:t>Sint</w:t>
      </w:r>
      <w:proofErr w:type="spellEnd"/>
      <w:r w:rsidR="005050C2">
        <w:rPr>
          <w:b/>
        </w:rPr>
        <w:t xml:space="preserve"> Eustatius</w:t>
      </w:r>
      <w:r w:rsidR="006E3D20">
        <w:rPr>
          <w:b/>
        </w:rPr>
        <w:t>;</w:t>
      </w:r>
      <w:r w:rsidR="00D96C8C" w:rsidRPr="00817C43">
        <w:rPr>
          <w:b/>
        </w:rPr>
        <w:t xml:space="preserve"> </w:t>
      </w:r>
    </w:p>
    <w:p w14:paraId="622F86D1" w14:textId="77777777" w:rsidR="004E2E54" w:rsidRPr="00817C43" w:rsidRDefault="000B0DF4" w:rsidP="00616959">
      <w:pPr>
        <w:pStyle w:val="SingleTxtG"/>
        <w:numPr>
          <w:ilvl w:val="0"/>
          <w:numId w:val="16"/>
        </w:numPr>
        <w:tabs>
          <w:tab w:val="clear" w:pos="1701"/>
          <w:tab w:val="clear" w:pos="2268"/>
          <w:tab w:val="clear" w:pos="2835"/>
        </w:tabs>
        <w:ind w:left="1134" w:firstLine="568"/>
        <w:rPr>
          <w:b/>
          <w:bCs/>
        </w:rPr>
      </w:pPr>
      <w:r>
        <w:rPr>
          <w:b/>
        </w:rPr>
        <w:t>Strengthen measures for ensuring</w:t>
      </w:r>
      <w:r w:rsidR="00F105D0" w:rsidRPr="00817C43">
        <w:rPr>
          <w:b/>
        </w:rPr>
        <w:t xml:space="preserve"> inclusive education, </w:t>
      </w:r>
      <w:r w:rsidR="00817C43" w:rsidRPr="00817C43">
        <w:rPr>
          <w:b/>
        </w:rPr>
        <w:t>including by</w:t>
      </w:r>
      <w:r w:rsidR="00F105D0" w:rsidRPr="00817C43">
        <w:rPr>
          <w:b/>
        </w:rPr>
        <w:t xml:space="preserve"> </w:t>
      </w:r>
      <w:r w:rsidR="006E3D20">
        <w:rPr>
          <w:b/>
        </w:rPr>
        <w:t xml:space="preserve">adapting curricula and </w:t>
      </w:r>
      <w:r w:rsidR="00F105D0" w:rsidRPr="00817C43">
        <w:rPr>
          <w:b/>
        </w:rPr>
        <w:t>train</w:t>
      </w:r>
      <w:r w:rsidR="00817C43" w:rsidRPr="00817C43">
        <w:rPr>
          <w:b/>
        </w:rPr>
        <w:t>ing</w:t>
      </w:r>
      <w:r w:rsidR="00F105D0" w:rsidRPr="00817C43">
        <w:rPr>
          <w:b/>
        </w:rPr>
        <w:t xml:space="preserve"> and assign</w:t>
      </w:r>
      <w:r w:rsidR="00817C43" w:rsidRPr="00817C43">
        <w:rPr>
          <w:b/>
        </w:rPr>
        <w:t>ing</w:t>
      </w:r>
      <w:r w:rsidR="00F105D0" w:rsidRPr="00817C43">
        <w:rPr>
          <w:b/>
        </w:rPr>
        <w:t xml:space="preserve"> specialized teachers and professionals in integrated classes </w:t>
      </w:r>
      <w:r w:rsidR="00817C43" w:rsidRPr="00817C43">
        <w:rPr>
          <w:b/>
        </w:rPr>
        <w:t xml:space="preserve">so that children with </w:t>
      </w:r>
      <w:r w:rsidR="006E3D20">
        <w:rPr>
          <w:b/>
        </w:rPr>
        <w:t>learning difficulties</w:t>
      </w:r>
      <w:r w:rsidR="00817C43" w:rsidRPr="00817C43">
        <w:rPr>
          <w:b/>
        </w:rPr>
        <w:t xml:space="preserve"> receive</w:t>
      </w:r>
      <w:r w:rsidR="00F105D0" w:rsidRPr="00817C43">
        <w:rPr>
          <w:b/>
        </w:rPr>
        <w:t xml:space="preserve"> individual support and due attention;</w:t>
      </w:r>
    </w:p>
    <w:p w14:paraId="5453DD49" w14:textId="77777777" w:rsidR="00D96C8C" w:rsidRDefault="00523077" w:rsidP="00616959">
      <w:pPr>
        <w:pStyle w:val="SingleTxtG"/>
        <w:numPr>
          <w:ilvl w:val="0"/>
          <w:numId w:val="16"/>
        </w:numPr>
        <w:tabs>
          <w:tab w:val="clear" w:pos="1701"/>
          <w:tab w:val="clear" w:pos="2268"/>
          <w:tab w:val="clear" w:pos="2835"/>
        </w:tabs>
        <w:ind w:left="1134" w:firstLine="568"/>
        <w:rPr>
          <w:b/>
          <w:bCs/>
        </w:rPr>
      </w:pPr>
      <w:r w:rsidRPr="00523077">
        <w:rPr>
          <w:b/>
        </w:rPr>
        <w:t xml:space="preserve">Expeditiously </w:t>
      </w:r>
      <w:r w:rsidR="00A52907">
        <w:rPr>
          <w:b/>
        </w:rPr>
        <w:t>amend</w:t>
      </w:r>
      <w:r w:rsidRPr="00523077">
        <w:rPr>
          <w:b/>
        </w:rPr>
        <w:t xml:space="preserve"> the Compulsory Education Act to limit the grounds for </w:t>
      </w:r>
      <w:r w:rsidR="00317DC9" w:rsidRPr="00523077">
        <w:rPr>
          <w:b/>
        </w:rPr>
        <w:t>exemption of children with disabilities from compulsory education on physical or psychological grounds</w:t>
      </w:r>
      <w:r w:rsidRPr="00523077">
        <w:rPr>
          <w:b/>
          <w:bCs/>
        </w:rPr>
        <w:t>,</w:t>
      </w:r>
      <w:r>
        <w:rPr>
          <w:b/>
          <w:bCs/>
        </w:rPr>
        <w:t xml:space="preserve"> and allocate sufficient human, technical and financial resources for its implementation, with a view to ensuring that exemptions are </w:t>
      </w:r>
      <w:r w:rsidR="00D33B4C">
        <w:rPr>
          <w:b/>
          <w:bCs/>
        </w:rPr>
        <w:t>not</w:t>
      </w:r>
      <w:r w:rsidR="00145272">
        <w:rPr>
          <w:b/>
          <w:bCs/>
        </w:rPr>
        <w:t xml:space="preserve"> used</w:t>
      </w:r>
      <w:r w:rsidR="00D33B4C">
        <w:rPr>
          <w:b/>
          <w:bCs/>
        </w:rPr>
        <w:t xml:space="preserve"> disproportionately</w:t>
      </w:r>
      <w:r w:rsidR="00145272">
        <w:rPr>
          <w:b/>
          <w:bCs/>
        </w:rPr>
        <w:t xml:space="preserve"> to </w:t>
      </w:r>
      <w:r>
        <w:rPr>
          <w:b/>
          <w:bCs/>
        </w:rPr>
        <w:t>deny a child’s right to education;</w:t>
      </w:r>
    </w:p>
    <w:p w14:paraId="305D1FCC" w14:textId="77777777" w:rsidR="00D96C8C" w:rsidRDefault="001E09D0" w:rsidP="00616959">
      <w:pPr>
        <w:pStyle w:val="SingleTxtG"/>
        <w:numPr>
          <w:ilvl w:val="0"/>
          <w:numId w:val="16"/>
        </w:numPr>
        <w:tabs>
          <w:tab w:val="clear" w:pos="1701"/>
          <w:tab w:val="clear" w:pos="2268"/>
          <w:tab w:val="clear" w:pos="2835"/>
        </w:tabs>
        <w:ind w:left="1134" w:firstLine="568"/>
        <w:rPr>
          <w:b/>
          <w:bCs/>
        </w:rPr>
      </w:pPr>
      <w:proofErr w:type="gramStart"/>
      <w:r>
        <w:rPr>
          <w:b/>
          <w:bCs/>
        </w:rPr>
        <w:t>Strengthen support to children with disabilities for their social integration and individual development</w:t>
      </w:r>
      <w:r w:rsidR="001F0909">
        <w:rPr>
          <w:b/>
          <w:bCs/>
        </w:rPr>
        <w:t xml:space="preserve"> and ensure that</w:t>
      </w:r>
      <w:r w:rsidR="00D527CC">
        <w:rPr>
          <w:b/>
          <w:bCs/>
        </w:rPr>
        <w:t xml:space="preserve"> families of such children know </w:t>
      </w:r>
      <w:r w:rsidR="00C90344">
        <w:rPr>
          <w:b/>
          <w:bCs/>
        </w:rPr>
        <w:t>how</w:t>
      </w:r>
      <w:r w:rsidR="00D527CC">
        <w:rPr>
          <w:b/>
          <w:bCs/>
        </w:rPr>
        <w:t xml:space="preserve"> to seek the necessary support, including by ensuring that</w:t>
      </w:r>
      <w:r w:rsidR="00C90344">
        <w:rPr>
          <w:b/>
          <w:bCs/>
        </w:rPr>
        <w:t xml:space="preserve"> personal health budgets are sufficient to cover</w:t>
      </w:r>
      <w:r w:rsidR="00AE6169">
        <w:rPr>
          <w:b/>
          <w:bCs/>
        </w:rPr>
        <w:t xml:space="preserve"> the costs of</w:t>
      </w:r>
      <w:r w:rsidR="00C90344">
        <w:rPr>
          <w:b/>
          <w:bCs/>
        </w:rPr>
        <w:t xml:space="preserve"> quality care and that</w:t>
      </w:r>
      <w:r w:rsidR="00D527CC">
        <w:rPr>
          <w:b/>
          <w:bCs/>
        </w:rPr>
        <w:t xml:space="preserve"> all municipalities implement the comprehensive assessment framework aimed at ensuring that children with </w:t>
      </w:r>
      <w:r w:rsidR="003A4ECB">
        <w:rPr>
          <w:b/>
          <w:bCs/>
        </w:rPr>
        <w:t xml:space="preserve">disabilities receive prompt and early </w:t>
      </w:r>
      <w:r w:rsidR="00725444">
        <w:rPr>
          <w:b/>
          <w:bCs/>
        </w:rPr>
        <w:t>support</w:t>
      </w:r>
      <w:r w:rsidR="00C90344">
        <w:rPr>
          <w:b/>
          <w:bCs/>
        </w:rPr>
        <w:t>.</w:t>
      </w:r>
      <w:proofErr w:type="gramEnd"/>
    </w:p>
    <w:p w14:paraId="7F99AC9F" w14:textId="77777777" w:rsidR="00616959" w:rsidRPr="00FC61EB" w:rsidRDefault="00616959" w:rsidP="00616959">
      <w:pPr>
        <w:pStyle w:val="H1G"/>
      </w:pPr>
      <w:r w:rsidRPr="00FC61EB">
        <w:tab/>
      </w:r>
      <w:r>
        <w:t>G</w:t>
      </w:r>
      <w:r w:rsidRPr="00FC61EB">
        <w:t>.</w:t>
      </w:r>
      <w:r w:rsidRPr="00FC61EB">
        <w:tab/>
        <w:t>Basic health and welfare (arts. 6, 18 (3), 24, 26, 27 (1)</w:t>
      </w:r>
      <w:r w:rsidR="00967390">
        <w:t>–</w:t>
      </w:r>
      <w:r w:rsidRPr="00FC61EB">
        <w:t>(3) and 33)</w:t>
      </w:r>
    </w:p>
    <w:p w14:paraId="458055F5" w14:textId="77777777" w:rsidR="00D96C8C" w:rsidRPr="00FC61EB" w:rsidRDefault="00616959" w:rsidP="00616959">
      <w:pPr>
        <w:pStyle w:val="H23G"/>
        <w:rPr>
          <w:lang w:eastAsia="zh-CN"/>
        </w:rPr>
      </w:pPr>
      <w:r w:rsidRPr="00FC61EB">
        <w:tab/>
      </w:r>
      <w:r w:rsidRPr="00FC61EB">
        <w:tab/>
      </w:r>
      <w:r w:rsidRPr="00FC61EB">
        <w:rPr>
          <w:lang w:eastAsia="zh-CN"/>
        </w:rPr>
        <w:tab/>
      </w:r>
      <w:r w:rsidRPr="00AE269A">
        <w:rPr>
          <w:lang w:eastAsia="zh-CN"/>
        </w:rPr>
        <w:t>Health and health services</w:t>
      </w:r>
    </w:p>
    <w:p w14:paraId="676E7E21" w14:textId="77777777" w:rsidR="00616959" w:rsidRPr="00FC61EB" w:rsidRDefault="007D1943" w:rsidP="00616959">
      <w:pPr>
        <w:pStyle w:val="SingleTxtG"/>
        <w:numPr>
          <w:ilvl w:val="0"/>
          <w:numId w:val="6"/>
        </w:numPr>
        <w:tabs>
          <w:tab w:val="clear" w:pos="1701"/>
          <w:tab w:val="clear" w:pos="2268"/>
          <w:tab w:val="clear" w:pos="2835"/>
        </w:tabs>
        <w:ind w:left="1134" w:firstLine="0"/>
        <w:rPr>
          <w:b/>
        </w:rPr>
      </w:pPr>
      <w:r>
        <w:rPr>
          <w:b/>
        </w:rPr>
        <w:t>T</w:t>
      </w:r>
      <w:r w:rsidR="00616959" w:rsidRPr="00FC61EB">
        <w:rPr>
          <w:b/>
        </w:rPr>
        <w:t>he Committee recommends that the State party:</w:t>
      </w:r>
      <w:r w:rsidR="00616959" w:rsidRPr="00FC61EB">
        <w:t xml:space="preserve"> </w:t>
      </w:r>
    </w:p>
    <w:p w14:paraId="14E9A7EF" w14:textId="77777777" w:rsidR="00616959" w:rsidRPr="007B5099" w:rsidRDefault="007B5099" w:rsidP="00616959">
      <w:pPr>
        <w:pStyle w:val="SingleTxtG"/>
        <w:numPr>
          <w:ilvl w:val="1"/>
          <w:numId w:val="13"/>
        </w:numPr>
        <w:tabs>
          <w:tab w:val="clear" w:pos="1701"/>
          <w:tab w:val="clear" w:pos="2268"/>
          <w:tab w:val="clear" w:pos="2835"/>
        </w:tabs>
        <w:ind w:left="1134" w:firstLine="567"/>
        <w:rPr>
          <w:b/>
        </w:rPr>
      </w:pPr>
      <w:r w:rsidRPr="007B5099">
        <w:rPr>
          <w:b/>
        </w:rPr>
        <w:t>Ensure that measures aimed at p</w:t>
      </w:r>
      <w:r w:rsidR="00317DC9" w:rsidRPr="007B5099">
        <w:rPr>
          <w:b/>
        </w:rPr>
        <w:t>revent</w:t>
      </w:r>
      <w:r w:rsidRPr="007B5099">
        <w:rPr>
          <w:b/>
        </w:rPr>
        <w:t>ing</w:t>
      </w:r>
      <w:r w:rsidR="00317DC9" w:rsidRPr="007B5099">
        <w:rPr>
          <w:b/>
        </w:rPr>
        <w:t xml:space="preserve"> and reduc</w:t>
      </w:r>
      <w:r w:rsidRPr="007B5099">
        <w:rPr>
          <w:b/>
        </w:rPr>
        <w:t>ing</w:t>
      </w:r>
      <w:r w:rsidR="00317DC9" w:rsidRPr="007B5099">
        <w:rPr>
          <w:b/>
        </w:rPr>
        <w:t xml:space="preserve"> infant mortality</w:t>
      </w:r>
      <w:r w:rsidRPr="007B5099">
        <w:rPr>
          <w:b/>
        </w:rPr>
        <w:t xml:space="preserve"> include the provision of </w:t>
      </w:r>
      <w:r w:rsidRPr="007B5099">
        <w:rPr>
          <w:rFonts w:eastAsia="Batang"/>
          <w:b/>
          <w:lang w:eastAsia="ko-KR"/>
        </w:rPr>
        <w:t>quality pre- and postnatal care for pregnant women in vulnerable situations, including in asylum centres, and establish a national mechanism for early identification of at-risk groups of pregnant women;</w:t>
      </w:r>
    </w:p>
    <w:p w14:paraId="62DC3D89" w14:textId="77777777" w:rsidR="00616959" w:rsidRPr="00DC3B29" w:rsidRDefault="00F86F64" w:rsidP="00616959">
      <w:pPr>
        <w:pStyle w:val="SingleTxtG"/>
        <w:numPr>
          <w:ilvl w:val="1"/>
          <w:numId w:val="13"/>
        </w:numPr>
        <w:tabs>
          <w:tab w:val="clear" w:pos="1701"/>
          <w:tab w:val="clear" w:pos="2268"/>
          <w:tab w:val="clear" w:pos="2835"/>
        </w:tabs>
        <w:ind w:left="1134" w:firstLine="567"/>
        <w:rPr>
          <w:b/>
        </w:rPr>
      </w:pPr>
      <w:r w:rsidRPr="004E7CFE">
        <w:rPr>
          <w:rFonts w:eastAsia="Malgun Gothic"/>
          <w:b/>
          <w:lang w:eastAsia="zh-CN"/>
        </w:rPr>
        <w:t>Continue efforts to address overweight and obesity in children and actions to promote a healthy lifestyle</w:t>
      </w:r>
      <w:r w:rsidRPr="008C10F1">
        <w:rPr>
          <w:rFonts w:eastAsia="Malgun Gothic"/>
          <w:b/>
          <w:lang w:eastAsia="zh-CN"/>
        </w:rPr>
        <w:t xml:space="preserve">, including by regulating the marketing of unhealthy foods to children, raising public awareness of nutrition </w:t>
      </w:r>
      <w:r w:rsidRPr="00DA4913">
        <w:rPr>
          <w:rFonts w:eastAsia="Malgun Gothic"/>
          <w:b/>
          <w:lang w:eastAsia="zh-CN"/>
        </w:rPr>
        <w:t xml:space="preserve">issues and </w:t>
      </w:r>
      <w:r w:rsidR="00DA4913" w:rsidRPr="00DA4913">
        <w:rPr>
          <w:rFonts w:eastAsia="Malgun Gothic"/>
          <w:b/>
          <w:lang w:eastAsia="zh-CN"/>
        </w:rPr>
        <w:t>ensuring that overweight and obese children receive the necessary support under the You</w:t>
      </w:r>
      <w:r w:rsidR="00725444">
        <w:rPr>
          <w:rFonts w:eastAsia="Malgun Gothic"/>
          <w:b/>
          <w:lang w:eastAsia="zh-CN"/>
        </w:rPr>
        <w:t>ng</w:t>
      </w:r>
      <w:r w:rsidR="00DA4913" w:rsidRPr="00DA4913">
        <w:rPr>
          <w:rFonts w:eastAsia="Malgun Gothic"/>
          <w:b/>
          <w:lang w:eastAsia="zh-CN"/>
        </w:rPr>
        <w:t xml:space="preserve"> People at a Healthy Weight programme</w:t>
      </w:r>
      <w:r w:rsidR="00616959" w:rsidRPr="00DA4913">
        <w:rPr>
          <w:rFonts w:eastAsia="Malgun Gothic"/>
          <w:b/>
          <w:lang w:eastAsia="zh-CN"/>
        </w:rPr>
        <w:t>;</w:t>
      </w:r>
    </w:p>
    <w:p w14:paraId="36319613" w14:textId="77777777" w:rsidR="00616959" w:rsidRPr="008A2478" w:rsidRDefault="00D403C9" w:rsidP="00616959">
      <w:pPr>
        <w:pStyle w:val="SingleTxtG"/>
        <w:numPr>
          <w:ilvl w:val="1"/>
          <w:numId w:val="13"/>
        </w:numPr>
        <w:tabs>
          <w:tab w:val="clear" w:pos="1701"/>
          <w:tab w:val="clear" w:pos="2268"/>
          <w:tab w:val="clear" w:pos="2835"/>
        </w:tabs>
        <w:ind w:left="1134" w:firstLine="567"/>
        <w:rPr>
          <w:b/>
        </w:rPr>
      </w:pPr>
      <w:r w:rsidRPr="00D403C9">
        <w:rPr>
          <w:rFonts w:eastAsia="Malgun Gothic"/>
          <w:b/>
          <w:lang w:eastAsia="zh-CN"/>
        </w:rPr>
        <w:lastRenderedPageBreak/>
        <w:t>P</w:t>
      </w:r>
      <w:r w:rsidR="00BA07B1" w:rsidRPr="00D403C9">
        <w:rPr>
          <w:rFonts w:eastAsia="Malgun Gothic"/>
          <w:b/>
          <w:lang w:eastAsia="zh-CN"/>
        </w:rPr>
        <w:t>romote breastfeeding and monitor the implementation of the International Code of Marketing of Breast-milk Substitutes and the baby-friendly hospital initiative</w:t>
      </w:r>
      <w:r w:rsidR="00616959">
        <w:rPr>
          <w:rFonts w:eastAsia="Malgun Gothic"/>
          <w:b/>
          <w:lang w:eastAsia="zh-CN"/>
        </w:rPr>
        <w:t>.</w:t>
      </w:r>
      <w:r w:rsidR="00BA07B1">
        <w:rPr>
          <w:rFonts w:eastAsia="Malgun Gothic"/>
          <w:b/>
          <w:lang w:eastAsia="zh-CN"/>
        </w:rPr>
        <w:t xml:space="preserve"> </w:t>
      </w:r>
    </w:p>
    <w:p w14:paraId="2757208F" w14:textId="77777777" w:rsidR="00D96C8C" w:rsidRPr="00BC15CE" w:rsidRDefault="00616959" w:rsidP="00616959">
      <w:pPr>
        <w:pStyle w:val="H23G"/>
      </w:pPr>
      <w:r>
        <w:tab/>
      </w:r>
      <w:r>
        <w:tab/>
      </w:r>
      <w:r w:rsidRPr="007D6D08">
        <w:t>Mental health</w:t>
      </w:r>
    </w:p>
    <w:p w14:paraId="5488D6A1" w14:textId="77777777" w:rsidR="00616959" w:rsidRPr="00BC15CE" w:rsidRDefault="005432CC" w:rsidP="00616959">
      <w:pPr>
        <w:pStyle w:val="SingleTxtG"/>
        <w:numPr>
          <w:ilvl w:val="0"/>
          <w:numId w:val="6"/>
        </w:numPr>
        <w:tabs>
          <w:tab w:val="clear" w:pos="1701"/>
          <w:tab w:val="clear" w:pos="2268"/>
          <w:tab w:val="clear" w:pos="2835"/>
        </w:tabs>
        <w:ind w:left="1134" w:firstLine="0"/>
        <w:rPr>
          <w:b/>
        </w:rPr>
      </w:pPr>
      <w:r>
        <w:rPr>
          <w:rFonts w:eastAsia="Malgun Gothic"/>
          <w:b/>
          <w:lang w:eastAsia="zh-CN"/>
        </w:rPr>
        <w:t>The Committee commends the State party for its efforts to promote awareness on mental health issues and combat related stigma, but is concerned about</w:t>
      </w:r>
      <w:r w:rsidR="00BA1F61">
        <w:rPr>
          <w:rFonts w:eastAsia="Malgun Gothic"/>
          <w:b/>
          <w:lang w:eastAsia="zh-CN"/>
        </w:rPr>
        <w:t xml:space="preserve"> high </w:t>
      </w:r>
      <w:r w:rsidR="008D66F5">
        <w:rPr>
          <w:rFonts w:eastAsia="Malgun Gothic"/>
          <w:b/>
          <w:lang w:eastAsia="zh-CN"/>
        </w:rPr>
        <w:t>rates of depression and self-harm, including attempted and realized suicide</w:t>
      </w:r>
      <w:r w:rsidR="00AC1C83">
        <w:rPr>
          <w:rFonts w:eastAsia="Malgun Gothic"/>
          <w:b/>
          <w:lang w:eastAsia="zh-CN"/>
        </w:rPr>
        <w:t>s</w:t>
      </w:r>
      <w:r w:rsidR="008D66F5">
        <w:rPr>
          <w:rFonts w:eastAsia="Malgun Gothic"/>
          <w:b/>
          <w:lang w:eastAsia="zh-CN"/>
        </w:rPr>
        <w:t>,</w:t>
      </w:r>
      <w:r w:rsidR="00BA1F61">
        <w:rPr>
          <w:rFonts w:eastAsia="Malgun Gothic"/>
          <w:b/>
          <w:lang w:eastAsia="zh-CN"/>
        </w:rPr>
        <w:t xml:space="preserve"> and</w:t>
      </w:r>
      <w:r>
        <w:rPr>
          <w:rFonts w:eastAsia="Malgun Gothic"/>
          <w:b/>
          <w:lang w:eastAsia="zh-CN"/>
        </w:rPr>
        <w:t xml:space="preserve"> long waiting lists for children seeking mental health services. </w:t>
      </w:r>
      <w:r w:rsidR="00616959">
        <w:rPr>
          <w:rFonts w:eastAsia="Malgun Gothic"/>
          <w:b/>
          <w:lang w:eastAsia="zh-CN"/>
        </w:rPr>
        <w:t>Taking note of target 3.4 of the Sustainable Development Goals, the Committee</w:t>
      </w:r>
      <w:r w:rsidR="00616959" w:rsidRPr="00BC15CE">
        <w:rPr>
          <w:b/>
        </w:rPr>
        <w:t xml:space="preserve"> </w:t>
      </w:r>
      <w:r w:rsidR="00616959" w:rsidRPr="00FC61EB">
        <w:rPr>
          <w:b/>
        </w:rPr>
        <w:t>recommends that the State party:</w:t>
      </w:r>
    </w:p>
    <w:p w14:paraId="209EBFAC" w14:textId="77777777" w:rsidR="00616959" w:rsidRPr="0041741F" w:rsidRDefault="0024198E" w:rsidP="009F586A">
      <w:pPr>
        <w:pStyle w:val="SingleTxtG"/>
        <w:numPr>
          <w:ilvl w:val="0"/>
          <w:numId w:val="19"/>
        </w:numPr>
        <w:tabs>
          <w:tab w:val="clear" w:pos="1701"/>
          <w:tab w:val="clear" w:pos="2268"/>
          <w:tab w:val="clear" w:pos="2835"/>
        </w:tabs>
        <w:ind w:left="1134" w:firstLine="567"/>
        <w:rPr>
          <w:b/>
        </w:rPr>
      </w:pPr>
      <w:r>
        <w:rPr>
          <w:rFonts w:eastAsia="Malgun Gothic"/>
          <w:b/>
          <w:lang w:eastAsia="zh-CN"/>
        </w:rPr>
        <w:t>Strengthen mental-health services and programmes for children, including by allocating</w:t>
      </w:r>
      <w:r w:rsidR="0041741F" w:rsidRPr="0041741F">
        <w:rPr>
          <w:rFonts w:eastAsia="Malgun Gothic"/>
          <w:b/>
          <w:lang w:eastAsia="zh-CN"/>
        </w:rPr>
        <w:t xml:space="preserve"> sufficient financial, technical and human resources for </w:t>
      </w:r>
      <w:r>
        <w:rPr>
          <w:rFonts w:eastAsia="Malgun Gothic"/>
          <w:b/>
          <w:lang w:eastAsia="zh-CN"/>
        </w:rPr>
        <w:t>preventive measures</w:t>
      </w:r>
      <w:r w:rsidR="007B63EF">
        <w:rPr>
          <w:rFonts w:eastAsia="Malgun Gothic"/>
          <w:b/>
          <w:lang w:eastAsia="zh-CN"/>
        </w:rPr>
        <w:t xml:space="preserve"> under the youth care programme,</w:t>
      </w:r>
      <w:r>
        <w:rPr>
          <w:rFonts w:eastAsia="Malgun Gothic"/>
          <w:b/>
          <w:lang w:eastAsia="zh-CN"/>
        </w:rPr>
        <w:t xml:space="preserve"> developing therapeutic community-based </w:t>
      </w:r>
      <w:r w:rsidR="0041741F" w:rsidRPr="0041741F">
        <w:rPr>
          <w:rFonts w:eastAsia="Malgun Gothic"/>
          <w:b/>
          <w:lang w:eastAsia="zh-CN"/>
        </w:rPr>
        <w:t>mental-health services</w:t>
      </w:r>
      <w:r w:rsidR="007B63EF">
        <w:rPr>
          <w:rFonts w:eastAsia="Malgun Gothic"/>
          <w:b/>
          <w:lang w:eastAsia="zh-CN"/>
        </w:rPr>
        <w:t>,</w:t>
      </w:r>
      <w:r>
        <w:rPr>
          <w:rFonts w:eastAsia="Malgun Gothic"/>
          <w:b/>
          <w:lang w:eastAsia="zh-CN"/>
        </w:rPr>
        <w:t xml:space="preserve"> and ensuring</w:t>
      </w:r>
      <w:r w:rsidR="0041741F" w:rsidRPr="0041741F">
        <w:rPr>
          <w:rFonts w:eastAsia="Malgun Gothic"/>
          <w:b/>
          <w:lang w:eastAsia="zh-CN"/>
        </w:rPr>
        <w:t xml:space="preserve"> that the number of qualified medical professionals, including child psychologists and psychiatrists, is sufficient to meet children’s mental-health needs in a timely manner; </w:t>
      </w:r>
    </w:p>
    <w:p w14:paraId="052BF384" w14:textId="77777777" w:rsidR="00550C6E" w:rsidRPr="00C60E37" w:rsidRDefault="00550C6E" w:rsidP="00616959">
      <w:pPr>
        <w:pStyle w:val="SingleTxtG"/>
        <w:numPr>
          <w:ilvl w:val="0"/>
          <w:numId w:val="19"/>
        </w:numPr>
        <w:tabs>
          <w:tab w:val="clear" w:pos="1701"/>
          <w:tab w:val="clear" w:pos="2268"/>
          <w:tab w:val="clear" w:pos="2835"/>
        </w:tabs>
        <w:ind w:left="1134" w:firstLine="567"/>
        <w:rPr>
          <w:b/>
        </w:rPr>
      </w:pPr>
      <w:r>
        <w:rPr>
          <w:rFonts w:eastAsia="Malgun Gothic"/>
          <w:b/>
          <w:lang w:eastAsia="zh-CN"/>
        </w:rPr>
        <w:t>Invest in addressing the underlying causes of suicide and poor mental health among children and ensure that children’s perspectives are included in the development of response services available for children</w:t>
      </w:r>
      <w:r w:rsidR="000D36C2">
        <w:rPr>
          <w:rFonts w:eastAsia="Malgun Gothic"/>
          <w:b/>
          <w:lang w:eastAsia="zh-CN"/>
        </w:rPr>
        <w:t>.</w:t>
      </w:r>
    </w:p>
    <w:p w14:paraId="0229D41E" w14:textId="77777777" w:rsidR="00D96C8C" w:rsidRPr="00317DC9" w:rsidRDefault="00317DC9" w:rsidP="00317DC9">
      <w:pPr>
        <w:pStyle w:val="H23G"/>
      </w:pPr>
      <w:r>
        <w:tab/>
      </w:r>
      <w:r>
        <w:tab/>
      </w:r>
      <w:r w:rsidRPr="00317DC9">
        <w:t>Adolescent health</w:t>
      </w:r>
    </w:p>
    <w:p w14:paraId="19BB291D" w14:textId="77777777" w:rsidR="00317DC9" w:rsidRPr="00317DC9" w:rsidRDefault="00407295" w:rsidP="00317DC9">
      <w:pPr>
        <w:pStyle w:val="SingleTxtG"/>
        <w:numPr>
          <w:ilvl w:val="0"/>
          <w:numId w:val="6"/>
        </w:numPr>
        <w:tabs>
          <w:tab w:val="clear" w:pos="1701"/>
          <w:tab w:val="clear" w:pos="2268"/>
          <w:tab w:val="clear" w:pos="2835"/>
        </w:tabs>
        <w:ind w:left="1134" w:firstLine="0"/>
        <w:rPr>
          <w:b/>
        </w:rPr>
      </w:pPr>
      <w:r>
        <w:rPr>
          <w:rFonts w:eastAsia="Malgun Gothic"/>
          <w:b/>
          <w:lang w:eastAsia="zh-CN"/>
        </w:rPr>
        <w:t>Recalling its general comment No. 20 (2016) on the implementation of the rights of the child during adolescence</w:t>
      </w:r>
      <w:r w:rsidR="00DC0018">
        <w:rPr>
          <w:rFonts w:eastAsia="Malgun Gothic"/>
          <w:b/>
          <w:lang w:eastAsia="zh-CN"/>
        </w:rPr>
        <w:t xml:space="preserve"> and </w:t>
      </w:r>
      <w:r w:rsidR="00DC0018">
        <w:rPr>
          <w:b/>
        </w:rPr>
        <w:t>its previous recommendations,</w:t>
      </w:r>
      <w:r w:rsidR="00DC0018">
        <w:rPr>
          <w:rStyle w:val="FootnoteReference"/>
          <w:b/>
        </w:rPr>
        <w:footnoteReference w:id="11"/>
      </w:r>
      <w:r>
        <w:rPr>
          <w:rFonts w:eastAsia="Malgun Gothic"/>
          <w:b/>
          <w:lang w:eastAsia="zh-CN"/>
        </w:rPr>
        <w:t xml:space="preserve"> t</w:t>
      </w:r>
      <w:r w:rsidR="00317DC9">
        <w:rPr>
          <w:rFonts w:eastAsia="Malgun Gothic"/>
          <w:b/>
          <w:lang w:eastAsia="zh-CN"/>
        </w:rPr>
        <w:t>he Committee recommends that the State party:</w:t>
      </w:r>
    </w:p>
    <w:p w14:paraId="3C250971" w14:textId="77777777" w:rsidR="00317DC9" w:rsidRPr="00DA17AE" w:rsidRDefault="00317DC9" w:rsidP="00317DC9">
      <w:pPr>
        <w:pStyle w:val="SingleTxtG"/>
        <w:numPr>
          <w:ilvl w:val="1"/>
          <w:numId w:val="6"/>
        </w:numPr>
        <w:tabs>
          <w:tab w:val="clear" w:pos="1701"/>
          <w:tab w:val="clear" w:pos="2268"/>
          <w:tab w:val="clear" w:pos="2835"/>
        </w:tabs>
        <w:ind w:left="1134" w:firstLine="567"/>
        <w:rPr>
          <w:b/>
        </w:rPr>
      </w:pPr>
      <w:r w:rsidRPr="00DA17AE">
        <w:rPr>
          <w:b/>
        </w:rPr>
        <w:t xml:space="preserve">Adopt a comprehensive </w:t>
      </w:r>
      <w:r w:rsidR="00647425">
        <w:rPr>
          <w:b/>
        </w:rPr>
        <w:t xml:space="preserve">and effective </w:t>
      </w:r>
      <w:r w:rsidR="00DA17AE" w:rsidRPr="00DA17AE">
        <w:rPr>
          <w:b/>
        </w:rPr>
        <w:t xml:space="preserve">gender-sensitive </w:t>
      </w:r>
      <w:r w:rsidRPr="00DA17AE">
        <w:rPr>
          <w:b/>
        </w:rPr>
        <w:t>sexual and reproductive healt</w:t>
      </w:r>
      <w:r w:rsidR="00DA17AE" w:rsidRPr="00DA17AE">
        <w:rPr>
          <w:b/>
        </w:rPr>
        <w:t>h policy for adolescents</w:t>
      </w:r>
      <w:r w:rsidRPr="00DA17AE">
        <w:rPr>
          <w:rFonts w:eastAsia="Malgun Gothic"/>
          <w:b/>
          <w:lang w:eastAsia="zh-CN"/>
        </w:rPr>
        <w:t xml:space="preserve">; </w:t>
      </w:r>
    </w:p>
    <w:p w14:paraId="73E7FE9A" w14:textId="77777777" w:rsidR="00317DC9" w:rsidRDefault="00317DC9" w:rsidP="00317DC9">
      <w:pPr>
        <w:pStyle w:val="SingleTxtG"/>
        <w:numPr>
          <w:ilvl w:val="1"/>
          <w:numId w:val="6"/>
        </w:numPr>
        <w:tabs>
          <w:tab w:val="clear" w:pos="1701"/>
          <w:tab w:val="clear" w:pos="2268"/>
          <w:tab w:val="clear" w:pos="2835"/>
        </w:tabs>
        <w:ind w:left="1134" w:firstLine="567"/>
      </w:pPr>
      <w:r w:rsidRPr="00C51E6E">
        <w:rPr>
          <w:b/>
        </w:rPr>
        <w:t xml:space="preserve">Integrate sexual and reproductive health education </w:t>
      </w:r>
      <w:r w:rsidR="000733F0" w:rsidRPr="00C51E6E">
        <w:rPr>
          <w:b/>
        </w:rPr>
        <w:t>into all levels of education, and ensure that it includes</w:t>
      </w:r>
      <w:r w:rsidR="00600AE9">
        <w:rPr>
          <w:b/>
        </w:rPr>
        <w:t xml:space="preserve"> </w:t>
      </w:r>
      <w:r w:rsidR="00F538DB">
        <w:rPr>
          <w:b/>
        </w:rPr>
        <w:t xml:space="preserve">age-appropriate </w:t>
      </w:r>
      <w:r w:rsidR="00600AE9">
        <w:rPr>
          <w:b/>
        </w:rPr>
        <w:t xml:space="preserve">education on </w:t>
      </w:r>
      <w:r w:rsidR="00F538DB">
        <w:rPr>
          <w:b/>
        </w:rPr>
        <w:t xml:space="preserve">gender equality, </w:t>
      </w:r>
      <w:r w:rsidR="00600AE9">
        <w:rPr>
          <w:b/>
        </w:rPr>
        <w:t>sexual diversity,</w:t>
      </w:r>
      <w:r w:rsidR="00F538DB">
        <w:rPr>
          <w:b/>
        </w:rPr>
        <w:t xml:space="preserve"> sexual and reproductive health rights</w:t>
      </w:r>
      <w:r w:rsidR="000B20CA">
        <w:rPr>
          <w:b/>
        </w:rPr>
        <w:t>, responsible parenthood and sexual behaviour and violence prevention</w:t>
      </w:r>
      <w:r>
        <w:t>;</w:t>
      </w:r>
    </w:p>
    <w:p w14:paraId="261F4FE2" w14:textId="77777777" w:rsidR="00317DC9" w:rsidRDefault="007E3A72" w:rsidP="00317DC9">
      <w:pPr>
        <w:pStyle w:val="SingleTxtG"/>
        <w:numPr>
          <w:ilvl w:val="1"/>
          <w:numId w:val="6"/>
        </w:numPr>
        <w:tabs>
          <w:tab w:val="clear" w:pos="1701"/>
          <w:tab w:val="clear" w:pos="2268"/>
          <w:tab w:val="clear" w:pos="2835"/>
        </w:tabs>
        <w:ind w:left="1134" w:firstLine="567"/>
      </w:pPr>
      <w:r w:rsidRPr="007E3A72">
        <w:rPr>
          <w:b/>
        </w:rPr>
        <w:t>Strengthen efforts to prevent and address</w:t>
      </w:r>
      <w:r w:rsidR="00317DC9" w:rsidRPr="007E3A72">
        <w:rPr>
          <w:b/>
        </w:rPr>
        <w:t xml:space="preserve"> the incidence of drug, alcohol and tobacco use by adolescent</w:t>
      </w:r>
      <w:r w:rsidRPr="007E3A72">
        <w:rPr>
          <w:b/>
        </w:rPr>
        <w:t>s</w:t>
      </w:r>
      <w:r w:rsidR="00C436C8">
        <w:rPr>
          <w:b/>
        </w:rPr>
        <w:t>, and ensure the early identification and adequate referral of adolescents requiring treatment</w:t>
      </w:r>
      <w:r w:rsidR="00317DC9">
        <w:t>;</w:t>
      </w:r>
    </w:p>
    <w:p w14:paraId="1A486759" w14:textId="77777777" w:rsidR="00D96C8C" w:rsidRPr="00317DC9" w:rsidRDefault="003A4E8B" w:rsidP="00317DC9">
      <w:pPr>
        <w:pStyle w:val="SingleTxtG"/>
        <w:numPr>
          <w:ilvl w:val="1"/>
          <w:numId w:val="6"/>
        </w:numPr>
        <w:tabs>
          <w:tab w:val="clear" w:pos="1701"/>
          <w:tab w:val="clear" w:pos="2268"/>
          <w:tab w:val="clear" w:pos="2835"/>
        </w:tabs>
        <w:ind w:left="1134" w:firstLine="567"/>
      </w:pPr>
      <w:r>
        <w:rPr>
          <w:rFonts w:eastAsia="Malgun Gothic"/>
          <w:b/>
          <w:lang w:eastAsia="zh-CN"/>
        </w:rPr>
        <w:t>Develop a national strategy for preventing and addressing gaming disorders</w:t>
      </w:r>
      <w:r w:rsidR="00AB4D09">
        <w:rPr>
          <w:rFonts w:eastAsia="Malgun Gothic"/>
          <w:b/>
          <w:lang w:eastAsia="zh-CN"/>
        </w:rPr>
        <w:t>,</w:t>
      </w:r>
      <w:r w:rsidR="00C86A6D">
        <w:rPr>
          <w:rFonts w:eastAsia="Malgun Gothic"/>
          <w:b/>
          <w:lang w:eastAsia="zh-CN"/>
        </w:rPr>
        <w:t xml:space="preserve"> </w:t>
      </w:r>
      <w:r>
        <w:rPr>
          <w:rFonts w:eastAsia="Malgun Gothic"/>
          <w:b/>
          <w:lang w:eastAsia="zh-CN"/>
        </w:rPr>
        <w:t>and ensure</w:t>
      </w:r>
      <w:r w:rsidR="00153417" w:rsidRPr="004E119B">
        <w:rPr>
          <w:rFonts w:eastAsia="Malgun Gothic"/>
          <w:b/>
          <w:lang w:eastAsia="zh-CN"/>
        </w:rPr>
        <w:t xml:space="preserve"> that adolescents with gaming disorders or other forms of online addiction receive the necessary help and support</w:t>
      </w:r>
      <w:r w:rsidR="00317DC9">
        <w:t>.</w:t>
      </w:r>
    </w:p>
    <w:p w14:paraId="66B1776E" w14:textId="77777777" w:rsidR="00616959" w:rsidRPr="00FC61EB" w:rsidRDefault="00616959" w:rsidP="00616959">
      <w:pPr>
        <w:pStyle w:val="H23G"/>
      </w:pPr>
      <w:r>
        <w:tab/>
      </w:r>
      <w:r>
        <w:tab/>
      </w:r>
      <w:r w:rsidRPr="00415FFD">
        <w:t>Impact of climate change on the rights of the child</w:t>
      </w:r>
      <w:r w:rsidR="00D96C8C" w:rsidRPr="000F045E">
        <w:t xml:space="preserve"> </w:t>
      </w:r>
    </w:p>
    <w:p w14:paraId="413F9658" w14:textId="77777777" w:rsidR="007267A9" w:rsidRPr="00467289" w:rsidRDefault="006F03C8" w:rsidP="00616959">
      <w:pPr>
        <w:pStyle w:val="SingleTxtG"/>
        <w:numPr>
          <w:ilvl w:val="0"/>
          <w:numId w:val="6"/>
        </w:numPr>
        <w:tabs>
          <w:tab w:val="clear" w:pos="1701"/>
          <w:tab w:val="clear" w:pos="2268"/>
          <w:tab w:val="clear" w:pos="2835"/>
        </w:tabs>
        <w:ind w:left="1134" w:firstLine="0"/>
      </w:pPr>
      <w:r w:rsidRPr="00467289">
        <w:t xml:space="preserve">The Committee welcomes the National Clean Air Agreement in 2020 but is </w:t>
      </w:r>
      <w:r w:rsidR="00C714CD">
        <w:t xml:space="preserve">nonetheless </w:t>
      </w:r>
      <w:r w:rsidRPr="00467289">
        <w:t xml:space="preserve">concerned </w:t>
      </w:r>
      <w:r w:rsidR="00732F90" w:rsidRPr="00467289">
        <w:t>about</w:t>
      </w:r>
      <w:r w:rsidRPr="00467289">
        <w:t xml:space="preserve"> the</w:t>
      </w:r>
      <w:r w:rsidR="00C714CD">
        <w:t xml:space="preserve"> negative impact of climate change on the rights of the child and the</w:t>
      </w:r>
      <w:r w:rsidRPr="00467289">
        <w:t xml:space="preserve"> high prevalence of pollution-induced asthma. </w:t>
      </w:r>
    </w:p>
    <w:p w14:paraId="3F779093" w14:textId="77777777" w:rsidR="00616959" w:rsidRPr="00FC61EB" w:rsidRDefault="00616959" w:rsidP="00616959">
      <w:pPr>
        <w:pStyle w:val="SingleTxtG"/>
        <w:numPr>
          <w:ilvl w:val="0"/>
          <w:numId w:val="6"/>
        </w:numPr>
        <w:tabs>
          <w:tab w:val="clear" w:pos="1701"/>
          <w:tab w:val="clear" w:pos="2268"/>
          <w:tab w:val="clear" w:pos="2835"/>
        </w:tabs>
        <w:ind w:left="1134" w:firstLine="0"/>
      </w:pPr>
      <w:r>
        <w:rPr>
          <w:b/>
        </w:rPr>
        <w:t>Drawing attention to</w:t>
      </w:r>
      <w:r w:rsidRPr="00282EF9">
        <w:rPr>
          <w:b/>
        </w:rPr>
        <w:t xml:space="preserve"> targets </w:t>
      </w:r>
      <w:r w:rsidR="00662146" w:rsidRPr="00C6645E">
        <w:rPr>
          <w:b/>
        </w:rPr>
        <w:t xml:space="preserve">13.2 </w:t>
      </w:r>
      <w:r w:rsidRPr="00282EF9">
        <w:rPr>
          <w:b/>
        </w:rPr>
        <w:t xml:space="preserve">and </w:t>
      </w:r>
      <w:r w:rsidRPr="00C6645E">
        <w:rPr>
          <w:b/>
        </w:rPr>
        <w:t>13.</w:t>
      </w:r>
      <w:r w:rsidR="00824F37" w:rsidRPr="00C6645E">
        <w:rPr>
          <w:b/>
        </w:rPr>
        <w:t>3</w:t>
      </w:r>
      <w:r w:rsidRPr="00C6645E">
        <w:rPr>
          <w:b/>
        </w:rPr>
        <w:t xml:space="preserve"> </w:t>
      </w:r>
      <w:r w:rsidRPr="00282EF9">
        <w:rPr>
          <w:b/>
        </w:rPr>
        <w:t>of the Sustainable Development Goals, the Committee recommends that the State party:</w:t>
      </w:r>
    </w:p>
    <w:p w14:paraId="68F232BD" w14:textId="77777777" w:rsidR="00962C44" w:rsidRPr="00962C44" w:rsidRDefault="00962C44" w:rsidP="00BD6CF7">
      <w:pPr>
        <w:pStyle w:val="SingleTxtG"/>
        <w:numPr>
          <w:ilvl w:val="1"/>
          <w:numId w:val="6"/>
        </w:numPr>
        <w:tabs>
          <w:tab w:val="clear" w:pos="1701"/>
          <w:tab w:val="clear" w:pos="2268"/>
          <w:tab w:val="clear" w:pos="2835"/>
        </w:tabs>
        <w:ind w:left="1134" w:firstLine="567"/>
        <w:rPr>
          <w:b/>
        </w:rPr>
      </w:pPr>
      <w:r>
        <w:rPr>
          <w:rFonts w:eastAsia="Malgun Gothic"/>
          <w:b/>
          <w:lang w:eastAsia="zh-CN"/>
        </w:rPr>
        <w:t>Reduce greenhouse gas emissions in line with the State party’s international commitments</w:t>
      </w:r>
      <w:r w:rsidR="001B7DC9">
        <w:rPr>
          <w:rFonts w:eastAsia="Malgun Gothic"/>
          <w:b/>
          <w:lang w:eastAsia="zh-CN"/>
        </w:rPr>
        <w:t>,</w:t>
      </w:r>
      <w:r w:rsidR="00B33F15">
        <w:rPr>
          <w:rFonts w:eastAsia="Malgun Gothic"/>
          <w:b/>
          <w:lang w:eastAsia="zh-CN"/>
        </w:rPr>
        <w:t xml:space="preserve"> and ensure that </w:t>
      </w:r>
      <w:r w:rsidR="0059153A">
        <w:rPr>
          <w:rFonts w:eastAsia="Malgun Gothic"/>
          <w:b/>
          <w:lang w:eastAsia="zh-CN"/>
        </w:rPr>
        <w:t>national policies and programmes on environmental protection and climate change a</w:t>
      </w:r>
      <w:r w:rsidR="00B33F15">
        <w:rPr>
          <w:rFonts w:eastAsia="Malgun Gothic"/>
          <w:b/>
          <w:lang w:eastAsia="zh-CN"/>
        </w:rPr>
        <w:t>re implemented in accordance with the principles of the Convention</w:t>
      </w:r>
      <w:r w:rsidR="0059153A">
        <w:rPr>
          <w:rFonts w:eastAsia="Malgun Gothic"/>
          <w:b/>
          <w:lang w:eastAsia="zh-CN"/>
        </w:rPr>
        <w:t xml:space="preserve"> and taking into account children’s needs and views</w:t>
      </w:r>
      <w:r>
        <w:rPr>
          <w:rFonts w:eastAsia="Malgun Gothic"/>
          <w:b/>
          <w:lang w:eastAsia="zh-CN"/>
        </w:rPr>
        <w:t>;</w:t>
      </w:r>
    </w:p>
    <w:p w14:paraId="2E91669C" w14:textId="77777777" w:rsidR="00C714CD" w:rsidRDefault="00C714CD" w:rsidP="00BD6CF7">
      <w:pPr>
        <w:pStyle w:val="SingleTxtG"/>
        <w:numPr>
          <w:ilvl w:val="1"/>
          <w:numId w:val="6"/>
        </w:numPr>
        <w:tabs>
          <w:tab w:val="clear" w:pos="1701"/>
          <w:tab w:val="clear" w:pos="2268"/>
          <w:tab w:val="clear" w:pos="2835"/>
        </w:tabs>
        <w:ind w:left="1134" w:firstLine="567"/>
        <w:rPr>
          <w:b/>
        </w:rPr>
      </w:pPr>
      <w:r>
        <w:rPr>
          <w:b/>
        </w:rPr>
        <w:t xml:space="preserve">Take </w:t>
      </w:r>
      <w:r w:rsidR="006F596D">
        <w:rPr>
          <w:b/>
        </w:rPr>
        <w:t xml:space="preserve">effective </w:t>
      </w:r>
      <w:r>
        <w:rPr>
          <w:b/>
        </w:rPr>
        <w:t xml:space="preserve">measures </w:t>
      </w:r>
      <w:r w:rsidR="006F596D">
        <w:rPr>
          <w:b/>
        </w:rPr>
        <w:t xml:space="preserve">for the </w:t>
      </w:r>
      <w:r w:rsidR="00C21B1C">
        <w:rPr>
          <w:b/>
        </w:rPr>
        <w:t>mitigat</w:t>
      </w:r>
      <w:r w:rsidR="006F596D">
        <w:rPr>
          <w:b/>
        </w:rPr>
        <w:t xml:space="preserve">ion and adaptation to </w:t>
      </w:r>
      <w:r>
        <w:rPr>
          <w:b/>
        </w:rPr>
        <w:t xml:space="preserve">the harmful effects of climate change, including the </w:t>
      </w:r>
      <w:r w:rsidR="00FB63EB">
        <w:rPr>
          <w:b/>
        </w:rPr>
        <w:t>heightened</w:t>
      </w:r>
      <w:r>
        <w:rPr>
          <w:b/>
        </w:rPr>
        <w:t xml:space="preserve"> risks of </w:t>
      </w:r>
      <w:r w:rsidR="00C21B1C">
        <w:rPr>
          <w:b/>
        </w:rPr>
        <w:t xml:space="preserve">the </w:t>
      </w:r>
      <w:r>
        <w:rPr>
          <w:b/>
        </w:rPr>
        <w:t>rise in sea level</w:t>
      </w:r>
      <w:r w:rsidR="00F07745">
        <w:rPr>
          <w:b/>
        </w:rPr>
        <w:t>s</w:t>
      </w:r>
      <w:r>
        <w:rPr>
          <w:b/>
        </w:rPr>
        <w:t xml:space="preserve"> and stronger hurricanes</w:t>
      </w:r>
      <w:r w:rsidR="00C21B1C" w:rsidRPr="00C21B1C">
        <w:rPr>
          <w:b/>
        </w:rPr>
        <w:t xml:space="preserve"> </w:t>
      </w:r>
      <w:r w:rsidR="00C21B1C">
        <w:rPr>
          <w:b/>
        </w:rPr>
        <w:t>to the islands in the Caribbean</w:t>
      </w:r>
      <w:r>
        <w:rPr>
          <w:b/>
        </w:rPr>
        <w:t>;</w:t>
      </w:r>
    </w:p>
    <w:p w14:paraId="1B1A425F" w14:textId="77777777" w:rsidR="00BD6CF7" w:rsidRPr="00BA07B1" w:rsidRDefault="00251B20" w:rsidP="00BD6CF7">
      <w:pPr>
        <w:pStyle w:val="SingleTxtG"/>
        <w:numPr>
          <w:ilvl w:val="1"/>
          <w:numId w:val="6"/>
        </w:numPr>
        <w:tabs>
          <w:tab w:val="clear" w:pos="1701"/>
          <w:tab w:val="clear" w:pos="2268"/>
          <w:tab w:val="clear" w:pos="2835"/>
        </w:tabs>
        <w:ind w:left="1134" w:firstLine="567"/>
        <w:rPr>
          <w:b/>
        </w:rPr>
      </w:pPr>
      <w:r w:rsidRPr="00251B20">
        <w:rPr>
          <w:b/>
        </w:rPr>
        <w:lastRenderedPageBreak/>
        <w:t>Conduct an assessment of policies and practices related to the aviation, transport and other relevant sectors and the impacts of the resulting atmosphere pollution and greenhouse gas emissions on children’s rights as a basis for designing a well-resourced strategy to remedy the situation;</w:t>
      </w:r>
      <w:r>
        <w:t xml:space="preserve"> </w:t>
      </w:r>
    </w:p>
    <w:p w14:paraId="5970E5DD" w14:textId="77777777" w:rsidR="00616959" w:rsidRPr="00FA610F" w:rsidRDefault="00B33F15" w:rsidP="00616959">
      <w:pPr>
        <w:pStyle w:val="SingleTxtG"/>
        <w:numPr>
          <w:ilvl w:val="1"/>
          <w:numId w:val="6"/>
        </w:numPr>
        <w:tabs>
          <w:tab w:val="clear" w:pos="1701"/>
          <w:tab w:val="clear" w:pos="2268"/>
          <w:tab w:val="clear" w:pos="2835"/>
        </w:tabs>
        <w:ind w:left="1134" w:firstLine="567"/>
      </w:pPr>
      <w:r>
        <w:rPr>
          <w:rFonts w:eastAsia="Malgun Gothic"/>
          <w:b/>
          <w:lang w:eastAsia="zh-CN"/>
        </w:rPr>
        <w:t>Promote children’s</w:t>
      </w:r>
      <w:r w:rsidR="00FA610F">
        <w:rPr>
          <w:rFonts w:eastAsia="Malgun Gothic"/>
          <w:b/>
          <w:lang w:eastAsia="zh-CN"/>
        </w:rPr>
        <w:t xml:space="preserve"> awareness, with the active participation of schools, on climate change and environmental health, including on relevant air quality and climate legislation and the</w:t>
      </w:r>
      <w:r w:rsidR="00A365FE">
        <w:rPr>
          <w:rFonts w:eastAsia="Malgun Gothic"/>
          <w:b/>
          <w:lang w:eastAsia="zh-CN"/>
        </w:rPr>
        <w:t>ir</w:t>
      </w:r>
      <w:r w:rsidR="00FA610F">
        <w:rPr>
          <w:rFonts w:eastAsia="Malgun Gothic"/>
          <w:b/>
          <w:lang w:eastAsia="zh-CN"/>
        </w:rPr>
        <w:t xml:space="preserve"> right</w:t>
      </w:r>
      <w:r w:rsidR="00FA610F" w:rsidRPr="00AC6E52">
        <w:rPr>
          <w:rFonts w:eastAsia="Malgun Gothic"/>
          <w:b/>
          <w:lang w:eastAsia="zh-CN"/>
        </w:rPr>
        <w:t xml:space="preserve"> </w:t>
      </w:r>
      <w:r w:rsidR="00FA610F">
        <w:rPr>
          <w:rFonts w:eastAsia="Malgun Gothic"/>
          <w:b/>
          <w:lang w:eastAsia="zh-CN"/>
        </w:rPr>
        <w:t>to the enjoyment of the highest attainable standard of health</w:t>
      </w:r>
      <w:r w:rsidR="00F34AC8">
        <w:rPr>
          <w:rFonts w:eastAsia="Malgun Gothic"/>
          <w:b/>
          <w:lang w:eastAsia="zh-CN"/>
        </w:rPr>
        <w:t>.</w:t>
      </w:r>
    </w:p>
    <w:p w14:paraId="5B2F47B2" w14:textId="77777777" w:rsidR="00D96C8C" w:rsidRPr="00FC61EB" w:rsidRDefault="00616959" w:rsidP="00616959">
      <w:pPr>
        <w:pStyle w:val="H23G"/>
      </w:pPr>
      <w:r w:rsidRPr="00FC61EB">
        <w:tab/>
      </w:r>
      <w:r w:rsidRPr="00FC61EB">
        <w:tab/>
      </w:r>
      <w:r w:rsidRPr="000269C5">
        <w:t>Standard of living</w:t>
      </w:r>
    </w:p>
    <w:p w14:paraId="3FDE4D88" w14:textId="0C163EA3" w:rsidR="00616959" w:rsidRPr="00244FB5" w:rsidRDefault="00416657" w:rsidP="00D53EF9">
      <w:pPr>
        <w:pStyle w:val="SingleTxtG"/>
        <w:numPr>
          <w:ilvl w:val="0"/>
          <w:numId w:val="6"/>
        </w:numPr>
        <w:tabs>
          <w:tab w:val="clear" w:pos="1701"/>
          <w:tab w:val="clear" w:pos="2268"/>
          <w:tab w:val="clear" w:pos="2835"/>
        </w:tabs>
        <w:ind w:left="1134" w:firstLine="0"/>
      </w:pPr>
      <w:r w:rsidRPr="00DD108C">
        <w:rPr>
          <w:b/>
          <w:bCs/>
        </w:rPr>
        <w:t xml:space="preserve">The Committee </w:t>
      </w:r>
      <w:r w:rsidR="00065365" w:rsidRPr="00DD108C">
        <w:rPr>
          <w:b/>
          <w:bCs/>
        </w:rPr>
        <w:t>welcomes the</w:t>
      </w:r>
      <w:r w:rsidR="00CA607B" w:rsidRPr="00DD108C">
        <w:rPr>
          <w:b/>
          <w:bCs/>
        </w:rPr>
        <w:t xml:space="preserve"> </w:t>
      </w:r>
      <w:r w:rsidR="001270FD" w:rsidRPr="00DD108C">
        <w:rPr>
          <w:b/>
          <w:bCs/>
        </w:rPr>
        <w:t xml:space="preserve">measures taken to combat </w:t>
      </w:r>
      <w:r w:rsidR="00121330" w:rsidRPr="00DD108C">
        <w:rPr>
          <w:b/>
          <w:bCs/>
        </w:rPr>
        <w:t xml:space="preserve">child </w:t>
      </w:r>
      <w:r w:rsidR="001270FD" w:rsidRPr="00DD108C">
        <w:rPr>
          <w:b/>
          <w:bCs/>
        </w:rPr>
        <w:t>poverty</w:t>
      </w:r>
      <w:r w:rsidR="00A54EE9" w:rsidRPr="00DD108C">
        <w:rPr>
          <w:b/>
          <w:bCs/>
        </w:rPr>
        <w:t xml:space="preserve"> </w:t>
      </w:r>
      <w:r w:rsidR="00DD108C">
        <w:rPr>
          <w:b/>
          <w:bCs/>
        </w:rPr>
        <w:t xml:space="preserve">but </w:t>
      </w:r>
      <w:r w:rsidRPr="00DD108C">
        <w:rPr>
          <w:b/>
          <w:bCs/>
        </w:rPr>
        <w:t xml:space="preserve">is concerned </w:t>
      </w:r>
      <w:r w:rsidR="00441A13" w:rsidRPr="00DD108C">
        <w:rPr>
          <w:b/>
          <w:bCs/>
        </w:rPr>
        <w:t xml:space="preserve">that the overall number of </w:t>
      </w:r>
      <w:r w:rsidR="007B23DE" w:rsidRPr="00DD108C">
        <w:rPr>
          <w:b/>
          <w:bCs/>
        </w:rPr>
        <w:t xml:space="preserve">children living in poverty </w:t>
      </w:r>
      <w:r w:rsidR="00441A13" w:rsidRPr="00DD108C">
        <w:rPr>
          <w:b/>
          <w:bCs/>
        </w:rPr>
        <w:t>remains high</w:t>
      </w:r>
      <w:r w:rsidR="00DD108C" w:rsidRPr="00DD108C">
        <w:rPr>
          <w:b/>
          <w:bCs/>
        </w:rPr>
        <w:t>.</w:t>
      </w:r>
      <w:r w:rsidR="00DD108C" w:rsidRPr="00DD108C">
        <w:rPr>
          <w:bCs/>
        </w:rPr>
        <w:t xml:space="preserve"> </w:t>
      </w:r>
      <w:r w:rsidR="00616959" w:rsidRPr="00DD108C">
        <w:rPr>
          <w:b/>
          <w:bCs/>
        </w:rPr>
        <w:t>Taking note of target 1.2 of the Sustainable Development Goals, the Committee recommends that the State party:</w:t>
      </w:r>
    </w:p>
    <w:p w14:paraId="4E513A64" w14:textId="77777777" w:rsidR="00D8062B" w:rsidRDefault="00D8062B" w:rsidP="00D8062B">
      <w:pPr>
        <w:pStyle w:val="SingleTxtG"/>
        <w:numPr>
          <w:ilvl w:val="0"/>
          <w:numId w:val="23"/>
        </w:numPr>
        <w:ind w:left="1134" w:firstLine="567"/>
        <w:rPr>
          <w:b/>
        </w:rPr>
      </w:pPr>
      <w:r w:rsidRPr="0073166D">
        <w:rPr>
          <w:b/>
        </w:rPr>
        <w:t>Further strengthen its policies to ensure that all children</w:t>
      </w:r>
      <w:r w:rsidR="000C03CE">
        <w:rPr>
          <w:b/>
        </w:rPr>
        <w:t xml:space="preserve"> in all constituent countries</w:t>
      </w:r>
      <w:r w:rsidRPr="0073166D">
        <w:rPr>
          <w:b/>
        </w:rPr>
        <w:t xml:space="preserve"> have an adequate st</w:t>
      </w:r>
      <w:r>
        <w:rPr>
          <w:b/>
        </w:rPr>
        <w:t>andard of living</w:t>
      </w:r>
      <w:r w:rsidR="005B38D4">
        <w:rPr>
          <w:b/>
        </w:rPr>
        <w:t>, including by</w:t>
      </w:r>
      <w:r w:rsidR="00A72735">
        <w:rPr>
          <w:b/>
        </w:rPr>
        <w:t xml:space="preserve"> increasing social benefits to low-income families with children,</w:t>
      </w:r>
      <w:r w:rsidR="00C66E6D">
        <w:rPr>
          <w:b/>
        </w:rPr>
        <w:t xml:space="preserve"> simplifying </w:t>
      </w:r>
      <w:r w:rsidR="00277AD3">
        <w:rPr>
          <w:b/>
        </w:rPr>
        <w:t xml:space="preserve">application </w:t>
      </w:r>
      <w:r w:rsidR="00C66E6D">
        <w:rPr>
          <w:b/>
        </w:rPr>
        <w:t xml:space="preserve">procedures for </w:t>
      </w:r>
      <w:r w:rsidR="00277AD3">
        <w:rPr>
          <w:b/>
        </w:rPr>
        <w:t>financial</w:t>
      </w:r>
      <w:r w:rsidR="00C66E6D">
        <w:rPr>
          <w:b/>
        </w:rPr>
        <w:t xml:space="preserve"> support,</w:t>
      </w:r>
      <w:r w:rsidR="005B38D4">
        <w:rPr>
          <w:b/>
        </w:rPr>
        <w:t xml:space="preserve"> strengthening the system of family benefits across all departments</w:t>
      </w:r>
      <w:r w:rsidR="00465AC3">
        <w:rPr>
          <w:b/>
        </w:rPr>
        <w:t>, developing measures to prevent homelessness</w:t>
      </w:r>
      <w:r w:rsidR="00805491">
        <w:rPr>
          <w:b/>
        </w:rPr>
        <w:t xml:space="preserve"> and</w:t>
      </w:r>
      <w:r w:rsidR="005B38D4">
        <w:rPr>
          <w:b/>
        </w:rPr>
        <w:t xml:space="preserve"> increasing budget allocations </w:t>
      </w:r>
      <w:r w:rsidR="009C66F4">
        <w:rPr>
          <w:b/>
        </w:rPr>
        <w:t xml:space="preserve">for the benefits system </w:t>
      </w:r>
      <w:r w:rsidR="005B38D4">
        <w:rPr>
          <w:b/>
        </w:rPr>
        <w:t xml:space="preserve">in </w:t>
      </w:r>
      <w:r w:rsidR="00A8318D" w:rsidRPr="00A8318D">
        <w:rPr>
          <w:b/>
        </w:rPr>
        <w:t xml:space="preserve">Aruba, </w:t>
      </w:r>
      <w:proofErr w:type="spellStart"/>
      <w:r w:rsidR="00A8318D" w:rsidRPr="00A8318D">
        <w:rPr>
          <w:b/>
        </w:rPr>
        <w:t>Curaçao</w:t>
      </w:r>
      <w:proofErr w:type="spellEnd"/>
      <w:r w:rsidR="00A8318D" w:rsidRPr="00A8318D">
        <w:rPr>
          <w:b/>
        </w:rPr>
        <w:t xml:space="preserve"> and </w:t>
      </w:r>
      <w:proofErr w:type="spellStart"/>
      <w:r w:rsidR="00A8318D" w:rsidRPr="00A8318D">
        <w:rPr>
          <w:b/>
        </w:rPr>
        <w:t>Sint</w:t>
      </w:r>
      <w:proofErr w:type="spellEnd"/>
      <w:r w:rsidR="00A8318D">
        <w:rPr>
          <w:b/>
        </w:rPr>
        <w:t xml:space="preserve"> Maarten</w:t>
      </w:r>
      <w:r>
        <w:rPr>
          <w:b/>
        </w:rPr>
        <w:t>;</w:t>
      </w:r>
    </w:p>
    <w:p w14:paraId="1D39DBF5" w14:textId="77777777" w:rsidR="009C1C5A" w:rsidRPr="009C1C5A" w:rsidRDefault="009C1C5A" w:rsidP="00616959">
      <w:pPr>
        <w:pStyle w:val="SingleTxtG"/>
        <w:numPr>
          <w:ilvl w:val="0"/>
          <w:numId w:val="23"/>
        </w:numPr>
        <w:ind w:left="1134" w:firstLine="567"/>
        <w:rPr>
          <w:b/>
        </w:rPr>
      </w:pPr>
      <w:r>
        <w:rPr>
          <w:b/>
        </w:rPr>
        <w:t>Strengthen measures to provide families in need with adequate and long-term social housing and other support measures, with a view to reducing homelessness and guaranteeing children’s access to adequate housing;</w:t>
      </w:r>
    </w:p>
    <w:p w14:paraId="4FB8005F" w14:textId="77777777" w:rsidR="00616959" w:rsidRPr="00CA607B" w:rsidRDefault="00CA607B" w:rsidP="00616959">
      <w:pPr>
        <w:pStyle w:val="SingleTxtG"/>
        <w:numPr>
          <w:ilvl w:val="0"/>
          <w:numId w:val="23"/>
        </w:numPr>
        <w:ind w:left="1134" w:firstLine="567"/>
        <w:rPr>
          <w:b/>
        </w:rPr>
      </w:pPr>
      <w:r w:rsidRPr="00CA607B">
        <w:rPr>
          <w:b/>
        </w:rPr>
        <w:t>E</w:t>
      </w:r>
      <w:r w:rsidR="00317DC9" w:rsidRPr="00CA607B">
        <w:rPr>
          <w:b/>
        </w:rPr>
        <w:t xml:space="preserve">nsure </w:t>
      </w:r>
      <w:r w:rsidR="00E178A9" w:rsidRPr="00DE49B0">
        <w:rPr>
          <w:b/>
        </w:rPr>
        <w:t>an integrated and development-oriented approach to child poverty</w:t>
      </w:r>
      <w:r w:rsidR="000F3C5A" w:rsidRPr="00DE49B0">
        <w:rPr>
          <w:b/>
        </w:rPr>
        <w:t xml:space="preserve"> </w:t>
      </w:r>
      <w:r w:rsidR="00E178A9">
        <w:rPr>
          <w:b/>
        </w:rPr>
        <w:t xml:space="preserve">with </w:t>
      </w:r>
      <w:r w:rsidR="000F3C5A">
        <w:rPr>
          <w:b/>
        </w:rPr>
        <w:t xml:space="preserve"> a particular focus on children from disadvantaged families, including children in single-parent households, children in welfare-dependent families, migrant children, children without a regular residence status and children living in shelters</w:t>
      </w:r>
      <w:r w:rsidR="00616959" w:rsidRPr="00CA607B">
        <w:rPr>
          <w:b/>
        </w:rPr>
        <w:t>;</w:t>
      </w:r>
    </w:p>
    <w:p w14:paraId="60F32975" w14:textId="77777777" w:rsidR="00616959" w:rsidRDefault="005B38D4" w:rsidP="00616959">
      <w:pPr>
        <w:pStyle w:val="SingleTxtG"/>
        <w:numPr>
          <w:ilvl w:val="0"/>
          <w:numId w:val="23"/>
        </w:numPr>
        <w:ind w:left="1134" w:firstLine="567"/>
        <w:rPr>
          <w:b/>
        </w:rPr>
      </w:pPr>
      <w:r w:rsidRPr="001C7C6E">
        <w:rPr>
          <w:b/>
        </w:rPr>
        <w:t>Assess</w:t>
      </w:r>
      <w:r w:rsidR="00317DC9" w:rsidRPr="001C7C6E">
        <w:rPr>
          <w:b/>
        </w:rPr>
        <w:t xml:space="preserve"> the impac</w:t>
      </w:r>
      <w:r w:rsidRPr="001C7C6E">
        <w:rPr>
          <w:b/>
        </w:rPr>
        <w:t>t of measures to combat poverty</w:t>
      </w:r>
      <w:r w:rsidR="001C7C6E" w:rsidRPr="001C7C6E">
        <w:rPr>
          <w:b/>
        </w:rPr>
        <w:t>, including any negative effects on the enjoyment of other rights</w:t>
      </w:r>
      <w:r w:rsidR="003858C7">
        <w:rPr>
          <w:b/>
        </w:rPr>
        <w:t xml:space="preserve">, with a view to ensuring that such measures </w:t>
      </w:r>
      <w:r w:rsidR="00F009EE">
        <w:rPr>
          <w:b/>
        </w:rPr>
        <w:t xml:space="preserve">are comprehensive and </w:t>
      </w:r>
      <w:r w:rsidR="003858C7">
        <w:rPr>
          <w:b/>
        </w:rPr>
        <w:t>take a child rights-based approach.</w:t>
      </w:r>
    </w:p>
    <w:p w14:paraId="6B8A4B63" w14:textId="77777777" w:rsidR="00616959" w:rsidRPr="00FC61EB" w:rsidRDefault="00616959" w:rsidP="00616959">
      <w:pPr>
        <w:pStyle w:val="H1G"/>
        <w:rPr>
          <w:lang w:eastAsia="zh-CN"/>
        </w:rPr>
      </w:pPr>
      <w:r w:rsidRPr="00FC61EB">
        <w:rPr>
          <w:lang w:eastAsia="zh-CN"/>
        </w:rPr>
        <w:tab/>
      </w:r>
      <w:r>
        <w:rPr>
          <w:lang w:eastAsia="zh-CN"/>
        </w:rPr>
        <w:t>H</w:t>
      </w:r>
      <w:r w:rsidRPr="00FC61EB">
        <w:rPr>
          <w:lang w:eastAsia="zh-CN"/>
        </w:rPr>
        <w:t>.</w:t>
      </w:r>
      <w:r w:rsidRPr="00FC61EB">
        <w:rPr>
          <w:lang w:eastAsia="zh-CN"/>
        </w:rPr>
        <w:tab/>
        <w:t>Education, leisure and cultural activities (arts. 28</w:t>
      </w:r>
      <w:r w:rsidR="00967390">
        <w:rPr>
          <w:lang w:eastAsia="zh-CN"/>
        </w:rPr>
        <w:t>–</w:t>
      </w:r>
      <w:r w:rsidRPr="00FC61EB">
        <w:rPr>
          <w:lang w:eastAsia="zh-CN"/>
        </w:rPr>
        <w:t>31)</w:t>
      </w:r>
    </w:p>
    <w:p w14:paraId="337B05A8" w14:textId="77777777" w:rsidR="00D96C8C" w:rsidRPr="00EE0A72" w:rsidRDefault="00616959" w:rsidP="00616959">
      <w:pPr>
        <w:pStyle w:val="H23G"/>
        <w:rPr>
          <w:lang w:val="en-US"/>
        </w:rPr>
      </w:pPr>
      <w:r w:rsidRPr="00FC61EB">
        <w:tab/>
      </w:r>
      <w:r w:rsidRPr="00FC61EB">
        <w:tab/>
      </w:r>
      <w:r w:rsidR="00103EF2">
        <w:t>E</w:t>
      </w:r>
      <w:r w:rsidRPr="00262026">
        <w:t>ducation</w:t>
      </w:r>
      <w:r>
        <w:t>, including vocational training</w:t>
      </w:r>
      <w:r w:rsidR="00103EF2">
        <w:t xml:space="preserve"> and guidance</w:t>
      </w:r>
    </w:p>
    <w:p w14:paraId="1194DF11" w14:textId="77777777" w:rsidR="00616959" w:rsidRPr="00FC61EB" w:rsidRDefault="00DC0018" w:rsidP="00616959">
      <w:pPr>
        <w:pStyle w:val="SingleTxtG"/>
        <w:numPr>
          <w:ilvl w:val="0"/>
          <w:numId w:val="6"/>
        </w:numPr>
        <w:tabs>
          <w:tab w:val="clear" w:pos="1701"/>
          <w:tab w:val="clear" w:pos="2268"/>
          <w:tab w:val="clear" w:pos="2835"/>
        </w:tabs>
        <w:ind w:left="1134" w:firstLine="0"/>
        <w:rPr>
          <w:b/>
        </w:rPr>
      </w:pPr>
      <w:r>
        <w:rPr>
          <w:b/>
        </w:rPr>
        <w:t>Recalling its previous recommendations,</w:t>
      </w:r>
      <w:r>
        <w:rPr>
          <w:rStyle w:val="FootnoteReference"/>
          <w:b/>
        </w:rPr>
        <w:footnoteReference w:id="12"/>
      </w:r>
      <w:r>
        <w:rPr>
          <w:b/>
        </w:rPr>
        <w:t xml:space="preserve"> </w:t>
      </w:r>
      <w:r w:rsidRPr="00FC61EB">
        <w:rPr>
          <w:b/>
        </w:rPr>
        <w:t>the Committee</w:t>
      </w:r>
      <w:r>
        <w:rPr>
          <w:b/>
        </w:rPr>
        <w:t xml:space="preserve"> d</w:t>
      </w:r>
      <w:r w:rsidR="00616959">
        <w:rPr>
          <w:b/>
          <w:bCs/>
        </w:rPr>
        <w:t>raw</w:t>
      </w:r>
      <w:r>
        <w:rPr>
          <w:b/>
          <w:bCs/>
        </w:rPr>
        <w:t>s</w:t>
      </w:r>
      <w:r w:rsidR="00616959">
        <w:rPr>
          <w:b/>
          <w:bCs/>
        </w:rPr>
        <w:t xml:space="preserve"> attention to</w:t>
      </w:r>
      <w:r w:rsidR="00616959" w:rsidRPr="00FC61EB">
        <w:rPr>
          <w:b/>
          <w:bCs/>
        </w:rPr>
        <w:t xml:space="preserve"> targets </w:t>
      </w:r>
      <w:r w:rsidR="00616959" w:rsidRPr="008F50C9">
        <w:rPr>
          <w:b/>
          <w:bCs/>
        </w:rPr>
        <w:t>4.2, 4.5 and 4.</w:t>
      </w:r>
      <w:proofErr w:type="spellStart"/>
      <w:r w:rsidR="00D441C7" w:rsidRPr="008F50C9">
        <w:rPr>
          <w:b/>
          <w:bCs/>
        </w:rPr>
        <w:t>a</w:t>
      </w:r>
      <w:proofErr w:type="spellEnd"/>
      <w:r w:rsidR="00616959" w:rsidRPr="008F50C9">
        <w:rPr>
          <w:b/>
          <w:bCs/>
        </w:rPr>
        <w:t xml:space="preserve"> </w:t>
      </w:r>
      <w:r w:rsidR="00616959" w:rsidRPr="00FC61EB">
        <w:rPr>
          <w:b/>
          <w:bCs/>
        </w:rPr>
        <w:t>of the Sustainable Development Goals</w:t>
      </w:r>
      <w:r w:rsidR="00616959" w:rsidRPr="00FC61EB">
        <w:rPr>
          <w:b/>
        </w:rPr>
        <w:t xml:space="preserve"> </w:t>
      </w:r>
      <w:r w:rsidR="006C17F6">
        <w:rPr>
          <w:b/>
        </w:rPr>
        <w:t>and</w:t>
      </w:r>
      <w:r w:rsidR="00616959" w:rsidRPr="00FC61EB">
        <w:rPr>
          <w:b/>
        </w:rPr>
        <w:t xml:space="preserve"> recommends that the State party:</w:t>
      </w:r>
    </w:p>
    <w:p w14:paraId="173E4B45" w14:textId="77777777" w:rsidR="00D96C8C" w:rsidRDefault="005D0F89" w:rsidP="00616959">
      <w:pPr>
        <w:pStyle w:val="SingleTxtG"/>
        <w:numPr>
          <w:ilvl w:val="0"/>
          <w:numId w:val="18"/>
        </w:numPr>
        <w:tabs>
          <w:tab w:val="clear" w:pos="1701"/>
          <w:tab w:val="clear" w:pos="2268"/>
          <w:tab w:val="clear" w:pos="2835"/>
        </w:tabs>
        <w:ind w:left="1134" w:firstLine="567"/>
        <w:rPr>
          <w:b/>
        </w:rPr>
      </w:pPr>
      <w:r>
        <w:rPr>
          <w:b/>
        </w:rPr>
        <w:t>Continue its efforts to reduce</w:t>
      </w:r>
      <w:r w:rsidR="007028A0">
        <w:rPr>
          <w:b/>
        </w:rPr>
        <w:t xml:space="preserve"> and prevent</w:t>
      </w:r>
      <w:r>
        <w:rPr>
          <w:b/>
        </w:rPr>
        <w:t xml:space="preserve"> school dropout and exclusions from school, based on an analysis of t</w:t>
      </w:r>
      <w:r w:rsidR="008F3F60" w:rsidRPr="008F3F60">
        <w:rPr>
          <w:b/>
        </w:rPr>
        <w:t>he root causes</w:t>
      </w:r>
      <w:r w:rsidR="00616959" w:rsidRPr="008F3F60">
        <w:rPr>
          <w:b/>
        </w:rPr>
        <w:t>;</w:t>
      </w:r>
    </w:p>
    <w:p w14:paraId="4BDA6378" w14:textId="77777777" w:rsidR="00D96C8C" w:rsidRPr="00987CCF" w:rsidRDefault="003A0FD8" w:rsidP="00616959">
      <w:pPr>
        <w:pStyle w:val="SingleTxtG"/>
        <w:numPr>
          <w:ilvl w:val="0"/>
          <w:numId w:val="18"/>
        </w:numPr>
        <w:tabs>
          <w:tab w:val="clear" w:pos="1701"/>
          <w:tab w:val="clear" w:pos="2268"/>
          <w:tab w:val="clear" w:pos="2835"/>
        </w:tabs>
        <w:ind w:left="1134" w:firstLine="567"/>
        <w:rPr>
          <w:b/>
        </w:rPr>
      </w:pPr>
      <w:r>
        <w:rPr>
          <w:b/>
        </w:rPr>
        <w:t>Finalize and a</w:t>
      </w:r>
      <w:r w:rsidR="00737702">
        <w:rPr>
          <w:b/>
        </w:rPr>
        <w:t>dopt</w:t>
      </w:r>
      <w:r w:rsidR="004A2457" w:rsidRPr="00987CCF">
        <w:rPr>
          <w:b/>
        </w:rPr>
        <w:t xml:space="preserve"> the draft bill </w:t>
      </w:r>
      <w:r w:rsidR="006026DE">
        <w:rPr>
          <w:b/>
        </w:rPr>
        <w:t>on</w:t>
      </w:r>
      <w:r w:rsidR="00317DC9" w:rsidRPr="00987CCF">
        <w:rPr>
          <w:b/>
        </w:rPr>
        <w:t xml:space="preserve"> </w:t>
      </w:r>
      <w:proofErr w:type="spellStart"/>
      <w:r w:rsidR="00317DC9" w:rsidRPr="00987CCF">
        <w:rPr>
          <w:b/>
        </w:rPr>
        <w:t>homeschooling</w:t>
      </w:r>
      <w:proofErr w:type="spellEnd"/>
      <w:r w:rsidR="006026DE">
        <w:rPr>
          <w:b/>
        </w:rPr>
        <w:t xml:space="preserve"> and establish a monitoring mechanism aimed at ensuring minimum quality standards for </w:t>
      </w:r>
      <w:proofErr w:type="spellStart"/>
      <w:r w:rsidR="006026DE">
        <w:rPr>
          <w:b/>
        </w:rPr>
        <w:t>homeschooling</w:t>
      </w:r>
      <w:proofErr w:type="spellEnd"/>
      <w:r w:rsidR="004A2457" w:rsidRPr="00987CCF">
        <w:rPr>
          <w:b/>
        </w:rPr>
        <w:t>;</w:t>
      </w:r>
    </w:p>
    <w:p w14:paraId="1426BE6D" w14:textId="77777777" w:rsidR="00D96C8C" w:rsidRDefault="0015257F" w:rsidP="00616959">
      <w:pPr>
        <w:pStyle w:val="SingleTxtG"/>
        <w:numPr>
          <w:ilvl w:val="0"/>
          <w:numId w:val="18"/>
        </w:numPr>
        <w:tabs>
          <w:tab w:val="clear" w:pos="1701"/>
          <w:tab w:val="clear" w:pos="2268"/>
          <w:tab w:val="clear" w:pos="2835"/>
        </w:tabs>
        <w:ind w:left="1134" w:firstLine="567"/>
        <w:rPr>
          <w:b/>
        </w:rPr>
      </w:pPr>
      <w:r>
        <w:rPr>
          <w:b/>
        </w:rPr>
        <w:t xml:space="preserve">Allocate sufficient human, technical and financial resources for the </w:t>
      </w:r>
      <w:r w:rsidR="00421921" w:rsidRPr="00421921">
        <w:rPr>
          <w:b/>
        </w:rPr>
        <w:t>implementation of the Safety at School Act</w:t>
      </w:r>
      <w:r w:rsidR="00421921">
        <w:rPr>
          <w:b/>
        </w:rPr>
        <w:t xml:space="preserve"> and </w:t>
      </w:r>
      <w:r>
        <w:rPr>
          <w:b/>
        </w:rPr>
        <w:t>ensure that measures aimed at combating</w:t>
      </w:r>
      <w:r w:rsidR="00421921">
        <w:rPr>
          <w:b/>
        </w:rPr>
        <w:t xml:space="preserve"> bullying in schools, including online bullying, </w:t>
      </w:r>
      <w:r>
        <w:rPr>
          <w:b/>
        </w:rPr>
        <w:t xml:space="preserve">encompass prevention, early detection mechanisms, the empowerment of children and professionals, intervention protocols, </w:t>
      </w:r>
      <w:proofErr w:type="gramStart"/>
      <w:r>
        <w:rPr>
          <w:b/>
        </w:rPr>
        <w:t>awareness-raising</w:t>
      </w:r>
      <w:proofErr w:type="gramEnd"/>
      <w:r>
        <w:rPr>
          <w:b/>
        </w:rPr>
        <w:t xml:space="preserve"> on its harmful effects, and harmonized guidelines for the collection of case-related data</w:t>
      </w:r>
      <w:r w:rsidR="00725444">
        <w:rPr>
          <w:b/>
        </w:rPr>
        <w:t>.</w:t>
      </w:r>
    </w:p>
    <w:p w14:paraId="2D64082E" w14:textId="77777777" w:rsidR="00D96C8C" w:rsidRPr="00FC61EB" w:rsidRDefault="00616959" w:rsidP="00616959">
      <w:pPr>
        <w:pStyle w:val="H23G"/>
      </w:pPr>
      <w:r w:rsidRPr="00FC61EB">
        <w:tab/>
      </w:r>
      <w:r w:rsidRPr="00FC61EB">
        <w:tab/>
      </w:r>
      <w:r w:rsidRPr="00DB7822">
        <w:t>Human rights education</w:t>
      </w:r>
    </w:p>
    <w:p w14:paraId="719AA978" w14:textId="4C6D99A7" w:rsidR="00616959" w:rsidRPr="00925F1A" w:rsidRDefault="00244EDE" w:rsidP="00616959">
      <w:pPr>
        <w:pStyle w:val="SingleTxtG"/>
        <w:numPr>
          <w:ilvl w:val="0"/>
          <w:numId w:val="6"/>
        </w:numPr>
        <w:tabs>
          <w:tab w:val="clear" w:pos="1701"/>
          <w:tab w:val="clear" w:pos="2268"/>
          <w:tab w:val="clear" w:pos="2835"/>
        </w:tabs>
        <w:ind w:left="1134" w:firstLine="0"/>
        <w:rPr>
          <w:b/>
          <w:bCs/>
        </w:rPr>
      </w:pPr>
      <w:r>
        <w:rPr>
          <w:b/>
        </w:rPr>
        <w:t xml:space="preserve">The Committee regrets </w:t>
      </w:r>
      <w:r w:rsidR="00E1590C">
        <w:rPr>
          <w:b/>
        </w:rPr>
        <w:t xml:space="preserve">the omission of an explicit reference </w:t>
      </w:r>
      <w:proofErr w:type="gramStart"/>
      <w:r w:rsidR="00E1590C">
        <w:rPr>
          <w:b/>
        </w:rPr>
        <w:t>to children’s rights in</w:t>
      </w:r>
      <w:r>
        <w:rPr>
          <w:b/>
        </w:rPr>
        <w:t xml:space="preserve"> the legislation on citizenship education in primary and secondary education </w:t>
      </w:r>
      <w:r>
        <w:rPr>
          <w:b/>
        </w:rPr>
        <w:lastRenderedPageBreak/>
        <w:t>curricula</w:t>
      </w:r>
      <w:proofErr w:type="gramEnd"/>
      <w:r>
        <w:rPr>
          <w:b/>
        </w:rPr>
        <w:t xml:space="preserve">. </w:t>
      </w:r>
      <w:r w:rsidR="00616959">
        <w:rPr>
          <w:b/>
        </w:rPr>
        <w:t>Drawing attention to</w:t>
      </w:r>
      <w:r w:rsidR="00616959" w:rsidRPr="00FC61EB">
        <w:rPr>
          <w:b/>
        </w:rPr>
        <w:t xml:space="preserve"> target 4.7 of the Sustainable Development Goals, the Committee</w:t>
      </w:r>
      <w:r w:rsidR="00616959">
        <w:rPr>
          <w:b/>
        </w:rPr>
        <w:t xml:space="preserve"> </w:t>
      </w:r>
      <w:r w:rsidR="00616959" w:rsidRPr="00FC61EB">
        <w:rPr>
          <w:b/>
        </w:rPr>
        <w:t>recommends that the State party</w:t>
      </w:r>
      <w:r w:rsidR="00616959">
        <w:rPr>
          <w:b/>
        </w:rPr>
        <w:t xml:space="preserve"> strengthen efforts to promote the development of a culture of human rights in the education system and:</w:t>
      </w:r>
    </w:p>
    <w:p w14:paraId="55645BDA" w14:textId="77777777" w:rsidR="0008242B" w:rsidRDefault="0008242B" w:rsidP="00616959">
      <w:pPr>
        <w:pStyle w:val="SingleTxtG"/>
        <w:numPr>
          <w:ilvl w:val="1"/>
          <w:numId w:val="6"/>
        </w:numPr>
        <w:tabs>
          <w:tab w:val="clear" w:pos="1701"/>
          <w:tab w:val="clear" w:pos="2268"/>
          <w:tab w:val="clear" w:pos="2835"/>
        </w:tabs>
        <w:ind w:left="1134" w:firstLine="567"/>
        <w:rPr>
          <w:b/>
        </w:rPr>
      </w:pPr>
      <w:r>
        <w:rPr>
          <w:b/>
        </w:rPr>
        <w:t xml:space="preserve">Strengthen the teaching of </w:t>
      </w:r>
      <w:r w:rsidR="00B419FC">
        <w:rPr>
          <w:b/>
        </w:rPr>
        <w:t>children’s rights and</w:t>
      </w:r>
      <w:r>
        <w:rPr>
          <w:b/>
        </w:rPr>
        <w:t xml:space="preserve"> the Convention within </w:t>
      </w:r>
      <w:r w:rsidR="00D37344">
        <w:rPr>
          <w:b/>
        </w:rPr>
        <w:t xml:space="preserve">the </w:t>
      </w:r>
      <w:r w:rsidR="00DD7D0E">
        <w:rPr>
          <w:b/>
        </w:rPr>
        <w:t>mandatory</w:t>
      </w:r>
      <w:r>
        <w:rPr>
          <w:b/>
        </w:rPr>
        <w:t xml:space="preserve"> school curricula in all educational settings, including in residential institutions, and in the training of teachers and education professionals, taking into account the framework of the World Programme for Human Rights Education;</w:t>
      </w:r>
    </w:p>
    <w:p w14:paraId="06248C65" w14:textId="77777777" w:rsidR="0008242B" w:rsidRDefault="00891DC3" w:rsidP="00616959">
      <w:pPr>
        <w:pStyle w:val="SingleTxtG"/>
        <w:numPr>
          <w:ilvl w:val="1"/>
          <w:numId w:val="6"/>
        </w:numPr>
        <w:tabs>
          <w:tab w:val="clear" w:pos="1701"/>
          <w:tab w:val="clear" w:pos="2268"/>
          <w:tab w:val="clear" w:pos="2835"/>
        </w:tabs>
        <w:ind w:left="1134" w:firstLine="567"/>
        <w:rPr>
          <w:b/>
        </w:rPr>
      </w:pPr>
      <w:r w:rsidRPr="00197C95">
        <w:rPr>
          <w:b/>
        </w:rPr>
        <w:t xml:space="preserve">Develop human rights education materials that foster respect for and appreciation of diversity, </w:t>
      </w:r>
      <w:r>
        <w:rPr>
          <w:b/>
        </w:rPr>
        <w:t>and e</w:t>
      </w:r>
      <w:r w:rsidR="0008242B">
        <w:rPr>
          <w:b/>
        </w:rPr>
        <w:t>nsure that teachers receive the necessary support to teach children’s rights in schools.</w:t>
      </w:r>
    </w:p>
    <w:p w14:paraId="432ABC22" w14:textId="77777777" w:rsidR="00616959" w:rsidRPr="00FC61EB" w:rsidRDefault="00616959" w:rsidP="00616959">
      <w:pPr>
        <w:pStyle w:val="H1G"/>
      </w:pPr>
      <w:r w:rsidRPr="00FC61EB">
        <w:tab/>
      </w:r>
      <w:r>
        <w:t>I</w:t>
      </w:r>
      <w:r w:rsidRPr="00FC61EB">
        <w:t>.</w:t>
      </w:r>
      <w:r w:rsidRPr="00FC61EB">
        <w:tab/>
        <w:t>Special protection measures (arts. 22, 30, 32</w:t>
      </w:r>
      <w:r>
        <w:t>–</w:t>
      </w:r>
      <w:r w:rsidRPr="00FC61EB">
        <w:t>33, 35</w:t>
      </w:r>
      <w:r>
        <w:t>–</w:t>
      </w:r>
      <w:r w:rsidRPr="00FC61EB">
        <w:t>36, 37 (b)</w:t>
      </w:r>
      <w:r>
        <w:t>–</w:t>
      </w:r>
      <w:r w:rsidRPr="00FC61EB">
        <w:t xml:space="preserve">(d) </w:t>
      </w:r>
      <w:r>
        <w:t xml:space="preserve">and </w:t>
      </w:r>
      <w:r w:rsidRPr="00FC61EB">
        <w:t>38</w:t>
      </w:r>
      <w:r>
        <w:t>–</w:t>
      </w:r>
      <w:r w:rsidRPr="00FC61EB">
        <w:t>40)</w:t>
      </w:r>
    </w:p>
    <w:p w14:paraId="59803C17" w14:textId="77777777" w:rsidR="00D96C8C" w:rsidRPr="00FC61EB" w:rsidRDefault="00616959" w:rsidP="00616959">
      <w:pPr>
        <w:pStyle w:val="H23G"/>
      </w:pPr>
      <w:r w:rsidRPr="00FC61EB">
        <w:tab/>
      </w:r>
      <w:r w:rsidRPr="00FC61EB">
        <w:tab/>
      </w:r>
      <w:proofErr w:type="gramStart"/>
      <w:r w:rsidRPr="00CD7FFE">
        <w:t>Asylum-seeking</w:t>
      </w:r>
      <w:proofErr w:type="gramEnd"/>
      <w:r w:rsidRPr="00CD7FFE">
        <w:t>, refugee and migrant children</w:t>
      </w:r>
    </w:p>
    <w:p w14:paraId="278E3318" w14:textId="77777777" w:rsidR="00CB7990" w:rsidRDefault="00CB39F0" w:rsidP="00616959">
      <w:pPr>
        <w:pStyle w:val="SingleTxtG"/>
        <w:numPr>
          <w:ilvl w:val="0"/>
          <w:numId w:val="6"/>
        </w:numPr>
        <w:tabs>
          <w:tab w:val="clear" w:pos="1701"/>
          <w:tab w:val="clear" w:pos="2268"/>
          <w:tab w:val="clear" w:pos="2835"/>
        </w:tabs>
        <w:ind w:left="1134" w:firstLine="0"/>
      </w:pPr>
      <w:r>
        <w:t>The Committee is concerned</w:t>
      </w:r>
      <w:r w:rsidR="008C2152">
        <w:t xml:space="preserve"> </w:t>
      </w:r>
      <w:r w:rsidR="00AE5BF1">
        <w:t>about</w:t>
      </w:r>
      <w:r w:rsidR="00CB7990">
        <w:t>:</w:t>
      </w:r>
    </w:p>
    <w:p w14:paraId="154AF969" w14:textId="2D15C939" w:rsidR="008C2152" w:rsidRDefault="00307CAD" w:rsidP="00CB7990">
      <w:pPr>
        <w:pStyle w:val="SingleTxtG"/>
        <w:numPr>
          <w:ilvl w:val="1"/>
          <w:numId w:val="6"/>
        </w:numPr>
        <w:tabs>
          <w:tab w:val="clear" w:pos="1701"/>
          <w:tab w:val="clear" w:pos="2268"/>
          <w:tab w:val="clear" w:pos="2835"/>
        </w:tabs>
        <w:ind w:left="1134" w:firstLine="567"/>
      </w:pPr>
      <w:r>
        <w:t>T</w:t>
      </w:r>
      <w:r w:rsidR="00C7444B">
        <w:t>he impact of</w:t>
      </w:r>
      <w:r w:rsidR="008C2152">
        <w:t xml:space="preserve"> recent amendments to the Dutch Aliens Decree</w:t>
      </w:r>
      <w:r>
        <w:t xml:space="preserve"> on asylum-seeking and refugee children</w:t>
      </w:r>
      <w:r w:rsidR="00C7444B">
        <w:t xml:space="preserve">, including </w:t>
      </w:r>
      <w:r w:rsidR="009209D9">
        <w:t>the</w:t>
      </w:r>
      <w:r w:rsidR="00C22671">
        <w:t xml:space="preserve"> merger of the registration interview and the first interview</w:t>
      </w:r>
      <w:r>
        <w:t>;</w:t>
      </w:r>
    </w:p>
    <w:p w14:paraId="784EF4E0" w14:textId="5A57111F" w:rsidR="00CB7990" w:rsidRDefault="00764C9E" w:rsidP="00CB7990">
      <w:pPr>
        <w:pStyle w:val="SingleTxtG"/>
        <w:numPr>
          <w:ilvl w:val="1"/>
          <w:numId w:val="6"/>
        </w:numPr>
        <w:tabs>
          <w:tab w:val="clear" w:pos="1701"/>
          <w:tab w:val="clear" w:pos="2268"/>
          <w:tab w:val="clear" w:pos="2835"/>
        </w:tabs>
        <w:ind w:left="1134" w:firstLine="567"/>
      </w:pPr>
      <w:r>
        <w:t xml:space="preserve">Reports that </w:t>
      </w:r>
      <w:r w:rsidR="00CB7990" w:rsidRPr="006305B1">
        <w:t xml:space="preserve">cases of </w:t>
      </w:r>
      <w:r>
        <w:t xml:space="preserve">asylum-seeking </w:t>
      </w:r>
      <w:r w:rsidR="00CB7990" w:rsidRPr="006305B1">
        <w:t xml:space="preserve">children </w:t>
      </w:r>
      <w:r w:rsidR="00725444">
        <w:t>over 15 years of age</w:t>
      </w:r>
      <w:r>
        <w:t xml:space="preserve"> are sometimes assessed</w:t>
      </w:r>
      <w:r w:rsidR="00CB7990" w:rsidRPr="006305B1">
        <w:t xml:space="preserve"> </w:t>
      </w:r>
      <w:r w:rsidR="00C22671">
        <w:t>by employing the same criteria used for</w:t>
      </w:r>
      <w:r w:rsidR="00CB7990" w:rsidRPr="006305B1">
        <w:t xml:space="preserve"> adults</w:t>
      </w:r>
      <w:r w:rsidR="00CB7990">
        <w:t>;</w:t>
      </w:r>
    </w:p>
    <w:p w14:paraId="08153D60" w14:textId="77777777" w:rsidR="00BB709F" w:rsidRDefault="00AE5BF1" w:rsidP="00CB7990">
      <w:pPr>
        <w:pStyle w:val="SingleTxtG"/>
        <w:numPr>
          <w:ilvl w:val="1"/>
          <w:numId w:val="6"/>
        </w:numPr>
        <w:tabs>
          <w:tab w:val="clear" w:pos="1701"/>
          <w:tab w:val="clear" w:pos="2268"/>
          <w:tab w:val="clear" w:pos="2835"/>
        </w:tabs>
        <w:ind w:left="1134" w:firstLine="567"/>
      </w:pPr>
      <w:r>
        <w:t xml:space="preserve">The lack of </w:t>
      </w:r>
      <w:r w:rsidR="00307CAD">
        <w:t>legislation protecting the rights of asylum-seeking children</w:t>
      </w:r>
      <w:r w:rsidR="00BB709F">
        <w:t>, the lack of publicly available i</w:t>
      </w:r>
      <w:r w:rsidR="00BB709F" w:rsidRPr="00C41A92">
        <w:t>nformation on asylum-seeking procedures</w:t>
      </w:r>
      <w:r w:rsidR="00E80DB3" w:rsidRPr="00E80DB3">
        <w:t xml:space="preserve"> </w:t>
      </w:r>
      <w:r w:rsidR="00E80DB3">
        <w:t>and the b</w:t>
      </w:r>
      <w:r w:rsidR="00E80DB3" w:rsidRPr="00931E03">
        <w:t xml:space="preserve">arriers faced by </w:t>
      </w:r>
      <w:r w:rsidR="00E80DB3">
        <w:t xml:space="preserve">such </w:t>
      </w:r>
      <w:r w:rsidR="00E80DB3" w:rsidRPr="00931E03">
        <w:t>children in accessing</w:t>
      </w:r>
      <w:r w:rsidR="00E80DB3">
        <w:t xml:space="preserve"> identification papers and</w:t>
      </w:r>
      <w:r w:rsidR="00E80DB3" w:rsidRPr="00931E03">
        <w:t xml:space="preserve"> essential services</w:t>
      </w:r>
      <w:r w:rsidR="00E80DB3">
        <w:t>,</w:t>
      </w:r>
      <w:r w:rsidR="00E80DB3" w:rsidRPr="00931E03">
        <w:t xml:space="preserve"> including education</w:t>
      </w:r>
      <w:r w:rsidR="00BB709F">
        <w:t xml:space="preserve">, in </w:t>
      </w:r>
      <w:r w:rsidR="00A8318D" w:rsidRPr="00C41A92">
        <w:t>Aruba</w:t>
      </w:r>
      <w:r w:rsidR="00A8318D">
        <w:t>,</w:t>
      </w:r>
      <w:r w:rsidR="00A8318D" w:rsidRPr="00C41A92">
        <w:t xml:space="preserve"> </w:t>
      </w:r>
      <w:proofErr w:type="spellStart"/>
      <w:r w:rsidR="00A8318D">
        <w:t>Curaçao</w:t>
      </w:r>
      <w:proofErr w:type="spellEnd"/>
      <w:r w:rsidR="00A8318D">
        <w:t xml:space="preserve"> and </w:t>
      </w:r>
      <w:proofErr w:type="spellStart"/>
      <w:r w:rsidR="00A8318D">
        <w:t>Sint</w:t>
      </w:r>
      <w:proofErr w:type="spellEnd"/>
      <w:r w:rsidR="00A8318D">
        <w:t xml:space="preserve"> Maarten</w:t>
      </w:r>
      <w:r w:rsidR="00BB709F">
        <w:t xml:space="preserve">; </w:t>
      </w:r>
    </w:p>
    <w:p w14:paraId="31E03310" w14:textId="77777777" w:rsidR="001B0571" w:rsidRDefault="00E23BF0" w:rsidP="00CB7990">
      <w:pPr>
        <w:pStyle w:val="SingleTxtG"/>
        <w:numPr>
          <w:ilvl w:val="1"/>
          <w:numId w:val="6"/>
        </w:numPr>
        <w:tabs>
          <w:tab w:val="clear" w:pos="1701"/>
          <w:tab w:val="clear" w:pos="2268"/>
          <w:tab w:val="clear" w:pos="2835"/>
        </w:tabs>
        <w:ind w:left="1134" w:firstLine="567"/>
      </w:pPr>
      <w:r>
        <w:t>R</w:t>
      </w:r>
      <w:r w:rsidR="00BB709F">
        <w:t xml:space="preserve">eports of the deportation of asylum-seeking </w:t>
      </w:r>
      <w:r>
        <w:t xml:space="preserve">children </w:t>
      </w:r>
      <w:r w:rsidR="00BB709F">
        <w:t>without review of their cases</w:t>
      </w:r>
      <w:r>
        <w:t xml:space="preserve"> and</w:t>
      </w:r>
      <w:r w:rsidR="00BB709F">
        <w:t xml:space="preserve"> the detention of </w:t>
      </w:r>
      <w:r>
        <w:t>such children</w:t>
      </w:r>
      <w:r w:rsidR="00BB709F">
        <w:t xml:space="preserve"> or the separation of children from parents who </w:t>
      </w:r>
      <w:proofErr w:type="gramStart"/>
      <w:r w:rsidR="00BB709F">
        <w:t>are detained</w:t>
      </w:r>
      <w:proofErr w:type="gramEnd"/>
      <w:r w:rsidR="00BB709F">
        <w:t xml:space="preserve"> for immigration-related purposes</w:t>
      </w:r>
      <w:r w:rsidR="00BB709F" w:rsidRPr="00C41A92">
        <w:t xml:space="preserve"> </w:t>
      </w:r>
      <w:r w:rsidR="001B0571" w:rsidRPr="00C41A92">
        <w:t>in Aruba</w:t>
      </w:r>
      <w:r>
        <w:t xml:space="preserve"> and</w:t>
      </w:r>
      <w:r w:rsidR="001B0571" w:rsidRPr="00C41A92">
        <w:t xml:space="preserve"> </w:t>
      </w:r>
      <w:proofErr w:type="spellStart"/>
      <w:r w:rsidR="00715EB8">
        <w:t>Curaçao</w:t>
      </w:r>
      <w:proofErr w:type="spellEnd"/>
      <w:r w:rsidR="00E80DB3">
        <w:t>.</w:t>
      </w:r>
    </w:p>
    <w:p w14:paraId="0113C695" w14:textId="77777777" w:rsidR="00616959" w:rsidRPr="00FC61EB" w:rsidRDefault="00616959" w:rsidP="00616959">
      <w:pPr>
        <w:pStyle w:val="SingleTxtG"/>
        <w:numPr>
          <w:ilvl w:val="0"/>
          <w:numId w:val="6"/>
        </w:numPr>
        <w:tabs>
          <w:tab w:val="clear" w:pos="1701"/>
          <w:tab w:val="clear" w:pos="2268"/>
          <w:tab w:val="clear" w:pos="2835"/>
        </w:tabs>
        <w:ind w:left="1134" w:firstLine="0"/>
      </w:pPr>
      <w:r>
        <w:rPr>
          <w:rFonts w:eastAsia="Malgun Gothic"/>
          <w:b/>
        </w:rPr>
        <w:t>With reference to</w:t>
      </w:r>
      <w:r w:rsidRPr="00FC61EB">
        <w:rPr>
          <w:rFonts w:eastAsia="Malgun Gothic"/>
          <w:b/>
        </w:rPr>
        <w:t xml:space="preserve"> the</w:t>
      </w:r>
      <w:r w:rsidRPr="00FC61EB">
        <w:rPr>
          <w:b/>
        </w:rPr>
        <w:t xml:space="preserve"> joint general comments No. 3 and No. 4 of </w:t>
      </w:r>
      <w:r w:rsidR="0006283C">
        <w:rPr>
          <w:b/>
        </w:rPr>
        <w:t xml:space="preserve">the Committee on the Protection of the Rights of All Migrant Workers and Members of Their families </w:t>
      </w:r>
      <w:r w:rsidRPr="00FC61EB">
        <w:rPr>
          <w:b/>
        </w:rPr>
        <w:t xml:space="preserve">/ No. 22 and No. 23 of </w:t>
      </w:r>
      <w:r w:rsidR="0006283C">
        <w:rPr>
          <w:b/>
        </w:rPr>
        <w:t>the Committee on the Rights of the Child</w:t>
      </w:r>
      <w:r w:rsidRPr="00FC61EB">
        <w:rPr>
          <w:b/>
        </w:rPr>
        <w:t xml:space="preserve"> </w:t>
      </w:r>
      <w:r w:rsidR="007019A0">
        <w:rPr>
          <w:b/>
        </w:rPr>
        <w:t xml:space="preserve">(2017) </w:t>
      </w:r>
      <w:r w:rsidRPr="00FC61EB">
        <w:rPr>
          <w:b/>
        </w:rPr>
        <w:t xml:space="preserve">on the human rights of children in the context of international migration, </w:t>
      </w:r>
      <w:r w:rsidRPr="00FC61EB">
        <w:rPr>
          <w:rFonts w:eastAsia="Malgun Gothic"/>
          <w:b/>
          <w:lang w:eastAsia="zh-CN"/>
        </w:rPr>
        <w:t>the Committee recommends that the State party:</w:t>
      </w:r>
    </w:p>
    <w:p w14:paraId="6EB5E677" w14:textId="77777777" w:rsidR="00E768AD" w:rsidRPr="006B5610" w:rsidRDefault="008912A5" w:rsidP="006B5610">
      <w:pPr>
        <w:pStyle w:val="SingleTxtG"/>
        <w:numPr>
          <w:ilvl w:val="1"/>
          <w:numId w:val="15"/>
        </w:numPr>
        <w:tabs>
          <w:tab w:val="clear" w:pos="1701"/>
          <w:tab w:val="clear" w:pos="2268"/>
          <w:tab w:val="clear" w:pos="2835"/>
        </w:tabs>
        <w:ind w:left="1134" w:firstLine="567"/>
        <w:rPr>
          <w:b/>
          <w:bCs/>
        </w:rPr>
      </w:pPr>
      <w:r w:rsidRPr="0013545A">
        <w:rPr>
          <w:b/>
        </w:rPr>
        <w:t>E</w:t>
      </w:r>
      <w:r w:rsidR="009C526B" w:rsidRPr="0013545A">
        <w:rPr>
          <w:b/>
        </w:rPr>
        <w:t xml:space="preserve">nsure </w:t>
      </w:r>
      <w:r w:rsidR="00B07DBB" w:rsidRPr="0013545A">
        <w:rPr>
          <w:b/>
        </w:rPr>
        <w:t>child-friendly</w:t>
      </w:r>
      <w:r w:rsidR="009C526B" w:rsidRPr="0013545A">
        <w:rPr>
          <w:b/>
        </w:rPr>
        <w:t xml:space="preserve"> asylum procedures for all children under the age of 18 years,</w:t>
      </w:r>
      <w:r w:rsidR="000C2EDE" w:rsidRPr="0013545A">
        <w:rPr>
          <w:b/>
        </w:rPr>
        <w:t xml:space="preserve"> </w:t>
      </w:r>
      <w:r w:rsidR="006B5610">
        <w:rPr>
          <w:b/>
        </w:rPr>
        <w:t>including by: (</w:t>
      </w:r>
      <w:proofErr w:type="spellStart"/>
      <w:r w:rsidR="006B5610">
        <w:rPr>
          <w:b/>
        </w:rPr>
        <w:t>i</w:t>
      </w:r>
      <w:proofErr w:type="spellEnd"/>
      <w:r w:rsidR="006B5610">
        <w:rPr>
          <w:b/>
        </w:rPr>
        <w:t xml:space="preserve">) </w:t>
      </w:r>
      <w:r w:rsidR="00657585">
        <w:rPr>
          <w:b/>
        </w:rPr>
        <w:t xml:space="preserve">ensuring </w:t>
      </w:r>
      <w:r w:rsidR="00533C67">
        <w:rPr>
          <w:b/>
        </w:rPr>
        <w:t xml:space="preserve">the early identification of their vulnerabilities and child-specific forms of persecution and </w:t>
      </w:r>
      <w:r w:rsidR="00657585" w:rsidRPr="0013545A">
        <w:rPr>
          <w:b/>
        </w:rPr>
        <w:t>that they are interviewed in a child-friendly manner</w:t>
      </w:r>
      <w:r w:rsidR="00657585" w:rsidRPr="0013545A">
        <w:rPr>
          <w:b/>
          <w:bCs/>
        </w:rPr>
        <w:t>;</w:t>
      </w:r>
      <w:r w:rsidR="00657585">
        <w:rPr>
          <w:b/>
          <w:bCs/>
        </w:rPr>
        <w:t xml:space="preserve"> (ii) </w:t>
      </w:r>
      <w:r w:rsidR="006B5610">
        <w:rPr>
          <w:b/>
        </w:rPr>
        <w:t xml:space="preserve">ensuring that </w:t>
      </w:r>
      <w:r w:rsidR="00D442D4">
        <w:rPr>
          <w:b/>
        </w:rPr>
        <w:t>all</w:t>
      </w:r>
      <w:r w:rsidR="006B5610">
        <w:rPr>
          <w:b/>
        </w:rPr>
        <w:t xml:space="preserve"> asylum claims</w:t>
      </w:r>
      <w:r w:rsidR="00D442D4">
        <w:rPr>
          <w:b/>
        </w:rPr>
        <w:t xml:space="preserve">, including those submitted by children </w:t>
      </w:r>
      <w:r w:rsidR="00E45777">
        <w:rPr>
          <w:b/>
        </w:rPr>
        <w:t xml:space="preserve">over 15 </w:t>
      </w:r>
      <w:r w:rsidR="00D442D4">
        <w:rPr>
          <w:b/>
        </w:rPr>
        <w:t>years of age,</w:t>
      </w:r>
      <w:r w:rsidR="006B5610">
        <w:rPr>
          <w:b/>
        </w:rPr>
        <w:t xml:space="preserve"> are reviewed in a </w:t>
      </w:r>
      <w:r w:rsidR="0013545A" w:rsidRPr="0013545A">
        <w:rPr>
          <w:b/>
        </w:rPr>
        <w:t xml:space="preserve">child-sensitive </w:t>
      </w:r>
      <w:r w:rsidR="006B5610">
        <w:rPr>
          <w:b/>
        </w:rPr>
        <w:t>manner</w:t>
      </w:r>
      <w:r w:rsidR="00D442D4">
        <w:rPr>
          <w:b/>
        </w:rPr>
        <w:t xml:space="preserve"> and with due consideration for the age </w:t>
      </w:r>
      <w:r w:rsidR="0028241C">
        <w:rPr>
          <w:b/>
        </w:rPr>
        <w:t xml:space="preserve">at </w:t>
      </w:r>
      <w:r w:rsidR="00D442D4">
        <w:rPr>
          <w:b/>
        </w:rPr>
        <w:t>which they fled their country of origin</w:t>
      </w:r>
      <w:r w:rsidR="00CB7990">
        <w:rPr>
          <w:b/>
        </w:rPr>
        <w:t xml:space="preserve">; </w:t>
      </w:r>
      <w:r w:rsidR="006B5610">
        <w:rPr>
          <w:b/>
          <w:bCs/>
        </w:rPr>
        <w:t>and (ii</w:t>
      </w:r>
      <w:r w:rsidR="00D442D4">
        <w:rPr>
          <w:b/>
          <w:bCs/>
        </w:rPr>
        <w:t>i</w:t>
      </w:r>
      <w:r w:rsidR="006B5610">
        <w:rPr>
          <w:b/>
          <w:bCs/>
        </w:rPr>
        <w:t>) p</w:t>
      </w:r>
      <w:r w:rsidR="0099745B" w:rsidRPr="006B5610">
        <w:rPr>
          <w:b/>
          <w:bCs/>
        </w:rPr>
        <w:t>rovid</w:t>
      </w:r>
      <w:r w:rsidR="006B5610">
        <w:rPr>
          <w:b/>
          <w:bCs/>
        </w:rPr>
        <w:t>ing</w:t>
      </w:r>
      <w:r w:rsidR="0099745B" w:rsidRPr="006B5610">
        <w:rPr>
          <w:b/>
          <w:bCs/>
        </w:rPr>
        <w:t xml:space="preserve"> them with age-appropriate information </w:t>
      </w:r>
      <w:r w:rsidR="008C2152" w:rsidRPr="006B5610">
        <w:rPr>
          <w:b/>
          <w:bCs/>
        </w:rPr>
        <w:t xml:space="preserve">and legal advice </w:t>
      </w:r>
      <w:r w:rsidR="0099745B" w:rsidRPr="006B5610">
        <w:rPr>
          <w:b/>
          <w:bCs/>
        </w:rPr>
        <w:t xml:space="preserve">about their </w:t>
      </w:r>
      <w:r w:rsidR="00321F27" w:rsidRPr="006B5610">
        <w:rPr>
          <w:b/>
          <w:bCs/>
        </w:rPr>
        <w:t>rights, asylum procedures, available services</w:t>
      </w:r>
      <w:r w:rsidR="0099745B" w:rsidRPr="006B5610">
        <w:rPr>
          <w:b/>
          <w:bCs/>
        </w:rPr>
        <w:t xml:space="preserve"> and requirements for documentation</w:t>
      </w:r>
      <w:r w:rsidR="008C2152" w:rsidRPr="006B5610">
        <w:rPr>
          <w:b/>
          <w:bCs/>
        </w:rPr>
        <w:t>, particularly in view of recent amendments to the Dutch Aliens Decree</w:t>
      </w:r>
      <w:r w:rsidR="0099745B" w:rsidRPr="006B5610">
        <w:rPr>
          <w:b/>
          <w:bCs/>
        </w:rPr>
        <w:t>;</w:t>
      </w:r>
      <w:r w:rsidR="006B5610">
        <w:rPr>
          <w:b/>
          <w:bCs/>
        </w:rPr>
        <w:t xml:space="preserve"> </w:t>
      </w:r>
    </w:p>
    <w:p w14:paraId="5357671B" w14:textId="77777777" w:rsidR="003C7D5E" w:rsidRDefault="00E768AD" w:rsidP="00616959">
      <w:pPr>
        <w:pStyle w:val="SingleTxtG"/>
        <w:numPr>
          <w:ilvl w:val="1"/>
          <w:numId w:val="15"/>
        </w:numPr>
        <w:tabs>
          <w:tab w:val="clear" w:pos="1701"/>
          <w:tab w:val="clear" w:pos="2268"/>
          <w:tab w:val="clear" w:pos="2835"/>
        </w:tabs>
        <w:ind w:left="1134" w:firstLine="567"/>
        <w:rPr>
          <w:b/>
          <w:bCs/>
        </w:rPr>
      </w:pPr>
      <w:r>
        <w:rPr>
          <w:b/>
          <w:bCs/>
        </w:rPr>
        <w:t>E</w:t>
      </w:r>
      <w:r w:rsidR="00792A25">
        <w:rPr>
          <w:b/>
          <w:bCs/>
        </w:rPr>
        <w:t>nsure that</w:t>
      </w:r>
      <w:r>
        <w:rPr>
          <w:b/>
          <w:bCs/>
        </w:rPr>
        <w:t xml:space="preserve"> the best interests of </w:t>
      </w:r>
      <w:r w:rsidR="00742C24">
        <w:rPr>
          <w:b/>
          <w:bCs/>
        </w:rPr>
        <w:t xml:space="preserve">asylum-seeking </w:t>
      </w:r>
      <w:r>
        <w:rPr>
          <w:b/>
          <w:bCs/>
        </w:rPr>
        <w:t>children are given primary consideration in all asylum processes and that</w:t>
      </w:r>
      <w:r w:rsidR="00792A25">
        <w:rPr>
          <w:b/>
          <w:bCs/>
        </w:rPr>
        <w:t xml:space="preserve"> </w:t>
      </w:r>
      <w:r w:rsidR="003C7D5E">
        <w:rPr>
          <w:b/>
          <w:bCs/>
        </w:rPr>
        <w:t xml:space="preserve">their views </w:t>
      </w:r>
      <w:r w:rsidR="00792A25">
        <w:rPr>
          <w:b/>
          <w:bCs/>
        </w:rPr>
        <w:t xml:space="preserve">are </w:t>
      </w:r>
      <w:r w:rsidR="003C7D5E">
        <w:rPr>
          <w:b/>
          <w:bCs/>
        </w:rPr>
        <w:t>heard</w:t>
      </w:r>
      <w:r w:rsidR="00D71847">
        <w:rPr>
          <w:b/>
          <w:bCs/>
        </w:rPr>
        <w:t>,</w:t>
      </w:r>
      <w:r w:rsidR="00871164">
        <w:rPr>
          <w:b/>
          <w:bCs/>
        </w:rPr>
        <w:t xml:space="preserve"> taken into account</w:t>
      </w:r>
      <w:r w:rsidR="00D71847">
        <w:rPr>
          <w:b/>
          <w:bCs/>
        </w:rPr>
        <w:t xml:space="preserve"> and given due weight</w:t>
      </w:r>
      <w:r w:rsidR="003C7D5E">
        <w:rPr>
          <w:b/>
          <w:bCs/>
        </w:rPr>
        <w:t>;</w:t>
      </w:r>
    </w:p>
    <w:p w14:paraId="5B1B5032" w14:textId="77777777" w:rsidR="00DF26DB" w:rsidRPr="00DF26DB" w:rsidRDefault="00A755A3" w:rsidP="00616959">
      <w:pPr>
        <w:pStyle w:val="SingleTxtG"/>
        <w:numPr>
          <w:ilvl w:val="1"/>
          <w:numId w:val="15"/>
        </w:numPr>
        <w:tabs>
          <w:tab w:val="clear" w:pos="1701"/>
          <w:tab w:val="clear" w:pos="2268"/>
          <w:tab w:val="clear" w:pos="2835"/>
        </w:tabs>
        <w:ind w:left="1134" w:firstLine="567"/>
        <w:rPr>
          <w:b/>
          <w:bCs/>
        </w:rPr>
      </w:pPr>
      <w:r>
        <w:rPr>
          <w:b/>
        </w:rPr>
        <w:t>Ensure that</w:t>
      </w:r>
      <w:r w:rsidR="0013081A" w:rsidRPr="00361CFE">
        <w:rPr>
          <w:b/>
        </w:rPr>
        <w:t xml:space="preserve"> the rights of asylum-seeking and refugee children </w:t>
      </w:r>
      <w:r>
        <w:rPr>
          <w:b/>
        </w:rPr>
        <w:t xml:space="preserve">in </w:t>
      </w:r>
      <w:r w:rsidR="00E1394A">
        <w:rPr>
          <w:b/>
        </w:rPr>
        <w:t>all</w:t>
      </w:r>
      <w:r>
        <w:rPr>
          <w:b/>
        </w:rPr>
        <w:t xml:space="preserve"> </w:t>
      </w:r>
      <w:r w:rsidR="00E1394A">
        <w:rPr>
          <w:b/>
        </w:rPr>
        <w:t>constituent countries</w:t>
      </w:r>
      <w:r>
        <w:rPr>
          <w:b/>
        </w:rPr>
        <w:t xml:space="preserve"> are guaranteed under legislation, including </w:t>
      </w:r>
      <w:r w:rsidR="0013081A" w:rsidRPr="00361CFE">
        <w:rPr>
          <w:b/>
        </w:rPr>
        <w:t>by</w:t>
      </w:r>
      <w:r w:rsidR="00361CFE" w:rsidRPr="00361CFE">
        <w:rPr>
          <w:b/>
        </w:rPr>
        <w:t>: (</w:t>
      </w:r>
      <w:proofErr w:type="spellStart"/>
      <w:r w:rsidR="00361CFE" w:rsidRPr="00361CFE">
        <w:rPr>
          <w:b/>
        </w:rPr>
        <w:t>i</w:t>
      </w:r>
      <w:proofErr w:type="spellEnd"/>
      <w:r w:rsidR="00361CFE" w:rsidRPr="00361CFE">
        <w:rPr>
          <w:b/>
        </w:rPr>
        <w:t xml:space="preserve">) </w:t>
      </w:r>
      <w:r w:rsidR="00555FAE" w:rsidRPr="00361CFE">
        <w:rPr>
          <w:b/>
        </w:rPr>
        <w:t xml:space="preserve">ensuring that </w:t>
      </w:r>
      <w:r w:rsidR="00C47D84">
        <w:rPr>
          <w:b/>
        </w:rPr>
        <w:t>such chi</w:t>
      </w:r>
      <w:r w:rsidR="00555FAE">
        <w:rPr>
          <w:b/>
        </w:rPr>
        <w:t>l</w:t>
      </w:r>
      <w:r w:rsidR="00C47D84">
        <w:rPr>
          <w:b/>
        </w:rPr>
        <w:t>d</w:t>
      </w:r>
      <w:r w:rsidR="00555FAE">
        <w:rPr>
          <w:b/>
        </w:rPr>
        <w:t>ren</w:t>
      </w:r>
      <w:r w:rsidR="00555FAE" w:rsidRPr="00361CFE">
        <w:rPr>
          <w:b/>
        </w:rPr>
        <w:t xml:space="preserve"> are registered and issued with legal identification documents</w:t>
      </w:r>
      <w:r w:rsidR="00555FAE">
        <w:rPr>
          <w:b/>
        </w:rPr>
        <w:t>; (ii)</w:t>
      </w:r>
      <w:r w:rsidR="00555FAE" w:rsidRPr="00361CFE">
        <w:rPr>
          <w:b/>
        </w:rPr>
        <w:t xml:space="preserve"> </w:t>
      </w:r>
      <w:r w:rsidR="00361CFE" w:rsidRPr="00361CFE">
        <w:rPr>
          <w:b/>
        </w:rPr>
        <w:t>adopt</w:t>
      </w:r>
      <w:r>
        <w:rPr>
          <w:b/>
        </w:rPr>
        <w:t>ing</w:t>
      </w:r>
      <w:r w:rsidR="00361CFE" w:rsidRPr="00361CFE">
        <w:rPr>
          <w:b/>
        </w:rPr>
        <w:t xml:space="preserve"> legislation governing asylum procedures</w:t>
      </w:r>
      <w:r w:rsidR="00686D8D">
        <w:rPr>
          <w:b/>
        </w:rPr>
        <w:t xml:space="preserve"> and preventing</w:t>
      </w:r>
      <w:r w:rsidR="00CF564E">
        <w:rPr>
          <w:b/>
        </w:rPr>
        <w:t xml:space="preserve"> the</w:t>
      </w:r>
      <w:r w:rsidR="00686D8D">
        <w:rPr>
          <w:b/>
        </w:rPr>
        <w:t xml:space="preserve"> </w:t>
      </w:r>
      <w:proofErr w:type="spellStart"/>
      <w:r w:rsidR="00686D8D" w:rsidRPr="00686D8D">
        <w:rPr>
          <w:b/>
          <w:i/>
        </w:rPr>
        <w:t>refoulement</w:t>
      </w:r>
      <w:proofErr w:type="spellEnd"/>
      <w:r w:rsidR="00686D8D">
        <w:rPr>
          <w:b/>
        </w:rPr>
        <w:t xml:space="preserve"> of </w:t>
      </w:r>
      <w:r w:rsidR="00CF564E">
        <w:rPr>
          <w:b/>
        </w:rPr>
        <w:t xml:space="preserve">such </w:t>
      </w:r>
      <w:r w:rsidR="00686D8D">
        <w:rPr>
          <w:b/>
        </w:rPr>
        <w:t>children</w:t>
      </w:r>
      <w:r w:rsidR="00361CFE" w:rsidRPr="00361CFE">
        <w:rPr>
          <w:b/>
        </w:rPr>
        <w:t xml:space="preserve">; </w:t>
      </w:r>
      <w:r w:rsidR="00CF564E">
        <w:rPr>
          <w:b/>
        </w:rPr>
        <w:t>(iii) ensuring that such children have access to justice mechanisms and remedies; and</w:t>
      </w:r>
      <w:r w:rsidR="00555FAE">
        <w:rPr>
          <w:b/>
        </w:rPr>
        <w:t xml:space="preserve"> </w:t>
      </w:r>
      <w:r w:rsidR="00361CFE" w:rsidRPr="00361CFE">
        <w:rPr>
          <w:b/>
        </w:rPr>
        <w:t>(i</w:t>
      </w:r>
      <w:r w:rsidR="00CF564E">
        <w:rPr>
          <w:b/>
        </w:rPr>
        <w:t>v</w:t>
      </w:r>
      <w:r w:rsidR="00361CFE" w:rsidRPr="00361CFE">
        <w:rPr>
          <w:b/>
        </w:rPr>
        <w:t>)</w:t>
      </w:r>
      <w:r w:rsidR="0013081A" w:rsidRPr="00361CFE">
        <w:rPr>
          <w:b/>
        </w:rPr>
        <w:t xml:space="preserve"> </w:t>
      </w:r>
      <w:r w:rsidR="0013081A" w:rsidRPr="00081C50">
        <w:rPr>
          <w:b/>
        </w:rPr>
        <w:t>e</w:t>
      </w:r>
      <w:r w:rsidR="00DF26DB" w:rsidRPr="00081C50">
        <w:rPr>
          <w:b/>
        </w:rPr>
        <w:t>xtend</w:t>
      </w:r>
      <w:r w:rsidR="0013081A" w:rsidRPr="00081C50">
        <w:rPr>
          <w:b/>
        </w:rPr>
        <w:t>ing</w:t>
      </w:r>
      <w:r w:rsidR="00DF26DB" w:rsidRPr="00081C50">
        <w:rPr>
          <w:b/>
        </w:rPr>
        <w:t xml:space="preserve"> territorial application of the 1951 Convention Relating to the Status of Refugees and its 1967 Protocol to </w:t>
      </w:r>
      <w:proofErr w:type="spellStart"/>
      <w:r w:rsidR="00DF26DB" w:rsidRPr="00081C50">
        <w:rPr>
          <w:b/>
        </w:rPr>
        <w:t>Curaçao</w:t>
      </w:r>
      <w:proofErr w:type="spellEnd"/>
      <w:r w:rsidR="00DF26DB" w:rsidRPr="00081C50">
        <w:rPr>
          <w:b/>
        </w:rPr>
        <w:t xml:space="preserve"> and </w:t>
      </w:r>
      <w:proofErr w:type="spellStart"/>
      <w:r w:rsidR="00DF26DB" w:rsidRPr="00081C50">
        <w:rPr>
          <w:b/>
        </w:rPr>
        <w:t>Sint</w:t>
      </w:r>
      <w:proofErr w:type="spellEnd"/>
      <w:r w:rsidR="00DF26DB" w:rsidRPr="00081C50">
        <w:rPr>
          <w:b/>
        </w:rPr>
        <w:t xml:space="preserve"> Maarten</w:t>
      </w:r>
      <w:r w:rsidR="00361CFE" w:rsidRPr="00361CFE">
        <w:rPr>
          <w:b/>
        </w:rPr>
        <w:t>;</w:t>
      </w:r>
      <w:r w:rsidR="00DF26DB" w:rsidRPr="00361CFE">
        <w:rPr>
          <w:b/>
        </w:rPr>
        <w:t xml:space="preserve"> </w:t>
      </w:r>
    </w:p>
    <w:p w14:paraId="41E082C1" w14:textId="77777777" w:rsidR="00823809" w:rsidRPr="001B1FC4" w:rsidRDefault="00B3091B" w:rsidP="00616959">
      <w:pPr>
        <w:pStyle w:val="SingleTxtG"/>
        <w:numPr>
          <w:ilvl w:val="1"/>
          <w:numId w:val="15"/>
        </w:numPr>
        <w:tabs>
          <w:tab w:val="clear" w:pos="1701"/>
          <w:tab w:val="clear" w:pos="2268"/>
          <w:tab w:val="clear" w:pos="2835"/>
        </w:tabs>
        <w:ind w:left="1134" w:firstLine="567"/>
        <w:rPr>
          <w:b/>
          <w:bCs/>
        </w:rPr>
      </w:pPr>
      <w:r w:rsidRPr="00671171">
        <w:rPr>
          <w:b/>
        </w:rPr>
        <w:lastRenderedPageBreak/>
        <w:t>Pr</w:t>
      </w:r>
      <w:r w:rsidR="00DD307A">
        <w:rPr>
          <w:b/>
        </w:rPr>
        <w:t>ohibit and pr</w:t>
      </w:r>
      <w:r w:rsidRPr="00671171">
        <w:rPr>
          <w:b/>
        </w:rPr>
        <w:t xml:space="preserve">event the separation of asylum-seeking </w:t>
      </w:r>
      <w:r w:rsidR="00A32D71">
        <w:rPr>
          <w:b/>
        </w:rPr>
        <w:t xml:space="preserve">and migrant </w:t>
      </w:r>
      <w:r w:rsidRPr="00671171">
        <w:rPr>
          <w:b/>
        </w:rPr>
        <w:t>children from their parents and the</w:t>
      </w:r>
      <w:r w:rsidR="00823809" w:rsidRPr="00671171">
        <w:rPr>
          <w:b/>
        </w:rPr>
        <w:t xml:space="preserve"> detention </w:t>
      </w:r>
      <w:r w:rsidR="000A5FBD">
        <w:rPr>
          <w:b/>
        </w:rPr>
        <w:t xml:space="preserve">and/or deportation </w:t>
      </w:r>
      <w:r w:rsidR="00823809" w:rsidRPr="00671171">
        <w:rPr>
          <w:b/>
        </w:rPr>
        <w:t xml:space="preserve">of children </w:t>
      </w:r>
      <w:r w:rsidR="00855A6F">
        <w:rPr>
          <w:b/>
        </w:rPr>
        <w:t>across all constituent countries</w:t>
      </w:r>
      <w:r w:rsidR="008B3B32">
        <w:rPr>
          <w:b/>
        </w:rPr>
        <w:t xml:space="preserve">, including </w:t>
      </w:r>
      <w:r w:rsidR="00DA5799">
        <w:rPr>
          <w:b/>
        </w:rPr>
        <w:t xml:space="preserve">Aruba and </w:t>
      </w:r>
      <w:proofErr w:type="spellStart"/>
      <w:r w:rsidR="008B3B32" w:rsidRPr="00361CFE">
        <w:rPr>
          <w:b/>
        </w:rPr>
        <w:t>Curaçao</w:t>
      </w:r>
      <w:proofErr w:type="spellEnd"/>
      <w:r w:rsidR="00DA5799">
        <w:rPr>
          <w:b/>
        </w:rPr>
        <w:t>, due to the</w:t>
      </w:r>
      <w:r w:rsidR="00B5475A">
        <w:rPr>
          <w:b/>
        </w:rPr>
        <w:t>ir or</w:t>
      </w:r>
      <w:r w:rsidR="007254BA">
        <w:rPr>
          <w:b/>
        </w:rPr>
        <w:t xml:space="preserve"> their</w:t>
      </w:r>
      <w:r w:rsidR="00B5475A">
        <w:rPr>
          <w:b/>
        </w:rPr>
        <w:t xml:space="preserve"> parents’</w:t>
      </w:r>
      <w:r w:rsidR="00DA5799">
        <w:rPr>
          <w:b/>
        </w:rPr>
        <w:t xml:space="preserve"> </w:t>
      </w:r>
      <w:r w:rsidR="00B5475A">
        <w:rPr>
          <w:b/>
        </w:rPr>
        <w:t>migration status</w:t>
      </w:r>
      <w:r w:rsidRPr="00671171">
        <w:rPr>
          <w:b/>
        </w:rPr>
        <w:t>;</w:t>
      </w:r>
    </w:p>
    <w:p w14:paraId="5D04F1DD" w14:textId="77777777" w:rsidR="00717275" w:rsidRPr="00EC1D11" w:rsidRDefault="00717275" w:rsidP="00616959">
      <w:pPr>
        <w:pStyle w:val="SingleTxtG"/>
        <w:numPr>
          <w:ilvl w:val="1"/>
          <w:numId w:val="15"/>
        </w:numPr>
        <w:tabs>
          <w:tab w:val="clear" w:pos="1701"/>
          <w:tab w:val="clear" w:pos="2268"/>
          <w:tab w:val="clear" w:pos="2835"/>
        </w:tabs>
        <w:ind w:left="1134" w:firstLine="567"/>
        <w:rPr>
          <w:b/>
          <w:bCs/>
        </w:rPr>
      </w:pPr>
      <w:r w:rsidRPr="00EC1D11">
        <w:rPr>
          <w:b/>
        </w:rPr>
        <w:t xml:space="preserve">Remove the barriers faced by asylum-seeking and refugee children in Aruba and </w:t>
      </w:r>
      <w:proofErr w:type="spellStart"/>
      <w:r w:rsidRPr="00EC1D11">
        <w:rPr>
          <w:b/>
        </w:rPr>
        <w:t>Curaçao</w:t>
      </w:r>
      <w:proofErr w:type="spellEnd"/>
      <w:r w:rsidRPr="00EC1D11">
        <w:rPr>
          <w:b/>
        </w:rPr>
        <w:t xml:space="preserve"> in accessing education</w:t>
      </w:r>
      <w:r w:rsidR="00710576">
        <w:rPr>
          <w:b/>
        </w:rPr>
        <w:t>, health</w:t>
      </w:r>
      <w:r w:rsidR="00F15558">
        <w:rPr>
          <w:b/>
        </w:rPr>
        <w:t>, housing</w:t>
      </w:r>
      <w:r w:rsidR="00710576">
        <w:rPr>
          <w:b/>
        </w:rPr>
        <w:t xml:space="preserve"> and other essential services</w:t>
      </w:r>
      <w:r w:rsidRPr="00EC1D11">
        <w:rPr>
          <w:b/>
        </w:rPr>
        <w:t>, with a view to ensuring that all such children have access to all basic services without discrimination;</w:t>
      </w:r>
    </w:p>
    <w:p w14:paraId="21BF9DA1" w14:textId="77777777" w:rsidR="00107E58" w:rsidRPr="00383A20" w:rsidRDefault="00FC2294" w:rsidP="00836D6A">
      <w:pPr>
        <w:pStyle w:val="SingleTxtG"/>
        <w:numPr>
          <w:ilvl w:val="1"/>
          <w:numId w:val="15"/>
        </w:numPr>
        <w:tabs>
          <w:tab w:val="clear" w:pos="1701"/>
          <w:tab w:val="clear" w:pos="2268"/>
          <w:tab w:val="clear" w:pos="2835"/>
        </w:tabs>
        <w:ind w:left="1134" w:firstLine="567"/>
        <w:rPr>
          <w:b/>
        </w:rPr>
      </w:pPr>
      <w:r w:rsidRPr="00383A20">
        <w:rPr>
          <w:b/>
          <w:bCs/>
        </w:rPr>
        <w:t>Prioritize the immediate transfer of asylum-seeking children and their families from emergency reception facilities and invest the necessary resources to improve and expand reception facilities that are child-friendly, with a view to preventing overcrowding</w:t>
      </w:r>
      <w:r w:rsidR="00C62CDE" w:rsidRPr="00383A20">
        <w:rPr>
          <w:b/>
          <w:bCs/>
        </w:rPr>
        <w:t xml:space="preserve"> and</w:t>
      </w:r>
      <w:r w:rsidRPr="00383A20">
        <w:rPr>
          <w:b/>
          <w:bCs/>
        </w:rPr>
        <w:t xml:space="preserve"> frequent transfers of children between different facilities</w:t>
      </w:r>
      <w:r w:rsidR="00107E58" w:rsidRPr="00383A20">
        <w:rPr>
          <w:b/>
          <w:bCs/>
        </w:rPr>
        <w:t>;</w:t>
      </w:r>
    </w:p>
    <w:p w14:paraId="4F0EE402" w14:textId="77777777" w:rsidR="00823809" w:rsidRPr="0064771E" w:rsidRDefault="00107E58" w:rsidP="00836D6A">
      <w:pPr>
        <w:pStyle w:val="SingleTxtG"/>
        <w:numPr>
          <w:ilvl w:val="1"/>
          <w:numId w:val="15"/>
        </w:numPr>
        <w:tabs>
          <w:tab w:val="clear" w:pos="1701"/>
          <w:tab w:val="clear" w:pos="2268"/>
          <w:tab w:val="clear" w:pos="2835"/>
        </w:tabs>
        <w:ind w:left="1134" w:firstLine="567"/>
        <w:rPr>
          <w:b/>
        </w:rPr>
      </w:pPr>
      <w:r>
        <w:rPr>
          <w:b/>
        </w:rPr>
        <w:t>A</w:t>
      </w:r>
      <w:r w:rsidR="0064771E" w:rsidRPr="0064771E">
        <w:rPr>
          <w:b/>
        </w:rPr>
        <w:t xml:space="preserve">dopt permanent and sustainable resettlement options for </w:t>
      </w:r>
      <w:r w:rsidR="00FC2294">
        <w:rPr>
          <w:b/>
        </w:rPr>
        <w:t>asylum-seeking children and their families</w:t>
      </w:r>
      <w:r w:rsidR="0064771E" w:rsidRPr="0064771E">
        <w:rPr>
          <w:b/>
        </w:rPr>
        <w:t xml:space="preserve"> </w:t>
      </w:r>
      <w:r w:rsidR="0064771E">
        <w:rPr>
          <w:b/>
        </w:rPr>
        <w:t>in</w:t>
      </w:r>
      <w:r w:rsidR="00EA0319">
        <w:rPr>
          <w:b/>
        </w:rPr>
        <w:t xml:space="preserve"> Aruba,</w:t>
      </w:r>
      <w:r w:rsidR="0064771E">
        <w:rPr>
          <w:b/>
        </w:rPr>
        <w:t xml:space="preserve"> </w:t>
      </w:r>
      <w:proofErr w:type="spellStart"/>
      <w:r w:rsidR="0064771E" w:rsidRPr="0064771E">
        <w:rPr>
          <w:b/>
        </w:rPr>
        <w:t>Curaçao</w:t>
      </w:r>
      <w:proofErr w:type="spellEnd"/>
      <w:r w:rsidR="0064771E" w:rsidRPr="0064771E">
        <w:rPr>
          <w:b/>
        </w:rPr>
        <w:t xml:space="preserve"> and </w:t>
      </w:r>
      <w:proofErr w:type="spellStart"/>
      <w:r w:rsidR="0064771E" w:rsidRPr="0064771E">
        <w:rPr>
          <w:b/>
        </w:rPr>
        <w:t>Sint</w:t>
      </w:r>
      <w:proofErr w:type="spellEnd"/>
      <w:r w:rsidR="0064771E" w:rsidRPr="0064771E">
        <w:rPr>
          <w:b/>
        </w:rPr>
        <w:t xml:space="preserve"> Maarten to ensure that they </w:t>
      </w:r>
      <w:proofErr w:type="gramStart"/>
      <w:r w:rsidR="0064771E" w:rsidRPr="0064771E">
        <w:rPr>
          <w:b/>
        </w:rPr>
        <w:t>are given</w:t>
      </w:r>
      <w:proofErr w:type="gramEnd"/>
      <w:r w:rsidR="0064771E" w:rsidRPr="0064771E">
        <w:rPr>
          <w:b/>
        </w:rPr>
        <w:t xml:space="preserve"> </w:t>
      </w:r>
      <w:r w:rsidR="00B60B19">
        <w:rPr>
          <w:b/>
        </w:rPr>
        <w:t>proper legal status</w:t>
      </w:r>
      <w:r w:rsidR="0064771E" w:rsidRPr="0064771E">
        <w:rPr>
          <w:b/>
        </w:rPr>
        <w:t xml:space="preserve"> and access to employment and other opportunities</w:t>
      </w:r>
      <w:r w:rsidR="0064771E">
        <w:rPr>
          <w:b/>
        </w:rPr>
        <w:t>.</w:t>
      </w:r>
    </w:p>
    <w:p w14:paraId="094DF540" w14:textId="77777777" w:rsidR="00D96C8C" w:rsidRPr="00FC61EB" w:rsidRDefault="009C526B" w:rsidP="009C526B">
      <w:pPr>
        <w:pStyle w:val="H23G"/>
        <w:ind w:firstLine="0"/>
      </w:pPr>
      <w:r>
        <w:t>Unaccompanied children</w:t>
      </w:r>
    </w:p>
    <w:p w14:paraId="0EC64788" w14:textId="2A20D11A" w:rsidR="00616959" w:rsidRPr="00714E6A" w:rsidRDefault="00F818FC" w:rsidP="00616959">
      <w:pPr>
        <w:pStyle w:val="SingleTxtG"/>
        <w:numPr>
          <w:ilvl w:val="0"/>
          <w:numId w:val="6"/>
        </w:numPr>
        <w:tabs>
          <w:tab w:val="clear" w:pos="1701"/>
          <w:tab w:val="clear" w:pos="2268"/>
          <w:tab w:val="clear" w:pos="2835"/>
        </w:tabs>
        <w:ind w:left="1134" w:firstLine="0"/>
        <w:rPr>
          <w:b/>
        </w:rPr>
      </w:pPr>
      <w:r w:rsidRPr="00F818FC">
        <w:rPr>
          <w:rFonts w:eastAsia="Malgun Gothic"/>
          <w:b/>
        </w:rPr>
        <w:t xml:space="preserve">The Committee </w:t>
      </w:r>
      <w:r w:rsidR="00646BDC">
        <w:rPr>
          <w:rFonts w:eastAsia="Malgun Gothic"/>
          <w:b/>
        </w:rPr>
        <w:t>welcomes</w:t>
      </w:r>
      <w:r w:rsidRPr="00F818FC">
        <w:rPr>
          <w:rFonts w:eastAsia="Malgun Gothic"/>
          <w:b/>
        </w:rPr>
        <w:t xml:space="preserve"> the measures taken to</w:t>
      </w:r>
      <w:r w:rsidR="00260B58">
        <w:rPr>
          <w:rFonts w:eastAsia="Malgun Gothic"/>
          <w:b/>
        </w:rPr>
        <w:t xml:space="preserve"> </w:t>
      </w:r>
      <w:r w:rsidR="00A737F6">
        <w:rPr>
          <w:rFonts w:eastAsia="Malgun Gothic"/>
          <w:b/>
        </w:rPr>
        <w:t>facilitate family reunification for unaccompanied</w:t>
      </w:r>
      <w:r w:rsidR="00100CDA">
        <w:rPr>
          <w:rFonts w:eastAsia="Malgun Gothic"/>
          <w:b/>
        </w:rPr>
        <w:t xml:space="preserve"> and separated children and</w:t>
      </w:r>
      <w:r w:rsidR="00A737F6">
        <w:rPr>
          <w:rFonts w:eastAsia="Malgun Gothic"/>
          <w:b/>
        </w:rPr>
        <w:t xml:space="preserve"> </w:t>
      </w:r>
      <w:r w:rsidR="00012220">
        <w:rPr>
          <w:rFonts w:eastAsia="Malgun Gothic"/>
          <w:b/>
        </w:rPr>
        <w:t>provide them with support in</w:t>
      </w:r>
      <w:r w:rsidR="00260B58">
        <w:rPr>
          <w:rFonts w:eastAsia="Malgun Gothic"/>
          <w:b/>
        </w:rPr>
        <w:t xml:space="preserve"> </w:t>
      </w:r>
      <w:r w:rsidR="00327BB1">
        <w:rPr>
          <w:rFonts w:eastAsia="Malgun Gothic"/>
          <w:b/>
        </w:rPr>
        <w:t xml:space="preserve">small-scale reception facilities </w:t>
      </w:r>
      <w:r w:rsidR="00012220">
        <w:rPr>
          <w:rFonts w:eastAsia="Malgun Gothic"/>
          <w:b/>
        </w:rPr>
        <w:t>or</w:t>
      </w:r>
      <w:r w:rsidR="00327BB1">
        <w:rPr>
          <w:rFonts w:eastAsia="Malgun Gothic"/>
          <w:b/>
        </w:rPr>
        <w:t xml:space="preserve"> </w:t>
      </w:r>
      <w:r w:rsidR="00012220">
        <w:rPr>
          <w:rFonts w:eastAsia="Malgun Gothic"/>
          <w:b/>
        </w:rPr>
        <w:t>family-based care</w:t>
      </w:r>
      <w:r w:rsidR="00F837EF">
        <w:rPr>
          <w:rFonts w:eastAsia="Malgun Gothic"/>
          <w:b/>
        </w:rPr>
        <w:t>, but is concerned</w:t>
      </w:r>
      <w:r w:rsidR="000C7B6D">
        <w:rPr>
          <w:rFonts w:eastAsia="Malgun Gothic"/>
          <w:b/>
        </w:rPr>
        <w:t xml:space="preserve"> about </w:t>
      </w:r>
      <w:r w:rsidR="00875501">
        <w:rPr>
          <w:rFonts w:eastAsia="Malgun Gothic"/>
          <w:b/>
        </w:rPr>
        <w:t xml:space="preserve">the strict criteria for approving family reunification of children whose parents </w:t>
      </w:r>
      <w:proofErr w:type="gramStart"/>
      <w:r w:rsidR="00875501">
        <w:rPr>
          <w:rFonts w:eastAsia="Malgun Gothic"/>
          <w:b/>
        </w:rPr>
        <w:t>cannot be traced</w:t>
      </w:r>
      <w:proofErr w:type="gramEnd"/>
      <w:r w:rsidR="0028241C">
        <w:rPr>
          <w:rFonts w:eastAsia="Malgun Gothic"/>
          <w:b/>
        </w:rPr>
        <w:t>. The Committee i</w:t>
      </w:r>
      <w:r w:rsidR="00A213DD">
        <w:rPr>
          <w:rFonts w:eastAsia="Malgun Gothic"/>
          <w:b/>
        </w:rPr>
        <w:t>s</w:t>
      </w:r>
      <w:r w:rsidR="0028241C">
        <w:rPr>
          <w:rFonts w:eastAsia="Malgun Gothic"/>
          <w:b/>
        </w:rPr>
        <w:t xml:space="preserve"> further concerned</w:t>
      </w:r>
      <w:r w:rsidR="00875501">
        <w:rPr>
          <w:rFonts w:eastAsia="Malgun Gothic"/>
          <w:b/>
        </w:rPr>
        <w:t xml:space="preserve"> about </w:t>
      </w:r>
      <w:r w:rsidR="000C7B6D">
        <w:rPr>
          <w:rFonts w:eastAsia="Malgun Gothic"/>
          <w:b/>
        </w:rPr>
        <w:t>children who disappear from such facilities</w:t>
      </w:r>
      <w:r w:rsidR="00260B58">
        <w:rPr>
          <w:rFonts w:eastAsia="Malgun Gothic"/>
          <w:b/>
        </w:rPr>
        <w:t>. The Committee</w:t>
      </w:r>
      <w:r>
        <w:rPr>
          <w:b/>
        </w:rPr>
        <w:t xml:space="preserve"> </w:t>
      </w:r>
      <w:r w:rsidR="00616959">
        <w:rPr>
          <w:b/>
        </w:rPr>
        <w:t>recommends that</w:t>
      </w:r>
      <w:r w:rsidR="00616959" w:rsidRPr="00FC61EB">
        <w:rPr>
          <w:b/>
        </w:rPr>
        <w:t xml:space="preserve"> the State party</w:t>
      </w:r>
      <w:r w:rsidR="00616959">
        <w:rPr>
          <w:b/>
        </w:rPr>
        <w:t>:</w:t>
      </w:r>
    </w:p>
    <w:p w14:paraId="67B2F77B" w14:textId="77777777" w:rsidR="00616959" w:rsidRPr="000269C5" w:rsidRDefault="00BE62CB" w:rsidP="00616959">
      <w:pPr>
        <w:pStyle w:val="SingleTxtG"/>
        <w:numPr>
          <w:ilvl w:val="1"/>
          <w:numId w:val="6"/>
        </w:numPr>
        <w:tabs>
          <w:tab w:val="clear" w:pos="1701"/>
          <w:tab w:val="clear" w:pos="2268"/>
          <w:tab w:val="clear" w:pos="2835"/>
        </w:tabs>
        <w:ind w:left="1134" w:firstLine="567"/>
      </w:pPr>
      <w:r w:rsidRPr="00A97EE5">
        <w:rPr>
          <w:b/>
        </w:rPr>
        <w:t>Review its system of family reunification</w:t>
      </w:r>
      <w:r>
        <w:rPr>
          <w:b/>
        </w:rPr>
        <w:t xml:space="preserve"> involving unaccompanied children</w:t>
      </w:r>
      <w:r w:rsidRPr="00A97EE5">
        <w:rPr>
          <w:b/>
        </w:rPr>
        <w:t xml:space="preserve">, </w:t>
      </w:r>
      <w:r>
        <w:rPr>
          <w:b/>
        </w:rPr>
        <w:t>particularly for those</w:t>
      </w:r>
      <w:r w:rsidRPr="00A97EE5">
        <w:rPr>
          <w:b/>
        </w:rPr>
        <w:t xml:space="preserve"> living independently </w:t>
      </w:r>
      <w:r>
        <w:rPr>
          <w:b/>
        </w:rPr>
        <w:t>and those who do not have</w:t>
      </w:r>
      <w:r w:rsidRPr="00A97EE5">
        <w:rPr>
          <w:b/>
        </w:rPr>
        <w:t xml:space="preserve"> parents or whose parents cannot be traced</w:t>
      </w:r>
      <w:r>
        <w:rPr>
          <w:b/>
        </w:rPr>
        <w:t xml:space="preserve">, with a view to broadening the criteria for emotional ties with other family members or legal guardians; </w:t>
      </w:r>
    </w:p>
    <w:p w14:paraId="57CD2A09" w14:textId="77777777" w:rsidR="00836D6A" w:rsidRPr="007832E7" w:rsidRDefault="00CA1C55" w:rsidP="00616959">
      <w:pPr>
        <w:pStyle w:val="SingleTxtG"/>
        <w:numPr>
          <w:ilvl w:val="1"/>
          <w:numId w:val="6"/>
        </w:numPr>
        <w:tabs>
          <w:tab w:val="clear" w:pos="1701"/>
          <w:tab w:val="clear" w:pos="2268"/>
          <w:tab w:val="clear" w:pos="2835"/>
        </w:tabs>
        <w:ind w:left="1134" w:firstLine="567"/>
      </w:pPr>
      <w:r>
        <w:rPr>
          <w:b/>
          <w:bCs/>
        </w:rPr>
        <w:t>Strengthen measures aimed at ensuring</w:t>
      </w:r>
      <w:r w:rsidR="00BE62CB">
        <w:rPr>
          <w:b/>
          <w:bCs/>
        </w:rPr>
        <w:t xml:space="preserve"> that decisions on applications for family reunification are taken promptly and within the maximum time permitted under legislation, including by allocating sufficient financial, human and technical resources</w:t>
      </w:r>
      <w:r w:rsidR="00927D5B">
        <w:rPr>
          <w:b/>
          <w:bCs/>
        </w:rPr>
        <w:t xml:space="preserve"> for the asylum system</w:t>
      </w:r>
      <w:r w:rsidR="00836D6A">
        <w:rPr>
          <w:b/>
          <w:bCs/>
          <w:lang w:val="en-US"/>
        </w:rPr>
        <w:t>;</w:t>
      </w:r>
    </w:p>
    <w:p w14:paraId="74D27AE0" w14:textId="77777777" w:rsidR="007832E7" w:rsidRPr="00836D6A" w:rsidRDefault="00D71847" w:rsidP="00616959">
      <w:pPr>
        <w:pStyle w:val="SingleTxtG"/>
        <w:numPr>
          <w:ilvl w:val="1"/>
          <w:numId w:val="6"/>
        </w:numPr>
        <w:tabs>
          <w:tab w:val="clear" w:pos="1701"/>
          <w:tab w:val="clear" w:pos="2268"/>
          <w:tab w:val="clear" w:pos="2835"/>
        </w:tabs>
        <w:ind w:left="1134" w:firstLine="567"/>
      </w:pPr>
      <w:r>
        <w:rPr>
          <w:b/>
          <w:bCs/>
          <w:lang w:val="en-US"/>
        </w:rPr>
        <w:t>A</w:t>
      </w:r>
      <w:r w:rsidR="00191EF6">
        <w:rPr>
          <w:b/>
          <w:bCs/>
          <w:lang w:val="en-US"/>
        </w:rPr>
        <w:t>ppoint</w:t>
      </w:r>
      <w:r w:rsidR="007832E7">
        <w:rPr>
          <w:b/>
          <w:bCs/>
          <w:lang w:val="en-US"/>
        </w:rPr>
        <w:t xml:space="preserve"> a guardian or adviser for unaccompanied children in </w:t>
      </w:r>
      <w:r w:rsidR="000B35BD">
        <w:rPr>
          <w:b/>
          <w:bCs/>
          <w:lang w:val="en-US"/>
        </w:rPr>
        <w:t>all</w:t>
      </w:r>
      <w:r w:rsidR="007832E7">
        <w:rPr>
          <w:b/>
          <w:bCs/>
          <w:lang w:val="en-US"/>
        </w:rPr>
        <w:t xml:space="preserve"> constituent countries</w:t>
      </w:r>
      <w:r w:rsidR="00320516">
        <w:rPr>
          <w:b/>
          <w:bCs/>
          <w:lang w:val="en-US"/>
        </w:rPr>
        <w:t>;</w:t>
      </w:r>
    </w:p>
    <w:p w14:paraId="49C0DAE3" w14:textId="77777777" w:rsidR="005020B8" w:rsidRPr="005020B8" w:rsidRDefault="006459DF" w:rsidP="00616959">
      <w:pPr>
        <w:pStyle w:val="SingleTxtG"/>
        <w:numPr>
          <w:ilvl w:val="1"/>
          <w:numId w:val="6"/>
        </w:numPr>
        <w:tabs>
          <w:tab w:val="clear" w:pos="1701"/>
          <w:tab w:val="clear" w:pos="2268"/>
          <w:tab w:val="clear" w:pos="2835"/>
        </w:tabs>
        <w:ind w:left="1134" w:firstLine="567"/>
      </w:pPr>
      <w:r>
        <w:rPr>
          <w:b/>
          <w:bCs/>
        </w:rPr>
        <w:t xml:space="preserve">Provide </w:t>
      </w:r>
      <w:r w:rsidR="00836D6A">
        <w:rPr>
          <w:b/>
          <w:bCs/>
        </w:rPr>
        <w:t xml:space="preserve">unaccompanied children with </w:t>
      </w:r>
      <w:r w:rsidR="007A2CB9">
        <w:rPr>
          <w:b/>
          <w:bCs/>
        </w:rPr>
        <w:t>durable</w:t>
      </w:r>
      <w:r w:rsidR="00836D6A">
        <w:rPr>
          <w:b/>
          <w:bCs/>
        </w:rPr>
        <w:t xml:space="preserve"> solutions, including </w:t>
      </w:r>
      <w:r w:rsidR="00D71847">
        <w:rPr>
          <w:b/>
          <w:bCs/>
        </w:rPr>
        <w:t xml:space="preserve">residence status, </w:t>
      </w:r>
      <w:r w:rsidR="00836D6A">
        <w:rPr>
          <w:b/>
          <w:bCs/>
        </w:rPr>
        <w:t>foster care</w:t>
      </w:r>
      <w:r w:rsidR="00FB524E">
        <w:rPr>
          <w:b/>
          <w:bCs/>
        </w:rPr>
        <w:t xml:space="preserve"> and support for their social integration</w:t>
      </w:r>
      <w:r w:rsidR="005020B8">
        <w:rPr>
          <w:b/>
          <w:bCs/>
        </w:rPr>
        <w:t>;</w:t>
      </w:r>
    </w:p>
    <w:p w14:paraId="069A0585" w14:textId="77777777" w:rsidR="00616959" w:rsidRPr="009C526B" w:rsidRDefault="00741DFA" w:rsidP="00616959">
      <w:pPr>
        <w:pStyle w:val="SingleTxtG"/>
        <w:numPr>
          <w:ilvl w:val="1"/>
          <w:numId w:val="6"/>
        </w:numPr>
        <w:tabs>
          <w:tab w:val="clear" w:pos="1701"/>
          <w:tab w:val="clear" w:pos="2268"/>
          <w:tab w:val="clear" w:pos="2835"/>
        </w:tabs>
        <w:ind w:left="1134" w:firstLine="567"/>
      </w:pPr>
      <w:r>
        <w:rPr>
          <w:b/>
        </w:rPr>
        <w:t>Continue to i</w:t>
      </w:r>
      <w:r w:rsidR="005020B8">
        <w:rPr>
          <w:b/>
        </w:rPr>
        <w:t>nvestigate reports of disappearance of children from reception facilities and take measures to prevent such disappearance</w:t>
      </w:r>
      <w:r w:rsidR="005E148C">
        <w:rPr>
          <w:b/>
        </w:rPr>
        <w:t>s</w:t>
      </w:r>
      <w:r w:rsidR="001E56BB">
        <w:rPr>
          <w:b/>
          <w:bCs/>
        </w:rPr>
        <w:t>.</w:t>
      </w:r>
    </w:p>
    <w:p w14:paraId="5DD264A1" w14:textId="77777777" w:rsidR="00D96C8C" w:rsidRPr="009C526B" w:rsidRDefault="009C526B" w:rsidP="009C526B">
      <w:pPr>
        <w:pStyle w:val="H23G"/>
      </w:pPr>
      <w:r>
        <w:tab/>
      </w:r>
      <w:r>
        <w:tab/>
      </w:r>
      <w:r w:rsidR="001933E5">
        <w:t>T</w:t>
      </w:r>
      <w:r w:rsidRPr="009C526B">
        <w:t>rafficking</w:t>
      </w:r>
    </w:p>
    <w:p w14:paraId="6B6B5FDC" w14:textId="77777777" w:rsidR="009C526B" w:rsidRPr="008A12CC" w:rsidRDefault="007238B1" w:rsidP="009C526B">
      <w:pPr>
        <w:pStyle w:val="SingleTxtG"/>
        <w:numPr>
          <w:ilvl w:val="0"/>
          <w:numId w:val="6"/>
        </w:numPr>
        <w:tabs>
          <w:tab w:val="clear" w:pos="1701"/>
          <w:tab w:val="clear" w:pos="2268"/>
          <w:tab w:val="clear" w:pos="2835"/>
        </w:tabs>
        <w:ind w:left="1134" w:firstLine="0"/>
      </w:pPr>
      <w:r>
        <w:rPr>
          <w:b/>
        </w:rPr>
        <w:t>The Committee</w:t>
      </w:r>
      <w:r w:rsidR="00F87D06">
        <w:rPr>
          <w:b/>
        </w:rPr>
        <w:t xml:space="preserve"> welcomes the measures taken to address trafficking but</w:t>
      </w:r>
      <w:r>
        <w:rPr>
          <w:b/>
        </w:rPr>
        <w:t xml:space="preserve"> remains </w:t>
      </w:r>
      <w:r w:rsidR="00400267">
        <w:rPr>
          <w:b/>
        </w:rPr>
        <w:t>concern</w:t>
      </w:r>
      <w:r>
        <w:rPr>
          <w:b/>
        </w:rPr>
        <w:t>ed</w:t>
      </w:r>
      <w:r w:rsidR="00C410EE">
        <w:rPr>
          <w:b/>
        </w:rPr>
        <w:t xml:space="preserve"> that</w:t>
      </w:r>
      <w:r w:rsidR="00400267" w:rsidRPr="00400267">
        <w:rPr>
          <w:b/>
        </w:rPr>
        <w:t xml:space="preserve"> </w:t>
      </w:r>
      <w:r>
        <w:rPr>
          <w:b/>
        </w:rPr>
        <w:t xml:space="preserve">residence </w:t>
      </w:r>
      <w:r w:rsidR="00400267" w:rsidRPr="00400267">
        <w:rPr>
          <w:b/>
        </w:rPr>
        <w:t xml:space="preserve">permits </w:t>
      </w:r>
      <w:proofErr w:type="gramStart"/>
      <w:r w:rsidR="00400267" w:rsidRPr="00400267">
        <w:rPr>
          <w:b/>
        </w:rPr>
        <w:t>are rarely issued</w:t>
      </w:r>
      <w:proofErr w:type="gramEnd"/>
      <w:r w:rsidR="00400267" w:rsidRPr="00400267">
        <w:rPr>
          <w:b/>
        </w:rPr>
        <w:t xml:space="preserve"> to child victims of trafficking who do not cooperate in a criminal investigation, despite their eligibility</w:t>
      </w:r>
      <w:r>
        <w:rPr>
          <w:b/>
        </w:rPr>
        <w:t xml:space="preserve"> under recent policy changes</w:t>
      </w:r>
      <w:r w:rsidR="00400267" w:rsidRPr="00400267">
        <w:rPr>
          <w:b/>
        </w:rPr>
        <w:t>,</w:t>
      </w:r>
      <w:r>
        <w:rPr>
          <w:b/>
        </w:rPr>
        <w:t xml:space="preserve"> due to a lack of re</w:t>
      </w:r>
      <w:r w:rsidR="00400267" w:rsidRPr="00400267">
        <w:rPr>
          <w:b/>
        </w:rPr>
        <w:t xml:space="preserve">lated criminal </w:t>
      </w:r>
      <w:r w:rsidR="00400267" w:rsidRPr="007238B1">
        <w:rPr>
          <w:b/>
        </w:rPr>
        <w:t xml:space="preserve">investigations. The </w:t>
      </w:r>
      <w:r w:rsidRPr="007238B1">
        <w:rPr>
          <w:b/>
        </w:rPr>
        <w:t>Committee</w:t>
      </w:r>
      <w:r>
        <w:t xml:space="preserve"> </w:t>
      </w:r>
      <w:r w:rsidR="009C526B">
        <w:rPr>
          <w:b/>
        </w:rPr>
        <w:t>recommends</w:t>
      </w:r>
      <w:r w:rsidR="00E651D7">
        <w:rPr>
          <w:b/>
        </w:rPr>
        <w:t xml:space="preserve"> that the State party:</w:t>
      </w:r>
    </w:p>
    <w:p w14:paraId="11495FEE" w14:textId="77777777" w:rsidR="007D77FB" w:rsidRDefault="007D77FB" w:rsidP="007D77FB">
      <w:pPr>
        <w:pStyle w:val="SingleTxtG"/>
        <w:numPr>
          <w:ilvl w:val="1"/>
          <w:numId w:val="6"/>
        </w:numPr>
        <w:tabs>
          <w:tab w:val="clear" w:pos="1701"/>
          <w:tab w:val="clear" w:pos="2268"/>
          <w:tab w:val="clear" w:pos="2835"/>
        </w:tabs>
        <w:ind w:left="1134" w:firstLine="567"/>
        <w:rPr>
          <w:b/>
        </w:rPr>
      </w:pPr>
      <w:r>
        <w:rPr>
          <w:b/>
        </w:rPr>
        <w:t>Issue</w:t>
      </w:r>
      <w:r w:rsidRPr="00231F99">
        <w:rPr>
          <w:b/>
        </w:rPr>
        <w:t xml:space="preserve"> special residency </w:t>
      </w:r>
      <w:r w:rsidR="00406A5A">
        <w:rPr>
          <w:b/>
        </w:rPr>
        <w:t>permits</w:t>
      </w:r>
      <w:r w:rsidRPr="00231F99">
        <w:rPr>
          <w:b/>
        </w:rPr>
        <w:t xml:space="preserve"> for </w:t>
      </w:r>
      <w:r>
        <w:rPr>
          <w:b/>
        </w:rPr>
        <w:t xml:space="preserve">all alleged </w:t>
      </w:r>
      <w:r w:rsidRPr="00231F99">
        <w:rPr>
          <w:b/>
        </w:rPr>
        <w:t>child victims of trafficking</w:t>
      </w:r>
      <w:r>
        <w:rPr>
          <w:b/>
        </w:rPr>
        <w:t>, irrespective of related criminal investigations, and ensure sufficient human, technical and financial resources and coordination among authorities working on the protection of child victims of trafficking at all levels;</w:t>
      </w:r>
    </w:p>
    <w:p w14:paraId="46F1DB3E" w14:textId="77777777" w:rsidR="00740F2E" w:rsidRDefault="006237AF" w:rsidP="008A12CC">
      <w:pPr>
        <w:pStyle w:val="SingleTxtG"/>
        <w:numPr>
          <w:ilvl w:val="1"/>
          <w:numId w:val="6"/>
        </w:numPr>
        <w:tabs>
          <w:tab w:val="clear" w:pos="1701"/>
          <w:tab w:val="clear" w:pos="2268"/>
          <w:tab w:val="clear" w:pos="2835"/>
        </w:tabs>
        <w:ind w:left="1134" w:firstLine="567"/>
        <w:rPr>
          <w:b/>
        </w:rPr>
      </w:pPr>
      <w:r>
        <w:rPr>
          <w:b/>
        </w:rPr>
        <w:t>Develop a mechanism for monitoring and evaluating the implementation of the “</w:t>
      </w:r>
      <w:r w:rsidRPr="006237AF">
        <w:rPr>
          <w:b/>
        </w:rPr>
        <w:t>Together against human trafficking</w:t>
      </w:r>
      <w:r w:rsidR="00C60B94">
        <w:rPr>
          <w:b/>
        </w:rPr>
        <w:t>”</w:t>
      </w:r>
      <w:r w:rsidRPr="006237AF">
        <w:rPr>
          <w:b/>
        </w:rPr>
        <w:t xml:space="preserve"> </w:t>
      </w:r>
      <w:r>
        <w:rPr>
          <w:b/>
        </w:rPr>
        <w:t>programme, based on</w:t>
      </w:r>
      <w:r w:rsidR="001A3E3D">
        <w:rPr>
          <w:b/>
        </w:rPr>
        <w:t xml:space="preserve"> </w:t>
      </w:r>
      <w:r w:rsidR="00613539">
        <w:rPr>
          <w:b/>
        </w:rPr>
        <w:t>a clear set of measurable</w:t>
      </w:r>
      <w:r w:rsidR="001A3E3D">
        <w:rPr>
          <w:b/>
        </w:rPr>
        <w:t xml:space="preserve"> outcomes and</w:t>
      </w:r>
      <w:r w:rsidR="00613539">
        <w:rPr>
          <w:b/>
        </w:rPr>
        <w:t xml:space="preserve"> indicators</w:t>
      </w:r>
      <w:r w:rsidR="00740F2E">
        <w:rPr>
          <w:b/>
        </w:rPr>
        <w:t>;</w:t>
      </w:r>
    </w:p>
    <w:p w14:paraId="4774B2B0" w14:textId="77777777" w:rsidR="008A12CC" w:rsidRDefault="007D77FB" w:rsidP="008A12CC">
      <w:pPr>
        <w:pStyle w:val="SingleTxtG"/>
        <w:numPr>
          <w:ilvl w:val="1"/>
          <w:numId w:val="6"/>
        </w:numPr>
        <w:tabs>
          <w:tab w:val="clear" w:pos="1701"/>
          <w:tab w:val="clear" w:pos="2268"/>
          <w:tab w:val="clear" w:pos="2835"/>
        </w:tabs>
        <w:ind w:left="1134" w:firstLine="567"/>
        <w:rPr>
          <w:b/>
        </w:rPr>
      </w:pPr>
      <w:r>
        <w:rPr>
          <w:b/>
        </w:rPr>
        <w:lastRenderedPageBreak/>
        <w:t>Ensure that all municipalities have developed strategies or action plans for preventing and combating trafficking</w:t>
      </w:r>
      <w:r w:rsidR="00307C84">
        <w:rPr>
          <w:b/>
        </w:rPr>
        <w:t xml:space="preserve"> of children</w:t>
      </w:r>
      <w:r>
        <w:rPr>
          <w:b/>
        </w:rPr>
        <w:t>, including for online sexual exploitation and the</w:t>
      </w:r>
      <w:r w:rsidR="00307C84">
        <w:rPr>
          <w:b/>
        </w:rPr>
        <w:t>ir</w:t>
      </w:r>
      <w:r>
        <w:rPr>
          <w:b/>
        </w:rPr>
        <w:t xml:space="preserve"> criminal exploitation by “lover boys”</w:t>
      </w:r>
      <w:r w:rsidR="001933E5">
        <w:rPr>
          <w:b/>
        </w:rPr>
        <w:t>.</w:t>
      </w:r>
    </w:p>
    <w:p w14:paraId="62F7E99E" w14:textId="77777777" w:rsidR="00D96C8C" w:rsidRPr="000269C5" w:rsidRDefault="00616959" w:rsidP="00616959">
      <w:pPr>
        <w:pStyle w:val="H23G"/>
      </w:pPr>
      <w:r>
        <w:tab/>
      </w:r>
      <w:r>
        <w:tab/>
      </w:r>
      <w:r w:rsidRPr="00520A3A">
        <w:t>Administration of child justice</w:t>
      </w:r>
    </w:p>
    <w:p w14:paraId="5BCA50E0" w14:textId="77777777" w:rsidR="00D407EA" w:rsidRDefault="00616959" w:rsidP="00616959">
      <w:pPr>
        <w:pStyle w:val="SingleTxtG"/>
        <w:numPr>
          <w:ilvl w:val="0"/>
          <w:numId w:val="6"/>
        </w:numPr>
        <w:tabs>
          <w:tab w:val="clear" w:pos="1701"/>
          <w:tab w:val="clear" w:pos="2268"/>
          <w:tab w:val="clear" w:pos="2835"/>
        </w:tabs>
        <w:ind w:left="1134" w:firstLine="0"/>
      </w:pPr>
      <w:r w:rsidRPr="001244A1">
        <w:t>The Committee</w:t>
      </w:r>
      <w:r w:rsidR="00036337">
        <w:t xml:space="preserve"> welcomes the measures taken to </w:t>
      </w:r>
      <w:r w:rsidR="006409C2">
        <w:t xml:space="preserve">ensure the applicability of the child justice system in </w:t>
      </w:r>
      <w:r w:rsidR="008962B3">
        <w:t>all constituent countries</w:t>
      </w:r>
      <w:r w:rsidR="006409C2">
        <w:t xml:space="preserve"> and to </w:t>
      </w:r>
      <w:r w:rsidR="00036337">
        <w:t>promote alternative measures to detention, including through small-scale facilities that allow children to stay close to home</w:t>
      </w:r>
      <w:r w:rsidR="006409C2">
        <w:t xml:space="preserve">. </w:t>
      </w:r>
      <w:r w:rsidR="00C54827">
        <w:t>However, i</w:t>
      </w:r>
      <w:r w:rsidR="006409C2">
        <w:t>t is</w:t>
      </w:r>
      <w:r w:rsidR="00036337">
        <w:t xml:space="preserve"> concerned</w:t>
      </w:r>
      <w:r w:rsidR="00174744">
        <w:t xml:space="preserve"> </w:t>
      </w:r>
      <w:r w:rsidR="009B0686">
        <w:t>that:</w:t>
      </w:r>
      <w:r w:rsidR="00174744">
        <w:t xml:space="preserve"> </w:t>
      </w:r>
    </w:p>
    <w:p w14:paraId="7B8D9297" w14:textId="77777777" w:rsidR="009B0686" w:rsidRDefault="009B0686" w:rsidP="00D06CA9">
      <w:pPr>
        <w:pStyle w:val="SingleTxtG"/>
        <w:numPr>
          <w:ilvl w:val="0"/>
          <w:numId w:val="27"/>
        </w:numPr>
        <w:tabs>
          <w:tab w:val="clear" w:pos="1701"/>
          <w:tab w:val="clear" w:pos="2268"/>
          <w:tab w:val="clear" w:pos="2835"/>
        </w:tabs>
        <w:ind w:left="1134" w:firstLine="567"/>
      </w:pPr>
      <w:r>
        <w:t>The age of criminal responsibility is 12 years;</w:t>
      </w:r>
    </w:p>
    <w:p w14:paraId="013D964F" w14:textId="56ECA7E9" w:rsidR="00F5438F" w:rsidRDefault="00C22671" w:rsidP="00D06CA9">
      <w:pPr>
        <w:pStyle w:val="SingleTxtG"/>
        <w:numPr>
          <w:ilvl w:val="0"/>
          <w:numId w:val="27"/>
        </w:numPr>
        <w:tabs>
          <w:tab w:val="clear" w:pos="1701"/>
          <w:tab w:val="clear" w:pos="2268"/>
          <w:tab w:val="clear" w:pos="2835"/>
        </w:tabs>
        <w:ind w:left="1134" w:firstLine="567"/>
      </w:pPr>
      <w:r>
        <w:t xml:space="preserve">The Juvenile </w:t>
      </w:r>
      <w:r w:rsidR="00D407EA">
        <w:t>Courts can</w:t>
      </w:r>
      <w:r>
        <w:t>, in specific situations, impose sanctions for adults to children who</w:t>
      </w:r>
      <w:r w:rsidR="008E1247">
        <w:t xml:space="preserve"> had reached the age of 16</w:t>
      </w:r>
      <w:r>
        <w:t xml:space="preserve"> at the time the offence was committed</w:t>
      </w:r>
      <w:r w:rsidR="00F5438F">
        <w:t>;</w:t>
      </w:r>
      <w:r w:rsidR="009B0686" w:rsidRPr="009B0686">
        <w:t xml:space="preserve"> </w:t>
      </w:r>
    </w:p>
    <w:p w14:paraId="32BBF418" w14:textId="77777777" w:rsidR="00F9371E" w:rsidRDefault="00B2406C" w:rsidP="00D06CA9">
      <w:pPr>
        <w:pStyle w:val="SingleTxtG"/>
        <w:numPr>
          <w:ilvl w:val="0"/>
          <w:numId w:val="27"/>
        </w:numPr>
        <w:tabs>
          <w:tab w:val="clear" w:pos="1701"/>
          <w:tab w:val="clear" w:pos="2268"/>
          <w:tab w:val="clear" w:pos="2835"/>
        </w:tabs>
        <w:ind w:left="1134" w:firstLine="567"/>
      </w:pPr>
      <w:r>
        <w:t>Children are not routinely provided with legal representation for certain “non-serious offences”;</w:t>
      </w:r>
    </w:p>
    <w:p w14:paraId="6F901AAD" w14:textId="77777777" w:rsidR="00B20001" w:rsidRDefault="00926DF5" w:rsidP="00D06CA9">
      <w:pPr>
        <w:pStyle w:val="SingleTxtG"/>
        <w:numPr>
          <w:ilvl w:val="0"/>
          <w:numId w:val="27"/>
        </w:numPr>
        <w:tabs>
          <w:tab w:val="clear" w:pos="1701"/>
          <w:tab w:val="clear" w:pos="2268"/>
          <w:tab w:val="clear" w:pos="2835"/>
        </w:tabs>
        <w:ind w:left="1134" w:firstLine="567"/>
      </w:pPr>
      <w:r>
        <w:t>A significant proportion of children in justice institutions are in</w:t>
      </w:r>
      <w:r w:rsidR="00C14303">
        <w:t xml:space="preserve"> </w:t>
      </w:r>
      <w:proofErr w:type="spellStart"/>
      <w:r w:rsidR="00C14303">
        <w:t>pre</w:t>
      </w:r>
      <w:r w:rsidR="00174744">
        <w:t>trial</w:t>
      </w:r>
      <w:proofErr w:type="spellEnd"/>
      <w:r w:rsidR="00174744">
        <w:t xml:space="preserve"> detention</w:t>
      </w:r>
      <w:r>
        <w:t xml:space="preserve">, including in police cells, and that children in </w:t>
      </w:r>
      <w:proofErr w:type="spellStart"/>
      <w:r w:rsidR="00715EB8">
        <w:t>Curaçao</w:t>
      </w:r>
      <w:proofErr w:type="spellEnd"/>
      <w:r>
        <w:t xml:space="preserve"> are sometimes detained with adults</w:t>
      </w:r>
      <w:r w:rsidR="0010369B">
        <w:t>;</w:t>
      </w:r>
    </w:p>
    <w:p w14:paraId="065C6203" w14:textId="77777777" w:rsidR="005A26C0" w:rsidRDefault="008125D1" w:rsidP="00D06CA9">
      <w:pPr>
        <w:pStyle w:val="SingleTxtG"/>
        <w:numPr>
          <w:ilvl w:val="0"/>
          <w:numId w:val="27"/>
        </w:numPr>
        <w:tabs>
          <w:tab w:val="clear" w:pos="1701"/>
          <w:tab w:val="clear" w:pos="2268"/>
          <w:tab w:val="clear" w:pos="2835"/>
        </w:tabs>
        <w:ind w:left="1134" w:firstLine="567"/>
      </w:pPr>
      <w:r>
        <w:t>C</w:t>
      </w:r>
      <w:r w:rsidR="00365BC8">
        <w:t xml:space="preserve">hildren in youth care facilities, including residential youth care and mental health care institutions, </w:t>
      </w:r>
      <w:r w:rsidR="004609C6">
        <w:t xml:space="preserve">are </w:t>
      </w:r>
      <w:r w:rsidR="00D17FCE">
        <w:t>sometimes separated from other children</w:t>
      </w:r>
      <w:r w:rsidR="00BA459A">
        <w:t xml:space="preserve"> without proper records being kept</w:t>
      </w:r>
      <w:r w:rsidR="006212B0">
        <w:t>;</w:t>
      </w:r>
    </w:p>
    <w:p w14:paraId="2128D267" w14:textId="77777777" w:rsidR="00D06CA9" w:rsidRDefault="00D06CA9" w:rsidP="00D06CA9">
      <w:pPr>
        <w:pStyle w:val="SingleTxtG"/>
        <w:numPr>
          <w:ilvl w:val="0"/>
          <w:numId w:val="27"/>
        </w:numPr>
        <w:tabs>
          <w:tab w:val="clear" w:pos="1701"/>
          <w:tab w:val="clear" w:pos="2268"/>
          <w:tab w:val="clear" w:pos="2835"/>
        </w:tabs>
        <w:ind w:left="1134" w:firstLine="567"/>
      </w:pPr>
      <w:r>
        <w:t xml:space="preserve">There </w:t>
      </w:r>
      <w:r w:rsidR="00A115FE">
        <w:t xml:space="preserve">is limited information on </w:t>
      </w:r>
      <w:r>
        <w:t xml:space="preserve">prevention </w:t>
      </w:r>
      <w:r w:rsidR="00A115FE">
        <w:t xml:space="preserve">measures </w:t>
      </w:r>
      <w:r>
        <w:t>aimed at addressing the root causes of children’s involvement in the child justice system</w:t>
      </w:r>
      <w:r w:rsidR="00B2406C">
        <w:t xml:space="preserve">, particularly in </w:t>
      </w:r>
      <w:proofErr w:type="spellStart"/>
      <w:r w:rsidR="00B2406C">
        <w:t>Curaçao</w:t>
      </w:r>
      <w:proofErr w:type="spellEnd"/>
      <w:r>
        <w:t xml:space="preserve">; </w:t>
      </w:r>
    </w:p>
    <w:p w14:paraId="361C6D92" w14:textId="77777777" w:rsidR="00BA459A" w:rsidRDefault="0078145C" w:rsidP="00D06CA9">
      <w:pPr>
        <w:pStyle w:val="SingleTxtG"/>
        <w:numPr>
          <w:ilvl w:val="0"/>
          <w:numId w:val="27"/>
        </w:numPr>
        <w:tabs>
          <w:tab w:val="clear" w:pos="1701"/>
          <w:tab w:val="clear" w:pos="2268"/>
          <w:tab w:val="clear" w:pos="2835"/>
        </w:tabs>
        <w:ind w:left="1134" w:firstLine="567"/>
      </w:pPr>
      <w:r w:rsidRPr="0078145C">
        <w:t xml:space="preserve">The law still permits </w:t>
      </w:r>
      <w:r w:rsidR="0008526B">
        <w:t xml:space="preserve">DNA </w:t>
      </w:r>
      <w:r w:rsidR="004C5F43">
        <w:t>samples</w:t>
      </w:r>
      <w:r w:rsidRPr="0078145C">
        <w:t xml:space="preserve"> to be taken </w:t>
      </w:r>
      <w:r w:rsidR="00401625">
        <w:t xml:space="preserve">and stored </w:t>
      </w:r>
      <w:r w:rsidRPr="0078145C">
        <w:t>from children who have been sentenced to prison, detention in a youth custody centre or community service of 40 hours or more</w:t>
      </w:r>
      <w:r w:rsidR="00495010">
        <w:t>;</w:t>
      </w:r>
      <w:r w:rsidRPr="0078145C">
        <w:t xml:space="preserve"> </w:t>
      </w:r>
    </w:p>
    <w:p w14:paraId="7BA43DB2" w14:textId="4FF28AE8" w:rsidR="00616959" w:rsidRPr="001244A1" w:rsidRDefault="00BA459A" w:rsidP="00D06CA9">
      <w:pPr>
        <w:pStyle w:val="SingleTxtG"/>
        <w:numPr>
          <w:ilvl w:val="0"/>
          <w:numId w:val="27"/>
        </w:numPr>
        <w:tabs>
          <w:tab w:val="clear" w:pos="1701"/>
          <w:tab w:val="clear" w:pos="2268"/>
          <w:tab w:val="clear" w:pos="2835"/>
        </w:tabs>
        <w:ind w:left="1134" w:firstLine="567"/>
      </w:pPr>
      <w:r>
        <w:t>S</w:t>
      </w:r>
      <w:r w:rsidR="0078145C" w:rsidRPr="0078145C">
        <w:t>ome children</w:t>
      </w:r>
      <w:r w:rsidR="00EE4DBE">
        <w:t xml:space="preserve"> with specified offences</w:t>
      </w:r>
      <w:r w:rsidR="0078145C" w:rsidRPr="0078145C">
        <w:t xml:space="preserve">, including those who </w:t>
      </w:r>
      <w:proofErr w:type="gramStart"/>
      <w:r w:rsidR="0078145C" w:rsidRPr="0078145C">
        <w:t>were convicted</w:t>
      </w:r>
      <w:proofErr w:type="gramEnd"/>
      <w:r w:rsidR="0078145C" w:rsidRPr="0078145C">
        <w:t xml:space="preserve"> for a sexual crime, </w:t>
      </w:r>
      <w:r w:rsidR="00653D90">
        <w:t xml:space="preserve">will </w:t>
      </w:r>
      <w:r w:rsidR="00E64030">
        <w:t>not</w:t>
      </w:r>
      <w:r w:rsidR="00653D90">
        <w:t xml:space="preserve"> be </w:t>
      </w:r>
      <w:r w:rsidR="0078145C">
        <w:t>able</w:t>
      </w:r>
      <w:r w:rsidR="0078145C" w:rsidRPr="0078145C">
        <w:t xml:space="preserve"> to </w:t>
      </w:r>
      <w:r w:rsidR="0078145C">
        <w:t>obtain</w:t>
      </w:r>
      <w:r w:rsidR="007C3B29">
        <w:t xml:space="preserve"> a certificate of conduct.</w:t>
      </w:r>
    </w:p>
    <w:p w14:paraId="66DFD6B0" w14:textId="77777777" w:rsidR="00616959" w:rsidRPr="00FC61EB" w:rsidRDefault="00E673AF" w:rsidP="00616959">
      <w:pPr>
        <w:pStyle w:val="SingleTxtG"/>
        <w:numPr>
          <w:ilvl w:val="0"/>
          <w:numId w:val="6"/>
        </w:numPr>
        <w:tabs>
          <w:tab w:val="clear" w:pos="1701"/>
          <w:tab w:val="clear" w:pos="2268"/>
          <w:tab w:val="clear" w:pos="2835"/>
        </w:tabs>
        <w:ind w:left="1134" w:firstLine="0"/>
      </w:pPr>
      <w:r>
        <w:rPr>
          <w:b/>
        </w:rPr>
        <w:t>With reference to</w:t>
      </w:r>
      <w:r w:rsidR="00616959" w:rsidRPr="00FC61EB">
        <w:rPr>
          <w:b/>
        </w:rPr>
        <w:t xml:space="preserve"> its general comment No. 24 (2019) on children’s rights in the child justice system</w:t>
      </w:r>
      <w:r>
        <w:rPr>
          <w:b/>
        </w:rPr>
        <w:t xml:space="preserve">, </w:t>
      </w:r>
      <w:r w:rsidR="00616959" w:rsidRPr="00FC61EB">
        <w:rPr>
          <w:b/>
        </w:rPr>
        <w:t xml:space="preserve">the Committee </w:t>
      </w:r>
      <w:r w:rsidR="00616959">
        <w:rPr>
          <w:b/>
        </w:rPr>
        <w:t>recommends that</w:t>
      </w:r>
      <w:r w:rsidR="00616959" w:rsidRPr="00FC61EB">
        <w:rPr>
          <w:b/>
        </w:rPr>
        <w:t xml:space="preserve"> the State party</w:t>
      </w:r>
      <w:r w:rsidR="00616959" w:rsidRPr="00FC61EB">
        <w:t>:</w:t>
      </w:r>
    </w:p>
    <w:p w14:paraId="343C160C" w14:textId="77777777" w:rsidR="00174744" w:rsidRPr="003154BA" w:rsidRDefault="00E45777" w:rsidP="00174744">
      <w:pPr>
        <w:pStyle w:val="SingleTxtG"/>
        <w:numPr>
          <w:ilvl w:val="1"/>
          <w:numId w:val="14"/>
        </w:numPr>
        <w:tabs>
          <w:tab w:val="clear" w:pos="1701"/>
          <w:tab w:val="clear" w:pos="2268"/>
          <w:tab w:val="clear" w:pos="2835"/>
        </w:tabs>
        <w:ind w:left="1134" w:firstLine="567"/>
        <w:rPr>
          <w:b/>
        </w:rPr>
      </w:pPr>
      <w:r>
        <w:rPr>
          <w:b/>
        </w:rPr>
        <w:t>Consider r</w:t>
      </w:r>
      <w:r w:rsidR="00174744" w:rsidRPr="00A8445C">
        <w:rPr>
          <w:b/>
        </w:rPr>
        <w:t>ais</w:t>
      </w:r>
      <w:r>
        <w:rPr>
          <w:b/>
        </w:rPr>
        <w:t>ing</w:t>
      </w:r>
      <w:r w:rsidR="00174744" w:rsidRPr="00A8445C">
        <w:rPr>
          <w:b/>
        </w:rPr>
        <w:t xml:space="preserve"> the age of criminal responsibility to at least 14 years</w:t>
      </w:r>
      <w:r w:rsidR="00174744">
        <w:rPr>
          <w:rFonts w:eastAsia="Calibri"/>
          <w:b/>
          <w:lang w:eastAsia="de-DE"/>
        </w:rPr>
        <w:t>;</w:t>
      </w:r>
    </w:p>
    <w:p w14:paraId="0026AAB9" w14:textId="77777777" w:rsidR="005C3462" w:rsidRPr="005C3462" w:rsidRDefault="00F5438F" w:rsidP="00616959">
      <w:pPr>
        <w:pStyle w:val="SingleTxtG"/>
        <w:numPr>
          <w:ilvl w:val="1"/>
          <w:numId w:val="14"/>
        </w:numPr>
        <w:tabs>
          <w:tab w:val="clear" w:pos="1701"/>
          <w:tab w:val="clear" w:pos="2268"/>
          <w:tab w:val="clear" w:pos="2835"/>
        </w:tabs>
        <w:ind w:left="1134" w:firstLine="567"/>
        <w:rPr>
          <w:rFonts w:eastAsia="Calibri"/>
          <w:b/>
          <w:lang w:eastAsia="de-DE"/>
        </w:rPr>
      </w:pPr>
      <w:r>
        <w:rPr>
          <w:b/>
        </w:rPr>
        <w:t xml:space="preserve">Consider a review of the law </w:t>
      </w:r>
      <w:r w:rsidR="005C3462" w:rsidRPr="005C3462">
        <w:rPr>
          <w:b/>
        </w:rPr>
        <w:t xml:space="preserve">to ensure </w:t>
      </w:r>
      <w:r>
        <w:rPr>
          <w:b/>
        </w:rPr>
        <w:t xml:space="preserve">the </w:t>
      </w:r>
      <w:r w:rsidR="005C3462" w:rsidRPr="005C3462">
        <w:rPr>
          <w:b/>
        </w:rPr>
        <w:t>application of its child justice</w:t>
      </w:r>
      <w:r>
        <w:rPr>
          <w:b/>
        </w:rPr>
        <w:t xml:space="preserve"> system</w:t>
      </w:r>
      <w:r w:rsidR="005C3462" w:rsidRPr="005C3462">
        <w:rPr>
          <w:b/>
        </w:rPr>
        <w:t xml:space="preserve"> to all children</w:t>
      </w:r>
      <w:r>
        <w:rPr>
          <w:b/>
        </w:rPr>
        <w:t xml:space="preserve"> below the age of 18 years</w:t>
      </w:r>
      <w:r w:rsidR="005C3462" w:rsidRPr="005C3462">
        <w:rPr>
          <w:b/>
        </w:rPr>
        <w:t>;</w:t>
      </w:r>
    </w:p>
    <w:p w14:paraId="66701EF2" w14:textId="77777777" w:rsidR="00616959" w:rsidRPr="00C61C55" w:rsidRDefault="00E67B4C" w:rsidP="00616959">
      <w:pPr>
        <w:pStyle w:val="SingleTxtG"/>
        <w:numPr>
          <w:ilvl w:val="1"/>
          <w:numId w:val="14"/>
        </w:numPr>
        <w:tabs>
          <w:tab w:val="clear" w:pos="1701"/>
          <w:tab w:val="clear" w:pos="2268"/>
          <w:tab w:val="clear" w:pos="2835"/>
        </w:tabs>
        <w:ind w:left="1134" w:firstLine="567"/>
        <w:rPr>
          <w:rFonts w:eastAsia="Calibri"/>
          <w:b/>
          <w:lang w:eastAsia="de-DE"/>
        </w:rPr>
      </w:pPr>
      <w:r w:rsidRPr="006A6946">
        <w:rPr>
          <w:b/>
        </w:rPr>
        <w:t xml:space="preserve">Prevent and limit the use of </w:t>
      </w:r>
      <w:proofErr w:type="spellStart"/>
      <w:r w:rsidRPr="006A6946">
        <w:rPr>
          <w:b/>
        </w:rPr>
        <w:t>pretrial</w:t>
      </w:r>
      <w:proofErr w:type="spellEnd"/>
      <w:r w:rsidRPr="006A6946">
        <w:rPr>
          <w:b/>
        </w:rPr>
        <w:t xml:space="preserve"> detention by ensuring that children arrested and deprived of their liberty are promptly brought before a competent authority to examine the legality of the deprivation of liberty or its continuation;</w:t>
      </w:r>
    </w:p>
    <w:p w14:paraId="76601C67" w14:textId="77777777" w:rsidR="00524BB0" w:rsidRPr="002F1A7B" w:rsidRDefault="00AF0BCC" w:rsidP="00616959">
      <w:pPr>
        <w:pStyle w:val="SingleTxtG"/>
        <w:numPr>
          <w:ilvl w:val="1"/>
          <w:numId w:val="14"/>
        </w:numPr>
        <w:tabs>
          <w:tab w:val="clear" w:pos="1701"/>
          <w:tab w:val="clear" w:pos="2268"/>
          <w:tab w:val="clear" w:pos="2835"/>
        </w:tabs>
        <w:ind w:left="1134" w:firstLine="567"/>
        <w:rPr>
          <w:b/>
        </w:rPr>
      </w:pPr>
      <w:r w:rsidRPr="002F1A7B">
        <w:rPr>
          <w:b/>
        </w:rPr>
        <w:t xml:space="preserve">Monitor the application of </w:t>
      </w:r>
      <w:r w:rsidR="00617F20" w:rsidRPr="002F1A7B">
        <w:rPr>
          <w:b/>
        </w:rPr>
        <w:t xml:space="preserve">deprivation of liberty </w:t>
      </w:r>
      <w:r w:rsidRPr="002F1A7B">
        <w:rPr>
          <w:b/>
        </w:rPr>
        <w:t>to</w:t>
      </w:r>
      <w:r w:rsidR="00617F20" w:rsidRPr="002F1A7B">
        <w:rPr>
          <w:b/>
        </w:rPr>
        <w:t xml:space="preserve"> ensure </w:t>
      </w:r>
      <w:r w:rsidR="00524BB0" w:rsidRPr="002F1A7B">
        <w:rPr>
          <w:b/>
        </w:rPr>
        <w:t xml:space="preserve">that </w:t>
      </w:r>
      <w:r w:rsidR="00617F20" w:rsidRPr="002F1A7B">
        <w:rPr>
          <w:b/>
        </w:rPr>
        <w:t xml:space="preserve">it </w:t>
      </w:r>
      <w:r w:rsidR="001F699B" w:rsidRPr="002F1A7B">
        <w:rPr>
          <w:b/>
        </w:rPr>
        <w:t>is used only</w:t>
      </w:r>
      <w:r w:rsidR="00926DF5" w:rsidRPr="002F1A7B">
        <w:rPr>
          <w:b/>
        </w:rPr>
        <w:t xml:space="preserve"> </w:t>
      </w:r>
      <w:r w:rsidR="00524BB0" w:rsidRPr="002F1A7B">
        <w:rPr>
          <w:b/>
        </w:rPr>
        <w:t>as a measure of last resort and for the shortest possible period of time</w:t>
      </w:r>
      <w:r w:rsidR="00926DF5" w:rsidRPr="002F1A7B">
        <w:rPr>
          <w:b/>
        </w:rPr>
        <w:t>,</w:t>
      </w:r>
      <w:r w:rsidR="00524BB0" w:rsidRPr="002F1A7B">
        <w:rPr>
          <w:b/>
        </w:rPr>
        <w:t xml:space="preserve"> and that it is regularly reviewed with a view to its withdrawal;</w:t>
      </w:r>
    </w:p>
    <w:p w14:paraId="602E989F" w14:textId="77777777" w:rsidR="002F1A7B" w:rsidRPr="002F1A7B" w:rsidRDefault="002F1A7B" w:rsidP="00616959">
      <w:pPr>
        <w:pStyle w:val="SingleTxtG"/>
        <w:numPr>
          <w:ilvl w:val="1"/>
          <w:numId w:val="14"/>
        </w:numPr>
        <w:tabs>
          <w:tab w:val="clear" w:pos="1701"/>
          <w:tab w:val="clear" w:pos="2268"/>
          <w:tab w:val="clear" w:pos="2835"/>
        </w:tabs>
        <w:ind w:left="1134" w:firstLine="567"/>
        <w:rPr>
          <w:b/>
        </w:rPr>
      </w:pPr>
      <w:r w:rsidRPr="002F1A7B">
        <w:rPr>
          <w:b/>
        </w:rPr>
        <w:t>Ensure that any separation of a child from other</w:t>
      </w:r>
      <w:r w:rsidR="00E72D67">
        <w:rPr>
          <w:b/>
        </w:rPr>
        <w:t xml:space="preserve"> children</w:t>
      </w:r>
      <w:r w:rsidRPr="002F1A7B">
        <w:rPr>
          <w:b/>
        </w:rPr>
        <w:t xml:space="preserve"> is for the shortest possible time and is used only for the protection of the child or others, in the presence of, or under the close supervision of, a suitably trained staff member</w:t>
      </w:r>
      <w:r w:rsidR="008E0D54">
        <w:rPr>
          <w:b/>
        </w:rPr>
        <w:t>,</w:t>
      </w:r>
      <w:r w:rsidR="00EE4DBE">
        <w:rPr>
          <w:b/>
        </w:rPr>
        <w:t xml:space="preserve"> and</w:t>
      </w:r>
      <w:r w:rsidR="00AB1AE1">
        <w:rPr>
          <w:b/>
        </w:rPr>
        <w:t xml:space="preserve"> that</w:t>
      </w:r>
      <w:r w:rsidR="00EE4DBE">
        <w:rPr>
          <w:b/>
        </w:rPr>
        <w:t xml:space="preserve"> the reasons and duration </w:t>
      </w:r>
      <w:r w:rsidR="00AB1AE1">
        <w:rPr>
          <w:b/>
        </w:rPr>
        <w:t>are</w:t>
      </w:r>
      <w:r w:rsidR="00EE4DBE">
        <w:rPr>
          <w:b/>
        </w:rPr>
        <w:t xml:space="preserve"> recorded</w:t>
      </w:r>
      <w:r w:rsidRPr="002F1A7B">
        <w:rPr>
          <w:b/>
        </w:rPr>
        <w:t>;</w:t>
      </w:r>
    </w:p>
    <w:p w14:paraId="76A1F9AE" w14:textId="77777777" w:rsidR="000B22EB" w:rsidRDefault="000B22EB" w:rsidP="00616959">
      <w:pPr>
        <w:pStyle w:val="SingleTxtG"/>
        <w:numPr>
          <w:ilvl w:val="1"/>
          <w:numId w:val="14"/>
        </w:numPr>
        <w:tabs>
          <w:tab w:val="clear" w:pos="1701"/>
          <w:tab w:val="clear" w:pos="2268"/>
          <w:tab w:val="clear" w:pos="2835"/>
        </w:tabs>
        <w:ind w:left="1134" w:firstLine="567"/>
      </w:pPr>
      <w:r w:rsidRPr="000B22EB">
        <w:rPr>
          <w:b/>
        </w:rPr>
        <w:t>Ensure that</w:t>
      </w:r>
      <w:r w:rsidR="00F5438F">
        <w:rPr>
          <w:b/>
        </w:rPr>
        <w:t xml:space="preserve"> in all parts of the Kingdom</w:t>
      </w:r>
      <w:r w:rsidRPr="000B22EB">
        <w:rPr>
          <w:b/>
        </w:rPr>
        <w:t>, in cases where detention is unavoidable, children are not detained together with adults</w:t>
      </w:r>
      <w:r w:rsidRPr="00893AF2">
        <w:rPr>
          <w:b/>
        </w:rPr>
        <w:t xml:space="preserve"> and that </w:t>
      </w:r>
      <w:r w:rsidR="00893AF2">
        <w:rPr>
          <w:b/>
        </w:rPr>
        <w:t>detention</w:t>
      </w:r>
      <w:r w:rsidRPr="00893AF2">
        <w:rPr>
          <w:b/>
        </w:rPr>
        <w:t xml:space="preserve"> conditions comply with international standards</w:t>
      </w:r>
      <w:r>
        <w:t>;</w:t>
      </w:r>
    </w:p>
    <w:p w14:paraId="3EF473F5" w14:textId="77777777" w:rsidR="000539F0" w:rsidRPr="000539F0" w:rsidRDefault="000539F0" w:rsidP="000539F0">
      <w:pPr>
        <w:pStyle w:val="SingleTxtG"/>
        <w:numPr>
          <w:ilvl w:val="1"/>
          <w:numId w:val="14"/>
        </w:numPr>
        <w:tabs>
          <w:tab w:val="clear" w:pos="1701"/>
          <w:tab w:val="clear" w:pos="2268"/>
          <w:tab w:val="clear" w:pos="2835"/>
        </w:tabs>
        <w:ind w:left="1134" w:firstLine="567"/>
        <w:rPr>
          <w:rFonts w:eastAsia="Calibri"/>
          <w:b/>
          <w:lang w:eastAsia="de-DE"/>
        </w:rPr>
      </w:pPr>
      <w:r w:rsidRPr="000539F0">
        <w:rPr>
          <w:b/>
        </w:rPr>
        <w:t>Develop a strategy for the prevention of child offending</w:t>
      </w:r>
      <w:r w:rsidR="00B2406C">
        <w:rPr>
          <w:b/>
        </w:rPr>
        <w:t xml:space="preserve"> in all parts of the Kingdom</w:t>
      </w:r>
      <w:r w:rsidRPr="000539F0">
        <w:rPr>
          <w:b/>
        </w:rPr>
        <w:t>, including early intervention directed at children below the minimum age of criminal responsibility;</w:t>
      </w:r>
    </w:p>
    <w:p w14:paraId="43115FA3" w14:textId="77777777" w:rsidR="00D50FFA" w:rsidRPr="00D50FFA" w:rsidRDefault="0028241C" w:rsidP="00616959">
      <w:pPr>
        <w:pStyle w:val="SingleTxtG"/>
        <w:numPr>
          <w:ilvl w:val="1"/>
          <w:numId w:val="14"/>
        </w:numPr>
        <w:tabs>
          <w:tab w:val="clear" w:pos="1701"/>
          <w:tab w:val="clear" w:pos="2268"/>
          <w:tab w:val="clear" w:pos="2835"/>
        </w:tabs>
        <w:ind w:left="1134" w:firstLine="567"/>
        <w:rPr>
          <w:rFonts w:eastAsia="Calibri"/>
          <w:b/>
          <w:lang w:eastAsia="de-DE"/>
        </w:rPr>
      </w:pPr>
      <w:r>
        <w:rPr>
          <w:rFonts w:eastAsia="Calibri"/>
          <w:b/>
          <w:lang w:eastAsia="de-DE"/>
        </w:rPr>
        <w:t>Re</w:t>
      </w:r>
      <w:r w:rsidR="00F5438F">
        <w:rPr>
          <w:rFonts w:eastAsia="Calibri"/>
          <w:b/>
          <w:lang w:eastAsia="de-DE"/>
        </w:rPr>
        <w:t xml:space="preserve">consider the </w:t>
      </w:r>
      <w:r w:rsidR="00A413F5">
        <w:rPr>
          <w:rFonts w:eastAsia="Calibri"/>
          <w:b/>
          <w:lang w:eastAsia="de-DE"/>
        </w:rPr>
        <w:t xml:space="preserve">routine </w:t>
      </w:r>
      <w:r w:rsidR="00F5438F">
        <w:rPr>
          <w:rFonts w:eastAsia="Calibri"/>
          <w:b/>
          <w:lang w:eastAsia="de-DE"/>
        </w:rPr>
        <w:t xml:space="preserve">practice of </w:t>
      </w:r>
      <w:r w:rsidR="00401625" w:rsidRPr="00980EF8">
        <w:rPr>
          <w:rFonts w:eastAsia="Calibri"/>
          <w:b/>
          <w:lang w:eastAsia="de-DE"/>
        </w:rPr>
        <w:t xml:space="preserve">the </w:t>
      </w:r>
      <w:r w:rsidR="00ED7C07" w:rsidRPr="00980EF8">
        <w:rPr>
          <w:rFonts w:eastAsia="Calibri"/>
          <w:b/>
          <w:lang w:eastAsia="de-DE"/>
        </w:rPr>
        <w:t>testing</w:t>
      </w:r>
      <w:r w:rsidR="00A413F5" w:rsidRPr="00980EF8">
        <w:rPr>
          <w:rFonts w:eastAsia="Calibri"/>
          <w:b/>
          <w:lang w:eastAsia="de-DE"/>
        </w:rPr>
        <w:t xml:space="preserve"> </w:t>
      </w:r>
      <w:r w:rsidR="00401625" w:rsidRPr="00980EF8">
        <w:rPr>
          <w:rFonts w:eastAsia="Calibri"/>
          <w:b/>
          <w:lang w:eastAsia="de-DE"/>
        </w:rPr>
        <w:t>and stor</w:t>
      </w:r>
      <w:r w:rsidR="00AD2DAA" w:rsidRPr="00980EF8">
        <w:rPr>
          <w:rFonts w:eastAsia="Calibri"/>
          <w:b/>
          <w:lang w:eastAsia="de-DE"/>
        </w:rPr>
        <w:t>age</w:t>
      </w:r>
      <w:r w:rsidR="00401625" w:rsidRPr="00980EF8">
        <w:rPr>
          <w:rFonts w:eastAsia="Calibri"/>
          <w:b/>
          <w:lang w:eastAsia="de-DE"/>
        </w:rPr>
        <w:t xml:space="preserve"> of DNA </w:t>
      </w:r>
      <w:r w:rsidR="00A413F5" w:rsidRPr="00980EF8">
        <w:rPr>
          <w:rFonts w:eastAsia="Calibri"/>
          <w:b/>
          <w:lang w:eastAsia="de-DE"/>
        </w:rPr>
        <w:t xml:space="preserve">in respect of children </w:t>
      </w:r>
      <w:r w:rsidR="00ED7C07" w:rsidRPr="00980EF8">
        <w:rPr>
          <w:rFonts w:eastAsia="Calibri"/>
          <w:b/>
          <w:lang w:eastAsia="de-DE"/>
        </w:rPr>
        <w:t>convicted of</w:t>
      </w:r>
      <w:r w:rsidR="00A413F5" w:rsidRPr="00980EF8">
        <w:rPr>
          <w:rFonts w:eastAsia="Calibri"/>
          <w:b/>
          <w:lang w:eastAsia="de-DE"/>
        </w:rPr>
        <w:t xml:space="preserve"> certain specified offences</w:t>
      </w:r>
      <w:r w:rsidR="00D50FFA" w:rsidRPr="00D50FFA">
        <w:rPr>
          <w:b/>
          <w:lang w:val="en-US"/>
        </w:rPr>
        <w:t>;</w:t>
      </w:r>
    </w:p>
    <w:p w14:paraId="0C8EBDB2" w14:textId="26C7CA63" w:rsidR="00616959" w:rsidRPr="003154BA" w:rsidRDefault="00256B31" w:rsidP="00616959">
      <w:pPr>
        <w:pStyle w:val="SingleTxtG"/>
        <w:numPr>
          <w:ilvl w:val="1"/>
          <w:numId w:val="14"/>
        </w:numPr>
        <w:tabs>
          <w:tab w:val="clear" w:pos="1701"/>
          <w:tab w:val="clear" w:pos="2268"/>
          <w:tab w:val="clear" w:pos="2835"/>
        </w:tabs>
        <w:ind w:left="1134" w:firstLine="567"/>
        <w:rPr>
          <w:rFonts w:eastAsia="Calibri"/>
          <w:b/>
          <w:lang w:eastAsia="de-DE"/>
        </w:rPr>
      </w:pPr>
      <w:r>
        <w:rPr>
          <w:b/>
        </w:rPr>
        <w:lastRenderedPageBreak/>
        <w:t xml:space="preserve">Review aspects of its criminal record system </w:t>
      </w:r>
      <w:r w:rsidRPr="00256B31">
        <w:rPr>
          <w:b/>
        </w:rPr>
        <w:t>that prevent children</w:t>
      </w:r>
      <w:r w:rsidR="0074347A">
        <w:rPr>
          <w:b/>
        </w:rPr>
        <w:t xml:space="preserve"> charged with certain offences</w:t>
      </w:r>
      <w:r>
        <w:rPr>
          <w:b/>
        </w:rPr>
        <w:t xml:space="preserve"> </w:t>
      </w:r>
      <w:r w:rsidRPr="00256B31">
        <w:rPr>
          <w:b/>
        </w:rPr>
        <w:t>from obtaining a certificate of conduct</w:t>
      </w:r>
      <w:r>
        <w:rPr>
          <w:b/>
        </w:rPr>
        <w:t>, including by erasing the criminal record of children who are acquitted or have completed their sentence</w:t>
      </w:r>
      <w:r w:rsidR="001B407B">
        <w:rPr>
          <w:b/>
        </w:rPr>
        <w:t>, including</w:t>
      </w:r>
      <w:r>
        <w:rPr>
          <w:b/>
        </w:rPr>
        <w:t xml:space="preserve"> for sexual </w:t>
      </w:r>
      <w:r w:rsidR="008211B0">
        <w:rPr>
          <w:b/>
        </w:rPr>
        <w:t>offences</w:t>
      </w:r>
      <w:r w:rsidR="00616959">
        <w:rPr>
          <w:rFonts w:eastAsia="Calibri"/>
          <w:b/>
          <w:lang w:eastAsia="de-DE"/>
        </w:rPr>
        <w:t>.</w:t>
      </w:r>
    </w:p>
    <w:p w14:paraId="5B100218" w14:textId="77777777" w:rsidR="00616959" w:rsidRPr="00443C90" w:rsidRDefault="00616959" w:rsidP="00616959">
      <w:pPr>
        <w:pStyle w:val="H1G"/>
        <w:rPr>
          <w:lang w:eastAsia="de-DE"/>
        </w:rPr>
      </w:pPr>
      <w:r>
        <w:rPr>
          <w:lang w:eastAsia="de-DE"/>
        </w:rPr>
        <w:tab/>
        <w:t>J</w:t>
      </w:r>
      <w:r w:rsidRPr="00443C90">
        <w:rPr>
          <w:lang w:eastAsia="de-DE"/>
        </w:rPr>
        <w:t>.</w:t>
      </w:r>
      <w:r w:rsidRPr="00443C90">
        <w:rPr>
          <w:lang w:eastAsia="de-DE"/>
        </w:rPr>
        <w:tab/>
        <w:t>Follow-up to the Committee’s previous concluding observations and recommendations concerning the implementation of the Optional Protocols to the Convention</w:t>
      </w:r>
    </w:p>
    <w:p w14:paraId="102D47E9" w14:textId="77777777" w:rsidR="00D96C8C" w:rsidRPr="00FC61EB" w:rsidRDefault="00616959" w:rsidP="00616959">
      <w:pPr>
        <w:pStyle w:val="H23G"/>
        <w:rPr>
          <w:lang w:eastAsia="zh-CN"/>
        </w:rPr>
      </w:pPr>
      <w:r w:rsidRPr="00FC61EB">
        <w:rPr>
          <w:lang w:eastAsia="zh-CN"/>
        </w:rPr>
        <w:tab/>
      </w:r>
      <w:r w:rsidRPr="00FC61EB">
        <w:rPr>
          <w:lang w:eastAsia="zh-CN"/>
        </w:rPr>
        <w:tab/>
      </w:r>
      <w:r w:rsidRPr="00701973">
        <w:rPr>
          <w:lang w:eastAsia="zh-CN"/>
        </w:rPr>
        <w:t>Optional Protocol on the sale of children, child prostitution and child pornography</w:t>
      </w:r>
    </w:p>
    <w:p w14:paraId="342C6C6B" w14:textId="05F686CF" w:rsidR="00616959" w:rsidRPr="00FC61EB" w:rsidRDefault="005A65C9" w:rsidP="00616959">
      <w:pPr>
        <w:pStyle w:val="SingleTxtG"/>
        <w:numPr>
          <w:ilvl w:val="0"/>
          <w:numId w:val="6"/>
        </w:numPr>
        <w:tabs>
          <w:tab w:val="clear" w:pos="1701"/>
          <w:tab w:val="clear" w:pos="2268"/>
          <w:tab w:val="clear" w:pos="2835"/>
        </w:tabs>
        <w:ind w:left="1134" w:firstLine="0"/>
        <w:rPr>
          <w:b/>
        </w:rPr>
      </w:pPr>
      <w:r w:rsidRPr="005A65C9">
        <w:rPr>
          <w:b/>
        </w:rPr>
        <w:t>The Committee is</w:t>
      </w:r>
      <w:r w:rsidR="00256A3A">
        <w:rPr>
          <w:b/>
        </w:rPr>
        <w:t xml:space="preserve"> </w:t>
      </w:r>
      <w:r w:rsidRPr="005A65C9">
        <w:rPr>
          <w:b/>
        </w:rPr>
        <w:t>concerned at the</w:t>
      </w:r>
      <w:r w:rsidR="00256A3A">
        <w:rPr>
          <w:b/>
        </w:rPr>
        <w:t xml:space="preserve"> large quantity o</w:t>
      </w:r>
      <w:r w:rsidR="00321232">
        <w:rPr>
          <w:b/>
        </w:rPr>
        <w:t>f</w:t>
      </w:r>
      <w:r w:rsidR="00256A3A">
        <w:rPr>
          <w:b/>
        </w:rPr>
        <w:t xml:space="preserve"> online sexual abuse material hosted </w:t>
      </w:r>
      <w:r w:rsidR="000924A0">
        <w:rPr>
          <w:b/>
        </w:rPr>
        <w:t>on</w:t>
      </w:r>
      <w:r w:rsidR="00045212">
        <w:rPr>
          <w:b/>
        </w:rPr>
        <w:t xml:space="preserve"> servers </w:t>
      </w:r>
      <w:r w:rsidR="00256A3A">
        <w:rPr>
          <w:b/>
        </w:rPr>
        <w:t>in the State party</w:t>
      </w:r>
      <w:r>
        <w:rPr>
          <w:b/>
        </w:rPr>
        <w:t xml:space="preserve">. </w:t>
      </w:r>
      <w:proofErr w:type="gramStart"/>
      <w:r w:rsidR="00454874">
        <w:rPr>
          <w:b/>
        </w:rPr>
        <w:t>W</w:t>
      </w:r>
      <w:r w:rsidR="00616959">
        <w:rPr>
          <w:b/>
        </w:rPr>
        <w:t>ith reference to its 2019 guidelines on the implementation of the Optional Protocol</w:t>
      </w:r>
      <w:r w:rsidR="000E6411">
        <w:rPr>
          <w:b/>
        </w:rPr>
        <w:t xml:space="preserve"> </w:t>
      </w:r>
      <w:r w:rsidR="006E0BA5">
        <w:rPr>
          <w:b/>
        </w:rPr>
        <w:t>on the sale of children, child prostitution and child pornography</w:t>
      </w:r>
      <w:r w:rsidR="00616959">
        <w:rPr>
          <w:b/>
        </w:rPr>
        <w:t>,</w:t>
      </w:r>
      <w:r w:rsidR="00103B26">
        <w:rPr>
          <w:rStyle w:val="FootnoteReference"/>
          <w:b/>
        </w:rPr>
        <w:footnoteReference w:id="13"/>
      </w:r>
      <w:r w:rsidR="00616959">
        <w:rPr>
          <w:b/>
        </w:rPr>
        <w:t xml:space="preserve"> </w:t>
      </w:r>
      <w:r w:rsidR="00454874">
        <w:rPr>
          <w:b/>
        </w:rPr>
        <w:t>and r</w:t>
      </w:r>
      <w:r w:rsidR="00454874" w:rsidRPr="00FC61EB">
        <w:rPr>
          <w:b/>
        </w:rPr>
        <w:t xml:space="preserve">ecalling its previous </w:t>
      </w:r>
      <w:r w:rsidR="00E203D4">
        <w:rPr>
          <w:b/>
        </w:rPr>
        <w:t>recommendations</w:t>
      </w:r>
      <w:r w:rsidR="00454874" w:rsidRPr="00FC61EB">
        <w:rPr>
          <w:b/>
        </w:rPr>
        <w:t>,</w:t>
      </w:r>
      <w:r w:rsidR="00454874">
        <w:rPr>
          <w:rStyle w:val="FootnoteReference"/>
          <w:b/>
        </w:rPr>
        <w:footnoteReference w:id="14"/>
      </w:r>
      <w:r w:rsidR="00454874" w:rsidRPr="00FC61EB">
        <w:rPr>
          <w:b/>
        </w:rPr>
        <w:t xml:space="preserve"> </w:t>
      </w:r>
      <w:r w:rsidR="00616959" w:rsidRPr="00FC61EB">
        <w:rPr>
          <w:b/>
        </w:rPr>
        <w:t xml:space="preserve">the Committee </w:t>
      </w:r>
      <w:r w:rsidR="00616959">
        <w:rPr>
          <w:b/>
        </w:rPr>
        <w:t>recommends that</w:t>
      </w:r>
      <w:r w:rsidR="00616959" w:rsidRPr="00FC61EB">
        <w:rPr>
          <w:b/>
        </w:rPr>
        <w:t xml:space="preserve"> the State party</w:t>
      </w:r>
      <w:r w:rsidR="00F11A05">
        <w:rPr>
          <w:b/>
        </w:rPr>
        <w:t xml:space="preserve"> p</w:t>
      </w:r>
      <w:r w:rsidR="00F11A05" w:rsidRPr="00582757">
        <w:rPr>
          <w:b/>
        </w:rPr>
        <w:t xml:space="preserve">revent and address </w:t>
      </w:r>
      <w:r w:rsidR="00F11A05">
        <w:rPr>
          <w:b/>
        </w:rPr>
        <w:t xml:space="preserve">the </w:t>
      </w:r>
      <w:r w:rsidR="00F11A05" w:rsidRPr="00582757">
        <w:rPr>
          <w:b/>
        </w:rPr>
        <w:t xml:space="preserve">online sale </w:t>
      </w:r>
      <w:r w:rsidR="00F11A05">
        <w:rPr>
          <w:b/>
        </w:rPr>
        <w:t>for the purpose of</w:t>
      </w:r>
      <w:r w:rsidR="00F11A05" w:rsidRPr="00582757">
        <w:rPr>
          <w:b/>
        </w:rPr>
        <w:t xml:space="preserve"> sexual exploitation and abuse of children, including by: (</w:t>
      </w:r>
      <w:proofErr w:type="spellStart"/>
      <w:r w:rsidR="00F11A05" w:rsidRPr="00582757">
        <w:rPr>
          <w:b/>
        </w:rPr>
        <w:t>i</w:t>
      </w:r>
      <w:proofErr w:type="spellEnd"/>
      <w:r w:rsidR="00F11A05" w:rsidRPr="00582757">
        <w:rPr>
          <w:b/>
        </w:rPr>
        <w:t>) ensuring that national legal and policy frameworks</w:t>
      </w:r>
      <w:bookmarkStart w:id="0" w:name="_GoBack"/>
      <w:bookmarkEnd w:id="0"/>
      <w:r w:rsidR="00F11A05" w:rsidRPr="00582757">
        <w:rPr>
          <w:b/>
        </w:rPr>
        <w:t xml:space="preserve"> adequately cover all manifestations of the sale and sexual exploitation of children committed or facilitated through </w:t>
      </w:r>
      <w:r w:rsidR="00F11A05">
        <w:rPr>
          <w:b/>
        </w:rPr>
        <w:t>information and communication technologies (</w:t>
      </w:r>
      <w:r w:rsidR="00F11A05" w:rsidRPr="00BC53D3">
        <w:rPr>
          <w:b/>
        </w:rPr>
        <w:t>ICT</w:t>
      </w:r>
      <w:r w:rsidR="00F11A05">
        <w:rPr>
          <w:b/>
        </w:rPr>
        <w:t>)</w:t>
      </w:r>
      <w:r w:rsidR="00F11A05" w:rsidRPr="00582757">
        <w:rPr>
          <w:b/>
        </w:rPr>
        <w:t>; (ii) conducting online-specific analyses, research and monitoring to better understand online offences</w:t>
      </w:r>
      <w:r w:rsidR="00F11A05">
        <w:rPr>
          <w:b/>
        </w:rPr>
        <w:t xml:space="preserve"> and</w:t>
      </w:r>
      <w:r w:rsidR="00F11A05" w:rsidRPr="00582757">
        <w:rPr>
          <w:b/>
        </w:rPr>
        <w:t xml:space="preserve"> develop appropriate responses; (iii) ensuring that Internet service providers control, block and promptly remove online sexual abuse material; and (iv) integrating specific components on online offences, as well as online tools to facilitate victim identification techniques and rescue operations, into the </w:t>
      </w:r>
      <w:r w:rsidR="00F11A05">
        <w:rPr>
          <w:b/>
        </w:rPr>
        <w:t xml:space="preserve">mandatory </w:t>
      </w:r>
      <w:r w:rsidR="00F11A05" w:rsidRPr="00582757">
        <w:rPr>
          <w:b/>
        </w:rPr>
        <w:t>training of law enforcement officials, lawyers</w:t>
      </w:r>
      <w:r w:rsidR="00F11A05">
        <w:rPr>
          <w:b/>
        </w:rPr>
        <w:t>,</w:t>
      </w:r>
      <w:r w:rsidR="00F11A05" w:rsidRPr="00582757">
        <w:rPr>
          <w:b/>
        </w:rPr>
        <w:t xml:space="preserve"> </w:t>
      </w:r>
      <w:r w:rsidR="00F11A05">
        <w:rPr>
          <w:b/>
        </w:rPr>
        <w:t xml:space="preserve">the </w:t>
      </w:r>
      <w:r w:rsidR="00F11A05" w:rsidRPr="00582757">
        <w:rPr>
          <w:b/>
        </w:rPr>
        <w:t xml:space="preserve">judiciary </w:t>
      </w:r>
      <w:r w:rsidR="00F11A05">
        <w:rPr>
          <w:b/>
        </w:rPr>
        <w:t xml:space="preserve">and other relevant </w:t>
      </w:r>
      <w:r w:rsidR="00F11A05" w:rsidRPr="00582757">
        <w:rPr>
          <w:b/>
        </w:rPr>
        <w:t>professionals</w:t>
      </w:r>
      <w:r w:rsidR="00F11A05">
        <w:t>.</w:t>
      </w:r>
      <w:proofErr w:type="gramEnd"/>
    </w:p>
    <w:p w14:paraId="36D64A21" w14:textId="77777777" w:rsidR="00D96C8C" w:rsidRPr="00FC61EB" w:rsidRDefault="00616959" w:rsidP="00616959">
      <w:pPr>
        <w:pStyle w:val="H23G"/>
        <w:ind w:firstLine="0"/>
        <w:rPr>
          <w:lang w:eastAsia="zh-CN"/>
        </w:rPr>
      </w:pPr>
      <w:r w:rsidRPr="00A225C4">
        <w:rPr>
          <w:lang w:eastAsia="zh-CN"/>
        </w:rPr>
        <w:t>Optional Protocol on the involvement of children in armed conflict</w:t>
      </w:r>
    </w:p>
    <w:p w14:paraId="55E69E3E" w14:textId="77777777" w:rsidR="00616959" w:rsidRPr="00FC61EB" w:rsidRDefault="00336614" w:rsidP="00616959">
      <w:pPr>
        <w:pStyle w:val="SingleTxtG"/>
        <w:numPr>
          <w:ilvl w:val="0"/>
          <w:numId w:val="6"/>
        </w:numPr>
        <w:tabs>
          <w:tab w:val="clear" w:pos="1701"/>
          <w:tab w:val="clear" w:pos="2268"/>
          <w:tab w:val="clear" w:pos="2835"/>
        </w:tabs>
        <w:ind w:left="1134" w:firstLine="0"/>
        <w:rPr>
          <w:b/>
        </w:rPr>
      </w:pPr>
      <w:r w:rsidRPr="00FC61EB">
        <w:rPr>
          <w:b/>
        </w:rPr>
        <w:t xml:space="preserve">Recalling its previous </w:t>
      </w:r>
      <w:r w:rsidR="00AE588B">
        <w:rPr>
          <w:b/>
        </w:rPr>
        <w:t>recommendations</w:t>
      </w:r>
      <w:r w:rsidRPr="00FC61EB">
        <w:rPr>
          <w:b/>
        </w:rPr>
        <w:t>,</w:t>
      </w:r>
      <w:r>
        <w:rPr>
          <w:rStyle w:val="FootnoteReference"/>
          <w:b/>
        </w:rPr>
        <w:footnoteReference w:id="15"/>
      </w:r>
      <w:r w:rsidRPr="00FC61EB">
        <w:rPr>
          <w:b/>
        </w:rPr>
        <w:t xml:space="preserve"> </w:t>
      </w:r>
      <w:r>
        <w:rPr>
          <w:b/>
        </w:rPr>
        <w:t>t</w:t>
      </w:r>
      <w:r w:rsidR="00616959" w:rsidRPr="00FC61EB">
        <w:rPr>
          <w:b/>
        </w:rPr>
        <w:t xml:space="preserve">he Committee </w:t>
      </w:r>
      <w:r w:rsidR="00616959">
        <w:rPr>
          <w:b/>
        </w:rPr>
        <w:t>recommends that</w:t>
      </w:r>
      <w:r w:rsidR="00616959" w:rsidRPr="00FC61EB">
        <w:rPr>
          <w:b/>
        </w:rPr>
        <w:t xml:space="preserve"> the State party:</w:t>
      </w:r>
    </w:p>
    <w:p w14:paraId="0B518A97" w14:textId="77777777" w:rsidR="00616959" w:rsidRDefault="009E7304" w:rsidP="00616959">
      <w:pPr>
        <w:pStyle w:val="SingleTxtG"/>
        <w:numPr>
          <w:ilvl w:val="1"/>
          <w:numId w:val="6"/>
        </w:numPr>
        <w:tabs>
          <w:tab w:val="clear" w:pos="1701"/>
          <w:tab w:val="clear" w:pos="2268"/>
          <w:tab w:val="clear" w:pos="2835"/>
        </w:tabs>
        <w:ind w:left="1134" w:firstLine="567"/>
        <w:rPr>
          <w:b/>
        </w:rPr>
      </w:pPr>
      <w:r w:rsidRPr="009E6847">
        <w:rPr>
          <w:b/>
        </w:rPr>
        <w:t xml:space="preserve">Raise the minimum age of voluntary recruitment </w:t>
      </w:r>
      <w:r w:rsidR="00A32FD3">
        <w:rPr>
          <w:b/>
        </w:rPr>
        <w:t>in</w:t>
      </w:r>
      <w:r w:rsidR="00514224">
        <w:rPr>
          <w:b/>
        </w:rPr>
        <w:t xml:space="preserve">to the armed forces </w:t>
      </w:r>
      <w:r w:rsidRPr="009E6847">
        <w:rPr>
          <w:b/>
        </w:rPr>
        <w:t xml:space="preserve">to 18 years, and explicitly criminalize the recruitment </w:t>
      </w:r>
      <w:r w:rsidR="00200BD3">
        <w:rPr>
          <w:b/>
        </w:rPr>
        <w:t xml:space="preserve">or use </w:t>
      </w:r>
      <w:r w:rsidRPr="009E6847">
        <w:rPr>
          <w:b/>
        </w:rPr>
        <w:t xml:space="preserve">of children under the age of 18 years </w:t>
      </w:r>
      <w:r w:rsidR="00200BD3">
        <w:rPr>
          <w:b/>
        </w:rPr>
        <w:t xml:space="preserve">in hostilities </w:t>
      </w:r>
      <w:r w:rsidRPr="009E6847">
        <w:rPr>
          <w:b/>
        </w:rPr>
        <w:t>by non-State armed groups</w:t>
      </w:r>
      <w:r w:rsidR="00616959">
        <w:rPr>
          <w:b/>
        </w:rPr>
        <w:t>;</w:t>
      </w:r>
    </w:p>
    <w:p w14:paraId="523E8311" w14:textId="77777777" w:rsidR="00AC4086" w:rsidRDefault="00AC4086" w:rsidP="00616959">
      <w:pPr>
        <w:pStyle w:val="SingleTxtG"/>
        <w:numPr>
          <w:ilvl w:val="1"/>
          <w:numId w:val="6"/>
        </w:numPr>
        <w:tabs>
          <w:tab w:val="clear" w:pos="1701"/>
          <w:tab w:val="clear" w:pos="2268"/>
          <w:tab w:val="clear" w:pos="2835"/>
        </w:tabs>
        <w:ind w:left="1134" w:firstLine="567"/>
        <w:rPr>
          <w:b/>
        </w:rPr>
      </w:pPr>
      <w:r>
        <w:rPr>
          <w:b/>
        </w:rPr>
        <w:t xml:space="preserve">Establish </w:t>
      </w:r>
      <w:r w:rsidR="00830C5A">
        <w:rPr>
          <w:b/>
        </w:rPr>
        <w:t>in</w:t>
      </w:r>
      <w:r>
        <w:rPr>
          <w:b/>
        </w:rPr>
        <w:t xml:space="preserve"> law extraterritorial jurisdiction over crimes under the Optional Protocol without the criterion of double criminality;</w:t>
      </w:r>
    </w:p>
    <w:p w14:paraId="43371691" w14:textId="77777777" w:rsidR="00616959" w:rsidRDefault="009E7304" w:rsidP="00616959">
      <w:pPr>
        <w:pStyle w:val="SingleTxtG"/>
        <w:numPr>
          <w:ilvl w:val="1"/>
          <w:numId w:val="6"/>
        </w:numPr>
        <w:tabs>
          <w:tab w:val="clear" w:pos="1701"/>
          <w:tab w:val="clear" w:pos="2268"/>
          <w:tab w:val="clear" w:pos="2835"/>
        </w:tabs>
        <w:ind w:left="1134" w:firstLine="567"/>
        <w:rPr>
          <w:b/>
        </w:rPr>
      </w:pPr>
      <w:r w:rsidRPr="00E127B7">
        <w:rPr>
          <w:b/>
        </w:rPr>
        <w:t>Extend the protection provided under the Convention relating to the Status of Refugees to all children who are 15 to 17 years of age, irrespective of the crimes committed</w:t>
      </w:r>
      <w:r w:rsidR="00616959">
        <w:rPr>
          <w:b/>
        </w:rPr>
        <w:t>;</w:t>
      </w:r>
    </w:p>
    <w:p w14:paraId="33698807" w14:textId="77777777" w:rsidR="003C31B4" w:rsidRDefault="003C31B4" w:rsidP="00616959">
      <w:pPr>
        <w:pStyle w:val="SingleTxtG"/>
        <w:numPr>
          <w:ilvl w:val="1"/>
          <w:numId w:val="6"/>
        </w:numPr>
        <w:tabs>
          <w:tab w:val="clear" w:pos="1701"/>
          <w:tab w:val="clear" w:pos="2268"/>
          <w:tab w:val="clear" w:pos="2835"/>
        </w:tabs>
        <w:ind w:left="1134" w:firstLine="567"/>
        <w:rPr>
          <w:b/>
        </w:rPr>
      </w:pPr>
      <w:r>
        <w:rPr>
          <w:b/>
        </w:rPr>
        <w:t xml:space="preserve">Establish a mechanism for the early identification of children who may have been involved in armed conflicts abroad upon entering the State party and provide them with </w:t>
      </w:r>
      <w:r w:rsidR="002809BB">
        <w:rPr>
          <w:b/>
        </w:rPr>
        <w:t xml:space="preserve">support for their </w:t>
      </w:r>
      <w:r>
        <w:rPr>
          <w:b/>
        </w:rPr>
        <w:t>social and psychological recovery and their reintegration into society</w:t>
      </w:r>
      <w:r w:rsidR="00B62494">
        <w:rPr>
          <w:b/>
        </w:rPr>
        <w:t>.</w:t>
      </w:r>
    </w:p>
    <w:p w14:paraId="729435BA" w14:textId="77777777" w:rsidR="00BA08BE" w:rsidRPr="0005753F" w:rsidRDefault="00BA08BE" w:rsidP="00BA08BE">
      <w:pPr>
        <w:pStyle w:val="H1G"/>
        <w:outlineLvl w:val="9"/>
        <w:rPr>
          <w:lang w:eastAsia="zh-CN"/>
        </w:rPr>
      </w:pPr>
      <w:r w:rsidRPr="0005753F">
        <w:rPr>
          <w:lang w:eastAsia="zh-CN"/>
        </w:rPr>
        <w:tab/>
        <w:t>K.</w:t>
      </w:r>
      <w:r w:rsidRPr="0005753F">
        <w:rPr>
          <w:lang w:eastAsia="zh-CN"/>
        </w:rPr>
        <w:tab/>
        <w:t>Ratification of the Optional Protocol on a communications procedure</w:t>
      </w:r>
    </w:p>
    <w:p w14:paraId="3ADE21D2" w14:textId="77777777" w:rsidR="00BA08BE" w:rsidRPr="00BA08BE" w:rsidRDefault="00BA08BE" w:rsidP="00BA08BE">
      <w:pPr>
        <w:pStyle w:val="SingleTxtG"/>
        <w:numPr>
          <w:ilvl w:val="0"/>
          <w:numId w:val="6"/>
        </w:numPr>
        <w:tabs>
          <w:tab w:val="clear" w:pos="1701"/>
          <w:tab w:val="clear" w:pos="2268"/>
          <w:tab w:val="clear" w:pos="2835"/>
        </w:tabs>
        <w:ind w:left="1134" w:firstLine="0"/>
        <w:rPr>
          <w:b/>
        </w:rPr>
      </w:pPr>
      <w:r w:rsidRPr="0005753F">
        <w:rPr>
          <w:b/>
        </w:rPr>
        <w:t xml:space="preserve">The Committee recommends that the State party, </w:t>
      </w:r>
      <w:proofErr w:type="gramStart"/>
      <w:r w:rsidRPr="0005753F">
        <w:rPr>
          <w:b/>
        </w:rPr>
        <w:t>in order to further strengthen</w:t>
      </w:r>
      <w:proofErr w:type="gramEnd"/>
      <w:r w:rsidRPr="0005753F">
        <w:rPr>
          <w:b/>
        </w:rPr>
        <w:t xml:space="preserve"> the fulfilment of children’s rights</w:t>
      </w:r>
      <w:r w:rsidRPr="00483CF4">
        <w:rPr>
          <w:b/>
        </w:rPr>
        <w:t>, ratify</w:t>
      </w:r>
      <w:r w:rsidRPr="0005753F">
        <w:rPr>
          <w:b/>
        </w:rPr>
        <w:t xml:space="preserve"> the Optional Protocol to the Convention on a communications procedure.</w:t>
      </w:r>
    </w:p>
    <w:p w14:paraId="76C45BDD" w14:textId="77777777" w:rsidR="00616959" w:rsidRPr="00FC61EB" w:rsidRDefault="00616959" w:rsidP="00616959">
      <w:pPr>
        <w:pStyle w:val="H1G"/>
        <w:rPr>
          <w:lang w:eastAsia="zh-CN"/>
        </w:rPr>
      </w:pPr>
      <w:r w:rsidRPr="00FC61EB">
        <w:rPr>
          <w:lang w:eastAsia="zh-CN"/>
        </w:rPr>
        <w:lastRenderedPageBreak/>
        <w:tab/>
      </w:r>
      <w:r w:rsidR="00AA045A">
        <w:rPr>
          <w:lang w:eastAsia="zh-CN"/>
        </w:rPr>
        <w:t>L</w:t>
      </w:r>
      <w:r w:rsidRPr="00FC61EB">
        <w:rPr>
          <w:lang w:eastAsia="zh-CN"/>
        </w:rPr>
        <w:t>.</w:t>
      </w:r>
      <w:r w:rsidRPr="00FC61EB">
        <w:rPr>
          <w:lang w:eastAsia="zh-CN"/>
        </w:rPr>
        <w:tab/>
        <w:t>Ratification of international human rights instruments</w:t>
      </w:r>
    </w:p>
    <w:p w14:paraId="660520AC" w14:textId="77777777" w:rsidR="00616959" w:rsidRPr="00FC61EB" w:rsidRDefault="00616959" w:rsidP="00616959">
      <w:pPr>
        <w:pStyle w:val="SingleTxtG"/>
        <w:numPr>
          <w:ilvl w:val="0"/>
          <w:numId w:val="6"/>
        </w:numPr>
        <w:tabs>
          <w:tab w:val="clear" w:pos="1701"/>
          <w:tab w:val="clear" w:pos="2268"/>
          <w:tab w:val="clear" w:pos="2835"/>
        </w:tabs>
        <w:ind w:left="1134" w:firstLine="0"/>
        <w:rPr>
          <w:color w:val="000000"/>
          <w:u w:val="single"/>
          <w:lang w:eastAsia="en-GB"/>
        </w:rPr>
      </w:pPr>
      <w:r w:rsidRPr="00FC61EB">
        <w:rPr>
          <w:b/>
        </w:rPr>
        <w:t xml:space="preserve">The </w:t>
      </w:r>
      <w:r w:rsidRPr="00FC61EB">
        <w:rPr>
          <w:b/>
          <w:bCs/>
          <w:lang w:eastAsia="ja-JP"/>
        </w:rPr>
        <w:t xml:space="preserve">Committee recommends that the State party, </w:t>
      </w:r>
      <w:proofErr w:type="gramStart"/>
      <w:r w:rsidRPr="00FC61EB">
        <w:rPr>
          <w:b/>
          <w:bCs/>
          <w:lang w:eastAsia="ja-JP"/>
        </w:rPr>
        <w:t>in order to further strengthen</w:t>
      </w:r>
      <w:proofErr w:type="gramEnd"/>
      <w:r w:rsidRPr="00FC61EB">
        <w:rPr>
          <w:b/>
          <w:bCs/>
          <w:lang w:eastAsia="ja-JP"/>
        </w:rPr>
        <w:t xml:space="preserve"> the fulfilment of children’s rights, consider </w:t>
      </w:r>
      <w:r w:rsidRPr="00785694">
        <w:rPr>
          <w:b/>
          <w:bCs/>
          <w:lang w:eastAsia="ja-JP"/>
        </w:rPr>
        <w:t>ratifying the International Convention on the Protection of the Rights of All Migrant Workers and Members of Their Families</w:t>
      </w:r>
      <w:r w:rsidRPr="00785694">
        <w:rPr>
          <w:b/>
          <w:lang w:eastAsia="zh-CN"/>
        </w:rPr>
        <w:t xml:space="preserve">. </w:t>
      </w:r>
    </w:p>
    <w:p w14:paraId="6DC35C32" w14:textId="77777777" w:rsidR="00616959" w:rsidRPr="00FC61EB" w:rsidRDefault="00616959" w:rsidP="00616959">
      <w:pPr>
        <w:pStyle w:val="H1G"/>
        <w:rPr>
          <w:lang w:eastAsia="zh-CN"/>
        </w:rPr>
      </w:pPr>
      <w:r w:rsidRPr="00FC61EB">
        <w:rPr>
          <w:lang w:eastAsia="zh-CN"/>
        </w:rPr>
        <w:tab/>
      </w:r>
      <w:r w:rsidR="00AA045A">
        <w:rPr>
          <w:lang w:eastAsia="zh-CN"/>
        </w:rPr>
        <w:t>M</w:t>
      </w:r>
      <w:r w:rsidRPr="00FC61EB">
        <w:rPr>
          <w:lang w:eastAsia="zh-CN"/>
        </w:rPr>
        <w:t>.</w:t>
      </w:r>
      <w:r w:rsidRPr="00FC61EB">
        <w:rPr>
          <w:lang w:eastAsia="zh-CN"/>
        </w:rPr>
        <w:tab/>
        <w:t>Cooperation with regional bodies</w:t>
      </w:r>
    </w:p>
    <w:p w14:paraId="7AB4D1B6" w14:textId="77777777" w:rsidR="00616959" w:rsidRPr="00FC61EB" w:rsidRDefault="00616959" w:rsidP="00616959">
      <w:pPr>
        <w:pStyle w:val="SingleTxtG"/>
        <w:numPr>
          <w:ilvl w:val="0"/>
          <w:numId w:val="6"/>
        </w:numPr>
        <w:tabs>
          <w:tab w:val="clear" w:pos="1701"/>
          <w:tab w:val="clear" w:pos="2268"/>
          <w:tab w:val="clear" w:pos="2835"/>
        </w:tabs>
        <w:ind w:left="1134" w:firstLine="0"/>
        <w:rPr>
          <w:b/>
        </w:rPr>
      </w:pPr>
      <w:r w:rsidRPr="00FC61EB">
        <w:rPr>
          <w:b/>
        </w:rPr>
        <w:t xml:space="preserve">The Committee recommends that the State party </w:t>
      </w:r>
      <w:r>
        <w:rPr>
          <w:b/>
        </w:rPr>
        <w:t xml:space="preserve">continue to </w:t>
      </w:r>
      <w:r w:rsidRPr="00FC61EB">
        <w:rPr>
          <w:b/>
        </w:rPr>
        <w:t xml:space="preserve">cooperate </w:t>
      </w:r>
      <w:r>
        <w:rPr>
          <w:b/>
        </w:rPr>
        <w:t xml:space="preserve">with </w:t>
      </w:r>
      <w:r w:rsidRPr="00FC61EB">
        <w:rPr>
          <w:b/>
        </w:rPr>
        <w:t xml:space="preserve">the </w:t>
      </w:r>
      <w:r>
        <w:rPr>
          <w:b/>
        </w:rPr>
        <w:t>Council of Europe</w:t>
      </w:r>
      <w:r w:rsidRPr="00FC61EB">
        <w:rPr>
          <w:b/>
        </w:rPr>
        <w:t xml:space="preserve"> on the implementation of the Convention and other human rights instruments, both in the State party and in other </w:t>
      </w:r>
      <w:r>
        <w:rPr>
          <w:b/>
        </w:rPr>
        <w:t>Council of Europe</w:t>
      </w:r>
      <w:r w:rsidR="007A06A6">
        <w:rPr>
          <w:b/>
        </w:rPr>
        <w:t xml:space="preserve"> member States</w:t>
      </w:r>
      <w:r w:rsidRPr="00FC61EB">
        <w:rPr>
          <w:b/>
        </w:rPr>
        <w:t>.</w:t>
      </w:r>
    </w:p>
    <w:p w14:paraId="05DE3486" w14:textId="77777777" w:rsidR="00616959" w:rsidRPr="00FC61EB" w:rsidRDefault="00616959" w:rsidP="00616959">
      <w:pPr>
        <w:pStyle w:val="HChG"/>
      </w:pPr>
      <w:r w:rsidRPr="00FC61EB">
        <w:rPr>
          <w:color w:val="92D050"/>
        </w:rPr>
        <w:tab/>
      </w:r>
      <w:r w:rsidRPr="00FC61EB">
        <w:t>IV.</w:t>
      </w:r>
      <w:r w:rsidRPr="00FC61EB">
        <w:tab/>
        <w:t>Implementation and reporting</w:t>
      </w:r>
    </w:p>
    <w:p w14:paraId="3891A078" w14:textId="77777777" w:rsidR="00616959" w:rsidRPr="00FC61EB" w:rsidRDefault="00616959" w:rsidP="00616959">
      <w:pPr>
        <w:pStyle w:val="H1G"/>
      </w:pPr>
      <w:r w:rsidRPr="00FC61EB">
        <w:tab/>
        <w:t>A.</w:t>
      </w:r>
      <w:r w:rsidRPr="00FC61EB">
        <w:tab/>
        <w:t>Follow-up and dissemination</w:t>
      </w:r>
    </w:p>
    <w:p w14:paraId="45C5E061" w14:textId="77777777" w:rsidR="00616959" w:rsidRPr="00FC61EB" w:rsidRDefault="00616959" w:rsidP="00616959">
      <w:pPr>
        <w:pStyle w:val="SingleTxtG"/>
        <w:numPr>
          <w:ilvl w:val="0"/>
          <w:numId w:val="6"/>
        </w:numPr>
        <w:tabs>
          <w:tab w:val="clear" w:pos="1701"/>
          <w:tab w:val="clear" w:pos="2268"/>
          <w:tab w:val="clear" w:pos="2835"/>
        </w:tabs>
        <w:ind w:left="1134" w:firstLine="0"/>
        <w:rPr>
          <w:b/>
          <w:bCs/>
          <w:lang w:eastAsia="ja-JP"/>
        </w:rPr>
      </w:pPr>
      <w:r w:rsidRPr="00FC61EB">
        <w:rPr>
          <w:b/>
          <w:bCs/>
          <w:lang w:eastAsia="ja-JP"/>
        </w:rPr>
        <w:t xml:space="preserve">The Committee recommends that the State party take all appropriate measures to ensure that the recommendations contained in the present concluding observations </w:t>
      </w:r>
      <w:proofErr w:type="gramStart"/>
      <w:r w:rsidRPr="00FC61EB">
        <w:rPr>
          <w:b/>
          <w:bCs/>
          <w:lang w:eastAsia="ja-JP"/>
        </w:rPr>
        <w:t>are fully implemented</w:t>
      </w:r>
      <w:proofErr w:type="gramEnd"/>
      <w:r>
        <w:rPr>
          <w:b/>
          <w:bCs/>
          <w:lang w:eastAsia="ja-JP"/>
        </w:rPr>
        <w:t xml:space="preserve"> and that a child-friendly version is disseminated to, and made widely accessible for, children, including the most disadvantaged ones</w:t>
      </w:r>
      <w:r w:rsidRPr="00FC61EB">
        <w:rPr>
          <w:b/>
          <w:bCs/>
          <w:lang w:eastAsia="ja-JP"/>
        </w:rPr>
        <w:t xml:space="preserve">. The Committee also recommends that the </w:t>
      </w:r>
      <w:r w:rsidRPr="00FC61EB">
        <w:rPr>
          <w:b/>
          <w:bCs/>
        </w:rPr>
        <w:t xml:space="preserve">combined </w:t>
      </w:r>
      <w:r>
        <w:rPr>
          <w:b/>
          <w:bCs/>
        </w:rPr>
        <w:t>fifth and</w:t>
      </w:r>
      <w:r w:rsidRPr="00FC61EB">
        <w:rPr>
          <w:b/>
          <w:bCs/>
        </w:rPr>
        <w:t xml:space="preserve"> sixth periodic reports</w:t>
      </w:r>
      <w:r w:rsidRPr="00FC61EB">
        <w:rPr>
          <w:b/>
          <w:bCs/>
          <w:lang w:eastAsia="ja-JP"/>
        </w:rPr>
        <w:t xml:space="preserve"> and the present concluding observations </w:t>
      </w:r>
      <w:proofErr w:type="gramStart"/>
      <w:r w:rsidRPr="00FC61EB">
        <w:rPr>
          <w:b/>
          <w:bCs/>
          <w:lang w:eastAsia="ja-JP"/>
        </w:rPr>
        <w:t>be made</w:t>
      </w:r>
      <w:proofErr w:type="gramEnd"/>
      <w:r w:rsidRPr="00FC61EB">
        <w:rPr>
          <w:b/>
          <w:bCs/>
          <w:lang w:eastAsia="ja-JP"/>
        </w:rPr>
        <w:t xml:space="preserve"> widely available in the languages of the country.</w:t>
      </w:r>
      <w:r w:rsidRPr="00FC61EB">
        <w:t xml:space="preserve"> </w:t>
      </w:r>
    </w:p>
    <w:p w14:paraId="533DB956" w14:textId="77777777" w:rsidR="00616959" w:rsidRPr="00FC61EB" w:rsidRDefault="00616959" w:rsidP="00616959">
      <w:pPr>
        <w:pStyle w:val="H1G"/>
        <w:rPr>
          <w:lang w:eastAsia="en-GB"/>
        </w:rPr>
      </w:pPr>
      <w:r w:rsidRPr="00FC61EB">
        <w:rPr>
          <w:lang w:eastAsia="en-GB"/>
        </w:rPr>
        <w:tab/>
        <w:t>B.</w:t>
      </w:r>
      <w:r w:rsidRPr="00FC61EB">
        <w:rPr>
          <w:lang w:eastAsia="en-GB"/>
        </w:rPr>
        <w:tab/>
      </w:r>
      <w:r w:rsidRPr="00FC61EB">
        <w:rPr>
          <w:lang w:eastAsia="en-GB"/>
        </w:rPr>
        <w:tab/>
        <w:t>National mechanism for reporting and follow-up</w:t>
      </w:r>
    </w:p>
    <w:p w14:paraId="01FBF8C1" w14:textId="77777777" w:rsidR="00616959" w:rsidRPr="00FC61EB" w:rsidRDefault="00616959" w:rsidP="00616959">
      <w:pPr>
        <w:pStyle w:val="SingleTxtG"/>
        <w:numPr>
          <w:ilvl w:val="0"/>
          <w:numId w:val="6"/>
        </w:numPr>
        <w:tabs>
          <w:tab w:val="clear" w:pos="1701"/>
          <w:tab w:val="clear" w:pos="2268"/>
          <w:tab w:val="clear" w:pos="2835"/>
        </w:tabs>
        <w:ind w:left="1134" w:firstLine="0"/>
        <w:rPr>
          <w:b/>
        </w:rPr>
      </w:pPr>
      <w:r w:rsidRPr="00FC61EB">
        <w:rPr>
          <w:b/>
        </w:rPr>
        <w:t xml:space="preserve">The Committee recommends that </w:t>
      </w:r>
      <w:r w:rsidRPr="002906EB">
        <w:rPr>
          <w:b/>
        </w:rPr>
        <w:t xml:space="preserve">the State </w:t>
      </w:r>
      <w:r w:rsidRPr="00387DC7">
        <w:rPr>
          <w:b/>
        </w:rPr>
        <w:t>party establish a standing government structure</w:t>
      </w:r>
      <w:r w:rsidR="00D96C8C" w:rsidRPr="002906EB">
        <w:rPr>
          <w:b/>
        </w:rPr>
        <w:t xml:space="preserve"> </w:t>
      </w:r>
      <w:r w:rsidRPr="002906EB">
        <w:rPr>
          <w:b/>
        </w:rPr>
        <w:t>to coordinate and prepare reports to and engage with international and regional human rights mechanisms, and to coordinate and track national follow-up to</w:t>
      </w:r>
      <w:r w:rsidR="00820034">
        <w:rPr>
          <w:b/>
        </w:rPr>
        <w:t>,</w:t>
      </w:r>
      <w:r w:rsidRPr="002906EB">
        <w:rPr>
          <w:b/>
        </w:rPr>
        <w:t xml:space="preserve"> and implementation of</w:t>
      </w:r>
      <w:r w:rsidR="00820034">
        <w:rPr>
          <w:b/>
        </w:rPr>
        <w:t>,</w:t>
      </w:r>
      <w:r w:rsidRPr="002906EB">
        <w:rPr>
          <w:b/>
        </w:rPr>
        <w:t xml:space="preserve"> treaty obligations and the recommendations and decisions emanating from such mechanisms. The </w:t>
      </w:r>
      <w:r w:rsidRPr="00FC61EB">
        <w:rPr>
          <w:b/>
        </w:rPr>
        <w:t xml:space="preserve">Committee emphasizes </w:t>
      </w:r>
      <w:r w:rsidRPr="002906EB">
        <w:rPr>
          <w:b/>
        </w:rPr>
        <w:t xml:space="preserve">that such a structure should be </w:t>
      </w:r>
      <w:r w:rsidRPr="004C3261">
        <w:rPr>
          <w:b/>
        </w:rPr>
        <w:t xml:space="preserve">adequately and continuously supported by dedicated staff and </w:t>
      </w:r>
      <w:r w:rsidR="00820034">
        <w:rPr>
          <w:b/>
        </w:rPr>
        <w:t xml:space="preserve">should </w:t>
      </w:r>
      <w:r w:rsidRPr="00FC61EB">
        <w:rPr>
          <w:b/>
        </w:rPr>
        <w:t xml:space="preserve">have the capacity to consult systematically with </w:t>
      </w:r>
      <w:r>
        <w:rPr>
          <w:b/>
        </w:rPr>
        <w:t>the national human rights institution</w:t>
      </w:r>
      <w:r w:rsidR="00D34D07">
        <w:rPr>
          <w:b/>
        </w:rPr>
        <w:t>s</w:t>
      </w:r>
      <w:r w:rsidRPr="00FC61EB">
        <w:rPr>
          <w:b/>
        </w:rPr>
        <w:t xml:space="preserve"> and civil society. </w:t>
      </w:r>
    </w:p>
    <w:p w14:paraId="3A82B5CB" w14:textId="77777777" w:rsidR="00616959" w:rsidRPr="00FC61EB" w:rsidRDefault="00616959" w:rsidP="00616959">
      <w:pPr>
        <w:pStyle w:val="H1G"/>
        <w:rPr>
          <w:lang w:eastAsia="zh-CN"/>
        </w:rPr>
      </w:pPr>
      <w:r w:rsidRPr="00FC61EB">
        <w:rPr>
          <w:lang w:eastAsia="zh-CN"/>
        </w:rPr>
        <w:tab/>
        <w:t>C.</w:t>
      </w:r>
      <w:r w:rsidRPr="00FC61EB">
        <w:rPr>
          <w:lang w:eastAsia="zh-CN"/>
        </w:rPr>
        <w:tab/>
        <w:t xml:space="preserve">Next report </w:t>
      </w:r>
    </w:p>
    <w:p w14:paraId="4384F0A2" w14:textId="77777777" w:rsidR="00616959" w:rsidRPr="005434BF" w:rsidRDefault="00616959" w:rsidP="00616959">
      <w:pPr>
        <w:pStyle w:val="SingleTxtG"/>
        <w:numPr>
          <w:ilvl w:val="0"/>
          <w:numId w:val="6"/>
        </w:numPr>
        <w:tabs>
          <w:tab w:val="clear" w:pos="1701"/>
          <w:tab w:val="clear" w:pos="2268"/>
          <w:tab w:val="clear" w:pos="2835"/>
        </w:tabs>
        <w:ind w:left="1134" w:firstLine="0"/>
        <w:rPr>
          <w:b/>
          <w:bCs/>
          <w:lang w:eastAsia="ja-JP"/>
        </w:rPr>
      </w:pPr>
      <w:r w:rsidRPr="005434BF">
        <w:rPr>
          <w:b/>
          <w:bCs/>
          <w:lang w:eastAsia="ja-JP"/>
        </w:rPr>
        <w:t xml:space="preserve">The Committee invites the State party to submit its seventh periodic report by </w:t>
      </w:r>
      <w:r w:rsidR="00DE3D22" w:rsidRPr="005434BF">
        <w:rPr>
          <w:b/>
          <w:bCs/>
          <w:lang w:eastAsia="ja-JP"/>
        </w:rPr>
        <w:t>6 March</w:t>
      </w:r>
      <w:r w:rsidRPr="005434BF">
        <w:rPr>
          <w:b/>
        </w:rPr>
        <w:t xml:space="preserve"> 202</w:t>
      </w:r>
      <w:r w:rsidR="00D63165" w:rsidRPr="005434BF">
        <w:rPr>
          <w:b/>
        </w:rPr>
        <w:t>7</w:t>
      </w:r>
      <w:r w:rsidRPr="005434BF">
        <w:rPr>
          <w:b/>
        </w:rPr>
        <w:t xml:space="preserve"> </w:t>
      </w:r>
      <w:r w:rsidRPr="005434BF">
        <w:rPr>
          <w:b/>
          <w:bCs/>
          <w:lang w:eastAsia="ja-JP"/>
        </w:rPr>
        <w:t xml:space="preserve">and to include therein information on the follow-up to the present concluding observations. The report should </w:t>
      </w:r>
      <w:proofErr w:type="gramStart"/>
      <w:r w:rsidRPr="005434BF">
        <w:rPr>
          <w:b/>
          <w:bCs/>
          <w:lang w:eastAsia="ja-JP"/>
        </w:rPr>
        <w:t>be in compliance</w:t>
      </w:r>
      <w:proofErr w:type="gramEnd"/>
      <w:r w:rsidRPr="005434BF">
        <w:rPr>
          <w:b/>
          <w:bCs/>
          <w:lang w:eastAsia="ja-JP"/>
        </w:rPr>
        <w:t xml:space="preserve"> with the Committee’s harmonized treaty-specific reporting guidelines adopted on 31 January 2014</w:t>
      </w:r>
      <w:r w:rsidR="00820034" w:rsidRPr="005434BF">
        <w:rPr>
          <w:rStyle w:val="FootnoteReference"/>
          <w:b/>
          <w:bCs/>
          <w:lang w:eastAsia="ja-JP"/>
        </w:rPr>
        <w:footnoteReference w:id="16"/>
      </w:r>
      <w:r w:rsidRPr="005434BF">
        <w:rPr>
          <w:b/>
          <w:bCs/>
          <w:lang w:eastAsia="ja-JP"/>
        </w:rPr>
        <w:t xml:space="preserve"> and should not exceed 21,200 words.</w:t>
      </w:r>
      <w:r w:rsidR="00820034" w:rsidRPr="005434BF">
        <w:rPr>
          <w:rStyle w:val="FootnoteReference"/>
          <w:b/>
          <w:bCs/>
          <w:lang w:eastAsia="ja-JP"/>
        </w:rPr>
        <w:footnoteReference w:id="17"/>
      </w:r>
      <w:r w:rsidRPr="005434BF">
        <w:rPr>
          <w:b/>
          <w:bCs/>
          <w:lang w:eastAsia="ja-JP"/>
        </w:rPr>
        <w:t xml:space="preserve"> In the event that a report exceeding the established word limit </w:t>
      </w:r>
      <w:proofErr w:type="gramStart"/>
      <w:r w:rsidRPr="005434BF">
        <w:rPr>
          <w:b/>
          <w:bCs/>
          <w:lang w:eastAsia="ja-JP"/>
        </w:rPr>
        <w:t>is submitted</w:t>
      </w:r>
      <w:proofErr w:type="gramEnd"/>
      <w:r w:rsidRPr="005434BF">
        <w:rPr>
          <w:b/>
          <w:bCs/>
          <w:lang w:eastAsia="ja-JP"/>
        </w:rPr>
        <w:t xml:space="preserve">, the State party will be asked to shorten the report. If the State party is not in a position to review and resubmit the report, translation thereof for the purposes of consideration by the treaty body </w:t>
      </w:r>
      <w:proofErr w:type="gramStart"/>
      <w:r w:rsidRPr="005434BF">
        <w:rPr>
          <w:b/>
          <w:bCs/>
          <w:lang w:eastAsia="ja-JP"/>
        </w:rPr>
        <w:t>cannot be guaranteed</w:t>
      </w:r>
      <w:proofErr w:type="gramEnd"/>
      <w:r w:rsidRPr="005434BF">
        <w:rPr>
          <w:b/>
          <w:bCs/>
          <w:lang w:eastAsia="ja-JP"/>
        </w:rPr>
        <w:t xml:space="preserve">. </w:t>
      </w:r>
    </w:p>
    <w:p w14:paraId="5E10570F" w14:textId="77777777" w:rsidR="00616959" w:rsidRPr="00FC61EB" w:rsidRDefault="00616959" w:rsidP="00616959">
      <w:pPr>
        <w:pStyle w:val="SingleTxtG"/>
        <w:numPr>
          <w:ilvl w:val="0"/>
          <w:numId w:val="6"/>
        </w:numPr>
        <w:tabs>
          <w:tab w:val="clear" w:pos="1701"/>
          <w:tab w:val="clear" w:pos="2268"/>
          <w:tab w:val="clear" w:pos="2835"/>
        </w:tabs>
        <w:ind w:left="1134" w:firstLine="0"/>
        <w:rPr>
          <w:b/>
          <w:bCs/>
          <w:lang w:eastAsia="zh-CN"/>
        </w:rPr>
      </w:pPr>
      <w:r w:rsidRPr="00FC61EB">
        <w:rPr>
          <w:b/>
          <w:bCs/>
          <w:lang w:eastAsia="ja-JP"/>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w:t>
      </w:r>
      <w:r w:rsidR="00820034">
        <w:rPr>
          <w:rStyle w:val="FootnoteReference"/>
          <w:b/>
          <w:bCs/>
          <w:lang w:eastAsia="ja-JP"/>
        </w:rPr>
        <w:footnoteReference w:id="18"/>
      </w:r>
      <w:r w:rsidRPr="00FC61EB">
        <w:rPr>
          <w:b/>
          <w:bCs/>
          <w:lang w:eastAsia="ja-JP"/>
        </w:rPr>
        <w:t xml:space="preserve"> and paragraph 16 of General Assembly resolution 68/268.</w:t>
      </w:r>
    </w:p>
    <w:p w14:paraId="33E8BCFB" w14:textId="77777777" w:rsidR="00AF16FC" w:rsidRDefault="00616959" w:rsidP="00616959">
      <w:pPr>
        <w:spacing w:before="240"/>
        <w:jc w:val="center"/>
        <w:rPr>
          <w:u w:val="single"/>
        </w:rPr>
      </w:pPr>
      <w:r>
        <w:rPr>
          <w:u w:val="single"/>
        </w:rPr>
        <w:tab/>
      </w:r>
      <w:r>
        <w:rPr>
          <w:u w:val="single"/>
        </w:rPr>
        <w:tab/>
      </w:r>
      <w:r>
        <w:rPr>
          <w:u w:val="single"/>
        </w:rPr>
        <w:tab/>
      </w:r>
    </w:p>
    <w:sectPr w:rsidR="00AF16F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4105D" w14:textId="77777777" w:rsidR="009731C5" w:rsidRDefault="009731C5">
      <w:pPr>
        <w:spacing w:line="240" w:lineRule="auto"/>
      </w:pPr>
      <w:r>
        <w:separator/>
      </w:r>
    </w:p>
  </w:endnote>
  <w:endnote w:type="continuationSeparator" w:id="0">
    <w:p w14:paraId="3146BDF8" w14:textId="77777777" w:rsidR="009731C5" w:rsidRDefault="00973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A356" w14:textId="2DC5E380" w:rsidR="009731C5" w:rsidRDefault="009731C5">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F11A05">
      <w:rPr>
        <w:b/>
        <w:noProof/>
        <w:sz w:val="18"/>
      </w:rPr>
      <w:t>14</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D136" w14:textId="1A7BD9F5" w:rsidR="009731C5" w:rsidRDefault="009731C5">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F11A05">
      <w:rPr>
        <w:b/>
        <w:noProof/>
        <w:sz w:val="18"/>
      </w:rPr>
      <w:t>15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7AE3" w14:textId="77777777" w:rsidR="009731C5" w:rsidRDefault="009731C5">
    <w:pPr>
      <w:pStyle w:val="Footer"/>
      <w:spacing w:before="120"/>
      <w:rPr>
        <w:noProof/>
        <w:sz w:val="20"/>
        <w:lang w:eastAsia="fr-FR"/>
      </w:rPr>
    </w:pPr>
    <w:r>
      <w:rPr>
        <w:noProof/>
        <w:sz w:val="20"/>
        <w:lang w:eastAsia="ko-KR"/>
      </w:rPr>
      <w:drawing>
        <wp:anchor distT="0" distB="0" distL="114300" distR="114300" simplePos="0" relativeHeight="251658240" behindDoc="0" locked="1" layoutInCell="1" allowOverlap="1" wp14:anchorId="47BCE00F" wp14:editId="33EC8115">
          <wp:simplePos x="0" y="0"/>
          <wp:positionH relativeFrom="column">
            <wp:posOffset>5868670</wp:posOffset>
          </wp:positionH>
          <wp:positionV relativeFrom="paragraph">
            <wp:posOffset>9387840</wp:posOffset>
          </wp:positionV>
          <wp:extent cx="930275" cy="230505"/>
          <wp:effectExtent l="0" t="0" r="3175" b="0"/>
          <wp:wrapNone/>
          <wp:docPr id="1"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28784"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9731C5" w14:paraId="12F29079" w14:textId="77777777">
      <w:tc>
        <w:tcPr>
          <w:tcW w:w="1848" w:type="dxa"/>
          <w:vAlign w:val="bottom"/>
        </w:tcPr>
        <w:p w14:paraId="17194E21" w14:textId="77777777" w:rsidR="009731C5" w:rsidRDefault="009731C5">
          <w:pPr>
            <w:pStyle w:val="Footer"/>
            <w:spacing w:before="120" w:after="120"/>
            <w:jc w:val="right"/>
          </w:pPr>
          <w:r>
            <w:rPr>
              <w:noProof/>
              <w:sz w:val="20"/>
              <w:lang w:eastAsia="ko-KR"/>
            </w:rPr>
            <w:drawing>
              <wp:inline distT="0" distB="0" distL="0" distR="0" wp14:anchorId="1320D01C" wp14:editId="6CDC6E9A">
                <wp:extent cx="931545" cy="232410"/>
                <wp:effectExtent l="0" t="0" r="1905" b="0"/>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68545"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40D6FE9C" w14:textId="77777777" w:rsidR="009731C5" w:rsidRDefault="009731C5">
          <w:pPr>
            <w:pStyle w:val="Footer"/>
            <w:jc w:val="right"/>
          </w:pPr>
        </w:p>
      </w:tc>
    </w:tr>
  </w:tbl>
  <w:p w14:paraId="7E9D37B6" w14:textId="77777777" w:rsidR="009731C5" w:rsidRDefault="00973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2D1D2" w14:textId="77777777" w:rsidR="009731C5" w:rsidRDefault="009731C5">
      <w:pPr>
        <w:pStyle w:val="Footer"/>
        <w:tabs>
          <w:tab w:val="right" w:pos="2155"/>
        </w:tabs>
        <w:spacing w:after="80" w:line="240" w:lineRule="atLeast"/>
        <w:ind w:left="680"/>
        <w:rPr>
          <w:u w:val="single"/>
        </w:rPr>
      </w:pPr>
      <w:r>
        <w:rPr>
          <w:u w:val="single"/>
        </w:rPr>
        <w:tab/>
      </w:r>
    </w:p>
  </w:footnote>
  <w:footnote w:type="continuationSeparator" w:id="0">
    <w:p w14:paraId="0C36FDDF" w14:textId="77777777" w:rsidR="009731C5" w:rsidRDefault="009731C5">
      <w:pPr>
        <w:pStyle w:val="Footer"/>
        <w:tabs>
          <w:tab w:val="right" w:pos="2155"/>
        </w:tabs>
        <w:spacing w:after="80" w:line="240" w:lineRule="atLeast"/>
        <w:ind w:left="680"/>
        <w:rPr>
          <w:u w:val="single"/>
        </w:rPr>
      </w:pPr>
      <w:r>
        <w:rPr>
          <w:u w:val="single"/>
        </w:rPr>
        <w:tab/>
      </w:r>
    </w:p>
  </w:footnote>
  <w:footnote w:type="continuationNotice" w:id="1">
    <w:p w14:paraId="4794A936" w14:textId="77777777" w:rsidR="009731C5" w:rsidRDefault="009731C5">
      <w:pPr>
        <w:rPr>
          <w:sz w:val="2"/>
          <w:szCs w:val="2"/>
        </w:rPr>
      </w:pPr>
    </w:p>
  </w:footnote>
  <w:footnote w:id="2">
    <w:p w14:paraId="5F8BFF22" w14:textId="77777777" w:rsidR="009731C5" w:rsidRPr="003F2DD0" w:rsidRDefault="009731C5" w:rsidP="00952CBB">
      <w:pPr>
        <w:pStyle w:val="FootnoteText"/>
        <w:keepNext/>
        <w:keepLines/>
        <w:spacing w:line="240" w:lineRule="auto"/>
        <w:rPr>
          <w:szCs w:val="18"/>
        </w:rPr>
      </w:pPr>
      <w:r w:rsidRPr="003F2DD0">
        <w:rPr>
          <w:rStyle w:val="FootnoteReference"/>
          <w:szCs w:val="18"/>
        </w:rPr>
        <w:tab/>
      </w:r>
      <w:r w:rsidRPr="003F2DD0">
        <w:rPr>
          <w:rStyle w:val="FootnoteReference"/>
          <w:szCs w:val="18"/>
          <w:vertAlign w:val="baseline"/>
        </w:rPr>
        <w:t>*</w:t>
      </w:r>
      <w:r w:rsidRPr="003F2DD0">
        <w:rPr>
          <w:rStyle w:val="FootnoteReference"/>
          <w:szCs w:val="18"/>
          <w:vertAlign w:val="baseline"/>
        </w:rPr>
        <w:tab/>
      </w:r>
      <w:r w:rsidRPr="003F2DD0">
        <w:rPr>
          <w:szCs w:val="18"/>
        </w:rPr>
        <w:t>For adoption by the Committee at its eighty-ninth session (31 January–11 February 2022).</w:t>
      </w:r>
    </w:p>
  </w:footnote>
  <w:footnote w:id="3">
    <w:p w14:paraId="18C7987D" w14:textId="77777777" w:rsidR="009731C5" w:rsidRPr="003F2DD0" w:rsidRDefault="009731C5" w:rsidP="00952CBB">
      <w:pPr>
        <w:pStyle w:val="FootnoteText"/>
        <w:keepNext/>
        <w:keepLines/>
        <w:spacing w:line="240" w:lineRule="auto"/>
        <w:rPr>
          <w:szCs w:val="18"/>
          <w:lang w:val="en-US"/>
        </w:rPr>
      </w:pPr>
      <w:r w:rsidRPr="003F2DD0">
        <w:rPr>
          <w:szCs w:val="18"/>
        </w:rPr>
        <w:tab/>
      </w:r>
      <w:r w:rsidRPr="003F2DD0">
        <w:rPr>
          <w:rStyle w:val="FootnoteReference"/>
          <w:szCs w:val="18"/>
        </w:rPr>
        <w:footnoteRef/>
      </w:r>
      <w:r w:rsidRPr="003F2DD0">
        <w:rPr>
          <w:szCs w:val="18"/>
        </w:rPr>
        <w:tab/>
        <w:t>CRC/C/NLD/5-6.</w:t>
      </w:r>
    </w:p>
  </w:footnote>
  <w:footnote w:id="4">
    <w:p w14:paraId="3C31C4C8" w14:textId="77777777" w:rsidR="009731C5" w:rsidRPr="003F2DD0" w:rsidRDefault="009731C5" w:rsidP="00952CBB">
      <w:pPr>
        <w:pStyle w:val="FootnoteText"/>
        <w:keepNext/>
        <w:keepLines/>
        <w:spacing w:line="240" w:lineRule="auto"/>
        <w:rPr>
          <w:szCs w:val="18"/>
          <w:lang w:val="en-US"/>
        </w:rPr>
      </w:pPr>
      <w:r w:rsidRPr="003F2DD0">
        <w:rPr>
          <w:szCs w:val="18"/>
        </w:rPr>
        <w:tab/>
      </w:r>
      <w:r w:rsidRPr="003F2DD0">
        <w:rPr>
          <w:rStyle w:val="FootnoteReference"/>
          <w:szCs w:val="18"/>
        </w:rPr>
        <w:footnoteRef/>
      </w:r>
      <w:r w:rsidRPr="003F2DD0">
        <w:rPr>
          <w:szCs w:val="18"/>
        </w:rPr>
        <w:tab/>
        <w:t>See CRC/C/SR.25</w:t>
      </w:r>
      <w:r>
        <w:rPr>
          <w:szCs w:val="18"/>
        </w:rPr>
        <w:t>6</w:t>
      </w:r>
      <w:r w:rsidRPr="003F2DD0">
        <w:rPr>
          <w:szCs w:val="18"/>
        </w:rPr>
        <w:t>6 and CRC/C/SR.25</w:t>
      </w:r>
      <w:r>
        <w:rPr>
          <w:szCs w:val="18"/>
        </w:rPr>
        <w:t>68</w:t>
      </w:r>
      <w:r w:rsidRPr="003F2DD0">
        <w:rPr>
          <w:szCs w:val="18"/>
        </w:rPr>
        <w:t>.</w:t>
      </w:r>
    </w:p>
  </w:footnote>
  <w:footnote w:id="5">
    <w:p w14:paraId="5C571089" w14:textId="77777777" w:rsidR="009731C5" w:rsidRPr="003F2DD0" w:rsidRDefault="009731C5" w:rsidP="00A307CE">
      <w:pPr>
        <w:pStyle w:val="FootnoteText"/>
        <w:keepNext/>
        <w:keepLines/>
        <w:spacing w:line="240" w:lineRule="auto"/>
        <w:rPr>
          <w:szCs w:val="18"/>
          <w:lang w:val="en-US"/>
        </w:rPr>
      </w:pPr>
      <w:r w:rsidRPr="003F2DD0">
        <w:rPr>
          <w:szCs w:val="18"/>
        </w:rPr>
        <w:tab/>
      </w:r>
      <w:r w:rsidRPr="003F2DD0">
        <w:rPr>
          <w:rStyle w:val="FootnoteReference"/>
          <w:szCs w:val="18"/>
        </w:rPr>
        <w:footnoteRef/>
      </w:r>
      <w:r w:rsidRPr="003F2DD0">
        <w:rPr>
          <w:szCs w:val="18"/>
        </w:rPr>
        <w:tab/>
      </w:r>
      <w:r w:rsidRPr="003F2DD0">
        <w:rPr>
          <w:color w:val="000000"/>
          <w:szCs w:val="18"/>
        </w:rPr>
        <w:t xml:space="preserve">Where not otherwise stated, the recommendations in each part of the present observations </w:t>
      </w:r>
      <w:proofErr w:type="gramStart"/>
      <w:r w:rsidRPr="003F2DD0">
        <w:rPr>
          <w:color w:val="000000"/>
          <w:szCs w:val="18"/>
        </w:rPr>
        <w:t>are addressed</w:t>
      </w:r>
      <w:proofErr w:type="gramEnd"/>
      <w:r w:rsidRPr="003F2DD0">
        <w:rPr>
          <w:color w:val="000000"/>
          <w:szCs w:val="18"/>
        </w:rPr>
        <w:t xml:space="preserve"> to the Government of the Kingdom of the Netherlands and to the governments of the constituent countries of the Netherlands, Aruba, </w:t>
      </w:r>
      <w:proofErr w:type="spellStart"/>
      <w:r w:rsidRPr="003F2DD0">
        <w:rPr>
          <w:color w:val="000000"/>
          <w:szCs w:val="18"/>
        </w:rPr>
        <w:t>Curaçao</w:t>
      </w:r>
      <w:proofErr w:type="spellEnd"/>
      <w:r w:rsidRPr="003F2DD0">
        <w:rPr>
          <w:color w:val="000000"/>
          <w:szCs w:val="18"/>
        </w:rPr>
        <w:t xml:space="preserve"> and </w:t>
      </w:r>
      <w:proofErr w:type="spellStart"/>
      <w:r w:rsidRPr="003F2DD0">
        <w:rPr>
          <w:color w:val="000000"/>
          <w:szCs w:val="18"/>
        </w:rPr>
        <w:t>S</w:t>
      </w:r>
      <w:r>
        <w:rPr>
          <w:color w:val="000000"/>
          <w:szCs w:val="18"/>
        </w:rPr>
        <w:t>in</w:t>
      </w:r>
      <w:r w:rsidRPr="003F2DD0">
        <w:rPr>
          <w:color w:val="000000"/>
          <w:szCs w:val="18"/>
        </w:rPr>
        <w:t>t</w:t>
      </w:r>
      <w:proofErr w:type="spellEnd"/>
      <w:r w:rsidRPr="003F2DD0">
        <w:rPr>
          <w:color w:val="000000"/>
          <w:szCs w:val="18"/>
        </w:rPr>
        <w:t xml:space="preserve"> Maarten and the municipalities of Bonaire, </w:t>
      </w:r>
      <w:proofErr w:type="spellStart"/>
      <w:r w:rsidRPr="003F2DD0">
        <w:rPr>
          <w:color w:val="000000"/>
          <w:szCs w:val="18"/>
        </w:rPr>
        <w:t>Saba</w:t>
      </w:r>
      <w:proofErr w:type="spellEnd"/>
      <w:r w:rsidRPr="003F2DD0">
        <w:rPr>
          <w:color w:val="000000"/>
          <w:szCs w:val="18"/>
        </w:rPr>
        <w:t xml:space="preserve"> and </w:t>
      </w:r>
      <w:proofErr w:type="spellStart"/>
      <w:r w:rsidRPr="003F2DD0">
        <w:rPr>
          <w:color w:val="000000"/>
          <w:szCs w:val="18"/>
        </w:rPr>
        <w:t>Sint</w:t>
      </w:r>
      <w:proofErr w:type="spellEnd"/>
      <w:r w:rsidRPr="003F2DD0">
        <w:rPr>
          <w:color w:val="000000"/>
          <w:szCs w:val="18"/>
        </w:rPr>
        <w:t xml:space="preserve"> Eustatius.</w:t>
      </w:r>
    </w:p>
  </w:footnote>
  <w:footnote w:id="6">
    <w:p w14:paraId="1322367B" w14:textId="77777777" w:rsidR="009731C5" w:rsidRPr="00055443" w:rsidRDefault="009731C5" w:rsidP="00952CBB">
      <w:pPr>
        <w:pStyle w:val="FootnoteText"/>
        <w:keepNext/>
        <w:keepLines/>
        <w:widowControl w:val="0"/>
        <w:tabs>
          <w:tab w:val="clear" w:pos="1021"/>
          <w:tab w:val="right" w:pos="1020"/>
        </w:tabs>
        <w:spacing w:line="240" w:lineRule="auto"/>
        <w:rPr>
          <w:szCs w:val="18"/>
          <w:lang w:val="es-ES"/>
        </w:rPr>
      </w:pPr>
      <w:r w:rsidRPr="00CC081F">
        <w:rPr>
          <w:sz w:val="16"/>
          <w:szCs w:val="16"/>
        </w:rPr>
        <w:tab/>
      </w:r>
      <w:r w:rsidRPr="00055443">
        <w:rPr>
          <w:rStyle w:val="FootnoteReference"/>
          <w:szCs w:val="18"/>
        </w:rPr>
        <w:footnoteRef/>
      </w:r>
      <w:r w:rsidRPr="0074787E">
        <w:rPr>
          <w:szCs w:val="18"/>
          <w:lang w:val="es-419"/>
        </w:rPr>
        <w:tab/>
        <w:t>CRC/C/NLD/CO/4, para. 7; CRC/C/NLD/CO/3</w:t>
      </w:r>
      <w:r w:rsidRPr="0074787E">
        <w:rPr>
          <w:bCs/>
          <w:szCs w:val="18"/>
          <w:lang w:val="es-419"/>
        </w:rPr>
        <w:t xml:space="preserve">, para. </w:t>
      </w:r>
      <w:proofErr w:type="gramStart"/>
      <w:r w:rsidRPr="0074787E">
        <w:rPr>
          <w:bCs/>
          <w:szCs w:val="18"/>
        </w:rPr>
        <w:t>10</w:t>
      </w:r>
      <w:proofErr w:type="gramEnd"/>
      <w:r w:rsidRPr="0074787E">
        <w:rPr>
          <w:bCs/>
          <w:szCs w:val="18"/>
        </w:rPr>
        <w:t xml:space="preserve">; CRC/C/15/Add. </w:t>
      </w:r>
      <w:proofErr w:type="gramStart"/>
      <w:r w:rsidRPr="0074787E">
        <w:rPr>
          <w:bCs/>
          <w:szCs w:val="18"/>
        </w:rPr>
        <w:t>227</w:t>
      </w:r>
      <w:proofErr w:type="gramEnd"/>
      <w:r w:rsidRPr="0074787E">
        <w:rPr>
          <w:bCs/>
          <w:szCs w:val="18"/>
        </w:rPr>
        <w:t xml:space="preserve">, para. </w:t>
      </w:r>
      <w:proofErr w:type="gramStart"/>
      <w:r w:rsidRPr="0074787E">
        <w:rPr>
          <w:bCs/>
          <w:szCs w:val="18"/>
        </w:rPr>
        <w:t>11</w:t>
      </w:r>
      <w:proofErr w:type="gramEnd"/>
      <w:r w:rsidRPr="0074787E">
        <w:rPr>
          <w:bCs/>
          <w:szCs w:val="18"/>
        </w:rPr>
        <w:t xml:space="preserve">; and CRC/C/15/Add.114, para. </w:t>
      </w:r>
      <w:r>
        <w:rPr>
          <w:bCs/>
          <w:szCs w:val="18"/>
          <w:lang w:val="es-ES"/>
        </w:rPr>
        <w:t>7</w:t>
      </w:r>
      <w:r w:rsidRPr="00055443">
        <w:rPr>
          <w:bCs/>
          <w:szCs w:val="18"/>
          <w:lang w:val="es-ES"/>
        </w:rPr>
        <w:t>.</w:t>
      </w:r>
    </w:p>
  </w:footnote>
  <w:footnote w:id="7">
    <w:p w14:paraId="2290D6F1" w14:textId="77777777" w:rsidR="009731C5" w:rsidRPr="00055443" w:rsidRDefault="009731C5" w:rsidP="00952CBB">
      <w:pPr>
        <w:pStyle w:val="FootnoteText"/>
        <w:keepNext/>
        <w:keepLines/>
        <w:widowControl w:val="0"/>
        <w:tabs>
          <w:tab w:val="clear" w:pos="1021"/>
          <w:tab w:val="right" w:pos="1020"/>
        </w:tabs>
        <w:spacing w:line="240" w:lineRule="auto"/>
        <w:rPr>
          <w:szCs w:val="18"/>
          <w:lang w:val="es-ES"/>
        </w:rPr>
      </w:pPr>
      <w:r w:rsidRPr="00055443">
        <w:rPr>
          <w:szCs w:val="18"/>
          <w:lang w:val="es-ES"/>
        </w:rPr>
        <w:tab/>
      </w:r>
      <w:r w:rsidRPr="00055443">
        <w:rPr>
          <w:rStyle w:val="FootnoteReference"/>
          <w:szCs w:val="18"/>
        </w:rPr>
        <w:footnoteRef/>
      </w:r>
      <w:r w:rsidRPr="00055443">
        <w:rPr>
          <w:szCs w:val="18"/>
          <w:lang w:val="es-ES"/>
        </w:rPr>
        <w:tab/>
        <w:t>CRC/C/NLD/CO/4, para. 11</w:t>
      </w:r>
      <w:r w:rsidRPr="00055443">
        <w:rPr>
          <w:bCs/>
          <w:szCs w:val="18"/>
          <w:lang w:val="es-ES"/>
        </w:rPr>
        <w:t>.</w:t>
      </w:r>
    </w:p>
  </w:footnote>
  <w:footnote w:id="8">
    <w:p w14:paraId="768E70D3" w14:textId="77777777" w:rsidR="009731C5" w:rsidRPr="00055443" w:rsidRDefault="009731C5" w:rsidP="00084B5D">
      <w:pPr>
        <w:pStyle w:val="FootnoteText"/>
        <w:keepNext/>
        <w:keepLines/>
        <w:widowControl w:val="0"/>
        <w:tabs>
          <w:tab w:val="clear" w:pos="1021"/>
          <w:tab w:val="right" w:pos="1020"/>
        </w:tabs>
        <w:spacing w:line="240" w:lineRule="auto"/>
        <w:rPr>
          <w:szCs w:val="18"/>
          <w:lang w:val="es-ES"/>
        </w:rPr>
      </w:pPr>
      <w:r w:rsidRPr="00055443">
        <w:rPr>
          <w:szCs w:val="18"/>
          <w:lang w:val="es-ES"/>
        </w:rPr>
        <w:tab/>
      </w:r>
      <w:r w:rsidRPr="00055443">
        <w:rPr>
          <w:rStyle w:val="FootnoteReference"/>
          <w:szCs w:val="18"/>
        </w:rPr>
        <w:footnoteRef/>
      </w:r>
      <w:r w:rsidRPr="00055443">
        <w:rPr>
          <w:szCs w:val="18"/>
          <w:lang w:val="es-ES"/>
        </w:rPr>
        <w:tab/>
        <w:t>CRC/C/NLD/CO/4, para. 23</w:t>
      </w:r>
      <w:r w:rsidRPr="00055443">
        <w:rPr>
          <w:bCs/>
          <w:szCs w:val="18"/>
          <w:lang w:val="es-ES"/>
        </w:rPr>
        <w:t>.</w:t>
      </w:r>
    </w:p>
  </w:footnote>
  <w:footnote w:id="9">
    <w:p w14:paraId="518B420B" w14:textId="77777777" w:rsidR="009731C5" w:rsidRPr="00055443" w:rsidRDefault="009731C5" w:rsidP="00A44B61">
      <w:pPr>
        <w:pStyle w:val="FootnoteText"/>
        <w:keepNext/>
        <w:keepLines/>
        <w:widowControl w:val="0"/>
        <w:tabs>
          <w:tab w:val="clear" w:pos="1021"/>
          <w:tab w:val="right" w:pos="1020"/>
        </w:tabs>
        <w:spacing w:line="240" w:lineRule="auto"/>
        <w:rPr>
          <w:szCs w:val="18"/>
          <w:lang w:val="es-ES"/>
        </w:rPr>
      </w:pPr>
      <w:r w:rsidRPr="00055443">
        <w:rPr>
          <w:szCs w:val="18"/>
          <w:lang w:val="es-ES"/>
        </w:rPr>
        <w:tab/>
      </w:r>
      <w:r w:rsidRPr="00055443">
        <w:rPr>
          <w:rStyle w:val="FootnoteReference"/>
          <w:szCs w:val="18"/>
        </w:rPr>
        <w:footnoteRef/>
      </w:r>
      <w:r w:rsidRPr="00055443">
        <w:rPr>
          <w:szCs w:val="18"/>
          <w:lang w:val="es-ES"/>
        </w:rPr>
        <w:tab/>
        <w:t>CRC/C/NLD/CO/4, para. 31</w:t>
      </w:r>
      <w:r w:rsidRPr="00055443">
        <w:rPr>
          <w:bCs/>
          <w:szCs w:val="18"/>
          <w:lang w:val="es-ES"/>
        </w:rPr>
        <w:t>.</w:t>
      </w:r>
    </w:p>
  </w:footnote>
  <w:footnote w:id="10">
    <w:p w14:paraId="66716F58" w14:textId="77777777" w:rsidR="009731C5" w:rsidRPr="00055443" w:rsidRDefault="009731C5" w:rsidP="00F17CA2">
      <w:pPr>
        <w:pStyle w:val="FootnoteText"/>
        <w:keepNext/>
        <w:keepLines/>
        <w:widowControl w:val="0"/>
        <w:tabs>
          <w:tab w:val="clear" w:pos="1021"/>
          <w:tab w:val="right" w:pos="1020"/>
        </w:tabs>
        <w:spacing w:line="240" w:lineRule="auto"/>
        <w:rPr>
          <w:szCs w:val="18"/>
          <w:lang w:val="es-ES"/>
        </w:rPr>
      </w:pPr>
      <w:r w:rsidRPr="00055443">
        <w:rPr>
          <w:szCs w:val="18"/>
          <w:lang w:val="es-ES"/>
        </w:rPr>
        <w:tab/>
      </w:r>
      <w:r w:rsidRPr="00055443">
        <w:rPr>
          <w:rStyle w:val="FootnoteReference"/>
          <w:szCs w:val="18"/>
        </w:rPr>
        <w:footnoteRef/>
      </w:r>
      <w:r w:rsidRPr="00055443">
        <w:rPr>
          <w:szCs w:val="18"/>
          <w:lang w:val="es-ES"/>
        </w:rPr>
        <w:tab/>
        <w:t>CRC/C/NLD/CO/4, para. 33</w:t>
      </w:r>
      <w:r w:rsidRPr="00055443">
        <w:rPr>
          <w:bCs/>
          <w:szCs w:val="18"/>
          <w:lang w:val="es-ES"/>
        </w:rPr>
        <w:t>.</w:t>
      </w:r>
    </w:p>
  </w:footnote>
  <w:footnote w:id="11">
    <w:p w14:paraId="28C96A85" w14:textId="77777777" w:rsidR="009731C5" w:rsidRPr="00055443" w:rsidRDefault="009731C5" w:rsidP="00DC0018">
      <w:pPr>
        <w:pStyle w:val="FootnoteText"/>
        <w:keepNext/>
        <w:keepLines/>
        <w:widowControl w:val="0"/>
        <w:tabs>
          <w:tab w:val="clear" w:pos="1021"/>
          <w:tab w:val="right" w:pos="1020"/>
        </w:tabs>
        <w:spacing w:line="240" w:lineRule="auto"/>
        <w:rPr>
          <w:szCs w:val="18"/>
          <w:lang w:val="es-ES"/>
        </w:rPr>
      </w:pPr>
      <w:r w:rsidRPr="00055443">
        <w:rPr>
          <w:szCs w:val="18"/>
          <w:lang w:val="es-ES"/>
        </w:rPr>
        <w:tab/>
      </w:r>
      <w:r w:rsidRPr="00055443">
        <w:rPr>
          <w:rStyle w:val="FootnoteReference"/>
          <w:szCs w:val="18"/>
        </w:rPr>
        <w:footnoteRef/>
      </w:r>
      <w:r w:rsidRPr="00055443">
        <w:rPr>
          <w:szCs w:val="18"/>
          <w:lang w:val="es-ES"/>
        </w:rPr>
        <w:tab/>
        <w:t>CRC/C/NLD/CO/4, para. 47</w:t>
      </w:r>
      <w:r w:rsidRPr="00055443">
        <w:rPr>
          <w:bCs/>
          <w:szCs w:val="18"/>
          <w:lang w:val="es-ES"/>
        </w:rPr>
        <w:t>.</w:t>
      </w:r>
    </w:p>
  </w:footnote>
  <w:footnote w:id="12">
    <w:p w14:paraId="52084B34" w14:textId="77777777" w:rsidR="009731C5" w:rsidRPr="00AA4DD8" w:rsidRDefault="009731C5" w:rsidP="00DC0018">
      <w:pPr>
        <w:pStyle w:val="FootnoteText"/>
        <w:keepNext/>
        <w:keepLines/>
        <w:widowControl w:val="0"/>
        <w:tabs>
          <w:tab w:val="clear" w:pos="1021"/>
          <w:tab w:val="right" w:pos="1020"/>
        </w:tabs>
        <w:spacing w:line="240" w:lineRule="auto"/>
        <w:rPr>
          <w:szCs w:val="18"/>
        </w:rPr>
      </w:pPr>
      <w:r w:rsidRPr="00055443">
        <w:rPr>
          <w:szCs w:val="18"/>
          <w:lang w:val="es-ES"/>
        </w:rPr>
        <w:tab/>
      </w:r>
      <w:r w:rsidRPr="00055443">
        <w:rPr>
          <w:rStyle w:val="FootnoteReference"/>
          <w:szCs w:val="18"/>
        </w:rPr>
        <w:footnoteRef/>
      </w:r>
      <w:r w:rsidRPr="00055443">
        <w:rPr>
          <w:szCs w:val="18"/>
          <w:lang w:val="es-ES"/>
        </w:rPr>
        <w:tab/>
        <w:t xml:space="preserve">CRC/C/NLD/CO/4, para. </w:t>
      </w:r>
      <w:r w:rsidRPr="00AA4DD8">
        <w:rPr>
          <w:szCs w:val="18"/>
        </w:rPr>
        <w:t>51</w:t>
      </w:r>
      <w:r w:rsidRPr="00AA4DD8">
        <w:rPr>
          <w:bCs/>
          <w:szCs w:val="18"/>
        </w:rPr>
        <w:t>.</w:t>
      </w:r>
    </w:p>
  </w:footnote>
  <w:footnote w:id="13">
    <w:p w14:paraId="2339F065" w14:textId="77777777" w:rsidR="009731C5" w:rsidRPr="00BB0395" w:rsidRDefault="009731C5" w:rsidP="00952CBB">
      <w:pPr>
        <w:pStyle w:val="FootnoteText"/>
        <w:keepNext/>
        <w:keepLines/>
        <w:spacing w:line="240" w:lineRule="auto"/>
        <w:rPr>
          <w:szCs w:val="18"/>
        </w:rPr>
      </w:pPr>
      <w:r w:rsidRPr="00AA4DD8">
        <w:rPr>
          <w:szCs w:val="18"/>
        </w:rPr>
        <w:tab/>
      </w:r>
      <w:r w:rsidRPr="00055443">
        <w:rPr>
          <w:rStyle w:val="FootnoteReference"/>
          <w:szCs w:val="18"/>
        </w:rPr>
        <w:footnoteRef/>
      </w:r>
      <w:r w:rsidRPr="00BB0395">
        <w:rPr>
          <w:szCs w:val="18"/>
        </w:rPr>
        <w:tab/>
      </w:r>
      <w:r w:rsidRPr="00BB0395">
        <w:rPr>
          <w:bCs/>
          <w:szCs w:val="18"/>
        </w:rPr>
        <w:t>CRC/C/156.</w:t>
      </w:r>
    </w:p>
  </w:footnote>
  <w:footnote w:id="14">
    <w:p w14:paraId="00C818C1" w14:textId="77777777" w:rsidR="009731C5" w:rsidRPr="00055443" w:rsidRDefault="009731C5" w:rsidP="00454874">
      <w:pPr>
        <w:pStyle w:val="FootnoteText"/>
        <w:keepNext/>
        <w:keepLines/>
        <w:spacing w:line="240" w:lineRule="auto"/>
        <w:rPr>
          <w:szCs w:val="18"/>
          <w:lang w:val="en-US"/>
        </w:rPr>
      </w:pPr>
      <w:r w:rsidRPr="00BB0395">
        <w:rPr>
          <w:szCs w:val="18"/>
        </w:rPr>
        <w:tab/>
      </w:r>
      <w:r w:rsidRPr="00055443">
        <w:rPr>
          <w:rStyle w:val="FootnoteReference"/>
          <w:szCs w:val="18"/>
        </w:rPr>
        <w:footnoteRef/>
      </w:r>
      <w:r w:rsidRPr="00055443">
        <w:rPr>
          <w:szCs w:val="18"/>
        </w:rPr>
        <w:tab/>
        <w:t xml:space="preserve">CRC/C/NLD/CO/4, para. 62. See also </w:t>
      </w:r>
      <w:r w:rsidRPr="00055443">
        <w:rPr>
          <w:bCs/>
          <w:szCs w:val="18"/>
        </w:rPr>
        <w:t>CRC/C/OPSC/NLD/CO/1.</w:t>
      </w:r>
    </w:p>
  </w:footnote>
  <w:footnote w:id="15">
    <w:p w14:paraId="176A5139" w14:textId="77777777" w:rsidR="009731C5" w:rsidRPr="00055443" w:rsidRDefault="009731C5" w:rsidP="00336614">
      <w:pPr>
        <w:pStyle w:val="FootnoteText"/>
        <w:keepNext/>
        <w:keepLines/>
        <w:spacing w:line="240" w:lineRule="auto"/>
        <w:rPr>
          <w:szCs w:val="18"/>
          <w:lang w:val="en-US"/>
        </w:rPr>
      </w:pPr>
      <w:r w:rsidRPr="00055443">
        <w:rPr>
          <w:szCs w:val="18"/>
        </w:rPr>
        <w:tab/>
      </w:r>
      <w:r w:rsidRPr="00055443">
        <w:rPr>
          <w:rStyle w:val="FootnoteReference"/>
          <w:szCs w:val="18"/>
        </w:rPr>
        <w:footnoteRef/>
      </w:r>
      <w:r w:rsidRPr="00055443">
        <w:rPr>
          <w:szCs w:val="18"/>
        </w:rPr>
        <w:tab/>
      </w:r>
      <w:r w:rsidRPr="00055443">
        <w:rPr>
          <w:bCs/>
          <w:szCs w:val="18"/>
        </w:rPr>
        <w:t>CRC/C/OPAC/NLD/CO/1.</w:t>
      </w:r>
    </w:p>
  </w:footnote>
  <w:footnote w:id="16">
    <w:p w14:paraId="64BAB885" w14:textId="77777777" w:rsidR="009731C5" w:rsidRPr="00CC081F" w:rsidRDefault="009731C5" w:rsidP="00952CBB">
      <w:pPr>
        <w:pStyle w:val="FootnoteText"/>
        <w:keepNext/>
        <w:keepLines/>
        <w:spacing w:line="240" w:lineRule="auto"/>
        <w:rPr>
          <w:sz w:val="16"/>
          <w:szCs w:val="16"/>
          <w:lang w:val="en-US"/>
        </w:rPr>
      </w:pPr>
      <w:r w:rsidRPr="00CC081F">
        <w:rPr>
          <w:sz w:val="16"/>
          <w:szCs w:val="16"/>
        </w:rPr>
        <w:tab/>
      </w:r>
      <w:r w:rsidRPr="00CC081F">
        <w:rPr>
          <w:rStyle w:val="FootnoteReference"/>
          <w:sz w:val="16"/>
          <w:szCs w:val="16"/>
        </w:rPr>
        <w:footnoteRef/>
      </w:r>
      <w:r w:rsidRPr="00CC081F">
        <w:rPr>
          <w:sz w:val="16"/>
          <w:szCs w:val="16"/>
        </w:rPr>
        <w:tab/>
      </w:r>
      <w:r w:rsidRPr="00CC081F">
        <w:rPr>
          <w:sz w:val="16"/>
          <w:szCs w:val="16"/>
          <w:lang w:eastAsia="ja-JP"/>
        </w:rPr>
        <w:t>CRC/C/58/Rev.3.</w:t>
      </w:r>
    </w:p>
  </w:footnote>
  <w:footnote w:id="17">
    <w:p w14:paraId="6A45B03A" w14:textId="77777777" w:rsidR="009731C5" w:rsidRPr="00CC081F" w:rsidRDefault="009731C5" w:rsidP="00952CBB">
      <w:pPr>
        <w:pStyle w:val="FootnoteText"/>
        <w:keepNext/>
        <w:keepLines/>
        <w:spacing w:line="240" w:lineRule="auto"/>
        <w:rPr>
          <w:sz w:val="16"/>
          <w:szCs w:val="16"/>
          <w:lang w:val="en-US"/>
        </w:rPr>
      </w:pPr>
      <w:r w:rsidRPr="00CC081F">
        <w:rPr>
          <w:sz w:val="16"/>
          <w:szCs w:val="16"/>
        </w:rPr>
        <w:tab/>
      </w:r>
      <w:r w:rsidRPr="00CC081F">
        <w:rPr>
          <w:rStyle w:val="FootnoteReference"/>
          <w:sz w:val="16"/>
          <w:szCs w:val="16"/>
        </w:rPr>
        <w:footnoteRef/>
      </w:r>
      <w:r w:rsidRPr="00CC081F">
        <w:rPr>
          <w:sz w:val="16"/>
          <w:szCs w:val="16"/>
        </w:rPr>
        <w:tab/>
      </w:r>
      <w:r w:rsidRPr="00CC081F">
        <w:rPr>
          <w:sz w:val="16"/>
          <w:szCs w:val="16"/>
          <w:lang w:eastAsia="ja-JP"/>
        </w:rPr>
        <w:t>General Assembly resolution 68/268, para. 16.</w:t>
      </w:r>
    </w:p>
  </w:footnote>
  <w:footnote w:id="18">
    <w:p w14:paraId="0E86846E" w14:textId="77777777" w:rsidR="009731C5" w:rsidRPr="00CC081F" w:rsidRDefault="009731C5" w:rsidP="00952CBB">
      <w:pPr>
        <w:pStyle w:val="FootnoteText"/>
        <w:keepNext/>
        <w:keepLines/>
        <w:spacing w:line="240" w:lineRule="auto"/>
        <w:rPr>
          <w:sz w:val="16"/>
          <w:szCs w:val="16"/>
        </w:rPr>
      </w:pPr>
      <w:r w:rsidRPr="00CC081F">
        <w:rPr>
          <w:sz w:val="16"/>
          <w:szCs w:val="16"/>
        </w:rPr>
        <w:tab/>
      </w:r>
      <w:r w:rsidRPr="00CC081F">
        <w:rPr>
          <w:rStyle w:val="FootnoteReference"/>
          <w:sz w:val="16"/>
          <w:szCs w:val="16"/>
        </w:rPr>
        <w:footnoteRef/>
      </w:r>
      <w:r w:rsidRPr="00CC081F">
        <w:rPr>
          <w:sz w:val="16"/>
          <w:szCs w:val="16"/>
        </w:rPr>
        <w:tab/>
      </w:r>
      <w:r w:rsidRPr="00CC081F">
        <w:rPr>
          <w:sz w:val="16"/>
          <w:szCs w:val="16"/>
          <w:lang w:eastAsia="ja-JP"/>
        </w:rPr>
        <w:t>HRI/GEN/2/Rev.6, chap. 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0BD1" w14:textId="77777777" w:rsidR="009731C5" w:rsidRDefault="009731C5">
    <w:pPr>
      <w:pStyle w:val="Header"/>
    </w:pPr>
    <w:r>
      <w:t>CRC/C/NLD/CO/5-6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2662" w14:textId="77777777" w:rsidR="009731C5" w:rsidRDefault="009731C5">
    <w:pPr>
      <w:pStyle w:val="Header"/>
      <w:jc w:val="right"/>
    </w:pPr>
    <w:r>
      <w:t>CRC/C/NLD/CO/5-6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2D7D4" w14:textId="77777777" w:rsidR="009731C5" w:rsidRDefault="009731C5">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978"/>
    <w:multiLevelType w:val="hybridMultilevel"/>
    <w:tmpl w:val="D27674E2"/>
    <w:lvl w:ilvl="0" w:tplc="D076C84A">
      <w:start w:val="1"/>
      <w:numFmt w:val="lowerLetter"/>
      <w:lvlText w:val="(%1)"/>
      <w:lvlJc w:val="left"/>
      <w:pPr>
        <w:ind w:left="19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5241D"/>
    <w:multiLevelType w:val="hybridMultilevel"/>
    <w:tmpl w:val="20A4890C"/>
    <w:lvl w:ilvl="0" w:tplc="BB24F9EC">
      <w:start w:val="1"/>
      <w:numFmt w:val="lowerLetter"/>
      <w:lvlText w:val="(%1)"/>
      <w:lvlJc w:val="left"/>
      <w:pPr>
        <w:ind w:left="257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54887"/>
    <w:multiLevelType w:val="hybridMultilevel"/>
    <w:tmpl w:val="2B362816"/>
    <w:lvl w:ilvl="0" w:tplc="2A30D7D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7E9805B4" w:tentative="1">
      <w:start w:val="1"/>
      <w:numFmt w:val="lowerLetter"/>
      <w:lvlText w:val="%2."/>
      <w:lvlJc w:val="left"/>
      <w:pPr>
        <w:tabs>
          <w:tab w:val="num" w:pos="1440"/>
        </w:tabs>
        <w:ind w:left="1440" w:hanging="360"/>
      </w:pPr>
    </w:lvl>
    <w:lvl w:ilvl="2" w:tplc="312A739E" w:tentative="1">
      <w:start w:val="1"/>
      <w:numFmt w:val="lowerRoman"/>
      <w:lvlText w:val="%3."/>
      <w:lvlJc w:val="right"/>
      <w:pPr>
        <w:tabs>
          <w:tab w:val="num" w:pos="2160"/>
        </w:tabs>
        <w:ind w:left="2160" w:hanging="180"/>
      </w:pPr>
    </w:lvl>
    <w:lvl w:ilvl="3" w:tplc="0678A1D4" w:tentative="1">
      <w:start w:val="1"/>
      <w:numFmt w:val="decimal"/>
      <w:lvlText w:val="%4."/>
      <w:lvlJc w:val="left"/>
      <w:pPr>
        <w:tabs>
          <w:tab w:val="num" w:pos="2880"/>
        </w:tabs>
        <w:ind w:left="2880" w:hanging="360"/>
      </w:pPr>
    </w:lvl>
    <w:lvl w:ilvl="4" w:tplc="E7FC2B4C" w:tentative="1">
      <w:start w:val="1"/>
      <w:numFmt w:val="lowerLetter"/>
      <w:lvlText w:val="%5."/>
      <w:lvlJc w:val="left"/>
      <w:pPr>
        <w:tabs>
          <w:tab w:val="num" w:pos="3600"/>
        </w:tabs>
        <w:ind w:left="3600" w:hanging="360"/>
      </w:pPr>
    </w:lvl>
    <w:lvl w:ilvl="5" w:tplc="8C0E8FE2" w:tentative="1">
      <w:start w:val="1"/>
      <w:numFmt w:val="lowerRoman"/>
      <w:lvlText w:val="%6."/>
      <w:lvlJc w:val="right"/>
      <w:pPr>
        <w:tabs>
          <w:tab w:val="num" w:pos="4320"/>
        </w:tabs>
        <w:ind w:left="4320" w:hanging="180"/>
      </w:pPr>
    </w:lvl>
    <w:lvl w:ilvl="6" w:tplc="3B56D218" w:tentative="1">
      <w:start w:val="1"/>
      <w:numFmt w:val="decimal"/>
      <w:lvlText w:val="%7."/>
      <w:lvlJc w:val="left"/>
      <w:pPr>
        <w:tabs>
          <w:tab w:val="num" w:pos="5040"/>
        </w:tabs>
        <w:ind w:left="5040" w:hanging="360"/>
      </w:pPr>
    </w:lvl>
    <w:lvl w:ilvl="7" w:tplc="8338A090" w:tentative="1">
      <w:start w:val="1"/>
      <w:numFmt w:val="lowerLetter"/>
      <w:lvlText w:val="%8."/>
      <w:lvlJc w:val="left"/>
      <w:pPr>
        <w:tabs>
          <w:tab w:val="num" w:pos="5760"/>
        </w:tabs>
        <w:ind w:left="5760" w:hanging="360"/>
      </w:pPr>
    </w:lvl>
    <w:lvl w:ilvl="8" w:tplc="6004D6BE" w:tentative="1">
      <w:start w:val="1"/>
      <w:numFmt w:val="lowerRoman"/>
      <w:lvlText w:val="%9."/>
      <w:lvlJc w:val="right"/>
      <w:pPr>
        <w:tabs>
          <w:tab w:val="num" w:pos="6480"/>
        </w:tabs>
        <w:ind w:left="6480" w:hanging="180"/>
      </w:pPr>
    </w:lvl>
  </w:abstractNum>
  <w:abstractNum w:abstractNumId="3" w15:restartNumberingAfterBreak="0">
    <w:nsid w:val="12B97110"/>
    <w:multiLevelType w:val="hybridMultilevel"/>
    <w:tmpl w:val="B6DC8726"/>
    <w:lvl w:ilvl="0" w:tplc="F4282500">
      <w:start w:val="1"/>
      <w:numFmt w:val="lowerLetter"/>
      <w:lvlText w:val="(%1)"/>
      <w:lvlJc w:val="left"/>
      <w:pPr>
        <w:ind w:left="1854" w:hanging="360"/>
      </w:pPr>
      <w:rPr>
        <w:rFonts w:hint="default"/>
      </w:rPr>
    </w:lvl>
    <w:lvl w:ilvl="1" w:tplc="5698649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50A176A"/>
    <w:multiLevelType w:val="hybridMultilevel"/>
    <w:tmpl w:val="CA6AC7B0"/>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287D771C"/>
    <w:multiLevelType w:val="hybridMultilevel"/>
    <w:tmpl w:val="4E44E2A8"/>
    <w:lvl w:ilvl="0" w:tplc="F4282500">
      <w:start w:val="1"/>
      <w:numFmt w:val="lowerLetter"/>
      <w:lvlText w:val="(%1)"/>
      <w:lvlJc w:val="left"/>
      <w:pPr>
        <w:ind w:left="1854" w:hanging="360"/>
      </w:pPr>
      <w:rPr>
        <w:rFonts w:hint="default"/>
      </w:rPr>
    </w:lvl>
    <w:lvl w:ilvl="1" w:tplc="E34C9FF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A332D3C"/>
    <w:multiLevelType w:val="hybridMultilevel"/>
    <w:tmpl w:val="3BFEDF40"/>
    <w:lvl w:ilvl="0" w:tplc="456834B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0043BAE"/>
    <w:multiLevelType w:val="hybridMultilevel"/>
    <w:tmpl w:val="9E64FFFA"/>
    <w:lvl w:ilvl="0" w:tplc="F4282500">
      <w:start w:val="1"/>
      <w:numFmt w:val="lowerLetter"/>
      <w:lvlText w:val="(%1)"/>
      <w:lvlJc w:val="left"/>
      <w:pPr>
        <w:ind w:left="1854" w:hanging="360"/>
      </w:pPr>
      <w:rPr>
        <w:rFonts w:hint="default"/>
      </w:rPr>
    </w:lvl>
    <w:lvl w:ilvl="1" w:tplc="D10E9B6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2EF3655"/>
    <w:multiLevelType w:val="hybridMultilevel"/>
    <w:tmpl w:val="FF2AB2D8"/>
    <w:lvl w:ilvl="0" w:tplc="F4282500">
      <w:start w:val="1"/>
      <w:numFmt w:val="lowerLetter"/>
      <w:lvlText w:val="(%1)"/>
      <w:lvlJc w:val="left"/>
      <w:pPr>
        <w:ind w:left="1854" w:hanging="360"/>
      </w:pPr>
      <w:rPr>
        <w:rFonts w:hint="default"/>
      </w:rPr>
    </w:lvl>
    <w:lvl w:ilvl="1" w:tplc="94285764">
      <w:start w:val="1"/>
      <w:numFmt w:val="lowerLetter"/>
      <w:lvlText w:val="(%2)"/>
      <w:lvlJc w:val="left"/>
      <w:pPr>
        <w:ind w:left="2486"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3ACF4EB2"/>
    <w:multiLevelType w:val="hybridMultilevel"/>
    <w:tmpl w:val="CB6C816A"/>
    <w:lvl w:ilvl="0" w:tplc="74AE9EA8">
      <w:start w:val="1"/>
      <w:numFmt w:val="bullet"/>
      <w:pStyle w:val="Bullet2G"/>
      <w:lvlText w:val="•"/>
      <w:lvlJc w:val="left"/>
      <w:pPr>
        <w:tabs>
          <w:tab w:val="num" w:pos="2268"/>
        </w:tabs>
        <w:ind w:left="2268" w:hanging="170"/>
      </w:pPr>
      <w:rPr>
        <w:rFonts w:ascii="Times New Roman" w:hAnsi="Times New Roman" w:cs="Times New Roman" w:hint="default"/>
      </w:rPr>
    </w:lvl>
    <w:lvl w:ilvl="1" w:tplc="2F4E23DC" w:tentative="1">
      <w:start w:val="1"/>
      <w:numFmt w:val="bullet"/>
      <w:lvlText w:val="o"/>
      <w:lvlJc w:val="left"/>
      <w:pPr>
        <w:tabs>
          <w:tab w:val="num" w:pos="3708"/>
        </w:tabs>
        <w:ind w:left="3708" w:hanging="360"/>
      </w:pPr>
      <w:rPr>
        <w:rFonts w:ascii="Courier New" w:hAnsi="Courier New" w:hint="default"/>
      </w:rPr>
    </w:lvl>
    <w:lvl w:ilvl="2" w:tplc="259AD83C" w:tentative="1">
      <w:start w:val="1"/>
      <w:numFmt w:val="bullet"/>
      <w:lvlText w:val=""/>
      <w:lvlJc w:val="left"/>
      <w:pPr>
        <w:tabs>
          <w:tab w:val="num" w:pos="4428"/>
        </w:tabs>
        <w:ind w:left="4428" w:hanging="360"/>
      </w:pPr>
      <w:rPr>
        <w:rFonts w:ascii="Wingdings" w:hAnsi="Wingdings" w:hint="default"/>
      </w:rPr>
    </w:lvl>
    <w:lvl w:ilvl="3" w:tplc="15AE3A12" w:tentative="1">
      <w:start w:val="1"/>
      <w:numFmt w:val="bullet"/>
      <w:lvlText w:val=""/>
      <w:lvlJc w:val="left"/>
      <w:pPr>
        <w:tabs>
          <w:tab w:val="num" w:pos="5148"/>
        </w:tabs>
        <w:ind w:left="5148" w:hanging="360"/>
      </w:pPr>
      <w:rPr>
        <w:rFonts w:ascii="Symbol" w:hAnsi="Symbol" w:hint="default"/>
      </w:rPr>
    </w:lvl>
    <w:lvl w:ilvl="4" w:tplc="4E709184" w:tentative="1">
      <w:start w:val="1"/>
      <w:numFmt w:val="bullet"/>
      <w:lvlText w:val="o"/>
      <w:lvlJc w:val="left"/>
      <w:pPr>
        <w:tabs>
          <w:tab w:val="num" w:pos="5868"/>
        </w:tabs>
        <w:ind w:left="5868" w:hanging="360"/>
      </w:pPr>
      <w:rPr>
        <w:rFonts w:ascii="Courier New" w:hAnsi="Courier New" w:hint="default"/>
      </w:rPr>
    </w:lvl>
    <w:lvl w:ilvl="5" w:tplc="D8C6A0D0" w:tentative="1">
      <w:start w:val="1"/>
      <w:numFmt w:val="bullet"/>
      <w:lvlText w:val=""/>
      <w:lvlJc w:val="left"/>
      <w:pPr>
        <w:tabs>
          <w:tab w:val="num" w:pos="6588"/>
        </w:tabs>
        <w:ind w:left="6588" w:hanging="360"/>
      </w:pPr>
      <w:rPr>
        <w:rFonts w:ascii="Wingdings" w:hAnsi="Wingdings" w:hint="default"/>
      </w:rPr>
    </w:lvl>
    <w:lvl w:ilvl="6" w:tplc="FE023F9C" w:tentative="1">
      <w:start w:val="1"/>
      <w:numFmt w:val="bullet"/>
      <w:lvlText w:val=""/>
      <w:lvlJc w:val="left"/>
      <w:pPr>
        <w:tabs>
          <w:tab w:val="num" w:pos="7308"/>
        </w:tabs>
        <w:ind w:left="7308" w:hanging="360"/>
      </w:pPr>
      <w:rPr>
        <w:rFonts w:ascii="Symbol" w:hAnsi="Symbol" w:hint="default"/>
      </w:rPr>
    </w:lvl>
    <w:lvl w:ilvl="7" w:tplc="B34053DA" w:tentative="1">
      <w:start w:val="1"/>
      <w:numFmt w:val="bullet"/>
      <w:lvlText w:val="o"/>
      <w:lvlJc w:val="left"/>
      <w:pPr>
        <w:tabs>
          <w:tab w:val="num" w:pos="8028"/>
        </w:tabs>
        <w:ind w:left="8028" w:hanging="360"/>
      </w:pPr>
      <w:rPr>
        <w:rFonts w:ascii="Courier New" w:hAnsi="Courier New" w:hint="default"/>
      </w:rPr>
    </w:lvl>
    <w:lvl w:ilvl="8" w:tplc="5C767F12"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C886B89"/>
    <w:multiLevelType w:val="hybridMultilevel"/>
    <w:tmpl w:val="D5803F10"/>
    <w:lvl w:ilvl="0" w:tplc="B18CD81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03315E7"/>
    <w:multiLevelType w:val="hybridMultilevel"/>
    <w:tmpl w:val="B7ACB2A4"/>
    <w:lvl w:ilvl="0" w:tplc="F4282500">
      <w:start w:val="1"/>
      <w:numFmt w:val="lowerLetter"/>
      <w:lvlText w:val="(%1)"/>
      <w:lvlJc w:val="left"/>
      <w:pPr>
        <w:ind w:left="1854" w:hanging="360"/>
      </w:pPr>
      <w:rPr>
        <w:rFonts w:hint="default"/>
      </w:rPr>
    </w:lvl>
    <w:lvl w:ilvl="1" w:tplc="BB24F9EC">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426134FF"/>
    <w:multiLevelType w:val="hybridMultilevel"/>
    <w:tmpl w:val="A056A964"/>
    <w:lvl w:ilvl="0" w:tplc="66C05490">
      <w:start w:val="1"/>
      <w:numFmt w:val="lowerLetter"/>
      <w:lvlText w:val="(%1)"/>
      <w:lvlJc w:val="left"/>
      <w:pPr>
        <w:ind w:left="2062" w:hanging="360"/>
      </w:pPr>
      <w:rPr>
        <w:rFonts w:hint="default"/>
        <w:b w:val="0"/>
        <w:lang w:val="en-Z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DC2850"/>
    <w:multiLevelType w:val="hybridMultilevel"/>
    <w:tmpl w:val="EC1EDCA8"/>
    <w:lvl w:ilvl="0" w:tplc="F4282500">
      <w:start w:val="1"/>
      <w:numFmt w:val="lowerLetter"/>
      <w:lvlText w:val="(%1)"/>
      <w:lvlJc w:val="left"/>
      <w:pPr>
        <w:ind w:left="1854" w:hanging="360"/>
      </w:pPr>
      <w:rPr>
        <w:rFonts w:hint="default"/>
      </w:rPr>
    </w:lvl>
    <w:lvl w:ilvl="1" w:tplc="9ED272C6">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43B672A8"/>
    <w:multiLevelType w:val="hybridMultilevel"/>
    <w:tmpl w:val="6A8AAF7E"/>
    <w:lvl w:ilvl="0" w:tplc="F4282500">
      <w:start w:val="1"/>
      <w:numFmt w:val="lowerLetter"/>
      <w:lvlText w:val="(%1)"/>
      <w:lvlJc w:val="left"/>
      <w:pPr>
        <w:ind w:left="1854" w:hanging="360"/>
      </w:pPr>
      <w:rPr>
        <w:rFonts w:hint="default"/>
      </w:rPr>
    </w:lvl>
    <w:lvl w:ilvl="1" w:tplc="EA2C58B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B2B7B02"/>
    <w:multiLevelType w:val="hybridMultilevel"/>
    <w:tmpl w:val="A6C8E81E"/>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AE96CDA"/>
    <w:multiLevelType w:val="hybridMultilevel"/>
    <w:tmpl w:val="5220F3C8"/>
    <w:lvl w:ilvl="0" w:tplc="D564FE10">
      <w:start w:val="1"/>
      <w:numFmt w:val="lowerLetter"/>
      <w:lvlText w:val="(%1)"/>
      <w:lvlJc w:val="left"/>
      <w:pPr>
        <w:ind w:left="720" w:hanging="360"/>
      </w:pPr>
      <w:rPr>
        <w:rFonts w:hint="default"/>
      </w:rPr>
    </w:lvl>
    <w:lvl w:ilvl="1" w:tplc="D564FE1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4D67BD"/>
    <w:multiLevelType w:val="hybridMultilevel"/>
    <w:tmpl w:val="20A4890C"/>
    <w:lvl w:ilvl="0" w:tplc="BB24F9EC">
      <w:start w:val="1"/>
      <w:numFmt w:val="lowerLetter"/>
      <w:lvlText w:val="(%1)"/>
      <w:lvlJc w:val="left"/>
      <w:pPr>
        <w:ind w:left="257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6272BC"/>
    <w:multiLevelType w:val="hybridMultilevel"/>
    <w:tmpl w:val="BA62C486"/>
    <w:lvl w:ilvl="0" w:tplc="66C05490">
      <w:start w:val="1"/>
      <w:numFmt w:val="lowerLetter"/>
      <w:lvlText w:val="(%1)"/>
      <w:lvlJc w:val="left"/>
      <w:pPr>
        <w:ind w:left="2062" w:hanging="360"/>
      </w:pPr>
      <w:rPr>
        <w:rFonts w:hint="default"/>
        <w:b w:val="0"/>
        <w:lang w:val="en-Z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AD07B2"/>
    <w:multiLevelType w:val="hybridMultilevel"/>
    <w:tmpl w:val="7FEE3222"/>
    <w:lvl w:ilvl="0" w:tplc="6A906E16">
      <w:start w:val="1"/>
      <w:numFmt w:val="bullet"/>
      <w:pStyle w:val="Bullet1G"/>
      <w:lvlText w:val="•"/>
      <w:lvlJc w:val="left"/>
      <w:pPr>
        <w:tabs>
          <w:tab w:val="num" w:pos="1701"/>
        </w:tabs>
        <w:ind w:left="1701" w:hanging="170"/>
      </w:pPr>
      <w:rPr>
        <w:rFonts w:ascii="Times New Roman" w:hAnsi="Times New Roman" w:cs="Times New Roman" w:hint="default"/>
      </w:rPr>
    </w:lvl>
    <w:lvl w:ilvl="1" w:tplc="B8E00840" w:tentative="1">
      <w:start w:val="1"/>
      <w:numFmt w:val="bullet"/>
      <w:lvlText w:val="o"/>
      <w:lvlJc w:val="left"/>
      <w:pPr>
        <w:tabs>
          <w:tab w:val="num" w:pos="3141"/>
        </w:tabs>
        <w:ind w:left="3141" w:hanging="360"/>
      </w:pPr>
      <w:rPr>
        <w:rFonts w:ascii="Courier New" w:hAnsi="Courier New" w:hint="default"/>
      </w:rPr>
    </w:lvl>
    <w:lvl w:ilvl="2" w:tplc="C2FCBF0C" w:tentative="1">
      <w:start w:val="1"/>
      <w:numFmt w:val="bullet"/>
      <w:lvlText w:val=""/>
      <w:lvlJc w:val="left"/>
      <w:pPr>
        <w:tabs>
          <w:tab w:val="num" w:pos="3861"/>
        </w:tabs>
        <w:ind w:left="3861" w:hanging="360"/>
      </w:pPr>
      <w:rPr>
        <w:rFonts w:ascii="Wingdings" w:hAnsi="Wingdings" w:hint="default"/>
      </w:rPr>
    </w:lvl>
    <w:lvl w:ilvl="3" w:tplc="E6529E5C" w:tentative="1">
      <w:start w:val="1"/>
      <w:numFmt w:val="bullet"/>
      <w:lvlText w:val=""/>
      <w:lvlJc w:val="left"/>
      <w:pPr>
        <w:tabs>
          <w:tab w:val="num" w:pos="4581"/>
        </w:tabs>
        <w:ind w:left="4581" w:hanging="360"/>
      </w:pPr>
      <w:rPr>
        <w:rFonts w:ascii="Symbol" w:hAnsi="Symbol" w:hint="default"/>
      </w:rPr>
    </w:lvl>
    <w:lvl w:ilvl="4" w:tplc="BF5EFAEE" w:tentative="1">
      <w:start w:val="1"/>
      <w:numFmt w:val="bullet"/>
      <w:lvlText w:val="o"/>
      <w:lvlJc w:val="left"/>
      <w:pPr>
        <w:tabs>
          <w:tab w:val="num" w:pos="5301"/>
        </w:tabs>
        <w:ind w:left="5301" w:hanging="360"/>
      </w:pPr>
      <w:rPr>
        <w:rFonts w:ascii="Courier New" w:hAnsi="Courier New" w:hint="default"/>
      </w:rPr>
    </w:lvl>
    <w:lvl w:ilvl="5" w:tplc="493E5C6E" w:tentative="1">
      <w:start w:val="1"/>
      <w:numFmt w:val="bullet"/>
      <w:lvlText w:val=""/>
      <w:lvlJc w:val="left"/>
      <w:pPr>
        <w:tabs>
          <w:tab w:val="num" w:pos="6021"/>
        </w:tabs>
        <w:ind w:left="6021" w:hanging="360"/>
      </w:pPr>
      <w:rPr>
        <w:rFonts w:ascii="Wingdings" w:hAnsi="Wingdings" w:hint="default"/>
      </w:rPr>
    </w:lvl>
    <w:lvl w:ilvl="6" w:tplc="756A023C" w:tentative="1">
      <w:start w:val="1"/>
      <w:numFmt w:val="bullet"/>
      <w:lvlText w:val=""/>
      <w:lvlJc w:val="left"/>
      <w:pPr>
        <w:tabs>
          <w:tab w:val="num" w:pos="6741"/>
        </w:tabs>
        <w:ind w:left="6741" w:hanging="360"/>
      </w:pPr>
      <w:rPr>
        <w:rFonts w:ascii="Symbol" w:hAnsi="Symbol" w:hint="default"/>
      </w:rPr>
    </w:lvl>
    <w:lvl w:ilvl="7" w:tplc="29C84C40" w:tentative="1">
      <w:start w:val="1"/>
      <w:numFmt w:val="bullet"/>
      <w:lvlText w:val="o"/>
      <w:lvlJc w:val="left"/>
      <w:pPr>
        <w:tabs>
          <w:tab w:val="num" w:pos="7461"/>
        </w:tabs>
        <w:ind w:left="7461" w:hanging="360"/>
      </w:pPr>
      <w:rPr>
        <w:rFonts w:ascii="Courier New" w:hAnsi="Courier New" w:hint="default"/>
      </w:rPr>
    </w:lvl>
    <w:lvl w:ilvl="8" w:tplc="C6649E70"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94B1F15"/>
    <w:multiLevelType w:val="hybridMultilevel"/>
    <w:tmpl w:val="DD26A73C"/>
    <w:lvl w:ilvl="0" w:tplc="8564D0F2">
      <w:start w:val="1"/>
      <w:numFmt w:val="decimal"/>
      <w:lvlText w:val="%1."/>
      <w:lvlJc w:val="left"/>
      <w:pPr>
        <w:ind w:left="1854" w:hanging="360"/>
      </w:pPr>
      <w:rPr>
        <w:b w:val="0"/>
        <w:i w:val="0"/>
      </w:rPr>
    </w:lvl>
    <w:lvl w:ilvl="1" w:tplc="5C7EC66C">
      <w:start w:val="1"/>
      <w:numFmt w:val="lowerLetter"/>
      <w:lvlText w:val="(%2)"/>
      <w:lvlJc w:val="left"/>
      <w:pPr>
        <w:ind w:left="2555" w:hanging="570"/>
      </w:pPr>
      <w:rPr>
        <w:rFonts w:hint="default"/>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9EB266F"/>
    <w:multiLevelType w:val="hybridMultilevel"/>
    <w:tmpl w:val="36EA17CA"/>
    <w:lvl w:ilvl="0" w:tplc="D564FE1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E64C8C"/>
    <w:multiLevelType w:val="hybridMultilevel"/>
    <w:tmpl w:val="BAC803AC"/>
    <w:lvl w:ilvl="0" w:tplc="8F44AE2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6B9E5FC9"/>
    <w:multiLevelType w:val="hybridMultilevel"/>
    <w:tmpl w:val="B75CD528"/>
    <w:lvl w:ilvl="0" w:tplc="D564FE10">
      <w:start w:val="1"/>
      <w:numFmt w:val="lowerLetter"/>
      <w:lvlText w:val="(%1)"/>
      <w:lvlJc w:val="left"/>
      <w:pPr>
        <w:ind w:left="2782" w:hanging="360"/>
      </w:pPr>
      <w:rPr>
        <w:rFonts w:hint="default"/>
      </w:rPr>
    </w:lvl>
    <w:lvl w:ilvl="1" w:tplc="08090019" w:tentative="1">
      <w:start w:val="1"/>
      <w:numFmt w:val="lowerLetter"/>
      <w:lvlText w:val="%2."/>
      <w:lvlJc w:val="left"/>
      <w:pPr>
        <w:ind w:left="3502" w:hanging="360"/>
      </w:pPr>
    </w:lvl>
    <w:lvl w:ilvl="2" w:tplc="0809001B" w:tentative="1">
      <w:start w:val="1"/>
      <w:numFmt w:val="lowerRoman"/>
      <w:lvlText w:val="%3."/>
      <w:lvlJc w:val="right"/>
      <w:pPr>
        <w:ind w:left="4222" w:hanging="180"/>
      </w:pPr>
    </w:lvl>
    <w:lvl w:ilvl="3" w:tplc="0809000F" w:tentative="1">
      <w:start w:val="1"/>
      <w:numFmt w:val="decimal"/>
      <w:lvlText w:val="%4."/>
      <w:lvlJc w:val="left"/>
      <w:pPr>
        <w:ind w:left="4942" w:hanging="360"/>
      </w:pPr>
    </w:lvl>
    <w:lvl w:ilvl="4" w:tplc="08090019" w:tentative="1">
      <w:start w:val="1"/>
      <w:numFmt w:val="lowerLetter"/>
      <w:lvlText w:val="%5."/>
      <w:lvlJc w:val="left"/>
      <w:pPr>
        <w:ind w:left="5662" w:hanging="360"/>
      </w:pPr>
    </w:lvl>
    <w:lvl w:ilvl="5" w:tplc="0809001B" w:tentative="1">
      <w:start w:val="1"/>
      <w:numFmt w:val="lowerRoman"/>
      <w:lvlText w:val="%6."/>
      <w:lvlJc w:val="right"/>
      <w:pPr>
        <w:ind w:left="6382" w:hanging="180"/>
      </w:pPr>
    </w:lvl>
    <w:lvl w:ilvl="6" w:tplc="0809000F" w:tentative="1">
      <w:start w:val="1"/>
      <w:numFmt w:val="decimal"/>
      <w:lvlText w:val="%7."/>
      <w:lvlJc w:val="left"/>
      <w:pPr>
        <w:ind w:left="7102" w:hanging="360"/>
      </w:pPr>
    </w:lvl>
    <w:lvl w:ilvl="7" w:tplc="08090019" w:tentative="1">
      <w:start w:val="1"/>
      <w:numFmt w:val="lowerLetter"/>
      <w:lvlText w:val="%8."/>
      <w:lvlJc w:val="left"/>
      <w:pPr>
        <w:ind w:left="7822" w:hanging="360"/>
      </w:pPr>
    </w:lvl>
    <w:lvl w:ilvl="8" w:tplc="0809001B" w:tentative="1">
      <w:start w:val="1"/>
      <w:numFmt w:val="lowerRoman"/>
      <w:lvlText w:val="%9."/>
      <w:lvlJc w:val="right"/>
      <w:pPr>
        <w:ind w:left="8542" w:hanging="180"/>
      </w:pPr>
    </w:lvl>
  </w:abstractNum>
  <w:abstractNum w:abstractNumId="25" w15:restartNumberingAfterBreak="0">
    <w:nsid w:val="708452F5"/>
    <w:multiLevelType w:val="hybridMultilevel"/>
    <w:tmpl w:val="AB5EC37E"/>
    <w:lvl w:ilvl="0" w:tplc="C5FE2200">
      <w:start w:val="1"/>
      <w:numFmt w:val="lowerLetter"/>
      <w:lvlText w:val="(%1)"/>
      <w:lvlJc w:val="left"/>
      <w:pPr>
        <w:ind w:left="257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C11047"/>
    <w:multiLevelType w:val="hybridMultilevel"/>
    <w:tmpl w:val="4C9C8626"/>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8053988"/>
    <w:multiLevelType w:val="hybridMultilevel"/>
    <w:tmpl w:val="10840B6E"/>
    <w:lvl w:ilvl="0" w:tplc="F4282500">
      <w:start w:val="1"/>
      <w:numFmt w:val="lowerLetter"/>
      <w:lvlText w:val="(%1)"/>
      <w:lvlJc w:val="left"/>
      <w:pPr>
        <w:ind w:left="1854" w:hanging="360"/>
      </w:pPr>
      <w:rPr>
        <w:rFonts w:hint="default"/>
      </w:rPr>
    </w:lvl>
    <w:lvl w:ilvl="1" w:tplc="C5FE2200">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8"/>
  </w:num>
  <w:num w:numId="3">
    <w:abstractNumId w:val="20"/>
  </w:num>
  <w:num w:numId="4">
    <w:abstractNumId w:val="9"/>
  </w:num>
  <w:num w:numId="5">
    <w:abstractNumId w:val="2"/>
  </w:num>
  <w:num w:numId="6">
    <w:abstractNumId w:val="21"/>
  </w:num>
  <w:num w:numId="7">
    <w:abstractNumId w:val="7"/>
  </w:num>
  <w:num w:numId="8">
    <w:abstractNumId w:val="11"/>
  </w:num>
  <w:num w:numId="9">
    <w:abstractNumId w:val="14"/>
  </w:num>
  <w:num w:numId="10">
    <w:abstractNumId w:val="4"/>
  </w:num>
  <w:num w:numId="11">
    <w:abstractNumId w:val="13"/>
  </w:num>
  <w:num w:numId="12">
    <w:abstractNumId w:val="3"/>
  </w:num>
  <w:num w:numId="13">
    <w:abstractNumId w:val="27"/>
  </w:num>
  <w:num w:numId="14">
    <w:abstractNumId w:val="8"/>
  </w:num>
  <w:num w:numId="15">
    <w:abstractNumId w:val="5"/>
  </w:num>
  <w:num w:numId="16">
    <w:abstractNumId w:val="12"/>
  </w:num>
  <w:num w:numId="17">
    <w:abstractNumId w:val="19"/>
  </w:num>
  <w:num w:numId="18">
    <w:abstractNumId w:val="0"/>
  </w:num>
  <w:num w:numId="19">
    <w:abstractNumId w:val="25"/>
  </w:num>
  <w:num w:numId="20">
    <w:abstractNumId w:val="17"/>
  </w:num>
  <w:num w:numId="21">
    <w:abstractNumId w:val="1"/>
  </w:num>
  <w:num w:numId="22">
    <w:abstractNumId w:val="24"/>
  </w:num>
  <w:num w:numId="23">
    <w:abstractNumId w:val="6"/>
  </w:num>
  <w:num w:numId="24">
    <w:abstractNumId w:val="10"/>
  </w:num>
  <w:num w:numId="25">
    <w:abstractNumId w:val="26"/>
  </w:num>
  <w:num w:numId="26">
    <w:abstractNumId w:val="23"/>
  </w:num>
  <w:num w:numId="27">
    <w:abstractNumId w:val="15"/>
  </w:num>
  <w:num w:numId="28">
    <w:abstractNumId w:val="22"/>
  </w:num>
  <w:num w:numId="2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n-Z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1"/>
  <w:activeWritingStyle w:appName="MSWord" w:lang="es-ES" w:vendorID="64" w:dllVersion="131078" w:nlCheck="1" w:checkStyle="0"/>
  <w:activeWritingStyle w:appName="MSWord" w:lang="es-419" w:vendorID="64" w:dllVersion="131078" w:nlCheck="1" w:checkStyle="0"/>
  <w:proofState w:spelling="clean" w:grammar="clean"/>
  <w:documentProtection w:edit="trackedChanges" w:enforcement="0"/>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FC"/>
    <w:rsid w:val="00001F96"/>
    <w:rsid w:val="00007852"/>
    <w:rsid w:val="0001155C"/>
    <w:rsid w:val="00012220"/>
    <w:rsid w:val="00013F27"/>
    <w:rsid w:val="00014731"/>
    <w:rsid w:val="00015F2A"/>
    <w:rsid w:val="00017F1C"/>
    <w:rsid w:val="00024DF3"/>
    <w:rsid w:val="000250F4"/>
    <w:rsid w:val="000261E1"/>
    <w:rsid w:val="0002673B"/>
    <w:rsid w:val="000306DA"/>
    <w:rsid w:val="00030F2F"/>
    <w:rsid w:val="0003103C"/>
    <w:rsid w:val="000315E2"/>
    <w:rsid w:val="000317F5"/>
    <w:rsid w:val="00032928"/>
    <w:rsid w:val="00035142"/>
    <w:rsid w:val="00036337"/>
    <w:rsid w:val="00040B80"/>
    <w:rsid w:val="00041250"/>
    <w:rsid w:val="00041A17"/>
    <w:rsid w:val="00042CAB"/>
    <w:rsid w:val="00045212"/>
    <w:rsid w:val="000464F5"/>
    <w:rsid w:val="0004787B"/>
    <w:rsid w:val="000539F0"/>
    <w:rsid w:val="00054435"/>
    <w:rsid w:val="00054629"/>
    <w:rsid w:val="00055443"/>
    <w:rsid w:val="000576B5"/>
    <w:rsid w:val="000615B0"/>
    <w:rsid w:val="0006283C"/>
    <w:rsid w:val="0006321A"/>
    <w:rsid w:val="00063FA7"/>
    <w:rsid w:val="00065365"/>
    <w:rsid w:val="00065C0E"/>
    <w:rsid w:val="000667D3"/>
    <w:rsid w:val="00066829"/>
    <w:rsid w:val="00071496"/>
    <w:rsid w:val="00071D7D"/>
    <w:rsid w:val="000733F0"/>
    <w:rsid w:val="000756DA"/>
    <w:rsid w:val="00077CE2"/>
    <w:rsid w:val="00080BAA"/>
    <w:rsid w:val="00081C50"/>
    <w:rsid w:val="0008242B"/>
    <w:rsid w:val="00082897"/>
    <w:rsid w:val="00083287"/>
    <w:rsid w:val="00083403"/>
    <w:rsid w:val="00084516"/>
    <w:rsid w:val="00084B5D"/>
    <w:rsid w:val="0008526B"/>
    <w:rsid w:val="0009076D"/>
    <w:rsid w:val="0009172E"/>
    <w:rsid w:val="00091AD4"/>
    <w:rsid w:val="000924A0"/>
    <w:rsid w:val="000938F2"/>
    <w:rsid w:val="000948D5"/>
    <w:rsid w:val="000A08F6"/>
    <w:rsid w:val="000A55D6"/>
    <w:rsid w:val="000A5FBD"/>
    <w:rsid w:val="000B0796"/>
    <w:rsid w:val="000B0DF4"/>
    <w:rsid w:val="000B1953"/>
    <w:rsid w:val="000B20CA"/>
    <w:rsid w:val="000B22EB"/>
    <w:rsid w:val="000B301C"/>
    <w:rsid w:val="000B316A"/>
    <w:rsid w:val="000B35BD"/>
    <w:rsid w:val="000B3FBD"/>
    <w:rsid w:val="000B63A7"/>
    <w:rsid w:val="000C01B5"/>
    <w:rsid w:val="000C03CE"/>
    <w:rsid w:val="000C2EDE"/>
    <w:rsid w:val="000C323A"/>
    <w:rsid w:val="000C392D"/>
    <w:rsid w:val="000C7B6D"/>
    <w:rsid w:val="000D19F6"/>
    <w:rsid w:val="000D36C2"/>
    <w:rsid w:val="000D426B"/>
    <w:rsid w:val="000D4404"/>
    <w:rsid w:val="000D75C5"/>
    <w:rsid w:val="000E2E15"/>
    <w:rsid w:val="000E6114"/>
    <w:rsid w:val="000E6411"/>
    <w:rsid w:val="000E691C"/>
    <w:rsid w:val="000F058E"/>
    <w:rsid w:val="000F3827"/>
    <w:rsid w:val="000F38EB"/>
    <w:rsid w:val="000F3A5A"/>
    <w:rsid w:val="000F3C5A"/>
    <w:rsid w:val="000F4459"/>
    <w:rsid w:val="000F5102"/>
    <w:rsid w:val="000F6426"/>
    <w:rsid w:val="00100CDA"/>
    <w:rsid w:val="00101B61"/>
    <w:rsid w:val="0010369B"/>
    <w:rsid w:val="00103B26"/>
    <w:rsid w:val="00103EF2"/>
    <w:rsid w:val="00104462"/>
    <w:rsid w:val="00104B61"/>
    <w:rsid w:val="00105261"/>
    <w:rsid w:val="0010681F"/>
    <w:rsid w:val="00107E58"/>
    <w:rsid w:val="00107F17"/>
    <w:rsid w:val="0011023E"/>
    <w:rsid w:val="00110705"/>
    <w:rsid w:val="00110D04"/>
    <w:rsid w:val="00112F5D"/>
    <w:rsid w:val="00113407"/>
    <w:rsid w:val="0011364F"/>
    <w:rsid w:val="001141A9"/>
    <w:rsid w:val="00121330"/>
    <w:rsid w:val="0012284C"/>
    <w:rsid w:val="00123DBB"/>
    <w:rsid w:val="001270FD"/>
    <w:rsid w:val="0013081A"/>
    <w:rsid w:val="0013084F"/>
    <w:rsid w:val="00130F6D"/>
    <w:rsid w:val="00131B38"/>
    <w:rsid w:val="00132831"/>
    <w:rsid w:val="001343FB"/>
    <w:rsid w:val="00134978"/>
    <w:rsid w:val="0013545A"/>
    <w:rsid w:val="001367F7"/>
    <w:rsid w:val="00136F9A"/>
    <w:rsid w:val="00140541"/>
    <w:rsid w:val="00140BD2"/>
    <w:rsid w:val="00140D70"/>
    <w:rsid w:val="00141E3F"/>
    <w:rsid w:val="001449BE"/>
    <w:rsid w:val="00145272"/>
    <w:rsid w:val="00147246"/>
    <w:rsid w:val="0015257F"/>
    <w:rsid w:val="00153417"/>
    <w:rsid w:val="001537AD"/>
    <w:rsid w:val="00160202"/>
    <w:rsid w:val="00160CFD"/>
    <w:rsid w:val="0016133A"/>
    <w:rsid w:val="00161989"/>
    <w:rsid w:val="00161CEE"/>
    <w:rsid w:val="001632D6"/>
    <w:rsid w:val="00163949"/>
    <w:rsid w:val="00163F2A"/>
    <w:rsid w:val="00165D22"/>
    <w:rsid w:val="00165E93"/>
    <w:rsid w:val="00174744"/>
    <w:rsid w:val="001752C2"/>
    <w:rsid w:val="00182E33"/>
    <w:rsid w:val="001838D5"/>
    <w:rsid w:val="00183BA9"/>
    <w:rsid w:val="00183F9E"/>
    <w:rsid w:val="001861EE"/>
    <w:rsid w:val="00187487"/>
    <w:rsid w:val="00190031"/>
    <w:rsid w:val="00191EF6"/>
    <w:rsid w:val="00192E13"/>
    <w:rsid w:val="001933E5"/>
    <w:rsid w:val="0019521B"/>
    <w:rsid w:val="00196635"/>
    <w:rsid w:val="00197396"/>
    <w:rsid w:val="001979A6"/>
    <w:rsid w:val="001A0847"/>
    <w:rsid w:val="001A088D"/>
    <w:rsid w:val="001A1A12"/>
    <w:rsid w:val="001A2636"/>
    <w:rsid w:val="001A3E3D"/>
    <w:rsid w:val="001A3F05"/>
    <w:rsid w:val="001A4114"/>
    <w:rsid w:val="001A7140"/>
    <w:rsid w:val="001B051C"/>
    <w:rsid w:val="001B0571"/>
    <w:rsid w:val="001B0A03"/>
    <w:rsid w:val="001B1092"/>
    <w:rsid w:val="001B1FC4"/>
    <w:rsid w:val="001B266B"/>
    <w:rsid w:val="001B407B"/>
    <w:rsid w:val="001B4391"/>
    <w:rsid w:val="001B6381"/>
    <w:rsid w:val="001B76C0"/>
    <w:rsid w:val="001B7DC9"/>
    <w:rsid w:val="001B7F11"/>
    <w:rsid w:val="001C1D94"/>
    <w:rsid w:val="001C46B0"/>
    <w:rsid w:val="001C585F"/>
    <w:rsid w:val="001C7C6E"/>
    <w:rsid w:val="001D04F6"/>
    <w:rsid w:val="001D0734"/>
    <w:rsid w:val="001D0AE7"/>
    <w:rsid w:val="001D0D8A"/>
    <w:rsid w:val="001D1776"/>
    <w:rsid w:val="001D4EE7"/>
    <w:rsid w:val="001D6A62"/>
    <w:rsid w:val="001D6EFF"/>
    <w:rsid w:val="001D7CA4"/>
    <w:rsid w:val="001E09D0"/>
    <w:rsid w:val="001E0DDB"/>
    <w:rsid w:val="001E1B08"/>
    <w:rsid w:val="001E23CB"/>
    <w:rsid w:val="001E260B"/>
    <w:rsid w:val="001E2D1D"/>
    <w:rsid w:val="001E56BB"/>
    <w:rsid w:val="001E5A43"/>
    <w:rsid w:val="001E6677"/>
    <w:rsid w:val="001E7142"/>
    <w:rsid w:val="001E7CE9"/>
    <w:rsid w:val="001F0909"/>
    <w:rsid w:val="001F1256"/>
    <w:rsid w:val="001F1538"/>
    <w:rsid w:val="001F2035"/>
    <w:rsid w:val="001F3094"/>
    <w:rsid w:val="001F3502"/>
    <w:rsid w:val="001F50EF"/>
    <w:rsid w:val="001F52A4"/>
    <w:rsid w:val="001F5535"/>
    <w:rsid w:val="001F683A"/>
    <w:rsid w:val="001F699B"/>
    <w:rsid w:val="001F6C4E"/>
    <w:rsid w:val="00200547"/>
    <w:rsid w:val="00200BD3"/>
    <w:rsid w:val="0020156A"/>
    <w:rsid w:val="0020270B"/>
    <w:rsid w:val="00202CB0"/>
    <w:rsid w:val="00203C6F"/>
    <w:rsid w:val="00204260"/>
    <w:rsid w:val="002046B5"/>
    <w:rsid w:val="00204FC1"/>
    <w:rsid w:val="00205321"/>
    <w:rsid w:val="00205D75"/>
    <w:rsid w:val="00206C38"/>
    <w:rsid w:val="00207768"/>
    <w:rsid w:val="002110E5"/>
    <w:rsid w:val="002111B7"/>
    <w:rsid w:val="00212BA4"/>
    <w:rsid w:val="00214B86"/>
    <w:rsid w:val="00216B48"/>
    <w:rsid w:val="002204E5"/>
    <w:rsid w:val="00220CB5"/>
    <w:rsid w:val="00221BCA"/>
    <w:rsid w:val="00224EC0"/>
    <w:rsid w:val="0022641F"/>
    <w:rsid w:val="002267BE"/>
    <w:rsid w:val="00226B9A"/>
    <w:rsid w:val="00227D43"/>
    <w:rsid w:val="002302DF"/>
    <w:rsid w:val="00231F99"/>
    <w:rsid w:val="00233B43"/>
    <w:rsid w:val="00233C21"/>
    <w:rsid w:val="002349A8"/>
    <w:rsid w:val="002351AD"/>
    <w:rsid w:val="002378AA"/>
    <w:rsid w:val="00237C09"/>
    <w:rsid w:val="00240604"/>
    <w:rsid w:val="0024080E"/>
    <w:rsid w:val="0024185E"/>
    <w:rsid w:val="0024198E"/>
    <w:rsid w:val="00241D17"/>
    <w:rsid w:val="00244940"/>
    <w:rsid w:val="00244EDE"/>
    <w:rsid w:val="002469D5"/>
    <w:rsid w:val="00246CDD"/>
    <w:rsid w:val="00251B20"/>
    <w:rsid w:val="00251CF6"/>
    <w:rsid w:val="00252CF3"/>
    <w:rsid w:val="00253075"/>
    <w:rsid w:val="00253A2C"/>
    <w:rsid w:val="002551F5"/>
    <w:rsid w:val="00256A3A"/>
    <w:rsid w:val="00256B31"/>
    <w:rsid w:val="002578FB"/>
    <w:rsid w:val="00257BF9"/>
    <w:rsid w:val="00260B58"/>
    <w:rsid w:val="00260D30"/>
    <w:rsid w:val="0026235F"/>
    <w:rsid w:val="002627FF"/>
    <w:rsid w:val="00263D32"/>
    <w:rsid w:val="0026543D"/>
    <w:rsid w:val="00266ED4"/>
    <w:rsid w:val="00270485"/>
    <w:rsid w:val="00274B83"/>
    <w:rsid w:val="002761C8"/>
    <w:rsid w:val="00277AD3"/>
    <w:rsid w:val="00277AF2"/>
    <w:rsid w:val="002809BB"/>
    <w:rsid w:val="0028241C"/>
    <w:rsid w:val="00284C21"/>
    <w:rsid w:val="00284C23"/>
    <w:rsid w:val="00293FE9"/>
    <w:rsid w:val="002944D9"/>
    <w:rsid w:val="00295DF4"/>
    <w:rsid w:val="002964C2"/>
    <w:rsid w:val="00296F18"/>
    <w:rsid w:val="0029702E"/>
    <w:rsid w:val="00297176"/>
    <w:rsid w:val="00297868"/>
    <w:rsid w:val="002A0EB6"/>
    <w:rsid w:val="002A1447"/>
    <w:rsid w:val="002A1D33"/>
    <w:rsid w:val="002A2C1B"/>
    <w:rsid w:val="002A7DA1"/>
    <w:rsid w:val="002B039D"/>
    <w:rsid w:val="002B2757"/>
    <w:rsid w:val="002B4E4B"/>
    <w:rsid w:val="002B6650"/>
    <w:rsid w:val="002B69CD"/>
    <w:rsid w:val="002B7A19"/>
    <w:rsid w:val="002B7FCF"/>
    <w:rsid w:val="002C0CB7"/>
    <w:rsid w:val="002C1811"/>
    <w:rsid w:val="002C1EA7"/>
    <w:rsid w:val="002C4F6E"/>
    <w:rsid w:val="002D041E"/>
    <w:rsid w:val="002D34CC"/>
    <w:rsid w:val="002D4CC0"/>
    <w:rsid w:val="002D54B7"/>
    <w:rsid w:val="002D5B9B"/>
    <w:rsid w:val="002D7428"/>
    <w:rsid w:val="002E026C"/>
    <w:rsid w:val="002E191C"/>
    <w:rsid w:val="002E6BA9"/>
    <w:rsid w:val="002F022E"/>
    <w:rsid w:val="002F0F77"/>
    <w:rsid w:val="002F13FA"/>
    <w:rsid w:val="002F1A7B"/>
    <w:rsid w:val="002F751B"/>
    <w:rsid w:val="00305713"/>
    <w:rsid w:val="00307A38"/>
    <w:rsid w:val="00307C84"/>
    <w:rsid w:val="00307CAD"/>
    <w:rsid w:val="00312868"/>
    <w:rsid w:val="0031302B"/>
    <w:rsid w:val="00316381"/>
    <w:rsid w:val="00316DA0"/>
    <w:rsid w:val="003170BA"/>
    <w:rsid w:val="00317DC9"/>
    <w:rsid w:val="00320516"/>
    <w:rsid w:val="00320DDC"/>
    <w:rsid w:val="00321232"/>
    <w:rsid w:val="00321F27"/>
    <w:rsid w:val="00321F69"/>
    <w:rsid w:val="00323C8D"/>
    <w:rsid w:val="00325B6B"/>
    <w:rsid w:val="00326F65"/>
    <w:rsid w:val="00327BB1"/>
    <w:rsid w:val="00332AB4"/>
    <w:rsid w:val="00336614"/>
    <w:rsid w:val="00336EB9"/>
    <w:rsid w:val="003373D9"/>
    <w:rsid w:val="0033775C"/>
    <w:rsid w:val="00340AEE"/>
    <w:rsid w:val="00342573"/>
    <w:rsid w:val="00345E65"/>
    <w:rsid w:val="003462A2"/>
    <w:rsid w:val="00346C46"/>
    <w:rsid w:val="00352A6C"/>
    <w:rsid w:val="00353178"/>
    <w:rsid w:val="0035319C"/>
    <w:rsid w:val="003536EB"/>
    <w:rsid w:val="00355016"/>
    <w:rsid w:val="003576F8"/>
    <w:rsid w:val="00360EED"/>
    <w:rsid w:val="00361CFE"/>
    <w:rsid w:val="003625BB"/>
    <w:rsid w:val="003643CD"/>
    <w:rsid w:val="00365BC8"/>
    <w:rsid w:val="00365C4C"/>
    <w:rsid w:val="00367588"/>
    <w:rsid w:val="003715F8"/>
    <w:rsid w:val="00371E92"/>
    <w:rsid w:val="00372DE4"/>
    <w:rsid w:val="00372E53"/>
    <w:rsid w:val="00376517"/>
    <w:rsid w:val="00376A1E"/>
    <w:rsid w:val="00381EC4"/>
    <w:rsid w:val="003830B2"/>
    <w:rsid w:val="003838E6"/>
    <w:rsid w:val="00383A20"/>
    <w:rsid w:val="00384455"/>
    <w:rsid w:val="00384D33"/>
    <w:rsid w:val="003858C7"/>
    <w:rsid w:val="00387C96"/>
    <w:rsid w:val="00387DC7"/>
    <w:rsid w:val="00391844"/>
    <w:rsid w:val="003947BC"/>
    <w:rsid w:val="00395748"/>
    <w:rsid w:val="00395759"/>
    <w:rsid w:val="003959B3"/>
    <w:rsid w:val="003961B7"/>
    <w:rsid w:val="00397207"/>
    <w:rsid w:val="003A0FD8"/>
    <w:rsid w:val="003A1668"/>
    <w:rsid w:val="003A2221"/>
    <w:rsid w:val="003A4E8B"/>
    <w:rsid w:val="003A4ECB"/>
    <w:rsid w:val="003A55AC"/>
    <w:rsid w:val="003A626F"/>
    <w:rsid w:val="003B02A4"/>
    <w:rsid w:val="003B1A31"/>
    <w:rsid w:val="003B2B5C"/>
    <w:rsid w:val="003B5BFE"/>
    <w:rsid w:val="003B6A45"/>
    <w:rsid w:val="003C1232"/>
    <w:rsid w:val="003C31B4"/>
    <w:rsid w:val="003C3D7E"/>
    <w:rsid w:val="003C41E3"/>
    <w:rsid w:val="003C53E6"/>
    <w:rsid w:val="003C57AD"/>
    <w:rsid w:val="003C61AC"/>
    <w:rsid w:val="003C629C"/>
    <w:rsid w:val="003C7D5E"/>
    <w:rsid w:val="003D0E0B"/>
    <w:rsid w:val="003D1EF3"/>
    <w:rsid w:val="003D3725"/>
    <w:rsid w:val="003D4D8E"/>
    <w:rsid w:val="003D593E"/>
    <w:rsid w:val="003D71CD"/>
    <w:rsid w:val="003E15AE"/>
    <w:rsid w:val="003E2B12"/>
    <w:rsid w:val="003E4B67"/>
    <w:rsid w:val="003E60D4"/>
    <w:rsid w:val="003E64E2"/>
    <w:rsid w:val="003E68D0"/>
    <w:rsid w:val="003E6FAA"/>
    <w:rsid w:val="003E7E66"/>
    <w:rsid w:val="003F048B"/>
    <w:rsid w:val="003F0E49"/>
    <w:rsid w:val="003F2DD0"/>
    <w:rsid w:val="003F5B1A"/>
    <w:rsid w:val="003F5D61"/>
    <w:rsid w:val="003F793C"/>
    <w:rsid w:val="00400267"/>
    <w:rsid w:val="00401625"/>
    <w:rsid w:val="0040367D"/>
    <w:rsid w:val="00404ADB"/>
    <w:rsid w:val="00404C96"/>
    <w:rsid w:val="00406A5A"/>
    <w:rsid w:val="00407295"/>
    <w:rsid w:val="00411037"/>
    <w:rsid w:val="00413E53"/>
    <w:rsid w:val="00414C05"/>
    <w:rsid w:val="00414FB8"/>
    <w:rsid w:val="00416657"/>
    <w:rsid w:val="0041741F"/>
    <w:rsid w:val="0042013B"/>
    <w:rsid w:val="0042166F"/>
    <w:rsid w:val="00421921"/>
    <w:rsid w:val="0042228D"/>
    <w:rsid w:val="00423487"/>
    <w:rsid w:val="00423CA2"/>
    <w:rsid w:val="00424652"/>
    <w:rsid w:val="00426AFE"/>
    <w:rsid w:val="00427EAF"/>
    <w:rsid w:val="0043773E"/>
    <w:rsid w:val="00441A13"/>
    <w:rsid w:val="00443152"/>
    <w:rsid w:val="00444B88"/>
    <w:rsid w:val="00445EFC"/>
    <w:rsid w:val="00446071"/>
    <w:rsid w:val="00450C09"/>
    <w:rsid w:val="00452C9A"/>
    <w:rsid w:val="0045348C"/>
    <w:rsid w:val="004543B6"/>
    <w:rsid w:val="00454874"/>
    <w:rsid w:val="00455549"/>
    <w:rsid w:val="004609C6"/>
    <w:rsid w:val="004630B6"/>
    <w:rsid w:val="00464B6C"/>
    <w:rsid w:val="0046509C"/>
    <w:rsid w:val="00465AC3"/>
    <w:rsid w:val="00467289"/>
    <w:rsid w:val="00473BA4"/>
    <w:rsid w:val="00473F2E"/>
    <w:rsid w:val="004743D3"/>
    <w:rsid w:val="004744C9"/>
    <w:rsid w:val="00474B91"/>
    <w:rsid w:val="00474E2A"/>
    <w:rsid w:val="00476122"/>
    <w:rsid w:val="00476607"/>
    <w:rsid w:val="00476CDB"/>
    <w:rsid w:val="0048015E"/>
    <w:rsid w:val="004801FD"/>
    <w:rsid w:val="00480F5B"/>
    <w:rsid w:val="0048233C"/>
    <w:rsid w:val="00483CF4"/>
    <w:rsid w:val="004853CB"/>
    <w:rsid w:val="00487F75"/>
    <w:rsid w:val="004936FF"/>
    <w:rsid w:val="00495010"/>
    <w:rsid w:val="00495D64"/>
    <w:rsid w:val="0049642E"/>
    <w:rsid w:val="004A085D"/>
    <w:rsid w:val="004A2457"/>
    <w:rsid w:val="004A3F58"/>
    <w:rsid w:val="004A4433"/>
    <w:rsid w:val="004A481B"/>
    <w:rsid w:val="004A624D"/>
    <w:rsid w:val="004B1374"/>
    <w:rsid w:val="004B3BA3"/>
    <w:rsid w:val="004B59B7"/>
    <w:rsid w:val="004B5F16"/>
    <w:rsid w:val="004B6E5C"/>
    <w:rsid w:val="004C059E"/>
    <w:rsid w:val="004C100A"/>
    <w:rsid w:val="004C1E30"/>
    <w:rsid w:val="004C1FBF"/>
    <w:rsid w:val="004C5CDF"/>
    <w:rsid w:val="004C5F43"/>
    <w:rsid w:val="004C749E"/>
    <w:rsid w:val="004C7EB3"/>
    <w:rsid w:val="004C7F1F"/>
    <w:rsid w:val="004D000E"/>
    <w:rsid w:val="004D02CA"/>
    <w:rsid w:val="004D052D"/>
    <w:rsid w:val="004D192E"/>
    <w:rsid w:val="004D1B08"/>
    <w:rsid w:val="004D2ABC"/>
    <w:rsid w:val="004D3003"/>
    <w:rsid w:val="004D60A4"/>
    <w:rsid w:val="004D797A"/>
    <w:rsid w:val="004E1CA2"/>
    <w:rsid w:val="004E1CDF"/>
    <w:rsid w:val="004E2E54"/>
    <w:rsid w:val="004E4404"/>
    <w:rsid w:val="004E680A"/>
    <w:rsid w:val="004E74B9"/>
    <w:rsid w:val="004E7CFE"/>
    <w:rsid w:val="004F06E4"/>
    <w:rsid w:val="004F0893"/>
    <w:rsid w:val="004F0D1A"/>
    <w:rsid w:val="004F2E21"/>
    <w:rsid w:val="004F373B"/>
    <w:rsid w:val="004F37AC"/>
    <w:rsid w:val="004F38A9"/>
    <w:rsid w:val="004F6DB7"/>
    <w:rsid w:val="004F72D8"/>
    <w:rsid w:val="004F7A81"/>
    <w:rsid w:val="005010DA"/>
    <w:rsid w:val="005020B8"/>
    <w:rsid w:val="005026B5"/>
    <w:rsid w:val="00504223"/>
    <w:rsid w:val="005050C2"/>
    <w:rsid w:val="00507569"/>
    <w:rsid w:val="005104EE"/>
    <w:rsid w:val="005106EA"/>
    <w:rsid w:val="0051105F"/>
    <w:rsid w:val="00513426"/>
    <w:rsid w:val="00514224"/>
    <w:rsid w:val="00514367"/>
    <w:rsid w:val="00514698"/>
    <w:rsid w:val="00517245"/>
    <w:rsid w:val="00517FFB"/>
    <w:rsid w:val="00522ECF"/>
    <w:rsid w:val="00523077"/>
    <w:rsid w:val="00524BB0"/>
    <w:rsid w:val="00533414"/>
    <w:rsid w:val="00533947"/>
    <w:rsid w:val="00533C67"/>
    <w:rsid w:val="00536408"/>
    <w:rsid w:val="0053761C"/>
    <w:rsid w:val="0054116E"/>
    <w:rsid w:val="00541EF1"/>
    <w:rsid w:val="005425FC"/>
    <w:rsid w:val="005432CC"/>
    <w:rsid w:val="005434BF"/>
    <w:rsid w:val="0054555E"/>
    <w:rsid w:val="00550A2E"/>
    <w:rsid w:val="00550C6E"/>
    <w:rsid w:val="0055178F"/>
    <w:rsid w:val="00555FAE"/>
    <w:rsid w:val="00556500"/>
    <w:rsid w:val="005629B3"/>
    <w:rsid w:val="00566208"/>
    <w:rsid w:val="005663F7"/>
    <w:rsid w:val="005668C5"/>
    <w:rsid w:val="00567E9F"/>
    <w:rsid w:val="00573964"/>
    <w:rsid w:val="00575CB0"/>
    <w:rsid w:val="00582757"/>
    <w:rsid w:val="00583FCE"/>
    <w:rsid w:val="0058485F"/>
    <w:rsid w:val="00585193"/>
    <w:rsid w:val="00587C3D"/>
    <w:rsid w:val="0059153A"/>
    <w:rsid w:val="00594C12"/>
    <w:rsid w:val="00596236"/>
    <w:rsid w:val="005A0F42"/>
    <w:rsid w:val="005A21B4"/>
    <w:rsid w:val="005A26C0"/>
    <w:rsid w:val="005A3100"/>
    <w:rsid w:val="005A5E2D"/>
    <w:rsid w:val="005A65C9"/>
    <w:rsid w:val="005A7A9C"/>
    <w:rsid w:val="005B05E0"/>
    <w:rsid w:val="005B2D7C"/>
    <w:rsid w:val="005B3797"/>
    <w:rsid w:val="005B38D4"/>
    <w:rsid w:val="005B496F"/>
    <w:rsid w:val="005B540B"/>
    <w:rsid w:val="005B7935"/>
    <w:rsid w:val="005C1B4C"/>
    <w:rsid w:val="005C24A5"/>
    <w:rsid w:val="005C28BD"/>
    <w:rsid w:val="005C2EEE"/>
    <w:rsid w:val="005C3462"/>
    <w:rsid w:val="005C3880"/>
    <w:rsid w:val="005C3F50"/>
    <w:rsid w:val="005C46F8"/>
    <w:rsid w:val="005C48C6"/>
    <w:rsid w:val="005C6580"/>
    <w:rsid w:val="005C6669"/>
    <w:rsid w:val="005D0A99"/>
    <w:rsid w:val="005D0F89"/>
    <w:rsid w:val="005D1C66"/>
    <w:rsid w:val="005D3D90"/>
    <w:rsid w:val="005D6561"/>
    <w:rsid w:val="005D6B2C"/>
    <w:rsid w:val="005E0118"/>
    <w:rsid w:val="005E118B"/>
    <w:rsid w:val="005E148C"/>
    <w:rsid w:val="005E258C"/>
    <w:rsid w:val="005E38A4"/>
    <w:rsid w:val="005E41D5"/>
    <w:rsid w:val="005E588B"/>
    <w:rsid w:val="005E7A7A"/>
    <w:rsid w:val="005F0264"/>
    <w:rsid w:val="005F0FEB"/>
    <w:rsid w:val="005F2B2E"/>
    <w:rsid w:val="005F30BD"/>
    <w:rsid w:val="0060094E"/>
    <w:rsid w:val="00600AE9"/>
    <w:rsid w:val="006026DE"/>
    <w:rsid w:val="006036CA"/>
    <w:rsid w:val="00603B9F"/>
    <w:rsid w:val="00604AA0"/>
    <w:rsid w:val="00604DDA"/>
    <w:rsid w:val="00606427"/>
    <w:rsid w:val="006100F3"/>
    <w:rsid w:val="00610B6F"/>
    <w:rsid w:val="006127CC"/>
    <w:rsid w:val="006130FE"/>
    <w:rsid w:val="006131CB"/>
    <w:rsid w:val="00613539"/>
    <w:rsid w:val="006159CE"/>
    <w:rsid w:val="00616959"/>
    <w:rsid w:val="00617099"/>
    <w:rsid w:val="00617F20"/>
    <w:rsid w:val="00620F88"/>
    <w:rsid w:val="00621298"/>
    <w:rsid w:val="006212B0"/>
    <w:rsid w:val="00623282"/>
    <w:rsid w:val="006237AF"/>
    <w:rsid w:val="00625F23"/>
    <w:rsid w:val="006274DB"/>
    <w:rsid w:val="00627985"/>
    <w:rsid w:val="00627D06"/>
    <w:rsid w:val="006305B1"/>
    <w:rsid w:val="0063740B"/>
    <w:rsid w:val="00637EEA"/>
    <w:rsid w:val="00640474"/>
    <w:rsid w:val="006409C2"/>
    <w:rsid w:val="00640A97"/>
    <w:rsid w:val="00640B23"/>
    <w:rsid w:val="0064131C"/>
    <w:rsid w:val="00641D78"/>
    <w:rsid w:val="00643003"/>
    <w:rsid w:val="006440C9"/>
    <w:rsid w:val="006441CC"/>
    <w:rsid w:val="006459DF"/>
    <w:rsid w:val="00646821"/>
    <w:rsid w:val="00646BDC"/>
    <w:rsid w:val="00647425"/>
    <w:rsid w:val="0064771E"/>
    <w:rsid w:val="0065034A"/>
    <w:rsid w:val="00651A55"/>
    <w:rsid w:val="00653D90"/>
    <w:rsid w:val="006545D2"/>
    <w:rsid w:val="006546DA"/>
    <w:rsid w:val="00655F2A"/>
    <w:rsid w:val="006569BF"/>
    <w:rsid w:val="00657585"/>
    <w:rsid w:val="00662146"/>
    <w:rsid w:val="00663FB4"/>
    <w:rsid w:val="00670EE6"/>
    <w:rsid w:val="00671171"/>
    <w:rsid w:val="00671B20"/>
    <w:rsid w:val="00674684"/>
    <w:rsid w:val="00674FA4"/>
    <w:rsid w:val="00676A7C"/>
    <w:rsid w:val="006811C7"/>
    <w:rsid w:val="0068123B"/>
    <w:rsid w:val="006815DF"/>
    <w:rsid w:val="00684407"/>
    <w:rsid w:val="00685152"/>
    <w:rsid w:val="00686D8D"/>
    <w:rsid w:val="0069066C"/>
    <w:rsid w:val="00693A0B"/>
    <w:rsid w:val="00693DA7"/>
    <w:rsid w:val="006940AE"/>
    <w:rsid w:val="00696541"/>
    <w:rsid w:val="006A0FED"/>
    <w:rsid w:val="006A1876"/>
    <w:rsid w:val="006A314F"/>
    <w:rsid w:val="006A349B"/>
    <w:rsid w:val="006A4458"/>
    <w:rsid w:val="006A59E7"/>
    <w:rsid w:val="006A6946"/>
    <w:rsid w:val="006A6C7C"/>
    <w:rsid w:val="006A6EED"/>
    <w:rsid w:val="006A7006"/>
    <w:rsid w:val="006A745D"/>
    <w:rsid w:val="006B1795"/>
    <w:rsid w:val="006B5422"/>
    <w:rsid w:val="006B5610"/>
    <w:rsid w:val="006C03FD"/>
    <w:rsid w:val="006C0CFD"/>
    <w:rsid w:val="006C17F6"/>
    <w:rsid w:val="006C219B"/>
    <w:rsid w:val="006C35F2"/>
    <w:rsid w:val="006C4A71"/>
    <w:rsid w:val="006D428B"/>
    <w:rsid w:val="006D5271"/>
    <w:rsid w:val="006D5C54"/>
    <w:rsid w:val="006E074E"/>
    <w:rsid w:val="006E0BA5"/>
    <w:rsid w:val="006E0F35"/>
    <w:rsid w:val="006E13A1"/>
    <w:rsid w:val="006E2E3A"/>
    <w:rsid w:val="006E3D00"/>
    <w:rsid w:val="006E3D20"/>
    <w:rsid w:val="006E443C"/>
    <w:rsid w:val="006E54CF"/>
    <w:rsid w:val="006E54F3"/>
    <w:rsid w:val="006E58D2"/>
    <w:rsid w:val="006E5E13"/>
    <w:rsid w:val="006F03C8"/>
    <w:rsid w:val="006F1FC9"/>
    <w:rsid w:val="006F1FE5"/>
    <w:rsid w:val="006F2F12"/>
    <w:rsid w:val="006F39A7"/>
    <w:rsid w:val="006F596D"/>
    <w:rsid w:val="006F77A4"/>
    <w:rsid w:val="00701936"/>
    <w:rsid w:val="007019A0"/>
    <w:rsid w:val="00701D3E"/>
    <w:rsid w:val="007028A0"/>
    <w:rsid w:val="00703055"/>
    <w:rsid w:val="00703C32"/>
    <w:rsid w:val="0070559E"/>
    <w:rsid w:val="0070690F"/>
    <w:rsid w:val="00710576"/>
    <w:rsid w:val="007106D0"/>
    <w:rsid w:val="0071141A"/>
    <w:rsid w:val="007155AB"/>
    <w:rsid w:val="00715EB8"/>
    <w:rsid w:val="007170DF"/>
    <w:rsid w:val="00717275"/>
    <w:rsid w:val="00720438"/>
    <w:rsid w:val="0072054C"/>
    <w:rsid w:val="00720EAC"/>
    <w:rsid w:val="0072101E"/>
    <w:rsid w:val="0072142A"/>
    <w:rsid w:val="007238B1"/>
    <w:rsid w:val="00725444"/>
    <w:rsid w:val="007254BA"/>
    <w:rsid w:val="007267A9"/>
    <w:rsid w:val="00727899"/>
    <w:rsid w:val="00730E76"/>
    <w:rsid w:val="00731651"/>
    <w:rsid w:val="00732E8B"/>
    <w:rsid w:val="00732F90"/>
    <w:rsid w:val="007333B2"/>
    <w:rsid w:val="0073418D"/>
    <w:rsid w:val="007366B1"/>
    <w:rsid w:val="00737702"/>
    <w:rsid w:val="00737F2E"/>
    <w:rsid w:val="00740098"/>
    <w:rsid w:val="00740F2E"/>
    <w:rsid w:val="00741843"/>
    <w:rsid w:val="00741A55"/>
    <w:rsid w:val="00741DFA"/>
    <w:rsid w:val="0074218A"/>
    <w:rsid w:val="00742536"/>
    <w:rsid w:val="00742C24"/>
    <w:rsid w:val="0074347A"/>
    <w:rsid w:val="00746438"/>
    <w:rsid w:val="007464AF"/>
    <w:rsid w:val="0074787E"/>
    <w:rsid w:val="00750542"/>
    <w:rsid w:val="00750D04"/>
    <w:rsid w:val="00751BDA"/>
    <w:rsid w:val="00753EB2"/>
    <w:rsid w:val="007558FF"/>
    <w:rsid w:val="00755A96"/>
    <w:rsid w:val="00756AEE"/>
    <w:rsid w:val="00764221"/>
    <w:rsid w:val="00764C9E"/>
    <w:rsid w:val="0076664C"/>
    <w:rsid w:val="00766802"/>
    <w:rsid w:val="0076772F"/>
    <w:rsid w:val="007679E8"/>
    <w:rsid w:val="00770541"/>
    <w:rsid w:val="00770C53"/>
    <w:rsid w:val="00771D6D"/>
    <w:rsid w:val="0077579D"/>
    <w:rsid w:val="0077603E"/>
    <w:rsid w:val="00777256"/>
    <w:rsid w:val="007800EA"/>
    <w:rsid w:val="00780930"/>
    <w:rsid w:val="00781105"/>
    <w:rsid w:val="0078145C"/>
    <w:rsid w:val="00781AE6"/>
    <w:rsid w:val="007832E7"/>
    <w:rsid w:val="007852CA"/>
    <w:rsid w:val="00785694"/>
    <w:rsid w:val="007857D9"/>
    <w:rsid w:val="00787F14"/>
    <w:rsid w:val="00791AFB"/>
    <w:rsid w:val="00791F75"/>
    <w:rsid w:val="007921B7"/>
    <w:rsid w:val="00792A25"/>
    <w:rsid w:val="007931FA"/>
    <w:rsid w:val="00796A7A"/>
    <w:rsid w:val="00796B7A"/>
    <w:rsid w:val="007A06A6"/>
    <w:rsid w:val="007A17D1"/>
    <w:rsid w:val="007A28D0"/>
    <w:rsid w:val="007A2CB9"/>
    <w:rsid w:val="007A43A9"/>
    <w:rsid w:val="007B208B"/>
    <w:rsid w:val="007B23DE"/>
    <w:rsid w:val="007B3A1F"/>
    <w:rsid w:val="007B5099"/>
    <w:rsid w:val="007B6376"/>
    <w:rsid w:val="007B63EF"/>
    <w:rsid w:val="007C2CA9"/>
    <w:rsid w:val="007C3B29"/>
    <w:rsid w:val="007C7F5E"/>
    <w:rsid w:val="007D05AD"/>
    <w:rsid w:val="007D1499"/>
    <w:rsid w:val="007D1943"/>
    <w:rsid w:val="007D6493"/>
    <w:rsid w:val="007D68C7"/>
    <w:rsid w:val="007D77FB"/>
    <w:rsid w:val="007D7CC2"/>
    <w:rsid w:val="007E01EA"/>
    <w:rsid w:val="007E3A72"/>
    <w:rsid w:val="007E5E65"/>
    <w:rsid w:val="007E701D"/>
    <w:rsid w:val="007F0DC6"/>
    <w:rsid w:val="007F3901"/>
    <w:rsid w:val="007F6E01"/>
    <w:rsid w:val="007F7CDF"/>
    <w:rsid w:val="007F7D99"/>
    <w:rsid w:val="008039E9"/>
    <w:rsid w:val="00805491"/>
    <w:rsid w:val="00806010"/>
    <w:rsid w:val="00806467"/>
    <w:rsid w:val="008073E8"/>
    <w:rsid w:val="00810209"/>
    <w:rsid w:val="00810B99"/>
    <w:rsid w:val="00812036"/>
    <w:rsid w:val="008125D1"/>
    <w:rsid w:val="00812B68"/>
    <w:rsid w:val="0081675A"/>
    <w:rsid w:val="00817C43"/>
    <w:rsid w:val="00820034"/>
    <w:rsid w:val="008211B0"/>
    <w:rsid w:val="00822CEC"/>
    <w:rsid w:val="008234BC"/>
    <w:rsid w:val="00823809"/>
    <w:rsid w:val="008240AB"/>
    <w:rsid w:val="00824A72"/>
    <w:rsid w:val="00824F37"/>
    <w:rsid w:val="00826375"/>
    <w:rsid w:val="00830971"/>
    <w:rsid w:val="00830C5A"/>
    <w:rsid w:val="00832991"/>
    <w:rsid w:val="00832C5D"/>
    <w:rsid w:val="008336F9"/>
    <w:rsid w:val="008337AC"/>
    <w:rsid w:val="00834070"/>
    <w:rsid w:val="00834A73"/>
    <w:rsid w:val="00834C29"/>
    <w:rsid w:val="008361DB"/>
    <w:rsid w:val="00836D6A"/>
    <w:rsid w:val="00837814"/>
    <w:rsid w:val="008409F4"/>
    <w:rsid w:val="00840CCA"/>
    <w:rsid w:val="00841136"/>
    <w:rsid w:val="008438D0"/>
    <w:rsid w:val="00845793"/>
    <w:rsid w:val="00846802"/>
    <w:rsid w:val="00846FEB"/>
    <w:rsid w:val="00847163"/>
    <w:rsid w:val="00847403"/>
    <w:rsid w:val="00847597"/>
    <w:rsid w:val="008505C7"/>
    <w:rsid w:val="0085068B"/>
    <w:rsid w:val="00852BB0"/>
    <w:rsid w:val="00852CAC"/>
    <w:rsid w:val="00855A6F"/>
    <w:rsid w:val="00855FA7"/>
    <w:rsid w:val="0085778A"/>
    <w:rsid w:val="00857DB0"/>
    <w:rsid w:val="0086426A"/>
    <w:rsid w:val="008644FA"/>
    <w:rsid w:val="00864AB3"/>
    <w:rsid w:val="008672F2"/>
    <w:rsid w:val="00871164"/>
    <w:rsid w:val="00871D82"/>
    <w:rsid w:val="008726DD"/>
    <w:rsid w:val="0087456F"/>
    <w:rsid w:val="00875501"/>
    <w:rsid w:val="00876184"/>
    <w:rsid w:val="008828FE"/>
    <w:rsid w:val="008830A1"/>
    <w:rsid w:val="00883466"/>
    <w:rsid w:val="00884349"/>
    <w:rsid w:val="00886011"/>
    <w:rsid w:val="00887278"/>
    <w:rsid w:val="008873EB"/>
    <w:rsid w:val="008905A6"/>
    <w:rsid w:val="00890F9E"/>
    <w:rsid w:val="008912A5"/>
    <w:rsid w:val="00891DC3"/>
    <w:rsid w:val="00891F9B"/>
    <w:rsid w:val="008927F9"/>
    <w:rsid w:val="00893AF2"/>
    <w:rsid w:val="008962B3"/>
    <w:rsid w:val="008A08DE"/>
    <w:rsid w:val="008A09CE"/>
    <w:rsid w:val="008A12CC"/>
    <w:rsid w:val="008A12E5"/>
    <w:rsid w:val="008A2227"/>
    <w:rsid w:val="008A7DD8"/>
    <w:rsid w:val="008B3B32"/>
    <w:rsid w:val="008B480A"/>
    <w:rsid w:val="008B6782"/>
    <w:rsid w:val="008C02ED"/>
    <w:rsid w:val="008C05CF"/>
    <w:rsid w:val="008C10F1"/>
    <w:rsid w:val="008C2152"/>
    <w:rsid w:val="008C2532"/>
    <w:rsid w:val="008C2B16"/>
    <w:rsid w:val="008C497D"/>
    <w:rsid w:val="008C58CE"/>
    <w:rsid w:val="008D0901"/>
    <w:rsid w:val="008D0D39"/>
    <w:rsid w:val="008D1B95"/>
    <w:rsid w:val="008D277F"/>
    <w:rsid w:val="008D2FC4"/>
    <w:rsid w:val="008D3A2B"/>
    <w:rsid w:val="008D3D03"/>
    <w:rsid w:val="008D5841"/>
    <w:rsid w:val="008D5A63"/>
    <w:rsid w:val="008D66F5"/>
    <w:rsid w:val="008E0D54"/>
    <w:rsid w:val="008E1247"/>
    <w:rsid w:val="008E266B"/>
    <w:rsid w:val="008E36E1"/>
    <w:rsid w:val="008E4D89"/>
    <w:rsid w:val="008E7F60"/>
    <w:rsid w:val="008F2BC4"/>
    <w:rsid w:val="008F3F60"/>
    <w:rsid w:val="008F4ABB"/>
    <w:rsid w:val="008F4E19"/>
    <w:rsid w:val="008F50C9"/>
    <w:rsid w:val="00900B87"/>
    <w:rsid w:val="0090173E"/>
    <w:rsid w:val="0090200D"/>
    <w:rsid w:val="0090332E"/>
    <w:rsid w:val="009057A5"/>
    <w:rsid w:val="00907AB7"/>
    <w:rsid w:val="0091081F"/>
    <w:rsid w:val="00916A8D"/>
    <w:rsid w:val="009209D9"/>
    <w:rsid w:val="0092281D"/>
    <w:rsid w:val="0092360C"/>
    <w:rsid w:val="00924246"/>
    <w:rsid w:val="0092534E"/>
    <w:rsid w:val="00926DF5"/>
    <w:rsid w:val="00927B7D"/>
    <w:rsid w:val="00927D5B"/>
    <w:rsid w:val="009315DB"/>
    <w:rsid w:val="00931E03"/>
    <w:rsid w:val="00931F20"/>
    <w:rsid w:val="00932498"/>
    <w:rsid w:val="00932D47"/>
    <w:rsid w:val="00940785"/>
    <w:rsid w:val="00940C2F"/>
    <w:rsid w:val="00941B2F"/>
    <w:rsid w:val="009422BD"/>
    <w:rsid w:val="00945E2E"/>
    <w:rsid w:val="00947A47"/>
    <w:rsid w:val="00947EDC"/>
    <w:rsid w:val="00952CBB"/>
    <w:rsid w:val="009541FC"/>
    <w:rsid w:val="0095600D"/>
    <w:rsid w:val="00962C44"/>
    <w:rsid w:val="00965305"/>
    <w:rsid w:val="0096532F"/>
    <w:rsid w:val="00965467"/>
    <w:rsid w:val="00965F54"/>
    <w:rsid w:val="00966306"/>
    <w:rsid w:val="00967390"/>
    <w:rsid w:val="00970EA7"/>
    <w:rsid w:val="009731C5"/>
    <w:rsid w:val="009755D6"/>
    <w:rsid w:val="009759AB"/>
    <w:rsid w:val="009805A2"/>
    <w:rsid w:val="00980EF8"/>
    <w:rsid w:val="00986851"/>
    <w:rsid w:val="00987679"/>
    <w:rsid w:val="00987CCF"/>
    <w:rsid w:val="009907A9"/>
    <w:rsid w:val="009951F2"/>
    <w:rsid w:val="00995922"/>
    <w:rsid w:val="009967E7"/>
    <w:rsid w:val="00997219"/>
    <w:rsid w:val="0099745B"/>
    <w:rsid w:val="009A183D"/>
    <w:rsid w:val="009A1C65"/>
    <w:rsid w:val="009A39BF"/>
    <w:rsid w:val="009A5F30"/>
    <w:rsid w:val="009B0686"/>
    <w:rsid w:val="009B100F"/>
    <w:rsid w:val="009B21FF"/>
    <w:rsid w:val="009B3BC6"/>
    <w:rsid w:val="009B472A"/>
    <w:rsid w:val="009B496A"/>
    <w:rsid w:val="009B4C8D"/>
    <w:rsid w:val="009C1C5A"/>
    <w:rsid w:val="009C387A"/>
    <w:rsid w:val="009C526B"/>
    <w:rsid w:val="009C66F4"/>
    <w:rsid w:val="009D10AD"/>
    <w:rsid w:val="009D189A"/>
    <w:rsid w:val="009D1F83"/>
    <w:rsid w:val="009D3D6D"/>
    <w:rsid w:val="009D43F0"/>
    <w:rsid w:val="009D6DF4"/>
    <w:rsid w:val="009E3CB5"/>
    <w:rsid w:val="009E60B1"/>
    <w:rsid w:val="009E6847"/>
    <w:rsid w:val="009E7304"/>
    <w:rsid w:val="009F07C6"/>
    <w:rsid w:val="009F09D0"/>
    <w:rsid w:val="009F2D3B"/>
    <w:rsid w:val="009F387E"/>
    <w:rsid w:val="009F4F62"/>
    <w:rsid w:val="009F586A"/>
    <w:rsid w:val="009F5EC9"/>
    <w:rsid w:val="009F6D47"/>
    <w:rsid w:val="00A0097B"/>
    <w:rsid w:val="00A01AAD"/>
    <w:rsid w:val="00A02030"/>
    <w:rsid w:val="00A024A7"/>
    <w:rsid w:val="00A0678D"/>
    <w:rsid w:val="00A115FE"/>
    <w:rsid w:val="00A11BEB"/>
    <w:rsid w:val="00A11ED0"/>
    <w:rsid w:val="00A128C2"/>
    <w:rsid w:val="00A213DD"/>
    <w:rsid w:val="00A216B9"/>
    <w:rsid w:val="00A227B3"/>
    <w:rsid w:val="00A2376B"/>
    <w:rsid w:val="00A26592"/>
    <w:rsid w:val="00A2782A"/>
    <w:rsid w:val="00A307CE"/>
    <w:rsid w:val="00A328B1"/>
    <w:rsid w:val="00A328C2"/>
    <w:rsid w:val="00A32D71"/>
    <w:rsid w:val="00A32FD3"/>
    <w:rsid w:val="00A3444D"/>
    <w:rsid w:val="00A365FE"/>
    <w:rsid w:val="00A36CB9"/>
    <w:rsid w:val="00A36DA6"/>
    <w:rsid w:val="00A374CC"/>
    <w:rsid w:val="00A413F5"/>
    <w:rsid w:val="00A44798"/>
    <w:rsid w:val="00A44B61"/>
    <w:rsid w:val="00A45088"/>
    <w:rsid w:val="00A506B5"/>
    <w:rsid w:val="00A52907"/>
    <w:rsid w:val="00A5297D"/>
    <w:rsid w:val="00A53941"/>
    <w:rsid w:val="00A54EE9"/>
    <w:rsid w:val="00A6019D"/>
    <w:rsid w:val="00A61DEC"/>
    <w:rsid w:val="00A62397"/>
    <w:rsid w:val="00A63357"/>
    <w:rsid w:val="00A6362C"/>
    <w:rsid w:val="00A65350"/>
    <w:rsid w:val="00A664E5"/>
    <w:rsid w:val="00A66DF3"/>
    <w:rsid w:val="00A7066A"/>
    <w:rsid w:val="00A72735"/>
    <w:rsid w:val="00A727DA"/>
    <w:rsid w:val="00A737F6"/>
    <w:rsid w:val="00A755A3"/>
    <w:rsid w:val="00A76823"/>
    <w:rsid w:val="00A77007"/>
    <w:rsid w:val="00A7746B"/>
    <w:rsid w:val="00A80C38"/>
    <w:rsid w:val="00A8250D"/>
    <w:rsid w:val="00A8318D"/>
    <w:rsid w:val="00A83544"/>
    <w:rsid w:val="00A84179"/>
    <w:rsid w:val="00A8445C"/>
    <w:rsid w:val="00A846F8"/>
    <w:rsid w:val="00A84EEB"/>
    <w:rsid w:val="00A86109"/>
    <w:rsid w:val="00A87171"/>
    <w:rsid w:val="00A87617"/>
    <w:rsid w:val="00A87B8A"/>
    <w:rsid w:val="00A900AD"/>
    <w:rsid w:val="00A926B7"/>
    <w:rsid w:val="00A9392C"/>
    <w:rsid w:val="00A946ED"/>
    <w:rsid w:val="00A95747"/>
    <w:rsid w:val="00A97EE5"/>
    <w:rsid w:val="00AA015E"/>
    <w:rsid w:val="00AA045A"/>
    <w:rsid w:val="00AA0FAE"/>
    <w:rsid w:val="00AA199F"/>
    <w:rsid w:val="00AA4DD8"/>
    <w:rsid w:val="00AA53F9"/>
    <w:rsid w:val="00AA6256"/>
    <w:rsid w:val="00AA63EA"/>
    <w:rsid w:val="00AA6F31"/>
    <w:rsid w:val="00AA745A"/>
    <w:rsid w:val="00AA7BC9"/>
    <w:rsid w:val="00AB0D9E"/>
    <w:rsid w:val="00AB0F00"/>
    <w:rsid w:val="00AB1AE1"/>
    <w:rsid w:val="00AB4763"/>
    <w:rsid w:val="00AB4D09"/>
    <w:rsid w:val="00AB502B"/>
    <w:rsid w:val="00AB6053"/>
    <w:rsid w:val="00AB6635"/>
    <w:rsid w:val="00AB757D"/>
    <w:rsid w:val="00AC1C83"/>
    <w:rsid w:val="00AC211F"/>
    <w:rsid w:val="00AC4086"/>
    <w:rsid w:val="00AC56B3"/>
    <w:rsid w:val="00AC6136"/>
    <w:rsid w:val="00AC6ECA"/>
    <w:rsid w:val="00AD12E2"/>
    <w:rsid w:val="00AD2308"/>
    <w:rsid w:val="00AD2DAA"/>
    <w:rsid w:val="00AD3128"/>
    <w:rsid w:val="00AD3A62"/>
    <w:rsid w:val="00AE2AF4"/>
    <w:rsid w:val="00AE395C"/>
    <w:rsid w:val="00AE588B"/>
    <w:rsid w:val="00AE5BF1"/>
    <w:rsid w:val="00AE6169"/>
    <w:rsid w:val="00AE6F67"/>
    <w:rsid w:val="00AF0BCC"/>
    <w:rsid w:val="00AF1019"/>
    <w:rsid w:val="00AF16FC"/>
    <w:rsid w:val="00AF428F"/>
    <w:rsid w:val="00AF46B2"/>
    <w:rsid w:val="00AF5470"/>
    <w:rsid w:val="00AF67DF"/>
    <w:rsid w:val="00AF6811"/>
    <w:rsid w:val="00AF69D9"/>
    <w:rsid w:val="00AF74A6"/>
    <w:rsid w:val="00AF78D0"/>
    <w:rsid w:val="00B01C1E"/>
    <w:rsid w:val="00B02EE2"/>
    <w:rsid w:val="00B03127"/>
    <w:rsid w:val="00B064D3"/>
    <w:rsid w:val="00B06A62"/>
    <w:rsid w:val="00B07DBB"/>
    <w:rsid w:val="00B12EFA"/>
    <w:rsid w:val="00B15376"/>
    <w:rsid w:val="00B15723"/>
    <w:rsid w:val="00B15EF1"/>
    <w:rsid w:val="00B20001"/>
    <w:rsid w:val="00B217DE"/>
    <w:rsid w:val="00B21AFA"/>
    <w:rsid w:val="00B23043"/>
    <w:rsid w:val="00B2406C"/>
    <w:rsid w:val="00B252E6"/>
    <w:rsid w:val="00B25E2A"/>
    <w:rsid w:val="00B274ED"/>
    <w:rsid w:val="00B27E57"/>
    <w:rsid w:val="00B3091B"/>
    <w:rsid w:val="00B33F15"/>
    <w:rsid w:val="00B370AB"/>
    <w:rsid w:val="00B373AF"/>
    <w:rsid w:val="00B3767B"/>
    <w:rsid w:val="00B406B1"/>
    <w:rsid w:val="00B40D32"/>
    <w:rsid w:val="00B419FC"/>
    <w:rsid w:val="00B42637"/>
    <w:rsid w:val="00B4324A"/>
    <w:rsid w:val="00B43380"/>
    <w:rsid w:val="00B439F1"/>
    <w:rsid w:val="00B44D65"/>
    <w:rsid w:val="00B452D9"/>
    <w:rsid w:val="00B45629"/>
    <w:rsid w:val="00B473EB"/>
    <w:rsid w:val="00B50465"/>
    <w:rsid w:val="00B50923"/>
    <w:rsid w:val="00B50D62"/>
    <w:rsid w:val="00B515E3"/>
    <w:rsid w:val="00B518FC"/>
    <w:rsid w:val="00B51E71"/>
    <w:rsid w:val="00B52FF2"/>
    <w:rsid w:val="00B53C0E"/>
    <w:rsid w:val="00B546BB"/>
    <w:rsid w:val="00B5475A"/>
    <w:rsid w:val="00B57588"/>
    <w:rsid w:val="00B606AB"/>
    <w:rsid w:val="00B60B19"/>
    <w:rsid w:val="00B62494"/>
    <w:rsid w:val="00B67036"/>
    <w:rsid w:val="00B76EA5"/>
    <w:rsid w:val="00B80558"/>
    <w:rsid w:val="00B827E6"/>
    <w:rsid w:val="00B845C9"/>
    <w:rsid w:val="00B84855"/>
    <w:rsid w:val="00B85B94"/>
    <w:rsid w:val="00B860B4"/>
    <w:rsid w:val="00B86E8E"/>
    <w:rsid w:val="00B90705"/>
    <w:rsid w:val="00B9101F"/>
    <w:rsid w:val="00B91863"/>
    <w:rsid w:val="00B91EDC"/>
    <w:rsid w:val="00B92925"/>
    <w:rsid w:val="00B95FE0"/>
    <w:rsid w:val="00BA07B1"/>
    <w:rsid w:val="00BA08BE"/>
    <w:rsid w:val="00BA19DC"/>
    <w:rsid w:val="00BA1CE1"/>
    <w:rsid w:val="00BA1F61"/>
    <w:rsid w:val="00BA23F9"/>
    <w:rsid w:val="00BA2CE0"/>
    <w:rsid w:val="00BA459A"/>
    <w:rsid w:val="00BA4A2E"/>
    <w:rsid w:val="00BA70CC"/>
    <w:rsid w:val="00BB0395"/>
    <w:rsid w:val="00BB663E"/>
    <w:rsid w:val="00BB6D4F"/>
    <w:rsid w:val="00BB701B"/>
    <w:rsid w:val="00BB709F"/>
    <w:rsid w:val="00BC12E4"/>
    <w:rsid w:val="00BC1911"/>
    <w:rsid w:val="00BC1B8D"/>
    <w:rsid w:val="00BC25A6"/>
    <w:rsid w:val="00BC53D3"/>
    <w:rsid w:val="00BC6C04"/>
    <w:rsid w:val="00BC77BC"/>
    <w:rsid w:val="00BD051C"/>
    <w:rsid w:val="00BD1D11"/>
    <w:rsid w:val="00BD3E11"/>
    <w:rsid w:val="00BD40A9"/>
    <w:rsid w:val="00BD6252"/>
    <w:rsid w:val="00BD6CF7"/>
    <w:rsid w:val="00BE04DA"/>
    <w:rsid w:val="00BE0B00"/>
    <w:rsid w:val="00BE1BAD"/>
    <w:rsid w:val="00BE3B76"/>
    <w:rsid w:val="00BE4C9B"/>
    <w:rsid w:val="00BE51DC"/>
    <w:rsid w:val="00BE62CB"/>
    <w:rsid w:val="00BF05CD"/>
    <w:rsid w:val="00BF2DE7"/>
    <w:rsid w:val="00BF3D72"/>
    <w:rsid w:val="00BF75BF"/>
    <w:rsid w:val="00C008BB"/>
    <w:rsid w:val="00C03362"/>
    <w:rsid w:val="00C03B20"/>
    <w:rsid w:val="00C03E9D"/>
    <w:rsid w:val="00C05A7D"/>
    <w:rsid w:val="00C05EC8"/>
    <w:rsid w:val="00C07A25"/>
    <w:rsid w:val="00C10D51"/>
    <w:rsid w:val="00C117FE"/>
    <w:rsid w:val="00C122A9"/>
    <w:rsid w:val="00C14303"/>
    <w:rsid w:val="00C214E4"/>
    <w:rsid w:val="00C2185F"/>
    <w:rsid w:val="00C21B1C"/>
    <w:rsid w:val="00C22671"/>
    <w:rsid w:val="00C22D28"/>
    <w:rsid w:val="00C24D2A"/>
    <w:rsid w:val="00C316FA"/>
    <w:rsid w:val="00C31B42"/>
    <w:rsid w:val="00C32241"/>
    <w:rsid w:val="00C3275B"/>
    <w:rsid w:val="00C32B1E"/>
    <w:rsid w:val="00C33259"/>
    <w:rsid w:val="00C35EDC"/>
    <w:rsid w:val="00C36A04"/>
    <w:rsid w:val="00C379AB"/>
    <w:rsid w:val="00C408BE"/>
    <w:rsid w:val="00C410EE"/>
    <w:rsid w:val="00C41A92"/>
    <w:rsid w:val="00C42CDD"/>
    <w:rsid w:val="00C4365B"/>
    <w:rsid w:val="00C436C8"/>
    <w:rsid w:val="00C4536E"/>
    <w:rsid w:val="00C467E0"/>
    <w:rsid w:val="00C47D84"/>
    <w:rsid w:val="00C51E6E"/>
    <w:rsid w:val="00C52DE5"/>
    <w:rsid w:val="00C539C0"/>
    <w:rsid w:val="00C546E0"/>
    <w:rsid w:val="00C54827"/>
    <w:rsid w:val="00C56BED"/>
    <w:rsid w:val="00C60B94"/>
    <w:rsid w:val="00C60E37"/>
    <w:rsid w:val="00C61BE3"/>
    <w:rsid w:val="00C62050"/>
    <w:rsid w:val="00C62CDE"/>
    <w:rsid w:val="00C63AF0"/>
    <w:rsid w:val="00C6645E"/>
    <w:rsid w:val="00C667E0"/>
    <w:rsid w:val="00C66C27"/>
    <w:rsid w:val="00C66E6D"/>
    <w:rsid w:val="00C67E93"/>
    <w:rsid w:val="00C7118C"/>
    <w:rsid w:val="00C714CD"/>
    <w:rsid w:val="00C72101"/>
    <w:rsid w:val="00C7444B"/>
    <w:rsid w:val="00C75F0D"/>
    <w:rsid w:val="00C76F37"/>
    <w:rsid w:val="00C77867"/>
    <w:rsid w:val="00C81E24"/>
    <w:rsid w:val="00C84455"/>
    <w:rsid w:val="00C86433"/>
    <w:rsid w:val="00C86A6D"/>
    <w:rsid w:val="00C87459"/>
    <w:rsid w:val="00C90344"/>
    <w:rsid w:val="00C934B0"/>
    <w:rsid w:val="00C94A15"/>
    <w:rsid w:val="00C95452"/>
    <w:rsid w:val="00C9780A"/>
    <w:rsid w:val="00CA0DA2"/>
    <w:rsid w:val="00CA0FFD"/>
    <w:rsid w:val="00CA117E"/>
    <w:rsid w:val="00CA1C55"/>
    <w:rsid w:val="00CA2384"/>
    <w:rsid w:val="00CA4743"/>
    <w:rsid w:val="00CA53EC"/>
    <w:rsid w:val="00CA607B"/>
    <w:rsid w:val="00CB248A"/>
    <w:rsid w:val="00CB39F0"/>
    <w:rsid w:val="00CB4966"/>
    <w:rsid w:val="00CB7990"/>
    <w:rsid w:val="00CC081F"/>
    <w:rsid w:val="00CC082E"/>
    <w:rsid w:val="00CC1B2E"/>
    <w:rsid w:val="00CC1ED0"/>
    <w:rsid w:val="00CC4CC5"/>
    <w:rsid w:val="00CC7B54"/>
    <w:rsid w:val="00CD00F6"/>
    <w:rsid w:val="00CD0682"/>
    <w:rsid w:val="00CD1181"/>
    <w:rsid w:val="00CD1AF7"/>
    <w:rsid w:val="00CD681B"/>
    <w:rsid w:val="00CD73B0"/>
    <w:rsid w:val="00CE1E6C"/>
    <w:rsid w:val="00CE41B0"/>
    <w:rsid w:val="00CE475E"/>
    <w:rsid w:val="00CE530E"/>
    <w:rsid w:val="00CE6A72"/>
    <w:rsid w:val="00CF10FD"/>
    <w:rsid w:val="00CF25EA"/>
    <w:rsid w:val="00CF4BA3"/>
    <w:rsid w:val="00CF564E"/>
    <w:rsid w:val="00D00ABA"/>
    <w:rsid w:val="00D03F1A"/>
    <w:rsid w:val="00D054CC"/>
    <w:rsid w:val="00D06CA9"/>
    <w:rsid w:val="00D07060"/>
    <w:rsid w:val="00D07CAB"/>
    <w:rsid w:val="00D11881"/>
    <w:rsid w:val="00D13101"/>
    <w:rsid w:val="00D14830"/>
    <w:rsid w:val="00D15B2D"/>
    <w:rsid w:val="00D15E13"/>
    <w:rsid w:val="00D15FEF"/>
    <w:rsid w:val="00D17FCE"/>
    <w:rsid w:val="00D22FBC"/>
    <w:rsid w:val="00D24BDC"/>
    <w:rsid w:val="00D253D2"/>
    <w:rsid w:val="00D262F7"/>
    <w:rsid w:val="00D2777D"/>
    <w:rsid w:val="00D31467"/>
    <w:rsid w:val="00D314BA"/>
    <w:rsid w:val="00D317E6"/>
    <w:rsid w:val="00D321BE"/>
    <w:rsid w:val="00D32375"/>
    <w:rsid w:val="00D3320F"/>
    <w:rsid w:val="00D33B4C"/>
    <w:rsid w:val="00D349D9"/>
    <w:rsid w:val="00D34D07"/>
    <w:rsid w:val="00D35494"/>
    <w:rsid w:val="00D37344"/>
    <w:rsid w:val="00D403C9"/>
    <w:rsid w:val="00D407EA"/>
    <w:rsid w:val="00D417AA"/>
    <w:rsid w:val="00D43A2A"/>
    <w:rsid w:val="00D441C7"/>
    <w:rsid w:val="00D442D4"/>
    <w:rsid w:val="00D444FA"/>
    <w:rsid w:val="00D50FFA"/>
    <w:rsid w:val="00D515B8"/>
    <w:rsid w:val="00D51628"/>
    <w:rsid w:val="00D51E73"/>
    <w:rsid w:val="00D527CC"/>
    <w:rsid w:val="00D53A32"/>
    <w:rsid w:val="00D53EF9"/>
    <w:rsid w:val="00D63165"/>
    <w:rsid w:val="00D6341D"/>
    <w:rsid w:val="00D6600C"/>
    <w:rsid w:val="00D663B2"/>
    <w:rsid w:val="00D702EB"/>
    <w:rsid w:val="00D71847"/>
    <w:rsid w:val="00D74BD6"/>
    <w:rsid w:val="00D765E1"/>
    <w:rsid w:val="00D7686C"/>
    <w:rsid w:val="00D8062B"/>
    <w:rsid w:val="00D8160D"/>
    <w:rsid w:val="00D82DEC"/>
    <w:rsid w:val="00D851E3"/>
    <w:rsid w:val="00D85ECD"/>
    <w:rsid w:val="00D90255"/>
    <w:rsid w:val="00D911C6"/>
    <w:rsid w:val="00D93657"/>
    <w:rsid w:val="00D959DC"/>
    <w:rsid w:val="00D96C8C"/>
    <w:rsid w:val="00D97974"/>
    <w:rsid w:val="00DA15BD"/>
    <w:rsid w:val="00DA17AE"/>
    <w:rsid w:val="00DA1CC7"/>
    <w:rsid w:val="00DA4913"/>
    <w:rsid w:val="00DA5799"/>
    <w:rsid w:val="00DA62D2"/>
    <w:rsid w:val="00DB37B6"/>
    <w:rsid w:val="00DB703B"/>
    <w:rsid w:val="00DC0018"/>
    <w:rsid w:val="00DC1351"/>
    <w:rsid w:val="00DC3B29"/>
    <w:rsid w:val="00DC5690"/>
    <w:rsid w:val="00DC603A"/>
    <w:rsid w:val="00DD108C"/>
    <w:rsid w:val="00DD232B"/>
    <w:rsid w:val="00DD307A"/>
    <w:rsid w:val="00DD30A9"/>
    <w:rsid w:val="00DD39BF"/>
    <w:rsid w:val="00DD5A95"/>
    <w:rsid w:val="00DD5AE9"/>
    <w:rsid w:val="00DD7D0E"/>
    <w:rsid w:val="00DE014D"/>
    <w:rsid w:val="00DE3D22"/>
    <w:rsid w:val="00DE4675"/>
    <w:rsid w:val="00DE49B0"/>
    <w:rsid w:val="00DE49F2"/>
    <w:rsid w:val="00DE4AC1"/>
    <w:rsid w:val="00DE7F17"/>
    <w:rsid w:val="00DF0798"/>
    <w:rsid w:val="00DF0E43"/>
    <w:rsid w:val="00DF26DB"/>
    <w:rsid w:val="00DF2EFC"/>
    <w:rsid w:val="00DF4081"/>
    <w:rsid w:val="00DF4A29"/>
    <w:rsid w:val="00DF4E25"/>
    <w:rsid w:val="00E0207E"/>
    <w:rsid w:val="00E06A86"/>
    <w:rsid w:val="00E076F9"/>
    <w:rsid w:val="00E07CC9"/>
    <w:rsid w:val="00E127B7"/>
    <w:rsid w:val="00E1394A"/>
    <w:rsid w:val="00E13BDB"/>
    <w:rsid w:val="00E14FAD"/>
    <w:rsid w:val="00E1590C"/>
    <w:rsid w:val="00E178A9"/>
    <w:rsid w:val="00E17B5F"/>
    <w:rsid w:val="00E203D4"/>
    <w:rsid w:val="00E20E1E"/>
    <w:rsid w:val="00E21D02"/>
    <w:rsid w:val="00E23BF0"/>
    <w:rsid w:val="00E264E1"/>
    <w:rsid w:val="00E344BF"/>
    <w:rsid w:val="00E356C4"/>
    <w:rsid w:val="00E445C3"/>
    <w:rsid w:val="00E44D1B"/>
    <w:rsid w:val="00E45777"/>
    <w:rsid w:val="00E4705F"/>
    <w:rsid w:val="00E477B4"/>
    <w:rsid w:val="00E4787E"/>
    <w:rsid w:val="00E479AE"/>
    <w:rsid w:val="00E47A1B"/>
    <w:rsid w:val="00E52B94"/>
    <w:rsid w:val="00E55903"/>
    <w:rsid w:val="00E56491"/>
    <w:rsid w:val="00E56B6E"/>
    <w:rsid w:val="00E60BB5"/>
    <w:rsid w:val="00E64030"/>
    <w:rsid w:val="00E6459D"/>
    <w:rsid w:val="00E651D7"/>
    <w:rsid w:val="00E656EA"/>
    <w:rsid w:val="00E673AF"/>
    <w:rsid w:val="00E67990"/>
    <w:rsid w:val="00E67B4C"/>
    <w:rsid w:val="00E70A67"/>
    <w:rsid w:val="00E72692"/>
    <w:rsid w:val="00E72D67"/>
    <w:rsid w:val="00E73AD6"/>
    <w:rsid w:val="00E763AF"/>
    <w:rsid w:val="00E768AD"/>
    <w:rsid w:val="00E76C9F"/>
    <w:rsid w:val="00E77F22"/>
    <w:rsid w:val="00E80D60"/>
    <w:rsid w:val="00E80DB3"/>
    <w:rsid w:val="00E82617"/>
    <w:rsid w:val="00E829F7"/>
    <w:rsid w:val="00E83D47"/>
    <w:rsid w:val="00E8421D"/>
    <w:rsid w:val="00E87832"/>
    <w:rsid w:val="00E87D9F"/>
    <w:rsid w:val="00E92034"/>
    <w:rsid w:val="00E9445A"/>
    <w:rsid w:val="00E94947"/>
    <w:rsid w:val="00E95187"/>
    <w:rsid w:val="00E95845"/>
    <w:rsid w:val="00E97B6C"/>
    <w:rsid w:val="00EA0319"/>
    <w:rsid w:val="00EA2156"/>
    <w:rsid w:val="00EA38BA"/>
    <w:rsid w:val="00EA3AAB"/>
    <w:rsid w:val="00EA5A7D"/>
    <w:rsid w:val="00EA5C55"/>
    <w:rsid w:val="00EA5CEA"/>
    <w:rsid w:val="00EA77EF"/>
    <w:rsid w:val="00EA7F11"/>
    <w:rsid w:val="00EB3244"/>
    <w:rsid w:val="00EC1C62"/>
    <w:rsid w:val="00EC1D11"/>
    <w:rsid w:val="00EC1FA7"/>
    <w:rsid w:val="00EC2733"/>
    <w:rsid w:val="00EC40A0"/>
    <w:rsid w:val="00EC5E99"/>
    <w:rsid w:val="00EC6922"/>
    <w:rsid w:val="00EC72D1"/>
    <w:rsid w:val="00EC7F27"/>
    <w:rsid w:val="00ED09B4"/>
    <w:rsid w:val="00ED3604"/>
    <w:rsid w:val="00ED7141"/>
    <w:rsid w:val="00ED7C07"/>
    <w:rsid w:val="00EE0A72"/>
    <w:rsid w:val="00EE1DA9"/>
    <w:rsid w:val="00EE2283"/>
    <w:rsid w:val="00EE23D2"/>
    <w:rsid w:val="00EE251F"/>
    <w:rsid w:val="00EE310F"/>
    <w:rsid w:val="00EE41A4"/>
    <w:rsid w:val="00EE441A"/>
    <w:rsid w:val="00EE4DBE"/>
    <w:rsid w:val="00EE5974"/>
    <w:rsid w:val="00EF212B"/>
    <w:rsid w:val="00EF5E0B"/>
    <w:rsid w:val="00EF610B"/>
    <w:rsid w:val="00EF79A6"/>
    <w:rsid w:val="00F009EE"/>
    <w:rsid w:val="00F027F1"/>
    <w:rsid w:val="00F05784"/>
    <w:rsid w:val="00F06249"/>
    <w:rsid w:val="00F07745"/>
    <w:rsid w:val="00F105D0"/>
    <w:rsid w:val="00F11019"/>
    <w:rsid w:val="00F11A05"/>
    <w:rsid w:val="00F15558"/>
    <w:rsid w:val="00F175A5"/>
    <w:rsid w:val="00F17A85"/>
    <w:rsid w:val="00F17CA2"/>
    <w:rsid w:val="00F20244"/>
    <w:rsid w:val="00F23AEF"/>
    <w:rsid w:val="00F24884"/>
    <w:rsid w:val="00F25658"/>
    <w:rsid w:val="00F25EB5"/>
    <w:rsid w:val="00F26498"/>
    <w:rsid w:val="00F26536"/>
    <w:rsid w:val="00F314EE"/>
    <w:rsid w:val="00F31A7F"/>
    <w:rsid w:val="00F34A1B"/>
    <w:rsid w:val="00F34AC8"/>
    <w:rsid w:val="00F34C55"/>
    <w:rsid w:val="00F3638B"/>
    <w:rsid w:val="00F36BF1"/>
    <w:rsid w:val="00F405BE"/>
    <w:rsid w:val="00F41675"/>
    <w:rsid w:val="00F42C50"/>
    <w:rsid w:val="00F443DD"/>
    <w:rsid w:val="00F44ED4"/>
    <w:rsid w:val="00F47B28"/>
    <w:rsid w:val="00F47CC9"/>
    <w:rsid w:val="00F52A9C"/>
    <w:rsid w:val="00F538DB"/>
    <w:rsid w:val="00F5438F"/>
    <w:rsid w:val="00F546B6"/>
    <w:rsid w:val="00F547E8"/>
    <w:rsid w:val="00F61944"/>
    <w:rsid w:val="00F61DAD"/>
    <w:rsid w:val="00F620FB"/>
    <w:rsid w:val="00F67E02"/>
    <w:rsid w:val="00F7041E"/>
    <w:rsid w:val="00F70513"/>
    <w:rsid w:val="00F71534"/>
    <w:rsid w:val="00F72452"/>
    <w:rsid w:val="00F7398D"/>
    <w:rsid w:val="00F75133"/>
    <w:rsid w:val="00F7631B"/>
    <w:rsid w:val="00F77709"/>
    <w:rsid w:val="00F80B22"/>
    <w:rsid w:val="00F80EA5"/>
    <w:rsid w:val="00F8126B"/>
    <w:rsid w:val="00F818FC"/>
    <w:rsid w:val="00F82926"/>
    <w:rsid w:val="00F837EF"/>
    <w:rsid w:val="00F845CB"/>
    <w:rsid w:val="00F86F64"/>
    <w:rsid w:val="00F87D06"/>
    <w:rsid w:val="00F9352B"/>
    <w:rsid w:val="00F9371E"/>
    <w:rsid w:val="00F95B09"/>
    <w:rsid w:val="00F965CB"/>
    <w:rsid w:val="00F973FF"/>
    <w:rsid w:val="00F97BB9"/>
    <w:rsid w:val="00FA0C0B"/>
    <w:rsid w:val="00FA1112"/>
    <w:rsid w:val="00FA1930"/>
    <w:rsid w:val="00FA2FBC"/>
    <w:rsid w:val="00FA3E74"/>
    <w:rsid w:val="00FA447D"/>
    <w:rsid w:val="00FA610F"/>
    <w:rsid w:val="00FA744C"/>
    <w:rsid w:val="00FA7C03"/>
    <w:rsid w:val="00FB002E"/>
    <w:rsid w:val="00FB2441"/>
    <w:rsid w:val="00FB267A"/>
    <w:rsid w:val="00FB2ADB"/>
    <w:rsid w:val="00FB524E"/>
    <w:rsid w:val="00FB63EB"/>
    <w:rsid w:val="00FC076A"/>
    <w:rsid w:val="00FC2294"/>
    <w:rsid w:val="00FC25A0"/>
    <w:rsid w:val="00FC2CC1"/>
    <w:rsid w:val="00FC3536"/>
    <w:rsid w:val="00FC47D0"/>
    <w:rsid w:val="00FC56E8"/>
    <w:rsid w:val="00FD1587"/>
    <w:rsid w:val="00FD1C4C"/>
    <w:rsid w:val="00FD1FF1"/>
    <w:rsid w:val="00FD2061"/>
    <w:rsid w:val="00FD5215"/>
    <w:rsid w:val="00FD7492"/>
    <w:rsid w:val="00FE09CA"/>
    <w:rsid w:val="00FE454F"/>
    <w:rsid w:val="00FE6C81"/>
    <w:rsid w:val="00FF017B"/>
    <w:rsid w:val="00FF1BEA"/>
    <w:rsid w:val="00FF1FCB"/>
    <w:rsid w:val="00FF3F27"/>
    <w:rsid w:val="00FF41DF"/>
    <w:rsid w:val="00FF47E2"/>
    <w:rsid w:val="00FF5043"/>
    <w:rsid w:val="00FF534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BA73E8"/>
  <w15:docId w15:val="{7650942D-6B4A-4E38-85D8-25FA9FFA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link w:val="HChGChar"/>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5"/>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tref,referencia nota al pie,BVI fnr,4_Footnote text,Footnote text,callout,nota pié di pagina,Fußnotenzeichen DISS,16 Point,Superscript 6 Point,Footnotes refss,Footnote Reference1,BVI fnr Car Car,Footnote Reference/,Voetnoottekst1"/>
    <w:basedOn w:val="DefaultParagraphFont"/>
    <w:link w:val="Char2"/>
    <w:uiPriority w:val="99"/>
    <w:qFormat/>
    <w:rPr>
      <w:rFonts w:ascii="Times New Roman" w:hAnsi="Times New Roman"/>
      <w:sz w:val="18"/>
      <w:vertAlign w:val="superscript"/>
      <w:lang w:val="en-GB"/>
    </w:rPr>
  </w:style>
  <w:style w:type="character" w:styleId="EndnoteReference">
    <w:name w:val="endnote reference"/>
    <w:aliases w:val="1_G"/>
    <w:basedOn w:val="FootnoteReference"/>
    <w:uiPriority w:val="99"/>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rPr>
      <w:rFonts w:ascii="Times New Roman" w:hAnsi="Times New Roman" w:cs="Times New Roman"/>
      <w:sz w:val="20"/>
      <w:szCs w:val="20"/>
    </w:rPr>
  </w:style>
  <w:style w:type="character" w:customStyle="1" w:styleId="Heading3Char">
    <w:name w:val="Heading 3 Char"/>
    <w:basedOn w:val="DefaultParagraphFont"/>
    <w:link w:val="Heading3"/>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en-GB"/>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semiHidden/>
    <w:rsid w:val="00616959"/>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Strong">
    <w:name w:val="Strong"/>
    <w:uiPriority w:val="22"/>
    <w:qFormat/>
    <w:rsid w:val="00616959"/>
    <w:rPr>
      <w:b/>
    </w:rPr>
  </w:style>
  <w:style w:type="paragraph" w:customStyle="1" w:styleId="Default">
    <w:name w:val="Default"/>
    <w:rsid w:val="00616959"/>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character" w:customStyle="1" w:styleId="Bulletpoint1Char">
    <w:name w:val="Bulletpoint_1 Char"/>
    <w:link w:val="Bulletpoint1"/>
    <w:locked/>
    <w:rsid w:val="00616959"/>
    <w:rPr>
      <w:lang w:val="en-US" w:eastAsia="x-none"/>
    </w:rPr>
  </w:style>
  <w:style w:type="paragraph" w:customStyle="1" w:styleId="Bulletpoint1">
    <w:name w:val="Bulletpoint_1"/>
    <w:basedOn w:val="Normal"/>
    <w:link w:val="Bulletpoint1Char"/>
    <w:rsid w:val="00616959"/>
    <w:pPr>
      <w:widowControl w:val="0"/>
      <w:tabs>
        <w:tab w:val="num" w:pos="720"/>
      </w:tabs>
      <w:suppressAutoHyphens w:val="0"/>
      <w:snapToGrid w:val="0"/>
      <w:spacing w:after="120" w:line="240" w:lineRule="auto"/>
      <w:ind w:left="720" w:hanging="360"/>
      <w:jc w:val="both"/>
    </w:pPr>
    <w:rPr>
      <w:rFonts w:asciiTheme="minorHAnsi" w:eastAsiaTheme="minorHAnsi" w:hAnsiTheme="minorHAnsi" w:cstheme="minorBidi"/>
      <w:sz w:val="22"/>
      <w:szCs w:val="22"/>
      <w:lang w:val="en-US" w:eastAsia="x-none"/>
    </w:rPr>
  </w:style>
  <w:style w:type="paragraph" w:customStyle="1" w:styleId="ColorfulList-Accent11">
    <w:name w:val="Colorful List - Accent 11"/>
    <w:basedOn w:val="Normal"/>
    <w:uiPriority w:val="34"/>
    <w:qFormat/>
    <w:rsid w:val="00616959"/>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616959"/>
    <w:rPr>
      <w:rFonts w:ascii="Times New Roman" w:hAnsi="Times New Roman" w:cs="Times New Roman"/>
      <w:b/>
      <w:sz w:val="28"/>
      <w:szCs w:val="20"/>
      <w:lang w:val="en-GB"/>
    </w:rPr>
  </w:style>
  <w:style w:type="character" w:styleId="Emphasis">
    <w:name w:val="Emphasis"/>
    <w:uiPriority w:val="20"/>
    <w:qFormat/>
    <w:rsid w:val="00616959"/>
    <w:rPr>
      <w:rFonts w:cs="Times New Roman"/>
      <w:b/>
      <w:bCs/>
    </w:rPr>
  </w:style>
  <w:style w:type="character" w:customStyle="1" w:styleId="st">
    <w:name w:val="st"/>
    <w:rsid w:val="00616959"/>
    <w:rPr>
      <w:rFonts w:cs="Times New Roman"/>
    </w:rPr>
  </w:style>
  <w:style w:type="character" w:customStyle="1" w:styleId="H1GChar">
    <w:name w:val="_ H_1_G Char"/>
    <w:link w:val="H1G"/>
    <w:rsid w:val="00616959"/>
    <w:rPr>
      <w:rFonts w:ascii="Times New Roman" w:hAnsi="Times New Roman" w:cs="Times New Roman"/>
      <w:b/>
      <w:sz w:val="24"/>
      <w:szCs w:val="20"/>
      <w:lang w:val="en-GB"/>
    </w:rPr>
  </w:style>
  <w:style w:type="character" w:styleId="CommentReference">
    <w:name w:val="annotation reference"/>
    <w:uiPriority w:val="99"/>
    <w:rsid w:val="00616959"/>
    <w:rPr>
      <w:sz w:val="16"/>
      <w:szCs w:val="16"/>
    </w:rPr>
  </w:style>
  <w:style w:type="paragraph" w:styleId="CommentText">
    <w:name w:val="annotation text"/>
    <w:basedOn w:val="Normal"/>
    <w:link w:val="CommentTextChar"/>
    <w:uiPriority w:val="99"/>
    <w:rsid w:val="00616959"/>
    <w:rPr>
      <w:lang w:val="x-none"/>
    </w:rPr>
  </w:style>
  <w:style w:type="character" w:customStyle="1" w:styleId="CommentTextChar">
    <w:name w:val="Comment Text Char"/>
    <w:basedOn w:val="DefaultParagraphFont"/>
    <w:link w:val="CommentText"/>
    <w:uiPriority w:val="99"/>
    <w:rsid w:val="00616959"/>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616959"/>
    <w:rPr>
      <w:b/>
      <w:bCs/>
    </w:rPr>
  </w:style>
  <w:style w:type="character" w:customStyle="1" w:styleId="CommentSubjectChar">
    <w:name w:val="Comment Subject Char"/>
    <w:basedOn w:val="CommentTextChar"/>
    <w:link w:val="CommentSubject"/>
    <w:rsid w:val="00616959"/>
    <w:rPr>
      <w:rFonts w:ascii="Times New Roman" w:eastAsia="Times New Roman" w:hAnsi="Times New Roman" w:cs="Times New Roman"/>
      <w:b/>
      <w:bCs/>
      <w:sz w:val="20"/>
      <w:szCs w:val="20"/>
      <w:lang w:val="x-none"/>
    </w:rPr>
  </w:style>
  <w:style w:type="paragraph" w:styleId="DocumentMap">
    <w:name w:val="Document Map"/>
    <w:basedOn w:val="Normal"/>
    <w:link w:val="DocumentMapChar"/>
    <w:rsid w:val="00616959"/>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basedOn w:val="DefaultParagraphFont"/>
    <w:link w:val="DocumentMap"/>
    <w:rsid w:val="00616959"/>
    <w:rPr>
      <w:rFonts w:ascii="Tahoma" w:eastAsia="Calibri" w:hAnsi="Tahoma" w:cs="Times New Roman"/>
      <w:sz w:val="16"/>
      <w:szCs w:val="16"/>
      <w:lang w:val="en-US" w:eastAsia="zh-CN"/>
    </w:rPr>
  </w:style>
  <w:style w:type="character" w:customStyle="1" w:styleId="highlight1">
    <w:name w:val="highlight1"/>
    <w:rsid w:val="00616959"/>
    <w:rPr>
      <w:shd w:val="clear" w:color="auto" w:fill="FFCC33"/>
    </w:rPr>
  </w:style>
  <w:style w:type="paragraph" w:styleId="NormalWeb">
    <w:name w:val="Normal (Web)"/>
    <w:basedOn w:val="Normal"/>
    <w:uiPriority w:val="99"/>
    <w:unhideWhenUsed/>
    <w:rsid w:val="00616959"/>
    <w:pPr>
      <w:suppressAutoHyphens w:val="0"/>
      <w:spacing w:before="100" w:beforeAutospacing="1" w:after="100" w:afterAutospacing="1" w:line="240" w:lineRule="auto"/>
    </w:pPr>
    <w:rPr>
      <w:sz w:val="24"/>
      <w:szCs w:val="24"/>
      <w:lang w:eastAsia="en-GB"/>
    </w:rPr>
  </w:style>
  <w:style w:type="character" w:customStyle="1" w:styleId="hps">
    <w:name w:val="hps"/>
    <w:rsid w:val="00616959"/>
  </w:style>
  <w:style w:type="character" w:customStyle="1" w:styleId="apple-converted-space">
    <w:name w:val="apple-converted-space"/>
    <w:rsid w:val="00616959"/>
  </w:style>
  <w:style w:type="character" w:customStyle="1" w:styleId="highlight">
    <w:name w:val="highlight"/>
    <w:rsid w:val="00616959"/>
  </w:style>
  <w:style w:type="numbering" w:customStyle="1" w:styleId="NoList1">
    <w:name w:val="No List1"/>
    <w:next w:val="NoList"/>
    <w:uiPriority w:val="99"/>
    <w:semiHidden/>
    <w:unhideWhenUsed/>
    <w:rsid w:val="00616959"/>
  </w:style>
  <w:style w:type="paragraph" w:customStyle="1" w:styleId="ListParagraph1">
    <w:name w:val="List Paragraph1"/>
    <w:basedOn w:val="Normal"/>
    <w:uiPriority w:val="34"/>
    <w:qFormat/>
    <w:rsid w:val="00616959"/>
    <w:pPr>
      <w:suppressAutoHyphens w:val="0"/>
      <w:spacing w:line="240" w:lineRule="auto"/>
      <w:ind w:left="720"/>
    </w:pPr>
    <w:rPr>
      <w:rFonts w:eastAsia="Malgun Gothic"/>
      <w:sz w:val="24"/>
      <w:szCs w:val="24"/>
      <w:lang w:val="en-US" w:eastAsia="zh-CN"/>
    </w:rPr>
  </w:style>
  <w:style w:type="character" w:customStyle="1" w:styleId="st1">
    <w:name w:val="st1"/>
    <w:rsid w:val="00616959"/>
  </w:style>
  <w:style w:type="character" w:customStyle="1" w:styleId="apple-style-span">
    <w:name w:val="apple-style-span"/>
    <w:rsid w:val="00616959"/>
  </w:style>
  <w:style w:type="character" w:styleId="HTMLTypewriter">
    <w:name w:val="HTML Typewriter"/>
    <w:uiPriority w:val="99"/>
    <w:unhideWhenUsed/>
    <w:rsid w:val="00616959"/>
    <w:rPr>
      <w:rFonts w:ascii="Courier New" w:eastAsia="Times New Roman" w:hAnsi="Courier New" w:cs="Courier New"/>
      <w:sz w:val="20"/>
      <w:szCs w:val="20"/>
    </w:rPr>
  </w:style>
  <w:style w:type="paragraph" w:styleId="ListParagraph">
    <w:name w:val="List Paragraph"/>
    <w:basedOn w:val="Normal"/>
    <w:uiPriority w:val="34"/>
    <w:qFormat/>
    <w:rsid w:val="00616959"/>
    <w:pPr>
      <w:ind w:left="720"/>
    </w:pPr>
  </w:style>
  <w:style w:type="paragraph" w:styleId="Revision">
    <w:name w:val="Revision"/>
    <w:hidden/>
    <w:uiPriority w:val="99"/>
    <w:semiHidden/>
    <w:rsid w:val="00616959"/>
    <w:pPr>
      <w:spacing w:after="0" w:line="240" w:lineRule="auto"/>
    </w:pPr>
    <w:rPr>
      <w:rFonts w:ascii="Times New Roman" w:eastAsia="Times New Roman" w:hAnsi="Times New Roman" w:cs="Times New Roman"/>
      <w:sz w:val="20"/>
      <w:szCs w:val="20"/>
      <w:lang w:val="en-GB"/>
    </w:rPr>
  </w:style>
  <w:style w:type="paragraph" w:customStyle="1" w:styleId="CharChar">
    <w:name w:val="Char Char"/>
    <w:basedOn w:val="Normal"/>
    <w:rsid w:val="00616959"/>
    <w:pPr>
      <w:suppressAutoHyphens w:val="0"/>
      <w:spacing w:after="160" w:line="240" w:lineRule="exact"/>
    </w:pPr>
    <w:rPr>
      <w:rFonts w:cs="Arial"/>
      <w:lang w:val="en-AU" w:eastAsia="de-CH"/>
    </w:rPr>
  </w:style>
  <w:style w:type="paragraph" w:customStyle="1" w:styleId="Char2">
    <w:name w:val="Char2"/>
    <w:basedOn w:val="Normal"/>
    <w:link w:val="FootnoteReference"/>
    <w:uiPriority w:val="99"/>
    <w:rsid w:val="00616959"/>
    <w:pPr>
      <w:suppressAutoHyphens w:val="0"/>
      <w:spacing w:after="120" w:line="240" w:lineRule="exact"/>
    </w:pPr>
    <w:rPr>
      <w:rFonts w:eastAsiaTheme="minorHAnsi" w:cstheme="minorBidi"/>
      <w:sz w:val="18"/>
      <w:szCs w:val="22"/>
      <w:vertAlign w:val="superscript"/>
    </w:rPr>
  </w:style>
  <w:style w:type="character" w:customStyle="1" w:styleId="UnresolvedMention1">
    <w:name w:val="Unresolved Mention1"/>
    <w:basedOn w:val="DefaultParagraphFont"/>
    <w:uiPriority w:val="99"/>
    <w:semiHidden/>
    <w:unhideWhenUsed/>
    <w:rsid w:val="00616959"/>
    <w:rPr>
      <w:color w:val="605E5C"/>
      <w:shd w:val="clear" w:color="auto" w:fill="E1DFDD"/>
    </w:rPr>
  </w:style>
  <w:style w:type="paragraph" w:customStyle="1" w:styleId="4GCharChar">
    <w:name w:val="4_G Char Char"/>
    <w:aliases w:val="Footnote Reference1 Char Char,Footnotes refss Char Char,ftref Char Char,BVI fnr Char Char,BVI fnr Car Car Char Char,BVI fnr Car Char Char,BVI fnr Car Car Car Car Char Char1,BVI fnr Char Car Car Car Char Char,4_G Char"/>
    <w:basedOn w:val="Normal"/>
    <w:uiPriority w:val="99"/>
    <w:rsid w:val="00616959"/>
    <w:pPr>
      <w:suppressAutoHyphens w:val="0"/>
      <w:spacing w:after="160" w:line="240" w:lineRule="exact"/>
      <w:jc w:val="both"/>
    </w:pPr>
    <w:rPr>
      <w:vertAlign w:val="superscript"/>
      <w:lang w:val="de-CH" w:eastAsia="de-CH"/>
    </w:rPr>
  </w:style>
  <w:style w:type="character" w:customStyle="1" w:styleId="normaltextrun">
    <w:name w:val="normaltextrun"/>
    <w:basedOn w:val="DefaultParagraphFont"/>
    <w:rsid w:val="006A745D"/>
  </w:style>
  <w:style w:type="paragraph" w:customStyle="1" w:styleId="Ref">
    <w:name w:val="Ref"/>
    <w:aliases w:val="Footnotes refs"/>
    <w:basedOn w:val="Normal"/>
    <w:uiPriority w:val="99"/>
    <w:rsid w:val="006E5E13"/>
    <w:pPr>
      <w:suppressAutoHyphens w:val="0"/>
      <w:spacing w:line="240" w:lineRule="exact"/>
    </w:pPr>
    <w:rPr>
      <w:rFonts w:asciiTheme="minorHAnsi" w:eastAsiaTheme="minorHAnsi" w:hAnsiTheme="minorHAnsi" w:cstheme="minorBidi"/>
      <w:sz w:val="24"/>
      <w:szCs w:val="24"/>
      <w:vertAlign w:val="superscript"/>
      <w:lang w:val="fr-FR"/>
    </w:rPr>
  </w:style>
  <w:style w:type="character" w:customStyle="1" w:styleId="il">
    <w:name w:val="il"/>
    <w:basedOn w:val="DefaultParagraphFont"/>
    <w:rsid w:val="0067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9245">
      <w:bodyDiv w:val="1"/>
      <w:marLeft w:val="0"/>
      <w:marRight w:val="0"/>
      <w:marTop w:val="0"/>
      <w:marBottom w:val="0"/>
      <w:divBdr>
        <w:top w:val="none" w:sz="0" w:space="0" w:color="auto"/>
        <w:left w:val="none" w:sz="0" w:space="0" w:color="auto"/>
        <w:bottom w:val="none" w:sz="0" w:space="0" w:color="auto"/>
        <w:right w:val="none" w:sz="0" w:space="0" w:color="auto"/>
      </w:divBdr>
    </w:div>
    <w:div w:id="123346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E0606-DAE5-4546-A94E-36D11965D89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7EE95C1-1B16-4CBD-AEC4-0EBC3170B381}">
  <ds:schemaRefs>
    <ds:schemaRef ds:uri="http://schemas.microsoft.com/sharepoint/v3/contenttype/forms"/>
  </ds:schemaRefs>
</ds:datastoreItem>
</file>

<file path=customXml/itemProps3.xml><?xml version="1.0" encoding="utf-8"?>
<ds:datastoreItem xmlns:ds="http://schemas.openxmlformats.org/officeDocument/2006/customXml" ds:itemID="{4FFC89ED-27D5-477D-962B-D8956C2A60BF}"/>
</file>

<file path=customXml/itemProps4.xml><?xml version="1.0" encoding="utf-8"?>
<ds:datastoreItem xmlns:ds="http://schemas.openxmlformats.org/officeDocument/2006/customXml" ds:itemID="{C0A6935F-09FE-4CD7-99FE-12C53B7D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6962</Words>
  <Characters>40194</Characters>
  <Application>Microsoft Office Word</Application>
  <DocSecurity>0</DocSecurity>
  <Lines>334</Lines>
  <Paragraphs>94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CRC/C/NLD/CO/5-6</vt:lpstr>
      <vt:lpstr/>
      <vt:lpstr/>
    </vt:vector>
  </TitlesOfParts>
  <Company>DCM</Company>
  <LinksUpToDate>false</LinksUpToDate>
  <CharactersWithSpaces>47062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CRC/C/NLD/CO/5-6</dc:title>
  <dc:subject/>
  <dc:creator>chanmi.kim@un.org</dc:creator>
  <cp:keywords/>
  <dc:description/>
  <cp:lastModifiedBy>KIM Chanmi</cp:lastModifiedBy>
  <cp:revision>3</cp:revision>
  <cp:lastPrinted>2017-10-25T12:09:00Z</cp:lastPrinted>
  <dcterms:created xsi:type="dcterms:W3CDTF">2022-02-17T06:47:00Z</dcterms:created>
  <dcterms:modified xsi:type="dcterms:W3CDTF">2022-02-17T06:48:00Z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unt">
    <vt:lpwstr>Switzerland</vt:lpwstr>
  </property>
  <property fmtid="{D5CDD505-2E9C-101B-9397-08002B2CF9AE}" pid="8" name="countw">
    <vt:lpwstr>Switzerland</vt:lpwstr>
  </property>
  <property fmtid="{D5CDD505-2E9C-101B-9397-08002B2CF9AE}" pid="9" name="countwd">
    <vt:lpwstr>Switzerland</vt:lpwstr>
  </property>
  <property fmtid="{D5CDD505-2E9C-101B-9397-08002B2CF9AE}" pid="10" name="date">
    <vt:lpwstr>4 October 2021</vt:lpwstr>
  </property>
  <property fmtid="{D5CDD505-2E9C-101B-9397-08002B2CF9AE}" pid="11" name="Date-Generated">
    <vt:filetime>2021-10-04T13:30:17Z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combined fifth and sixth reports of Switzerland</vt:lpwstr>
  </property>
  <property fmtid="{D5CDD505-2E9C-101B-9397-08002B2CF9AE}" pid="20" name="preps">
    <vt:lpwstr>combined fifth and sixth reports of Switzerland</vt:lpwstr>
  </property>
  <property fmtid="{D5CDD505-2E9C-101B-9397-08002B2CF9AE}" pid="21" name="prepw">
    <vt:lpwstr>combined fifth and sixth reports</vt:lpwstr>
  </property>
  <property fmtid="{D5CDD505-2E9C-101B-9397-08002B2CF9AE}" pid="22" name="prepwc">
    <vt:lpwstr>Combined fifth and sixth reports </vt:lpwstr>
  </property>
  <property fmtid="{D5CDD505-2E9C-101B-9397-08002B2CF9AE}" pid="23" name="prepws">
    <vt:lpwstr>combined fifth and sixth reports</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C/CHE/CO/5-6</vt:lpwstr>
  </property>
  <property fmtid="{D5CDD505-2E9C-101B-9397-08002B2CF9AE}" pid="28" name="symh">
    <vt:lpwstr>CRC/C/CHE/CO/5-6</vt:lpwstr>
  </property>
  <property fmtid="{D5CDD505-2E9C-101B-9397-08002B2CF9AE}" pid="29" name="tlang">
    <vt:lpwstr/>
  </property>
  <property fmtid="{D5CDD505-2E9C-101B-9397-08002B2CF9AE}" pid="30" name="virs">
    <vt:lpwstr>Arabic, Chinese, English, French, Russian and Spanish only</vt:lpwstr>
  </property>
  <property fmtid="{D5CDD505-2E9C-101B-9397-08002B2CF9AE}" pid="31" name="ContentTypeId">
    <vt:lpwstr>0x0101007F18AF28EAB6004E88A60F194B4BE5E0</vt:lpwstr>
  </property>
</Properties>
</file>