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9F31F" w14:textId="77777777" w:rsidR="00047B4C" w:rsidRPr="00041A8B" w:rsidRDefault="00047B4C">
      <w:pPr>
        <w:widowControl w:val="0"/>
        <w:pBdr>
          <w:top w:val="nil"/>
          <w:left w:val="nil"/>
          <w:bottom w:val="nil"/>
          <w:right w:val="nil"/>
          <w:between w:val="nil"/>
        </w:pBdr>
        <w:spacing w:line="276" w:lineRule="auto"/>
        <w:rPr>
          <w:rFonts w:ascii="Times New Roman" w:eastAsia="Arial" w:hAnsi="Times New Roman" w:cs="Times New Roman"/>
          <w:color w:val="00000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315"/>
      </w:tblGrid>
      <w:tr w:rsidR="00047B4C" w:rsidRPr="00041A8B" w14:paraId="482BFC53" w14:textId="77777777">
        <w:tc>
          <w:tcPr>
            <w:tcW w:w="4541" w:type="dxa"/>
          </w:tcPr>
          <w:p w14:paraId="2190FA7A" w14:textId="77777777" w:rsidR="00047B4C" w:rsidRPr="00041A8B" w:rsidRDefault="005F737A">
            <w:pPr>
              <w:rPr>
                <w:rFonts w:ascii="Times New Roman" w:eastAsia="Times New Roman" w:hAnsi="Times New Roman" w:cs="Times New Roman"/>
              </w:rPr>
            </w:pPr>
            <w:r w:rsidRPr="00041A8B">
              <w:rPr>
                <w:rFonts w:ascii="Times New Roman" w:hAnsi="Times New Roman" w:cs="Times New Roman"/>
                <w:noProof/>
              </w:rPr>
              <w:drawing>
                <wp:anchor distT="0" distB="0" distL="114300" distR="114300" simplePos="0" relativeHeight="251658240" behindDoc="0" locked="0" layoutInCell="1" hidden="0" allowOverlap="1" wp14:anchorId="727CDCD6" wp14:editId="3B30F40E">
                  <wp:simplePos x="0" y="0"/>
                  <wp:positionH relativeFrom="column">
                    <wp:posOffset>1015637</wp:posOffset>
                  </wp:positionH>
                  <wp:positionV relativeFrom="paragraph">
                    <wp:posOffset>0</wp:posOffset>
                  </wp:positionV>
                  <wp:extent cx="898525" cy="88709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98525" cy="887095"/>
                          </a:xfrm>
                          <a:prstGeom prst="rect">
                            <a:avLst/>
                          </a:prstGeom>
                          <a:ln/>
                        </pic:spPr>
                      </pic:pic>
                    </a:graphicData>
                  </a:graphic>
                </wp:anchor>
              </w:drawing>
            </w:r>
          </w:p>
          <w:p w14:paraId="51E5EADE" w14:textId="77777777" w:rsidR="00047B4C" w:rsidRPr="00041A8B" w:rsidRDefault="00047B4C">
            <w:pPr>
              <w:rPr>
                <w:rFonts w:ascii="Times New Roman" w:eastAsia="Times New Roman" w:hAnsi="Times New Roman" w:cs="Times New Roman"/>
              </w:rPr>
            </w:pPr>
          </w:p>
          <w:p w14:paraId="7C702A99" w14:textId="77777777" w:rsidR="00047B4C" w:rsidRPr="00041A8B" w:rsidRDefault="00047B4C">
            <w:pPr>
              <w:rPr>
                <w:rFonts w:ascii="Times New Roman" w:eastAsia="Times New Roman" w:hAnsi="Times New Roman" w:cs="Times New Roman"/>
              </w:rPr>
            </w:pPr>
          </w:p>
        </w:tc>
        <w:tc>
          <w:tcPr>
            <w:tcW w:w="4315" w:type="dxa"/>
          </w:tcPr>
          <w:p w14:paraId="761F3B9F" w14:textId="23DF9C94" w:rsidR="00047B4C" w:rsidRPr="00041A8B" w:rsidRDefault="005F737A">
            <w:pPr>
              <w:rPr>
                <w:rFonts w:ascii="Times New Roman" w:eastAsia="Times New Roman" w:hAnsi="Times New Roman" w:cs="Times New Roman"/>
                <w:b/>
              </w:rPr>
            </w:pPr>
            <w:r w:rsidRPr="00041A8B">
              <w:rPr>
                <w:rFonts w:ascii="Times New Roman" w:eastAsia="Times New Roman" w:hAnsi="Times New Roman" w:cs="Times New Roman"/>
                <w:b/>
              </w:rPr>
              <w:t>CRC (8</w:t>
            </w:r>
            <w:r w:rsidR="00FA532B">
              <w:rPr>
                <w:rFonts w:ascii="Times New Roman" w:eastAsia="Times New Roman" w:hAnsi="Times New Roman" w:cs="Times New Roman"/>
                <w:b/>
              </w:rPr>
              <w:t>5</w:t>
            </w:r>
            <w:r w:rsidRPr="00041A8B">
              <w:rPr>
                <w:rFonts w:ascii="Times New Roman" w:eastAsia="Times New Roman" w:hAnsi="Times New Roman" w:cs="Times New Roman"/>
                <w:b/>
                <w:vertAlign w:val="superscript"/>
              </w:rPr>
              <w:t>th</w:t>
            </w:r>
            <w:r w:rsidRPr="00041A8B">
              <w:rPr>
                <w:rFonts w:ascii="Times New Roman" w:eastAsia="Times New Roman" w:hAnsi="Times New Roman" w:cs="Times New Roman"/>
                <w:b/>
              </w:rPr>
              <w:t xml:space="preserve"> Session)</w:t>
            </w:r>
          </w:p>
          <w:p w14:paraId="273F2F56" w14:textId="48F10550"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rPr>
              <w:t xml:space="preserve">Country name: </w:t>
            </w:r>
            <w:r w:rsidR="00FA532B">
              <w:rPr>
                <w:rFonts w:ascii="Times New Roman" w:eastAsia="Times New Roman" w:hAnsi="Times New Roman" w:cs="Times New Roman"/>
              </w:rPr>
              <w:t>Afghanistan</w:t>
            </w:r>
          </w:p>
          <w:p w14:paraId="3E07B15C" w14:textId="77777777" w:rsidR="00047B4C" w:rsidRPr="00041A8B" w:rsidRDefault="00047B4C">
            <w:pPr>
              <w:rPr>
                <w:rFonts w:ascii="Times New Roman" w:eastAsia="Times New Roman" w:hAnsi="Times New Roman" w:cs="Times New Roman"/>
              </w:rPr>
            </w:pPr>
          </w:p>
        </w:tc>
      </w:tr>
      <w:tr w:rsidR="00047B4C" w:rsidRPr="00041A8B" w14:paraId="5A688B60" w14:textId="77777777">
        <w:tc>
          <w:tcPr>
            <w:tcW w:w="8856" w:type="dxa"/>
            <w:gridSpan w:val="2"/>
          </w:tcPr>
          <w:p w14:paraId="5A7BD730" w14:textId="77777777" w:rsidR="00047B4C" w:rsidRPr="00041A8B" w:rsidRDefault="00047B4C">
            <w:pPr>
              <w:jc w:val="both"/>
              <w:rPr>
                <w:rFonts w:ascii="Times New Roman" w:eastAsia="Times New Roman" w:hAnsi="Times New Roman" w:cs="Times New Roman"/>
                <w:color w:val="222222"/>
                <w:highlight w:val="white"/>
              </w:rPr>
            </w:pPr>
          </w:p>
          <w:p w14:paraId="5BFB40E0" w14:textId="77777777" w:rsidR="00047B4C" w:rsidRPr="00041A8B" w:rsidRDefault="005F737A">
            <w:pPr>
              <w:jc w:val="center"/>
              <w:rPr>
                <w:rFonts w:ascii="Times New Roman" w:eastAsia="Times New Roman" w:hAnsi="Times New Roman" w:cs="Times New Roman"/>
                <w:b/>
                <w:color w:val="222222"/>
                <w:highlight w:val="white"/>
              </w:rPr>
            </w:pPr>
            <w:r w:rsidRPr="00041A8B">
              <w:rPr>
                <w:rFonts w:ascii="Times New Roman" w:eastAsia="Times New Roman" w:hAnsi="Times New Roman" w:cs="Times New Roman"/>
                <w:b/>
                <w:color w:val="222222"/>
                <w:highlight w:val="white"/>
              </w:rPr>
              <w:t>Appropriate pre-trial detention times for children</w:t>
            </w:r>
          </w:p>
          <w:p w14:paraId="50F4B58E" w14:textId="77777777" w:rsidR="00047B4C" w:rsidRPr="00041A8B" w:rsidRDefault="00047B4C">
            <w:pPr>
              <w:jc w:val="both"/>
              <w:rPr>
                <w:rFonts w:ascii="Times New Roman" w:eastAsia="Times New Roman" w:hAnsi="Times New Roman" w:cs="Times New Roman"/>
                <w:color w:val="222222"/>
                <w:highlight w:val="white"/>
              </w:rPr>
            </w:pPr>
          </w:p>
          <w:p w14:paraId="56E5DCCE" w14:textId="77777777" w:rsidR="00047B4C" w:rsidRPr="00041A8B" w:rsidRDefault="005F737A">
            <w:pPr>
              <w:jc w:val="both"/>
              <w:rPr>
                <w:rFonts w:ascii="Times New Roman" w:eastAsia="Times New Roman" w:hAnsi="Times New Roman" w:cs="Times New Roman"/>
                <w:b/>
                <w:color w:val="222222"/>
                <w:highlight w:val="white"/>
              </w:rPr>
            </w:pPr>
            <w:r w:rsidRPr="00041A8B">
              <w:rPr>
                <w:rFonts w:ascii="Times New Roman" w:eastAsia="Times New Roman" w:hAnsi="Times New Roman" w:cs="Times New Roman"/>
                <w:b/>
                <w:color w:val="222222"/>
                <w:highlight w:val="white"/>
              </w:rPr>
              <w:t>Cluster of rights:</w:t>
            </w:r>
          </w:p>
          <w:p w14:paraId="4B54AAF8" w14:textId="77777777" w:rsidR="00047B4C" w:rsidRPr="00041A8B" w:rsidRDefault="005F737A">
            <w:pPr>
              <w:pBdr>
                <w:top w:val="nil"/>
                <w:left w:val="nil"/>
                <w:bottom w:val="nil"/>
                <w:right w:val="nil"/>
                <w:between w:val="nil"/>
              </w:pBdr>
              <w:jc w:val="both"/>
              <w:rPr>
                <w:rFonts w:ascii="Times New Roman" w:eastAsia="Times New Roman" w:hAnsi="Times New Roman" w:cs="Times New Roman"/>
                <w:color w:val="222222"/>
                <w:highlight w:val="white"/>
              </w:rPr>
            </w:pPr>
            <w:r w:rsidRPr="00041A8B">
              <w:rPr>
                <w:rFonts w:ascii="Times New Roman" w:eastAsia="Times New Roman" w:hAnsi="Times New Roman" w:cs="Times New Roman"/>
                <w:color w:val="222222"/>
                <w:highlight w:val="white"/>
              </w:rPr>
              <w:t xml:space="preserve">Convention on the Rights of the Child Article 37(b): No child shall be deprived of his or her liberty unlawfully or arbitrarily. The arrest, detention or imprisonment of a child shall be in conformity with the law and shall be used only as a measure of last resort and for the shortest appropriate period of time; </w:t>
            </w:r>
          </w:p>
          <w:p w14:paraId="0A2FC7A9" w14:textId="77777777" w:rsidR="00047B4C" w:rsidRPr="00041A8B" w:rsidRDefault="005F737A">
            <w:pPr>
              <w:pBdr>
                <w:top w:val="nil"/>
                <w:left w:val="nil"/>
                <w:bottom w:val="nil"/>
                <w:right w:val="nil"/>
                <w:between w:val="nil"/>
              </w:pBdr>
              <w:jc w:val="both"/>
              <w:rPr>
                <w:rFonts w:ascii="Times New Roman" w:eastAsia="Times New Roman" w:hAnsi="Times New Roman" w:cs="Times New Roman"/>
                <w:color w:val="222222"/>
                <w:highlight w:val="white"/>
              </w:rPr>
            </w:pPr>
            <w:r w:rsidRPr="00041A8B">
              <w:rPr>
                <w:rFonts w:ascii="Times New Roman" w:eastAsia="Times New Roman" w:hAnsi="Times New Roman" w:cs="Times New Roman"/>
                <w:color w:val="222222"/>
                <w:highlight w:val="white"/>
              </w:rPr>
              <w:t>Convention Against Torture Article 2</w:t>
            </w:r>
          </w:p>
          <w:p w14:paraId="660B5085" w14:textId="77777777" w:rsidR="0038790E" w:rsidRPr="00041A8B" w:rsidRDefault="0038790E">
            <w:pPr>
              <w:pBdr>
                <w:top w:val="nil"/>
                <w:left w:val="nil"/>
                <w:bottom w:val="nil"/>
                <w:right w:val="nil"/>
                <w:between w:val="nil"/>
              </w:pBdr>
              <w:jc w:val="both"/>
              <w:rPr>
                <w:rFonts w:ascii="Times New Roman" w:eastAsia="Times New Roman" w:hAnsi="Times New Roman" w:cs="Times New Roman"/>
                <w:color w:val="222222"/>
                <w:highlight w:val="white"/>
              </w:rPr>
            </w:pPr>
          </w:p>
          <w:p w14:paraId="5B1CEC03" w14:textId="77777777" w:rsidR="00047B4C" w:rsidRPr="00041A8B" w:rsidRDefault="005F737A">
            <w:pPr>
              <w:jc w:val="both"/>
              <w:rPr>
                <w:rFonts w:ascii="Times New Roman" w:eastAsia="Times New Roman" w:hAnsi="Times New Roman" w:cs="Times New Roman"/>
                <w:b/>
                <w:color w:val="222222"/>
                <w:highlight w:val="white"/>
              </w:rPr>
            </w:pPr>
            <w:r w:rsidRPr="00041A8B">
              <w:rPr>
                <w:rFonts w:ascii="Times New Roman" w:eastAsia="Times New Roman" w:hAnsi="Times New Roman" w:cs="Times New Roman"/>
                <w:b/>
                <w:color w:val="222222"/>
                <w:highlight w:val="white"/>
              </w:rPr>
              <w:t>Areas of concern:</w:t>
            </w:r>
          </w:p>
          <w:p w14:paraId="7F9705EE" w14:textId="77777777" w:rsidR="00047B4C" w:rsidRPr="00041A8B" w:rsidRDefault="005F737A">
            <w:pPr>
              <w:jc w:val="both"/>
              <w:rPr>
                <w:rFonts w:ascii="Times New Roman" w:eastAsia="Times New Roman" w:hAnsi="Times New Roman" w:cs="Times New Roman"/>
              </w:rPr>
            </w:pPr>
            <w:bookmarkStart w:id="0" w:name="_heading=h.gjdgxs" w:colFirst="0" w:colLast="0"/>
            <w:bookmarkEnd w:id="0"/>
            <w:r w:rsidRPr="00041A8B">
              <w:rPr>
                <w:rFonts w:ascii="Times New Roman" w:eastAsia="Times New Roman" w:hAnsi="Times New Roman" w:cs="Times New Roman"/>
              </w:rPr>
              <w:t>The international human rights community needs to adopt stricter time limits for children in pretrial detention. International law strictly limits the circumstances in which children can be placed in detention while awaiting trial or while under investigation pre-charge. Pretrial detention should only be used in exceptional circumstances, where it is necessary to ensure the child’s appearance at the court proceedings, or where the child is an immediate danger to himself/herself or others.</w:t>
            </w:r>
            <w:r w:rsidRPr="00041A8B">
              <w:rPr>
                <w:rFonts w:ascii="Times New Roman" w:eastAsia="Times New Roman" w:hAnsi="Times New Roman" w:cs="Times New Roman"/>
                <w:vertAlign w:val="superscript"/>
              </w:rPr>
              <w:footnoteReference w:id="1"/>
            </w:r>
            <w:r w:rsidRPr="00041A8B">
              <w:rPr>
                <w:rFonts w:ascii="Times New Roman" w:eastAsia="Times New Roman" w:hAnsi="Times New Roman" w:cs="Times New Roman"/>
              </w:rPr>
              <w:t xml:space="preserve"> Pretrial detention is only permitted as a measure of last resort and for “</w:t>
            </w:r>
            <w:r w:rsidRPr="00041A8B">
              <w:rPr>
                <w:rFonts w:ascii="Times New Roman" w:eastAsia="Times New Roman" w:hAnsi="Times New Roman" w:cs="Times New Roman"/>
                <w:i/>
              </w:rPr>
              <w:t>the shortest appropriate period of time</w:t>
            </w:r>
            <w:r w:rsidRPr="00041A8B">
              <w:rPr>
                <w:rFonts w:ascii="Times New Roman" w:eastAsia="Times New Roman" w:hAnsi="Times New Roman" w:cs="Times New Roman"/>
              </w:rPr>
              <w:t>.”</w:t>
            </w:r>
            <w:r w:rsidRPr="00041A8B">
              <w:rPr>
                <w:rFonts w:ascii="Times New Roman" w:eastAsia="Times New Roman" w:hAnsi="Times New Roman" w:cs="Times New Roman"/>
                <w:vertAlign w:val="superscript"/>
              </w:rPr>
              <w:footnoteReference w:id="2"/>
            </w:r>
            <w:r w:rsidRPr="00041A8B">
              <w:rPr>
                <w:rFonts w:ascii="Times New Roman" w:eastAsia="Times New Roman" w:hAnsi="Times New Roman" w:cs="Times New Roman"/>
              </w:rPr>
              <w:t> However, there is no clarity around what is meant by an “</w:t>
            </w:r>
            <w:r w:rsidRPr="00041A8B">
              <w:rPr>
                <w:rFonts w:ascii="Times New Roman" w:eastAsia="Times New Roman" w:hAnsi="Times New Roman" w:cs="Times New Roman"/>
                <w:i/>
              </w:rPr>
              <w:t>appropriate period of time</w:t>
            </w:r>
            <w:r w:rsidRPr="00041A8B">
              <w:rPr>
                <w:rFonts w:ascii="Times New Roman" w:eastAsia="Times New Roman" w:hAnsi="Times New Roman" w:cs="Times New Roman"/>
              </w:rPr>
              <w:t>.” The Committee on the Rights of the Child, in General Comment 10, recommended that children who are detained should be formally charged within 30 days and once charged, that a final decision should be made by the court within six months.</w:t>
            </w:r>
            <w:r w:rsidRPr="00041A8B">
              <w:rPr>
                <w:rFonts w:ascii="Times New Roman" w:eastAsia="Times New Roman" w:hAnsi="Times New Roman" w:cs="Times New Roman"/>
                <w:vertAlign w:val="superscript"/>
              </w:rPr>
              <w:footnoteReference w:id="3"/>
            </w:r>
            <w:r w:rsidRPr="00041A8B">
              <w:rPr>
                <w:rFonts w:ascii="Times New Roman" w:eastAsia="Times New Roman" w:hAnsi="Times New Roman" w:cs="Times New Roman"/>
              </w:rPr>
              <w:t xml:space="preserve"> The Committee additionally recommended that any such detention should be reviewed regularly by a competent body</w:t>
            </w:r>
            <w:r w:rsidRPr="00041A8B">
              <w:rPr>
                <w:rFonts w:ascii="Times New Roman" w:eastAsia="Times New Roman" w:hAnsi="Times New Roman" w:cs="Times New Roman"/>
                <w:vertAlign w:val="superscript"/>
              </w:rPr>
              <w:footnoteReference w:id="4"/>
            </w:r>
            <w:r w:rsidRPr="00041A8B">
              <w:rPr>
                <w:rFonts w:ascii="Times New Roman" w:eastAsia="Times New Roman" w:hAnsi="Times New Roman" w:cs="Times New Roman"/>
              </w:rPr>
              <w:t xml:space="preserve"> These recommendations can and should be strengthened.</w:t>
            </w:r>
          </w:p>
          <w:p w14:paraId="5FCB694E" w14:textId="77777777" w:rsidR="00047B4C" w:rsidRPr="00041A8B" w:rsidRDefault="00047B4C">
            <w:pPr>
              <w:jc w:val="both"/>
              <w:rPr>
                <w:rFonts w:ascii="Times New Roman" w:eastAsia="Times New Roman" w:hAnsi="Times New Roman" w:cs="Times New Roman"/>
              </w:rPr>
            </w:pPr>
          </w:p>
          <w:p w14:paraId="1993BA44" w14:textId="77777777" w:rsidR="00047B4C" w:rsidRPr="00041A8B" w:rsidRDefault="005F737A">
            <w:pPr>
              <w:jc w:val="both"/>
              <w:rPr>
                <w:rFonts w:ascii="Times New Roman" w:eastAsia="Times New Roman" w:hAnsi="Times New Roman" w:cs="Times New Roman"/>
              </w:rPr>
            </w:pPr>
            <w:bookmarkStart w:id="1" w:name="_heading=h.30j0zll" w:colFirst="0" w:colLast="0"/>
            <w:bookmarkEnd w:id="1"/>
            <w:r w:rsidRPr="00041A8B">
              <w:rPr>
                <w:rFonts w:ascii="Times New Roman" w:eastAsia="Times New Roman" w:hAnsi="Times New Roman" w:cs="Times New Roman"/>
              </w:rPr>
              <w:t>Defendants in pretrial detention are more likely to be abused, mistreated and tortured,</w:t>
            </w:r>
            <w:r w:rsidRPr="00041A8B">
              <w:rPr>
                <w:rFonts w:ascii="Times New Roman" w:eastAsia="Times New Roman" w:hAnsi="Times New Roman" w:cs="Times New Roman"/>
                <w:vertAlign w:val="superscript"/>
              </w:rPr>
              <w:footnoteReference w:id="5"/>
            </w:r>
            <w:r w:rsidRPr="00041A8B">
              <w:rPr>
                <w:rFonts w:ascii="Times New Roman" w:eastAsia="Times New Roman" w:hAnsi="Times New Roman" w:cs="Times New Roman"/>
              </w:rPr>
              <w:t xml:space="preserve"> and children are particularly vulnerable. In many countries, the lack of adequate facilities, food and sanitation, insufficient access to education and training, and compromised contact with family and friends makes even short periods of time in pretrial detention traumatic for children. Detention has been shown to significantly increase the risk of depression, suicide, </w:t>
            </w:r>
            <w:r w:rsidRPr="00041A8B">
              <w:rPr>
                <w:rFonts w:ascii="Times New Roman" w:eastAsia="Times New Roman" w:hAnsi="Times New Roman" w:cs="Times New Roman"/>
              </w:rPr>
              <w:lastRenderedPageBreak/>
              <w:t>school drop-out, and drug use among children.</w:t>
            </w:r>
            <w:r w:rsidRPr="00041A8B">
              <w:rPr>
                <w:rFonts w:ascii="Times New Roman" w:eastAsia="Times New Roman" w:hAnsi="Times New Roman" w:cs="Times New Roman"/>
                <w:vertAlign w:val="superscript"/>
              </w:rPr>
              <w:footnoteReference w:id="6"/>
            </w:r>
            <w:r w:rsidRPr="00041A8B">
              <w:rPr>
                <w:rFonts w:ascii="Times New Roman" w:eastAsia="Times New Roman" w:hAnsi="Times New Roman" w:cs="Times New Roman"/>
              </w:rPr>
              <w:t xml:space="preserve"> Research shows that children’s sense of time is significantly different than adults, making even short periods of detention particularly harmful.</w:t>
            </w:r>
            <w:r w:rsidRPr="00041A8B">
              <w:rPr>
                <w:rFonts w:ascii="Times New Roman" w:eastAsia="Times New Roman" w:hAnsi="Times New Roman" w:cs="Times New Roman"/>
                <w:vertAlign w:val="superscript"/>
              </w:rPr>
              <w:footnoteReference w:id="7"/>
            </w:r>
            <w:r w:rsidRPr="00041A8B">
              <w:rPr>
                <w:rFonts w:ascii="Times New Roman" w:eastAsia="Times New Roman" w:hAnsi="Times New Roman" w:cs="Times New Roman"/>
              </w:rPr>
              <w:t xml:space="preserve"> Unfortunately, in many countries the majority of children in detention are awaiting trial and may spend months or years behind bars before having their cases resolved. As a result, it is critical that children’s rights organizations advocate for significant reductions in the use of pretrial detention as well as speedier trials in order to reduce the duration of pretrial detention. </w:t>
            </w:r>
          </w:p>
          <w:p w14:paraId="535D8FE1" w14:textId="77777777" w:rsidR="00047B4C" w:rsidRPr="00041A8B" w:rsidRDefault="00047B4C">
            <w:pPr>
              <w:jc w:val="both"/>
              <w:rPr>
                <w:rFonts w:ascii="Times New Roman" w:eastAsia="Times New Roman" w:hAnsi="Times New Roman" w:cs="Times New Roman"/>
              </w:rPr>
            </w:pPr>
          </w:p>
          <w:p w14:paraId="47658806" w14:textId="77777777" w:rsidR="00047B4C" w:rsidRPr="00041A8B" w:rsidRDefault="005F737A">
            <w:pPr>
              <w:jc w:val="both"/>
              <w:rPr>
                <w:rFonts w:ascii="Times New Roman" w:eastAsia="Times New Roman" w:hAnsi="Times New Roman" w:cs="Times New Roman"/>
              </w:rPr>
            </w:pPr>
            <w:bookmarkStart w:id="2" w:name="_heading=h.1fob9te" w:colFirst="0" w:colLast="0"/>
            <w:bookmarkEnd w:id="2"/>
            <w:r w:rsidRPr="00041A8B">
              <w:rPr>
                <w:rFonts w:ascii="Times New Roman" w:eastAsia="Times New Roman" w:hAnsi="Times New Roman" w:cs="Times New Roman"/>
              </w:rPr>
              <w:t>While significant research, documentation, and best practices exist for monitoring detention conditions and implementing alternatives to detention, there is very little international research that documents the duration of child pretrial detention. Some organizations advocate for a maximum of 30 days for children in pretrial detention, and many countries have clear legal maximums.</w:t>
            </w:r>
            <w:r w:rsidRPr="00041A8B">
              <w:rPr>
                <w:rFonts w:ascii="Times New Roman" w:eastAsia="Times New Roman" w:hAnsi="Times New Roman" w:cs="Times New Roman"/>
                <w:vertAlign w:val="superscript"/>
              </w:rPr>
              <w:footnoteReference w:id="8"/>
            </w:r>
            <w:r w:rsidRPr="00041A8B">
              <w:rPr>
                <w:rFonts w:ascii="Times New Roman" w:eastAsia="Times New Roman" w:hAnsi="Times New Roman" w:cs="Times New Roman"/>
              </w:rPr>
              <w:t xml:space="preserve"> Yet it is unclear which nations are in fact adhering to a statutory maximum, what the average pretrial duration is, or what emerging good practices may be for reducing the duration of pretrial detention. </w:t>
            </w:r>
          </w:p>
          <w:p w14:paraId="1D202D7E" w14:textId="77777777" w:rsidR="00047B4C" w:rsidRPr="00041A8B" w:rsidRDefault="00047B4C">
            <w:pPr>
              <w:jc w:val="both"/>
              <w:rPr>
                <w:rFonts w:ascii="Times New Roman" w:eastAsia="Times New Roman" w:hAnsi="Times New Roman" w:cs="Times New Roman"/>
              </w:rPr>
            </w:pPr>
          </w:p>
          <w:p w14:paraId="767DF00B" w14:textId="77777777" w:rsidR="00047B4C" w:rsidRPr="00041A8B" w:rsidRDefault="005F737A">
            <w:pPr>
              <w:jc w:val="both"/>
              <w:rPr>
                <w:rFonts w:ascii="Times New Roman" w:eastAsia="Times New Roman" w:hAnsi="Times New Roman" w:cs="Times New Roman"/>
              </w:rPr>
            </w:pPr>
            <w:r w:rsidRPr="00041A8B">
              <w:rPr>
                <w:rFonts w:ascii="Times New Roman" w:eastAsia="Times New Roman" w:hAnsi="Times New Roman" w:cs="Times New Roman"/>
              </w:rPr>
              <w:t>Criminal justice procedures for children vary widely throughout the world, and it appears that international and regional human rights bodies have, to date, been reticent to prescribe what constitutes the “</w:t>
            </w:r>
            <w:r w:rsidRPr="00041A8B">
              <w:rPr>
                <w:rFonts w:ascii="Times New Roman" w:eastAsia="Times New Roman" w:hAnsi="Times New Roman" w:cs="Times New Roman"/>
                <w:i/>
              </w:rPr>
              <w:t>shortest appropriate time</w:t>
            </w:r>
            <w:r w:rsidRPr="00041A8B">
              <w:rPr>
                <w:rFonts w:ascii="Times New Roman" w:eastAsia="Times New Roman" w:hAnsi="Times New Roman" w:cs="Times New Roman"/>
              </w:rPr>
              <w:t>” for pretrial detention for children. Clarification is desperately needed since children in many countries are suffering irreversible harm from spending excessive periods of time in pretrial detention. Even in jurisdictions that have successfully implemented alternatives to detention, children still spend months or years in pretrial detention, often longer than any sentence they might receive on conviction. It is reportedly common for children to receive conditional release or diversion after months of pretrial detention</w:t>
            </w:r>
            <w:r w:rsidRPr="00041A8B">
              <w:rPr>
                <w:rFonts w:ascii="Times New Roman" w:eastAsia="Times New Roman" w:hAnsi="Times New Roman" w:cs="Times New Roman"/>
                <w:vertAlign w:val="superscript"/>
              </w:rPr>
              <w:footnoteReference w:id="9"/>
            </w:r>
            <w:r w:rsidRPr="00041A8B">
              <w:rPr>
                <w:rFonts w:ascii="Times New Roman" w:eastAsia="Times New Roman" w:hAnsi="Times New Roman" w:cs="Times New Roman"/>
              </w:rPr>
              <w:t xml:space="preserve">. This means that the most significant time spent deprived of liberty is while awaiting trial, when children are ostensibly presumed innocent. </w:t>
            </w:r>
          </w:p>
          <w:p w14:paraId="586EDBD1" w14:textId="77777777" w:rsidR="00047B4C" w:rsidRPr="00041A8B" w:rsidRDefault="00047B4C">
            <w:pPr>
              <w:jc w:val="both"/>
              <w:rPr>
                <w:rFonts w:ascii="Times New Roman" w:eastAsia="Times New Roman" w:hAnsi="Times New Roman" w:cs="Times New Roman"/>
              </w:rPr>
            </w:pPr>
          </w:p>
          <w:p w14:paraId="2FF3CAA7" w14:textId="77777777" w:rsidR="00047B4C" w:rsidRPr="00041A8B" w:rsidRDefault="005F737A">
            <w:pPr>
              <w:jc w:val="both"/>
              <w:rPr>
                <w:rFonts w:ascii="Times New Roman" w:eastAsia="Times New Roman" w:hAnsi="Times New Roman" w:cs="Times New Roman"/>
              </w:rPr>
            </w:pPr>
            <w:r w:rsidRPr="00041A8B">
              <w:rPr>
                <w:rFonts w:ascii="Times New Roman" w:eastAsia="Times New Roman" w:hAnsi="Times New Roman" w:cs="Times New Roman"/>
              </w:rPr>
              <w:t xml:space="preserve">The </w:t>
            </w:r>
            <w:r w:rsidRPr="00041A8B">
              <w:rPr>
                <w:rFonts w:ascii="Times New Roman" w:eastAsia="Times New Roman" w:hAnsi="Times New Roman" w:cs="Times New Roman"/>
                <w:i/>
              </w:rPr>
              <w:t>Children in Pretrial Detention: Promoting Stronger International Time Limits</w:t>
            </w:r>
            <w:r w:rsidRPr="00041A8B">
              <w:rPr>
                <w:rFonts w:ascii="Times New Roman" w:eastAsia="Times New Roman" w:hAnsi="Times New Roman" w:cs="Times New Roman"/>
              </w:rPr>
              <w:t xml:space="preserve"> report serves as a baseline for the committee to expand on country practices regarding times of pre-trial detention of children. </w:t>
            </w:r>
          </w:p>
          <w:p w14:paraId="36B22775" w14:textId="77777777" w:rsidR="00047B4C" w:rsidRPr="00041A8B" w:rsidRDefault="00047B4C">
            <w:pPr>
              <w:jc w:val="both"/>
              <w:rPr>
                <w:rFonts w:ascii="Times New Roman" w:eastAsia="Times New Roman" w:hAnsi="Times New Roman" w:cs="Times New Roman"/>
              </w:rPr>
            </w:pPr>
          </w:p>
          <w:p w14:paraId="6BA09595" w14:textId="77777777" w:rsidR="00047B4C" w:rsidRPr="00041A8B" w:rsidRDefault="005F737A">
            <w:pPr>
              <w:jc w:val="both"/>
              <w:rPr>
                <w:rFonts w:ascii="Times New Roman" w:eastAsia="Times New Roman" w:hAnsi="Times New Roman" w:cs="Times New Roman"/>
              </w:rPr>
            </w:pPr>
            <w:r w:rsidRPr="00041A8B">
              <w:rPr>
                <w:rFonts w:ascii="Times New Roman" w:eastAsia="Times New Roman" w:hAnsi="Times New Roman" w:cs="Times New Roman"/>
              </w:rPr>
              <w:t>State actors and civil society should be made aware that reducing the duration of pretrial detention for children is an urgent priority, and they need the tools to understand both effective practices which can reduce pretrial detention, as well as the governing international standards. This report represents an important step toward these goals.</w:t>
            </w:r>
          </w:p>
          <w:p w14:paraId="0A976C6B" w14:textId="77777777" w:rsidR="00047B4C" w:rsidRPr="00041A8B" w:rsidRDefault="00047B4C">
            <w:pPr>
              <w:rPr>
                <w:rFonts w:ascii="Times New Roman" w:eastAsia="Times New Roman" w:hAnsi="Times New Roman" w:cs="Times New Roman"/>
              </w:rPr>
            </w:pPr>
          </w:p>
          <w:p w14:paraId="6E26FEF0" w14:textId="77777777" w:rsidR="00047B4C" w:rsidRPr="00041A8B" w:rsidRDefault="005F737A">
            <w:pPr>
              <w:jc w:val="both"/>
              <w:rPr>
                <w:rFonts w:ascii="Times New Roman" w:eastAsia="Times New Roman" w:hAnsi="Times New Roman" w:cs="Times New Roman"/>
                <w:b/>
                <w:color w:val="222222"/>
                <w:highlight w:val="white"/>
              </w:rPr>
            </w:pPr>
            <w:bookmarkStart w:id="3" w:name="_heading=h.3znysh7" w:colFirst="0" w:colLast="0"/>
            <w:bookmarkEnd w:id="3"/>
            <w:r w:rsidRPr="00041A8B">
              <w:rPr>
                <w:rFonts w:ascii="Times New Roman" w:eastAsia="Times New Roman" w:hAnsi="Times New Roman" w:cs="Times New Roman"/>
                <w:b/>
                <w:color w:val="222222"/>
                <w:highlight w:val="white"/>
              </w:rPr>
              <w:t>Methodology:</w:t>
            </w:r>
          </w:p>
          <w:p w14:paraId="690F349F" w14:textId="77777777" w:rsidR="00047B4C" w:rsidRPr="00041A8B" w:rsidRDefault="005F737A">
            <w:pPr>
              <w:jc w:val="both"/>
              <w:rPr>
                <w:rFonts w:ascii="Times New Roman" w:eastAsia="Times New Roman" w:hAnsi="Times New Roman" w:cs="Times New Roman"/>
                <w:color w:val="222222"/>
                <w:highlight w:val="white"/>
              </w:rPr>
            </w:pPr>
            <w:r w:rsidRPr="00041A8B">
              <w:rPr>
                <w:rFonts w:ascii="Times New Roman" w:eastAsia="Times New Roman" w:hAnsi="Times New Roman" w:cs="Times New Roman"/>
                <w:color w:val="222222"/>
                <w:highlight w:val="white"/>
              </w:rPr>
              <w:t xml:space="preserve">This alternative report is based on a previous global report on pre-trial detention times of 119 CRC State parties. Such report was conducted by reviewing the respective current statutes or court rules in force at the time that the data was collected. When the actual statute or court rule could not be directly examined, when unavailable, secondary sources such as UN reports, Concluding Observations from the CRC Committee, or other </w:t>
            </w:r>
            <w:proofErr w:type="spellStart"/>
            <w:r w:rsidRPr="00041A8B">
              <w:rPr>
                <w:rFonts w:ascii="Times New Roman" w:eastAsia="Times New Roman" w:hAnsi="Times New Roman" w:cs="Times New Roman"/>
                <w:color w:val="222222"/>
                <w:highlight w:val="white"/>
              </w:rPr>
              <w:t>IGO</w:t>
            </w:r>
            <w:proofErr w:type="spellEnd"/>
            <w:r w:rsidRPr="00041A8B">
              <w:rPr>
                <w:rFonts w:ascii="Times New Roman" w:eastAsia="Times New Roman" w:hAnsi="Times New Roman" w:cs="Times New Roman"/>
                <w:color w:val="222222"/>
                <w:highlight w:val="white"/>
              </w:rPr>
              <w:t xml:space="preserve"> or NGO reports, were used to determine the content of the statute.</w:t>
            </w:r>
          </w:p>
          <w:p w14:paraId="0762A649" w14:textId="77777777" w:rsidR="00047B4C" w:rsidRPr="00041A8B" w:rsidRDefault="00047B4C">
            <w:pPr>
              <w:jc w:val="both"/>
              <w:rPr>
                <w:rFonts w:ascii="Times New Roman" w:eastAsia="Times New Roman" w:hAnsi="Times New Roman" w:cs="Times New Roman"/>
                <w:color w:val="222222"/>
                <w:highlight w:val="white"/>
              </w:rPr>
            </w:pPr>
          </w:p>
          <w:p w14:paraId="6E91EEEC" w14:textId="77777777" w:rsidR="00047B4C" w:rsidRPr="00041A8B" w:rsidRDefault="005F737A">
            <w:pPr>
              <w:jc w:val="both"/>
              <w:rPr>
                <w:rFonts w:ascii="Times New Roman" w:eastAsia="Times New Roman" w:hAnsi="Times New Roman" w:cs="Times New Roman"/>
                <w:color w:val="222222"/>
                <w:highlight w:val="white"/>
              </w:rPr>
            </w:pPr>
            <w:r w:rsidRPr="00041A8B">
              <w:rPr>
                <w:rFonts w:ascii="Times New Roman" w:eastAsia="Times New Roman" w:hAnsi="Times New Roman" w:cs="Times New Roman"/>
                <w:color w:val="222222"/>
                <w:highlight w:val="white"/>
              </w:rPr>
              <w:t xml:space="preserve">In defining the statutory time period of pretrial detention, when possible, the report applied the statutory maximum for pretrial detention based on the time allowed in detention from arrest until a sentence was established. However, varying jurisdictions defined pretrial detention differently or set limits based on alternative procedural milestones. Where the statute did not provide a length of days or it was unclear, the number of days was based on the national law’s definition of pretrial detention. </w:t>
            </w:r>
          </w:p>
          <w:p w14:paraId="6F87BA9C" w14:textId="77777777" w:rsidR="00047B4C" w:rsidRPr="00041A8B" w:rsidRDefault="00047B4C">
            <w:pPr>
              <w:jc w:val="both"/>
              <w:rPr>
                <w:rFonts w:ascii="Times New Roman" w:eastAsia="Times New Roman" w:hAnsi="Times New Roman" w:cs="Times New Roman"/>
                <w:color w:val="222222"/>
                <w:highlight w:val="white"/>
              </w:rPr>
            </w:pPr>
          </w:p>
          <w:p w14:paraId="450EDBA5" w14:textId="77777777"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color w:val="222222"/>
                <w:highlight w:val="white"/>
              </w:rPr>
              <w:t xml:space="preserve">The number of days were calculated at 30 days per month when the statue used a number of months rather than days for durations shorter than one year. Monthly durations beyond one year are added to a 365-day period. </w:t>
            </w:r>
            <w:r w:rsidRPr="00041A8B">
              <w:rPr>
                <w:rFonts w:ascii="Times New Roman" w:eastAsia="Times New Roman" w:hAnsi="Times New Roman" w:cs="Times New Roman"/>
              </w:rPr>
              <w:t>For example, 18 months was calculated as one year (365 days) plus six months (six 30-day periods, or180 days) to be 545 days. All time limits and averages were rounded to the closest whole day.</w:t>
            </w:r>
          </w:p>
          <w:p w14:paraId="660D3536" w14:textId="77777777" w:rsidR="00047B4C" w:rsidRPr="00041A8B" w:rsidRDefault="00047B4C">
            <w:pPr>
              <w:rPr>
                <w:rFonts w:ascii="Times New Roman" w:eastAsia="Times New Roman" w:hAnsi="Times New Roman" w:cs="Times New Roman"/>
              </w:rPr>
            </w:pPr>
          </w:p>
          <w:p w14:paraId="23BF4484" w14:textId="77777777" w:rsidR="00047B4C" w:rsidRPr="00041A8B" w:rsidRDefault="005F737A">
            <w:pPr>
              <w:jc w:val="both"/>
              <w:rPr>
                <w:rFonts w:ascii="Times New Roman" w:eastAsia="Times New Roman" w:hAnsi="Times New Roman" w:cs="Times New Roman"/>
              </w:rPr>
            </w:pPr>
            <w:r w:rsidRPr="00041A8B">
              <w:rPr>
                <w:rFonts w:ascii="Times New Roman" w:eastAsia="Times New Roman" w:hAnsi="Times New Roman" w:cs="Times New Roman"/>
              </w:rPr>
              <w:t xml:space="preserve">If a statute referenced another law or calculation, such as a portion of time based on the possible sentence, such calculation was made. However, when sufficient information could not be found to calculate the time, a maximum limit was not included. </w:t>
            </w:r>
          </w:p>
          <w:p w14:paraId="7BB44501" w14:textId="77777777" w:rsidR="00047B4C" w:rsidRPr="00041A8B" w:rsidRDefault="00047B4C">
            <w:pPr>
              <w:rPr>
                <w:rFonts w:ascii="Times New Roman" w:eastAsia="Times New Roman" w:hAnsi="Times New Roman" w:cs="Times New Roman"/>
              </w:rPr>
            </w:pPr>
          </w:p>
          <w:p w14:paraId="4DC83B63" w14:textId="77777777"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rPr>
              <w:t xml:space="preserve">If the pretrial detention time limit was defined based on multiple procedural steps, such as X days from arrest to arraignment and Y number of days from arraignment until sentencing, then the longest possible number of days allowed were added for each step to establish the pretrial detention time limit. Most countries do not include in their limits the time held before first hearing or initial charge </w:t>
            </w:r>
          </w:p>
          <w:p w14:paraId="159B20E8" w14:textId="77777777" w:rsidR="00047B4C" w:rsidRPr="00041A8B" w:rsidRDefault="00047B4C">
            <w:pPr>
              <w:rPr>
                <w:rFonts w:ascii="Times New Roman" w:eastAsia="Times New Roman" w:hAnsi="Times New Roman" w:cs="Times New Roman"/>
              </w:rPr>
            </w:pPr>
          </w:p>
          <w:p w14:paraId="7B4A12E2" w14:textId="77777777" w:rsidR="00047B4C" w:rsidRPr="00041A8B" w:rsidRDefault="005F737A">
            <w:pPr>
              <w:rPr>
                <w:rFonts w:ascii="Times New Roman" w:eastAsia="Times New Roman" w:hAnsi="Times New Roman" w:cs="Times New Roman"/>
                <w:color w:val="222222"/>
                <w:highlight w:val="white"/>
              </w:rPr>
            </w:pPr>
            <w:r w:rsidRPr="00041A8B">
              <w:rPr>
                <w:rFonts w:ascii="Times New Roman" w:eastAsia="Times New Roman" w:hAnsi="Times New Roman" w:cs="Times New Roman"/>
              </w:rPr>
              <w:t xml:space="preserve">Most jurisdictions did not indicate any time limit for children in pretrial detention pending appeals. For the sake of uniformity, only limits based on pretrial detention before the first adjudication were used. State practices are unclear when a case is appealed, and the child is in pretrial detention, such as if the clock is suspended or if the time limit still applies. </w:t>
            </w:r>
          </w:p>
          <w:p w14:paraId="63C3678D" w14:textId="77777777" w:rsidR="00047B4C" w:rsidRPr="00041A8B" w:rsidRDefault="00047B4C">
            <w:pPr>
              <w:jc w:val="both"/>
              <w:rPr>
                <w:rFonts w:ascii="Times New Roman" w:eastAsia="Times New Roman" w:hAnsi="Times New Roman" w:cs="Times New Roman"/>
                <w:color w:val="222222"/>
                <w:highlight w:val="white"/>
              </w:rPr>
            </w:pPr>
          </w:p>
        </w:tc>
      </w:tr>
    </w:tbl>
    <w:p w14:paraId="01F79F03" w14:textId="139BDC9B" w:rsidR="009E0389" w:rsidRPr="00041A8B" w:rsidRDefault="009E0389">
      <w:pPr>
        <w:rPr>
          <w:rFonts w:ascii="Times New Roman" w:hAnsi="Times New Roman" w:cs="Times New Roman"/>
        </w:rPr>
      </w:pPr>
    </w:p>
    <w:p w14:paraId="51A3FBF6" w14:textId="77777777" w:rsidR="009E0389" w:rsidRPr="00041A8B" w:rsidRDefault="009E0389" w:rsidP="009E0389">
      <w:pPr>
        <w:jc w:val="center"/>
        <w:rPr>
          <w:rFonts w:ascii="Times New Roman" w:hAnsi="Times New Roman" w:cs="Times New Roman"/>
          <w:b/>
          <w:bCs/>
        </w:rPr>
      </w:pPr>
    </w:p>
    <w:p w14:paraId="4D0CA909" w14:textId="77777777" w:rsidR="009E0389" w:rsidRPr="00041A8B" w:rsidRDefault="009E0389" w:rsidP="009E0389">
      <w:pPr>
        <w:jc w:val="center"/>
        <w:rPr>
          <w:rFonts w:ascii="Times New Roman" w:hAnsi="Times New Roman" w:cs="Times New Roman"/>
          <w:b/>
          <w:bCs/>
        </w:rPr>
      </w:pPr>
    </w:p>
    <w:p w14:paraId="7C023F00" w14:textId="5E50F619" w:rsidR="009E0389" w:rsidRDefault="009E0389" w:rsidP="009E0389">
      <w:pPr>
        <w:jc w:val="center"/>
        <w:rPr>
          <w:rFonts w:ascii="Times New Roman" w:hAnsi="Times New Roman" w:cs="Times New Roman"/>
          <w:b/>
          <w:bCs/>
        </w:rPr>
      </w:pPr>
    </w:p>
    <w:p w14:paraId="62FE0A07" w14:textId="46D38C6E" w:rsidR="00041A8B" w:rsidRDefault="00041A8B" w:rsidP="009E0389">
      <w:pPr>
        <w:jc w:val="center"/>
        <w:rPr>
          <w:rFonts w:ascii="Times New Roman" w:hAnsi="Times New Roman" w:cs="Times New Roman"/>
          <w:b/>
          <w:bCs/>
        </w:rPr>
      </w:pPr>
    </w:p>
    <w:p w14:paraId="3CBF224A" w14:textId="77777777" w:rsidR="00041A8B" w:rsidRPr="00041A8B" w:rsidRDefault="00041A8B" w:rsidP="009E0389">
      <w:pPr>
        <w:jc w:val="center"/>
        <w:rPr>
          <w:rFonts w:ascii="Times New Roman" w:hAnsi="Times New Roman" w:cs="Times New Roman"/>
          <w:b/>
          <w:bCs/>
        </w:rPr>
      </w:pPr>
    </w:p>
    <w:p w14:paraId="6447D14F" w14:textId="77777777" w:rsidR="009E0389" w:rsidRPr="00041A8B" w:rsidRDefault="009E0389" w:rsidP="009E0389">
      <w:pPr>
        <w:jc w:val="center"/>
        <w:rPr>
          <w:rFonts w:ascii="Times New Roman" w:hAnsi="Times New Roman" w:cs="Times New Roman"/>
          <w:b/>
          <w:bCs/>
        </w:rPr>
      </w:pPr>
    </w:p>
    <w:p w14:paraId="4F483907" w14:textId="77777777" w:rsidR="009E0389" w:rsidRPr="00041A8B" w:rsidRDefault="009E0389" w:rsidP="009E0389">
      <w:pPr>
        <w:jc w:val="center"/>
        <w:rPr>
          <w:rFonts w:ascii="Times New Roman" w:hAnsi="Times New Roman" w:cs="Times New Roman"/>
          <w:b/>
          <w:bCs/>
        </w:rPr>
      </w:pPr>
    </w:p>
    <w:p w14:paraId="5D6AE7B9" w14:textId="4B9400C2" w:rsidR="009E0389" w:rsidRPr="00041A8B" w:rsidRDefault="00FA532B" w:rsidP="009E0389">
      <w:pPr>
        <w:jc w:val="center"/>
        <w:rPr>
          <w:rFonts w:ascii="Times New Roman" w:hAnsi="Times New Roman" w:cs="Times New Roman"/>
          <w:b/>
          <w:bCs/>
        </w:rPr>
      </w:pPr>
      <w:r>
        <w:rPr>
          <w:rFonts w:ascii="Times New Roman" w:hAnsi="Times New Roman" w:cs="Times New Roman"/>
          <w:b/>
          <w:bCs/>
        </w:rPr>
        <w:lastRenderedPageBreak/>
        <w:t>Afghanistan</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1"/>
        <w:gridCol w:w="6715"/>
      </w:tblGrid>
      <w:tr w:rsidR="00047B4C" w:rsidRPr="00041A8B" w14:paraId="260C934B" w14:textId="77777777">
        <w:tc>
          <w:tcPr>
            <w:tcW w:w="8856" w:type="dxa"/>
            <w:gridSpan w:val="2"/>
          </w:tcPr>
          <w:p w14:paraId="52E493F2" w14:textId="029630AD" w:rsidR="00047B4C" w:rsidRPr="00692BC1" w:rsidRDefault="00FA532B">
            <w:pPr>
              <w:rPr>
                <w:rFonts w:ascii="Times New Roman" w:hAnsi="Times New Roman" w:cs="Times New Roman"/>
              </w:rPr>
            </w:pPr>
            <w:r>
              <w:rPr>
                <w:rFonts w:ascii="Times New Roman" w:eastAsia="Times New Roman" w:hAnsi="Times New Roman" w:cs="Times New Roman"/>
              </w:rPr>
              <w:t>Afghanistan</w:t>
            </w:r>
            <w:r w:rsidR="005F737A" w:rsidRPr="00041A8B">
              <w:rPr>
                <w:rFonts w:ascii="Times New Roman" w:eastAsia="Times New Roman" w:hAnsi="Times New Roman" w:cs="Times New Roman"/>
              </w:rPr>
              <w:t xml:space="preserve"> has a </w:t>
            </w:r>
            <w:r w:rsidR="00041A8B">
              <w:rPr>
                <w:rFonts w:ascii="Times New Roman" w:eastAsia="Times New Roman" w:hAnsi="Times New Roman" w:cs="Times New Roman"/>
              </w:rPr>
              <w:t>blanket</w:t>
            </w:r>
            <w:r w:rsidR="009E0389" w:rsidRPr="00041A8B">
              <w:rPr>
                <w:rFonts w:ascii="Times New Roman" w:eastAsia="Times New Roman" w:hAnsi="Times New Roman" w:cs="Times New Roman"/>
              </w:rPr>
              <w:t xml:space="preserve"> pretrial detention limit of </w:t>
            </w:r>
            <w:r w:rsidR="00692BC1">
              <w:rPr>
                <w:rFonts w:ascii="Times New Roman" w:eastAsia="Times New Roman" w:hAnsi="Times New Roman" w:cs="Times New Roman"/>
              </w:rPr>
              <w:t>7</w:t>
            </w:r>
            <w:r w:rsidR="009E0389" w:rsidRPr="00041A8B">
              <w:rPr>
                <w:rFonts w:ascii="Times New Roman" w:eastAsia="Times New Roman" w:hAnsi="Times New Roman" w:cs="Times New Roman"/>
              </w:rPr>
              <w:t xml:space="preserve"> days </w:t>
            </w:r>
            <w:r w:rsidR="00692BC1">
              <w:rPr>
                <w:rFonts w:ascii="Times New Roman" w:eastAsia="Times New Roman" w:hAnsi="Times New Roman" w:cs="Times New Roman"/>
              </w:rPr>
              <w:t>for misdemeanors and 15 days for felonies.</w:t>
            </w:r>
            <w:r w:rsidR="00C7423B">
              <w:rPr>
                <w:rStyle w:val="FootnoteReference"/>
                <w:rFonts w:ascii="Times New Roman" w:eastAsia="Times New Roman" w:hAnsi="Times New Roman" w:cs="Times New Roman"/>
              </w:rPr>
              <w:footnoteReference w:id="10"/>
            </w:r>
            <w:r w:rsidR="00692BC1">
              <w:rPr>
                <w:rFonts w:ascii="Times New Roman" w:eastAsia="Times New Roman" w:hAnsi="Times New Roman" w:cs="Times New Roman"/>
              </w:rPr>
              <w:t xml:space="preserve"> The statute allows for </w:t>
            </w:r>
            <w:r w:rsidR="00C7423B">
              <w:rPr>
                <w:rFonts w:ascii="Times New Roman" w:eastAsia="Times New Roman" w:hAnsi="Times New Roman" w:cs="Times New Roman"/>
              </w:rPr>
              <w:t>procedurally-based extensions</w:t>
            </w:r>
            <w:r w:rsidR="00692BC1">
              <w:rPr>
                <w:rFonts w:ascii="Times New Roman" w:eastAsia="Times New Roman" w:hAnsi="Times New Roman" w:cs="Times New Roman"/>
              </w:rPr>
              <w:t xml:space="preserve"> </w:t>
            </w:r>
            <w:r w:rsidR="009E0389" w:rsidRPr="00041A8B">
              <w:rPr>
                <w:rFonts w:ascii="Times New Roman" w:eastAsia="Times New Roman" w:hAnsi="Times New Roman" w:cs="Times New Roman"/>
              </w:rPr>
              <w:t>that may amount to</w:t>
            </w:r>
            <w:r w:rsidR="00C7423B">
              <w:rPr>
                <w:rFonts w:ascii="Times New Roman" w:eastAsia="Times New Roman" w:hAnsi="Times New Roman" w:cs="Times New Roman"/>
              </w:rPr>
              <w:t xml:space="preserve"> a total of</w:t>
            </w:r>
            <w:r w:rsidR="009E0389" w:rsidRPr="00041A8B">
              <w:rPr>
                <w:rFonts w:ascii="Times New Roman" w:eastAsia="Times New Roman" w:hAnsi="Times New Roman" w:cs="Times New Roman"/>
              </w:rPr>
              <w:t xml:space="preserve"> </w:t>
            </w:r>
            <w:r w:rsidR="00692BC1">
              <w:rPr>
                <w:rFonts w:ascii="Times New Roman" w:eastAsia="Times New Roman" w:hAnsi="Times New Roman" w:cs="Times New Roman"/>
              </w:rPr>
              <w:t>20</w:t>
            </w:r>
            <w:r w:rsidR="009E0389" w:rsidRPr="00041A8B">
              <w:rPr>
                <w:rFonts w:ascii="Times New Roman" w:eastAsia="Times New Roman" w:hAnsi="Times New Roman" w:cs="Times New Roman"/>
              </w:rPr>
              <w:t xml:space="preserve"> days</w:t>
            </w:r>
            <w:r w:rsidR="00692BC1">
              <w:rPr>
                <w:rFonts w:ascii="Times New Roman" w:eastAsia="Times New Roman" w:hAnsi="Times New Roman" w:cs="Times New Roman"/>
              </w:rPr>
              <w:t xml:space="preserve"> </w:t>
            </w:r>
            <w:r w:rsidR="00C7423B">
              <w:rPr>
                <w:rFonts w:ascii="Times New Roman" w:eastAsia="Times New Roman" w:hAnsi="Times New Roman" w:cs="Times New Roman"/>
              </w:rPr>
              <w:t xml:space="preserve">of pretrial detention for misdemeanors </w:t>
            </w:r>
            <w:r w:rsidR="00692BC1">
              <w:rPr>
                <w:rFonts w:ascii="Times New Roman" w:eastAsia="Times New Roman" w:hAnsi="Times New Roman" w:cs="Times New Roman"/>
              </w:rPr>
              <w:t>and 60 days</w:t>
            </w:r>
            <w:r w:rsidR="009E0389" w:rsidRPr="00041A8B">
              <w:rPr>
                <w:rFonts w:ascii="Times New Roman" w:eastAsia="Times New Roman" w:hAnsi="Times New Roman" w:cs="Times New Roman"/>
              </w:rPr>
              <w:t xml:space="preserve"> </w:t>
            </w:r>
            <w:r w:rsidR="00C7423B">
              <w:rPr>
                <w:rFonts w:ascii="Times New Roman" w:eastAsia="Times New Roman" w:hAnsi="Times New Roman" w:cs="Times New Roman"/>
              </w:rPr>
              <w:t>for felonies</w:t>
            </w:r>
            <w:r w:rsidR="005F737A" w:rsidRPr="00041A8B">
              <w:rPr>
                <w:rFonts w:ascii="Times New Roman" w:eastAsia="Times New Roman" w:hAnsi="Times New Roman" w:cs="Times New Roman"/>
              </w:rPr>
              <w:t>.</w:t>
            </w:r>
            <w:r w:rsidR="005F737A" w:rsidRPr="00041A8B">
              <w:rPr>
                <w:rFonts w:ascii="Times New Roman" w:eastAsia="Times New Roman" w:hAnsi="Times New Roman" w:cs="Times New Roman"/>
                <w:vertAlign w:val="superscript"/>
              </w:rPr>
              <w:footnoteReference w:id="11"/>
            </w:r>
            <w:r w:rsidR="005F737A" w:rsidRPr="00041A8B">
              <w:rPr>
                <w:rFonts w:ascii="Times New Roman" w:eastAsia="Times New Roman" w:hAnsi="Times New Roman" w:cs="Times New Roman"/>
              </w:rPr>
              <w:t xml:space="preserve"> </w:t>
            </w:r>
          </w:p>
        </w:tc>
      </w:tr>
      <w:tr w:rsidR="00047B4C" w:rsidRPr="00041A8B" w14:paraId="530A62B5" w14:textId="77777777">
        <w:tc>
          <w:tcPr>
            <w:tcW w:w="2141" w:type="dxa"/>
          </w:tcPr>
          <w:p w14:paraId="4B7B58B2" w14:textId="77777777"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rPr>
              <w:t>Statute Citation</w:t>
            </w:r>
          </w:p>
        </w:tc>
        <w:tc>
          <w:tcPr>
            <w:tcW w:w="6715" w:type="dxa"/>
          </w:tcPr>
          <w:p w14:paraId="4B4CA018" w14:textId="352C7808" w:rsidR="00C7423B" w:rsidRDefault="00C7423B" w:rsidP="00C7423B">
            <w:pPr>
              <w:jc w:val="both"/>
              <w:rPr>
                <w:rFonts w:ascii="Times New Roman" w:hAnsi="Times New Roman" w:cs="Times New Roman"/>
                <w:b/>
                <w:bCs/>
              </w:rPr>
            </w:pPr>
            <w:r w:rsidRPr="00C7423B">
              <w:rPr>
                <w:rFonts w:ascii="Times New Roman" w:hAnsi="Times New Roman" w:cs="Times New Roman"/>
                <w:b/>
                <w:bCs/>
              </w:rPr>
              <w:t>Criminal Procedure Code</w:t>
            </w:r>
          </w:p>
          <w:p w14:paraId="06058966" w14:textId="77777777" w:rsidR="00C7423B" w:rsidRDefault="00C7423B" w:rsidP="00C7423B">
            <w:pPr>
              <w:jc w:val="both"/>
              <w:rPr>
                <w:rFonts w:ascii="Times New Roman" w:hAnsi="Times New Roman" w:cs="Times New Roman"/>
                <w:b/>
                <w:bCs/>
              </w:rPr>
            </w:pPr>
          </w:p>
          <w:p w14:paraId="23A3D388" w14:textId="0FD72254" w:rsidR="00C7423B" w:rsidRPr="00C7423B" w:rsidRDefault="00C7423B" w:rsidP="00C7423B">
            <w:pPr>
              <w:jc w:val="both"/>
              <w:rPr>
                <w:rFonts w:ascii="Times New Roman" w:hAnsi="Times New Roman" w:cs="Times New Roman"/>
                <w:b/>
                <w:bCs/>
              </w:rPr>
            </w:pPr>
            <w:r w:rsidRPr="00C7423B">
              <w:rPr>
                <w:rFonts w:ascii="Times New Roman" w:hAnsi="Times New Roman" w:cs="Times New Roman"/>
                <w:b/>
                <w:bCs/>
              </w:rPr>
              <w:t>Detention Period during the Investigation</w:t>
            </w:r>
          </w:p>
          <w:p w14:paraId="4A5F0E1E" w14:textId="77777777" w:rsidR="00C7423B" w:rsidRDefault="00C7423B" w:rsidP="00C7423B">
            <w:pPr>
              <w:jc w:val="both"/>
              <w:rPr>
                <w:rFonts w:ascii="Times New Roman" w:hAnsi="Times New Roman" w:cs="Times New Roman"/>
              </w:rPr>
            </w:pPr>
            <w:r w:rsidRPr="00C7423B">
              <w:rPr>
                <w:rFonts w:ascii="Times New Roman" w:hAnsi="Times New Roman" w:cs="Times New Roman"/>
                <w:b/>
                <w:bCs/>
              </w:rPr>
              <w:t>Article 100:</w:t>
            </w:r>
            <w:r w:rsidRPr="00C7423B">
              <w:rPr>
                <w:rFonts w:ascii="Times New Roman" w:hAnsi="Times New Roman" w:cs="Times New Roman"/>
              </w:rPr>
              <w:t xml:space="preserve"> </w:t>
            </w:r>
          </w:p>
          <w:p w14:paraId="05D4AD7A" w14:textId="77777777" w:rsidR="00C7423B" w:rsidRDefault="00C7423B" w:rsidP="00C7423B">
            <w:pPr>
              <w:jc w:val="both"/>
              <w:rPr>
                <w:rFonts w:ascii="Times New Roman" w:hAnsi="Times New Roman" w:cs="Times New Roman"/>
              </w:rPr>
            </w:pPr>
            <w:r w:rsidRPr="00C7423B">
              <w:rPr>
                <w:rFonts w:ascii="Times New Roman" w:hAnsi="Times New Roman" w:cs="Times New Roman"/>
              </w:rPr>
              <w:t>(1) The prosecutor after taking custody of a suspect, if reasons set forth in paragraph (3) of article 99</w:t>
            </w:r>
            <w:r>
              <w:rPr>
                <w:rFonts w:ascii="Times New Roman" w:hAnsi="Times New Roman" w:cs="Times New Roman"/>
              </w:rPr>
              <w:t xml:space="preserve"> </w:t>
            </w:r>
            <w:r w:rsidRPr="00C7423B">
              <w:rPr>
                <w:rFonts w:ascii="Times New Roman" w:hAnsi="Times New Roman" w:cs="Times New Roman"/>
              </w:rPr>
              <w:t>of this law</w:t>
            </w:r>
            <w:r>
              <w:rPr>
                <w:rFonts w:ascii="Times New Roman" w:hAnsi="Times New Roman" w:cs="Times New Roman"/>
              </w:rPr>
              <w:t xml:space="preserve"> </w:t>
            </w:r>
            <w:r w:rsidRPr="00C7423B">
              <w:rPr>
                <w:rFonts w:ascii="Times New Roman" w:hAnsi="Times New Roman" w:cs="Times New Roman"/>
              </w:rPr>
              <w:t xml:space="preserve">exist, can issue a detention warrant for7days for misdemeanor crime and15days for felony crime taking the circumstances into considerations. </w:t>
            </w:r>
          </w:p>
          <w:p w14:paraId="38BCAF48" w14:textId="77777777" w:rsidR="00C7423B" w:rsidRDefault="00C7423B" w:rsidP="00C7423B">
            <w:pPr>
              <w:jc w:val="both"/>
              <w:rPr>
                <w:rFonts w:ascii="Times New Roman" w:hAnsi="Times New Roman" w:cs="Times New Roman"/>
              </w:rPr>
            </w:pPr>
            <w:r w:rsidRPr="00C7423B">
              <w:rPr>
                <w:rFonts w:ascii="Times New Roman" w:hAnsi="Times New Roman" w:cs="Times New Roman"/>
              </w:rPr>
              <w:t xml:space="preserve">(2) If the detained person or his/her defense attorney or legal aid provider objects to extension of the detention, or if the prosecutor requests an extension of detention in accordance with paragraph (3) of this article, the prosecutor shall bring the person in detention before the court 3 days prior to expiring of the detention period to issue a ruling on extension of the detention. The accused person, defense counsel or his/her legal aid provider shall have a right of presence and objection at such a hearing. </w:t>
            </w:r>
          </w:p>
          <w:p w14:paraId="609597D3" w14:textId="77777777" w:rsidR="00C7423B" w:rsidRDefault="00C7423B" w:rsidP="00C7423B">
            <w:pPr>
              <w:jc w:val="both"/>
              <w:rPr>
                <w:rFonts w:ascii="Times New Roman" w:hAnsi="Times New Roman" w:cs="Times New Roman"/>
              </w:rPr>
            </w:pPr>
            <w:r w:rsidRPr="00C7423B">
              <w:rPr>
                <w:rFonts w:ascii="Times New Roman" w:hAnsi="Times New Roman" w:cs="Times New Roman"/>
              </w:rPr>
              <w:t>(3) In case 7 days for misdemeanor crime and 15 days for felony crime do not suffice for completing the investigation and preparing</w:t>
            </w:r>
            <w:r>
              <w:rPr>
                <w:rFonts w:ascii="Times New Roman" w:hAnsi="Times New Roman" w:cs="Times New Roman"/>
              </w:rPr>
              <w:t xml:space="preserve"> </w:t>
            </w:r>
            <w:r w:rsidRPr="00C7423B">
              <w:rPr>
                <w:rFonts w:ascii="Times New Roman" w:hAnsi="Times New Roman" w:cs="Times New Roman"/>
              </w:rPr>
              <w:t>indictment, the prosecutor can request the relevant primary court, in accordance with the provisions of paragraph (2) of this article, for the following extensions of detention of the</w:t>
            </w:r>
            <w:r>
              <w:rPr>
                <w:rFonts w:ascii="Times New Roman" w:hAnsi="Times New Roman" w:cs="Times New Roman"/>
              </w:rPr>
              <w:t xml:space="preserve"> </w:t>
            </w:r>
            <w:r w:rsidRPr="00C7423B">
              <w:rPr>
                <w:rFonts w:ascii="Times New Roman" w:hAnsi="Times New Roman" w:cs="Times New Roman"/>
              </w:rPr>
              <w:t xml:space="preserve">accused person: 1– In misdemeanor crime, for up to10 days. 2– In felony crime for up to 30 days. </w:t>
            </w:r>
          </w:p>
          <w:p w14:paraId="02C69D4B" w14:textId="77777777" w:rsidR="00C7423B" w:rsidRDefault="00C7423B" w:rsidP="00C7423B">
            <w:pPr>
              <w:jc w:val="both"/>
              <w:rPr>
                <w:rFonts w:ascii="Times New Roman" w:hAnsi="Times New Roman" w:cs="Times New Roman"/>
              </w:rPr>
            </w:pPr>
            <w:r w:rsidRPr="00C7423B">
              <w:rPr>
                <w:rFonts w:ascii="Times New Roman" w:hAnsi="Times New Roman" w:cs="Times New Roman"/>
              </w:rPr>
              <w:t>(4) If the need to have the suspect or accused person in detention ends before completion of the period, the detention order will not prevent</w:t>
            </w:r>
            <w:r>
              <w:rPr>
                <w:rFonts w:ascii="Times New Roman" w:hAnsi="Times New Roman" w:cs="Times New Roman"/>
              </w:rPr>
              <w:t xml:space="preserve"> </w:t>
            </w:r>
            <w:r w:rsidRPr="00C7423B">
              <w:rPr>
                <w:rFonts w:ascii="Times New Roman" w:hAnsi="Times New Roman" w:cs="Times New Roman"/>
              </w:rPr>
              <w:t>the release of the accused person on</w:t>
            </w:r>
            <w:r>
              <w:rPr>
                <w:rFonts w:ascii="Times New Roman" w:hAnsi="Times New Roman" w:cs="Times New Roman"/>
              </w:rPr>
              <w:t xml:space="preserve"> </w:t>
            </w:r>
            <w:r w:rsidRPr="00C7423B">
              <w:rPr>
                <w:rFonts w:ascii="Times New Roman" w:hAnsi="Times New Roman" w:cs="Times New Roman"/>
              </w:rPr>
              <w:t xml:space="preserve">bail or without it. </w:t>
            </w:r>
          </w:p>
          <w:p w14:paraId="755A689A" w14:textId="77777777" w:rsidR="00C7423B" w:rsidRDefault="00C7423B" w:rsidP="00C7423B">
            <w:pPr>
              <w:jc w:val="both"/>
              <w:rPr>
                <w:rFonts w:ascii="Times New Roman" w:hAnsi="Times New Roman" w:cs="Times New Roman"/>
              </w:rPr>
            </w:pPr>
            <w:r w:rsidRPr="00C7423B">
              <w:rPr>
                <w:rFonts w:ascii="Times New Roman" w:hAnsi="Times New Roman" w:cs="Times New Roman"/>
              </w:rPr>
              <w:t>(5) If the prosecutor cannot complete the investigation within the period set forth in</w:t>
            </w:r>
            <w:r>
              <w:rPr>
                <w:rFonts w:ascii="Times New Roman" w:hAnsi="Times New Roman" w:cs="Times New Roman"/>
              </w:rPr>
              <w:t xml:space="preserve"> </w:t>
            </w:r>
            <w:r w:rsidRPr="00C7423B">
              <w:rPr>
                <w:rFonts w:ascii="Times New Roman" w:hAnsi="Times New Roman" w:cs="Times New Roman"/>
              </w:rPr>
              <w:t xml:space="preserve">paragraph (3) of this article and the need for extension of detention period according to the provisions of this law exists, the primary court upon request of prosecution office, after evaluating the reasons of prosecutor and statements of the accused person, shall extend the detention of the accused person for10 days for a misdemeanor and30 days for a felony crime. The accused person and his defense counsel or legal aid counsel shall have a right to be present and object at such a hearing. </w:t>
            </w:r>
          </w:p>
          <w:p w14:paraId="0AC125CD" w14:textId="0BF3982E" w:rsidR="00C7423B" w:rsidRPr="00C7423B" w:rsidRDefault="00C7423B" w:rsidP="00C7423B">
            <w:pPr>
              <w:jc w:val="both"/>
              <w:rPr>
                <w:rFonts w:ascii="Times New Roman" w:hAnsi="Times New Roman" w:cs="Times New Roman"/>
              </w:rPr>
            </w:pPr>
            <w:r w:rsidRPr="00C7423B">
              <w:rPr>
                <w:rFonts w:ascii="Times New Roman" w:hAnsi="Times New Roman" w:cs="Times New Roman"/>
              </w:rPr>
              <w:lastRenderedPageBreak/>
              <w:t>(6) Extension of detention of an accused person by a primary court shall in no case</w:t>
            </w:r>
            <w:r>
              <w:rPr>
                <w:rFonts w:ascii="Times New Roman" w:hAnsi="Times New Roman" w:cs="Times New Roman"/>
              </w:rPr>
              <w:t xml:space="preserve"> </w:t>
            </w:r>
            <w:r w:rsidRPr="00C7423B">
              <w:rPr>
                <w:rFonts w:ascii="Times New Roman" w:hAnsi="Times New Roman" w:cs="Times New Roman"/>
              </w:rPr>
              <w:t>exceed</w:t>
            </w:r>
            <w:r>
              <w:rPr>
                <w:rFonts w:ascii="Times New Roman" w:hAnsi="Times New Roman" w:cs="Times New Roman"/>
              </w:rPr>
              <w:t xml:space="preserve"> </w:t>
            </w:r>
            <w:r w:rsidRPr="00C7423B">
              <w:rPr>
                <w:rFonts w:ascii="Times New Roman" w:hAnsi="Times New Roman" w:cs="Times New Roman"/>
              </w:rPr>
              <w:t>20 days for a misdemeanor</w:t>
            </w:r>
            <w:r>
              <w:rPr>
                <w:rFonts w:ascii="Times New Roman" w:hAnsi="Times New Roman" w:cs="Times New Roman"/>
              </w:rPr>
              <w:t xml:space="preserve"> </w:t>
            </w:r>
            <w:r w:rsidRPr="00C7423B">
              <w:rPr>
                <w:rFonts w:ascii="Times New Roman" w:hAnsi="Times New Roman" w:cs="Times New Roman"/>
              </w:rPr>
              <w:t>and</w:t>
            </w:r>
            <w:r>
              <w:rPr>
                <w:rFonts w:ascii="Times New Roman" w:hAnsi="Times New Roman" w:cs="Times New Roman"/>
              </w:rPr>
              <w:t xml:space="preserve"> </w:t>
            </w:r>
            <w:r w:rsidRPr="00C7423B">
              <w:rPr>
                <w:rFonts w:ascii="Times New Roman" w:hAnsi="Times New Roman" w:cs="Times New Roman"/>
              </w:rPr>
              <w:t xml:space="preserve">60 days for a felony. </w:t>
            </w:r>
          </w:p>
          <w:p w14:paraId="56068432" w14:textId="7862A6F3" w:rsidR="00400CFE" w:rsidRPr="00C7423B" w:rsidRDefault="00400CFE" w:rsidP="00C7423B">
            <w:pPr>
              <w:ind w:left="719"/>
              <w:jc w:val="both"/>
              <w:rPr>
                <w:rFonts w:ascii="Times New Roman" w:eastAsia="Times New Roman" w:hAnsi="Times New Roman" w:cs="Times New Roman"/>
              </w:rPr>
            </w:pPr>
          </w:p>
        </w:tc>
      </w:tr>
      <w:tr w:rsidR="00047B4C" w:rsidRPr="00926D4F" w14:paraId="686C3E94" w14:textId="77777777">
        <w:tc>
          <w:tcPr>
            <w:tcW w:w="2141" w:type="dxa"/>
          </w:tcPr>
          <w:p w14:paraId="50798CD9" w14:textId="77777777" w:rsidR="00047B4C" w:rsidRPr="00041A8B" w:rsidRDefault="005F737A">
            <w:pPr>
              <w:rPr>
                <w:rFonts w:ascii="Times New Roman" w:eastAsia="Times New Roman" w:hAnsi="Times New Roman" w:cs="Times New Roman"/>
              </w:rPr>
            </w:pPr>
            <w:proofErr w:type="spellStart"/>
            <w:r w:rsidRPr="00041A8B">
              <w:rPr>
                <w:rFonts w:ascii="Times New Roman" w:eastAsia="Times New Roman" w:hAnsi="Times New Roman" w:cs="Times New Roman"/>
              </w:rPr>
              <w:lastRenderedPageBreak/>
              <w:t>JJIA</w:t>
            </w:r>
            <w:proofErr w:type="spellEnd"/>
            <w:r w:rsidRPr="00041A8B">
              <w:rPr>
                <w:rFonts w:ascii="Times New Roman" w:eastAsia="Times New Roman" w:hAnsi="Times New Roman" w:cs="Times New Roman"/>
              </w:rPr>
              <w:t xml:space="preserve"> Recommendations</w:t>
            </w:r>
          </w:p>
        </w:tc>
        <w:tc>
          <w:tcPr>
            <w:tcW w:w="6715" w:type="dxa"/>
          </w:tcPr>
          <w:p w14:paraId="718DDC98" w14:textId="2C48F629" w:rsidR="00926D4F" w:rsidRPr="00926D4F" w:rsidRDefault="00926D4F" w:rsidP="00926D4F">
            <w:pPr>
              <w:pStyle w:val="ListParagraph"/>
              <w:numPr>
                <w:ilvl w:val="0"/>
                <w:numId w:val="3"/>
              </w:numPr>
              <w:spacing w:after="0" w:line="240" w:lineRule="auto"/>
              <w:ind w:left="295" w:hanging="284"/>
              <w:rPr>
                <w:rFonts w:ascii="Times New Roman" w:eastAsia="Times New Roman" w:hAnsi="Times New Roman" w:cs="Times New Roman"/>
                <w:sz w:val="24"/>
                <w:szCs w:val="24"/>
                <w:lang w:val="en-US"/>
              </w:rPr>
            </w:pPr>
            <w:proofErr w:type="spellStart"/>
            <w:r w:rsidRPr="00926D4F">
              <w:rPr>
                <w:rFonts w:ascii="Times New Roman" w:eastAsia="Times New Roman" w:hAnsi="Times New Roman" w:cs="Times New Roman"/>
                <w:sz w:val="24"/>
                <w:szCs w:val="24"/>
                <w:lang w:val="en-US"/>
              </w:rPr>
              <w:t>JJIA</w:t>
            </w:r>
            <w:proofErr w:type="spellEnd"/>
            <w:r w:rsidRPr="00926D4F">
              <w:rPr>
                <w:rFonts w:ascii="Times New Roman" w:eastAsia="Times New Roman" w:hAnsi="Times New Roman" w:cs="Times New Roman"/>
                <w:sz w:val="24"/>
                <w:szCs w:val="24"/>
                <w:lang w:val="en-US"/>
              </w:rPr>
              <w:t xml:space="preserve"> recommends </w:t>
            </w:r>
            <w:r>
              <w:rPr>
                <w:rFonts w:ascii="Times New Roman" w:eastAsia="Times New Roman" w:hAnsi="Times New Roman" w:cs="Times New Roman"/>
                <w:sz w:val="24"/>
                <w:szCs w:val="24"/>
                <w:lang w:val="en-US"/>
              </w:rPr>
              <w:t>Afghanistan</w:t>
            </w:r>
            <w:r w:rsidRPr="00041A8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to </w:t>
            </w:r>
            <w:r w:rsidRPr="00926D4F">
              <w:rPr>
                <w:rFonts w:ascii="Times New Roman" w:eastAsia="Times New Roman" w:hAnsi="Times New Roman" w:cs="Times New Roman"/>
                <w:sz w:val="24"/>
                <w:szCs w:val="24"/>
                <w:lang w:val="en-US"/>
              </w:rPr>
              <w:t>invest</w:t>
            </w:r>
            <w:r>
              <w:rPr>
                <w:rFonts w:ascii="Times New Roman" w:eastAsia="Times New Roman" w:hAnsi="Times New Roman" w:cs="Times New Roman"/>
                <w:sz w:val="24"/>
                <w:szCs w:val="24"/>
                <w:lang w:val="en-US"/>
              </w:rPr>
              <w:t xml:space="preserve"> </w:t>
            </w:r>
            <w:r w:rsidRPr="00926D4F">
              <w:rPr>
                <w:rFonts w:ascii="Times New Roman" w:eastAsia="Times New Roman" w:hAnsi="Times New Roman" w:cs="Times New Roman"/>
                <w:sz w:val="24"/>
                <w:szCs w:val="24"/>
                <w:lang w:val="en-US"/>
              </w:rPr>
              <w:t>efforts in implementing non-custodial and rehabilitative measures for children accused of criminal offenses.</w:t>
            </w:r>
          </w:p>
          <w:p w14:paraId="014FAB53" w14:textId="12E8A029" w:rsidR="00047B4C" w:rsidRPr="00FA532B" w:rsidRDefault="0038790E" w:rsidP="00041A8B">
            <w:pPr>
              <w:pStyle w:val="ListParagraph"/>
              <w:numPr>
                <w:ilvl w:val="0"/>
                <w:numId w:val="3"/>
              </w:numPr>
              <w:spacing w:after="0" w:line="240" w:lineRule="auto"/>
              <w:ind w:left="295" w:hanging="284"/>
              <w:rPr>
                <w:rFonts w:ascii="Times New Roman" w:eastAsia="Times New Roman" w:hAnsi="Times New Roman" w:cs="Times New Roman"/>
                <w:sz w:val="24"/>
                <w:szCs w:val="24"/>
                <w:lang w:val="en-US"/>
              </w:rPr>
            </w:pPr>
            <w:proofErr w:type="spellStart"/>
            <w:r w:rsidRPr="00FA532B">
              <w:rPr>
                <w:rFonts w:ascii="Times New Roman" w:eastAsia="Times New Roman" w:hAnsi="Times New Roman" w:cs="Times New Roman"/>
                <w:sz w:val="24"/>
                <w:szCs w:val="24"/>
                <w:lang w:val="en-US"/>
              </w:rPr>
              <w:t>JJAI</w:t>
            </w:r>
            <w:proofErr w:type="spellEnd"/>
            <w:r w:rsidRPr="00FA532B">
              <w:rPr>
                <w:rFonts w:ascii="Times New Roman" w:eastAsia="Times New Roman" w:hAnsi="Times New Roman" w:cs="Times New Roman"/>
                <w:sz w:val="24"/>
                <w:szCs w:val="24"/>
                <w:lang w:val="en-US"/>
              </w:rPr>
              <w:t xml:space="preserve"> recommends that </w:t>
            </w:r>
            <w:r w:rsidR="00FA532B" w:rsidRPr="00FA532B">
              <w:rPr>
                <w:rFonts w:ascii="Times New Roman" w:eastAsia="Times New Roman" w:hAnsi="Times New Roman" w:cs="Times New Roman"/>
                <w:sz w:val="24"/>
                <w:szCs w:val="24"/>
                <w:lang w:val="en-US"/>
              </w:rPr>
              <w:t>Afghanistan</w:t>
            </w:r>
            <w:r w:rsidRPr="00FA532B">
              <w:rPr>
                <w:rFonts w:ascii="Times New Roman" w:eastAsia="Times New Roman" w:hAnsi="Times New Roman" w:cs="Times New Roman"/>
                <w:sz w:val="24"/>
                <w:szCs w:val="24"/>
                <w:lang w:val="en-US"/>
              </w:rPr>
              <w:t xml:space="preserve"> ensures </w:t>
            </w:r>
            <w:r w:rsidR="005F737A" w:rsidRPr="00FA532B">
              <w:rPr>
                <w:rFonts w:ascii="Times New Roman" w:eastAsia="Times New Roman" w:hAnsi="Times New Roman" w:cs="Times New Roman"/>
                <w:color w:val="000000"/>
                <w:sz w:val="24"/>
                <w:szCs w:val="24"/>
                <w:lang w:val="en-US"/>
              </w:rPr>
              <w:t>all fundamental legal safeguards to all children deprived of their liberty, including their rights to access an independent lawyer immediately after the arrest and to contact their families and relatives.</w:t>
            </w:r>
          </w:p>
        </w:tc>
      </w:tr>
      <w:tr w:rsidR="00047B4C" w:rsidRPr="00041A8B" w14:paraId="3AAA3202" w14:textId="77777777">
        <w:tc>
          <w:tcPr>
            <w:tcW w:w="2141" w:type="dxa"/>
          </w:tcPr>
          <w:p w14:paraId="1BA9B326" w14:textId="77777777" w:rsidR="00047B4C" w:rsidRPr="00503367" w:rsidRDefault="005F737A">
            <w:pPr>
              <w:rPr>
                <w:rFonts w:ascii="Times New Roman" w:eastAsia="Times New Roman" w:hAnsi="Times New Roman" w:cs="Times New Roman"/>
              </w:rPr>
            </w:pPr>
            <w:r w:rsidRPr="00503367">
              <w:rPr>
                <w:rFonts w:ascii="Times New Roman" w:eastAsia="Times New Roman" w:hAnsi="Times New Roman" w:cs="Times New Roman"/>
              </w:rPr>
              <w:t>Additional Information on the country</w:t>
            </w:r>
          </w:p>
        </w:tc>
        <w:tc>
          <w:tcPr>
            <w:tcW w:w="6715" w:type="dxa"/>
          </w:tcPr>
          <w:p w14:paraId="584A6FA7" w14:textId="616FFE23" w:rsidR="00ED1C5F" w:rsidRPr="00503367" w:rsidRDefault="00ED1C5F" w:rsidP="00503367">
            <w:pPr>
              <w:pStyle w:val="ListParagraph"/>
              <w:numPr>
                <w:ilvl w:val="0"/>
                <w:numId w:val="3"/>
              </w:numPr>
              <w:spacing w:after="0" w:line="240" w:lineRule="auto"/>
              <w:ind w:left="295" w:hanging="284"/>
              <w:rPr>
                <w:rFonts w:ascii="Times New Roman" w:eastAsia="Times New Roman" w:hAnsi="Times New Roman" w:cs="Times New Roman"/>
                <w:sz w:val="24"/>
                <w:szCs w:val="24"/>
                <w:lang w:val="en-US"/>
              </w:rPr>
            </w:pPr>
            <w:r w:rsidRPr="00503367">
              <w:rPr>
                <w:rFonts w:ascii="Times New Roman" w:eastAsia="Times New Roman" w:hAnsi="Times New Roman" w:cs="Times New Roman"/>
                <w:sz w:val="24"/>
                <w:szCs w:val="24"/>
                <w:lang w:val="en-US"/>
              </w:rPr>
              <w:t>I</w:t>
            </w:r>
            <w:r w:rsidR="00400CFE" w:rsidRPr="00503367">
              <w:rPr>
                <w:rFonts w:ascii="Times New Roman" w:eastAsia="Times New Roman" w:hAnsi="Times New Roman" w:cs="Times New Roman"/>
                <w:sz w:val="24"/>
                <w:szCs w:val="24"/>
                <w:lang w:val="en-US"/>
              </w:rPr>
              <w:t xml:space="preserve">n </w:t>
            </w:r>
            <w:r w:rsidR="00FA532B" w:rsidRPr="00503367">
              <w:rPr>
                <w:rFonts w:ascii="Times New Roman" w:eastAsia="Times New Roman" w:hAnsi="Times New Roman" w:cs="Times New Roman"/>
                <w:sz w:val="24"/>
                <w:szCs w:val="24"/>
                <w:lang w:val="en-US"/>
              </w:rPr>
              <w:t>Afghanistan</w:t>
            </w:r>
            <w:r w:rsidR="00400CFE" w:rsidRPr="00503367">
              <w:rPr>
                <w:rFonts w:ascii="Times New Roman" w:eastAsia="Times New Roman" w:hAnsi="Times New Roman" w:cs="Times New Roman"/>
                <w:sz w:val="24"/>
                <w:szCs w:val="24"/>
                <w:lang w:val="en-US"/>
              </w:rPr>
              <w:t>, children can</w:t>
            </w:r>
            <w:r w:rsidRPr="00503367">
              <w:rPr>
                <w:rFonts w:ascii="Times New Roman" w:eastAsia="Times New Roman" w:hAnsi="Times New Roman" w:cs="Times New Roman"/>
                <w:sz w:val="24"/>
                <w:szCs w:val="24"/>
                <w:lang w:val="en-US"/>
              </w:rPr>
              <w:t>not</w:t>
            </w:r>
            <w:r w:rsidR="00400CFE" w:rsidRPr="00503367">
              <w:rPr>
                <w:rFonts w:ascii="Times New Roman" w:eastAsia="Times New Roman" w:hAnsi="Times New Roman" w:cs="Times New Roman"/>
                <w:sz w:val="24"/>
                <w:szCs w:val="24"/>
                <w:lang w:val="en-US"/>
              </w:rPr>
              <w:t xml:space="preserve"> be prosecuted for acts committed before age 1</w:t>
            </w:r>
            <w:r w:rsidR="00503367" w:rsidRPr="00503367">
              <w:rPr>
                <w:rFonts w:ascii="Times New Roman" w:eastAsia="Times New Roman" w:hAnsi="Times New Roman" w:cs="Times New Roman"/>
                <w:sz w:val="24"/>
                <w:szCs w:val="24"/>
                <w:lang w:val="en-US"/>
              </w:rPr>
              <w:t>2</w:t>
            </w:r>
            <w:r w:rsidR="00400CFE" w:rsidRPr="00503367">
              <w:rPr>
                <w:rFonts w:ascii="Times New Roman" w:eastAsia="Times New Roman" w:hAnsi="Times New Roman" w:cs="Times New Roman"/>
                <w:sz w:val="24"/>
                <w:szCs w:val="24"/>
                <w:lang w:val="en-US"/>
              </w:rPr>
              <w:t>.</w:t>
            </w:r>
            <w:r w:rsidRPr="00503367">
              <w:rPr>
                <w:rStyle w:val="FootnoteReference"/>
                <w:rFonts w:ascii="Times New Roman" w:eastAsia="Times New Roman" w:hAnsi="Times New Roman" w:cs="Times New Roman"/>
                <w:sz w:val="24"/>
                <w:szCs w:val="24"/>
              </w:rPr>
              <w:footnoteReference w:id="12"/>
            </w:r>
          </w:p>
        </w:tc>
      </w:tr>
      <w:tr w:rsidR="00047B4C" w:rsidRPr="00041A8B" w14:paraId="5EB8B1A5" w14:textId="77777777">
        <w:tc>
          <w:tcPr>
            <w:tcW w:w="2141" w:type="dxa"/>
          </w:tcPr>
          <w:p w14:paraId="2E4D567C" w14:textId="77777777"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rPr>
              <w:t xml:space="preserve">Lines of Inquiry related to children </w:t>
            </w:r>
            <w:proofErr w:type="spellStart"/>
            <w:proofErr w:type="gramStart"/>
            <w:r w:rsidRPr="00041A8B">
              <w:rPr>
                <w:rFonts w:ascii="Times New Roman" w:eastAsia="Times New Roman" w:hAnsi="Times New Roman" w:cs="Times New Roman"/>
              </w:rPr>
              <w:t>pre trial</w:t>
            </w:r>
            <w:proofErr w:type="spellEnd"/>
            <w:proofErr w:type="gramEnd"/>
            <w:r w:rsidRPr="00041A8B">
              <w:rPr>
                <w:rFonts w:ascii="Times New Roman" w:eastAsia="Times New Roman" w:hAnsi="Times New Roman" w:cs="Times New Roman"/>
              </w:rPr>
              <w:t xml:space="preserve"> detention </w:t>
            </w:r>
          </w:p>
        </w:tc>
        <w:tc>
          <w:tcPr>
            <w:tcW w:w="6715" w:type="dxa"/>
          </w:tcPr>
          <w:p w14:paraId="16B248B0" w14:textId="77777777" w:rsidR="00041A8B" w:rsidRPr="00041A8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color w:val="000000"/>
                <w:sz w:val="24"/>
                <w:szCs w:val="24"/>
                <w:lang w:val="en-US"/>
              </w:rPr>
              <w:t>Data on the average time children actually spend in pretrial detention.</w:t>
            </w:r>
          </w:p>
          <w:p w14:paraId="3DED8916" w14:textId="69DB21F3" w:rsidR="00047B4C" w:rsidRPr="00041A8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color w:val="000000"/>
                <w:sz w:val="24"/>
                <w:szCs w:val="24"/>
                <w:lang w:val="en-US"/>
              </w:rPr>
              <w:t>Data on the number of children who spend longer than the maximum time in pretrial detention.</w:t>
            </w:r>
          </w:p>
          <w:p w14:paraId="5CB0D673" w14:textId="77777777" w:rsidR="00047B4C" w:rsidRPr="00FA532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sz w:val="24"/>
                <w:szCs w:val="24"/>
                <w:lang w:val="en-US"/>
              </w:rPr>
              <w:t>Data</w:t>
            </w:r>
            <w:r w:rsidRPr="00FA532B">
              <w:rPr>
                <w:rFonts w:ascii="Times New Roman" w:eastAsia="Times New Roman" w:hAnsi="Times New Roman" w:cs="Times New Roman"/>
                <w:color w:val="000000"/>
                <w:sz w:val="24"/>
                <w:szCs w:val="24"/>
                <w:lang w:val="en-US"/>
              </w:rPr>
              <w:t xml:space="preserve"> on duration of pretrial detention as it varies by race, gender, religion or other relevant characteristics.</w:t>
            </w:r>
          </w:p>
          <w:p w14:paraId="071FE23B" w14:textId="77777777" w:rsidR="00047B4C" w:rsidRPr="00FA532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sz w:val="24"/>
                <w:szCs w:val="24"/>
                <w:lang w:val="en-US"/>
              </w:rPr>
              <w:t>Data</w:t>
            </w:r>
            <w:r w:rsidRPr="00FA532B">
              <w:rPr>
                <w:rFonts w:ascii="Times New Roman" w:eastAsia="Times New Roman" w:hAnsi="Times New Roman" w:cs="Times New Roman"/>
                <w:color w:val="000000"/>
                <w:sz w:val="24"/>
                <w:szCs w:val="24"/>
                <w:lang w:val="en-US"/>
              </w:rPr>
              <w:t xml:space="preserve"> on efforts to reduce the length of pretrial detention and expedite cases.</w:t>
            </w:r>
          </w:p>
          <w:p w14:paraId="6D36ACD9" w14:textId="77777777" w:rsidR="00047B4C" w:rsidRPr="00FA532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sz w:val="24"/>
                <w:szCs w:val="24"/>
                <w:lang w:val="en-US"/>
              </w:rPr>
              <w:t>Information</w:t>
            </w:r>
            <w:r w:rsidRPr="00FA532B">
              <w:rPr>
                <w:rFonts w:ascii="Times New Roman" w:eastAsia="Times New Roman" w:hAnsi="Times New Roman" w:cs="Times New Roman"/>
                <w:color w:val="000000"/>
                <w:sz w:val="24"/>
                <w:szCs w:val="24"/>
                <w:lang w:val="en-US"/>
              </w:rPr>
              <w:t xml:space="preserve"> on how appeals and other challenges affect duration of pretrial detention.</w:t>
            </w:r>
          </w:p>
          <w:p w14:paraId="6592029B" w14:textId="77777777" w:rsidR="00047B4C" w:rsidRPr="00FA532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sz w:val="24"/>
                <w:szCs w:val="24"/>
                <w:lang w:val="en-US"/>
              </w:rPr>
              <w:t>Information</w:t>
            </w:r>
            <w:r w:rsidRPr="00FA532B">
              <w:rPr>
                <w:rFonts w:ascii="Times New Roman" w:eastAsia="Times New Roman" w:hAnsi="Times New Roman" w:cs="Times New Roman"/>
                <w:color w:val="000000"/>
                <w:sz w:val="24"/>
                <w:szCs w:val="24"/>
                <w:lang w:val="en-US"/>
              </w:rPr>
              <w:t xml:space="preserve"> on standards related to initial court appearance, determination of legality of initial detention, and judicial control over detention of children.</w:t>
            </w:r>
          </w:p>
          <w:p w14:paraId="2D7AE53A" w14:textId="77777777" w:rsidR="00047B4C" w:rsidRPr="00041A8B" w:rsidRDefault="005F737A" w:rsidP="00041A8B">
            <w:pPr>
              <w:pStyle w:val="ListParagraph"/>
              <w:numPr>
                <w:ilvl w:val="0"/>
                <w:numId w:val="3"/>
              </w:numPr>
              <w:pBdr>
                <w:top w:val="nil"/>
                <w:left w:val="nil"/>
                <w:bottom w:val="nil"/>
                <w:right w:val="nil"/>
                <w:between w:val="nil"/>
              </w:pBdr>
              <w:spacing w:after="0" w:line="240" w:lineRule="auto"/>
              <w:ind w:left="295" w:hanging="284"/>
              <w:rPr>
                <w:rFonts w:ascii="Times New Roman" w:eastAsia="Times New Roman" w:hAnsi="Times New Roman" w:cs="Times New Roman"/>
                <w:color w:val="000000"/>
                <w:sz w:val="24"/>
                <w:szCs w:val="24"/>
                <w:lang w:val="en-US"/>
              </w:rPr>
            </w:pPr>
            <w:r w:rsidRPr="00041A8B">
              <w:rPr>
                <w:rFonts w:ascii="Times New Roman" w:eastAsia="Times New Roman" w:hAnsi="Times New Roman" w:cs="Times New Roman"/>
                <w:sz w:val="24"/>
                <w:szCs w:val="24"/>
                <w:lang w:val="en-US"/>
              </w:rPr>
              <w:t>Data</w:t>
            </w:r>
            <w:r w:rsidRPr="00041A8B">
              <w:rPr>
                <w:rFonts w:ascii="Times New Roman" w:eastAsia="Times New Roman" w:hAnsi="Times New Roman" w:cs="Times New Roman"/>
                <w:color w:val="000000"/>
                <w:sz w:val="24"/>
                <w:szCs w:val="24"/>
                <w:lang w:val="en-US"/>
              </w:rPr>
              <w:t xml:space="preserve"> on oversight and children’s access to legal counsel within pretrial detention.</w:t>
            </w:r>
          </w:p>
        </w:tc>
      </w:tr>
      <w:tr w:rsidR="00047B4C" w:rsidRPr="00041A8B" w14:paraId="064D355F" w14:textId="77777777">
        <w:tc>
          <w:tcPr>
            <w:tcW w:w="2141" w:type="dxa"/>
          </w:tcPr>
          <w:p w14:paraId="6E83DD08" w14:textId="77777777" w:rsidR="00047B4C" w:rsidRPr="00041A8B" w:rsidRDefault="005F737A">
            <w:pPr>
              <w:rPr>
                <w:rFonts w:ascii="Times New Roman" w:eastAsia="Times New Roman" w:hAnsi="Times New Roman" w:cs="Times New Roman"/>
              </w:rPr>
            </w:pPr>
            <w:r w:rsidRPr="00041A8B">
              <w:rPr>
                <w:rFonts w:ascii="Times New Roman" w:eastAsia="Times New Roman" w:hAnsi="Times New Roman" w:cs="Times New Roman"/>
              </w:rPr>
              <w:t>Link to Global Study</w:t>
            </w:r>
          </w:p>
        </w:tc>
        <w:tc>
          <w:tcPr>
            <w:tcW w:w="6715" w:type="dxa"/>
          </w:tcPr>
          <w:p w14:paraId="53C370CB" w14:textId="77777777" w:rsidR="00047B4C" w:rsidRPr="00041A8B" w:rsidRDefault="001232DF">
            <w:pPr>
              <w:shd w:val="clear" w:color="auto" w:fill="FFFFFF"/>
              <w:rPr>
                <w:rFonts w:ascii="Times New Roman" w:eastAsia="Times New Roman" w:hAnsi="Times New Roman" w:cs="Times New Roman"/>
                <w:color w:val="222222"/>
              </w:rPr>
            </w:pPr>
            <w:hyperlink r:id="rId10" w:history="1">
              <w:r w:rsidR="0038790E" w:rsidRPr="00041A8B">
                <w:rPr>
                  <w:rStyle w:val="Hyperlink"/>
                  <w:rFonts w:ascii="Times New Roman" w:eastAsia="Times New Roman" w:hAnsi="Times New Roman" w:cs="Times New Roman"/>
                </w:rPr>
                <w:t>https://jjimexico.org/ptd-report/</w:t>
              </w:r>
            </w:hyperlink>
          </w:p>
          <w:p w14:paraId="0BCB0360" w14:textId="77777777" w:rsidR="00047B4C" w:rsidRPr="00041A8B" w:rsidRDefault="00047B4C">
            <w:pPr>
              <w:rPr>
                <w:rFonts w:ascii="Times New Roman" w:eastAsia="Times New Roman" w:hAnsi="Times New Roman" w:cs="Times New Roman"/>
              </w:rPr>
            </w:pPr>
          </w:p>
        </w:tc>
      </w:tr>
    </w:tbl>
    <w:p w14:paraId="5B053987" w14:textId="77777777" w:rsidR="00047B4C" w:rsidRPr="00041A8B" w:rsidRDefault="00047B4C">
      <w:pPr>
        <w:rPr>
          <w:rFonts w:ascii="Times New Roman" w:eastAsia="Times New Roman" w:hAnsi="Times New Roman" w:cs="Times New Roman"/>
        </w:rPr>
      </w:pPr>
    </w:p>
    <w:sectPr w:rsidR="00047B4C" w:rsidRPr="00041A8B">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EEC8" w14:textId="77777777" w:rsidR="001232DF" w:rsidRDefault="001232DF">
      <w:r>
        <w:separator/>
      </w:r>
    </w:p>
  </w:endnote>
  <w:endnote w:type="continuationSeparator" w:id="0">
    <w:p w14:paraId="4B458771" w14:textId="77777777" w:rsidR="001232DF" w:rsidRDefault="0012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19936" w14:textId="77777777" w:rsidR="001232DF" w:rsidRDefault="001232DF">
      <w:r>
        <w:separator/>
      </w:r>
    </w:p>
  </w:footnote>
  <w:footnote w:type="continuationSeparator" w:id="0">
    <w:p w14:paraId="2FF7FFD8" w14:textId="77777777" w:rsidR="001232DF" w:rsidRDefault="001232DF">
      <w:r>
        <w:continuationSeparator/>
      </w:r>
    </w:p>
  </w:footnote>
  <w:footnote w:id="1">
    <w:p w14:paraId="57DA10C2" w14:textId="77777777" w:rsidR="00047B4C" w:rsidRPr="00173F55" w:rsidRDefault="005F737A">
      <w:pPr>
        <w:rPr>
          <w:rFonts w:ascii="Times New Roman" w:eastAsia="Times New Roman" w:hAnsi="Times New Roman" w:cs="Times New Roman"/>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rPr>
        <w:t xml:space="preserve"> Patrick Webb &amp; William Allen </w:t>
      </w:r>
      <w:proofErr w:type="spellStart"/>
      <w:r w:rsidRPr="00173F55">
        <w:rPr>
          <w:rFonts w:ascii="Times New Roman" w:eastAsia="Times New Roman" w:hAnsi="Times New Roman" w:cs="Times New Roman"/>
          <w:sz w:val="20"/>
          <w:szCs w:val="20"/>
        </w:rPr>
        <w:t>Kritsonis</w:t>
      </w:r>
      <w:proofErr w:type="spellEnd"/>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i/>
          <w:sz w:val="20"/>
          <w:szCs w:val="20"/>
        </w:rPr>
        <w:t>Controlling those Kids: Social Control and the Use of Pretrial Detention among Youth in the United States of America: National Implications</w:t>
      </w:r>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smallCaps/>
          <w:sz w:val="20"/>
          <w:szCs w:val="20"/>
        </w:rPr>
        <w:t xml:space="preserve">ERIC </w:t>
      </w:r>
      <w:r w:rsidRPr="00173F55">
        <w:rPr>
          <w:rFonts w:ascii="Times New Roman" w:eastAsia="Times New Roman" w:hAnsi="Times New Roman" w:cs="Times New Roman"/>
          <w:sz w:val="20"/>
          <w:szCs w:val="20"/>
        </w:rPr>
        <w:t xml:space="preserve">(Oct. 2006), https://eric.ed.gov/?id=ED493565. </w:t>
      </w:r>
    </w:p>
  </w:footnote>
  <w:footnote w:id="2">
    <w:p w14:paraId="63C1C874" w14:textId="77777777" w:rsidR="00047B4C" w:rsidRPr="00173F55" w:rsidRDefault="005F737A">
      <w:pPr>
        <w:rPr>
          <w:rFonts w:ascii="Times New Roman" w:eastAsia="Times New Roman" w:hAnsi="Times New Roman" w:cs="Times New Roman"/>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rPr>
        <w:t xml:space="preserve"> G.A. Res. 44/25, Convention on the Rights of the Child, art. 37(b) (Nov. 20, 1989) [hereinafter CRC].</w:t>
      </w:r>
    </w:p>
  </w:footnote>
  <w:footnote w:id="3">
    <w:p w14:paraId="1C33EC26" w14:textId="77777777" w:rsidR="00047B4C" w:rsidRPr="00173F55" w:rsidRDefault="005F737A">
      <w:pPr>
        <w:pBdr>
          <w:top w:val="nil"/>
          <w:left w:val="nil"/>
          <w:bottom w:val="nil"/>
          <w:right w:val="nil"/>
          <w:between w:val="nil"/>
        </w:pBdr>
        <w:rPr>
          <w:rFonts w:ascii="Times New Roman" w:eastAsia="Times New Roman" w:hAnsi="Times New Roman" w:cs="Times New Roman"/>
          <w:color w:val="000000"/>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color w:val="000000"/>
          <w:sz w:val="20"/>
          <w:szCs w:val="20"/>
        </w:rPr>
        <w:t xml:space="preserve"> Comm. on the Rights of the Child, General Comment 10: Children's Rights in Juvenile Justice, § 80, U.N. Doc. CRC/C/GC/10 (Apr. 25, 2007) [hereinafter CRC General Comment 10].</w:t>
      </w:r>
    </w:p>
  </w:footnote>
  <w:footnote w:id="4">
    <w:p w14:paraId="0EF737C3" w14:textId="77777777" w:rsidR="00047B4C" w:rsidRPr="00173F55" w:rsidRDefault="005F737A">
      <w:pPr>
        <w:pBdr>
          <w:top w:val="nil"/>
          <w:left w:val="nil"/>
          <w:bottom w:val="nil"/>
          <w:right w:val="nil"/>
          <w:between w:val="nil"/>
        </w:pBdr>
        <w:jc w:val="both"/>
        <w:rPr>
          <w:rFonts w:ascii="Times New Roman" w:eastAsia="Times New Roman" w:hAnsi="Times New Roman" w:cs="Times New Roman"/>
          <w:color w:val="000000"/>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color w:val="000000"/>
          <w:sz w:val="20"/>
          <w:szCs w:val="20"/>
        </w:rPr>
        <w:t xml:space="preserve"> </w:t>
      </w:r>
      <w:r w:rsidRPr="00173F55">
        <w:rPr>
          <w:rFonts w:ascii="Times New Roman" w:eastAsia="Times New Roman" w:hAnsi="Times New Roman" w:cs="Times New Roman"/>
          <w:i/>
          <w:color w:val="000000"/>
          <w:sz w:val="20"/>
          <w:szCs w:val="20"/>
        </w:rPr>
        <w:t xml:space="preserve">Id. </w:t>
      </w:r>
      <w:r w:rsidRPr="00173F55">
        <w:rPr>
          <w:rFonts w:ascii="Times New Roman" w:eastAsia="Times New Roman" w:hAnsi="Times New Roman" w:cs="Times New Roman"/>
          <w:color w:val="000000"/>
          <w:sz w:val="20"/>
          <w:szCs w:val="20"/>
        </w:rPr>
        <w:t>¶ 83 (specifying that regular review is “preferably every two weeks”).</w:t>
      </w:r>
    </w:p>
  </w:footnote>
  <w:footnote w:id="5">
    <w:p w14:paraId="3D22F208" w14:textId="77777777" w:rsidR="00047B4C" w:rsidRPr="00173F55" w:rsidRDefault="005F737A">
      <w:pPr>
        <w:rPr>
          <w:rFonts w:ascii="Times New Roman" w:eastAsia="Times New Roman" w:hAnsi="Times New Roman" w:cs="Times New Roman"/>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rPr>
        <w:t xml:space="preserve"> Moritz </w:t>
      </w:r>
      <w:proofErr w:type="spellStart"/>
      <w:r w:rsidRPr="00173F55">
        <w:rPr>
          <w:rFonts w:ascii="Times New Roman" w:eastAsia="Times New Roman" w:hAnsi="Times New Roman" w:cs="Times New Roman"/>
          <w:sz w:val="20"/>
          <w:szCs w:val="20"/>
        </w:rPr>
        <w:t>Birk</w:t>
      </w:r>
      <w:proofErr w:type="spellEnd"/>
      <w:r w:rsidRPr="00173F55">
        <w:rPr>
          <w:rFonts w:ascii="Times New Roman" w:eastAsia="Times New Roman" w:hAnsi="Times New Roman" w:cs="Times New Roman"/>
          <w:sz w:val="20"/>
          <w:szCs w:val="20"/>
        </w:rPr>
        <w:t xml:space="preserve"> et. al., </w:t>
      </w:r>
      <w:r w:rsidRPr="00173F55">
        <w:rPr>
          <w:rFonts w:ascii="Times New Roman" w:eastAsia="Times New Roman" w:hAnsi="Times New Roman" w:cs="Times New Roman"/>
          <w:i/>
          <w:sz w:val="20"/>
          <w:szCs w:val="20"/>
        </w:rPr>
        <w:t>Pretrial Detention and Torture: Why Pretrial Detainees Face the Greatest Risk</w:t>
      </w:r>
      <w:r w:rsidRPr="00173F55">
        <w:rPr>
          <w:rFonts w:ascii="Times New Roman" w:eastAsia="Times New Roman" w:hAnsi="Times New Roman" w:cs="Times New Roman"/>
          <w:sz w:val="20"/>
          <w:szCs w:val="20"/>
        </w:rPr>
        <w:t xml:space="preserve">, 27, </w:t>
      </w:r>
      <w:r w:rsidRPr="00173F55">
        <w:rPr>
          <w:rFonts w:ascii="Times New Roman" w:eastAsia="Times New Roman" w:hAnsi="Times New Roman" w:cs="Times New Roman"/>
          <w:smallCaps/>
          <w:sz w:val="20"/>
          <w:szCs w:val="20"/>
        </w:rPr>
        <w:t>Open Soc’y Found</w:t>
      </w:r>
      <w:r w:rsidRPr="00173F55">
        <w:rPr>
          <w:rFonts w:ascii="Times New Roman" w:eastAsia="Times New Roman" w:hAnsi="Times New Roman" w:cs="Times New Roman"/>
          <w:sz w:val="20"/>
          <w:szCs w:val="20"/>
        </w:rPr>
        <w:t xml:space="preserve">. (2011)), </w:t>
      </w:r>
      <w:hyperlink r:id="rId1">
        <w:r w:rsidRPr="00173F55">
          <w:rPr>
            <w:rFonts w:ascii="Times New Roman" w:eastAsia="Times New Roman" w:hAnsi="Times New Roman" w:cs="Times New Roman"/>
            <w:color w:val="000000"/>
            <w:sz w:val="20"/>
            <w:szCs w:val="20"/>
            <w:u w:val="single"/>
          </w:rPr>
          <w:t>https://www.opensocietyfoundations.org/sites/default/files/pretrial-detention-and-torture-06222011.pdf</w:t>
        </w:r>
      </w:hyperlink>
      <w:r w:rsidRPr="00173F55">
        <w:rPr>
          <w:rFonts w:ascii="Times New Roman" w:eastAsia="Times New Roman" w:hAnsi="Times New Roman" w:cs="Times New Roman"/>
          <w:sz w:val="20"/>
          <w:szCs w:val="20"/>
        </w:rPr>
        <w:t xml:space="preserve">. </w:t>
      </w:r>
    </w:p>
  </w:footnote>
  <w:footnote w:id="6">
    <w:p w14:paraId="00ABED9C" w14:textId="77777777" w:rsidR="00047B4C" w:rsidRPr="00173F55" w:rsidRDefault="005F737A">
      <w:pPr>
        <w:rPr>
          <w:rFonts w:ascii="Times New Roman" w:eastAsia="Times New Roman" w:hAnsi="Times New Roman" w:cs="Times New Roman"/>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rPr>
        <w:t xml:space="preserve"> Barry Holman &amp; Jason </w:t>
      </w:r>
      <w:proofErr w:type="spellStart"/>
      <w:r w:rsidRPr="00173F55">
        <w:rPr>
          <w:rFonts w:ascii="Times New Roman" w:eastAsia="Times New Roman" w:hAnsi="Times New Roman" w:cs="Times New Roman"/>
          <w:sz w:val="20"/>
          <w:szCs w:val="20"/>
        </w:rPr>
        <w:t>Ziedenberg</w:t>
      </w:r>
      <w:proofErr w:type="spellEnd"/>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i/>
          <w:sz w:val="20"/>
          <w:szCs w:val="20"/>
        </w:rPr>
        <w:t>The Dangers of Detention: The Impact of Incarcerating Youth in Detention and Other Secure Facilities</w:t>
      </w:r>
      <w:r w:rsidRPr="00173F55">
        <w:rPr>
          <w:rFonts w:ascii="Times New Roman" w:eastAsia="Times New Roman" w:hAnsi="Times New Roman" w:cs="Times New Roman"/>
          <w:sz w:val="20"/>
          <w:szCs w:val="20"/>
        </w:rPr>
        <w:t xml:space="preserve">, 3–10, </w:t>
      </w:r>
      <w:r w:rsidRPr="00173F55">
        <w:rPr>
          <w:rFonts w:ascii="Times New Roman" w:eastAsia="Times New Roman" w:hAnsi="Times New Roman" w:cs="Times New Roman"/>
          <w:smallCaps/>
          <w:sz w:val="20"/>
          <w:szCs w:val="20"/>
        </w:rPr>
        <w:t xml:space="preserve">Just. </w:t>
      </w:r>
      <w:proofErr w:type="spellStart"/>
      <w:r w:rsidRPr="00173F55">
        <w:rPr>
          <w:rFonts w:ascii="Times New Roman" w:eastAsia="Times New Roman" w:hAnsi="Times New Roman" w:cs="Times New Roman"/>
          <w:smallCaps/>
          <w:sz w:val="20"/>
          <w:szCs w:val="20"/>
        </w:rPr>
        <w:t>Pol’y</w:t>
      </w:r>
      <w:proofErr w:type="spellEnd"/>
      <w:r w:rsidRPr="00173F55">
        <w:rPr>
          <w:rFonts w:ascii="Times New Roman" w:eastAsia="Times New Roman" w:hAnsi="Times New Roman" w:cs="Times New Roman"/>
          <w:smallCaps/>
          <w:sz w:val="20"/>
          <w:szCs w:val="20"/>
        </w:rPr>
        <w:t xml:space="preserve"> Inst.</w:t>
      </w:r>
      <w:r w:rsidRPr="00173F55">
        <w:rPr>
          <w:rFonts w:ascii="Times New Roman" w:eastAsia="Times New Roman" w:hAnsi="Times New Roman" w:cs="Times New Roman"/>
          <w:sz w:val="20"/>
          <w:szCs w:val="20"/>
        </w:rPr>
        <w:t xml:space="preserve"> (Nov. 28, 2006), </w:t>
      </w:r>
      <w:hyperlink r:id="rId2">
        <w:r w:rsidRPr="00173F55">
          <w:rPr>
            <w:rFonts w:ascii="Times New Roman" w:eastAsia="Times New Roman" w:hAnsi="Times New Roman" w:cs="Times New Roman"/>
            <w:color w:val="000000"/>
            <w:sz w:val="20"/>
            <w:szCs w:val="20"/>
            <w:u w:val="single"/>
          </w:rPr>
          <w:t>http://www.justicepolicy.org/images/upload/06-11_rep_dangersofdetention_jj.pdf</w:t>
        </w:r>
      </w:hyperlink>
      <w:r w:rsidRPr="00173F55">
        <w:rPr>
          <w:rFonts w:ascii="Times New Roman" w:eastAsia="Times New Roman" w:hAnsi="Times New Roman" w:cs="Times New Roman"/>
          <w:sz w:val="20"/>
          <w:szCs w:val="20"/>
        </w:rPr>
        <w:t xml:space="preserve">. </w:t>
      </w:r>
    </w:p>
  </w:footnote>
  <w:footnote w:id="7">
    <w:p w14:paraId="5EC71ED6" w14:textId="77777777" w:rsidR="00047B4C" w:rsidRPr="00173F55" w:rsidRDefault="005F737A">
      <w:pPr>
        <w:pBdr>
          <w:top w:val="nil"/>
          <w:left w:val="nil"/>
          <w:bottom w:val="nil"/>
          <w:right w:val="nil"/>
          <w:between w:val="nil"/>
        </w:pBdr>
        <w:jc w:val="both"/>
        <w:rPr>
          <w:rFonts w:ascii="Times New Roman" w:eastAsia="Times New Roman" w:hAnsi="Times New Roman" w:cs="Times New Roman"/>
          <w:color w:val="000000"/>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color w:val="000000"/>
          <w:sz w:val="20"/>
          <w:szCs w:val="20"/>
        </w:rPr>
        <w:t xml:space="preserve"> David E. Arredondo, </w:t>
      </w:r>
      <w:r w:rsidRPr="00173F55">
        <w:rPr>
          <w:rFonts w:ascii="Times New Roman" w:eastAsia="Times New Roman" w:hAnsi="Times New Roman" w:cs="Times New Roman"/>
          <w:i/>
          <w:color w:val="000000"/>
          <w:sz w:val="20"/>
          <w:szCs w:val="20"/>
        </w:rPr>
        <w:t>Child Development, Children's Mental Health and the Juvenile Justice System: Principles for Effective Decision-Making</w:t>
      </w:r>
      <w:r w:rsidRPr="00173F55">
        <w:rPr>
          <w:rFonts w:ascii="Times New Roman" w:eastAsia="Times New Roman" w:hAnsi="Times New Roman" w:cs="Times New Roman"/>
          <w:color w:val="000000"/>
          <w:sz w:val="20"/>
          <w:szCs w:val="20"/>
        </w:rPr>
        <w:t xml:space="preserve">, 14 </w:t>
      </w:r>
      <w:r w:rsidRPr="00173F55">
        <w:rPr>
          <w:rFonts w:ascii="Times New Roman" w:eastAsia="Times New Roman" w:hAnsi="Times New Roman" w:cs="Times New Roman"/>
          <w:smallCaps/>
          <w:color w:val="000000"/>
          <w:sz w:val="20"/>
          <w:szCs w:val="20"/>
        </w:rPr>
        <w:t xml:space="preserve">Stan. L. &amp; </w:t>
      </w:r>
      <w:proofErr w:type="spellStart"/>
      <w:r w:rsidRPr="00173F55">
        <w:rPr>
          <w:rFonts w:ascii="Times New Roman" w:eastAsia="Times New Roman" w:hAnsi="Times New Roman" w:cs="Times New Roman"/>
          <w:smallCaps/>
          <w:color w:val="000000"/>
          <w:sz w:val="20"/>
          <w:szCs w:val="20"/>
        </w:rPr>
        <w:t>Pol'y</w:t>
      </w:r>
      <w:proofErr w:type="spellEnd"/>
      <w:r w:rsidRPr="00173F55">
        <w:rPr>
          <w:rFonts w:ascii="Times New Roman" w:eastAsia="Times New Roman" w:hAnsi="Times New Roman" w:cs="Times New Roman"/>
          <w:smallCaps/>
          <w:color w:val="000000"/>
          <w:sz w:val="20"/>
          <w:szCs w:val="20"/>
        </w:rPr>
        <w:t xml:space="preserve"> Rev</w:t>
      </w:r>
      <w:r w:rsidRPr="00173F55">
        <w:rPr>
          <w:rFonts w:ascii="Times New Roman" w:eastAsia="Times New Roman" w:hAnsi="Times New Roman" w:cs="Times New Roman"/>
          <w:color w:val="000000"/>
          <w:sz w:val="20"/>
          <w:szCs w:val="20"/>
        </w:rPr>
        <w:t>. 13, 18–19 (2003).</w:t>
      </w:r>
    </w:p>
  </w:footnote>
  <w:footnote w:id="8">
    <w:p w14:paraId="17F6D52F" w14:textId="77777777" w:rsidR="00047B4C" w:rsidRPr="00173F55" w:rsidRDefault="005F737A">
      <w:pPr>
        <w:rPr>
          <w:rFonts w:ascii="Times New Roman" w:eastAsia="Times New Roman" w:hAnsi="Times New Roman" w:cs="Times New Roman"/>
          <w:i/>
          <w:sz w:val="20"/>
          <w:szCs w:val="20"/>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i/>
          <w:sz w:val="20"/>
          <w:szCs w:val="20"/>
        </w:rPr>
        <w:t>E.g</w:t>
      </w:r>
      <w:r w:rsidRPr="00173F55">
        <w:rPr>
          <w:rFonts w:ascii="Times New Roman" w:eastAsia="Times New Roman" w:hAnsi="Times New Roman" w:cs="Times New Roman"/>
          <w:sz w:val="20"/>
          <w:szCs w:val="20"/>
        </w:rPr>
        <w:t xml:space="preserve">. Marina </w:t>
      </w:r>
      <w:proofErr w:type="spellStart"/>
      <w:r w:rsidRPr="00173F55">
        <w:rPr>
          <w:rFonts w:ascii="Times New Roman" w:eastAsia="Times New Roman" w:hAnsi="Times New Roman" w:cs="Times New Roman"/>
          <w:sz w:val="20"/>
          <w:szCs w:val="20"/>
        </w:rPr>
        <w:t>Ilminska</w:t>
      </w:r>
      <w:proofErr w:type="spellEnd"/>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i/>
          <w:sz w:val="20"/>
          <w:szCs w:val="20"/>
        </w:rPr>
        <w:t>Pretrial Detention of Juveniles: As Common as It Is Wrong</w:t>
      </w:r>
      <w:r w:rsidRPr="00173F55">
        <w:rPr>
          <w:rFonts w:ascii="Times New Roman" w:eastAsia="Times New Roman" w:hAnsi="Times New Roman" w:cs="Times New Roman"/>
          <w:sz w:val="20"/>
          <w:szCs w:val="20"/>
        </w:rPr>
        <w:t xml:space="preserve">, </w:t>
      </w:r>
      <w:r w:rsidRPr="00173F55">
        <w:rPr>
          <w:rFonts w:ascii="Times New Roman" w:eastAsia="Times New Roman" w:hAnsi="Times New Roman" w:cs="Times New Roman"/>
          <w:smallCaps/>
          <w:sz w:val="20"/>
          <w:szCs w:val="20"/>
        </w:rPr>
        <w:t>Open Soc’y Found.: Voices</w:t>
      </w:r>
      <w:r w:rsidRPr="00173F55">
        <w:rPr>
          <w:rFonts w:ascii="Times New Roman" w:eastAsia="Times New Roman" w:hAnsi="Times New Roman" w:cs="Times New Roman"/>
          <w:sz w:val="20"/>
          <w:szCs w:val="20"/>
        </w:rPr>
        <w:t xml:space="preserve"> (Sept. 1, 2015), </w:t>
      </w:r>
      <w:hyperlink r:id="rId3">
        <w:r w:rsidRPr="00173F55">
          <w:rPr>
            <w:rFonts w:ascii="Times New Roman" w:eastAsia="Times New Roman" w:hAnsi="Times New Roman" w:cs="Times New Roman"/>
            <w:color w:val="000000"/>
            <w:sz w:val="20"/>
            <w:szCs w:val="20"/>
            <w:u w:val="single"/>
          </w:rPr>
          <w:t>https://www.opensocietyfoundations.org/voices/pretrial-detention-juveniles-common-it-wrong</w:t>
        </w:r>
      </w:hyperlink>
      <w:r w:rsidRPr="00173F55">
        <w:rPr>
          <w:rFonts w:ascii="Times New Roman" w:eastAsia="Times New Roman" w:hAnsi="Times New Roman" w:cs="Times New Roman"/>
          <w:sz w:val="20"/>
          <w:szCs w:val="20"/>
        </w:rPr>
        <w:t xml:space="preserve">. </w:t>
      </w:r>
    </w:p>
  </w:footnote>
  <w:footnote w:id="9">
    <w:p w14:paraId="735D180E" w14:textId="77777777" w:rsidR="00047B4C" w:rsidRPr="00173F55" w:rsidRDefault="005F737A">
      <w:pPr>
        <w:rPr>
          <w:rFonts w:ascii="Times New Roman" w:eastAsia="Times New Roman" w:hAnsi="Times New Roman" w:cs="Times New Roman"/>
          <w:sz w:val="20"/>
          <w:szCs w:val="20"/>
          <w:lang w:val="es-ES"/>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sz w:val="20"/>
          <w:szCs w:val="20"/>
          <w:lang w:val="es-ES"/>
        </w:rPr>
        <w:t xml:space="preserve"> </w:t>
      </w:r>
      <w:proofErr w:type="spellStart"/>
      <w:r w:rsidRPr="00173F55">
        <w:rPr>
          <w:rFonts w:ascii="Times New Roman" w:eastAsia="Times New Roman" w:hAnsi="Times New Roman" w:cs="Times New Roman"/>
          <w:i/>
          <w:sz w:val="20"/>
          <w:szCs w:val="20"/>
          <w:lang w:val="es-ES"/>
        </w:rPr>
        <w:t>E.g</w:t>
      </w:r>
      <w:proofErr w:type="spellEnd"/>
      <w:r w:rsidRPr="00173F55">
        <w:rPr>
          <w:rFonts w:ascii="Times New Roman" w:eastAsia="Times New Roman" w:hAnsi="Times New Roman" w:cs="Times New Roman"/>
          <w:i/>
          <w:sz w:val="20"/>
          <w:szCs w:val="20"/>
          <w:lang w:val="es-ES"/>
        </w:rPr>
        <w:t>.</w:t>
      </w:r>
      <w:r w:rsidRPr="00173F55">
        <w:rPr>
          <w:rFonts w:ascii="Times New Roman" w:eastAsia="Times New Roman" w:hAnsi="Times New Roman" w:cs="Times New Roman"/>
          <w:sz w:val="20"/>
          <w:szCs w:val="20"/>
          <w:lang w:val="es-ES"/>
        </w:rPr>
        <w:t xml:space="preserve">, </w:t>
      </w:r>
      <w:r w:rsidRPr="00173F55">
        <w:rPr>
          <w:rFonts w:ascii="Times New Roman" w:eastAsia="Times New Roman" w:hAnsi="Times New Roman" w:cs="Times New Roman"/>
          <w:i/>
          <w:sz w:val="20"/>
          <w:szCs w:val="20"/>
          <w:lang w:val="es-ES"/>
        </w:rPr>
        <w:t>Diagnóstico del Sistema de Justicia Para Adolescentes del Estado de Chihuahua: “Buenas Prácticas para las Alternativas a la Detención”</w:t>
      </w:r>
      <w:r w:rsidRPr="00173F55">
        <w:rPr>
          <w:rFonts w:ascii="Times New Roman" w:eastAsia="Times New Roman" w:hAnsi="Times New Roman" w:cs="Times New Roman"/>
          <w:sz w:val="20"/>
          <w:szCs w:val="20"/>
          <w:lang w:val="es-ES"/>
        </w:rPr>
        <w:t xml:space="preserve">, 8–10, </w:t>
      </w:r>
      <w:r w:rsidRPr="00173F55">
        <w:rPr>
          <w:rFonts w:ascii="Times New Roman" w:eastAsia="Times New Roman" w:hAnsi="Times New Roman" w:cs="Times New Roman"/>
          <w:smallCaps/>
          <w:sz w:val="20"/>
          <w:szCs w:val="20"/>
          <w:lang w:val="es-ES"/>
        </w:rPr>
        <w:t xml:space="preserve">Justicia Juvenil </w:t>
      </w:r>
      <w:proofErr w:type="spellStart"/>
      <w:r w:rsidRPr="00173F55">
        <w:rPr>
          <w:rFonts w:ascii="Times New Roman" w:eastAsia="Times New Roman" w:hAnsi="Times New Roman" w:cs="Times New Roman"/>
          <w:smallCaps/>
          <w:sz w:val="20"/>
          <w:szCs w:val="20"/>
          <w:lang w:val="es-ES"/>
        </w:rPr>
        <w:t>Int’l</w:t>
      </w:r>
      <w:proofErr w:type="spellEnd"/>
      <w:r w:rsidRPr="00173F55">
        <w:rPr>
          <w:rFonts w:ascii="Times New Roman" w:eastAsia="Times New Roman" w:hAnsi="Times New Roman" w:cs="Times New Roman"/>
          <w:sz w:val="20"/>
          <w:szCs w:val="20"/>
          <w:lang w:val="es-ES"/>
        </w:rPr>
        <w:t xml:space="preserve"> (Sept. 2017) https://jjimexico.org/projects/chihuahua</w:t>
      </w:r>
      <w:r w:rsidRPr="00173F55">
        <w:rPr>
          <w:rFonts w:ascii="Times New Roman" w:eastAsia="Times New Roman" w:hAnsi="Times New Roman" w:cs="Times New Roman"/>
          <w:color w:val="FF0000"/>
          <w:sz w:val="20"/>
          <w:szCs w:val="20"/>
          <w:lang w:val="es-ES"/>
        </w:rPr>
        <w:t xml:space="preserve"> </w:t>
      </w:r>
      <w:r w:rsidRPr="00173F55">
        <w:rPr>
          <w:rFonts w:ascii="Times New Roman" w:eastAsia="Times New Roman" w:hAnsi="Times New Roman" w:cs="Times New Roman"/>
          <w:sz w:val="20"/>
          <w:szCs w:val="20"/>
          <w:lang w:val="es-ES"/>
        </w:rPr>
        <w:t>[</w:t>
      </w:r>
      <w:proofErr w:type="spellStart"/>
      <w:r w:rsidRPr="00173F55">
        <w:rPr>
          <w:rFonts w:ascii="Times New Roman" w:eastAsia="Times New Roman" w:hAnsi="Times New Roman" w:cs="Times New Roman"/>
          <w:sz w:val="20"/>
          <w:szCs w:val="20"/>
          <w:lang w:val="es-ES"/>
        </w:rPr>
        <w:t>hereinafter</w:t>
      </w:r>
      <w:proofErr w:type="spellEnd"/>
      <w:r w:rsidRPr="00173F55">
        <w:rPr>
          <w:rFonts w:ascii="Times New Roman" w:eastAsia="Times New Roman" w:hAnsi="Times New Roman" w:cs="Times New Roman"/>
          <w:sz w:val="20"/>
          <w:szCs w:val="20"/>
          <w:lang w:val="es-ES"/>
        </w:rPr>
        <w:t xml:space="preserve"> </w:t>
      </w:r>
      <w:r w:rsidRPr="00173F55">
        <w:rPr>
          <w:rFonts w:ascii="Times New Roman" w:eastAsia="Times New Roman" w:hAnsi="Times New Roman" w:cs="Times New Roman"/>
          <w:i/>
          <w:sz w:val="20"/>
          <w:szCs w:val="20"/>
          <w:lang w:val="es-ES"/>
        </w:rPr>
        <w:t>Diagnóstico 2017</w:t>
      </w:r>
      <w:r w:rsidRPr="00173F55">
        <w:rPr>
          <w:rFonts w:ascii="Times New Roman" w:eastAsia="Times New Roman" w:hAnsi="Times New Roman" w:cs="Times New Roman"/>
          <w:sz w:val="20"/>
          <w:szCs w:val="20"/>
          <w:lang w:val="es-ES"/>
        </w:rPr>
        <w:t>].</w:t>
      </w:r>
    </w:p>
  </w:footnote>
  <w:footnote w:id="10">
    <w:p w14:paraId="56D61E2F" w14:textId="2A388708" w:rsidR="00C7423B" w:rsidRPr="00173F55" w:rsidRDefault="00C7423B">
      <w:pPr>
        <w:pStyle w:val="FootnoteText"/>
      </w:pPr>
      <w:r w:rsidRPr="00173F55">
        <w:rPr>
          <w:rStyle w:val="FootnoteReference"/>
        </w:rPr>
        <w:footnoteRef/>
      </w:r>
      <w:r w:rsidRPr="00173F55">
        <w:t xml:space="preserve"> </w:t>
      </w:r>
      <w:r w:rsidRPr="00173F55">
        <w:t xml:space="preserve">Criminal Procedure Code (Presidential Decree No. 137 of Feb. 23, 2014) Art. 100 (Afg.), translated in Justice Sector Support Program (Mar. 9, 2014), </w:t>
      </w:r>
      <w:hyperlink r:id="rId4" w:history="1">
        <w:r w:rsidRPr="00173F55">
          <w:rPr>
            <w:rStyle w:val="Hyperlink"/>
          </w:rPr>
          <w:t>https://www.unodc.org/res/cld/document/criminal-procedure-code_html/Criminal_Procedure_Code_-_Endorsed_by_President_EN_2014_03_14_with_TOC.pdf</w:t>
        </w:r>
      </w:hyperlink>
      <w:r w:rsidRPr="00173F55">
        <w:t xml:space="preserve"> </w:t>
      </w:r>
    </w:p>
  </w:footnote>
  <w:footnote w:id="11">
    <w:p w14:paraId="5570C2D3" w14:textId="1E27CFFC" w:rsidR="00047B4C" w:rsidRPr="00173F55" w:rsidRDefault="005F737A">
      <w:pPr>
        <w:pBdr>
          <w:top w:val="nil"/>
          <w:left w:val="nil"/>
          <w:bottom w:val="nil"/>
          <w:right w:val="nil"/>
          <w:between w:val="nil"/>
        </w:pBdr>
        <w:jc w:val="both"/>
        <w:rPr>
          <w:rFonts w:ascii="Times New Roman" w:eastAsia="Times New Roman" w:hAnsi="Times New Roman" w:cs="Times New Roman"/>
          <w:color w:val="000000"/>
          <w:sz w:val="20"/>
          <w:szCs w:val="20"/>
          <w:lang w:val="en-MX"/>
        </w:rPr>
      </w:pPr>
      <w:r w:rsidRPr="00173F55">
        <w:rPr>
          <w:rStyle w:val="FootnoteReference"/>
          <w:rFonts w:ascii="Times New Roman" w:hAnsi="Times New Roman" w:cs="Times New Roman"/>
          <w:sz w:val="20"/>
          <w:szCs w:val="20"/>
        </w:rPr>
        <w:footnoteRef/>
      </w:r>
      <w:r w:rsidRPr="00173F55">
        <w:rPr>
          <w:rFonts w:ascii="Times New Roman" w:eastAsia="Times New Roman" w:hAnsi="Times New Roman" w:cs="Times New Roman"/>
          <w:color w:val="000000"/>
          <w:sz w:val="20"/>
          <w:szCs w:val="20"/>
        </w:rPr>
        <w:t xml:space="preserve"> </w:t>
      </w:r>
      <w:r w:rsidR="00C7423B" w:rsidRPr="00173F55">
        <w:rPr>
          <w:rFonts w:ascii="Times New Roman" w:eastAsia="Times New Roman" w:hAnsi="Times New Roman" w:cs="Times New Roman"/>
          <w:i/>
          <w:iCs/>
          <w:color w:val="000000"/>
          <w:sz w:val="20"/>
          <w:szCs w:val="20"/>
        </w:rPr>
        <w:t>Id</w:t>
      </w:r>
      <w:r w:rsidR="00C7423B" w:rsidRPr="00173F55">
        <w:rPr>
          <w:rFonts w:ascii="Times New Roman" w:eastAsia="Times New Roman" w:hAnsi="Times New Roman" w:cs="Times New Roman"/>
          <w:color w:val="000000"/>
          <w:sz w:val="20"/>
          <w:szCs w:val="20"/>
        </w:rPr>
        <w:t xml:space="preserve">. </w:t>
      </w:r>
    </w:p>
  </w:footnote>
  <w:footnote w:id="12">
    <w:p w14:paraId="3B12EA4B" w14:textId="3CDBD54A" w:rsidR="00503367" w:rsidRPr="00173F55" w:rsidRDefault="00ED1C5F" w:rsidP="00503367">
      <w:pPr>
        <w:rPr>
          <w:rFonts w:ascii="Times New Roman" w:eastAsia="Times New Roman" w:hAnsi="Times New Roman" w:cs="Times New Roman"/>
          <w:sz w:val="20"/>
          <w:szCs w:val="20"/>
        </w:rPr>
      </w:pPr>
      <w:r w:rsidRPr="00173F55">
        <w:rPr>
          <w:rStyle w:val="FootnoteReference"/>
          <w:rFonts w:ascii="Times New Roman" w:hAnsi="Times New Roman" w:cs="Times New Roman"/>
          <w:sz w:val="20"/>
          <w:szCs w:val="20"/>
        </w:rPr>
        <w:footnoteRef/>
      </w:r>
      <w:r w:rsidRPr="00173F55">
        <w:rPr>
          <w:rFonts w:ascii="Times New Roman" w:hAnsi="Times New Roman" w:cs="Times New Roman"/>
          <w:sz w:val="20"/>
          <w:szCs w:val="20"/>
        </w:rPr>
        <w:t xml:space="preserve"> </w:t>
      </w:r>
      <w:r w:rsidR="00503367" w:rsidRPr="00173F55">
        <w:rPr>
          <w:rFonts w:ascii="Times New Roman" w:eastAsia="Times New Roman" w:hAnsi="Times New Roman" w:cs="Times New Roman"/>
          <w:color w:val="000000"/>
          <w:sz w:val="20"/>
          <w:szCs w:val="20"/>
        </w:rPr>
        <w:t>Juvenile Code</w:t>
      </w:r>
      <w:r w:rsidR="00503367" w:rsidRPr="00173F55">
        <w:rPr>
          <w:rFonts w:ascii="Times New Roman" w:eastAsia="Times New Roman" w:hAnsi="Times New Roman" w:cs="Times New Roman"/>
          <w:color w:val="000000"/>
          <w:sz w:val="20"/>
          <w:szCs w:val="20"/>
          <w:lang w:val="en-MX"/>
        </w:rPr>
        <w:t xml:space="preserve"> </w:t>
      </w:r>
      <w:r w:rsidR="00503367" w:rsidRPr="00173F55">
        <w:rPr>
          <w:rFonts w:ascii="Times New Roman" w:eastAsia="Times New Roman" w:hAnsi="Times New Roman" w:cs="Times New Roman"/>
          <w:color w:val="000000"/>
          <w:sz w:val="20"/>
          <w:szCs w:val="20"/>
          <w:lang w:val="en-MX"/>
        </w:rPr>
        <w:t xml:space="preserve">(1384/01/03 A.P.) Art. </w:t>
      </w:r>
      <w:r w:rsidR="00503367" w:rsidRPr="00173F55">
        <w:rPr>
          <w:rFonts w:ascii="Times New Roman" w:eastAsia="Times New Roman" w:hAnsi="Times New Roman" w:cs="Times New Roman"/>
          <w:color w:val="000000"/>
          <w:sz w:val="20"/>
          <w:szCs w:val="20"/>
        </w:rPr>
        <w:t xml:space="preserve">4 </w:t>
      </w:r>
      <w:r w:rsidR="00503367" w:rsidRPr="00173F55">
        <w:rPr>
          <w:rFonts w:ascii="Times New Roman" w:eastAsia="Times New Roman" w:hAnsi="Times New Roman" w:cs="Times New Roman"/>
          <w:color w:val="000000"/>
          <w:sz w:val="20"/>
          <w:szCs w:val="20"/>
          <w:lang w:val="en-MX"/>
        </w:rPr>
        <w:t xml:space="preserve">(Afg.), translated in </w:t>
      </w:r>
      <w:r w:rsidR="00173F55" w:rsidRPr="00173F55">
        <w:rPr>
          <w:rFonts w:ascii="Times New Roman" w:eastAsia="Times New Roman" w:hAnsi="Times New Roman" w:cs="Times New Roman"/>
          <w:color w:val="000000"/>
          <w:sz w:val="20"/>
          <w:szCs w:val="20"/>
          <w:lang w:val="en-MX"/>
        </w:rPr>
        <w:t>AsianLII</w:t>
      </w:r>
      <w:r w:rsidR="00503367" w:rsidRPr="00173F55">
        <w:rPr>
          <w:rFonts w:ascii="Times New Roman" w:eastAsia="Times New Roman" w:hAnsi="Times New Roman" w:cs="Times New Roman"/>
          <w:color w:val="000000"/>
          <w:sz w:val="20"/>
          <w:szCs w:val="20"/>
          <w:lang w:val="en-MX"/>
        </w:rPr>
        <w:t xml:space="preserve"> (Mar. </w:t>
      </w:r>
      <w:r w:rsidR="00503367" w:rsidRPr="00173F55">
        <w:rPr>
          <w:rFonts w:ascii="Times New Roman" w:eastAsia="Times New Roman" w:hAnsi="Times New Roman" w:cs="Times New Roman"/>
          <w:color w:val="000000"/>
          <w:sz w:val="20"/>
          <w:szCs w:val="20"/>
        </w:rPr>
        <w:t>23</w:t>
      </w:r>
      <w:r w:rsidR="00503367" w:rsidRPr="00173F55">
        <w:rPr>
          <w:rFonts w:ascii="Times New Roman" w:eastAsia="Times New Roman" w:hAnsi="Times New Roman" w:cs="Times New Roman"/>
          <w:color w:val="000000"/>
          <w:sz w:val="20"/>
          <w:szCs w:val="20"/>
          <w:lang w:val="en-MX"/>
        </w:rPr>
        <w:t>, 20</w:t>
      </w:r>
      <w:r w:rsidR="00503367" w:rsidRPr="00173F55">
        <w:rPr>
          <w:rFonts w:ascii="Times New Roman" w:eastAsia="Times New Roman" w:hAnsi="Times New Roman" w:cs="Times New Roman"/>
          <w:color w:val="000000"/>
          <w:sz w:val="20"/>
          <w:szCs w:val="20"/>
        </w:rPr>
        <w:t>05</w:t>
      </w:r>
      <w:r w:rsidR="00173F55" w:rsidRPr="00173F55">
        <w:rPr>
          <w:rFonts w:ascii="Times New Roman" w:eastAsia="Times New Roman" w:hAnsi="Times New Roman" w:cs="Times New Roman"/>
          <w:color w:val="000000"/>
          <w:sz w:val="20"/>
          <w:szCs w:val="20"/>
        </w:rPr>
        <w:t xml:space="preserve">), </w:t>
      </w:r>
      <w:r w:rsidR="00173F55" w:rsidRPr="00173F55">
        <w:rPr>
          <w:rFonts w:ascii="Times New Roman" w:eastAsia="Times New Roman" w:hAnsi="Times New Roman" w:cs="Times New Roman"/>
          <w:color w:val="000000"/>
          <w:sz w:val="20"/>
          <w:szCs w:val="20"/>
        </w:rPr>
        <w:t>http://www.asianlii.org/af/legis/laws/jlcogn846p2005032313840103a495/</w:t>
      </w:r>
    </w:p>
    <w:p w14:paraId="21F84AC8" w14:textId="5FB31483" w:rsidR="00ED1C5F" w:rsidRPr="00173F55" w:rsidRDefault="00ED1C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D36FC"/>
    <w:multiLevelType w:val="multilevel"/>
    <w:tmpl w:val="58AC1164"/>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6B4650"/>
    <w:multiLevelType w:val="hybridMultilevel"/>
    <w:tmpl w:val="54A83B1C"/>
    <w:lvl w:ilvl="0" w:tplc="75C8E926">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1F09"/>
    <w:multiLevelType w:val="multilevel"/>
    <w:tmpl w:val="8B26B11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4C"/>
    <w:rsid w:val="00041A8B"/>
    <w:rsid w:val="00047B4C"/>
    <w:rsid w:val="001232DF"/>
    <w:rsid w:val="00173F55"/>
    <w:rsid w:val="0038790E"/>
    <w:rsid w:val="003A1C04"/>
    <w:rsid w:val="00400CFE"/>
    <w:rsid w:val="00503367"/>
    <w:rsid w:val="005F737A"/>
    <w:rsid w:val="00692BC1"/>
    <w:rsid w:val="00926D4F"/>
    <w:rsid w:val="009E0389"/>
    <w:rsid w:val="00B74ADB"/>
    <w:rsid w:val="00C7423B"/>
    <w:rsid w:val="00ED1C5F"/>
    <w:rsid w:val="00FA532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7CE57EB1"/>
  <w15:docId w15:val="{F7242B10-08F3-ED4C-A82C-4AE0C5E0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2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A9F"/>
    <w:rPr>
      <w:rFonts w:ascii="Lucida Grande" w:hAnsi="Lucida Grande" w:cs="Lucida Grande"/>
      <w:sz w:val="18"/>
      <w:szCs w:val="18"/>
    </w:rPr>
  </w:style>
  <w:style w:type="paragraph" w:styleId="ListParagraph">
    <w:name w:val="List Paragraph"/>
    <w:basedOn w:val="Normal"/>
    <w:uiPriority w:val="34"/>
    <w:qFormat/>
    <w:rsid w:val="007641BC"/>
    <w:pPr>
      <w:spacing w:after="160" w:line="259" w:lineRule="auto"/>
      <w:ind w:left="720"/>
      <w:contextualSpacing/>
    </w:pPr>
    <w:rPr>
      <w:rFonts w:eastAsiaTheme="minorHAnsi"/>
      <w:sz w:val="22"/>
      <w:szCs w:val="22"/>
      <w:lang w:val="es-MX"/>
    </w:rPr>
  </w:style>
  <w:style w:type="character" w:styleId="CommentReference">
    <w:name w:val="annotation reference"/>
    <w:basedOn w:val="DefaultParagraphFont"/>
    <w:uiPriority w:val="99"/>
    <w:semiHidden/>
    <w:unhideWhenUsed/>
    <w:rsid w:val="0090460C"/>
    <w:rPr>
      <w:sz w:val="18"/>
      <w:szCs w:val="18"/>
    </w:rPr>
  </w:style>
  <w:style w:type="paragraph" w:styleId="CommentText">
    <w:name w:val="annotation text"/>
    <w:basedOn w:val="Normal"/>
    <w:link w:val="CommentTextChar"/>
    <w:uiPriority w:val="99"/>
    <w:semiHidden/>
    <w:unhideWhenUsed/>
    <w:rsid w:val="0090460C"/>
  </w:style>
  <w:style w:type="character" w:customStyle="1" w:styleId="CommentTextChar">
    <w:name w:val="Comment Text Char"/>
    <w:basedOn w:val="DefaultParagraphFont"/>
    <w:link w:val="CommentText"/>
    <w:uiPriority w:val="99"/>
    <w:semiHidden/>
    <w:rsid w:val="0090460C"/>
  </w:style>
  <w:style w:type="paragraph" w:styleId="CommentSubject">
    <w:name w:val="annotation subject"/>
    <w:basedOn w:val="CommentText"/>
    <w:next w:val="CommentText"/>
    <w:link w:val="CommentSubjectChar"/>
    <w:uiPriority w:val="99"/>
    <w:semiHidden/>
    <w:unhideWhenUsed/>
    <w:rsid w:val="0090460C"/>
    <w:rPr>
      <w:b/>
      <w:bCs/>
      <w:sz w:val="20"/>
      <w:szCs w:val="20"/>
    </w:rPr>
  </w:style>
  <w:style w:type="character" w:customStyle="1" w:styleId="CommentSubjectChar">
    <w:name w:val="Comment Subject Char"/>
    <w:basedOn w:val="CommentTextChar"/>
    <w:link w:val="CommentSubject"/>
    <w:uiPriority w:val="99"/>
    <w:semiHidden/>
    <w:rsid w:val="0090460C"/>
    <w:rPr>
      <w:b/>
      <w:bCs/>
      <w:sz w:val="20"/>
      <w:szCs w:val="20"/>
    </w:rPr>
  </w:style>
  <w:style w:type="paragraph" w:styleId="NormalWeb">
    <w:name w:val="Normal (Web)"/>
    <w:basedOn w:val="Normal"/>
    <w:uiPriority w:val="99"/>
    <w:unhideWhenUsed/>
    <w:rsid w:val="00312FE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A296B"/>
    <w:pPr>
      <w:pBdr>
        <w:top w:val="nil"/>
        <w:left w:val="nil"/>
        <w:bottom w:val="nil"/>
        <w:right w:val="nil"/>
        <w:between w:val="nil"/>
      </w:pBdr>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0A296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0A296B"/>
    <w:rPr>
      <w:vertAlign w:val="superscript"/>
    </w:rPr>
  </w:style>
  <w:style w:type="character" w:styleId="Hyperlink">
    <w:name w:val="Hyperlink"/>
    <w:basedOn w:val="DefaultParagraphFont"/>
    <w:uiPriority w:val="99"/>
    <w:unhideWhenUsed/>
    <w:rsid w:val="00F249ED"/>
    <w:rPr>
      <w:color w:val="auto"/>
      <w:u w:val="single"/>
    </w:rPr>
  </w:style>
  <w:style w:type="character" w:styleId="UnresolvedMention">
    <w:name w:val="Unresolved Mention"/>
    <w:basedOn w:val="DefaultParagraphFont"/>
    <w:uiPriority w:val="99"/>
    <w:semiHidden/>
    <w:unhideWhenUsed/>
    <w:rsid w:val="00F030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400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786460">
      <w:bodyDiv w:val="1"/>
      <w:marLeft w:val="0"/>
      <w:marRight w:val="0"/>
      <w:marTop w:val="0"/>
      <w:marBottom w:val="0"/>
      <w:divBdr>
        <w:top w:val="none" w:sz="0" w:space="0" w:color="auto"/>
        <w:left w:val="none" w:sz="0" w:space="0" w:color="auto"/>
        <w:bottom w:val="none" w:sz="0" w:space="0" w:color="auto"/>
        <w:right w:val="none" w:sz="0" w:space="0" w:color="auto"/>
      </w:divBdr>
    </w:div>
    <w:div w:id="363095541">
      <w:bodyDiv w:val="1"/>
      <w:marLeft w:val="0"/>
      <w:marRight w:val="0"/>
      <w:marTop w:val="0"/>
      <w:marBottom w:val="0"/>
      <w:divBdr>
        <w:top w:val="none" w:sz="0" w:space="0" w:color="auto"/>
        <w:left w:val="none" w:sz="0" w:space="0" w:color="auto"/>
        <w:bottom w:val="none" w:sz="0" w:space="0" w:color="auto"/>
        <w:right w:val="none" w:sz="0" w:space="0" w:color="auto"/>
      </w:divBdr>
    </w:div>
    <w:div w:id="446973769">
      <w:bodyDiv w:val="1"/>
      <w:marLeft w:val="0"/>
      <w:marRight w:val="0"/>
      <w:marTop w:val="0"/>
      <w:marBottom w:val="0"/>
      <w:divBdr>
        <w:top w:val="none" w:sz="0" w:space="0" w:color="auto"/>
        <w:left w:val="none" w:sz="0" w:space="0" w:color="auto"/>
        <w:bottom w:val="none" w:sz="0" w:space="0" w:color="auto"/>
        <w:right w:val="none" w:sz="0" w:space="0" w:color="auto"/>
      </w:divBdr>
    </w:div>
    <w:div w:id="682249616">
      <w:bodyDiv w:val="1"/>
      <w:marLeft w:val="0"/>
      <w:marRight w:val="0"/>
      <w:marTop w:val="0"/>
      <w:marBottom w:val="0"/>
      <w:divBdr>
        <w:top w:val="none" w:sz="0" w:space="0" w:color="auto"/>
        <w:left w:val="none" w:sz="0" w:space="0" w:color="auto"/>
        <w:bottom w:val="none" w:sz="0" w:space="0" w:color="auto"/>
        <w:right w:val="none" w:sz="0" w:space="0" w:color="auto"/>
      </w:divBdr>
    </w:div>
    <w:div w:id="895775667">
      <w:bodyDiv w:val="1"/>
      <w:marLeft w:val="0"/>
      <w:marRight w:val="0"/>
      <w:marTop w:val="0"/>
      <w:marBottom w:val="0"/>
      <w:divBdr>
        <w:top w:val="none" w:sz="0" w:space="0" w:color="auto"/>
        <w:left w:val="none" w:sz="0" w:space="0" w:color="auto"/>
        <w:bottom w:val="none" w:sz="0" w:space="0" w:color="auto"/>
        <w:right w:val="none" w:sz="0" w:space="0" w:color="auto"/>
      </w:divBdr>
    </w:div>
    <w:div w:id="923611244">
      <w:bodyDiv w:val="1"/>
      <w:marLeft w:val="0"/>
      <w:marRight w:val="0"/>
      <w:marTop w:val="0"/>
      <w:marBottom w:val="0"/>
      <w:divBdr>
        <w:top w:val="none" w:sz="0" w:space="0" w:color="auto"/>
        <w:left w:val="none" w:sz="0" w:space="0" w:color="auto"/>
        <w:bottom w:val="none" w:sz="0" w:space="0" w:color="auto"/>
        <w:right w:val="none" w:sz="0" w:space="0" w:color="auto"/>
      </w:divBdr>
    </w:div>
    <w:div w:id="1069038172">
      <w:bodyDiv w:val="1"/>
      <w:marLeft w:val="0"/>
      <w:marRight w:val="0"/>
      <w:marTop w:val="0"/>
      <w:marBottom w:val="0"/>
      <w:divBdr>
        <w:top w:val="none" w:sz="0" w:space="0" w:color="auto"/>
        <w:left w:val="none" w:sz="0" w:space="0" w:color="auto"/>
        <w:bottom w:val="none" w:sz="0" w:space="0" w:color="auto"/>
        <w:right w:val="none" w:sz="0" w:space="0" w:color="auto"/>
      </w:divBdr>
    </w:div>
    <w:div w:id="1071349739">
      <w:bodyDiv w:val="1"/>
      <w:marLeft w:val="0"/>
      <w:marRight w:val="0"/>
      <w:marTop w:val="0"/>
      <w:marBottom w:val="0"/>
      <w:divBdr>
        <w:top w:val="none" w:sz="0" w:space="0" w:color="auto"/>
        <w:left w:val="none" w:sz="0" w:space="0" w:color="auto"/>
        <w:bottom w:val="none" w:sz="0" w:space="0" w:color="auto"/>
        <w:right w:val="none" w:sz="0" w:space="0" w:color="auto"/>
      </w:divBdr>
    </w:div>
    <w:div w:id="1074548256">
      <w:bodyDiv w:val="1"/>
      <w:marLeft w:val="0"/>
      <w:marRight w:val="0"/>
      <w:marTop w:val="0"/>
      <w:marBottom w:val="0"/>
      <w:divBdr>
        <w:top w:val="none" w:sz="0" w:space="0" w:color="auto"/>
        <w:left w:val="none" w:sz="0" w:space="0" w:color="auto"/>
        <w:bottom w:val="none" w:sz="0" w:space="0" w:color="auto"/>
        <w:right w:val="none" w:sz="0" w:space="0" w:color="auto"/>
      </w:divBdr>
    </w:div>
    <w:div w:id="1082920584">
      <w:bodyDiv w:val="1"/>
      <w:marLeft w:val="0"/>
      <w:marRight w:val="0"/>
      <w:marTop w:val="0"/>
      <w:marBottom w:val="0"/>
      <w:divBdr>
        <w:top w:val="none" w:sz="0" w:space="0" w:color="auto"/>
        <w:left w:val="none" w:sz="0" w:space="0" w:color="auto"/>
        <w:bottom w:val="none" w:sz="0" w:space="0" w:color="auto"/>
        <w:right w:val="none" w:sz="0" w:space="0" w:color="auto"/>
      </w:divBdr>
    </w:div>
    <w:div w:id="1226794128">
      <w:bodyDiv w:val="1"/>
      <w:marLeft w:val="0"/>
      <w:marRight w:val="0"/>
      <w:marTop w:val="0"/>
      <w:marBottom w:val="0"/>
      <w:divBdr>
        <w:top w:val="none" w:sz="0" w:space="0" w:color="auto"/>
        <w:left w:val="none" w:sz="0" w:space="0" w:color="auto"/>
        <w:bottom w:val="none" w:sz="0" w:space="0" w:color="auto"/>
        <w:right w:val="none" w:sz="0" w:space="0" w:color="auto"/>
      </w:divBdr>
    </w:div>
    <w:div w:id="1245912533">
      <w:bodyDiv w:val="1"/>
      <w:marLeft w:val="0"/>
      <w:marRight w:val="0"/>
      <w:marTop w:val="0"/>
      <w:marBottom w:val="0"/>
      <w:divBdr>
        <w:top w:val="none" w:sz="0" w:space="0" w:color="auto"/>
        <w:left w:val="none" w:sz="0" w:space="0" w:color="auto"/>
        <w:bottom w:val="none" w:sz="0" w:space="0" w:color="auto"/>
        <w:right w:val="none" w:sz="0" w:space="0" w:color="auto"/>
      </w:divBdr>
    </w:div>
    <w:div w:id="1362171932">
      <w:bodyDiv w:val="1"/>
      <w:marLeft w:val="0"/>
      <w:marRight w:val="0"/>
      <w:marTop w:val="0"/>
      <w:marBottom w:val="0"/>
      <w:divBdr>
        <w:top w:val="none" w:sz="0" w:space="0" w:color="auto"/>
        <w:left w:val="none" w:sz="0" w:space="0" w:color="auto"/>
        <w:bottom w:val="none" w:sz="0" w:space="0" w:color="auto"/>
        <w:right w:val="none" w:sz="0" w:space="0" w:color="auto"/>
      </w:divBdr>
    </w:div>
    <w:div w:id="1423573278">
      <w:bodyDiv w:val="1"/>
      <w:marLeft w:val="0"/>
      <w:marRight w:val="0"/>
      <w:marTop w:val="0"/>
      <w:marBottom w:val="0"/>
      <w:divBdr>
        <w:top w:val="none" w:sz="0" w:space="0" w:color="auto"/>
        <w:left w:val="none" w:sz="0" w:space="0" w:color="auto"/>
        <w:bottom w:val="none" w:sz="0" w:space="0" w:color="auto"/>
        <w:right w:val="none" w:sz="0" w:space="0" w:color="auto"/>
      </w:divBdr>
    </w:div>
    <w:div w:id="1671175494">
      <w:bodyDiv w:val="1"/>
      <w:marLeft w:val="0"/>
      <w:marRight w:val="0"/>
      <w:marTop w:val="0"/>
      <w:marBottom w:val="0"/>
      <w:divBdr>
        <w:top w:val="none" w:sz="0" w:space="0" w:color="auto"/>
        <w:left w:val="none" w:sz="0" w:space="0" w:color="auto"/>
        <w:bottom w:val="none" w:sz="0" w:space="0" w:color="auto"/>
        <w:right w:val="none" w:sz="0" w:space="0" w:color="auto"/>
      </w:divBdr>
    </w:div>
    <w:div w:id="1723602368">
      <w:bodyDiv w:val="1"/>
      <w:marLeft w:val="0"/>
      <w:marRight w:val="0"/>
      <w:marTop w:val="0"/>
      <w:marBottom w:val="0"/>
      <w:divBdr>
        <w:top w:val="none" w:sz="0" w:space="0" w:color="auto"/>
        <w:left w:val="none" w:sz="0" w:space="0" w:color="auto"/>
        <w:bottom w:val="none" w:sz="0" w:space="0" w:color="auto"/>
        <w:right w:val="none" w:sz="0" w:space="0" w:color="auto"/>
      </w:divBdr>
    </w:div>
    <w:div w:id="1826049487">
      <w:bodyDiv w:val="1"/>
      <w:marLeft w:val="0"/>
      <w:marRight w:val="0"/>
      <w:marTop w:val="0"/>
      <w:marBottom w:val="0"/>
      <w:divBdr>
        <w:top w:val="none" w:sz="0" w:space="0" w:color="auto"/>
        <w:left w:val="none" w:sz="0" w:space="0" w:color="auto"/>
        <w:bottom w:val="none" w:sz="0" w:space="0" w:color="auto"/>
        <w:right w:val="none" w:sz="0" w:space="0" w:color="auto"/>
      </w:divBdr>
    </w:div>
    <w:div w:id="1854488857">
      <w:bodyDiv w:val="1"/>
      <w:marLeft w:val="0"/>
      <w:marRight w:val="0"/>
      <w:marTop w:val="0"/>
      <w:marBottom w:val="0"/>
      <w:divBdr>
        <w:top w:val="none" w:sz="0" w:space="0" w:color="auto"/>
        <w:left w:val="none" w:sz="0" w:space="0" w:color="auto"/>
        <w:bottom w:val="none" w:sz="0" w:space="0" w:color="auto"/>
        <w:right w:val="none" w:sz="0" w:space="0" w:color="auto"/>
      </w:divBdr>
    </w:div>
    <w:div w:id="1953245947">
      <w:bodyDiv w:val="1"/>
      <w:marLeft w:val="0"/>
      <w:marRight w:val="0"/>
      <w:marTop w:val="0"/>
      <w:marBottom w:val="0"/>
      <w:divBdr>
        <w:top w:val="none" w:sz="0" w:space="0" w:color="auto"/>
        <w:left w:val="none" w:sz="0" w:space="0" w:color="auto"/>
        <w:bottom w:val="none" w:sz="0" w:space="0" w:color="auto"/>
        <w:right w:val="none" w:sz="0" w:space="0" w:color="auto"/>
      </w:divBdr>
    </w:div>
    <w:div w:id="2000040928">
      <w:bodyDiv w:val="1"/>
      <w:marLeft w:val="0"/>
      <w:marRight w:val="0"/>
      <w:marTop w:val="0"/>
      <w:marBottom w:val="0"/>
      <w:divBdr>
        <w:top w:val="none" w:sz="0" w:space="0" w:color="auto"/>
        <w:left w:val="none" w:sz="0" w:space="0" w:color="auto"/>
        <w:bottom w:val="none" w:sz="0" w:space="0" w:color="auto"/>
        <w:right w:val="none" w:sz="0" w:space="0" w:color="auto"/>
      </w:divBdr>
    </w:div>
    <w:div w:id="2001079514">
      <w:bodyDiv w:val="1"/>
      <w:marLeft w:val="0"/>
      <w:marRight w:val="0"/>
      <w:marTop w:val="0"/>
      <w:marBottom w:val="0"/>
      <w:divBdr>
        <w:top w:val="none" w:sz="0" w:space="0" w:color="auto"/>
        <w:left w:val="none" w:sz="0" w:space="0" w:color="auto"/>
        <w:bottom w:val="none" w:sz="0" w:space="0" w:color="auto"/>
        <w:right w:val="none" w:sz="0" w:space="0" w:color="auto"/>
      </w:divBdr>
    </w:div>
    <w:div w:id="201151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yperlink" Target="https://jjimexico.org/ptd-repor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opensocietyfoundations.org/voices/pretrial-detention-juveniles-common-it-wrong" TargetMode="External"/><Relationship Id="rId2" Type="http://schemas.openxmlformats.org/officeDocument/2006/relationships/hyperlink" Target="http://www.justicepolicy.org/images/upload/06-11_rep_dangersofdetention_jj.pdf" TargetMode="External"/><Relationship Id="rId1" Type="http://schemas.openxmlformats.org/officeDocument/2006/relationships/hyperlink" Target="https://www.opensocietyfoundations.org/sites/default/files/pretrial-detention-and-torture-06222011.pdf" TargetMode="External"/><Relationship Id="rId4" Type="http://schemas.openxmlformats.org/officeDocument/2006/relationships/hyperlink" Target="https://www.unodc.org/res/cld/document/criminal-procedure-code_html/Criminal_Procedure_Code_-_Endorsed_by_President_EN_2014_03_14_with_T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IflvLBwyUlJXG8g9uDa/6yT/5Q==">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203E4-E762-0844-8BC7-F6A329C44C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FFBA22E-A2DE-4B2C-A39E-2D1866692A4E}"/>
</file>

<file path=customXml/itemProps4.xml><?xml version="1.0" encoding="utf-8"?>
<ds:datastoreItem xmlns:ds="http://schemas.openxmlformats.org/officeDocument/2006/customXml" ds:itemID="{C9A819BB-6F26-4CCC-9B64-4D4366CDCA0A}"/>
</file>

<file path=customXml/itemProps5.xml><?xml version="1.0" encoding="utf-8"?>
<ds:datastoreItem xmlns:ds="http://schemas.openxmlformats.org/officeDocument/2006/customXml" ds:itemID="{DAA0D9E9-6544-43C9-8953-CDD305D188A7}"/>
</file>

<file path=docProps/app.xml><?xml version="1.0" encoding="utf-8"?>
<Properties xmlns="http://schemas.openxmlformats.org/officeDocument/2006/extended-properties" xmlns:vt="http://schemas.openxmlformats.org/officeDocument/2006/docPropsVTypes">
  <Template>Normal.dotm</Template>
  <TotalTime>20</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Sarahi Garcia</dc:creator>
  <cp:lastModifiedBy>Paulina Lucio</cp:lastModifiedBy>
  <cp:revision>3</cp:revision>
  <dcterms:created xsi:type="dcterms:W3CDTF">2020-07-21T21:19:00Z</dcterms:created>
  <dcterms:modified xsi:type="dcterms:W3CDTF">2020-07-21T22:02:00Z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