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290" w:rsidRPr="005C0ECA" w:rsidRDefault="006650AA" w:rsidP="00D51F94">
      <w:pPr>
        <w:jc w:val="center"/>
        <w:rPr>
          <w:rFonts w:ascii="Times New Roman" w:hAnsi="Times New Roman" w:cs="Times New Roman"/>
          <w:b/>
          <w:bCs/>
          <w:sz w:val="24"/>
          <w:szCs w:val="24"/>
        </w:rPr>
      </w:pPr>
      <w:bookmarkStart w:id="0" w:name="_Hlk79315503"/>
      <w:bookmarkStart w:id="1" w:name="_GoBack"/>
      <w:bookmarkEnd w:id="1"/>
      <w:r>
        <w:rPr>
          <w:noProof/>
          <w:lang w:eastAsia="en-GB" w:bidi="ar-SA"/>
        </w:rPr>
        <w:drawing>
          <wp:inline distT="0" distB="0" distL="0" distR="0">
            <wp:extent cx="1304014" cy="18103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4416" cy="1838680"/>
                    </a:xfrm>
                    <a:prstGeom prst="rect">
                      <a:avLst/>
                    </a:prstGeom>
                    <a:noFill/>
                    <a:ln>
                      <a:noFill/>
                    </a:ln>
                  </pic:spPr>
                </pic:pic>
              </a:graphicData>
            </a:graphic>
          </wp:inline>
        </w:drawing>
      </w:r>
    </w:p>
    <w:p w:rsidR="00F55290" w:rsidRPr="005C0ECA" w:rsidRDefault="00F55290" w:rsidP="00D51F94">
      <w:pPr>
        <w:jc w:val="center"/>
        <w:rPr>
          <w:rFonts w:ascii="Times New Roman" w:hAnsi="Times New Roman" w:cs="Times New Roman"/>
          <w:b/>
          <w:bCs/>
          <w:sz w:val="24"/>
          <w:szCs w:val="24"/>
        </w:rPr>
      </w:pPr>
    </w:p>
    <w:p w:rsidR="00F55290" w:rsidRPr="005C0ECA" w:rsidRDefault="00F55290" w:rsidP="00D51F94">
      <w:pPr>
        <w:jc w:val="center"/>
        <w:rPr>
          <w:rFonts w:ascii="Times New Roman" w:hAnsi="Times New Roman" w:cs="Times New Roman"/>
          <w:b/>
          <w:bCs/>
          <w:sz w:val="24"/>
          <w:szCs w:val="24"/>
        </w:rPr>
      </w:pPr>
    </w:p>
    <w:p w:rsidR="00F55290" w:rsidRPr="005C0ECA" w:rsidRDefault="00F55290" w:rsidP="00D51F94">
      <w:pPr>
        <w:jc w:val="center"/>
        <w:rPr>
          <w:rFonts w:ascii="Times New Roman" w:hAnsi="Times New Roman" w:cs="Times New Roman"/>
          <w:b/>
          <w:bCs/>
          <w:sz w:val="24"/>
          <w:szCs w:val="24"/>
        </w:rPr>
      </w:pPr>
    </w:p>
    <w:p w:rsidR="009F78B5" w:rsidRPr="005C0ECA" w:rsidRDefault="00A8510A" w:rsidP="00D51F94">
      <w:pPr>
        <w:jc w:val="center"/>
        <w:rPr>
          <w:rFonts w:ascii="Times New Roman" w:hAnsi="Times New Roman" w:cs="Times New Roman"/>
          <w:b/>
          <w:bCs/>
          <w:sz w:val="24"/>
          <w:szCs w:val="24"/>
        </w:rPr>
      </w:pPr>
      <w:r w:rsidRPr="00A8510A">
        <w:rPr>
          <w:rFonts w:ascii="Times New Roman" w:hAnsi="Times New Roman" w:cs="Times New Roman"/>
          <w:b/>
          <w:bCs/>
          <w:sz w:val="24"/>
          <w:szCs w:val="24"/>
        </w:rPr>
        <w:t>Parallel</w:t>
      </w:r>
      <w:r w:rsidRPr="005C0ECA">
        <w:rPr>
          <w:rFonts w:ascii="Times New Roman" w:hAnsi="Times New Roman" w:cs="Times New Roman"/>
          <w:b/>
          <w:bCs/>
          <w:sz w:val="24"/>
          <w:szCs w:val="24"/>
        </w:rPr>
        <w:t xml:space="preserve"> </w:t>
      </w:r>
      <w:r w:rsidR="004E721F" w:rsidRPr="005C0ECA">
        <w:rPr>
          <w:rFonts w:ascii="Times New Roman" w:hAnsi="Times New Roman" w:cs="Times New Roman"/>
          <w:b/>
          <w:bCs/>
          <w:sz w:val="24"/>
          <w:szCs w:val="24"/>
        </w:rPr>
        <w:t>report submitted to the United Nations Committee on Economic, Social and Cultural Rights</w:t>
      </w:r>
    </w:p>
    <w:p w:rsidR="00F55290" w:rsidRPr="005C0ECA" w:rsidRDefault="00F55290" w:rsidP="00D51F94">
      <w:pPr>
        <w:jc w:val="center"/>
        <w:rPr>
          <w:rFonts w:ascii="Times New Roman" w:hAnsi="Times New Roman" w:cs="Times New Roman"/>
          <w:b/>
          <w:bCs/>
          <w:sz w:val="24"/>
          <w:szCs w:val="24"/>
        </w:rPr>
      </w:pPr>
    </w:p>
    <w:p w:rsidR="00F55290" w:rsidRPr="005C0ECA" w:rsidRDefault="00F55290" w:rsidP="00D51F94">
      <w:pPr>
        <w:jc w:val="center"/>
        <w:rPr>
          <w:rFonts w:ascii="Times New Roman" w:hAnsi="Times New Roman" w:cs="Times New Roman"/>
          <w:b/>
          <w:bCs/>
          <w:sz w:val="24"/>
          <w:szCs w:val="24"/>
        </w:rPr>
      </w:pPr>
    </w:p>
    <w:p w:rsidR="004E721F" w:rsidRPr="005C0ECA" w:rsidRDefault="004E721F" w:rsidP="00D51F94">
      <w:pPr>
        <w:jc w:val="center"/>
        <w:rPr>
          <w:rFonts w:ascii="Times New Roman" w:hAnsi="Times New Roman" w:cs="Times New Roman"/>
          <w:b/>
          <w:bCs/>
          <w:sz w:val="24"/>
          <w:szCs w:val="24"/>
        </w:rPr>
      </w:pPr>
      <w:r w:rsidRPr="005C0ECA">
        <w:rPr>
          <w:rFonts w:ascii="Times New Roman" w:hAnsi="Times New Roman" w:cs="Times New Roman"/>
          <w:b/>
          <w:bCs/>
          <w:sz w:val="24"/>
          <w:szCs w:val="24"/>
        </w:rPr>
        <w:t xml:space="preserve">On the initial report of the State of Palestine on the implementation of </w:t>
      </w:r>
      <w:bookmarkStart w:id="2" w:name="_Hlk79314447"/>
      <w:r w:rsidRPr="005C0ECA">
        <w:rPr>
          <w:rFonts w:ascii="Times New Roman" w:hAnsi="Times New Roman" w:cs="Times New Roman"/>
          <w:b/>
          <w:bCs/>
          <w:sz w:val="24"/>
          <w:szCs w:val="24"/>
        </w:rPr>
        <w:t>the International Covenant on Economic, Social and Cultural Rights</w:t>
      </w:r>
    </w:p>
    <w:bookmarkEnd w:id="2"/>
    <w:p w:rsidR="004E721F" w:rsidRPr="005C0ECA" w:rsidRDefault="004E721F" w:rsidP="00D51F94">
      <w:pPr>
        <w:jc w:val="both"/>
        <w:rPr>
          <w:rFonts w:ascii="Times New Roman" w:hAnsi="Times New Roman" w:cs="Times New Roman"/>
          <w:sz w:val="24"/>
          <w:szCs w:val="24"/>
        </w:rPr>
      </w:pPr>
    </w:p>
    <w:p w:rsidR="00F55290" w:rsidRDefault="00F55290" w:rsidP="00D51F94">
      <w:pPr>
        <w:jc w:val="center"/>
        <w:rPr>
          <w:rFonts w:ascii="Times New Roman" w:hAnsi="Times New Roman" w:cs="Times New Roman"/>
          <w:b/>
          <w:bCs/>
          <w:sz w:val="24"/>
          <w:szCs w:val="24"/>
          <w:rtl/>
        </w:rPr>
      </w:pPr>
    </w:p>
    <w:p w:rsidR="00341F8A" w:rsidRPr="005C0ECA" w:rsidRDefault="00341F8A" w:rsidP="00D51F94">
      <w:pPr>
        <w:jc w:val="center"/>
        <w:rPr>
          <w:rFonts w:ascii="Times New Roman" w:hAnsi="Times New Roman" w:cs="Times New Roman"/>
          <w:b/>
          <w:bCs/>
          <w:sz w:val="24"/>
          <w:szCs w:val="24"/>
        </w:rPr>
      </w:pPr>
    </w:p>
    <w:p w:rsidR="00F55290" w:rsidRPr="005C0ECA" w:rsidRDefault="00F55290" w:rsidP="00D51F94">
      <w:pPr>
        <w:jc w:val="center"/>
        <w:rPr>
          <w:rFonts w:ascii="Times New Roman" w:hAnsi="Times New Roman" w:cs="Times New Roman"/>
          <w:b/>
          <w:bCs/>
          <w:sz w:val="24"/>
          <w:szCs w:val="24"/>
        </w:rPr>
      </w:pPr>
      <w:r w:rsidRPr="005C0ECA">
        <w:rPr>
          <w:rFonts w:ascii="Times New Roman" w:hAnsi="Times New Roman" w:cs="Times New Roman"/>
          <w:b/>
          <w:bCs/>
          <w:sz w:val="24"/>
          <w:szCs w:val="24"/>
        </w:rPr>
        <w:t xml:space="preserve">Palestine </w:t>
      </w:r>
      <w:r w:rsidR="004E721F" w:rsidRPr="005C0ECA">
        <w:rPr>
          <w:rFonts w:ascii="Times New Roman" w:hAnsi="Times New Roman" w:cs="Times New Roman"/>
          <w:b/>
          <w:bCs/>
          <w:sz w:val="24"/>
          <w:szCs w:val="24"/>
        </w:rPr>
        <w:t>Independent Commission for Human Rights</w:t>
      </w:r>
    </w:p>
    <w:p w:rsidR="004E721F" w:rsidRPr="005C0ECA" w:rsidRDefault="004E721F" w:rsidP="00D51F94">
      <w:pPr>
        <w:jc w:val="center"/>
        <w:rPr>
          <w:rFonts w:ascii="Times New Roman" w:hAnsi="Times New Roman" w:cs="Times New Roman"/>
          <w:b/>
          <w:bCs/>
          <w:sz w:val="24"/>
          <w:szCs w:val="24"/>
        </w:rPr>
      </w:pPr>
      <w:r w:rsidRPr="005C0ECA">
        <w:rPr>
          <w:rFonts w:ascii="Times New Roman" w:hAnsi="Times New Roman" w:cs="Times New Roman"/>
          <w:b/>
          <w:bCs/>
          <w:sz w:val="24"/>
          <w:szCs w:val="24"/>
        </w:rPr>
        <w:t xml:space="preserve"> (ICHR</w:t>
      </w:r>
      <w:r w:rsidR="005C0ECA" w:rsidRPr="005C0ECA">
        <w:rPr>
          <w:rFonts w:ascii="Times New Roman" w:hAnsi="Times New Roman" w:cs="Times New Roman"/>
          <w:b/>
          <w:bCs/>
          <w:sz w:val="24"/>
          <w:szCs w:val="24"/>
        </w:rPr>
        <w:fldChar w:fldCharType="begin"/>
      </w:r>
      <w:r w:rsidR="005C0ECA" w:rsidRPr="005C0ECA">
        <w:instrText xml:space="preserve"> TA \l "</w:instrText>
      </w:r>
      <w:r w:rsidR="005C0ECA" w:rsidRPr="005C0ECA">
        <w:rPr>
          <w:rFonts w:ascii="Times New Roman" w:hAnsi="Times New Roman" w:cs="Times New Roman"/>
          <w:sz w:val="24"/>
          <w:szCs w:val="24"/>
        </w:rPr>
        <w:instrText>ICHR</w:instrText>
      </w:r>
      <w:r w:rsidR="005C0ECA" w:rsidRPr="005C0ECA">
        <w:rPr>
          <w:rFonts w:ascii="Times New Roman" w:hAnsi="Times New Roman" w:cs="Times New Roman" w:hint="cs"/>
          <w:sz w:val="24"/>
          <w:szCs w:val="24"/>
          <w:rtl/>
        </w:rPr>
        <w:instrText xml:space="preserve"> :</w:instrText>
      </w:r>
      <w:r w:rsidR="005C0ECA" w:rsidRPr="005C0ECA">
        <w:instrText xml:space="preserve"> </w:instrText>
      </w:r>
      <w:r w:rsidR="005C0ECA" w:rsidRPr="005C0ECA">
        <w:rPr>
          <w:rFonts w:ascii="Times New Roman" w:hAnsi="Times New Roman" w:cs="Times New Roman"/>
          <w:sz w:val="24"/>
          <w:szCs w:val="24"/>
        </w:rPr>
        <w:instrText>the Independent Commission for Human Rights</w:instrText>
      </w:r>
      <w:r w:rsidR="005C0ECA" w:rsidRPr="005C0ECA">
        <w:instrText xml:space="preserve">" \s "ICHR" \c 1 </w:instrText>
      </w:r>
      <w:r w:rsidR="005C0ECA" w:rsidRPr="005C0ECA">
        <w:rPr>
          <w:rFonts w:ascii="Times New Roman" w:hAnsi="Times New Roman" w:cs="Times New Roman"/>
          <w:b/>
          <w:bCs/>
          <w:sz w:val="24"/>
          <w:szCs w:val="24"/>
        </w:rPr>
        <w:fldChar w:fldCharType="end"/>
      </w:r>
      <w:r w:rsidRPr="005C0ECA">
        <w:rPr>
          <w:rFonts w:ascii="Times New Roman" w:hAnsi="Times New Roman" w:cs="Times New Roman"/>
          <w:b/>
          <w:bCs/>
          <w:sz w:val="24"/>
          <w:szCs w:val="24"/>
        </w:rPr>
        <w:t>)</w:t>
      </w:r>
    </w:p>
    <w:p w:rsidR="00F55290" w:rsidRPr="005C0ECA" w:rsidRDefault="00F55290" w:rsidP="00D51F94">
      <w:pPr>
        <w:jc w:val="center"/>
        <w:rPr>
          <w:rFonts w:ascii="Times New Roman" w:hAnsi="Times New Roman" w:cs="Times New Roman"/>
          <w:b/>
          <w:bCs/>
          <w:sz w:val="24"/>
          <w:szCs w:val="24"/>
        </w:rPr>
      </w:pPr>
    </w:p>
    <w:p w:rsidR="00F55290" w:rsidRPr="005C0ECA" w:rsidRDefault="00F55290" w:rsidP="00D51F94">
      <w:pPr>
        <w:jc w:val="center"/>
        <w:rPr>
          <w:rFonts w:ascii="Times New Roman" w:hAnsi="Times New Roman" w:cs="Times New Roman"/>
          <w:b/>
          <w:bCs/>
          <w:sz w:val="24"/>
          <w:szCs w:val="24"/>
        </w:rPr>
      </w:pPr>
    </w:p>
    <w:p w:rsidR="004E721F" w:rsidRDefault="004E721F" w:rsidP="00D51F94">
      <w:pPr>
        <w:jc w:val="center"/>
        <w:rPr>
          <w:rFonts w:ascii="Times New Roman" w:hAnsi="Times New Roman" w:cs="Times New Roman"/>
          <w:b/>
          <w:bCs/>
          <w:sz w:val="24"/>
          <w:szCs w:val="24"/>
        </w:rPr>
      </w:pPr>
      <w:r w:rsidRPr="005C0ECA">
        <w:rPr>
          <w:rFonts w:ascii="Times New Roman" w:hAnsi="Times New Roman" w:cs="Times New Roman"/>
          <w:b/>
          <w:bCs/>
          <w:sz w:val="24"/>
          <w:szCs w:val="24"/>
        </w:rPr>
        <w:t>August 2021</w:t>
      </w:r>
    </w:p>
    <w:p w:rsidR="00341F8A" w:rsidRDefault="00341F8A" w:rsidP="00D51F94">
      <w:pPr>
        <w:jc w:val="center"/>
        <w:rPr>
          <w:rFonts w:ascii="Times New Roman" w:hAnsi="Times New Roman" w:cs="Times New Roman"/>
          <w:b/>
          <w:bCs/>
          <w:sz w:val="24"/>
          <w:szCs w:val="24"/>
        </w:rPr>
      </w:pPr>
    </w:p>
    <w:p w:rsidR="00341F8A" w:rsidRPr="005C0ECA" w:rsidRDefault="00341F8A" w:rsidP="00D51F94">
      <w:pPr>
        <w:jc w:val="center"/>
        <w:rPr>
          <w:rFonts w:ascii="Times New Roman" w:hAnsi="Times New Roman" w:cs="Times New Roman"/>
          <w:b/>
          <w:bCs/>
          <w:sz w:val="24"/>
          <w:szCs w:val="24"/>
        </w:rPr>
      </w:pPr>
    </w:p>
    <w:p w:rsidR="005C0ECA" w:rsidRPr="005C0ECA" w:rsidRDefault="00341F8A" w:rsidP="00341F8A">
      <w:pPr>
        <w:jc w:val="center"/>
        <w:rPr>
          <w:rFonts w:ascii="Times New Roman" w:hAnsi="Times New Roman" w:cs="Times New Roman"/>
        </w:rPr>
      </w:pPr>
      <w:r w:rsidRPr="00341F8A">
        <w:rPr>
          <w:rFonts w:ascii="Times New Roman" w:hAnsi="Times New Roman" w:cs="Times New Roman"/>
          <w:b/>
          <w:bCs/>
          <w:sz w:val="24"/>
          <w:szCs w:val="24"/>
        </w:rPr>
        <w:t>Palestine</w:t>
      </w:r>
      <w:r w:rsidR="004E721F" w:rsidRPr="005C0ECA">
        <w:rPr>
          <w:rFonts w:ascii="Times New Roman" w:hAnsi="Times New Roman" w:cs="Times New Roman"/>
          <w:sz w:val="24"/>
        </w:rPr>
        <w:br w:type="page"/>
      </w:r>
    </w:p>
    <w:sdt>
      <w:sdtPr>
        <w:rPr>
          <w:rFonts w:asciiTheme="majorBidi" w:eastAsiaTheme="minorHAnsi" w:hAnsiTheme="majorBidi" w:cstheme="minorBidi"/>
          <w:color w:val="auto"/>
          <w:sz w:val="22"/>
          <w:szCs w:val="22"/>
          <w:lang w:val="en-GB" w:bidi="ar-JO"/>
        </w:rPr>
        <w:id w:val="-1333295878"/>
        <w:docPartObj>
          <w:docPartGallery w:val="Table of Contents"/>
          <w:docPartUnique/>
        </w:docPartObj>
      </w:sdtPr>
      <w:sdtEndPr>
        <w:rPr>
          <w:rFonts w:asciiTheme="minorHAnsi" w:hAnsiTheme="minorHAnsi"/>
          <w:b/>
          <w:bCs/>
          <w:noProof/>
        </w:rPr>
      </w:sdtEndPr>
      <w:sdtContent>
        <w:p w:rsidR="005C0ECA" w:rsidRPr="00FC6870" w:rsidRDefault="005C0ECA">
          <w:pPr>
            <w:pStyle w:val="TOCHeading"/>
            <w:rPr>
              <w:rFonts w:asciiTheme="majorBidi" w:hAnsiTheme="majorBidi"/>
              <w:color w:val="auto"/>
              <w:sz w:val="36"/>
              <w:szCs w:val="36"/>
            </w:rPr>
          </w:pPr>
          <w:r w:rsidRPr="00FC6870">
            <w:rPr>
              <w:rFonts w:asciiTheme="majorBidi" w:hAnsiTheme="majorBidi"/>
              <w:color w:val="auto"/>
            </w:rPr>
            <w:t>Contents</w:t>
          </w:r>
        </w:p>
        <w:p w:rsidR="005C0ECA" w:rsidRPr="005C0ECA" w:rsidRDefault="005C0ECA">
          <w:pPr>
            <w:pStyle w:val="TOC1"/>
            <w:tabs>
              <w:tab w:val="right" w:leader="dot" w:pos="8630"/>
            </w:tabs>
            <w:rPr>
              <w:noProof/>
              <w:sz w:val="24"/>
              <w:szCs w:val="24"/>
            </w:rPr>
          </w:pPr>
          <w:r w:rsidRPr="005C0ECA">
            <w:rPr>
              <w:sz w:val="24"/>
              <w:szCs w:val="24"/>
            </w:rPr>
            <w:fldChar w:fldCharType="begin"/>
          </w:r>
          <w:r w:rsidRPr="005C0ECA">
            <w:rPr>
              <w:sz w:val="24"/>
              <w:szCs w:val="24"/>
            </w:rPr>
            <w:instrText xml:space="preserve"> TOC \o "1-3" \h \z \u </w:instrText>
          </w:r>
          <w:r w:rsidRPr="005C0ECA">
            <w:rPr>
              <w:sz w:val="24"/>
              <w:szCs w:val="24"/>
            </w:rPr>
            <w:fldChar w:fldCharType="separate"/>
          </w:r>
          <w:hyperlink w:anchor="_Toc79315033" w:history="1">
            <w:r w:rsidRPr="005C0ECA">
              <w:rPr>
                <w:rStyle w:val="Hyperlink"/>
                <w:rFonts w:asciiTheme="majorBidi" w:hAnsiTheme="majorBidi"/>
                <w:noProof/>
                <w:color w:val="auto"/>
                <w:sz w:val="24"/>
                <w:szCs w:val="24"/>
              </w:rPr>
              <w:t>Profile of the Independent Commission for Human Rights</w:t>
            </w:r>
            <w:r w:rsidRPr="005C0ECA">
              <w:rPr>
                <w:noProof/>
                <w:webHidden/>
                <w:sz w:val="24"/>
                <w:szCs w:val="24"/>
              </w:rPr>
              <w:tab/>
            </w:r>
            <w:r w:rsidRPr="005C0ECA">
              <w:rPr>
                <w:noProof/>
                <w:webHidden/>
                <w:sz w:val="24"/>
                <w:szCs w:val="24"/>
              </w:rPr>
              <w:fldChar w:fldCharType="begin"/>
            </w:r>
            <w:r w:rsidRPr="005C0ECA">
              <w:rPr>
                <w:noProof/>
                <w:webHidden/>
                <w:sz w:val="24"/>
                <w:szCs w:val="24"/>
              </w:rPr>
              <w:instrText xml:space="preserve"> PAGEREF _Toc79315033 \h </w:instrText>
            </w:r>
            <w:r w:rsidRPr="005C0ECA">
              <w:rPr>
                <w:noProof/>
                <w:webHidden/>
                <w:sz w:val="24"/>
                <w:szCs w:val="24"/>
              </w:rPr>
            </w:r>
            <w:r w:rsidRPr="005C0ECA">
              <w:rPr>
                <w:noProof/>
                <w:webHidden/>
                <w:sz w:val="24"/>
                <w:szCs w:val="24"/>
              </w:rPr>
              <w:fldChar w:fldCharType="separate"/>
            </w:r>
            <w:r w:rsidR="00FC6870">
              <w:rPr>
                <w:noProof/>
                <w:webHidden/>
                <w:sz w:val="24"/>
                <w:szCs w:val="24"/>
              </w:rPr>
              <w:t>4</w:t>
            </w:r>
            <w:r w:rsidRPr="005C0ECA">
              <w:rPr>
                <w:noProof/>
                <w:webHidden/>
                <w:sz w:val="24"/>
                <w:szCs w:val="24"/>
              </w:rPr>
              <w:fldChar w:fldCharType="end"/>
            </w:r>
          </w:hyperlink>
        </w:p>
        <w:p w:rsidR="005C0ECA" w:rsidRPr="005C0ECA" w:rsidRDefault="00F4571C">
          <w:pPr>
            <w:pStyle w:val="TOC1"/>
            <w:tabs>
              <w:tab w:val="right" w:leader="dot" w:pos="8630"/>
            </w:tabs>
            <w:rPr>
              <w:noProof/>
              <w:sz w:val="24"/>
              <w:szCs w:val="24"/>
            </w:rPr>
          </w:pPr>
          <w:hyperlink w:anchor="_Toc79315034" w:history="1">
            <w:r w:rsidR="005C0ECA" w:rsidRPr="005C0ECA">
              <w:rPr>
                <w:rStyle w:val="Hyperlink"/>
                <w:rFonts w:asciiTheme="majorBidi" w:hAnsiTheme="majorBidi"/>
                <w:noProof/>
                <w:color w:val="auto"/>
                <w:sz w:val="24"/>
                <w:szCs w:val="24"/>
              </w:rPr>
              <w:t>Legal value of the Convention in the legal system</w:t>
            </w:r>
            <w:r w:rsidR="005C0ECA" w:rsidRPr="005C0ECA">
              <w:rPr>
                <w:noProof/>
                <w:webHidden/>
                <w:sz w:val="24"/>
                <w:szCs w:val="24"/>
              </w:rPr>
              <w:tab/>
            </w:r>
            <w:r w:rsidR="005C0ECA" w:rsidRPr="005C0ECA">
              <w:rPr>
                <w:noProof/>
                <w:webHidden/>
                <w:sz w:val="24"/>
                <w:szCs w:val="24"/>
              </w:rPr>
              <w:fldChar w:fldCharType="begin"/>
            </w:r>
            <w:r w:rsidR="005C0ECA" w:rsidRPr="005C0ECA">
              <w:rPr>
                <w:noProof/>
                <w:webHidden/>
                <w:sz w:val="24"/>
                <w:szCs w:val="24"/>
              </w:rPr>
              <w:instrText xml:space="preserve"> PAGEREF _Toc79315034 \h </w:instrText>
            </w:r>
            <w:r w:rsidR="005C0ECA" w:rsidRPr="005C0ECA">
              <w:rPr>
                <w:noProof/>
                <w:webHidden/>
                <w:sz w:val="24"/>
                <w:szCs w:val="24"/>
              </w:rPr>
            </w:r>
            <w:r w:rsidR="005C0ECA" w:rsidRPr="005C0ECA">
              <w:rPr>
                <w:noProof/>
                <w:webHidden/>
                <w:sz w:val="24"/>
                <w:szCs w:val="24"/>
              </w:rPr>
              <w:fldChar w:fldCharType="separate"/>
            </w:r>
            <w:r w:rsidR="00FC6870">
              <w:rPr>
                <w:noProof/>
                <w:webHidden/>
                <w:sz w:val="24"/>
                <w:szCs w:val="24"/>
              </w:rPr>
              <w:t>5</w:t>
            </w:r>
            <w:r w:rsidR="005C0ECA" w:rsidRPr="005C0ECA">
              <w:rPr>
                <w:noProof/>
                <w:webHidden/>
                <w:sz w:val="24"/>
                <w:szCs w:val="24"/>
              </w:rPr>
              <w:fldChar w:fldCharType="end"/>
            </w:r>
          </w:hyperlink>
        </w:p>
        <w:p w:rsidR="005C0ECA" w:rsidRPr="005C0ECA" w:rsidRDefault="00F4571C">
          <w:pPr>
            <w:pStyle w:val="TOC1"/>
            <w:tabs>
              <w:tab w:val="right" w:leader="dot" w:pos="8630"/>
            </w:tabs>
            <w:rPr>
              <w:noProof/>
              <w:sz w:val="24"/>
              <w:szCs w:val="24"/>
            </w:rPr>
          </w:pPr>
          <w:hyperlink w:anchor="_Toc79315035" w:history="1">
            <w:r w:rsidR="005C0ECA" w:rsidRPr="005C0ECA">
              <w:rPr>
                <w:rStyle w:val="Hyperlink"/>
                <w:rFonts w:asciiTheme="majorBidi" w:hAnsiTheme="majorBidi"/>
                <w:noProof/>
                <w:color w:val="auto"/>
                <w:sz w:val="24"/>
                <w:szCs w:val="24"/>
              </w:rPr>
              <w:t>General measures of implementation</w:t>
            </w:r>
            <w:r w:rsidR="005C0ECA" w:rsidRPr="005C0ECA">
              <w:rPr>
                <w:noProof/>
                <w:webHidden/>
                <w:sz w:val="24"/>
                <w:szCs w:val="24"/>
              </w:rPr>
              <w:tab/>
            </w:r>
            <w:r w:rsidR="005C0ECA" w:rsidRPr="005C0ECA">
              <w:rPr>
                <w:noProof/>
                <w:webHidden/>
                <w:sz w:val="24"/>
                <w:szCs w:val="24"/>
              </w:rPr>
              <w:fldChar w:fldCharType="begin"/>
            </w:r>
            <w:r w:rsidR="005C0ECA" w:rsidRPr="005C0ECA">
              <w:rPr>
                <w:noProof/>
                <w:webHidden/>
                <w:sz w:val="24"/>
                <w:szCs w:val="24"/>
              </w:rPr>
              <w:instrText xml:space="preserve"> PAGEREF _Toc79315035 \h </w:instrText>
            </w:r>
            <w:r w:rsidR="005C0ECA" w:rsidRPr="005C0ECA">
              <w:rPr>
                <w:noProof/>
                <w:webHidden/>
                <w:sz w:val="24"/>
                <w:szCs w:val="24"/>
              </w:rPr>
            </w:r>
            <w:r w:rsidR="005C0ECA" w:rsidRPr="005C0ECA">
              <w:rPr>
                <w:noProof/>
                <w:webHidden/>
                <w:sz w:val="24"/>
                <w:szCs w:val="24"/>
              </w:rPr>
              <w:fldChar w:fldCharType="separate"/>
            </w:r>
            <w:r w:rsidR="00FC6870">
              <w:rPr>
                <w:noProof/>
                <w:webHidden/>
                <w:sz w:val="24"/>
                <w:szCs w:val="24"/>
              </w:rPr>
              <w:t>5</w:t>
            </w:r>
            <w:r w:rsidR="005C0ECA" w:rsidRPr="005C0ECA">
              <w:rPr>
                <w:noProof/>
                <w:webHidden/>
                <w:sz w:val="24"/>
                <w:szCs w:val="24"/>
              </w:rPr>
              <w:fldChar w:fldCharType="end"/>
            </w:r>
          </w:hyperlink>
        </w:p>
        <w:p w:rsidR="005C0ECA" w:rsidRPr="005C0ECA" w:rsidRDefault="00F4571C">
          <w:pPr>
            <w:pStyle w:val="TOC1"/>
            <w:tabs>
              <w:tab w:val="right" w:leader="dot" w:pos="8630"/>
            </w:tabs>
            <w:rPr>
              <w:noProof/>
              <w:sz w:val="24"/>
              <w:szCs w:val="24"/>
            </w:rPr>
          </w:pPr>
          <w:hyperlink w:anchor="_Toc79315036" w:history="1">
            <w:r w:rsidR="005C0ECA" w:rsidRPr="005C0ECA">
              <w:rPr>
                <w:rStyle w:val="Hyperlink"/>
                <w:rFonts w:asciiTheme="majorBidi" w:hAnsiTheme="majorBidi"/>
                <w:noProof/>
                <w:color w:val="auto"/>
                <w:sz w:val="24"/>
                <w:szCs w:val="24"/>
              </w:rPr>
              <w:t>Equality and non-discrimination</w:t>
            </w:r>
            <w:r w:rsidR="005C0ECA" w:rsidRPr="005C0ECA">
              <w:rPr>
                <w:noProof/>
                <w:webHidden/>
                <w:sz w:val="24"/>
                <w:szCs w:val="24"/>
              </w:rPr>
              <w:tab/>
            </w:r>
            <w:r w:rsidR="005C0ECA" w:rsidRPr="005C0ECA">
              <w:rPr>
                <w:noProof/>
                <w:webHidden/>
                <w:sz w:val="24"/>
                <w:szCs w:val="24"/>
              </w:rPr>
              <w:fldChar w:fldCharType="begin"/>
            </w:r>
            <w:r w:rsidR="005C0ECA" w:rsidRPr="005C0ECA">
              <w:rPr>
                <w:noProof/>
                <w:webHidden/>
                <w:sz w:val="24"/>
                <w:szCs w:val="24"/>
              </w:rPr>
              <w:instrText xml:space="preserve"> PAGEREF _Toc79315036 \h </w:instrText>
            </w:r>
            <w:r w:rsidR="005C0ECA" w:rsidRPr="005C0ECA">
              <w:rPr>
                <w:noProof/>
                <w:webHidden/>
                <w:sz w:val="24"/>
                <w:szCs w:val="24"/>
              </w:rPr>
            </w:r>
            <w:r w:rsidR="005C0ECA" w:rsidRPr="005C0ECA">
              <w:rPr>
                <w:noProof/>
                <w:webHidden/>
                <w:sz w:val="24"/>
                <w:szCs w:val="24"/>
              </w:rPr>
              <w:fldChar w:fldCharType="separate"/>
            </w:r>
            <w:r w:rsidR="00FC6870">
              <w:rPr>
                <w:noProof/>
                <w:webHidden/>
                <w:sz w:val="24"/>
                <w:szCs w:val="24"/>
              </w:rPr>
              <w:t>6</w:t>
            </w:r>
            <w:r w:rsidR="005C0ECA" w:rsidRPr="005C0ECA">
              <w:rPr>
                <w:noProof/>
                <w:webHidden/>
                <w:sz w:val="24"/>
                <w:szCs w:val="24"/>
              </w:rPr>
              <w:fldChar w:fldCharType="end"/>
            </w:r>
          </w:hyperlink>
        </w:p>
        <w:p w:rsidR="005C0ECA" w:rsidRPr="005C0ECA" w:rsidRDefault="00F4571C">
          <w:pPr>
            <w:pStyle w:val="TOC1"/>
            <w:tabs>
              <w:tab w:val="right" w:leader="dot" w:pos="8630"/>
            </w:tabs>
            <w:rPr>
              <w:noProof/>
              <w:sz w:val="24"/>
              <w:szCs w:val="24"/>
            </w:rPr>
          </w:pPr>
          <w:hyperlink w:anchor="_Toc79315037" w:history="1">
            <w:r w:rsidR="005C0ECA" w:rsidRPr="005C0ECA">
              <w:rPr>
                <w:rStyle w:val="Hyperlink"/>
                <w:rFonts w:asciiTheme="majorBidi" w:hAnsiTheme="majorBidi"/>
                <w:noProof/>
                <w:color w:val="auto"/>
                <w:sz w:val="24"/>
                <w:szCs w:val="24"/>
              </w:rPr>
              <w:t>Right to work</w:t>
            </w:r>
            <w:r w:rsidR="005C0ECA" w:rsidRPr="005C0ECA">
              <w:rPr>
                <w:noProof/>
                <w:webHidden/>
                <w:sz w:val="24"/>
                <w:szCs w:val="24"/>
              </w:rPr>
              <w:tab/>
            </w:r>
            <w:r w:rsidR="005C0ECA" w:rsidRPr="005C0ECA">
              <w:rPr>
                <w:noProof/>
                <w:webHidden/>
                <w:sz w:val="24"/>
                <w:szCs w:val="24"/>
              </w:rPr>
              <w:fldChar w:fldCharType="begin"/>
            </w:r>
            <w:r w:rsidR="005C0ECA" w:rsidRPr="005C0ECA">
              <w:rPr>
                <w:noProof/>
                <w:webHidden/>
                <w:sz w:val="24"/>
                <w:szCs w:val="24"/>
              </w:rPr>
              <w:instrText xml:space="preserve"> PAGEREF _Toc79315037 \h </w:instrText>
            </w:r>
            <w:r w:rsidR="005C0ECA" w:rsidRPr="005C0ECA">
              <w:rPr>
                <w:noProof/>
                <w:webHidden/>
                <w:sz w:val="24"/>
                <w:szCs w:val="24"/>
              </w:rPr>
            </w:r>
            <w:r w:rsidR="005C0ECA" w:rsidRPr="005C0ECA">
              <w:rPr>
                <w:noProof/>
                <w:webHidden/>
                <w:sz w:val="24"/>
                <w:szCs w:val="24"/>
              </w:rPr>
              <w:fldChar w:fldCharType="separate"/>
            </w:r>
            <w:r w:rsidR="00FC6870">
              <w:rPr>
                <w:noProof/>
                <w:webHidden/>
                <w:sz w:val="24"/>
                <w:szCs w:val="24"/>
              </w:rPr>
              <w:t>7</w:t>
            </w:r>
            <w:r w:rsidR="005C0ECA" w:rsidRPr="005C0ECA">
              <w:rPr>
                <w:noProof/>
                <w:webHidden/>
                <w:sz w:val="24"/>
                <w:szCs w:val="24"/>
              </w:rPr>
              <w:fldChar w:fldCharType="end"/>
            </w:r>
          </w:hyperlink>
        </w:p>
        <w:p w:rsidR="005C0ECA" w:rsidRPr="005C0ECA" w:rsidRDefault="00F4571C">
          <w:pPr>
            <w:pStyle w:val="TOC1"/>
            <w:tabs>
              <w:tab w:val="right" w:leader="dot" w:pos="8630"/>
            </w:tabs>
            <w:rPr>
              <w:noProof/>
              <w:sz w:val="24"/>
              <w:szCs w:val="24"/>
            </w:rPr>
          </w:pPr>
          <w:hyperlink w:anchor="_Toc79315038" w:history="1">
            <w:r w:rsidR="005C0ECA" w:rsidRPr="005C0ECA">
              <w:rPr>
                <w:rStyle w:val="Hyperlink"/>
                <w:rFonts w:asciiTheme="majorBidi" w:hAnsiTheme="majorBidi"/>
                <w:noProof/>
                <w:color w:val="auto"/>
                <w:sz w:val="24"/>
                <w:szCs w:val="24"/>
              </w:rPr>
              <w:t>Right to freedom of association and right to strike</w:t>
            </w:r>
            <w:r w:rsidR="005C0ECA" w:rsidRPr="005C0ECA">
              <w:rPr>
                <w:noProof/>
                <w:webHidden/>
                <w:sz w:val="24"/>
                <w:szCs w:val="24"/>
              </w:rPr>
              <w:tab/>
            </w:r>
            <w:r w:rsidR="005C0ECA" w:rsidRPr="005C0ECA">
              <w:rPr>
                <w:noProof/>
                <w:webHidden/>
                <w:sz w:val="24"/>
                <w:szCs w:val="24"/>
              </w:rPr>
              <w:fldChar w:fldCharType="begin"/>
            </w:r>
            <w:r w:rsidR="005C0ECA" w:rsidRPr="005C0ECA">
              <w:rPr>
                <w:noProof/>
                <w:webHidden/>
                <w:sz w:val="24"/>
                <w:szCs w:val="24"/>
              </w:rPr>
              <w:instrText xml:space="preserve"> PAGEREF _Toc79315038 \h </w:instrText>
            </w:r>
            <w:r w:rsidR="005C0ECA" w:rsidRPr="005C0ECA">
              <w:rPr>
                <w:noProof/>
                <w:webHidden/>
                <w:sz w:val="24"/>
                <w:szCs w:val="24"/>
              </w:rPr>
            </w:r>
            <w:r w:rsidR="005C0ECA" w:rsidRPr="005C0ECA">
              <w:rPr>
                <w:noProof/>
                <w:webHidden/>
                <w:sz w:val="24"/>
                <w:szCs w:val="24"/>
              </w:rPr>
              <w:fldChar w:fldCharType="separate"/>
            </w:r>
            <w:r w:rsidR="00FC6870">
              <w:rPr>
                <w:noProof/>
                <w:webHidden/>
                <w:sz w:val="24"/>
                <w:szCs w:val="24"/>
              </w:rPr>
              <w:t>8</w:t>
            </w:r>
            <w:r w:rsidR="005C0ECA" w:rsidRPr="005C0ECA">
              <w:rPr>
                <w:noProof/>
                <w:webHidden/>
                <w:sz w:val="24"/>
                <w:szCs w:val="24"/>
              </w:rPr>
              <w:fldChar w:fldCharType="end"/>
            </w:r>
          </w:hyperlink>
        </w:p>
        <w:p w:rsidR="005C0ECA" w:rsidRPr="005C0ECA" w:rsidRDefault="00F4571C">
          <w:pPr>
            <w:pStyle w:val="TOC1"/>
            <w:tabs>
              <w:tab w:val="right" w:leader="dot" w:pos="8630"/>
            </w:tabs>
            <w:rPr>
              <w:noProof/>
              <w:sz w:val="24"/>
              <w:szCs w:val="24"/>
            </w:rPr>
          </w:pPr>
          <w:hyperlink w:anchor="_Toc79315039" w:history="1">
            <w:r w:rsidR="005C0ECA" w:rsidRPr="005C0ECA">
              <w:rPr>
                <w:rStyle w:val="Hyperlink"/>
                <w:rFonts w:asciiTheme="majorBidi" w:hAnsiTheme="majorBidi"/>
                <w:noProof/>
                <w:color w:val="auto"/>
                <w:sz w:val="24"/>
                <w:szCs w:val="24"/>
              </w:rPr>
              <w:t>Right to social security and retirement</w:t>
            </w:r>
            <w:r w:rsidR="005C0ECA" w:rsidRPr="005C0ECA">
              <w:rPr>
                <w:noProof/>
                <w:webHidden/>
                <w:sz w:val="24"/>
                <w:szCs w:val="24"/>
              </w:rPr>
              <w:tab/>
            </w:r>
            <w:r w:rsidR="005C0ECA" w:rsidRPr="005C0ECA">
              <w:rPr>
                <w:noProof/>
                <w:webHidden/>
                <w:sz w:val="24"/>
                <w:szCs w:val="24"/>
              </w:rPr>
              <w:fldChar w:fldCharType="begin"/>
            </w:r>
            <w:r w:rsidR="005C0ECA" w:rsidRPr="005C0ECA">
              <w:rPr>
                <w:noProof/>
                <w:webHidden/>
                <w:sz w:val="24"/>
                <w:szCs w:val="24"/>
              </w:rPr>
              <w:instrText xml:space="preserve"> PAGEREF _Toc79315039 \h </w:instrText>
            </w:r>
            <w:r w:rsidR="005C0ECA" w:rsidRPr="005C0ECA">
              <w:rPr>
                <w:noProof/>
                <w:webHidden/>
                <w:sz w:val="24"/>
                <w:szCs w:val="24"/>
              </w:rPr>
            </w:r>
            <w:r w:rsidR="005C0ECA" w:rsidRPr="005C0ECA">
              <w:rPr>
                <w:noProof/>
                <w:webHidden/>
                <w:sz w:val="24"/>
                <w:szCs w:val="24"/>
              </w:rPr>
              <w:fldChar w:fldCharType="separate"/>
            </w:r>
            <w:r w:rsidR="00FC6870">
              <w:rPr>
                <w:noProof/>
                <w:webHidden/>
                <w:sz w:val="24"/>
                <w:szCs w:val="24"/>
              </w:rPr>
              <w:t>8</w:t>
            </w:r>
            <w:r w:rsidR="005C0ECA" w:rsidRPr="005C0ECA">
              <w:rPr>
                <w:noProof/>
                <w:webHidden/>
                <w:sz w:val="24"/>
                <w:szCs w:val="24"/>
              </w:rPr>
              <w:fldChar w:fldCharType="end"/>
            </w:r>
          </w:hyperlink>
        </w:p>
        <w:p w:rsidR="005C0ECA" w:rsidRPr="005C0ECA" w:rsidRDefault="00F4571C">
          <w:pPr>
            <w:pStyle w:val="TOC2"/>
            <w:tabs>
              <w:tab w:val="right" w:leader="dot" w:pos="8630"/>
            </w:tabs>
            <w:rPr>
              <w:noProof/>
              <w:sz w:val="24"/>
              <w:szCs w:val="24"/>
            </w:rPr>
          </w:pPr>
          <w:hyperlink w:anchor="_Toc79315040" w:history="1">
            <w:r w:rsidR="005C0ECA" w:rsidRPr="005C0ECA">
              <w:rPr>
                <w:rStyle w:val="Hyperlink"/>
                <w:rFonts w:asciiTheme="majorBidi" w:hAnsiTheme="majorBidi"/>
                <w:noProof/>
                <w:color w:val="auto"/>
                <w:sz w:val="24"/>
                <w:szCs w:val="24"/>
              </w:rPr>
              <w:t>Protection of working mothers</w:t>
            </w:r>
            <w:r w:rsidR="005C0ECA" w:rsidRPr="005C0ECA">
              <w:rPr>
                <w:noProof/>
                <w:webHidden/>
                <w:sz w:val="24"/>
                <w:szCs w:val="24"/>
              </w:rPr>
              <w:tab/>
            </w:r>
            <w:r w:rsidR="005C0ECA" w:rsidRPr="005C0ECA">
              <w:rPr>
                <w:noProof/>
                <w:webHidden/>
                <w:sz w:val="24"/>
                <w:szCs w:val="24"/>
              </w:rPr>
              <w:fldChar w:fldCharType="begin"/>
            </w:r>
            <w:r w:rsidR="005C0ECA" w:rsidRPr="005C0ECA">
              <w:rPr>
                <w:noProof/>
                <w:webHidden/>
                <w:sz w:val="24"/>
                <w:szCs w:val="24"/>
              </w:rPr>
              <w:instrText xml:space="preserve"> PAGEREF _Toc79315040 \h </w:instrText>
            </w:r>
            <w:r w:rsidR="005C0ECA" w:rsidRPr="005C0ECA">
              <w:rPr>
                <w:noProof/>
                <w:webHidden/>
                <w:sz w:val="24"/>
                <w:szCs w:val="24"/>
              </w:rPr>
            </w:r>
            <w:r w:rsidR="005C0ECA" w:rsidRPr="005C0ECA">
              <w:rPr>
                <w:noProof/>
                <w:webHidden/>
                <w:sz w:val="24"/>
                <w:szCs w:val="24"/>
              </w:rPr>
              <w:fldChar w:fldCharType="separate"/>
            </w:r>
            <w:r w:rsidR="00FC6870">
              <w:rPr>
                <w:noProof/>
                <w:webHidden/>
                <w:sz w:val="24"/>
                <w:szCs w:val="24"/>
              </w:rPr>
              <w:t>9</w:t>
            </w:r>
            <w:r w:rsidR="005C0ECA" w:rsidRPr="005C0ECA">
              <w:rPr>
                <w:noProof/>
                <w:webHidden/>
                <w:sz w:val="24"/>
                <w:szCs w:val="24"/>
              </w:rPr>
              <w:fldChar w:fldCharType="end"/>
            </w:r>
          </w:hyperlink>
        </w:p>
        <w:p w:rsidR="005C0ECA" w:rsidRPr="005C0ECA" w:rsidRDefault="00F4571C">
          <w:pPr>
            <w:pStyle w:val="TOC2"/>
            <w:tabs>
              <w:tab w:val="right" w:leader="dot" w:pos="8630"/>
            </w:tabs>
            <w:rPr>
              <w:noProof/>
              <w:sz w:val="24"/>
              <w:szCs w:val="24"/>
            </w:rPr>
          </w:pPr>
          <w:hyperlink w:anchor="_Toc79315041" w:history="1">
            <w:r w:rsidR="005C0ECA" w:rsidRPr="005C0ECA">
              <w:rPr>
                <w:rStyle w:val="Hyperlink"/>
                <w:rFonts w:asciiTheme="majorBidi" w:hAnsiTheme="majorBidi"/>
                <w:noProof/>
                <w:color w:val="auto"/>
                <w:sz w:val="24"/>
                <w:szCs w:val="24"/>
              </w:rPr>
              <w:t>Protection of children</w:t>
            </w:r>
            <w:r w:rsidR="005C0ECA" w:rsidRPr="005C0ECA">
              <w:rPr>
                <w:noProof/>
                <w:webHidden/>
                <w:sz w:val="24"/>
                <w:szCs w:val="24"/>
              </w:rPr>
              <w:tab/>
            </w:r>
            <w:r w:rsidR="005C0ECA" w:rsidRPr="005C0ECA">
              <w:rPr>
                <w:noProof/>
                <w:webHidden/>
                <w:sz w:val="24"/>
                <w:szCs w:val="24"/>
              </w:rPr>
              <w:fldChar w:fldCharType="begin"/>
            </w:r>
            <w:r w:rsidR="005C0ECA" w:rsidRPr="005C0ECA">
              <w:rPr>
                <w:noProof/>
                <w:webHidden/>
                <w:sz w:val="24"/>
                <w:szCs w:val="24"/>
              </w:rPr>
              <w:instrText xml:space="preserve"> PAGEREF _Toc79315041 \h </w:instrText>
            </w:r>
            <w:r w:rsidR="005C0ECA" w:rsidRPr="005C0ECA">
              <w:rPr>
                <w:noProof/>
                <w:webHidden/>
                <w:sz w:val="24"/>
                <w:szCs w:val="24"/>
              </w:rPr>
            </w:r>
            <w:r w:rsidR="005C0ECA" w:rsidRPr="005C0ECA">
              <w:rPr>
                <w:noProof/>
                <w:webHidden/>
                <w:sz w:val="24"/>
                <w:szCs w:val="24"/>
              </w:rPr>
              <w:fldChar w:fldCharType="separate"/>
            </w:r>
            <w:r w:rsidR="00FC6870">
              <w:rPr>
                <w:noProof/>
                <w:webHidden/>
                <w:sz w:val="24"/>
                <w:szCs w:val="24"/>
              </w:rPr>
              <w:t>10</w:t>
            </w:r>
            <w:r w:rsidR="005C0ECA" w:rsidRPr="005C0ECA">
              <w:rPr>
                <w:noProof/>
                <w:webHidden/>
                <w:sz w:val="24"/>
                <w:szCs w:val="24"/>
              </w:rPr>
              <w:fldChar w:fldCharType="end"/>
            </w:r>
          </w:hyperlink>
        </w:p>
        <w:p w:rsidR="005C0ECA" w:rsidRPr="005C0ECA" w:rsidRDefault="00F4571C">
          <w:pPr>
            <w:pStyle w:val="TOC2"/>
            <w:tabs>
              <w:tab w:val="right" w:leader="dot" w:pos="8630"/>
            </w:tabs>
            <w:rPr>
              <w:noProof/>
              <w:sz w:val="24"/>
              <w:szCs w:val="24"/>
            </w:rPr>
          </w:pPr>
          <w:hyperlink w:anchor="_Toc79315042" w:history="1">
            <w:r w:rsidR="005C0ECA" w:rsidRPr="005C0ECA">
              <w:rPr>
                <w:rStyle w:val="Hyperlink"/>
                <w:rFonts w:asciiTheme="majorBidi" w:hAnsiTheme="majorBidi"/>
                <w:noProof/>
                <w:color w:val="auto"/>
                <w:sz w:val="24"/>
                <w:szCs w:val="24"/>
              </w:rPr>
              <w:t>Persons with disabilities</w:t>
            </w:r>
            <w:r w:rsidR="005C0ECA" w:rsidRPr="005C0ECA">
              <w:rPr>
                <w:noProof/>
                <w:webHidden/>
                <w:sz w:val="24"/>
                <w:szCs w:val="24"/>
              </w:rPr>
              <w:tab/>
            </w:r>
            <w:r w:rsidR="005C0ECA" w:rsidRPr="005C0ECA">
              <w:rPr>
                <w:noProof/>
                <w:webHidden/>
                <w:sz w:val="24"/>
                <w:szCs w:val="24"/>
              </w:rPr>
              <w:fldChar w:fldCharType="begin"/>
            </w:r>
            <w:r w:rsidR="005C0ECA" w:rsidRPr="005C0ECA">
              <w:rPr>
                <w:noProof/>
                <w:webHidden/>
                <w:sz w:val="24"/>
                <w:szCs w:val="24"/>
              </w:rPr>
              <w:instrText xml:space="preserve"> PAGEREF _Toc79315042 \h </w:instrText>
            </w:r>
            <w:r w:rsidR="005C0ECA" w:rsidRPr="005C0ECA">
              <w:rPr>
                <w:noProof/>
                <w:webHidden/>
                <w:sz w:val="24"/>
                <w:szCs w:val="24"/>
              </w:rPr>
            </w:r>
            <w:r w:rsidR="005C0ECA" w:rsidRPr="005C0ECA">
              <w:rPr>
                <w:noProof/>
                <w:webHidden/>
                <w:sz w:val="24"/>
                <w:szCs w:val="24"/>
              </w:rPr>
              <w:fldChar w:fldCharType="separate"/>
            </w:r>
            <w:r w:rsidR="00FC6870">
              <w:rPr>
                <w:noProof/>
                <w:webHidden/>
                <w:sz w:val="24"/>
                <w:szCs w:val="24"/>
              </w:rPr>
              <w:t>10</w:t>
            </w:r>
            <w:r w:rsidR="005C0ECA" w:rsidRPr="005C0ECA">
              <w:rPr>
                <w:noProof/>
                <w:webHidden/>
                <w:sz w:val="24"/>
                <w:szCs w:val="24"/>
              </w:rPr>
              <w:fldChar w:fldCharType="end"/>
            </w:r>
          </w:hyperlink>
        </w:p>
        <w:p w:rsidR="005C0ECA" w:rsidRPr="005C0ECA" w:rsidRDefault="00F4571C">
          <w:pPr>
            <w:pStyle w:val="TOC2"/>
            <w:tabs>
              <w:tab w:val="right" w:leader="dot" w:pos="8630"/>
            </w:tabs>
            <w:rPr>
              <w:noProof/>
              <w:sz w:val="24"/>
              <w:szCs w:val="24"/>
            </w:rPr>
          </w:pPr>
          <w:hyperlink w:anchor="_Toc79315043" w:history="1">
            <w:r w:rsidR="005C0ECA" w:rsidRPr="005C0ECA">
              <w:rPr>
                <w:rStyle w:val="Hyperlink"/>
                <w:rFonts w:asciiTheme="majorBidi" w:hAnsiTheme="majorBidi"/>
                <w:noProof/>
                <w:color w:val="auto"/>
                <w:sz w:val="24"/>
                <w:szCs w:val="24"/>
              </w:rPr>
              <w:t>Older persons</w:t>
            </w:r>
            <w:r w:rsidR="005C0ECA" w:rsidRPr="005C0ECA">
              <w:rPr>
                <w:noProof/>
                <w:webHidden/>
                <w:sz w:val="24"/>
                <w:szCs w:val="24"/>
              </w:rPr>
              <w:tab/>
            </w:r>
            <w:r w:rsidR="005C0ECA" w:rsidRPr="005C0ECA">
              <w:rPr>
                <w:noProof/>
                <w:webHidden/>
                <w:sz w:val="24"/>
                <w:szCs w:val="24"/>
              </w:rPr>
              <w:fldChar w:fldCharType="begin"/>
            </w:r>
            <w:r w:rsidR="005C0ECA" w:rsidRPr="005C0ECA">
              <w:rPr>
                <w:noProof/>
                <w:webHidden/>
                <w:sz w:val="24"/>
                <w:szCs w:val="24"/>
              </w:rPr>
              <w:instrText xml:space="preserve"> PAGEREF _Toc79315043 \h </w:instrText>
            </w:r>
            <w:r w:rsidR="005C0ECA" w:rsidRPr="005C0ECA">
              <w:rPr>
                <w:noProof/>
                <w:webHidden/>
                <w:sz w:val="24"/>
                <w:szCs w:val="24"/>
              </w:rPr>
            </w:r>
            <w:r w:rsidR="005C0ECA" w:rsidRPr="005C0ECA">
              <w:rPr>
                <w:noProof/>
                <w:webHidden/>
                <w:sz w:val="24"/>
                <w:szCs w:val="24"/>
              </w:rPr>
              <w:fldChar w:fldCharType="separate"/>
            </w:r>
            <w:r w:rsidR="00FC6870">
              <w:rPr>
                <w:noProof/>
                <w:webHidden/>
                <w:sz w:val="24"/>
                <w:szCs w:val="24"/>
              </w:rPr>
              <w:t>11</w:t>
            </w:r>
            <w:r w:rsidR="005C0ECA" w:rsidRPr="005C0ECA">
              <w:rPr>
                <w:noProof/>
                <w:webHidden/>
                <w:sz w:val="24"/>
                <w:szCs w:val="24"/>
              </w:rPr>
              <w:fldChar w:fldCharType="end"/>
            </w:r>
          </w:hyperlink>
        </w:p>
        <w:p w:rsidR="005C0ECA" w:rsidRPr="005C0ECA" w:rsidRDefault="00F4571C">
          <w:pPr>
            <w:pStyle w:val="TOC1"/>
            <w:tabs>
              <w:tab w:val="right" w:leader="dot" w:pos="8630"/>
            </w:tabs>
            <w:rPr>
              <w:noProof/>
              <w:sz w:val="24"/>
              <w:szCs w:val="24"/>
            </w:rPr>
          </w:pPr>
          <w:hyperlink w:anchor="_Toc79315044" w:history="1">
            <w:r w:rsidR="005C0ECA" w:rsidRPr="005C0ECA">
              <w:rPr>
                <w:rStyle w:val="Hyperlink"/>
                <w:rFonts w:asciiTheme="majorBidi" w:hAnsiTheme="majorBidi"/>
                <w:noProof/>
                <w:color w:val="auto"/>
                <w:sz w:val="24"/>
                <w:szCs w:val="24"/>
              </w:rPr>
              <w:t>Poverty reduction</w:t>
            </w:r>
            <w:r w:rsidR="005C0ECA" w:rsidRPr="005C0ECA">
              <w:rPr>
                <w:noProof/>
                <w:webHidden/>
                <w:sz w:val="24"/>
                <w:szCs w:val="24"/>
              </w:rPr>
              <w:tab/>
            </w:r>
            <w:r w:rsidR="005C0ECA" w:rsidRPr="005C0ECA">
              <w:rPr>
                <w:noProof/>
                <w:webHidden/>
                <w:sz w:val="24"/>
                <w:szCs w:val="24"/>
              </w:rPr>
              <w:fldChar w:fldCharType="begin"/>
            </w:r>
            <w:r w:rsidR="005C0ECA" w:rsidRPr="005C0ECA">
              <w:rPr>
                <w:noProof/>
                <w:webHidden/>
                <w:sz w:val="24"/>
                <w:szCs w:val="24"/>
              </w:rPr>
              <w:instrText xml:space="preserve"> PAGEREF _Toc79315044 \h </w:instrText>
            </w:r>
            <w:r w:rsidR="005C0ECA" w:rsidRPr="005C0ECA">
              <w:rPr>
                <w:noProof/>
                <w:webHidden/>
                <w:sz w:val="24"/>
                <w:szCs w:val="24"/>
              </w:rPr>
            </w:r>
            <w:r w:rsidR="005C0ECA" w:rsidRPr="005C0ECA">
              <w:rPr>
                <w:noProof/>
                <w:webHidden/>
                <w:sz w:val="24"/>
                <w:szCs w:val="24"/>
              </w:rPr>
              <w:fldChar w:fldCharType="separate"/>
            </w:r>
            <w:r w:rsidR="00FC6870">
              <w:rPr>
                <w:noProof/>
                <w:webHidden/>
                <w:sz w:val="24"/>
                <w:szCs w:val="24"/>
              </w:rPr>
              <w:t>12</w:t>
            </w:r>
            <w:r w:rsidR="005C0ECA" w:rsidRPr="005C0ECA">
              <w:rPr>
                <w:noProof/>
                <w:webHidden/>
                <w:sz w:val="24"/>
                <w:szCs w:val="24"/>
              </w:rPr>
              <w:fldChar w:fldCharType="end"/>
            </w:r>
          </w:hyperlink>
        </w:p>
        <w:p w:rsidR="005C0ECA" w:rsidRPr="005C0ECA" w:rsidRDefault="00F4571C">
          <w:pPr>
            <w:pStyle w:val="TOC1"/>
            <w:tabs>
              <w:tab w:val="right" w:leader="dot" w:pos="8630"/>
            </w:tabs>
            <w:rPr>
              <w:noProof/>
              <w:sz w:val="24"/>
              <w:szCs w:val="24"/>
            </w:rPr>
          </w:pPr>
          <w:hyperlink w:anchor="_Toc79315045" w:history="1">
            <w:r w:rsidR="005C0ECA" w:rsidRPr="005C0ECA">
              <w:rPr>
                <w:rStyle w:val="Hyperlink"/>
                <w:rFonts w:asciiTheme="majorBidi" w:hAnsiTheme="majorBidi"/>
                <w:noProof/>
                <w:color w:val="auto"/>
                <w:sz w:val="24"/>
                <w:szCs w:val="24"/>
              </w:rPr>
              <w:t>Right to adequate food</w:t>
            </w:r>
            <w:r w:rsidR="005C0ECA" w:rsidRPr="005C0ECA">
              <w:rPr>
                <w:noProof/>
                <w:webHidden/>
                <w:sz w:val="24"/>
                <w:szCs w:val="24"/>
              </w:rPr>
              <w:tab/>
            </w:r>
            <w:r w:rsidR="005C0ECA" w:rsidRPr="005C0ECA">
              <w:rPr>
                <w:noProof/>
                <w:webHidden/>
                <w:sz w:val="24"/>
                <w:szCs w:val="24"/>
              </w:rPr>
              <w:fldChar w:fldCharType="begin"/>
            </w:r>
            <w:r w:rsidR="005C0ECA" w:rsidRPr="005C0ECA">
              <w:rPr>
                <w:noProof/>
                <w:webHidden/>
                <w:sz w:val="24"/>
                <w:szCs w:val="24"/>
              </w:rPr>
              <w:instrText xml:space="preserve"> PAGEREF _Toc79315045 \h </w:instrText>
            </w:r>
            <w:r w:rsidR="005C0ECA" w:rsidRPr="005C0ECA">
              <w:rPr>
                <w:noProof/>
                <w:webHidden/>
                <w:sz w:val="24"/>
                <w:szCs w:val="24"/>
              </w:rPr>
            </w:r>
            <w:r w:rsidR="005C0ECA" w:rsidRPr="005C0ECA">
              <w:rPr>
                <w:noProof/>
                <w:webHidden/>
                <w:sz w:val="24"/>
                <w:szCs w:val="24"/>
              </w:rPr>
              <w:fldChar w:fldCharType="separate"/>
            </w:r>
            <w:r w:rsidR="00FC6870">
              <w:rPr>
                <w:noProof/>
                <w:webHidden/>
                <w:sz w:val="24"/>
                <w:szCs w:val="24"/>
              </w:rPr>
              <w:t>13</w:t>
            </w:r>
            <w:r w:rsidR="005C0ECA" w:rsidRPr="005C0ECA">
              <w:rPr>
                <w:noProof/>
                <w:webHidden/>
                <w:sz w:val="24"/>
                <w:szCs w:val="24"/>
              </w:rPr>
              <w:fldChar w:fldCharType="end"/>
            </w:r>
          </w:hyperlink>
        </w:p>
        <w:p w:rsidR="005C0ECA" w:rsidRPr="005C0ECA" w:rsidRDefault="00F4571C">
          <w:pPr>
            <w:pStyle w:val="TOC1"/>
            <w:tabs>
              <w:tab w:val="right" w:leader="dot" w:pos="8630"/>
            </w:tabs>
            <w:rPr>
              <w:noProof/>
              <w:sz w:val="24"/>
              <w:szCs w:val="24"/>
            </w:rPr>
          </w:pPr>
          <w:hyperlink w:anchor="_Toc79315046" w:history="1">
            <w:r w:rsidR="005C0ECA" w:rsidRPr="005C0ECA">
              <w:rPr>
                <w:rStyle w:val="Hyperlink"/>
                <w:rFonts w:asciiTheme="majorBidi" w:hAnsiTheme="majorBidi"/>
                <w:noProof/>
                <w:color w:val="auto"/>
                <w:sz w:val="24"/>
                <w:szCs w:val="24"/>
              </w:rPr>
              <w:t>Right to adequate housing</w:t>
            </w:r>
            <w:r w:rsidR="005C0ECA" w:rsidRPr="005C0ECA">
              <w:rPr>
                <w:noProof/>
                <w:webHidden/>
                <w:sz w:val="24"/>
                <w:szCs w:val="24"/>
              </w:rPr>
              <w:tab/>
            </w:r>
            <w:r w:rsidR="005C0ECA" w:rsidRPr="005C0ECA">
              <w:rPr>
                <w:noProof/>
                <w:webHidden/>
                <w:sz w:val="24"/>
                <w:szCs w:val="24"/>
              </w:rPr>
              <w:fldChar w:fldCharType="begin"/>
            </w:r>
            <w:r w:rsidR="005C0ECA" w:rsidRPr="005C0ECA">
              <w:rPr>
                <w:noProof/>
                <w:webHidden/>
                <w:sz w:val="24"/>
                <w:szCs w:val="24"/>
              </w:rPr>
              <w:instrText xml:space="preserve"> PAGEREF _Toc79315046 \h </w:instrText>
            </w:r>
            <w:r w:rsidR="005C0ECA" w:rsidRPr="005C0ECA">
              <w:rPr>
                <w:noProof/>
                <w:webHidden/>
                <w:sz w:val="24"/>
                <w:szCs w:val="24"/>
              </w:rPr>
            </w:r>
            <w:r w:rsidR="005C0ECA" w:rsidRPr="005C0ECA">
              <w:rPr>
                <w:noProof/>
                <w:webHidden/>
                <w:sz w:val="24"/>
                <w:szCs w:val="24"/>
              </w:rPr>
              <w:fldChar w:fldCharType="separate"/>
            </w:r>
            <w:r w:rsidR="00FC6870">
              <w:rPr>
                <w:noProof/>
                <w:webHidden/>
                <w:sz w:val="24"/>
                <w:szCs w:val="24"/>
              </w:rPr>
              <w:t>13</w:t>
            </w:r>
            <w:r w:rsidR="005C0ECA" w:rsidRPr="005C0ECA">
              <w:rPr>
                <w:noProof/>
                <w:webHidden/>
                <w:sz w:val="24"/>
                <w:szCs w:val="24"/>
              </w:rPr>
              <w:fldChar w:fldCharType="end"/>
            </w:r>
          </w:hyperlink>
        </w:p>
        <w:p w:rsidR="005C0ECA" w:rsidRPr="005C0ECA" w:rsidRDefault="00F4571C">
          <w:pPr>
            <w:pStyle w:val="TOC1"/>
            <w:tabs>
              <w:tab w:val="right" w:leader="dot" w:pos="8630"/>
            </w:tabs>
            <w:rPr>
              <w:noProof/>
              <w:sz w:val="24"/>
              <w:szCs w:val="24"/>
            </w:rPr>
          </w:pPr>
          <w:hyperlink w:anchor="_Toc79315047" w:history="1">
            <w:r w:rsidR="005C0ECA" w:rsidRPr="005C0ECA">
              <w:rPr>
                <w:rStyle w:val="Hyperlink"/>
                <w:rFonts w:asciiTheme="majorBidi" w:hAnsiTheme="majorBidi"/>
                <w:noProof/>
                <w:color w:val="auto"/>
                <w:sz w:val="24"/>
                <w:szCs w:val="24"/>
              </w:rPr>
              <w:t>Right to health</w:t>
            </w:r>
            <w:r w:rsidR="005C0ECA" w:rsidRPr="005C0ECA">
              <w:rPr>
                <w:noProof/>
                <w:webHidden/>
                <w:sz w:val="24"/>
                <w:szCs w:val="24"/>
              </w:rPr>
              <w:tab/>
            </w:r>
            <w:r w:rsidR="005C0ECA" w:rsidRPr="005C0ECA">
              <w:rPr>
                <w:noProof/>
                <w:webHidden/>
                <w:sz w:val="24"/>
                <w:szCs w:val="24"/>
              </w:rPr>
              <w:fldChar w:fldCharType="begin"/>
            </w:r>
            <w:r w:rsidR="005C0ECA" w:rsidRPr="005C0ECA">
              <w:rPr>
                <w:noProof/>
                <w:webHidden/>
                <w:sz w:val="24"/>
                <w:szCs w:val="24"/>
              </w:rPr>
              <w:instrText xml:space="preserve"> PAGEREF _Toc79315047 \h </w:instrText>
            </w:r>
            <w:r w:rsidR="005C0ECA" w:rsidRPr="005C0ECA">
              <w:rPr>
                <w:noProof/>
                <w:webHidden/>
                <w:sz w:val="24"/>
                <w:szCs w:val="24"/>
              </w:rPr>
            </w:r>
            <w:r w:rsidR="005C0ECA" w:rsidRPr="005C0ECA">
              <w:rPr>
                <w:noProof/>
                <w:webHidden/>
                <w:sz w:val="24"/>
                <w:szCs w:val="24"/>
              </w:rPr>
              <w:fldChar w:fldCharType="separate"/>
            </w:r>
            <w:r w:rsidR="00FC6870">
              <w:rPr>
                <w:noProof/>
                <w:webHidden/>
                <w:sz w:val="24"/>
                <w:szCs w:val="24"/>
              </w:rPr>
              <w:t>13</w:t>
            </w:r>
            <w:r w:rsidR="005C0ECA" w:rsidRPr="005C0ECA">
              <w:rPr>
                <w:noProof/>
                <w:webHidden/>
                <w:sz w:val="24"/>
                <w:szCs w:val="24"/>
              </w:rPr>
              <w:fldChar w:fldCharType="end"/>
            </w:r>
          </w:hyperlink>
        </w:p>
        <w:p w:rsidR="005C0ECA" w:rsidRPr="005C0ECA" w:rsidRDefault="00F4571C">
          <w:pPr>
            <w:pStyle w:val="TOC1"/>
            <w:tabs>
              <w:tab w:val="right" w:leader="dot" w:pos="8630"/>
            </w:tabs>
            <w:rPr>
              <w:noProof/>
              <w:sz w:val="24"/>
              <w:szCs w:val="24"/>
            </w:rPr>
          </w:pPr>
          <w:hyperlink w:anchor="_Toc79315048" w:history="1">
            <w:r w:rsidR="005C0ECA" w:rsidRPr="005C0ECA">
              <w:rPr>
                <w:rStyle w:val="Hyperlink"/>
                <w:rFonts w:asciiTheme="majorBidi" w:hAnsiTheme="majorBidi"/>
                <w:noProof/>
                <w:color w:val="auto"/>
                <w:sz w:val="24"/>
                <w:szCs w:val="24"/>
              </w:rPr>
              <w:t>Right to education</w:t>
            </w:r>
            <w:r w:rsidR="005C0ECA" w:rsidRPr="005C0ECA">
              <w:rPr>
                <w:noProof/>
                <w:webHidden/>
                <w:sz w:val="24"/>
                <w:szCs w:val="24"/>
              </w:rPr>
              <w:tab/>
            </w:r>
            <w:r w:rsidR="005C0ECA" w:rsidRPr="005C0ECA">
              <w:rPr>
                <w:noProof/>
                <w:webHidden/>
                <w:sz w:val="24"/>
                <w:szCs w:val="24"/>
              </w:rPr>
              <w:fldChar w:fldCharType="begin"/>
            </w:r>
            <w:r w:rsidR="005C0ECA" w:rsidRPr="005C0ECA">
              <w:rPr>
                <w:noProof/>
                <w:webHidden/>
                <w:sz w:val="24"/>
                <w:szCs w:val="24"/>
              </w:rPr>
              <w:instrText xml:space="preserve"> PAGEREF _Toc79315048 \h </w:instrText>
            </w:r>
            <w:r w:rsidR="005C0ECA" w:rsidRPr="005C0ECA">
              <w:rPr>
                <w:noProof/>
                <w:webHidden/>
                <w:sz w:val="24"/>
                <w:szCs w:val="24"/>
              </w:rPr>
            </w:r>
            <w:r w:rsidR="005C0ECA" w:rsidRPr="005C0ECA">
              <w:rPr>
                <w:noProof/>
                <w:webHidden/>
                <w:sz w:val="24"/>
                <w:szCs w:val="24"/>
              </w:rPr>
              <w:fldChar w:fldCharType="separate"/>
            </w:r>
            <w:r w:rsidR="00FC6870">
              <w:rPr>
                <w:noProof/>
                <w:webHidden/>
                <w:sz w:val="24"/>
                <w:szCs w:val="24"/>
              </w:rPr>
              <w:t>15</w:t>
            </w:r>
            <w:r w:rsidR="005C0ECA" w:rsidRPr="005C0ECA">
              <w:rPr>
                <w:noProof/>
                <w:webHidden/>
                <w:sz w:val="24"/>
                <w:szCs w:val="24"/>
              </w:rPr>
              <w:fldChar w:fldCharType="end"/>
            </w:r>
          </w:hyperlink>
        </w:p>
        <w:p w:rsidR="005C0ECA" w:rsidRPr="005C0ECA" w:rsidRDefault="00F4571C">
          <w:pPr>
            <w:pStyle w:val="TOC1"/>
            <w:tabs>
              <w:tab w:val="right" w:leader="dot" w:pos="8630"/>
            </w:tabs>
            <w:rPr>
              <w:noProof/>
              <w:sz w:val="24"/>
              <w:szCs w:val="24"/>
            </w:rPr>
          </w:pPr>
          <w:hyperlink w:anchor="_Toc79315049" w:history="1">
            <w:r w:rsidR="005C0ECA" w:rsidRPr="005C0ECA">
              <w:rPr>
                <w:rStyle w:val="Hyperlink"/>
                <w:rFonts w:asciiTheme="majorBidi" w:hAnsiTheme="majorBidi"/>
                <w:noProof/>
                <w:color w:val="auto"/>
                <w:sz w:val="24"/>
                <w:szCs w:val="24"/>
              </w:rPr>
              <w:t>Cultural rights</w:t>
            </w:r>
            <w:r w:rsidR="005C0ECA" w:rsidRPr="005C0ECA">
              <w:rPr>
                <w:noProof/>
                <w:webHidden/>
                <w:sz w:val="24"/>
                <w:szCs w:val="24"/>
              </w:rPr>
              <w:tab/>
            </w:r>
            <w:r w:rsidR="005C0ECA" w:rsidRPr="005C0ECA">
              <w:rPr>
                <w:noProof/>
                <w:webHidden/>
                <w:sz w:val="24"/>
                <w:szCs w:val="24"/>
              </w:rPr>
              <w:fldChar w:fldCharType="begin"/>
            </w:r>
            <w:r w:rsidR="005C0ECA" w:rsidRPr="005C0ECA">
              <w:rPr>
                <w:noProof/>
                <w:webHidden/>
                <w:sz w:val="24"/>
                <w:szCs w:val="24"/>
              </w:rPr>
              <w:instrText xml:space="preserve"> PAGEREF _Toc79315049 \h </w:instrText>
            </w:r>
            <w:r w:rsidR="005C0ECA" w:rsidRPr="005C0ECA">
              <w:rPr>
                <w:noProof/>
                <w:webHidden/>
                <w:sz w:val="24"/>
                <w:szCs w:val="24"/>
              </w:rPr>
            </w:r>
            <w:r w:rsidR="005C0ECA" w:rsidRPr="005C0ECA">
              <w:rPr>
                <w:noProof/>
                <w:webHidden/>
                <w:sz w:val="24"/>
                <w:szCs w:val="24"/>
              </w:rPr>
              <w:fldChar w:fldCharType="separate"/>
            </w:r>
            <w:r w:rsidR="00FC6870">
              <w:rPr>
                <w:noProof/>
                <w:webHidden/>
                <w:sz w:val="24"/>
                <w:szCs w:val="24"/>
              </w:rPr>
              <w:t>16</w:t>
            </w:r>
            <w:r w:rsidR="005C0ECA" w:rsidRPr="005C0ECA">
              <w:rPr>
                <w:noProof/>
                <w:webHidden/>
                <w:sz w:val="24"/>
                <w:szCs w:val="24"/>
              </w:rPr>
              <w:fldChar w:fldCharType="end"/>
            </w:r>
          </w:hyperlink>
        </w:p>
        <w:p w:rsidR="005C0ECA" w:rsidRPr="005C0ECA" w:rsidRDefault="005C0ECA">
          <w:r w:rsidRPr="005C0ECA">
            <w:rPr>
              <w:noProof/>
              <w:sz w:val="24"/>
              <w:szCs w:val="24"/>
            </w:rPr>
            <w:fldChar w:fldCharType="end"/>
          </w:r>
        </w:p>
      </w:sdtContent>
    </w:sdt>
    <w:p w:rsidR="005C0ECA" w:rsidRPr="005C0ECA" w:rsidRDefault="005C0ECA" w:rsidP="005C0ECA">
      <w:pPr>
        <w:pStyle w:val="TOAHeading"/>
        <w:tabs>
          <w:tab w:val="right" w:leader="dot" w:pos="8630"/>
        </w:tabs>
        <w:rPr>
          <w:rFonts w:asciiTheme="majorBidi" w:hAnsiTheme="majorBidi" w:cstheme="majorBidi"/>
        </w:rPr>
      </w:pPr>
    </w:p>
    <w:p w:rsidR="005C0ECA" w:rsidRPr="005C0ECA" w:rsidRDefault="005C0ECA" w:rsidP="005C0ECA"/>
    <w:p w:rsidR="005C0ECA" w:rsidRPr="005C0ECA" w:rsidRDefault="005C0ECA" w:rsidP="005C0ECA"/>
    <w:p w:rsidR="005C0ECA" w:rsidRPr="005C0ECA" w:rsidRDefault="005C0ECA" w:rsidP="005C0ECA"/>
    <w:p w:rsidR="005C0ECA" w:rsidRPr="005C0ECA" w:rsidRDefault="005C0ECA" w:rsidP="005C0ECA"/>
    <w:p w:rsidR="005C0ECA" w:rsidRPr="005C0ECA" w:rsidRDefault="005C0ECA" w:rsidP="005C0ECA"/>
    <w:p w:rsidR="005C0ECA" w:rsidRPr="005C0ECA" w:rsidRDefault="005C0ECA" w:rsidP="005C0ECA"/>
    <w:p w:rsidR="005C0ECA" w:rsidRPr="005C0ECA" w:rsidRDefault="005C0ECA" w:rsidP="005C0ECA"/>
    <w:p w:rsidR="005C0ECA" w:rsidRPr="005C0ECA" w:rsidRDefault="005C0ECA" w:rsidP="005C0ECA"/>
    <w:p w:rsidR="005C0ECA" w:rsidRPr="005C0ECA" w:rsidRDefault="005C0ECA">
      <w:pPr>
        <w:pStyle w:val="TOAHeading"/>
        <w:tabs>
          <w:tab w:val="right" w:leader="dot" w:pos="8630"/>
        </w:tabs>
        <w:rPr>
          <w:rFonts w:asciiTheme="majorBidi" w:eastAsiaTheme="minorEastAsia" w:hAnsiTheme="majorBidi" w:cstheme="majorBidi"/>
          <w:b/>
          <w:bCs/>
          <w:noProof/>
          <w:sz w:val="28"/>
          <w:szCs w:val="28"/>
        </w:rPr>
      </w:pPr>
      <w:r w:rsidRPr="005C0ECA">
        <w:rPr>
          <w:rFonts w:asciiTheme="majorBidi" w:hAnsiTheme="majorBidi" w:cstheme="majorBidi"/>
          <w:caps/>
          <w:sz w:val="24"/>
          <w:szCs w:val="32"/>
          <w:u w:val="none"/>
        </w:rPr>
        <w:lastRenderedPageBreak/>
        <w:fldChar w:fldCharType="begin"/>
      </w:r>
      <w:r w:rsidRPr="005C0ECA">
        <w:rPr>
          <w:rFonts w:asciiTheme="majorBidi" w:hAnsiTheme="majorBidi" w:cstheme="majorBidi"/>
          <w:caps/>
          <w:sz w:val="24"/>
          <w:szCs w:val="32"/>
          <w:u w:val="none"/>
        </w:rPr>
        <w:instrText xml:space="preserve"> TOA \h \c "1" \p </w:instrText>
      </w:r>
      <w:r w:rsidRPr="005C0ECA">
        <w:rPr>
          <w:rFonts w:asciiTheme="majorBidi" w:hAnsiTheme="majorBidi" w:cstheme="majorBidi"/>
          <w:caps/>
          <w:sz w:val="24"/>
          <w:szCs w:val="32"/>
          <w:u w:val="none"/>
        </w:rPr>
        <w:fldChar w:fldCharType="separate"/>
      </w:r>
      <w:r w:rsidRPr="005C0ECA">
        <w:rPr>
          <w:rFonts w:asciiTheme="majorBidi" w:hAnsiTheme="majorBidi" w:cstheme="majorBidi"/>
          <w:b/>
          <w:bCs/>
          <w:noProof/>
          <w:sz w:val="24"/>
          <w:szCs w:val="32"/>
        </w:rPr>
        <w:t xml:space="preserve">List of Abbreviations </w:t>
      </w:r>
    </w:p>
    <w:p w:rsidR="005C0ECA" w:rsidRPr="005C0ECA" w:rsidRDefault="005C0ECA">
      <w:pPr>
        <w:pStyle w:val="TableofAuthorities"/>
        <w:tabs>
          <w:tab w:val="right" w:leader="dot" w:pos="8630"/>
        </w:tabs>
        <w:rPr>
          <w:rFonts w:asciiTheme="majorBidi" w:hAnsiTheme="majorBidi" w:cstheme="majorBidi"/>
          <w:noProof/>
          <w:sz w:val="24"/>
          <w:szCs w:val="32"/>
        </w:rPr>
      </w:pPr>
      <w:r w:rsidRPr="005C0ECA">
        <w:rPr>
          <w:rFonts w:asciiTheme="majorBidi" w:hAnsiTheme="majorBidi" w:cstheme="majorBidi"/>
          <w:noProof/>
          <w:sz w:val="24"/>
          <w:szCs w:val="32"/>
        </w:rPr>
        <w:t>GANHRI: the Global Alliance of National Human Rights Institutions</w:t>
      </w:r>
    </w:p>
    <w:p w:rsidR="005C0ECA" w:rsidRPr="005C0ECA" w:rsidRDefault="005C0ECA">
      <w:pPr>
        <w:pStyle w:val="TableofAuthorities"/>
        <w:tabs>
          <w:tab w:val="right" w:leader="dot" w:pos="8630"/>
        </w:tabs>
        <w:rPr>
          <w:rFonts w:asciiTheme="majorBidi" w:hAnsiTheme="majorBidi" w:cstheme="majorBidi"/>
          <w:noProof/>
          <w:sz w:val="24"/>
          <w:szCs w:val="32"/>
        </w:rPr>
      </w:pPr>
      <w:r w:rsidRPr="005C0ECA">
        <w:rPr>
          <w:rFonts w:asciiTheme="majorBidi" w:hAnsiTheme="majorBidi" w:cstheme="majorBidi"/>
          <w:noProof/>
          <w:sz w:val="24"/>
          <w:szCs w:val="32"/>
        </w:rPr>
        <w:t>ICESCR : the International Covenant on Economic, Social and Cultural Rights</w:t>
      </w:r>
    </w:p>
    <w:p w:rsidR="005C0ECA" w:rsidRPr="005C0ECA" w:rsidRDefault="005C0ECA">
      <w:pPr>
        <w:pStyle w:val="TableofAuthorities"/>
        <w:tabs>
          <w:tab w:val="right" w:leader="dot" w:pos="8630"/>
        </w:tabs>
        <w:rPr>
          <w:rFonts w:asciiTheme="majorBidi" w:hAnsiTheme="majorBidi" w:cstheme="majorBidi"/>
          <w:noProof/>
          <w:sz w:val="24"/>
          <w:szCs w:val="32"/>
        </w:rPr>
      </w:pPr>
      <w:r w:rsidRPr="005C0ECA">
        <w:rPr>
          <w:rFonts w:asciiTheme="majorBidi" w:hAnsiTheme="majorBidi" w:cstheme="majorBidi"/>
          <w:noProof/>
          <w:sz w:val="24"/>
          <w:szCs w:val="32"/>
        </w:rPr>
        <w:t>ICHR : the Independent Commission for Human Rights</w:t>
      </w:r>
    </w:p>
    <w:p w:rsidR="005C0ECA" w:rsidRPr="005C0ECA" w:rsidRDefault="005C0ECA">
      <w:pPr>
        <w:pStyle w:val="TableofAuthorities"/>
        <w:tabs>
          <w:tab w:val="right" w:leader="dot" w:pos="8630"/>
        </w:tabs>
        <w:rPr>
          <w:rFonts w:asciiTheme="majorBidi" w:hAnsiTheme="majorBidi" w:cstheme="majorBidi"/>
          <w:noProof/>
          <w:sz w:val="24"/>
          <w:szCs w:val="32"/>
        </w:rPr>
      </w:pPr>
      <w:r w:rsidRPr="005C0ECA">
        <w:rPr>
          <w:rFonts w:asciiTheme="majorBidi" w:hAnsiTheme="majorBidi" w:cstheme="majorBidi"/>
          <w:noProof/>
          <w:sz w:val="24"/>
          <w:szCs w:val="32"/>
        </w:rPr>
        <w:t>ILO : the International Liberation Organisation</w:t>
      </w:r>
    </w:p>
    <w:p w:rsidR="005C0ECA" w:rsidRPr="005C0ECA" w:rsidRDefault="005C0ECA">
      <w:pPr>
        <w:pStyle w:val="TableofAuthorities"/>
        <w:tabs>
          <w:tab w:val="right" w:leader="dot" w:pos="8630"/>
        </w:tabs>
        <w:rPr>
          <w:rFonts w:asciiTheme="majorBidi" w:hAnsiTheme="majorBidi" w:cstheme="majorBidi"/>
          <w:noProof/>
          <w:sz w:val="24"/>
          <w:szCs w:val="32"/>
        </w:rPr>
      </w:pPr>
      <w:r w:rsidRPr="005C0ECA">
        <w:rPr>
          <w:rFonts w:asciiTheme="majorBidi" w:hAnsiTheme="majorBidi" w:cstheme="majorBidi"/>
          <w:noProof/>
          <w:sz w:val="24"/>
          <w:szCs w:val="32"/>
        </w:rPr>
        <w:t>MoC: the Ministry of Culture</w:t>
      </w:r>
    </w:p>
    <w:p w:rsidR="005C0ECA" w:rsidRPr="005C0ECA" w:rsidRDefault="005C0ECA">
      <w:pPr>
        <w:pStyle w:val="TableofAuthorities"/>
        <w:tabs>
          <w:tab w:val="right" w:leader="dot" w:pos="8630"/>
        </w:tabs>
        <w:rPr>
          <w:rFonts w:asciiTheme="majorBidi" w:hAnsiTheme="majorBidi" w:cstheme="majorBidi"/>
          <w:noProof/>
          <w:sz w:val="24"/>
          <w:szCs w:val="32"/>
        </w:rPr>
      </w:pPr>
      <w:r w:rsidRPr="005C0ECA">
        <w:rPr>
          <w:rFonts w:asciiTheme="majorBidi" w:hAnsiTheme="majorBidi" w:cstheme="majorBidi"/>
          <w:noProof/>
          <w:sz w:val="24"/>
          <w:szCs w:val="32"/>
        </w:rPr>
        <w:t>MoH :  The Ministry of Health</w:t>
      </w:r>
    </w:p>
    <w:p w:rsidR="005C0ECA" w:rsidRPr="005C0ECA" w:rsidRDefault="005C0ECA">
      <w:pPr>
        <w:pStyle w:val="TableofAuthorities"/>
        <w:tabs>
          <w:tab w:val="right" w:leader="dot" w:pos="8630"/>
        </w:tabs>
        <w:rPr>
          <w:rFonts w:asciiTheme="majorBidi" w:hAnsiTheme="majorBidi" w:cstheme="majorBidi"/>
          <w:noProof/>
          <w:sz w:val="24"/>
          <w:szCs w:val="32"/>
        </w:rPr>
      </w:pPr>
      <w:r w:rsidRPr="005C0ECA">
        <w:rPr>
          <w:rFonts w:asciiTheme="majorBidi" w:hAnsiTheme="majorBidi" w:cstheme="majorBidi"/>
          <w:noProof/>
          <w:sz w:val="24"/>
          <w:szCs w:val="32"/>
        </w:rPr>
        <w:t>MoL : the Ministry of Labour</w:t>
      </w:r>
    </w:p>
    <w:p w:rsidR="005C0ECA" w:rsidRPr="005C0ECA" w:rsidRDefault="005C0ECA">
      <w:pPr>
        <w:pStyle w:val="TableofAuthorities"/>
        <w:tabs>
          <w:tab w:val="right" w:leader="dot" w:pos="8630"/>
        </w:tabs>
        <w:rPr>
          <w:rFonts w:asciiTheme="majorBidi" w:hAnsiTheme="majorBidi" w:cstheme="majorBidi"/>
          <w:noProof/>
          <w:sz w:val="24"/>
          <w:szCs w:val="32"/>
        </w:rPr>
      </w:pPr>
      <w:r w:rsidRPr="005C0ECA">
        <w:rPr>
          <w:rFonts w:asciiTheme="majorBidi" w:hAnsiTheme="majorBidi" w:cstheme="majorBidi"/>
          <w:noProof/>
          <w:sz w:val="24"/>
          <w:szCs w:val="32"/>
        </w:rPr>
        <w:t>MoSD: The Ministry of Social Development</w:t>
      </w:r>
    </w:p>
    <w:p w:rsidR="005C0ECA" w:rsidRPr="005C0ECA" w:rsidRDefault="005C0ECA">
      <w:pPr>
        <w:pStyle w:val="TableofAuthorities"/>
        <w:tabs>
          <w:tab w:val="right" w:leader="dot" w:pos="8630"/>
        </w:tabs>
        <w:rPr>
          <w:rFonts w:asciiTheme="majorBidi" w:hAnsiTheme="majorBidi" w:cstheme="majorBidi"/>
          <w:noProof/>
          <w:sz w:val="24"/>
          <w:szCs w:val="32"/>
        </w:rPr>
      </w:pPr>
      <w:r w:rsidRPr="005C0ECA">
        <w:rPr>
          <w:rFonts w:asciiTheme="majorBidi" w:hAnsiTheme="majorBidi" w:cstheme="majorBidi"/>
          <w:noProof/>
          <w:sz w:val="24"/>
          <w:szCs w:val="32"/>
        </w:rPr>
        <w:t>PA: the Palestinian Authority</w:t>
      </w:r>
    </w:p>
    <w:p w:rsidR="005C0ECA" w:rsidRPr="005C0ECA" w:rsidRDefault="005C0ECA">
      <w:pPr>
        <w:pStyle w:val="TableofAuthorities"/>
        <w:tabs>
          <w:tab w:val="right" w:leader="dot" w:pos="8630"/>
        </w:tabs>
        <w:rPr>
          <w:rFonts w:asciiTheme="majorBidi" w:hAnsiTheme="majorBidi" w:cstheme="majorBidi"/>
          <w:noProof/>
          <w:sz w:val="24"/>
          <w:szCs w:val="32"/>
        </w:rPr>
      </w:pPr>
      <w:r w:rsidRPr="005C0ECA">
        <w:rPr>
          <w:rFonts w:asciiTheme="majorBidi" w:hAnsiTheme="majorBidi" w:cstheme="majorBidi"/>
          <w:noProof/>
          <w:sz w:val="24"/>
          <w:szCs w:val="32"/>
        </w:rPr>
        <w:t>PCBS: the Palestinian Central Bureau of Statistics</w:t>
      </w:r>
    </w:p>
    <w:p w:rsidR="005C0ECA" w:rsidRPr="005C0ECA" w:rsidRDefault="005C0ECA">
      <w:pPr>
        <w:pStyle w:val="TableofAuthorities"/>
        <w:tabs>
          <w:tab w:val="right" w:leader="dot" w:pos="8630"/>
        </w:tabs>
        <w:rPr>
          <w:rFonts w:asciiTheme="majorBidi" w:hAnsiTheme="majorBidi" w:cstheme="majorBidi"/>
          <w:noProof/>
          <w:sz w:val="24"/>
          <w:szCs w:val="32"/>
        </w:rPr>
      </w:pPr>
      <w:r w:rsidRPr="005C0ECA">
        <w:rPr>
          <w:rFonts w:asciiTheme="majorBidi" w:hAnsiTheme="majorBidi" w:cstheme="majorBidi"/>
          <w:noProof/>
          <w:sz w:val="24"/>
          <w:szCs w:val="32"/>
        </w:rPr>
        <w:t>PLC : the Palestinian Legislative Council</w:t>
      </w:r>
    </w:p>
    <w:p w:rsidR="005C0ECA" w:rsidRPr="005C0ECA" w:rsidRDefault="005C0ECA">
      <w:pPr>
        <w:pStyle w:val="TableofAuthorities"/>
        <w:tabs>
          <w:tab w:val="right" w:leader="dot" w:pos="8630"/>
        </w:tabs>
        <w:rPr>
          <w:rFonts w:asciiTheme="majorBidi" w:hAnsiTheme="majorBidi" w:cstheme="majorBidi"/>
          <w:noProof/>
          <w:sz w:val="24"/>
          <w:szCs w:val="32"/>
        </w:rPr>
      </w:pPr>
      <w:r w:rsidRPr="005C0ECA">
        <w:rPr>
          <w:rFonts w:asciiTheme="majorBidi" w:hAnsiTheme="majorBidi" w:cstheme="majorBidi"/>
          <w:noProof/>
          <w:sz w:val="24"/>
          <w:szCs w:val="32"/>
        </w:rPr>
        <w:t>SCC : the Supreme Constitutional Court</w:t>
      </w:r>
    </w:p>
    <w:p w:rsidR="005C0ECA" w:rsidRPr="005C0ECA" w:rsidRDefault="005C0ECA">
      <w:pPr>
        <w:pStyle w:val="TableofAuthorities"/>
        <w:tabs>
          <w:tab w:val="right" w:leader="dot" w:pos="8630"/>
        </w:tabs>
        <w:rPr>
          <w:rFonts w:asciiTheme="majorBidi" w:hAnsiTheme="majorBidi" w:cstheme="majorBidi"/>
          <w:noProof/>
          <w:sz w:val="24"/>
          <w:szCs w:val="32"/>
        </w:rPr>
      </w:pPr>
      <w:r w:rsidRPr="005C0ECA">
        <w:rPr>
          <w:rFonts w:asciiTheme="majorBidi" w:hAnsiTheme="majorBidi" w:cstheme="majorBidi"/>
          <w:noProof/>
          <w:sz w:val="24"/>
          <w:szCs w:val="32"/>
        </w:rPr>
        <w:t>TVET: technical and vocational education and training</w:t>
      </w:r>
    </w:p>
    <w:p w:rsidR="005C0ECA" w:rsidRPr="005C0ECA" w:rsidRDefault="005C0ECA">
      <w:pPr>
        <w:pStyle w:val="TableofAuthorities"/>
        <w:tabs>
          <w:tab w:val="right" w:leader="dot" w:pos="8630"/>
        </w:tabs>
        <w:rPr>
          <w:rFonts w:asciiTheme="majorBidi" w:hAnsiTheme="majorBidi" w:cstheme="majorBidi"/>
          <w:noProof/>
          <w:sz w:val="24"/>
          <w:szCs w:val="32"/>
        </w:rPr>
      </w:pPr>
      <w:r w:rsidRPr="005C0ECA">
        <w:rPr>
          <w:rFonts w:asciiTheme="majorBidi" w:hAnsiTheme="majorBidi" w:cstheme="majorBidi"/>
          <w:noProof/>
          <w:sz w:val="24"/>
          <w:szCs w:val="32"/>
        </w:rPr>
        <w:t>WHO : World Health Organisation</w:t>
      </w:r>
    </w:p>
    <w:p w:rsidR="005C0ECA" w:rsidRPr="005C0ECA" w:rsidRDefault="005C0ECA" w:rsidP="005C0ECA">
      <w:pPr>
        <w:pStyle w:val="TOAHeading"/>
        <w:tabs>
          <w:tab w:val="right" w:leader="dot" w:pos="8630"/>
        </w:tabs>
        <w:rPr>
          <w:rFonts w:ascii="Times New Roman" w:hAnsi="Times New Roman" w:cs="Times New Roman"/>
        </w:rPr>
      </w:pPr>
      <w:r w:rsidRPr="005C0ECA">
        <w:rPr>
          <w:rFonts w:asciiTheme="majorBidi" w:hAnsiTheme="majorBidi" w:cstheme="majorBidi"/>
          <w:caps/>
          <w:sz w:val="24"/>
          <w:szCs w:val="32"/>
          <w:u w:val="none"/>
        </w:rPr>
        <w:fldChar w:fldCharType="end"/>
      </w:r>
    </w:p>
    <w:p w:rsidR="005C0ECA" w:rsidRPr="005C0ECA" w:rsidRDefault="005C0ECA" w:rsidP="005C0ECA"/>
    <w:p w:rsidR="005C0ECA" w:rsidRPr="005C0ECA" w:rsidRDefault="005C0ECA" w:rsidP="005C0ECA"/>
    <w:p w:rsidR="005C0ECA" w:rsidRPr="005C0ECA" w:rsidRDefault="005C0ECA" w:rsidP="005C0ECA"/>
    <w:p w:rsidR="005C0ECA" w:rsidRPr="005C0ECA" w:rsidRDefault="005C0ECA" w:rsidP="005C0ECA"/>
    <w:p w:rsidR="005C0ECA" w:rsidRPr="005C0ECA" w:rsidRDefault="005C0ECA" w:rsidP="005C0ECA"/>
    <w:p w:rsidR="005C0ECA" w:rsidRPr="005C0ECA" w:rsidRDefault="005C0ECA" w:rsidP="005C0ECA"/>
    <w:p w:rsidR="005C0ECA" w:rsidRPr="005C0ECA" w:rsidRDefault="005C0ECA" w:rsidP="005C0ECA"/>
    <w:p w:rsidR="005C0ECA" w:rsidRPr="005C0ECA" w:rsidRDefault="005C0ECA" w:rsidP="005C0ECA"/>
    <w:p w:rsidR="005C0ECA" w:rsidRPr="005C0ECA" w:rsidRDefault="005C0ECA" w:rsidP="005C0ECA"/>
    <w:p w:rsidR="005C0ECA" w:rsidRPr="005C0ECA" w:rsidRDefault="005C0ECA" w:rsidP="005C0ECA"/>
    <w:p w:rsidR="005C0ECA" w:rsidRPr="005C0ECA" w:rsidRDefault="005C0ECA" w:rsidP="005C0ECA"/>
    <w:p w:rsidR="005C0ECA" w:rsidRPr="005C0ECA" w:rsidRDefault="005C0ECA" w:rsidP="005C0ECA"/>
    <w:p w:rsidR="005C0ECA" w:rsidRPr="005C0ECA" w:rsidRDefault="005C0ECA" w:rsidP="005C0ECA"/>
    <w:p w:rsidR="004E721F" w:rsidRPr="005C0ECA" w:rsidRDefault="004E721F" w:rsidP="005C0ECA">
      <w:pPr>
        <w:pStyle w:val="Heading1"/>
        <w:rPr>
          <w:rFonts w:asciiTheme="majorBidi" w:hAnsiTheme="majorBidi"/>
          <w:b/>
          <w:bCs/>
          <w:color w:val="auto"/>
        </w:rPr>
      </w:pPr>
      <w:bookmarkStart w:id="3" w:name="_Toc79315033"/>
      <w:r w:rsidRPr="005C0ECA">
        <w:rPr>
          <w:rFonts w:asciiTheme="majorBidi" w:hAnsiTheme="majorBidi"/>
          <w:b/>
          <w:bCs/>
          <w:color w:val="auto"/>
        </w:rPr>
        <w:lastRenderedPageBreak/>
        <w:t>Profile of the Independent Commission for Human Rights</w:t>
      </w:r>
      <w:bookmarkEnd w:id="3"/>
      <w:r w:rsidRPr="005C0ECA">
        <w:rPr>
          <w:rFonts w:asciiTheme="majorBidi" w:hAnsiTheme="majorBidi"/>
          <w:b/>
          <w:bCs/>
          <w:color w:val="auto"/>
        </w:rPr>
        <w:t xml:space="preserve"> </w:t>
      </w:r>
    </w:p>
    <w:p w:rsidR="004E721F" w:rsidRPr="005C0ECA" w:rsidRDefault="004E721F" w:rsidP="001C0618">
      <w:pPr>
        <w:jc w:val="both"/>
        <w:rPr>
          <w:rFonts w:ascii="Times New Roman" w:hAnsi="Times New Roman" w:cs="Times New Roman"/>
          <w:sz w:val="24"/>
          <w:szCs w:val="24"/>
        </w:rPr>
      </w:pPr>
      <w:r w:rsidRPr="005C0ECA">
        <w:rPr>
          <w:rFonts w:ascii="Times New Roman" w:hAnsi="Times New Roman" w:cs="Times New Roman"/>
          <w:sz w:val="24"/>
          <w:szCs w:val="24"/>
        </w:rPr>
        <w:t>As the Palestinian national human rights institution, the Independent Commission for Human Rights (ICHR</w:t>
      </w:r>
      <w:r w:rsidR="005C0ECA" w:rsidRPr="005C0ECA">
        <w:rPr>
          <w:rFonts w:ascii="Times New Roman" w:hAnsi="Times New Roman" w:cs="Times New Roman"/>
          <w:sz w:val="24"/>
          <w:szCs w:val="24"/>
        </w:rPr>
        <w:fldChar w:fldCharType="begin"/>
      </w:r>
      <w:r w:rsidR="005C0ECA" w:rsidRPr="005C0ECA">
        <w:instrText xml:space="preserve"> TA \s "ICHR" </w:instrText>
      </w:r>
      <w:r w:rsidR="005C0ECA" w:rsidRPr="005C0ECA">
        <w:rPr>
          <w:rFonts w:ascii="Times New Roman" w:hAnsi="Times New Roman" w:cs="Times New Roman"/>
          <w:sz w:val="24"/>
          <w:szCs w:val="24"/>
        </w:rPr>
        <w:fldChar w:fldCharType="end"/>
      </w:r>
      <w:r w:rsidRPr="005C0ECA">
        <w:rPr>
          <w:rFonts w:ascii="Times New Roman" w:hAnsi="Times New Roman" w:cs="Times New Roman"/>
          <w:sz w:val="24"/>
          <w:szCs w:val="24"/>
        </w:rPr>
        <w:t xml:space="preserve">) is a full member of </w:t>
      </w:r>
      <w:bookmarkStart w:id="4" w:name="_Hlk79314314"/>
      <w:r w:rsidRPr="005C0ECA">
        <w:rPr>
          <w:rFonts w:ascii="Times New Roman" w:hAnsi="Times New Roman" w:cs="Times New Roman"/>
          <w:sz w:val="24"/>
          <w:szCs w:val="24"/>
        </w:rPr>
        <w:t xml:space="preserve">the Global Alliance of National Human Rights Institutions </w:t>
      </w:r>
      <w:bookmarkEnd w:id="4"/>
      <w:r w:rsidRPr="005C0ECA">
        <w:rPr>
          <w:rFonts w:ascii="Times New Roman" w:hAnsi="Times New Roman" w:cs="Times New Roman"/>
          <w:sz w:val="24"/>
          <w:szCs w:val="24"/>
        </w:rPr>
        <w:t>(GAN</w:t>
      </w:r>
      <w:r w:rsidR="005C0ECA" w:rsidRPr="005C0ECA">
        <w:rPr>
          <w:rFonts w:ascii="Times New Roman" w:hAnsi="Times New Roman" w:cs="Times New Roman"/>
          <w:sz w:val="24"/>
          <w:szCs w:val="24"/>
          <w:lang w:val="en-US"/>
        </w:rPr>
        <w:t>H</w:t>
      </w:r>
      <w:r w:rsidRPr="005C0ECA">
        <w:rPr>
          <w:rFonts w:ascii="Times New Roman" w:hAnsi="Times New Roman" w:cs="Times New Roman"/>
          <w:sz w:val="24"/>
          <w:szCs w:val="24"/>
        </w:rPr>
        <w:t>RI</w:t>
      </w:r>
      <w:r w:rsidR="005C0ECA" w:rsidRPr="005C0ECA">
        <w:rPr>
          <w:rFonts w:ascii="Times New Roman" w:hAnsi="Times New Roman" w:cs="Times New Roman"/>
          <w:sz w:val="24"/>
          <w:szCs w:val="24"/>
        </w:rPr>
        <w:fldChar w:fldCharType="begin"/>
      </w:r>
      <w:r w:rsidR="005C0ECA" w:rsidRPr="005C0ECA">
        <w:instrText xml:space="preserve"> TA \l "</w:instrText>
      </w:r>
      <w:r w:rsidR="005C0ECA" w:rsidRPr="005C0ECA">
        <w:rPr>
          <w:rFonts w:ascii="Times New Roman" w:hAnsi="Times New Roman" w:cs="Times New Roman"/>
          <w:sz w:val="24"/>
          <w:szCs w:val="24"/>
        </w:rPr>
        <w:instrText>GAN</w:instrText>
      </w:r>
      <w:r w:rsidR="005C0ECA" w:rsidRPr="005C0ECA">
        <w:rPr>
          <w:rFonts w:ascii="Times New Roman" w:hAnsi="Times New Roman" w:cs="Times New Roman"/>
          <w:sz w:val="24"/>
          <w:szCs w:val="24"/>
          <w:lang w:val="en-US"/>
        </w:rPr>
        <w:instrText>H</w:instrText>
      </w:r>
      <w:r w:rsidR="005C0ECA" w:rsidRPr="005C0ECA">
        <w:rPr>
          <w:rFonts w:ascii="Times New Roman" w:hAnsi="Times New Roman" w:cs="Times New Roman"/>
          <w:sz w:val="24"/>
          <w:szCs w:val="24"/>
        </w:rPr>
        <w:instrText>RI: the Global Alliance of National Human Rights Institutions</w:instrText>
      </w:r>
      <w:r w:rsidR="005C0ECA" w:rsidRPr="005C0ECA">
        <w:instrText xml:space="preserve">" \s "GANHRI" \c 1 </w:instrText>
      </w:r>
      <w:r w:rsidR="005C0ECA" w:rsidRPr="005C0ECA">
        <w:rPr>
          <w:rFonts w:ascii="Times New Roman" w:hAnsi="Times New Roman" w:cs="Times New Roman"/>
          <w:sz w:val="24"/>
          <w:szCs w:val="24"/>
        </w:rPr>
        <w:fldChar w:fldCharType="end"/>
      </w:r>
      <w:r w:rsidRPr="005C0ECA">
        <w:rPr>
          <w:rFonts w:ascii="Times New Roman" w:hAnsi="Times New Roman" w:cs="Times New Roman"/>
          <w:sz w:val="24"/>
          <w:szCs w:val="24"/>
        </w:rPr>
        <w:t xml:space="preserve">). On 30 September 1993, the ICHR was established in accordance with a Presidential Decree promulgated by the late President Yasser Arafat. The Decree was subsequently published under number </w:t>
      </w:r>
      <w:r w:rsidR="001C0618" w:rsidRPr="005C0ECA">
        <w:rPr>
          <w:rFonts w:ascii="Times New Roman" w:hAnsi="Times New Roman" w:cs="Times New Roman"/>
          <w:sz w:val="24"/>
          <w:szCs w:val="24"/>
        </w:rPr>
        <w:t>59</w:t>
      </w:r>
      <w:r w:rsidRPr="005C0ECA">
        <w:rPr>
          <w:rFonts w:ascii="Times New Roman" w:hAnsi="Times New Roman" w:cs="Times New Roman"/>
          <w:sz w:val="24"/>
          <w:szCs w:val="24"/>
        </w:rPr>
        <w:t xml:space="preserve">/1995 in the Palestinian Official Gazette in 1995. According to the Presidential Decree, </w:t>
      </w:r>
      <w:r w:rsidR="001C0618" w:rsidRPr="005C0ECA">
        <w:rPr>
          <w:rFonts w:ascii="Times New Roman" w:hAnsi="Times New Roman" w:cs="Times New Roman"/>
          <w:sz w:val="24"/>
          <w:szCs w:val="24"/>
        </w:rPr>
        <w:t xml:space="preserve">ICHR </w:t>
      </w:r>
      <w:r w:rsidRPr="005C0ECA">
        <w:rPr>
          <w:rFonts w:ascii="Times New Roman" w:hAnsi="Times New Roman" w:cs="Times New Roman"/>
          <w:sz w:val="24"/>
          <w:szCs w:val="24"/>
        </w:rPr>
        <w:t xml:space="preserve">functions and responsibilities are outlined as follows: “To monitor and ensure that requirements for safeguarding human rights are fulfilled by various Palestinian laws, bylaws and regulations, as well as by functions of various departments, agencies and institutions of the State of Palestine and the Palestine Liberation Organisation.” </w:t>
      </w:r>
    </w:p>
    <w:p w:rsidR="004E721F" w:rsidRPr="005C0ECA" w:rsidRDefault="004E721F" w:rsidP="00F40731">
      <w:pPr>
        <w:jc w:val="both"/>
        <w:rPr>
          <w:rFonts w:ascii="Times New Roman" w:hAnsi="Times New Roman" w:cs="Times New Roman"/>
          <w:sz w:val="24"/>
          <w:szCs w:val="24"/>
        </w:rPr>
      </w:pPr>
      <w:r w:rsidRPr="005C0ECA">
        <w:rPr>
          <w:rFonts w:ascii="Times New Roman" w:hAnsi="Times New Roman" w:cs="Times New Roman"/>
          <w:sz w:val="24"/>
          <w:szCs w:val="24"/>
        </w:rPr>
        <w:t>The President</w:t>
      </w:r>
      <w:r w:rsidR="001C0618" w:rsidRPr="005C0ECA">
        <w:rPr>
          <w:rFonts w:ascii="Times New Roman" w:hAnsi="Times New Roman" w:cs="Times New Roman"/>
          <w:sz w:val="24"/>
          <w:szCs w:val="24"/>
        </w:rPr>
        <w:t>ial</w:t>
      </w:r>
      <w:r w:rsidRPr="005C0ECA">
        <w:rPr>
          <w:rFonts w:ascii="Times New Roman" w:hAnsi="Times New Roman" w:cs="Times New Roman"/>
          <w:sz w:val="24"/>
          <w:szCs w:val="24"/>
        </w:rPr>
        <w:t xml:space="preserve"> Decree tasks the ICHR</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"ICHR" </w:instrText>
      </w:r>
      <w:r w:rsidR="005C0ECA" w:rsidRPr="005C0ECA">
        <w:rPr>
          <w:rFonts w:ascii="Times New Roman" w:hAnsi="Times New Roman" w:cs="Times New Roman"/>
          <w:sz w:val="24"/>
          <w:szCs w:val="24"/>
        </w:rPr>
        <w:fldChar w:fldCharType="end"/>
      </w:r>
      <w:r w:rsidRPr="005C0ECA">
        <w:rPr>
          <w:rFonts w:ascii="Times New Roman" w:hAnsi="Times New Roman" w:cs="Times New Roman"/>
          <w:sz w:val="24"/>
          <w:szCs w:val="24"/>
        </w:rPr>
        <w:t xml:space="preserve"> with drafting its own bylaws in a manner that ensures the Commission’s independence and effectiveness. The ICHR commenced its activities in early 1994. Having been approved by </w:t>
      </w:r>
      <w:bookmarkStart w:id="5" w:name="_Hlk79314342"/>
      <w:r w:rsidRPr="005C0ECA">
        <w:rPr>
          <w:rFonts w:ascii="Times New Roman" w:hAnsi="Times New Roman" w:cs="Times New Roman"/>
          <w:sz w:val="24"/>
          <w:szCs w:val="24"/>
        </w:rPr>
        <w:t xml:space="preserve">the Palestinian Legislative Council </w:t>
      </w:r>
      <w:bookmarkEnd w:id="5"/>
      <w:r w:rsidRPr="005C0ECA">
        <w:rPr>
          <w:rFonts w:ascii="Times New Roman" w:hAnsi="Times New Roman" w:cs="Times New Roman"/>
          <w:sz w:val="24"/>
          <w:szCs w:val="24"/>
        </w:rPr>
        <w:t>(PLC</w:t>
      </w:r>
      <w:r w:rsidR="005C0ECA" w:rsidRPr="005C0ECA">
        <w:rPr>
          <w:rFonts w:ascii="Times New Roman" w:hAnsi="Times New Roman" w:cs="Times New Roman"/>
          <w:sz w:val="24"/>
          <w:szCs w:val="24"/>
        </w:rPr>
        <w:fldChar w:fldCharType="begin"/>
      </w:r>
      <w:r w:rsidR="005C0ECA" w:rsidRPr="005C0ECA">
        <w:instrText xml:space="preserve"> TA \l "</w:instrText>
      </w:r>
      <w:r w:rsidR="005C0ECA" w:rsidRPr="005C0ECA">
        <w:rPr>
          <w:rFonts w:ascii="Times New Roman" w:hAnsi="Times New Roman" w:cs="Times New Roman"/>
          <w:sz w:val="24"/>
          <w:szCs w:val="24"/>
        </w:rPr>
        <w:instrText>PLC : the Palestinian Legislative Council</w:instrText>
      </w:r>
      <w:r w:rsidR="005C0ECA" w:rsidRPr="005C0ECA">
        <w:instrText xml:space="preserve">" \s "PLC" \c 1 </w:instrText>
      </w:r>
      <w:r w:rsidR="005C0ECA" w:rsidRPr="005C0ECA">
        <w:rPr>
          <w:rFonts w:ascii="Times New Roman" w:hAnsi="Times New Roman" w:cs="Times New Roman"/>
          <w:sz w:val="24"/>
          <w:szCs w:val="24"/>
        </w:rPr>
        <w:fldChar w:fldCharType="end"/>
      </w:r>
      <w:r w:rsidRPr="005C0ECA">
        <w:rPr>
          <w:rFonts w:ascii="Times New Roman" w:hAnsi="Times New Roman" w:cs="Times New Roman"/>
          <w:sz w:val="24"/>
          <w:szCs w:val="24"/>
        </w:rPr>
        <w:t xml:space="preserve">) in 1997, the Palestinian Basic Law was promulgated and published in the Palestinian Official Gazette in 2002. Article 31 of the Basic Law provides that “[a]n independent Commission for Human Rights shall be established by law, which shall specify its formation, duties and jurisdiction. The Commission shall submit its reports to the President of the National Authority and the Palestinian Legislative Council.” Despite the fact that the law has not yet been approved or passed, the ICHR clearly operates on the basis of the 1994 Presidential Decree until such time the ICHR Law is endorsed. </w:t>
      </w:r>
    </w:p>
    <w:p w:rsidR="004E721F" w:rsidRPr="005C0ECA" w:rsidRDefault="004E721F" w:rsidP="00D31E5A">
      <w:pPr>
        <w:jc w:val="both"/>
        <w:rPr>
          <w:rFonts w:ascii="Times New Roman" w:hAnsi="Times New Roman" w:cs="Times New Roman"/>
          <w:sz w:val="24"/>
          <w:szCs w:val="24"/>
        </w:rPr>
      </w:pPr>
      <w:r w:rsidRPr="005C0ECA">
        <w:rPr>
          <w:rFonts w:ascii="Times New Roman" w:hAnsi="Times New Roman" w:cs="Times New Roman"/>
          <w:sz w:val="24"/>
          <w:szCs w:val="24"/>
        </w:rPr>
        <w:t xml:space="preserve">In its capacity as the national human rights institution and </w:t>
      </w:r>
      <w:r w:rsidR="00D31E5A" w:rsidRPr="005C0ECA">
        <w:rPr>
          <w:rFonts w:ascii="Times New Roman" w:hAnsi="Times New Roman" w:cs="Times New Roman"/>
          <w:sz w:val="24"/>
          <w:szCs w:val="24"/>
        </w:rPr>
        <w:t>o</w:t>
      </w:r>
      <w:r w:rsidRPr="005C0ECA">
        <w:rPr>
          <w:rFonts w:ascii="Times New Roman" w:hAnsi="Times New Roman" w:cs="Times New Roman"/>
          <w:sz w:val="24"/>
          <w:szCs w:val="24"/>
        </w:rPr>
        <w:t>mbudsman office, the ICHR</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"ICHR" </w:instrText>
      </w:r>
      <w:r w:rsidR="005C0ECA" w:rsidRPr="005C0ECA">
        <w:rPr>
          <w:rFonts w:ascii="Times New Roman" w:hAnsi="Times New Roman" w:cs="Times New Roman"/>
          <w:sz w:val="24"/>
          <w:szCs w:val="24"/>
        </w:rPr>
        <w:fldChar w:fldCharType="end"/>
      </w:r>
      <w:r w:rsidRPr="005C0ECA">
        <w:rPr>
          <w:rFonts w:ascii="Times New Roman" w:hAnsi="Times New Roman" w:cs="Times New Roman"/>
          <w:sz w:val="24"/>
          <w:szCs w:val="24"/>
        </w:rPr>
        <w:t xml:space="preserve"> monitors and ensures that requirements for safeguarding human rights are fulfilled by Palestinian laws, bylaws</w:t>
      </w:r>
      <w:r w:rsidR="00D31E5A" w:rsidRPr="005C0ECA">
        <w:rPr>
          <w:rFonts w:ascii="Times New Roman" w:hAnsi="Times New Roman" w:cs="Times New Roman"/>
          <w:sz w:val="24"/>
          <w:szCs w:val="24"/>
        </w:rPr>
        <w:t>,</w:t>
      </w:r>
      <w:r w:rsidRPr="005C0ECA">
        <w:rPr>
          <w:rFonts w:ascii="Times New Roman" w:hAnsi="Times New Roman" w:cs="Times New Roman"/>
          <w:sz w:val="24"/>
          <w:szCs w:val="24"/>
        </w:rPr>
        <w:t xml:space="preserve"> and regulations, as well as by functions of Palestinian departments, agencies and institutions. The ICHR scope of work extends to address human rights violations, handle complaints of human rights abuses committed against citizens by the Executive branch of government, promote legal literacy, and monitor national legislation and policies, ensuring consistence with international human rights standards. </w:t>
      </w:r>
    </w:p>
    <w:p w:rsidR="004E721F" w:rsidRPr="005C0ECA" w:rsidRDefault="004E721F" w:rsidP="00DC1D66">
      <w:pPr>
        <w:jc w:val="both"/>
        <w:rPr>
          <w:rFonts w:ascii="Times New Roman" w:hAnsi="Times New Roman" w:cs="Times New Roman"/>
          <w:sz w:val="24"/>
          <w:szCs w:val="24"/>
        </w:rPr>
      </w:pPr>
      <w:r w:rsidRPr="005C0ECA">
        <w:rPr>
          <w:rFonts w:ascii="Times New Roman" w:hAnsi="Times New Roman" w:cs="Times New Roman"/>
          <w:sz w:val="24"/>
          <w:szCs w:val="24"/>
        </w:rPr>
        <w:t xml:space="preserve">Contact </w:t>
      </w:r>
      <w:r w:rsidR="00DC1D66" w:rsidRPr="005C0ECA">
        <w:rPr>
          <w:rFonts w:ascii="Times New Roman" w:hAnsi="Times New Roman" w:cs="Times New Roman"/>
          <w:sz w:val="24"/>
          <w:szCs w:val="24"/>
        </w:rPr>
        <w:t>person</w:t>
      </w:r>
      <w:r w:rsidRPr="005C0ECA">
        <w:rPr>
          <w:rFonts w:ascii="Times New Roman" w:hAnsi="Times New Roman" w:cs="Times New Roman"/>
          <w:sz w:val="24"/>
          <w:szCs w:val="24"/>
        </w:rPr>
        <w:t xml:space="preserve">: Khadija Zahran, Head of the </w:t>
      </w:r>
      <w:r w:rsidR="00DC1D66" w:rsidRPr="005C0ECA">
        <w:rPr>
          <w:rFonts w:ascii="Times New Roman" w:hAnsi="Times New Roman" w:cs="Times New Roman"/>
          <w:sz w:val="24"/>
          <w:szCs w:val="24"/>
        </w:rPr>
        <w:t>ICHR</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"ICHR" </w:instrText>
      </w:r>
      <w:r w:rsidR="005C0ECA" w:rsidRPr="005C0ECA">
        <w:rPr>
          <w:rFonts w:ascii="Times New Roman" w:hAnsi="Times New Roman" w:cs="Times New Roman"/>
          <w:sz w:val="24"/>
          <w:szCs w:val="24"/>
        </w:rPr>
        <w:fldChar w:fldCharType="end"/>
      </w:r>
      <w:r w:rsidR="00DC1D66" w:rsidRPr="005C0ECA">
        <w:rPr>
          <w:rFonts w:ascii="Times New Roman" w:hAnsi="Times New Roman" w:cs="Times New Roman"/>
          <w:sz w:val="24"/>
          <w:szCs w:val="24"/>
        </w:rPr>
        <w:t xml:space="preserve"> </w:t>
      </w:r>
      <w:r w:rsidRPr="005C0ECA">
        <w:rPr>
          <w:rFonts w:ascii="Times New Roman" w:hAnsi="Times New Roman" w:cs="Times New Roman"/>
          <w:sz w:val="24"/>
          <w:szCs w:val="24"/>
        </w:rPr>
        <w:t xml:space="preserve">Monitoring of National Legislation and Policy </w:t>
      </w:r>
      <w:r w:rsidR="00F55290" w:rsidRPr="005C0ECA">
        <w:rPr>
          <w:rFonts w:ascii="Times New Roman" w:hAnsi="Times New Roman" w:cs="Times New Roman"/>
          <w:sz w:val="24"/>
          <w:szCs w:val="24"/>
        </w:rPr>
        <w:t>Department</w:t>
      </w:r>
      <w:r w:rsidRPr="005C0ECA">
        <w:rPr>
          <w:rFonts w:ascii="Times New Roman" w:hAnsi="Times New Roman" w:cs="Times New Roman"/>
          <w:sz w:val="24"/>
          <w:szCs w:val="24"/>
        </w:rPr>
        <w:t xml:space="preserve">, </w:t>
      </w:r>
      <w:hyperlink r:id="rId9" w:history="1">
        <w:r w:rsidRPr="005C0ECA">
          <w:rPr>
            <w:rStyle w:val="Hyperlink"/>
            <w:rFonts w:ascii="Times New Roman" w:hAnsi="Times New Roman" w:cs="Times New Roman"/>
            <w:color w:val="auto"/>
            <w:sz w:val="24"/>
            <w:szCs w:val="24"/>
          </w:rPr>
          <w:t>kzahran@ichr.ps</w:t>
        </w:r>
      </w:hyperlink>
      <w:r w:rsidR="00FC6870">
        <w:rPr>
          <w:rFonts w:ascii="Times New Roman" w:hAnsi="Times New Roman" w:cs="Times New Roman"/>
          <w:sz w:val="24"/>
          <w:szCs w:val="24"/>
        </w:rPr>
        <w:t xml:space="preserve"> </w:t>
      </w:r>
      <w:r w:rsidRPr="005C0ECA">
        <w:rPr>
          <w:rFonts w:ascii="Times New Roman" w:hAnsi="Times New Roman" w:cs="Times New Roman"/>
          <w:sz w:val="24"/>
          <w:szCs w:val="24"/>
        </w:rPr>
        <w:t xml:space="preserve"> </w:t>
      </w:r>
    </w:p>
    <w:p w:rsidR="004E721F" w:rsidRPr="005C0ECA" w:rsidRDefault="004E721F" w:rsidP="00D51F94">
      <w:pPr>
        <w:jc w:val="both"/>
        <w:rPr>
          <w:rFonts w:ascii="Times New Roman" w:hAnsi="Times New Roman" w:cs="Times New Roman"/>
          <w:sz w:val="24"/>
          <w:szCs w:val="24"/>
        </w:rPr>
      </w:pPr>
      <w:r w:rsidRPr="005C0ECA">
        <w:rPr>
          <w:rFonts w:ascii="Times New Roman" w:hAnsi="Times New Roman" w:cs="Times New Roman"/>
          <w:sz w:val="24"/>
          <w:szCs w:val="24"/>
        </w:rPr>
        <w:t xml:space="preserve">For more information on the situation of </w:t>
      </w:r>
      <w:r w:rsidR="00DC1D66" w:rsidRPr="005C0ECA">
        <w:rPr>
          <w:rFonts w:ascii="Times New Roman" w:hAnsi="Times New Roman" w:cs="Times New Roman"/>
          <w:sz w:val="24"/>
          <w:szCs w:val="24"/>
        </w:rPr>
        <w:t xml:space="preserve">the </w:t>
      </w:r>
      <w:r w:rsidRPr="005C0ECA">
        <w:rPr>
          <w:rFonts w:ascii="Times New Roman" w:hAnsi="Times New Roman" w:cs="Times New Roman"/>
          <w:sz w:val="24"/>
          <w:szCs w:val="24"/>
        </w:rPr>
        <w:t>rights contained in the International Convention on Economic, Social and Cultural Rights</w:t>
      </w:r>
      <w:r w:rsidR="0062223A" w:rsidRPr="005C0ECA">
        <w:rPr>
          <w:rFonts w:ascii="Times New Roman" w:hAnsi="Times New Roman" w:cs="Times New Roman"/>
          <w:sz w:val="24"/>
          <w:szCs w:val="24"/>
        </w:rPr>
        <w:t xml:space="preserve"> (</w:t>
      </w:r>
      <w:r w:rsidR="00DB1978" w:rsidRPr="005C0ECA">
        <w:rPr>
          <w:rFonts w:ascii="Times New Roman" w:hAnsi="Times New Roman" w:cs="Times New Roman"/>
          <w:sz w:val="24"/>
          <w:szCs w:val="24"/>
        </w:rPr>
        <w:t>ICESCR</w:t>
      </w:r>
      <w:r w:rsidR="005C0ECA" w:rsidRPr="005C0ECA">
        <w:rPr>
          <w:rFonts w:ascii="Times New Roman" w:hAnsi="Times New Roman" w:cs="Times New Roman"/>
          <w:sz w:val="24"/>
          <w:szCs w:val="24"/>
        </w:rPr>
        <w:fldChar w:fldCharType="begin"/>
      </w:r>
      <w:r w:rsidR="005C0ECA" w:rsidRPr="005C0ECA">
        <w:instrText xml:space="preserve"> TA \l "</w:instrText>
      </w:r>
      <w:r w:rsidR="005C0ECA" w:rsidRPr="005C0ECA">
        <w:rPr>
          <w:rFonts w:ascii="Times New Roman" w:hAnsi="Times New Roman" w:cs="Times New Roman"/>
          <w:sz w:val="24"/>
          <w:szCs w:val="24"/>
        </w:rPr>
        <w:instrText>ICESCR : the International Covenant on Economic, Social and Cultural Rights</w:instrText>
      </w:r>
      <w:r w:rsidR="005C0ECA" w:rsidRPr="005C0ECA">
        <w:instrText xml:space="preserve">" \s "ICESCR" \c 1 </w:instrText>
      </w:r>
      <w:r w:rsidR="005C0ECA" w:rsidRPr="005C0ECA">
        <w:rPr>
          <w:rFonts w:ascii="Times New Roman" w:hAnsi="Times New Roman" w:cs="Times New Roman"/>
          <w:sz w:val="24"/>
          <w:szCs w:val="24"/>
        </w:rPr>
        <w:fldChar w:fldCharType="end"/>
      </w:r>
      <w:r w:rsidR="0062223A" w:rsidRPr="005C0ECA">
        <w:rPr>
          <w:rFonts w:ascii="Times New Roman" w:hAnsi="Times New Roman" w:cs="Times New Roman"/>
          <w:sz w:val="24"/>
          <w:szCs w:val="24"/>
        </w:rPr>
        <w:t>)</w:t>
      </w:r>
      <w:r w:rsidRPr="005C0ECA">
        <w:rPr>
          <w:rFonts w:ascii="Times New Roman" w:hAnsi="Times New Roman" w:cs="Times New Roman"/>
          <w:sz w:val="24"/>
          <w:szCs w:val="24"/>
        </w:rPr>
        <w:t xml:space="preserve">, see </w:t>
      </w:r>
      <w:hyperlink r:id="rId10" w:history="1">
        <w:r w:rsidRPr="005C0ECA">
          <w:rPr>
            <w:rStyle w:val="Hyperlink"/>
            <w:rFonts w:ascii="Times New Roman" w:hAnsi="Times New Roman" w:cs="Times New Roman"/>
            <w:color w:val="auto"/>
            <w:sz w:val="24"/>
            <w:szCs w:val="24"/>
          </w:rPr>
          <w:t>https://ichr.ps/en/1</w:t>
        </w:r>
      </w:hyperlink>
      <w:r w:rsidRPr="005C0ECA">
        <w:rPr>
          <w:rFonts w:ascii="Times New Roman" w:hAnsi="Times New Roman" w:cs="Times New Roman"/>
          <w:sz w:val="24"/>
          <w:szCs w:val="24"/>
        </w:rPr>
        <w:t xml:space="preserve">. </w:t>
      </w:r>
    </w:p>
    <w:p w:rsidR="0062223A" w:rsidRPr="005C0ECA" w:rsidRDefault="0062223A" w:rsidP="00D51F94">
      <w:pPr>
        <w:jc w:val="both"/>
        <w:rPr>
          <w:rFonts w:ascii="Times New Roman" w:hAnsi="Times New Roman" w:cs="Times New Roman"/>
          <w:sz w:val="24"/>
          <w:szCs w:val="24"/>
        </w:rPr>
      </w:pPr>
      <w:r w:rsidRPr="005C0ECA">
        <w:rPr>
          <w:rFonts w:ascii="Times New Roman" w:hAnsi="Times New Roman" w:cs="Times New Roman"/>
          <w:sz w:val="24"/>
          <w:szCs w:val="24"/>
        </w:rPr>
        <w:br w:type="page"/>
      </w:r>
    </w:p>
    <w:p w:rsidR="0062223A" w:rsidRPr="005C0ECA" w:rsidRDefault="0062223A" w:rsidP="005C0ECA">
      <w:pPr>
        <w:pStyle w:val="Heading1"/>
        <w:rPr>
          <w:rFonts w:asciiTheme="majorBidi" w:hAnsiTheme="majorBidi"/>
          <w:b/>
          <w:bCs/>
          <w:color w:val="auto"/>
        </w:rPr>
      </w:pPr>
      <w:bookmarkStart w:id="6" w:name="_Toc79315034"/>
      <w:r w:rsidRPr="005C0ECA">
        <w:rPr>
          <w:rFonts w:asciiTheme="majorBidi" w:hAnsiTheme="majorBidi"/>
          <w:b/>
          <w:bCs/>
          <w:color w:val="auto"/>
        </w:rPr>
        <w:lastRenderedPageBreak/>
        <w:t xml:space="preserve">Legal value of the Convention </w:t>
      </w:r>
      <w:r w:rsidR="00687C5C" w:rsidRPr="005C0ECA">
        <w:rPr>
          <w:rFonts w:asciiTheme="majorBidi" w:hAnsiTheme="majorBidi"/>
          <w:b/>
          <w:bCs/>
          <w:color w:val="auto"/>
        </w:rPr>
        <w:t xml:space="preserve">in </w:t>
      </w:r>
      <w:r w:rsidRPr="005C0ECA">
        <w:rPr>
          <w:rFonts w:asciiTheme="majorBidi" w:hAnsiTheme="majorBidi"/>
          <w:b/>
          <w:bCs/>
          <w:color w:val="auto"/>
        </w:rPr>
        <w:t>the legal system</w:t>
      </w:r>
      <w:bookmarkEnd w:id="6"/>
      <w:r w:rsidRPr="005C0ECA">
        <w:rPr>
          <w:rFonts w:asciiTheme="majorBidi" w:hAnsiTheme="majorBidi"/>
          <w:b/>
          <w:bCs/>
          <w:color w:val="auto"/>
        </w:rPr>
        <w:t xml:space="preserve"> </w:t>
      </w:r>
    </w:p>
    <w:p w:rsidR="00DB1978" w:rsidRPr="005C0ECA" w:rsidRDefault="0062223A" w:rsidP="00B0549D">
      <w:pPr>
        <w:jc w:val="both"/>
        <w:rPr>
          <w:rFonts w:ascii="Times New Roman" w:hAnsi="Times New Roman" w:cs="Times New Roman"/>
          <w:sz w:val="24"/>
          <w:szCs w:val="24"/>
        </w:rPr>
      </w:pPr>
      <w:r w:rsidRPr="005C0ECA">
        <w:rPr>
          <w:rFonts w:ascii="Times New Roman" w:hAnsi="Times New Roman" w:cs="Times New Roman"/>
          <w:sz w:val="24"/>
          <w:szCs w:val="24"/>
        </w:rPr>
        <w:t xml:space="preserve">In paragraph 44, the </w:t>
      </w:r>
      <w:r w:rsidR="00687C5C" w:rsidRPr="005C0ECA">
        <w:rPr>
          <w:rFonts w:ascii="Times New Roman" w:hAnsi="Times New Roman" w:cs="Times New Roman"/>
          <w:sz w:val="24"/>
          <w:szCs w:val="24"/>
        </w:rPr>
        <w:t>r</w:t>
      </w:r>
      <w:r w:rsidRPr="005C0ECA">
        <w:rPr>
          <w:rFonts w:ascii="Times New Roman" w:hAnsi="Times New Roman" w:cs="Times New Roman"/>
          <w:sz w:val="24"/>
          <w:szCs w:val="24"/>
        </w:rPr>
        <w:t xml:space="preserve">eport </w:t>
      </w:r>
      <w:r w:rsidR="00DB1978" w:rsidRPr="005C0ECA">
        <w:rPr>
          <w:rFonts w:ascii="Times New Roman" w:hAnsi="Times New Roman" w:cs="Times New Roman"/>
          <w:sz w:val="24"/>
          <w:szCs w:val="24"/>
        </w:rPr>
        <w:t xml:space="preserve">refers to the declaratory judgement rendered by </w:t>
      </w:r>
      <w:bookmarkStart w:id="7" w:name="_Hlk79314405"/>
      <w:r w:rsidR="00DB1978" w:rsidRPr="005C0ECA">
        <w:rPr>
          <w:rFonts w:ascii="Times New Roman" w:hAnsi="Times New Roman" w:cs="Times New Roman"/>
          <w:sz w:val="24"/>
          <w:szCs w:val="24"/>
        </w:rPr>
        <w:t xml:space="preserve">the Supreme Constitutional Court </w:t>
      </w:r>
      <w:bookmarkEnd w:id="7"/>
      <w:r w:rsidR="00DB1978" w:rsidRPr="005C0ECA">
        <w:rPr>
          <w:rFonts w:ascii="Times New Roman" w:hAnsi="Times New Roman" w:cs="Times New Roman"/>
          <w:sz w:val="24"/>
          <w:szCs w:val="24"/>
        </w:rPr>
        <w:t>(SCC</w:t>
      </w:r>
      <w:r w:rsidR="005C0ECA" w:rsidRPr="005C0ECA">
        <w:rPr>
          <w:rFonts w:ascii="Times New Roman" w:hAnsi="Times New Roman" w:cs="Times New Roman"/>
          <w:sz w:val="24"/>
          <w:szCs w:val="24"/>
        </w:rPr>
        <w:fldChar w:fldCharType="begin"/>
      </w:r>
      <w:r w:rsidR="005C0ECA" w:rsidRPr="005C0ECA">
        <w:instrText xml:space="preserve"> TA \l "</w:instrText>
      </w:r>
      <w:r w:rsidR="005C0ECA" w:rsidRPr="005C0ECA">
        <w:rPr>
          <w:rFonts w:ascii="Times New Roman" w:hAnsi="Times New Roman" w:cs="Times New Roman"/>
          <w:sz w:val="24"/>
          <w:szCs w:val="24"/>
        </w:rPr>
        <w:instrText>SCC : the Supreme Constitutional Court</w:instrText>
      </w:r>
      <w:r w:rsidR="005C0ECA" w:rsidRPr="005C0ECA">
        <w:instrText xml:space="preserve">" \s "SCC" \c 1 </w:instrText>
      </w:r>
      <w:r w:rsidR="005C0ECA" w:rsidRPr="005C0ECA">
        <w:rPr>
          <w:rFonts w:ascii="Times New Roman" w:hAnsi="Times New Roman" w:cs="Times New Roman"/>
          <w:sz w:val="24"/>
          <w:szCs w:val="24"/>
        </w:rPr>
        <w:fldChar w:fldCharType="end"/>
      </w:r>
      <w:r w:rsidR="00DB1978" w:rsidRPr="005C0ECA">
        <w:rPr>
          <w:rFonts w:ascii="Times New Roman" w:hAnsi="Times New Roman" w:cs="Times New Roman"/>
          <w:sz w:val="24"/>
          <w:szCs w:val="24"/>
        </w:rPr>
        <w:t>) in Case No. 4 of 2017, dated 12 March 2018, regarding the legal status of international treaties in the Palestinian legal system. The SCC decision affirm</w:t>
      </w:r>
      <w:r w:rsidR="00B0549D" w:rsidRPr="005C0ECA">
        <w:rPr>
          <w:rFonts w:ascii="Times New Roman" w:hAnsi="Times New Roman" w:cs="Times New Roman"/>
          <w:sz w:val="24"/>
          <w:szCs w:val="24"/>
        </w:rPr>
        <w:t>ed</w:t>
      </w:r>
      <w:r w:rsidR="00DB1978" w:rsidRPr="005C0ECA">
        <w:rPr>
          <w:rFonts w:ascii="Times New Roman" w:hAnsi="Times New Roman" w:cs="Times New Roman"/>
          <w:sz w:val="24"/>
          <w:szCs w:val="24"/>
        </w:rPr>
        <w:t xml:space="preserve"> that international conventions take precedence over domestic legislation whereby the norms of such conventions acquire superior force to domestic legislation, in keeping with the national, religious</w:t>
      </w:r>
      <w:r w:rsidR="00986D87" w:rsidRPr="005C0ECA">
        <w:rPr>
          <w:rFonts w:ascii="Times New Roman" w:hAnsi="Times New Roman" w:cs="Times New Roman"/>
          <w:sz w:val="24"/>
          <w:szCs w:val="24"/>
        </w:rPr>
        <w:t>,</w:t>
      </w:r>
      <w:r w:rsidR="00DB1978" w:rsidRPr="005C0ECA">
        <w:rPr>
          <w:rFonts w:ascii="Times New Roman" w:hAnsi="Times New Roman" w:cs="Times New Roman"/>
          <w:sz w:val="24"/>
          <w:szCs w:val="24"/>
        </w:rPr>
        <w:t xml:space="preserve"> and cultural identity of the Palestinian people. </w:t>
      </w:r>
    </w:p>
    <w:p w:rsidR="00DB1978" w:rsidRPr="005C0ECA" w:rsidRDefault="00DB1978" w:rsidP="00C12965">
      <w:pPr>
        <w:jc w:val="both"/>
        <w:rPr>
          <w:rFonts w:ascii="Times New Roman" w:hAnsi="Times New Roman" w:cs="Times New Roman"/>
          <w:sz w:val="24"/>
          <w:szCs w:val="24"/>
        </w:rPr>
      </w:pPr>
      <w:r w:rsidRPr="005C0ECA">
        <w:rPr>
          <w:rFonts w:ascii="Times New Roman" w:hAnsi="Times New Roman" w:cs="Times New Roman"/>
          <w:sz w:val="24"/>
          <w:szCs w:val="24"/>
        </w:rPr>
        <w:t xml:space="preserve">The </w:t>
      </w:r>
      <w:r w:rsidR="00986D87" w:rsidRPr="005C0ECA">
        <w:rPr>
          <w:rFonts w:ascii="Times New Roman" w:hAnsi="Times New Roman" w:cs="Times New Roman"/>
          <w:sz w:val="24"/>
          <w:szCs w:val="24"/>
        </w:rPr>
        <w:t>SCC</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"SCC" </w:instrText>
      </w:r>
      <w:r w:rsidR="005C0ECA" w:rsidRPr="005C0ECA">
        <w:rPr>
          <w:rFonts w:ascii="Times New Roman" w:hAnsi="Times New Roman" w:cs="Times New Roman"/>
          <w:sz w:val="24"/>
          <w:szCs w:val="24"/>
        </w:rPr>
        <w:fldChar w:fldCharType="end"/>
      </w:r>
      <w:r w:rsidRPr="005C0ECA">
        <w:rPr>
          <w:rFonts w:ascii="Times New Roman" w:hAnsi="Times New Roman" w:cs="Times New Roman"/>
          <w:sz w:val="24"/>
          <w:szCs w:val="24"/>
        </w:rPr>
        <w:t xml:space="preserve"> decision was made in the absence of an explicit constitutional or legal provision, which demonstrates the legal force of international conventions in Palestine. </w:t>
      </w:r>
      <w:r w:rsidR="00986D87" w:rsidRPr="005C0ECA">
        <w:rPr>
          <w:rFonts w:ascii="Times New Roman" w:hAnsi="Times New Roman" w:cs="Times New Roman"/>
          <w:sz w:val="24"/>
          <w:szCs w:val="24"/>
        </w:rPr>
        <w:t xml:space="preserve">Consequently, </w:t>
      </w:r>
      <w:r w:rsidRPr="005C0ECA">
        <w:rPr>
          <w:rFonts w:ascii="Times New Roman" w:hAnsi="Times New Roman" w:cs="Times New Roman"/>
          <w:sz w:val="24"/>
          <w:szCs w:val="24"/>
        </w:rPr>
        <w:t>the ICHR</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"ICHR" </w:instrText>
      </w:r>
      <w:r w:rsidR="005C0ECA" w:rsidRPr="005C0ECA">
        <w:rPr>
          <w:rFonts w:ascii="Times New Roman" w:hAnsi="Times New Roman" w:cs="Times New Roman"/>
          <w:sz w:val="24"/>
          <w:szCs w:val="24"/>
        </w:rPr>
        <w:fldChar w:fldCharType="end"/>
      </w:r>
      <w:r w:rsidRPr="005C0ECA">
        <w:rPr>
          <w:rFonts w:ascii="Times New Roman" w:hAnsi="Times New Roman" w:cs="Times New Roman"/>
          <w:sz w:val="24"/>
          <w:szCs w:val="24"/>
        </w:rPr>
        <w:t xml:space="preserve"> </w:t>
      </w:r>
      <w:r w:rsidR="00986D87" w:rsidRPr="005C0ECA">
        <w:rPr>
          <w:rFonts w:ascii="Times New Roman" w:hAnsi="Times New Roman" w:cs="Times New Roman"/>
          <w:sz w:val="24"/>
          <w:szCs w:val="24"/>
        </w:rPr>
        <w:t xml:space="preserve">has been </w:t>
      </w:r>
      <w:r w:rsidRPr="005C0ECA">
        <w:rPr>
          <w:rFonts w:ascii="Times New Roman" w:hAnsi="Times New Roman" w:cs="Times New Roman"/>
          <w:sz w:val="24"/>
          <w:szCs w:val="24"/>
        </w:rPr>
        <w:t xml:space="preserve">concerned about the claim that the provisions of international </w:t>
      </w:r>
      <w:r w:rsidR="00496F4C" w:rsidRPr="005C0ECA">
        <w:rPr>
          <w:rFonts w:ascii="Times New Roman" w:hAnsi="Times New Roman" w:cs="Times New Roman"/>
          <w:sz w:val="24"/>
          <w:szCs w:val="24"/>
        </w:rPr>
        <w:t xml:space="preserve">conventions </w:t>
      </w:r>
      <w:r w:rsidRPr="005C0ECA">
        <w:rPr>
          <w:rFonts w:ascii="Times New Roman" w:hAnsi="Times New Roman" w:cs="Times New Roman"/>
          <w:sz w:val="24"/>
          <w:szCs w:val="24"/>
        </w:rPr>
        <w:t xml:space="preserve">are in conflict with </w:t>
      </w:r>
      <w:r w:rsidR="00496F4C" w:rsidRPr="005C0ECA">
        <w:rPr>
          <w:rFonts w:ascii="Times New Roman" w:hAnsi="Times New Roman" w:cs="Times New Roman"/>
          <w:sz w:val="24"/>
          <w:szCs w:val="24"/>
        </w:rPr>
        <w:t>the national, religious</w:t>
      </w:r>
      <w:r w:rsidR="00986D87" w:rsidRPr="005C0ECA">
        <w:rPr>
          <w:rFonts w:ascii="Times New Roman" w:hAnsi="Times New Roman" w:cs="Times New Roman"/>
          <w:sz w:val="24"/>
          <w:szCs w:val="24"/>
        </w:rPr>
        <w:t>,</w:t>
      </w:r>
      <w:r w:rsidR="00496F4C" w:rsidRPr="005C0ECA">
        <w:rPr>
          <w:rFonts w:ascii="Times New Roman" w:hAnsi="Times New Roman" w:cs="Times New Roman"/>
          <w:sz w:val="24"/>
          <w:szCs w:val="24"/>
        </w:rPr>
        <w:t xml:space="preserve"> and cultural identity of the Palestinian people </w:t>
      </w:r>
      <w:r w:rsidRPr="005C0ECA">
        <w:rPr>
          <w:rFonts w:ascii="Times New Roman" w:hAnsi="Times New Roman" w:cs="Times New Roman"/>
          <w:sz w:val="24"/>
          <w:szCs w:val="24"/>
        </w:rPr>
        <w:t xml:space="preserve">can </w:t>
      </w:r>
      <w:r w:rsidR="00496F4C" w:rsidRPr="005C0ECA">
        <w:rPr>
          <w:rFonts w:ascii="Times New Roman" w:hAnsi="Times New Roman" w:cs="Times New Roman"/>
          <w:sz w:val="24"/>
          <w:szCs w:val="24"/>
        </w:rPr>
        <w:t xml:space="preserve">potentially </w:t>
      </w:r>
      <w:r w:rsidRPr="005C0ECA">
        <w:rPr>
          <w:rFonts w:ascii="Times New Roman" w:hAnsi="Times New Roman" w:cs="Times New Roman"/>
          <w:sz w:val="24"/>
          <w:szCs w:val="24"/>
        </w:rPr>
        <w:t xml:space="preserve">be used as </w:t>
      </w:r>
      <w:r w:rsidR="007E5F97" w:rsidRPr="005C0ECA">
        <w:rPr>
          <w:rFonts w:ascii="Times New Roman" w:hAnsi="Times New Roman" w:cs="Times New Roman"/>
          <w:sz w:val="24"/>
          <w:szCs w:val="24"/>
        </w:rPr>
        <w:t xml:space="preserve">a </w:t>
      </w:r>
      <w:r w:rsidRPr="005C0ECA">
        <w:rPr>
          <w:rFonts w:ascii="Times New Roman" w:hAnsi="Times New Roman" w:cs="Times New Roman"/>
          <w:sz w:val="24"/>
          <w:szCs w:val="24"/>
        </w:rPr>
        <w:t xml:space="preserve">basis for </w:t>
      </w:r>
      <w:r w:rsidR="007E5F97" w:rsidRPr="005C0ECA">
        <w:rPr>
          <w:rFonts w:ascii="Times New Roman" w:hAnsi="Times New Roman" w:cs="Times New Roman"/>
          <w:sz w:val="24"/>
          <w:szCs w:val="24"/>
        </w:rPr>
        <w:t>failing to apply</w:t>
      </w:r>
      <w:r w:rsidR="009F1502" w:rsidRPr="005C0ECA">
        <w:rPr>
          <w:rFonts w:ascii="Times New Roman" w:hAnsi="Times New Roman" w:cs="Times New Roman"/>
          <w:sz w:val="24"/>
          <w:szCs w:val="24"/>
        </w:rPr>
        <w:t>, or formulating reservations to</w:t>
      </w:r>
      <w:r w:rsidR="00C12965" w:rsidRPr="005C0ECA">
        <w:rPr>
          <w:rFonts w:ascii="Times New Roman" w:hAnsi="Times New Roman" w:cs="Times New Roman"/>
          <w:sz w:val="24"/>
          <w:szCs w:val="24"/>
        </w:rPr>
        <w:t>,</w:t>
      </w:r>
      <w:r w:rsidR="009F1502" w:rsidRPr="005C0ECA">
        <w:rPr>
          <w:rFonts w:ascii="Times New Roman" w:hAnsi="Times New Roman" w:cs="Times New Roman"/>
          <w:sz w:val="24"/>
          <w:szCs w:val="24"/>
        </w:rPr>
        <w:t xml:space="preserve"> some</w:t>
      </w:r>
      <w:r w:rsidRPr="005C0ECA">
        <w:rPr>
          <w:rFonts w:ascii="Times New Roman" w:hAnsi="Times New Roman" w:cs="Times New Roman"/>
          <w:sz w:val="24"/>
          <w:szCs w:val="24"/>
        </w:rPr>
        <w:t xml:space="preserve"> </w:t>
      </w:r>
      <w:r w:rsidR="009F1502" w:rsidRPr="005C0ECA">
        <w:rPr>
          <w:rFonts w:ascii="Times New Roman" w:hAnsi="Times New Roman" w:cs="Times New Roman"/>
          <w:sz w:val="24"/>
          <w:szCs w:val="24"/>
        </w:rPr>
        <w:t xml:space="preserve">of </w:t>
      </w:r>
      <w:r w:rsidR="00496F4C" w:rsidRPr="005C0ECA">
        <w:rPr>
          <w:rFonts w:ascii="Times New Roman" w:hAnsi="Times New Roman" w:cs="Times New Roman"/>
          <w:sz w:val="24"/>
          <w:szCs w:val="24"/>
        </w:rPr>
        <w:t>these conventions</w:t>
      </w:r>
      <w:r w:rsidR="009F1502" w:rsidRPr="005C0ECA">
        <w:rPr>
          <w:rFonts w:ascii="Times New Roman" w:hAnsi="Times New Roman" w:cs="Times New Roman"/>
          <w:sz w:val="24"/>
          <w:szCs w:val="24"/>
        </w:rPr>
        <w:t xml:space="preserve">. </w:t>
      </w:r>
      <w:r w:rsidR="00E30918" w:rsidRPr="005C0ECA">
        <w:rPr>
          <w:rFonts w:ascii="Times New Roman" w:hAnsi="Times New Roman" w:cs="Times New Roman"/>
          <w:sz w:val="24"/>
          <w:szCs w:val="24"/>
        </w:rPr>
        <w:t xml:space="preserve">The obscure terms </w:t>
      </w:r>
      <w:r w:rsidR="00C12965" w:rsidRPr="005C0ECA">
        <w:rPr>
          <w:rFonts w:ascii="Times New Roman" w:hAnsi="Times New Roman" w:cs="Times New Roman"/>
          <w:sz w:val="24"/>
          <w:szCs w:val="24"/>
        </w:rPr>
        <w:t xml:space="preserve">used by the SCC </w:t>
      </w:r>
      <w:r w:rsidR="00E30918" w:rsidRPr="005C0ECA">
        <w:rPr>
          <w:rFonts w:ascii="Times New Roman" w:hAnsi="Times New Roman" w:cs="Times New Roman"/>
          <w:sz w:val="24"/>
          <w:szCs w:val="24"/>
        </w:rPr>
        <w:t>render accession to international conventions meaningless. Accordingly, the State of Palestine would derogate from its obligations, including in relation to harmonising domestic legislation and correcting national policies. Such obligation</w:t>
      </w:r>
      <w:r w:rsidR="00C12965" w:rsidRPr="005C0ECA">
        <w:rPr>
          <w:rFonts w:ascii="Times New Roman" w:hAnsi="Times New Roman" w:cs="Times New Roman"/>
          <w:sz w:val="24"/>
          <w:szCs w:val="24"/>
        </w:rPr>
        <w:t>s</w:t>
      </w:r>
      <w:r w:rsidR="00E30918" w:rsidRPr="005C0ECA">
        <w:rPr>
          <w:rFonts w:ascii="Times New Roman" w:hAnsi="Times New Roman" w:cs="Times New Roman"/>
          <w:sz w:val="24"/>
          <w:szCs w:val="24"/>
        </w:rPr>
        <w:t xml:space="preserve"> could not, therefore, be invoked before </w:t>
      </w:r>
      <w:r w:rsidR="00B56EA0" w:rsidRPr="005C0ECA">
        <w:rPr>
          <w:rFonts w:ascii="Times New Roman" w:hAnsi="Times New Roman" w:cs="Times New Roman"/>
          <w:sz w:val="24"/>
          <w:szCs w:val="24"/>
        </w:rPr>
        <w:t>national courts</w:t>
      </w:r>
      <w:r w:rsidR="00E30918" w:rsidRPr="005C0ECA">
        <w:rPr>
          <w:rFonts w:ascii="Times New Roman" w:hAnsi="Times New Roman" w:cs="Times New Roman"/>
          <w:sz w:val="24"/>
          <w:szCs w:val="24"/>
        </w:rPr>
        <w:t xml:space="preserve">. </w:t>
      </w:r>
    </w:p>
    <w:p w:rsidR="00E30918" w:rsidRPr="005C0ECA" w:rsidRDefault="00E30918" w:rsidP="00D51F94">
      <w:pPr>
        <w:jc w:val="both"/>
        <w:rPr>
          <w:rFonts w:ascii="Times New Roman" w:hAnsi="Times New Roman" w:cs="Times New Roman"/>
          <w:sz w:val="24"/>
          <w:szCs w:val="24"/>
        </w:rPr>
      </w:pPr>
    </w:p>
    <w:p w:rsidR="00E30918" w:rsidRPr="005C0ECA" w:rsidRDefault="00E30918" w:rsidP="005C0ECA">
      <w:pPr>
        <w:pStyle w:val="Heading1"/>
        <w:rPr>
          <w:rFonts w:asciiTheme="majorBidi" w:hAnsiTheme="majorBidi"/>
          <w:b/>
          <w:bCs/>
          <w:color w:val="auto"/>
        </w:rPr>
      </w:pPr>
      <w:bookmarkStart w:id="8" w:name="_Toc79315035"/>
      <w:r w:rsidRPr="005C0ECA">
        <w:rPr>
          <w:rFonts w:asciiTheme="majorBidi" w:hAnsiTheme="majorBidi"/>
          <w:b/>
          <w:bCs/>
          <w:color w:val="auto"/>
        </w:rPr>
        <w:t>General measures of implementation</w:t>
      </w:r>
      <w:bookmarkEnd w:id="8"/>
      <w:r w:rsidRPr="005C0ECA">
        <w:rPr>
          <w:rFonts w:asciiTheme="majorBidi" w:hAnsiTheme="majorBidi"/>
          <w:b/>
          <w:bCs/>
          <w:color w:val="auto"/>
        </w:rPr>
        <w:t xml:space="preserve"> </w:t>
      </w:r>
    </w:p>
    <w:p w:rsidR="00B56EA0" w:rsidRPr="005C0ECA" w:rsidRDefault="00F56742" w:rsidP="002F5A6D">
      <w:pPr>
        <w:pStyle w:val="ListParagraph"/>
        <w:numPr>
          <w:ilvl w:val="0"/>
          <w:numId w:val="2"/>
        </w:numPr>
        <w:jc w:val="both"/>
        <w:rPr>
          <w:rFonts w:ascii="Times New Roman" w:hAnsi="Times New Roman" w:cs="Times New Roman"/>
          <w:sz w:val="24"/>
          <w:szCs w:val="24"/>
        </w:rPr>
      </w:pPr>
      <w:r w:rsidRPr="005C0ECA">
        <w:rPr>
          <w:rFonts w:ascii="Times New Roman" w:hAnsi="Times New Roman" w:cs="Times New Roman"/>
          <w:sz w:val="24"/>
          <w:szCs w:val="24"/>
        </w:rPr>
        <w:t xml:space="preserve">The report does make a mention of </w:t>
      </w:r>
      <w:r w:rsidR="00F61857" w:rsidRPr="005C0ECA">
        <w:rPr>
          <w:rFonts w:ascii="Times New Roman" w:hAnsi="Times New Roman" w:cs="Times New Roman"/>
          <w:sz w:val="24"/>
          <w:szCs w:val="24"/>
        </w:rPr>
        <w:t>a primary obligation of the Palestinian government, namely, the status of implementation of the ICESCR</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"ICESCR" </w:instrText>
      </w:r>
      <w:r w:rsidR="005C0ECA" w:rsidRPr="005C0ECA">
        <w:rPr>
          <w:rFonts w:ascii="Times New Roman" w:hAnsi="Times New Roman" w:cs="Times New Roman"/>
          <w:sz w:val="24"/>
          <w:szCs w:val="24"/>
        </w:rPr>
        <w:fldChar w:fldCharType="end"/>
      </w:r>
      <w:r w:rsidR="00F61857" w:rsidRPr="005C0ECA">
        <w:rPr>
          <w:rFonts w:ascii="Times New Roman" w:hAnsi="Times New Roman" w:cs="Times New Roman"/>
          <w:sz w:val="24"/>
          <w:szCs w:val="24"/>
        </w:rPr>
        <w:t xml:space="preserve"> provisions in the entire Palestinian territory. While the Gaza Strip is under the </w:t>
      </w:r>
      <w:r w:rsidR="00F61857" w:rsidRPr="005C0ECA">
        <w:rPr>
          <w:rFonts w:ascii="Times New Roman" w:hAnsi="Times New Roman" w:cs="Times New Roman"/>
          <w:i/>
          <w:iCs/>
          <w:sz w:val="24"/>
          <w:szCs w:val="24"/>
        </w:rPr>
        <w:t>de facto</w:t>
      </w:r>
      <w:r w:rsidR="00F61857" w:rsidRPr="005C0ECA">
        <w:rPr>
          <w:rFonts w:ascii="Times New Roman" w:hAnsi="Times New Roman" w:cs="Times New Roman"/>
          <w:sz w:val="24"/>
          <w:szCs w:val="24"/>
        </w:rPr>
        <w:t xml:space="preserve"> authority of Hamas, Israel retains full security and administrative control over Area C. Therefore, the provisions of both domestic legislation and the Convention cannot be enforced in both areas. </w:t>
      </w:r>
      <w:r w:rsidR="002F5A6D" w:rsidRPr="005C0ECA">
        <w:rPr>
          <w:rFonts w:ascii="Times New Roman" w:hAnsi="Times New Roman" w:cs="Times New Roman"/>
          <w:sz w:val="24"/>
          <w:szCs w:val="24"/>
        </w:rPr>
        <w:t>Still, t</w:t>
      </w:r>
      <w:r w:rsidR="00F61857" w:rsidRPr="005C0ECA">
        <w:rPr>
          <w:rFonts w:ascii="Times New Roman" w:hAnsi="Times New Roman" w:cs="Times New Roman"/>
          <w:sz w:val="24"/>
          <w:szCs w:val="24"/>
        </w:rPr>
        <w:t xml:space="preserve">he State of Palestine’s report does </w:t>
      </w:r>
      <w:r w:rsidR="00ED7683" w:rsidRPr="005C0ECA">
        <w:rPr>
          <w:rFonts w:ascii="Times New Roman" w:hAnsi="Times New Roman" w:cs="Times New Roman"/>
          <w:sz w:val="24"/>
          <w:szCs w:val="24"/>
        </w:rPr>
        <w:t xml:space="preserve">not </w:t>
      </w:r>
      <w:r w:rsidR="00F61857" w:rsidRPr="005C0ECA">
        <w:rPr>
          <w:rFonts w:ascii="Times New Roman" w:hAnsi="Times New Roman" w:cs="Times New Roman"/>
          <w:sz w:val="24"/>
          <w:szCs w:val="24"/>
        </w:rPr>
        <w:t xml:space="preserve">outline any measures or intentions, ensuring that the provisions of the Convention will be implemented in all parts of the State of Palestine. </w:t>
      </w:r>
    </w:p>
    <w:p w:rsidR="00B56EA0" w:rsidRPr="005C0ECA" w:rsidRDefault="00B56EA0" w:rsidP="00623D1C">
      <w:pPr>
        <w:pStyle w:val="ListParagraph"/>
        <w:numPr>
          <w:ilvl w:val="0"/>
          <w:numId w:val="2"/>
        </w:numPr>
        <w:jc w:val="both"/>
        <w:rPr>
          <w:rFonts w:ascii="Times New Roman" w:hAnsi="Times New Roman" w:cs="Times New Roman"/>
          <w:sz w:val="24"/>
          <w:szCs w:val="24"/>
        </w:rPr>
      </w:pPr>
      <w:r w:rsidRPr="005C0ECA">
        <w:rPr>
          <w:rFonts w:ascii="Times New Roman" w:hAnsi="Times New Roman" w:cs="Times New Roman"/>
          <w:sz w:val="24"/>
          <w:szCs w:val="24"/>
        </w:rPr>
        <w:t>The report does not make clear whether any measures or actions have been taken by the Palestinian government and/or judicial bodies</w:t>
      </w:r>
      <w:r w:rsidR="002E4095" w:rsidRPr="005C0ECA">
        <w:rPr>
          <w:rFonts w:ascii="Times New Roman" w:hAnsi="Times New Roman" w:cs="Times New Roman"/>
          <w:sz w:val="24"/>
          <w:szCs w:val="24"/>
        </w:rPr>
        <w:t xml:space="preserve"> </w:t>
      </w:r>
      <w:r w:rsidRPr="005C0ECA">
        <w:rPr>
          <w:rFonts w:ascii="Times New Roman" w:hAnsi="Times New Roman" w:cs="Times New Roman"/>
          <w:sz w:val="24"/>
          <w:szCs w:val="24"/>
        </w:rPr>
        <w:t>to implement international conventions and invoke relevant provisions before national courts. According to ICHR</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"ICHR" </w:instrText>
      </w:r>
      <w:r w:rsidR="005C0ECA" w:rsidRPr="005C0ECA">
        <w:rPr>
          <w:rFonts w:ascii="Times New Roman" w:hAnsi="Times New Roman" w:cs="Times New Roman"/>
          <w:sz w:val="24"/>
          <w:szCs w:val="24"/>
        </w:rPr>
        <w:fldChar w:fldCharType="end"/>
      </w:r>
      <w:r w:rsidRPr="005C0ECA">
        <w:rPr>
          <w:rFonts w:ascii="Times New Roman" w:hAnsi="Times New Roman" w:cs="Times New Roman"/>
          <w:sz w:val="24"/>
          <w:szCs w:val="24"/>
        </w:rPr>
        <w:t xml:space="preserve"> monitoring, the official position suggests a vague approach to adopting measures, which would ensure the enforcement of international human rights conventions on the domestic judicial system of Palestine.</w:t>
      </w:r>
    </w:p>
    <w:p w:rsidR="00B56EA0" w:rsidRPr="005C0ECA" w:rsidRDefault="00A70EB8" w:rsidP="00A70EB8">
      <w:pPr>
        <w:pStyle w:val="ListParagraph"/>
        <w:numPr>
          <w:ilvl w:val="0"/>
          <w:numId w:val="2"/>
        </w:numPr>
        <w:jc w:val="both"/>
        <w:rPr>
          <w:rFonts w:ascii="Times New Roman" w:hAnsi="Times New Roman" w:cs="Times New Roman"/>
          <w:sz w:val="24"/>
          <w:szCs w:val="24"/>
        </w:rPr>
      </w:pPr>
      <w:r w:rsidRPr="005C0ECA">
        <w:rPr>
          <w:rFonts w:ascii="Times New Roman" w:hAnsi="Times New Roman" w:cs="Times New Roman"/>
          <w:sz w:val="24"/>
          <w:szCs w:val="24"/>
        </w:rPr>
        <w:t>Based on judicial interpretation, t</w:t>
      </w:r>
      <w:r w:rsidR="00CB7895" w:rsidRPr="005C0ECA">
        <w:rPr>
          <w:rFonts w:ascii="Times New Roman" w:hAnsi="Times New Roman" w:cs="Times New Roman"/>
          <w:sz w:val="24"/>
          <w:szCs w:val="24"/>
        </w:rPr>
        <w:t xml:space="preserve">he State of Palestine has </w:t>
      </w:r>
      <w:r w:rsidR="00BD139E" w:rsidRPr="005C0ECA">
        <w:rPr>
          <w:rFonts w:ascii="Times New Roman" w:hAnsi="Times New Roman" w:cs="Times New Roman"/>
          <w:sz w:val="24"/>
          <w:szCs w:val="24"/>
        </w:rPr>
        <w:t xml:space="preserve">not </w:t>
      </w:r>
      <w:r w:rsidR="00CB7895" w:rsidRPr="005C0ECA">
        <w:rPr>
          <w:rFonts w:ascii="Times New Roman" w:hAnsi="Times New Roman" w:cs="Times New Roman"/>
          <w:sz w:val="24"/>
          <w:szCs w:val="24"/>
        </w:rPr>
        <w:t xml:space="preserve">developed </w:t>
      </w:r>
      <w:r w:rsidR="00BD139E" w:rsidRPr="005C0ECA">
        <w:rPr>
          <w:rFonts w:ascii="Times New Roman" w:hAnsi="Times New Roman" w:cs="Times New Roman"/>
          <w:sz w:val="24"/>
          <w:szCs w:val="24"/>
        </w:rPr>
        <w:t xml:space="preserve">a formula, which provides the needed mechanisms for incorporating international conventions into the domestic legal system. </w:t>
      </w:r>
      <w:r w:rsidRPr="005C0ECA">
        <w:rPr>
          <w:rFonts w:ascii="Times New Roman" w:hAnsi="Times New Roman" w:cs="Times New Roman"/>
          <w:sz w:val="24"/>
          <w:szCs w:val="24"/>
        </w:rPr>
        <w:t>The ICESCR</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"ICESCR" </w:instrText>
      </w:r>
      <w:r w:rsidR="005C0ECA" w:rsidRPr="005C0ECA">
        <w:rPr>
          <w:rFonts w:ascii="Times New Roman" w:hAnsi="Times New Roman" w:cs="Times New Roman"/>
          <w:sz w:val="24"/>
          <w:szCs w:val="24"/>
        </w:rPr>
        <w:fldChar w:fldCharType="end"/>
      </w:r>
      <w:r w:rsidRPr="005C0ECA">
        <w:rPr>
          <w:rFonts w:ascii="Times New Roman" w:hAnsi="Times New Roman" w:cs="Times New Roman"/>
          <w:sz w:val="24"/>
          <w:szCs w:val="24"/>
        </w:rPr>
        <w:t xml:space="preserve"> has </w:t>
      </w:r>
      <w:r w:rsidR="00BD139E" w:rsidRPr="005C0ECA">
        <w:rPr>
          <w:rFonts w:ascii="Times New Roman" w:hAnsi="Times New Roman" w:cs="Times New Roman"/>
          <w:sz w:val="24"/>
          <w:szCs w:val="24"/>
        </w:rPr>
        <w:t xml:space="preserve">neither been </w:t>
      </w:r>
      <w:r w:rsidR="00BD139E" w:rsidRPr="005C0ECA">
        <w:rPr>
          <w:rFonts w:ascii="Times New Roman" w:hAnsi="Times New Roman" w:cs="Times New Roman"/>
          <w:sz w:val="24"/>
          <w:szCs w:val="24"/>
        </w:rPr>
        <w:lastRenderedPageBreak/>
        <w:t xml:space="preserve">published in the Palestinian Official Gazette nor has </w:t>
      </w:r>
      <w:r w:rsidRPr="005C0ECA">
        <w:rPr>
          <w:rFonts w:ascii="Times New Roman" w:hAnsi="Times New Roman" w:cs="Times New Roman"/>
          <w:sz w:val="24"/>
          <w:szCs w:val="24"/>
        </w:rPr>
        <w:t xml:space="preserve">it </w:t>
      </w:r>
      <w:r w:rsidR="00BD139E" w:rsidRPr="005C0ECA">
        <w:rPr>
          <w:rFonts w:ascii="Times New Roman" w:hAnsi="Times New Roman" w:cs="Times New Roman"/>
          <w:sz w:val="24"/>
          <w:szCs w:val="24"/>
        </w:rPr>
        <w:t>been made public</w:t>
      </w:r>
      <w:r w:rsidR="00C44D08" w:rsidRPr="005C0ECA">
        <w:rPr>
          <w:rFonts w:ascii="Times New Roman" w:hAnsi="Times New Roman" w:cs="Times New Roman"/>
          <w:sz w:val="24"/>
          <w:szCs w:val="24"/>
        </w:rPr>
        <w:t>ly available</w:t>
      </w:r>
      <w:r w:rsidR="00BD139E" w:rsidRPr="005C0ECA">
        <w:rPr>
          <w:rFonts w:ascii="Times New Roman" w:hAnsi="Times New Roman" w:cs="Times New Roman"/>
          <w:sz w:val="24"/>
          <w:szCs w:val="24"/>
        </w:rPr>
        <w:t>.</w:t>
      </w:r>
      <w:r w:rsidR="001C4F53" w:rsidRPr="005C0ECA">
        <w:rPr>
          <w:rFonts w:ascii="Times New Roman" w:hAnsi="Times New Roman" w:cs="Times New Roman"/>
          <w:sz w:val="24"/>
          <w:szCs w:val="24"/>
        </w:rPr>
        <w:t xml:space="preserve"> </w:t>
      </w:r>
    </w:p>
    <w:p w:rsidR="001C4F53" w:rsidRPr="005C0ECA" w:rsidRDefault="001C4F53" w:rsidP="00D51F94">
      <w:pPr>
        <w:pStyle w:val="ListParagraph"/>
        <w:numPr>
          <w:ilvl w:val="0"/>
          <w:numId w:val="2"/>
        </w:numPr>
        <w:jc w:val="both"/>
        <w:rPr>
          <w:rFonts w:ascii="Times New Roman" w:hAnsi="Times New Roman" w:cs="Times New Roman"/>
          <w:sz w:val="24"/>
          <w:szCs w:val="24"/>
        </w:rPr>
      </w:pPr>
      <w:r w:rsidRPr="005C0ECA">
        <w:rPr>
          <w:rFonts w:ascii="Times New Roman" w:hAnsi="Times New Roman" w:cs="Times New Roman"/>
          <w:sz w:val="24"/>
          <w:szCs w:val="24"/>
        </w:rPr>
        <w:t>The report, in paragraph 1, does not state that after the second presidential elections of 2005 and second legislative elections of 2006 were held, no elections have ever been in place. Presidential decrees were promulgated, providing for holding presidential and legislative elections in 2021. However, in spite of demands from civil society, elections were subsequently abolished by the Palestinian President. Against this background, the ICHR</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"ICHR" </w:instrText>
      </w:r>
      <w:r w:rsidR="005C0ECA" w:rsidRPr="005C0ECA">
        <w:rPr>
          <w:rFonts w:ascii="Times New Roman" w:hAnsi="Times New Roman" w:cs="Times New Roman"/>
          <w:sz w:val="24"/>
          <w:szCs w:val="24"/>
        </w:rPr>
        <w:fldChar w:fldCharType="end"/>
      </w:r>
      <w:r w:rsidRPr="005C0ECA">
        <w:rPr>
          <w:rFonts w:ascii="Times New Roman" w:hAnsi="Times New Roman" w:cs="Times New Roman"/>
          <w:sz w:val="24"/>
          <w:szCs w:val="24"/>
        </w:rPr>
        <w:t xml:space="preserve"> recommends that: </w:t>
      </w:r>
    </w:p>
    <w:p w:rsidR="001C4F53" w:rsidRPr="005C0ECA" w:rsidRDefault="001C4F53" w:rsidP="00A54D24">
      <w:pPr>
        <w:pStyle w:val="ListParagraph"/>
        <w:numPr>
          <w:ilvl w:val="1"/>
          <w:numId w:val="2"/>
        </w:numPr>
        <w:jc w:val="both"/>
        <w:rPr>
          <w:rFonts w:ascii="Times New Roman" w:hAnsi="Times New Roman" w:cs="Times New Roman"/>
          <w:sz w:val="24"/>
          <w:szCs w:val="24"/>
        </w:rPr>
      </w:pPr>
      <w:r w:rsidRPr="005C0ECA">
        <w:rPr>
          <w:rFonts w:ascii="Times New Roman" w:hAnsi="Times New Roman" w:cs="Times New Roman"/>
          <w:sz w:val="24"/>
          <w:szCs w:val="24"/>
        </w:rPr>
        <w:t xml:space="preserve">The Palestinian government publish the </w:t>
      </w:r>
      <w:r w:rsidR="004B5AB0" w:rsidRPr="005C0ECA">
        <w:rPr>
          <w:rFonts w:ascii="Times New Roman" w:hAnsi="Times New Roman" w:cs="Times New Roman"/>
          <w:sz w:val="24"/>
          <w:szCs w:val="24"/>
        </w:rPr>
        <w:t>ICESCR</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"ICESCR" </w:instrText>
      </w:r>
      <w:r w:rsidR="005C0ECA" w:rsidRPr="005C0ECA">
        <w:rPr>
          <w:rFonts w:ascii="Times New Roman" w:hAnsi="Times New Roman" w:cs="Times New Roman"/>
          <w:sz w:val="24"/>
          <w:szCs w:val="24"/>
        </w:rPr>
        <w:fldChar w:fldCharType="end"/>
      </w:r>
      <w:r w:rsidR="004B5AB0" w:rsidRPr="005C0ECA">
        <w:rPr>
          <w:rFonts w:ascii="Times New Roman" w:hAnsi="Times New Roman" w:cs="Times New Roman"/>
          <w:sz w:val="24"/>
          <w:szCs w:val="24"/>
        </w:rPr>
        <w:t xml:space="preserve"> </w:t>
      </w:r>
      <w:r w:rsidRPr="005C0ECA">
        <w:rPr>
          <w:rFonts w:ascii="Times New Roman" w:hAnsi="Times New Roman" w:cs="Times New Roman"/>
          <w:sz w:val="24"/>
          <w:szCs w:val="24"/>
        </w:rPr>
        <w:t>in the Official Gazette and disseminate it at the national level. National legislation will be amended and brought in lin</w:t>
      </w:r>
      <w:r w:rsidR="009713F7" w:rsidRPr="005C0ECA">
        <w:rPr>
          <w:rFonts w:ascii="Times New Roman" w:hAnsi="Times New Roman" w:cs="Times New Roman"/>
          <w:sz w:val="24"/>
          <w:szCs w:val="24"/>
        </w:rPr>
        <w:t>e</w:t>
      </w:r>
      <w:r w:rsidRPr="005C0ECA">
        <w:rPr>
          <w:rFonts w:ascii="Times New Roman" w:hAnsi="Times New Roman" w:cs="Times New Roman"/>
          <w:sz w:val="24"/>
          <w:szCs w:val="24"/>
        </w:rPr>
        <w:t xml:space="preserve"> with the rights and freedoms protected and safeguarded by the Cove</w:t>
      </w:r>
      <w:r w:rsidR="004E3EC3" w:rsidRPr="005C0ECA">
        <w:rPr>
          <w:rFonts w:ascii="Times New Roman" w:hAnsi="Times New Roman" w:cs="Times New Roman"/>
          <w:sz w:val="24"/>
          <w:szCs w:val="24"/>
        </w:rPr>
        <w:t>nant</w:t>
      </w:r>
      <w:r w:rsidRPr="005C0ECA">
        <w:rPr>
          <w:rFonts w:ascii="Times New Roman" w:hAnsi="Times New Roman" w:cs="Times New Roman"/>
          <w:sz w:val="24"/>
          <w:szCs w:val="24"/>
        </w:rPr>
        <w:t>.</w:t>
      </w:r>
      <w:r w:rsidR="004E3EC3" w:rsidRPr="005C0ECA">
        <w:rPr>
          <w:rFonts w:ascii="Times New Roman" w:hAnsi="Times New Roman" w:cs="Times New Roman"/>
          <w:sz w:val="24"/>
          <w:szCs w:val="24"/>
        </w:rPr>
        <w:t xml:space="preserve"> </w:t>
      </w:r>
      <w:r w:rsidR="00A54D24" w:rsidRPr="005C0ECA">
        <w:rPr>
          <w:rFonts w:ascii="Times New Roman" w:hAnsi="Times New Roman" w:cs="Times New Roman"/>
          <w:sz w:val="24"/>
          <w:szCs w:val="24"/>
        </w:rPr>
        <w:t>Action will also be initiated to earmark b</w:t>
      </w:r>
      <w:r w:rsidR="004E3EC3" w:rsidRPr="005C0ECA">
        <w:rPr>
          <w:rFonts w:ascii="Times New Roman" w:hAnsi="Times New Roman" w:cs="Times New Roman"/>
          <w:sz w:val="24"/>
          <w:szCs w:val="24"/>
        </w:rPr>
        <w:t>udget allocations needed to realise the rights contained in the ICESCR</w:t>
      </w:r>
      <w:r w:rsidR="00A54D24" w:rsidRPr="005C0ECA">
        <w:rPr>
          <w:rFonts w:ascii="Times New Roman" w:hAnsi="Times New Roman" w:cs="Times New Roman"/>
          <w:sz w:val="24"/>
          <w:szCs w:val="24"/>
        </w:rPr>
        <w:t xml:space="preserve">. </w:t>
      </w:r>
    </w:p>
    <w:p w:rsidR="001C4F53" w:rsidRPr="005C0ECA" w:rsidRDefault="001C4F53" w:rsidP="00D51F94">
      <w:pPr>
        <w:pStyle w:val="ListParagraph"/>
        <w:numPr>
          <w:ilvl w:val="1"/>
          <w:numId w:val="2"/>
        </w:numPr>
        <w:jc w:val="both"/>
        <w:rPr>
          <w:rFonts w:ascii="Times New Roman" w:hAnsi="Times New Roman" w:cs="Times New Roman"/>
          <w:sz w:val="24"/>
          <w:szCs w:val="24"/>
        </w:rPr>
      </w:pPr>
      <w:r w:rsidRPr="005C0ECA">
        <w:rPr>
          <w:rFonts w:ascii="Times New Roman" w:hAnsi="Times New Roman" w:cs="Times New Roman"/>
          <w:sz w:val="24"/>
          <w:szCs w:val="24"/>
        </w:rPr>
        <w:t>Expedited action be taken to hold national elections as a legal requirement, which can empower the elected government to impose sovereignty, extend control</w:t>
      </w:r>
      <w:r w:rsidR="006F7823" w:rsidRPr="005C0ECA">
        <w:rPr>
          <w:rFonts w:ascii="Times New Roman" w:hAnsi="Times New Roman" w:cs="Times New Roman"/>
          <w:sz w:val="24"/>
          <w:szCs w:val="24"/>
        </w:rPr>
        <w:t>,</w:t>
      </w:r>
      <w:r w:rsidRPr="005C0ECA">
        <w:rPr>
          <w:rFonts w:ascii="Times New Roman" w:hAnsi="Times New Roman" w:cs="Times New Roman"/>
          <w:sz w:val="24"/>
          <w:szCs w:val="24"/>
        </w:rPr>
        <w:t xml:space="preserve"> and put in place legal and judicial jurisdiction over all of the Palestinian territory.  </w:t>
      </w:r>
    </w:p>
    <w:p w:rsidR="001C4F53" w:rsidRPr="005C0ECA" w:rsidRDefault="001C4F53" w:rsidP="00D51F94">
      <w:pPr>
        <w:jc w:val="both"/>
        <w:rPr>
          <w:rFonts w:ascii="Times New Roman" w:hAnsi="Times New Roman" w:cs="Times New Roman"/>
          <w:sz w:val="24"/>
          <w:szCs w:val="24"/>
        </w:rPr>
      </w:pPr>
    </w:p>
    <w:p w:rsidR="001C4F53" w:rsidRPr="005C0ECA" w:rsidRDefault="001C4F53" w:rsidP="005C0ECA">
      <w:pPr>
        <w:pStyle w:val="Heading1"/>
        <w:rPr>
          <w:rFonts w:asciiTheme="majorBidi" w:hAnsiTheme="majorBidi"/>
          <w:b/>
          <w:bCs/>
          <w:color w:val="auto"/>
        </w:rPr>
      </w:pPr>
      <w:bookmarkStart w:id="9" w:name="_Toc79315036"/>
      <w:r w:rsidRPr="005C0ECA">
        <w:rPr>
          <w:rFonts w:asciiTheme="majorBidi" w:hAnsiTheme="majorBidi"/>
          <w:b/>
          <w:bCs/>
          <w:color w:val="auto"/>
        </w:rPr>
        <w:t>Equality an</w:t>
      </w:r>
      <w:r w:rsidR="00F55290" w:rsidRPr="005C0ECA">
        <w:rPr>
          <w:rFonts w:asciiTheme="majorBidi" w:hAnsiTheme="majorBidi"/>
          <w:b/>
          <w:bCs/>
          <w:color w:val="auto"/>
        </w:rPr>
        <w:t>d</w:t>
      </w:r>
      <w:r w:rsidRPr="005C0ECA">
        <w:rPr>
          <w:rFonts w:asciiTheme="majorBidi" w:hAnsiTheme="majorBidi"/>
          <w:b/>
          <w:bCs/>
          <w:color w:val="auto"/>
        </w:rPr>
        <w:t xml:space="preserve"> non-discrimination</w:t>
      </w:r>
      <w:bookmarkEnd w:id="9"/>
      <w:r w:rsidRPr="005C0ECA">
        <w:rPr>
          <w:rFonts w:asciiTheme="majorBidi" w:hAnsiTheme="majorBidi"/>
          <w:b/>
          <w:bCs/>
          <w:color w:val="auto"/>
        </w:rPr>
        <w:t xml:space="preserve"> </w:t>
      </w:r>
    </w:p>
    <w:p w:rsidR="002E4095" w:rsidRPr="005C0ECA" w:rsidRDefault="004C5542" w:rsidP="00AD1899">
      <w:pPr>
        <w:pStyle w:val="ListParagraph"/>
        <w:numPr>
          <w:ilvl w:val="0"/>
          <w:numId w:val="5"/>
        </w:numPr>
        <w:jc w:val="both"/>
        <w:rPr>
          <w:rFonts w:ascii="Times New Roman" w:hAnsi="Times New Roman" w:cs="Times New Roman"/>
          <w:sz w:val="24"/>
          <w:szCs w:val="24"/>
        </w:rPr>
      </w:pPr>
      <w:r w:rsidRPr="005C0ECA">
        <w:rPr>
          <w:rFonts w:ascii="Times New Roman" w:hAnsi="Times New Roman" w:cs="Times New Roman"/>
          <w:sz w:val="24"/>
          <w:szCs w:val="24"/>
        </w:rPr>
        <w:t xml:space="preserve">In paragraphs 2 and 3, the report makes reference to </w:t>
      </w:r>
      <w:r w:rsidR="006F7823" w:rsidRPr="005C0ECA">
        <w:rPr>
          <w:rFonts w:ascii="Times New Roman" w:hAnsi="Times New Roman" w:cs="Times New Roman"/>
          <w:sz w:val="24"/>
          <w:szCs w:val="24"/>
        </w:rPr>
        <w:t xml:space="preserve">the </w:t>
      </w:r>
      <w:r w:rsidRPr="005C0ECA">
        <w:rPr>
          <w:rFonts w:ascii="Times New Roman" w:hAnsi="Times New Roman" w:cs="Times New Roman"/>
          <w:sz w:val="24"/>
          <w:szCs w:val="24"/>
        </w:rPr>
        <w:t xml:space="preserve">legislation and procedures guaranteeing the principles of equality and non-discrimination in rights and freedoms. Most importantly, these include Article 9 of the Palestinian Amended Basic Law of 2003, as a mended. Notwithstanding the provisions of this article, </w:t>
      </w:r>
      <w:r w:rsidR="00DB17A1" w:rsidRPr="005C0ECA">
        <w:rPr>
          <w:rFonts w:ascii="Times New Roman" w:hAnsi="Times New Roman" w:cs="Times New Roman"/>
          <w:sz w:val="24"/>
          <w:szCs w:val="24"/>
        </w:rPr>
        <w:t xml:space="preserve">the principles of equality and non-discrimination continue to be subject to unjustified restrictions, which hinder application on the ground. There remains a set of regulations and procedures that run counter to these principles. For example, some provisions of the Personal Status Law establish guardianship, custodianship, and family responsibilities. </w:t>
      </w:r>
      <w:r w:rsidR="00AD1899" w:rsidRPr="005C0ECA">
        <w:rPr>
          <w:rFonts w:ascii="Times New Roman" w:hAnsi="Times New Roman" w:cs="Times New Roman"/>
          <w:sz w:val="24"/>
          <w:szCs w:val="24"/>
        </w:rPr>
        <w:t xml:space="preserve">The principle of </w:t>
      </w:r>
      <w:r w:rsidR="00101E72" w:rsidRPr="005C0ECA">
        <w:rPr>
          <w:rFonts w:ascii="Times New Roman" w:hAnsi="Times New Roman" w:cs="Times New Roman"/>
          <w:sz w:val="24"/>
          <w:szCs w:val="24"/>
        </w:rPr>
        <w:t xml:space="preserve">partition of </w:t>
      </w:r>
      <w:r w:rsidR="00F55290" w:rsidRPr="005C0ECA">
        <w:rPr>
          <w:rFonts w:ascii="Times New Roman" w:hAnsi="Times New Roman" w:cs="Times New Roman"/>
          <w:sz w:val="24"/>
          <w:szCs w:val="24"/>
        </w:rPr>
        <w:t>matrimonial property</w:t>
      </w:r>
      <w:r w:rsidR="00AD1899" w:rsidRPr="005C0ECA">
        <w:rPr>
          <w:rFonts w:ascii="Times New Roman" w:hAnsi="Times New Roman" w:cs="Times New Roman"/>
          <w:sz w:val="24"/>
          <w:szCs w:val="24"/>
        </w:rPr>
        <w:t xml:space="preserve"> is absent</w:t>
      </w:r>
      <w:r w:rsidR="005B6256" w:rsidRPr="005C0ECA">
        <w:rPr>
          <w:rFonts w:ascii="Times New Roman" w:hAnsi="Times New Roman" w:cs="Times New Roman"/>
          <w:sz w:val="24"/>
          <w:szCs w:val="24"/>
        </w:rPr>
        <w:t xml:space="preserve">. The Law further associates women’s economic and social rights to man’s will. In addition, the Law No. 4 of 1999 on the Rights of Persons with Disabilities is impaired by unclear regulations and bylaws, which ensure that the law is duly applied and </w:t>
      </w:r>
      <w:r w:rsidR="008179FF" w:rsidRPr="005C0ECA">
        <w:rPr>
          <w:rFonts w:ascii="Times New Roman" w:hAnsi="Times New Roman" w:cs="Times New Roman"/>
          <w:sz w:val="24"/>
          <w:szCs w:val="24"/>
        </w:rPr>
        <w:t xml:space="preserve">that </w:t>
      </w:r>
      <w:r w:rsidR="005B6256" w:rsidRPr="005C0ECA">
        <w:rPr>
          <w:rFonts w:ascii="Times New Roman" w:hAnsi="Times New Roman" w:cs="Times New Roman"/>
          <w:sz w:val="24"/>
          <w:szCs w:val="24"/>
        </w:rPr>
        <w:t xml:space="preserve">needed financial costs for enforcement are provided. So far, a reasonable timeline that is commensurate with the financial resources of </w:t>
      </w:r>
      <w:bookmarkStart w:id="10" w:name="_Hlk79314684"/>
      <w:r w:rsidR="005B6256" w:rsidRPr="005C0ECA">
        <w:rPr>
          <w:rFonts w:ascii="Times New Roman" w:hAnsi="Times New Roman" w:cs="Times New Roman"/>
          <w:sz w:val="24"/>
          <w:szCs w:val="24"/>
        </w:rPr>
        <w:t>the Palestinian Authority</w:t>
      </w:r>
      <w:bookmarkEnd w:id="10"/>
      <w:r w:rsidR="005B6256" w:rsidRPr="005C0ECA">
        <w:rPr>
          <w:rFonts w:ascii="Times New Roman" w:hAnsi="Times New Roman" w:cs="Times New Roman"/>
          <w:sz w:val="24"/>
          <w:szCs w:val="24"/>
        </w:rPr>
        <w:t xml:space="preserve"> (PA</w:t>
      </w:r>
      <w:r w:rsidR="005C0ECA" w:rsidRPr="005C0ECA">
        <w:rPr>
          <w:rFonts w:ascii="Times New Roman" w:hAnsi="Times New Roman" w:cs="Times New Roman"/>
          <w:sz w:val="24"/>
          <w:szCs w:val="24"/>
        </w:rPr>
        <w:fldChar w:fldCharType="begin"/>
      </w:r>
      <w:r w:rsidR="005C0ECA" w:rsidRPr="005C0ECA">
        <w:instrText xml:space="preserve"> TA \l "</w:instrText>
      </w:r>
      <w:r w:rsidR="005C0ECA" w:rsidRPr="005C0ECA">
        <w:rPr>
          <w:rFonts w:ascii="Times New Roman" w:hAnsi="Times New Roman" w:cs="Times New Roman"/>
          <w:sz w:val="24"/>
          <w:szCs w:val="24"/>
        </w:rPr>
        <w:instrText>PA: the Palestinian Authority</w:instrText>
      </w:r>
      <w:r w:rsidR="005C0ECA" w:rsidRPr="005C0ECA">
        <w:instrText xml:space="preserve">" \s "PA" \c 1 </w:instrText>
      </w:r>
      <w:r w:rsidR="005C0ECA" w:rsidRPr="005C0ECA">
        <w:rPr>
          <w:rFonts w:ascii="Times New Roman" w:hAnsi="Times New Roman" w:cs="Times New Roman"/>
          <w:sz w:val="24"/>
          <w:szCs w:val="24"/>
        </w:rPr>
        <w:fldChar w:fldCharType="end"/>
      </w:r>
      <w:r w:rsidR="005B6256" w:rsidRPr="005C0ECA">
        <w:rPr>
          <w:rFonts w:ascii="Times New Roman" w:hAnsi="Times New Roman" w:cs="Times New Roman"/>
          <w:sz w:val="24"/>
          <w:szCs w:val="24"/>
        </w:rPr>
        <w:t xml:space="preserve">) has not been set </w:t>
      </w:r>
      <w:r w:rsidR="000701D9" w:rsidRPr="005C0ECA">
        <w:rPr>
          <w:rFonts w:ascii="Times New Roman" w:hAnsi="Times New Roman" w:cs="Times New Roman"/>
          <w:sz w:val="24"/>
          <w:szCs w:val="24"/>
        </w:rPr>
        <w:t xml:space="preserve">forth </w:t>
      </w:r>
      <w:r w:rsidR="005B6256" w:rsidRPr="005C0ECA">
        <w:rPr>
          <w:rFonts w:ascii="Times New Roman" w:hAnsi="Times New Roman" w:cs="Times New Roman"/>
          <w:sz w:val="24"/>
          <w:szCs w:val="24"/>
        </w:rPr>
        <w:t>to put the law into effect</w:t>
      </w:r>
      <w:r w:rsidR="002E4095" w:rsidRPr="005C0ECA">
        <w:rPr>
          <w:rFonts w:ascii="Times New Roman" w:hAnsi="Times New Roman" w:cs="Times New Roman"/>
          <w:sz w:val="24"/>
          <w:szCs w:val="24"/>
        </w:rPr>
        <w:t xml:space="preserve">. </w:t>
      </w:r>
    </w:p>
    <w:p w:rsidR="001C4F53" w:rsidRPr="005C0ECA" w:rsidRDefault="002E4095" w:rsidP="004D1DCD">
      <w:pPr>
        <w:pStyle w:val="ListParagraph"/>
        <w:numPr>
          <w:ilvl w:val="0"/>
          <w:numId w:val="5"/>
        </w:numPr>
        <w:jc w:val="both"/>
        <w:rPr>
          <w:rFonts w:ascii="Times New Roman" w:hAnsi="Times New Roman" w:cs="Times New Roman"/>
          <w:sz w:val="24"/>
          <w:szCs w:val="24"/>
        </w:rPr>
      </w:pPr>
      <w:r w:rsidRPr="005C0ECA">
        <w:rPr>
          <w:rFonts w:ascii="Times New Roman" w:hAnsi="Times New Roman" w:cs="Times New Roman"/>
          <w:sz w:val="24"/>
          <w:szCs w:val="24"/>
        </w:rPr>
        <w:t xml:space="preserve">The report </w:t>
      </w:r>
      <w:r w:rsidR="008F21A6" w:rsidRPr="005C0ECA">
        <w:rPr>
          <w:rFonts w:ascii="Times New Roman" w:hAnsi="Times New Roman" w:cs="Times New Roman"/>
          <w:sz w:val="24"/>
          <w:szCs w:val="24"/>
        </w:rPr>
        <w:t xml:space="preserve">omits any reference to the </w:t>
      </w:r>
      <w:r w:rsidRPr="005C0ECA">
        <w:rPr>
          <w:rFonts w:ascii="Times New Roman" w:hAnsi="Times New Roman" w:cs="Times New Roman"/>
          <w:sz w:val="24"/>
          <w:szCs w:val="24"/>
        </w:rPr>
        <w:t xml:space="preserve">measures or processes, by which the Palestinian government </w:t>
      </w:r>
      <w:r w:rsidR="004D1DCD" w:rsidRPr="005C0ECA">
        <w:rPr>
          <w:rFonts w:ascii="Times New Roman" w:hAnsi="Times New Roman" w:cs="Times New Roman"/>
          <w:sz w:val="24"/>
          <w:szCs w:val="24"/>
        </w:rPr>
        <w:t xml:space="preserve">seeks </w:t>
      </w:r>
      <w:r w:rsidRPr="005C0ECA">
        <w:rPr>
          <w:rFonts w:ascii="Times New Roman" w:hAnsi="Times New Roman" w:cs="Times New Roman"/>
          <w:sz w:val="24"/>
          <w:szCs w:val="24"/>
        </w:rPr>
        <w:t xml:space="preserve">to implement the </w:t>
      </w:r>
      <w:r w:rsidR="008F21A6" w:rsidRPr="005C0ECA">
        <w:rPr>
          <w:rFonts w:ascii="Times New Roman" w:hAnsi="Times New Roman" w:cs="Times New Roman"/>
          <w:sz w:val="24"/>
          <w:szCs w:val="24"/>
        </w:rPr>
        <w:t>ICESCR</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"ICESCR" </w:instrText>
      </w:r>
      <w:r w:rsidR="005C0ECA" w:rsidRPr="005C0ECA">
        <w:rPr>
          <w:rFonts w:ascii="Times New Roman" w:hAnsi="Times New Roman" w:cs="Times New Roman"/>
          <w:sz w:val="24"/>
          <w:szCs w:val="24"/>
        </w:rPr>
        <w:fldChar w:fldCharType="end"/>
      </w:r>
      <w:r w:rsidR="008F21A6" w:rsidRPr="005C0ECA">
        <w:rPr>
          <w:rFonts w:ascii="Times New Roman" w:hAnsi="Times New Roman" w:cs="Times New Roman"/>
          <w:sz w:val="24"/>
          <w:szCs w:val="24"/>
        </w:rPr>
        <w:t xml:space="preserve"> provisions. In the context of </w:t>
      </w:r>
      <w:r w:rsidR="004D1DCD" w:rsidRPr="005C0ECA">
        <w:rPr>
          <w:rFonts w:ascii="Times New Roman" w:hAnsi="Times New Roman" w:cs="Times New Roman"/>
          <w:sz w:val="24"/>
          <w:szCs w:val="24"/>
        </w:rPr>
        <w:t>a</w:t>
      </w:r>
      <w:r w:rsidR="008F21A6" w:rsidRPr="005C0ECA">
        <w:rPr>
          <w:rFonts w:ascii="Times New Roman" w:hAnsi="Times New Roman" w:cs="Times New Roman"/>
          <w:sz w:val="24"/>
          <w:szCs w:val="24"/>
        </w:rPr>
        <w:t xml:space="preserve"> programme-based budget, the report fails to mention the size of </w:t>
      </w:r>
      <w:r w:rsidR="00EE329B" w:rsidRPr="005C0ECA">
        <w:rPr>
          <w:rFonts w:ascii="Times New Roman" w:hAnsi="Times New Roman" w:cs="Times New Roman"/>
          <w:sz w:val="24"/>
          <w:szCs w:val="24"/>
        </w:rPr>
        <w:t xml:space="preserve">appropriations </w:t>
      </w:r>
      <w:r w:rsidR="008F21A6" w:rsidRPr="005C0ECA">
        <w:rPr>
          <w:rFonts w:ascii="Times New Roman" w:hAnsi="Times New Roman" w:cs="Times New Roman"/>
          <w:sz w:val="24"/>
          <w:szCs w:val="24"/>
        </w:rPr>
        <w:t xml:space="preserve">earmarked to all </w:t>
      </w:r>
      <w:r w:rsidR="004D1DCD" w:rsidRPr="005C0ECA">
        <w:rPr>
          <w:rFonts w:ascii="Times New Roman" w:hAnsi="Times New Roman" w:cs="Times New Roman"/>
          <w:sz w:val="24"/>
          <w:szCs w:val="24"/>
        </w:rPr>
        <w:t xml:space="preserve">groups </w:t>
      </w:r>
      <w:r w:rsidR="008F21A6" w:rsidRPr="005C0ECA">
        <w:rPr>
          <w:rFonts w:ascii="Times New Roman" w:hAnsi="Times New Roman" w:cs="Times New Roman"/>
          <w:sz w:val="24"/>
          <w:szCs w:val="24"/>
        </w:rPr>
        <w:t xml:space="preserve">to ensure economic accessibility </w:t>
      </w:r>
      <w:r w:rsidR="008F21A6" w:rsidRPr="005C0ECA">
        <w:rPr>
          <w:rFonts w:ascii="Times New Roman" w:hAnsi="Times New Roman" w:cs="Times New Roman"/>
          <w:sz w:val="24"/>
          <w:szCs w:val="24"/>
        </w:rPr>
        <w:lastRenderedPageBreak/>
        <w:t>to all rights. Budget</w:t>
      </w:r>
      <w:r w:rsidR="00EE329B" w:rsidRPr="005C0ECA">
        <w:rPr>
          <w:rFonts w:ascii="Times New Roman" w:hAnsi="Times New Roman" w:cs="Times New Roman"/>
          <w:sz w:val="24"/>
          <w:szCs w:val="24"/>
        </w:rPr>
        <w:t xml:space="preserve">ed </w:t>
      </w:r>
      <w:r w:rsidR="008F21A6" w:rsidRPr="005C0ECA">
        <w:rPr>
          <w:rFonts w:ascii="Times New Roman" w:hAnsi="Times New Roman" w:cs="Times New Roman"/>
          <w:sz w:val="24"/>
          <w:szCs w:val="24"/>
        </w:rPr>
        <w:t>allocat</w:t>
      </w:r>
      <w:r w:rsidR="00EE329B" w:rsidRPr="005C0ECA">
        <w:rPr>
          <w:rFonts w:ascii="Times New Roman" w:hAnsi="Times New Roman" w:cs="Times New Roman"/>
          <w:sz w:val="24"/>
          <w:szCs w:val="24"/>
        </w:rPr>
        <w:t>ions</w:t>
      </w:r>
      <w:r w:rsidR="008F21A6" w:rsidRPr="005C0ECA">
        <w:rPr>
          <w:rFonts w:ascii="Times New Roman" w:hAnsi="Times New Roman" w:cs="Times New Roman"/>
          <w:sz w:val="24"/>
          <w:szCs w:val="24"/>
        </w:rPr>
        <w:t xml:space="preserve"> are also unclear. Accordingly, the ICHR</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"ICHR" </w:instrText>
      </w:r>
      <w:r w:rsidR="005C0ECA" w:rsidRPr="005C0ECA">
        <w:rPr>
          <w:rFonts w:ascii="Times New Roman" w:hAnsi="Times New Roman" w:cs="Times New Roman"/>
          <w:sz w:val="24"/>
          <w:szCs w:val="24"/>
        </w:rPr>
        <w:fldChar w:fldCharType="end"/>
      </w:r>
      <w:r w:rsidR="008F21A6" w:rsidRPr="005C0ECA">
        <w:rPr>
          <w:rFonts w:ascii="Times New Roman" w:hAnsi="Times New Roman" w:cs="Times New Roman"/>
          <w:sz w:val="24"/>
          <w:szCs w:val="24"/>
        </w:rPr>
        <w:t xml:space="preserve"> recommends that: </w:t>
      </w:r>
    </w:p>
    <w:p w:rsidR="008F21A6" w:rsidRPr="005C0ECA" w:rsidRDefault="008F21A6" w:rsidP="004D1DCD">
      <w:pPr>
        <w:pStyle w:val="ListParagraph"/>
        <w:numPr>
          <w:ilvl w:val="1"/>
          <w:numId w:val="5"/>
        </w:numPr>
        <w:jc w:val="both"/>
        <w:rPr>
          <w:rFonts w:ascii="Times New Roman" w:hAnsi="Times New Roman" w:cs="Times New Roman"/>
          <w:sz w:val="24"/>
          <w:szCs w:val="24"/>
        </w:rPr>
      </w:pPr>
      <w:r w:rsidRPr="005C0ECA">
        <w:rPr>
          <w:rFonts w:ascii="Times New Roman" w:hAnsi="Times New Roman" w:cs="Times New Roman"/>
          <w:sz w:val="24"/>
          <w:szCs w:val="24"/>
        </w:rPr>
        <w:t xml:space="preserve">The Palestinian government provide a definition of discrimination under law or enact a regulation, which </w:t>
      </w:r>
      <w:r w:rsidR="004D1DCD" w:rsidRPr="005C0ECA">
        <w:rPr>
          <w:rFonts w:ascii="Times New Roman" w:hAnsi="Times New Roman" w:cs="Times New Roman"/>
          <w:sz w:val="24"/>
          <w:szCs w:val="24"/>
        </w:rPr>
        <w:t xml:space="preserve">will </w:t>
      </w:r>
      <w:r w:rsidRPr="005C0ECA">
        <w:rPr>
          <w:rFonts w:ascii="Times New Roman" w:hAnsi="Times New Roman" w:cs="Times New Roman"/>
          <w:sz w:val="24"/>
          <w:szCs w:val="24"/>
        </w:rPr>
        <w:t xml:space="preserve">provide for non-discrimination for any reason whatsoever in all </w:t>
      </w:r>
      <w:r w:rsidR="004D1DCD" w:rsidRPr="005C0ECA">
        <w:rPr>
          <w:rFonts w:ascii="Times New Roman" w:hAnsi="Times New Roman" w:cs="Times New Roman"/>
          <w:sz w:val="24"/>
          <w:szCs w:val="24"/>
        </w:rPr>
        <w:t>aspects</w:t>
      </w:r>
      <w:r w:rsidRPr="005C0ECA">
        <w:rPr>
          <w:rFonts w:ascii="Times New Roman" w:hAnsi="Times New Roman" w:cs="Times New Roman"/>
          <w:sz w:val="24"/>
          <w:szCs w:val="24"/>
        </w:rPr>
        <w:t>. At the same time, the regulation will prescribe measure</w:t>
      </w:r>
      <w:r w:rsidR="004D1DCD" w:rsidRPr="005C0ECA">
        <w:rPr>
          <w:rFonts w:ascii="Times New Roman" w:hAnsi="Times New Roman" w:cs="Times New Roman"/>
          <w:sz w:val="24"/>
          <w:szCs w:val="24"/>
        </w:rPr>
        <w:t>s</w:t>
      </w:r>
      <w:r w:rsidRPr="005C0ECA">
        <w:rPr>
          <w:rFonts w:ascii="Times New Roman" w:hAnsi="Times New Roman" w:cs="Times New Roman"/>
          <w:sz w:val="24"/>
          <w:szCs w:val="24"/>
        </w:rPr>
        <w:t xml:space="preserve"> at all levels to ensure that this principle is enforced within a particular timeframe. Any provisions that are in contrariety with the principle of non-discrimination will be repealed. </w:t>
      </w:r>
    </w:p>
    <w:p w:rsidR="008F21A6" w:rsidRPr="005C0ECA" w:rsidRDefault="00EE329B" w:rsidP="002254C9">
      <w:pPr>
        <w:pStyle w:val="ListParagraph"/>
        <w:numPr>
          <w:ilvl w:val="1"/>
          <w:numId w:val="5"/>
        </w:numPr>
        <w:jc w:val="both"/>
        <w:rPr>
          <w:rFonts w:ascii="Times New Roman" w:hAnsi="Times New Roman" w:cs="Times New Roman"/>
          <w:sz w:val="24"/>
          <w:szCs w:val="24"/>
        </w:rPr>
      </w:pPr>
      <w:r w:rsidRPr="005C0ECA">
        <w:rPr>
          <w:rFonts w:ascii="Times New Roman" w:hAnsi="Times New Roman" w:cs="Times New Roman"/>
          <w:sz w:val="24"/>
          <w:szCs w:val="24"/>
        </w:rPr>
        <w:t xml:space="preserve">The budget be re-enacted in a manner that discloses </w:t>
      </w:r>
      <w:r w:rsidR="002254C9" w:rsidRPr="005C0ECA">
        <w:rPr>
          <w:rFonts w:ascii="Times New Roman" w:hAnsi="Times New Roman" w:cs="Times New Roman"/>
          <w:sz w:val="24"/>
          <w:szCs w:val="24"/>
        </w:rPr>
        <w:t xml:space="preserve">budgeted allocations for </w:t>
      </w:r>
      <w:r w:rsidRPr="005C0ECA">
        <w:rPr>
          <w:rFonts w:ascii="Times New Roman" w:hAnsi="Times New Roman" w:cs="Times New Roman"/>
          <w:sz w:val="24"/>
          <w:szCs w:val="24"/>
        </w:rPr>
        <w:t xml:space="preserve">relevant </w:t>
      </w:r>
      <w:r w:rsidR="002254C9" w:rsidRPr="005C0ECA">
        <w:rPr>
          <w:rFonts w:ascii="Times New Roman" w:hAnsi="Times New Roman" w:cs="Times New Roman"/>
          <w:sz w:val="24"/>
          <w:szCs w:val="24"/>
        </w:rPr>
        <w:t>groups</w:t>
      </w:r>
      <w:r w:rsidRPr="005C0ECA">
        <w:rPr>
          <w:rFonts w:ascii="Times New Roman" w:hAnsi="Times New Roman" w:cs="Times New Roman"/>
          <w:sz w:val="24"/>
          <w:szCs w:val="24"/>
        </w:rPr>
        <w:t xml:space="preserve">. </w:t>
      </w:r>
    </w:p>
    <w:p w:rsidR="00BA3999" w:rsidRPr="005C0ECA" w:rsidRDefault="00BA3999" w:rsidP="00D51F94">
      <w:pPr>
        <w:jc w:val="both"/>
        <w:rPr>
          <w:rFonts w:ascii="Times New Roman" w:hAnsi="Times New Roman" w:cs="Times New Roman"/>
          <w:sz w:val="24"/>
          <w:szCs w:val="24"/>
        </w:rPr>
      </w:pPr>
    </w:p>
    <w:p w:rsidR="00BA3999" w:rsidRPr="005C0ECA" w:rsidRDefault="00BA3999" w:rsidP="005C0ECA">
      <w:pPr>
        <w:pStyle w:val="Heading1"/>
        <w:rPr>
          <w:rFonts w:asciiTheme="majorBidi" w:hAnsiTheme="majorBidi"/>
          <w:b/>
          <w:bCs/>
          <w:color w:val="auto"/>
        </w:rPr>
      </w:pPr>
      <w:bookmarkStart w:id="11" w:name="_Toc79315037"/>
      <w:r w:rsidRPr="005C0ECA">
        <w:rPr>
          <w:rFonts w:asciiTheme="majorBidi" w:hAnsiTheme="majorBidi"/>
          <w:b/>
          <w:bCs/>
          <w:color w:val="auto"/>
        </w:rPr>
        <w:t>Right to work</w:t>
      </w:r>
      <w:bookmarkEnd w:id="11"/>
      <w:r w:rsidRPr="005C0ECA">
        <w:rPr>
          <w:rFonts w:asciiTheme="majorBidi" w:hAnsiTheme="majorBidi"/>
          <w:b/>
          <w:bCs/>
          <w:color w:val="auto"/>
        </w:rPr>
        <w:t xml:space="preserve"> </w:t>
      </w:r>
    </w:p>
    <w:p w:rsidR="00BA3999" w:rsidRPr="005C0ECA" w:rsidRDefault="002254C9" w:rsidP="00EA3C09">
      <w:pPr>
        <w:pStyle w:val="ListParagraph"/>
        <w:numPr>
          <w:ilvl w:val="0"/>
          <w:numId w:val="6"/>
        </w:numPr>
        <w:jc w:val="both"/>
        <w:rPr>
          <w:rFonts w:ascii="Times New Roman" w:hAnsi="Times New Roman" w:cs="Times New Roman"/>
          <w:sz w:val="24"/>
          <w:szCs w:val="24"/>
        </w:rPr>
      </w:pPr>
      <w:r w:rsidRPr="005C0ECA">
        <w:rPr>
          <w:rFonts w:ascii="Times New Roman" w:hAnsi="Times New Roman" w:cs="Times New Roman"/>
          <w:sz w:val="24"/>
          <w:szCs w:val="24"/>
        </w:rPr>
        <w:t>P</w:t>
      </w:r>
      <w:r w:rsidR="00BA3999" w:rsidRPr="005C0ECA">
        <w:rPr>
          <w:rFonts w:ascii="Times New Roman" w:hAnsi="Times New Roman" w:cs="Times New Roman"/>
          <w:sz w:val="24"/>
          <w:szCs w:val="24"/>
        </w:rPr>
        <w:t>aragraphs 54-75</w:t>
      </w:r>
      <w:r w:rsidRPr="005C0ECA">
        <w:rPr>
          <w:rFonts w:ascii="Times New Roman" w:hAnsi="Times New Roman" w:cs="Times New Roman"/>
          <w:sz w:val="24"/>
          <w:szCs w:val="24"/>
        </w:rPr>
        <w:t xml:space="preserve"> of</w:t>
      </w:r>
      <w:r w:rsidR="00BA3999" w:rsidRPr="005C0ECA">
        <w:rPr>
          <w:rFonts w:ascii="Times New Roman" w:hAnsi="Times New Roman" w:cs="Times New Roman"/>
          <w:sz w:val="24"/>
          <w:szCs w:val="24"/>
        </w:rPr>
        <w:t xml:space="preserve"> the report make reference to domestic regulations</w:t>
      </w:r>
      <w:r w:rsidR="00A50C4E" w:rsidRPr="005C0ECA">
        <w:rPr>
          <w:rFonts w:ascii="Times New Roman" w:hAnsi="Times New Roman" w:cs="Times New Roman"/>
          <w:sz w:val="24"/>
          <w:szCs w:val="24"/>
        </w:rPr>
        <w:t>, national strategies</w:t>
      </w:r>
      <w:r w:rsidR="00C16ACE" w:rsidRPr="005C0ECA">
        <w:rPr>
          <w:rFonts w:ascii="Times New Roman" w:hAnsi="Times New Roman" w:cs="Times New Roman"/>
          <w:sz w:val="24"/>
          <w:szCs w:val="24"/>
        </w:rPr>
        <w:t>,</w:t>
      </w:r>
      <w:r w:rsidR="00A50C4E" w:rsidRPr="005C0ECA">
        <w:rPr>
          <w:rFonts w:ascii="Times New Roman" w:hAnsi="Times New Roman" w:cs="Times New Roman"/>
          <w:sz w:val="24"/>
          <w:szCs w:val="24"/>
        </w:rPr>
        <w:t xml:space="preserve"> and procedures to realise the right to work. However, the report fails to lay out the measures taken to this effect, including adequate budgeted appropriations for realisation of th</w:t>
      </w:r>
      <w:r w:rsidR="00C16ACE" w:rsidRPr="005C0ECA">
        <w:rPr>
          <w:rFonts w:ascii="Times New Roman" w:hAnsi="Times New Roman" w:cs="Times New Roman"/>
          <w:sz w:val="24"/>
          <w:szCs w:val="24"/>
        </w:rPr>
        <w:t>e</w:t>
      </w:r>
      <w:r w:rsidR="00A50C4E" w:rsidRPr="005C0ECA">
        <w:rPr>
          <w:rFonts w:ascii="Times New Roman" w:hAnsi="Times New Roman" w:cs="Times New Roman"/>
          <w:sz w:val="24"/>
          <w:szCs w:val="24"/>
        </w:rPr>
        <w:t xml:space="preserve"> right</w:t>
      </w:r>
      <w:r w:rsidR="00C16ACE" w:rsidRPr="005C0ECA">
        <w:rPr>
          <w:rFonts w:ascii="Times New Roman" w:hAnsi="Times New Roman" w:cs="Times New Roman"/>
          <w:sz w:val="24"/>
          <w:szCs w:val="24"/>
        </w:rPr>
        <w:t xml:space="preserve"> to work</w:t>
      </w:r>
      <w:r w:rsidR="00A50C4E" w:rsidRPr="005C0ECA">
        <w:rPr>
          <w:rFonts w:ascii="Times New Roman" w:hAnsi="Times New Roman" w:cs="Times New Roman"/>
          <w:sz w:val="24"/>
          <w:szCs w:val="24"/>
        </w:rPr>
        <w:t xml:space="preserve">, mechanisms for networking between </w:t>
      </w:r>
      <w:r w:rsidR="00EA3C09" w:rsidRPr="005C0ECA">
        <w:rPr>
          <w:rFonts w:ascii="Times New Roman" w:hAnsi="Times New Roman" w:cs="Times New Roman"/>
          <w:sz w:val="24"/>
          <w:szCs w:val="24"/>
        </w:rPr>
        <w:t xml:space="preserve">the </w:t>
      </w:r>
      <w:r w:rsidR="00A50C4E" w:rsidRPr="005C0ECA">
        <w:rPr>
          <w:rFonts w:ascii="Times New Roman" w:hAnsi="Times New Roman" w:cs="Times New Roman"/>
          <w:sz w:val="24"/>
          <w:szCs w:val="24"/>
        </w:rPr>
        <w:t>trio of employers, labour organisations</w:t>
      </w:r>
      <w:r w:rsidR="00EA3C09" w:rsidRPr="005C0ECA">
        <w:rPr>
          <w:rFonts w:ascii="Times New Roman" w:hAnsi="Times New Roman" w:cs="Times New Roman"/>
          <w:sz w:val="24"/>
          <w:szCs w:val="24"/>
        </w:rPr>
        <w:t>,</w:t>
      </w:r>
      <w:r w:rsidR="00A50C4E" w:rsidRPr="005C0ECA">
        <w:rPr>
          <w:rFonts w:ascii="Times New Roman" w:hAnsi="Times New Roman" w:cs="Times New Roman"/>
          <w:sz w:val="24"/>
          <w:szCs w:val="24"/>
        </w:rPr>
        <w:t xml:space="preserve"> and workers </w:t>
      </w:r>
      <w:r w:rsidR="00EA3C09" w:rsidRPr="005C0ECA">
        <w:rPr>
          <w:rFonts w:ascii="Times New Roman" w:hAnsi="Times New Roman" w:cs="Times New Roman"/>
          <w:sz w:val="24"/>
          <w:szCs w:val="24"/>
        </w:rPr>
        <w:t xml:space="preserve">in order </w:t>
      </w:r>
      <w:r w:rsidR="00A50C4E" w:rsidRPr="005C0ECA">
        <w:rPr>
          <w:rFonts w:ascii="Times New Roman" w:hAnsi="Times New Roman" w:cs="Times New Roman"/>
          <w:sz w:val="24"/>
          <w:szCs w:val="24"/>
        </w:rPr>
        <w:t>to assimilate the unemployed and promot</w:t>
      </w:r>
      <w:r w:rsidR="00EA3C09" w:rsidRPr="005C0ECA">
        <w:rPr>
          <w:rFonts w:ascii="Times New Roman" w:hAnsi="Times New Roman" w:cs="Times New Roman"/>
          <w:sz w:val="24"/>
          <w:szCs w:val="24"/>
        </w:rPr>
        <w:t>e</w:t>
      </w:r>
      <w:r w:rsidR="00A50C4E" w:rsidRPr="005C0ECA">
        <w:rPr>
          <w:rFonts w:ascii="Times New Roman" w:hAnsi="Times New Roman" w:cs="Times New Roman"/>
          <w:sz w:val="24"/>
          <w:szCs w:val="24"/>
        </w:rPr>
        <w:t xml:space="preserve"> a public-private social contribution policy. Unemployment continues to be </w:t>
      </w:r>
      <w:r w:rsidR="00EA3C09" w:rsidRPr="005C0ECA">
        <w:rPr>
          <w:rFonts w:ascii="Times New Roman" w:hAnsi="Times New Roman" w:cs="Times New Roman"/>
          <w:sz w:val="24"/>
          <w:szCs w:val="24"/>
        </w:rPr>
        <w:t xml:space="preserve">on </w:t>
      </w:r>
      <w:r w:rsidR="00A50C4E" w:rsidRPr="005C0ECA">
        <w:rPr>
          <w:rFonts w:ascii="Times New Roman" w:hAnsi="Times New Roman" w:cs="Times New Roman"/>
          <w:sz w:val="24"/>
          <w:szCs w:val="24"/>
        </w:rPr>
        <w:t xml:space="preserve">an upward trajectory, reaching 26.6 percent in 2020. </w:t>
      </w:r>
      <w:r w:rsidR="00772AAF" w:rsidRPr="005C0ECA">
        <w:rPr>
          <w:rFonts w:ascii="Times New Roman" w:hAnsi="Times New Roman" w:cs="Times New Roman"/>
          <w:sz w:val="24"/>
          <w:szCs w:val="24"/>
        </w:rPr>
        <w:t xml:space="preserve">The percentage of labour force in employment declined by 10 percent in the West Bank and 17 percent in the Gaza Strip. </w:t>
      </w:r>
      <w:r w:rsidR="00EA3C09" w:rsidRPr="005C0ECA">
        <w:rPr>
          <w:rFonts w:ascii="Times New Roman" w:hAnsi="Times New Roman" w:cs="Times New Roman"/>
          <w:sz w:val="24"/>
          <w:szCs w:val="24"/>
        </w:rPr>
        <w:t>T</w:t>
      </w:r>
      <w:r w:rsidR="00772AAF" w:rsidRPr="005C0ECA">
        <w:rPr>
          <w:rFonts w:ascii="Times New Roman" w:hAnsi="Times New Roman" w:cs="Times New Roman"/>
          <w:sz w:val="24"/>
          <w:szCs w:val="24"/>
        </w:rPr>
        <w:t xml:space="preserve">owards the end of </w:t>
      </w:r>
      <w:r w:rsidR="00EA3C09" w:rsidRPr="005C0ECA">
        <w:rPr>
          <w:rFonts w:ascii="Times New Roman" w:hAnsi="Times New Roman" w:cs="Times New Roman"/>
          <w:sz w:val="24"/>
          <w:szCs w:val="24"/>
        </w:rPr>
        <w:t xml:space="preserve">the second quarter of </w:t>
      </w:r>
      <w:r w:rsidR="00772AAF" w:rsidRPr="005C0ECA">
        <w:rPr>
          <w:rFonts w:ascii="Times New Roman" w:hAnsi="Times New Roman" w:cs="Times New Roman"/>
          <w:sz w:val="24"/>
          <w:szCs w:val="24"/>
        </w:rPr>
        <w:t>2020, unemployment was as high as 49 percent in the Gaza Strip.</w:t>
      </w:r>
      <w:r w:rsidR="000B17DB" w:rsidRPr="005C0ECA">
        <w:rPr>
          <w:rStyle w:val="FootnoteReference"/>
          <w:rFonts w:ascii="Times New Roman" w:hAnsi="Times New Roman" w:cs="Times New Roman"/>
          <w:sz w:val="24"/>
          <w:szCs w:val="24"/>
        </w:rPr>
        <w:footnoteReference w:id="1"/>
      </w:r>
      <w:r w:rsidR="00772AAF" w:rsidRPr="005C0ECA">
        <w:rPr>
          <w:rFonts w:ascii="Times New Roman" w:hAnsi="Times New Roman" w:cs="Times New Roman"/>
          <w:sz w:val="24"/>
          <w:szCs w:val="24"/>
        </w:rPr>
        <w:t xml:space="preserve"> </w:t>
      </w:r>
    </w:p>
    <w:p w:rsidR="00772AAF" w:rsidRPr="005C0ECA" w:rsidRDefault="00772AAF" w:rsidP="00EA3C09">
      <w:pPr>
        <w:pStyle w:val="ListParagraph"/>
        <w:numPr>
          <w:ilvl w:val="0"/>
          <w:numId w:val="6"/>
        </w:numPr>
        <w:jc w:val="both"/>
        <w:rPr>
          <w:rFonts w:ascii="Times New Roman" w:hAnsi="Times New Roman" w:cs="Times New Roman"/>
          <w:sz w:val="24"/>
          <w:szCs w:val="24"/>
        </w:rPr>
      </w:pPr>
      <w:r w:rsidRPr="005C0ECA">
        <w:rPr>
          <w:rFonts w:ascii="Times New Roman" w:hAnsi="Times New Roman" w:cs="Times New Roman"/>
          <w:sz w:val="24"/>
          <w:szCs w:val="24"/>
        </w:rPr>
        <w:t xml:space="preserve">The report does not </w:t>
      </w:r>
      <w:r w:rsidR="00EA3C09" w:rsidRPr="005C0ECA">
        <w:rPr>
          <w:rFonts w:ascii="Times New Roman" w:hAnsi="Times New Roman" w:cs="Times New Roman"/>
          <w:sz w:val="24"/>
          <w:szCs w:val="24"/>
        </w:rPr>
        <w:t xml:space="preserve">outline </w:t>
      </w:r>
      <w:r w:rsidRPr="005C0ECA">
        <w:rPr>
          <w:rFonts w:ascii="Times New Roman" w:hAnsi="Times New Roman" w:cs="Times New Roman"/>
          <w:sz w:val="24"/>
          <w:szCs w:val="24"/>
        </w:rPr>
        <w:t xml:space="preserve">the government measures taken to oblige employers to comply with the Decision of the Council of Ministers No. 01/21/14/CoM/SF, which entered into force </w:t>
      </w:r>
      <w:r w:rsidR="00EA3C09" w:rsidRPr="005C0ECA">
        <w:rPr>
          <w:rFonts w:ascii="Times New Roman" w:hAnsi="Times New Roman" w:cs="Times New Roman"/>
          <w:sz w:val="24"/>
          <w:szCs w:val="24"/>
        </w:rPr>
        <w:t xml:space="preserve">on </w:t>
      </w:r>
      <w:r w:rsidRPr="005C0ECA">
        <w:rPr>
          <w:rFonts w:ascii="Times New Roman" w:hAnsi="Times New Roman" w:cs="Times New Roman"/>
          <w:sz w:val="24"/>
          <w:szCs w:val="24"/>
        </w:rPr>
        <w:t>1 January 2013</w:t>
      </w:r>
      <w:r w:rsidR="00EA3C09" w:rsidRPr="005C0ECA">
        <w:rPr>
          <w:rFonts w:ascii="Times New Roman" w:hAnsi="Times New Roman" w:cs="Times New Roman"/>
          <w:sz w:val="24"/>
          <w:szCs w:val="24"/>
        </w:rPr>
        <w:t xml:space="preserve"> and set </w:t>
      </w:r>
      <w:r w:rsidRPr="005C0ECA">
        <w:rPr>
          <w:rFonts w:ascii="Times New Roman" w:hAnsi="Times New Roman" w:cs="Times New Roman"/>
          <w:sz w:val="24"/>
          <w:szCs w:val="24"/>
        </w:rPr>
        <w:t xml:space="preserve">the national minimum wage at NIS 1,450. Data from </w:t>
      </w:r>
      <w:bookmarkStart w:id="12" w:name="_Hlk79314719"/>
      <w:r w:rsidRPr="005C0ECA">
        <w:rPr>
          <w:rFonts w:ascii="Times New Roman" w:hAnsi="Times New Roman" w:cs="Times New Roman"/>
          <w:sz w:val="24"/>
          <w:szCs w:val="24"/>
        </w:rPr>
        <w:t xml:space="preserve">the Palestinian Central Bureau of Statistics </w:t>
      </w:r>
      <w:bookmarkEnd w:id="12"/>
      <w:r w:rsidR="00EF78F6" w:rsidRPr="005C0ECA">
        <w:rPr>
          <w:rFonts w:ascii="Times New Roman" w:hAnsi="Times New Roman" w:cs="Times New Roman"/>
          <w:sz w:val="24"/>
          <w:szCs w:val="24"/>
        </w:rPr>
        <w:t>(PCBS</w:t>
      </w:r>
      <w:r w:rsidR="005C0ECA" w:rsidRPr="005C0ECA">
        <w:rPr>
          <w:rFonts w:ascii="Times New Roman" w:hAnsi="Times New Roman" w:cs="Times New Roman"/>
          <w:sz w:val="24"/>
          <w:szCs w:val="24"/>
        </w:rPr>
        <w:fldChar w:fldCharType="begin"/>
      </w:r>
      <w:r w:rsidR="005C0ECA" w:rsidRPr="005C0ECA">
        <w:instrText xml:space="preserve"> TA \l "</w:instrText>
      </w:r>
      <w:r w:rsidR="005C0ECA" w:rsidRPr="005C0ECA">
        <w:rPr>
          <w:rFonts w:ascii="Times New Roman" w:hAnsi="Times New Roman" w:cs="Times New Roman"/>
          <w:sz w:val="24"/>
          <w:szCs w:val="24"/>
        </w:rPr>
        <w:instrText>PCBS: the Palestinian Central Bureau of Statistics</w:instrText>
      </w:r>
      <w:r w:rsidR="005C0ECA" w:rsidRPr="005C0ECA">
        <w:instrText xml:space="preserve">" \s "PCBS" \c 1 </w:instrText>
      </w:r>
      <w:r w:rsidR="005C0ECA" w:rsidRPr="005C0ECA">
        <w:rPr>
          <w:rFonts w:ascii="Times New Roman" w:hAnsi="Times New Roman" w:cs="Times New Roman"/>
          <w:sz w:val="24"/>
          <w:szCs w:val="24"/>
        </w:rPr>
        <w:fldChar w:fldCharType="end"/>
      </w:r>
      <w:r w:rsidR="00EF78F6" w:rsidRPr="005C0ECA">
        <w:rPr>
          <w:rFonts w:ascii="Times New Roman" w:hAnsi="Times New Roman" w:cs="Times New Roman"/>
          <w:sz w:val="24"/>
          <w:szCs w:val="24"/>
        </w:rPr>
        <w:t xml:space="preserve">) </w:t>
      </w:r>
      <w:r w:rsidRPr="005C0ECA">
        <w:rPr>
          <w:rFonts w:ascii="Times New Roman" w:hAnsi="Times New Roman" w:cs="Times New Roman"/>
          <w:sz w:val="24"/>
          <w:szCs w:val="24"/>
        </w:rPr>
        <w:t>indicated that some 28 percent of paid employees in the private sector receive</w:t>
      </w:r>
      <w:r w:rsidR="00C80B01" w:rsidRPr="005C0ECA">
        <w:rPr>
          <w:rFonts w:ascii="Times New Roman" w:hAnsi="Times New Roman" w:cs="Times New Roman"/>
          <w:sz w:val="24"/>
          <w:szCs w:val="24"/>
        </w:rPr>
        <w:t>d</w:t>
      </w:r>
      <w:r w:rsidRPr="005C0ECA">
        <w:rPr>
          <w:rFonts w:ascii="Times New Roman" w:hAnsi="Times New Roman" w:cs="Times New Roman"/>
          <w:sz w:val="24"/>
          <w:szCs w:val="24"/>
        </w:rPr>
        <w:t xml:space="preserve"> a monthly salary below the minimum wage in Palestine. This raises a question about </w:t>
      </w:r>
      <w:r w:rsidR="00C90782" w:rsidRPr="005C0ECA">
        <w:rPr>
          <w:rFonts w:ascii="Times New Roman" w:hAnsi="Times New Roman" w:cs="Times New Roman"/>
          <w:sz w:val="24"/>
          <w:szCs w:val="24"/>
        </w:rPr>
        <w:t xml:space="preserve">the </w:t>
      </w:r>
      <w:r w:rsidRPr="005C0ECA">
        <w:rPr>
          <w:rFonts w:ascii="Times New Roman" w:hAnsi="Times New Roman" w:cs="Times New Roman"/>
          <w:sz w:val="24"/>
          <w:szCs w:val="24"/>
        </w:rPr>
        <w:t>effective</w:t>
      </w:r>
      <w:r w:rsidR="00C90782" w:rsidRPr="005C0ECA">
        <w:rPr>
          <w:rFonts w:ascii="Times New Roman" w:hAnsi="Times New Roman" w:cs="Times New Roman"/>
          <w:sz w:val="24"/>
          <w:szCs w:val="24"/>
        </w:rPr>
        <w:t>ness of control by</w:t>
      </w:r>
      <w:r w:rsidRPr="005C0ECA">
        <w:rPr>
          <w:rFonts w:ascii="Times New Roman" w:hAnsi="Times New Roman" w:cs="Times New Roman"/>
          <w:sz w:val="24"/>
          <w:szCs w:val="24"/>
        </w:rPr>
        <w:t xml:space="preserve"> </w:t>
      </w:r>
      <w:bookmarkStart w:id="13" w:name="_Hlk79314737"/>
      <w:r w:rsidRPr="005C0ECA">
        <w:rPr>
          <w:rFonts w:ascii="Times New Roman" w:hAnsi="Times New Roman" w:cs="Times New Roman"/>
          <w:sz w:val="24"/>
          <w:szCs w:val="24"/>
        </w:rPr>
        <w:t xml:space="preserve">the Ministry of Labour </w:t>
      </w:r>
      <w:bookmarkEnd w:id="13"/>
      <w:r w:rsidR="00C90782" w:rsidRPr="005C0ECA">
        <w:rPr>
          <w:rFonts w:ascii="Times New Roman" w:hAnsi="Times New Roman" w:cs="Times New Roman"/>
          <w:sz w:val="24"/>
          <w:szCs w:val="24"/>
        </w:rPr>
        <w:t>(MoL</w:t>
      </w:r>
      <w:r w:rsidR="005C0ECA" w:rsidRPr="005C0ECA">
        <w:rPr>
          <w:rFonts w:ascii="Times New Roman" w:hAnsi="Times New Roman" w:cs="Times New Roman"/>
          <w:sz w:val="24"/>
          <w:szCs w:val="24"/>
        </w:rPr>
        <w:fldChar w:fldCharType="begin"/>
      </w:r>
      <w:r w:rsidR="005C0ECA" w:rsidRPr="005C0ECA">
        <w:instrText xml:space="preserve"> TA \l "</w:instrText>
      </w:r>
      <w:r w:rsidR="005C0ECA" w:rsidRPr="005C0ECA">
        <w:rPr>
          <w:rFonts w:ascii="Times New Roman" w:hAnsi="Times New Roman" w:cs="Times New Roman"/>
          <w:sz w:val="24"/>
          <w:szCs w:val="24"/>
        </w:rPr>
        <w:instrText>MoL : the Ministry of Labour</w:instrText>
      </w:r>
      <w:r w:rsidR="005C0ECA" w:rsidRPr="005C0ECA">
        <w:instrText xml:space="preserve">" \s "MoL" \c 1 </w:instrText>
      </w:r>
      <w:r w:rsidR="005C0ECA" w:rsidRPr="005C0ECA">
        <w:rPr>
          <w:rFonts w:ascii="Times New Roman" w:hAnsi="Times New Roman" w:cs="Times New Roman"/>
          <w:sz w:val="24"/>
          <w:szCs w:val="24"/>
        </w:rPr>
        <w:fldChar w:fldCharType="end"/>
      </w:r>
      <w:r w:rsidR="00C90782" w:rsidRPr="005C0ECA">
        <w:rPr>
          <w:rFonts w:ascii="Times New Roman" w:hAnsi="Times New Roman" w:cs="Times New Roman"/>
          <w:sz w:val="24"/>
          <w:szCs w:val="24"/>
        </w:rPr>
        <w:t xml:space="preserve">) over employers’ compliance with the national minimum wage. </w:t>
      </w:r>
    </w:p>
    <w:p w:rsidR="00C90782" w:rsidRPr="005C0ECA" w:rsidRDefault="00C90782" w:rsidP="00C80B01">
      <w:pPr>
        <w:pStyle w:val="ListParagraph"/>
        <w:numPr>
          <w:ilvl w:val="0"/>
          <w:numId w:val="6"/>
        </w:numPr>
        <w:jc w:val="both"/>
        <w:rPr>
          <w:rFonts w:ascii="Times New Roman" w:hAnsi="Times New Roman" w:cs="Times New Roman"/>
          <w:sz w:val="24"/>
          <w:szCs w:val="24"/>
        </w:rPr>
      </w:pPr>
      <w:r w:rsidRPr="005C0ECA">
        <w:rPr>
          <w:rFonts w:ascii="Times New Roman" w:hAnsi="Times New Roman" w:cs="Times New Roman"/>
          <w:sz w:val="24"/>
          <w:szCs w:val="24"/>
        </w:rPr>
        <w:t xml:space="preserve">The report does not refer to </w:t>
      </w:r>
      <w:r w:rsidR="00C80B01" w:rsidRPr="005C0ECA">
        <w:rPr>
          <w:rFonts w:ascii="Times New Roman" w:hAnsi="Times New Roman" w:cs="Times New Roman"/>
          <w:sz w:val="24"/>
          <w:szCs w:val="24"/>
        </w:rPr>
        <w:t>the MoL</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"MoL" </w:instrText>
      </w:r>
      <w:r w:rsidR="005C0ECA" w:rsidRPr="005C0ECA">
        <w:rPr>
          <w:rFonts w:ascii="Times New Roman" w:hAnsi="Times New Roman" w:cs="Times New Roman"/>
          <w:sz w:val="24"/>
          <w:szCs w:val="24"/>
        </w:rPr>
        <w:fldChar w:fldCharType="end"/>
      </w:r>
      <w:r w:rsidR="00C80B01" w:rsidRPr="005C0ECA">
        <w:rPr>
          <w:rFonts w:ascii="Times New Roman" w:hAnsi="Times New Roman" w:cs="Times New Roman"/>
          <w:sz w:val="24"/>
          <w:szCs w:val="24"/>
        </w:rPr>
        <w:t xml:space="preserve"> </w:t>
      </w:r>
      <w:r w:rsidRPr="005C0ECA">
        <w:rPr>
          <w:rFonts w:ascii="Times New Roman" w:hAnsi="Times New Roman" w:cs="Times New Roman"/>
          <w:sz w:val="24"/>
          <w:szCs w:val="24"/>
        </w:rPr>
        <w:t xml:space="preserve">inadequate measures to obligate employers to abide by the provisions of the Palestinian Labour Law. The number of MoL inspectors continues to be short </w:t>
      </w:r>
      <w:r w:rsidR="00C80B01" w:rsidRPr="005C0ECA">
        <w:rPr>
          <w:rFonts w:ascii="Times New Roman" w:hAnsi="Times New Roman" w:cs="Times New Roman"/>
          <w:sz w:val="24"/>
          <w:szCs w:val="24"/>
        </w:rPr>
        <w:t xml:space="preserve">because </w:t>
      </w:r>
      <w:r w:rsidRPr="005C0ECA">
        <w:rPr>
          <w:rFonts w:ascii="Times New Roman" w:hAnsi="Times New Roman" w:cs="Times New Roman"/>
          <w:sz w:val="24"/>
          <w:szCs w:val="24"/>
        </w:rPr>
        <w:t xml:space="preserve">the government has failed to provide needed financial and human resources for control over economic enterprises. </w:t>
      </w:r>
    </w:p>
    <w:p w:rsidR="0062622D" w:rsidRPr="005C0ECA" w:rsidRDefault="00C90782" w:rsidP="005A5E34">
      <w:pPr>
        <w:pStyle w:val="ListParagraph"/>
        <w:numPr>
          <w:ilvl w:val="0"/>
          <w:numId w:val="6"/>
        </w:numPr>
        <w:jc w:val="both"/>
        <w:rPr>
          <w:rFonts w:ascii="Times New Roman" w:hAnsi="Times New Roman" w:cs="Times New Roman"/>
          <w:sz w:val="24"/>
          <w:szCs w:val="24"/>
        </w:rPr>
      </w:pPr>
      <w:r w:rsidRPr="005C0ECA">
        <w:rPr>
          <w:rFonts w:ascii="Times New Roman" w:hAnsi="Times New Roman" w:cs="Times New Roman"/>
          <w:sz w:val="24"/>
          <w:szCs w:val="24"/>
        </w:rPr>
        <w:lastRenderedPageBreak/>
        <w:t>On an annual basis, the ICHR</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"ICHR" </w:instrText>
      </w:r>
      <w:r w:rsidR="005C0ECA" w:rsidRPr="005C0ECA">
        <w:rPr>
          <w:rFonts w:ascii="Times New Roman" w:hAnsi="Times New Roman" w:cs="Times New Roman"/>
          <w:sz w:val="24"/>
          <w:szCs w:val="24"/>
        </w:rPr>
        <w:fldChar w:fldCharType="end"/>
      </w:r>
      <w:r w:rsidRPr="005C0ECA">
        <w:rPr>
          <w:rFonts w:ascii="Times New Roman" w:hAnsi="Times New Roman" w:cs="Times New Roman"/>
          <w:sz w:val="24"/>
          <w:szCs w:val="24"/>
        </w:rPr>
        <w:t xml:space="preserve"> consistently monitors worker deaths as a result of failure to put in place occupational safety and health standards in the work environment. </w:t>
      </w:r>
      <w:r w:rsidR="000B4C34" w:rsidRPr="005C0ECA">
        <w:rPr>
          <w:rFonts w:ascii="Times New Roman" w:hAnsi="Times New Roman" w:cs="Times New Roman"/>
          <w:sz w:val="24"/>
          <w:szCs w:val="24"/>
        </w:rPr>
        <w:t xml:space="preserve">In addition to lacking awareness-raising programmes on occupational safety, employers are not obliged to provide personal protective equipment to workers. </w:t>
      </w:r>
      <w:r w:rsidR="00FE3E63" w:rsidRPr="005C0ECA">
        <w:rPr>
          <w:rFonts w:ascii="Times New Roman" w:hAnsi="Times New Roman" w:cs="Times New Roman"/>
          <w:sz w:val="24"/>
          <w:szCs w:val="24"/>
        </w:rPr>
        <w:t>Compared to 28 in 2019</w:t>
      </w:r>
      <w:r w:rsidR="00FE3E63" w:rsidRPr="005C0ECA">
        <w:rPr>
          <w:rStyle w:val="FootnoteReference"/>
          <w:rFonts w:ascii="Times New Roman" w:hAnsi="Times New Roman" w:cs="Times New Roman"/>
          <w:sz w:val="24"/>
          <w:szCs w:val="24"/>
        </w:rPr>
        <w:footnoteReference w:id="2"/>
      </w:r>
      <w:r w:rsidR="00FE3E63" w:rsidRPr="005C0ECA">
        <w:rPr>
          <w:rFonts w:ascii="Times New Roman" w:hAnsi="Times New Roman" w:cs="Times New Roman"/>
          <w:sz w:val="24"/>
          <w:szCs w:val="24"/>
        </w:rPr>
        <w:t xml:space="preserve"> and eight in 2018, </w:t>
      </w:r>
      <w:r w:rsidR="0062622D" w:rsidRPr="005C0ECA">
        <w:rPr>
          <w:rFonts w:ascii="Times New Roman" w:hAnsi="Times New Roman" w:cs="Times New Roman"/>
          <w:sz w:val="24"/>
          <w:szCs w:val="24"/>
        </w:rPr>
        <w:t>23 incidents of death were reported to have taken place in workplaces across the West Bank</w:t>
      </w:r>
      <w:r w:rsidR="00FE3E63" w:rsidRPr="005C0ECA">
        <w:rPr>
          <w:rFonts w:ascii="Times New Roman" w:hAnsi="Times New Roman" w:cs="Times New Roman"/>
          <w:sz w:val="24"/>
          <w:szCs w:val="24"/>
        </w:rPr>
        <w:t xml:space="preserve"> in 2020</w:t>
      </w:r>
      <w:r w:rsidR="0062622D" w:rsidRPr="005C0ECA">
        <w:rPr>
          <w:rFonts w:ascii="Times New Roman" w:hAnsi="Times New Roman" w:cs="Times New Roman"/>
          <w:sz w:val="24"/>
          <w:szCs w:val="24"/>
        </w:rPr>
        <w:t>.</w:t>
      </w:r>
      <w:r w:rsidR="00FE3E63" w:rsidRPr="005C0ECA">
        <w:rPr>
          <w:rStyle w:val="FootnoteReference"/>
          <w:rFonts w:ascii="Times New Roman" w:hAnsi="Times New Roman" w:cs="Times New Roman"/>
          <w:sz w:val="24"/>
          <w:szCs w:val="24"/>
        </w:rPr>
        <w:footnoteReference w:id="3"/>
      </w:r>
      <w:r w:rsidR="00FE3E63" w:rsidRPr="005C0ECA">
        <w:rPr>
          <w:rFonts w:ascii="Times New Roman" w:hAnsi="Times New Roman" w:cs="Times New Roman"/>
          <w:sz w:val="24"/>
          <w:szCs w:val="24"/>
        </w:rPr>
        <w:t xml:space="preserve"> By contrast, 10 deaths were documented by the MoL</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"MoL" </w:instrText>
      </w:r>
      <w:r w:rsidR="005C0ECA" w:rsidRPr="005C0ECA">
        <w:rPr>
          <w:rFonts w:ascii="Times New Roman" w:hAnsi="Times New Roman" w:cs="Times New Roman"/>
          <w:sz w:val="24"/>
          <w:szCs w:val="24"/>
        </w:rPr>
        <w:fldChar w:fldCharType="end"/>
      </w:r>
      <w:r w:rsidR="00FE3E63" w:rsidRPr="005C0ECA">
        <w:rPr>
          <w:rFonts w:ascii="Times New Roman" w:hAnsi="Times New Roman" w:cs="Times New Roman"/>
          <w:sz w:val="24"/>
          <w:szCs w:val="24"/>
        </w:rPr>
        <w:t xml:space="preserve"> in 2017. </w:t>
      </w:r>
      <w:r w:rsidR="005A5E34" w:rsidRPr="005C0ECA">
        <w:rPr>
          <w:rFonts w:ascii="Times New Roman" w:hAnsi="Times New Roman" w:cs="Times New Roman"/>
          <w:sz w:val="24"/>
          <w:szCs w:val="24"/>
        </w:rPr>
        <w:t xml:space="preserve">In comparison to </w:t>
      </w:r>
      <w:r w:rsidR="0062622D" w:rsidRPr="005C0ECA">
        <w:rPr>
          <w:rFonts w:ascii="Times New Roman" w:hAnsi="Times New Roman" w:cs="Times New Roman"/>
          <w:sz w:val="24"/>
          <w:szCs w:val="24"/>
        </w:rPr>
        <w:t>16 incidents in 2017, 25 workers died inside the Green Line in 2018.</w:t>
      </w:r>
      <w:r w:rsidR="00FE3E63" w:rsidRPr="005C0ECA">
        <w:rPr>
          <w:rStyle w:val="FootnoteReference"/>
          <w:rFonts w:ascii="Times New Roman" w:hAnsi="Times New Roman" w:cs="Times New Roman"/>
          <w:sz w:val="24"/>
          <w:szCs w:val="24"/>
        </w:rPr>
        <w:footnoteReference w:id="4"/>
      </w:r>
      <w:r w:rsidR="00F1088E" w:rsidRPr="005C0ECA">
        <w:rPr>
          <w:rFonts w:ascii="Times New Roman" w:hAnsi="Times New Roman" w:cs="Times New Roman"/>
          <w:sz w:val="24"/>
          <w:szCs w:val="24"/>
        </w:rPr>
        <w:t xml:space="preserve"> </w:t>
      </w:r>
      <w:r w:rsidR="000B4C34" w:rsidRPr="005C0ECA">
        <w:rPr>
          <w:rFonts w:ascii="Times New Roman" w:hAnsi="Times New Roman" w:cs="Times New Roman"/>
          <w:sz w:val="24"/>
          <w:szCs w:val="24"/>
        </w:rPr>
        <w:t>Against this backdrop, the ICHR recommends that</w:t>
      </w:r>
      <w:r w:rsidR="00B66D9A" w:rsidRPr="005C0ECA">
        <w:rPr>
          <w:rFonts w:ascii="Times New Roman" w:hAnsi="Times New Roman" w:cs="Times New Roman"/>
          <w:sz w:val="24"/>
          <w:szCs w:val="24"/>
        </w:rPr>
        <w:t xml:space="preserve"> the government</w:t>
      </w:r>
      <w:r w:rsidR="000B4C34" w:rsidRPr="005C0ECA">
        <w:rPr>
          <w:rFonts w:ascii="Times New Roman" w:hAnsi="Times New Roman" w:cs="Times New Roman"/>
          <w:sz w:val="24"/>
          <w:szCs w:val="24"/>
        </w:rPr>
        <w:t xml:space="preserve">: </w:t>
      </w:r>
    </w:p>
    <w:p w:rsidR="000B4C34" w:rsidRPr="005C0ECA" w:rsidRDefault="00B66D9A" w:rsidP="00D51F94">
      <w:pPr>
        <w:pStyle w:val="ListParagraph"/>
        <w:numPr>
          <w:ilvl w:val="1"/>
          <w:numId w:val="6"/>
        </w:numPr>
        <w:jc w:val="both"/>
        <w:rPr>
          <w:rFonts w:ascii="Times New Roman" w:hAnsi="Times New Roman" w:cs="Times New Roman"/>
          <w:sz w:val="24"/>
          <w:szCs w:val="24"/>
        </w:rPr>
      </w:pPr>
      <w:r w:rsidRPr="005C0ECA">
        <w:rPr>
          <w:rFonts w:ascii="Times New Roman" w:hAnsi="Times New Roman" w:cs="Times New Roman"/>
          <w:sz w:val="24"/>
          <w:szCs w:val="24"/>
        </w:rPr>
        <w:t xml:space="preserve">Take necessary measures to reduce increasing unemployment, particularly in the Gaza Strip, as well as among women. </w:t>
      </w:r>
    </w:p>
    <w:p w:rsidR="00B66D9A" w:rsidRPr="005C0ECA" w:rsidRDefault="00B66D9A" w:rsidP="00D51F94">
      <w:pPr>
        <w:pStyle w:val="ListParagraph"/>
        <w:numPr>
          <w:ilvl w:val="1"/>
          <w:numId w:val="6"/>
        </w:numPr>
        <w:jc w:val="both"/>
        <w:rPr>
          <w:rFonts w:ascii="Times New Roman" w:hAnsi="Times New Roman" w:cs="Times New Roman"/>
          <w:sz w:val="24"/>
          <w:szCs w:val="24"/>
        </w:rPr>
      </w:pPr>
      <w:r w:rsidRPr="005C0ECA">
        <w:rPr>
          <w:rFonts w:ascii="Times New Roman" w:hAnsi="Times New Roman" w:cs="Times New Roman"/>
          <w:sz w:val="24"/>
          <w:szCs w:val="24"/>
        </w:rPr>
        <w:t xml:space="preserve">Provide needed financial resources to ensure control over work premises, ensure that children are employed in favourable conditions of work, and realised the rights of working women. </w:t>
      </w:r>
    </w:p>
    <w:p w:rsidR="00B66D9A" w:rsidRPr="005C0ECA" w:rsidRDefault="00B66D9A" w:rsidP="00D51F94">
      <w:pPr>
        <w:pStyle w:val="ListParagraph"/>
        <w:numPr>
          <w:ilvl w:val="1"/>
          <w:numId w:val="6"/>
        </w:numPr>
        <w:jc w:val="both"/>
        <w:rPr>
          <w:rFonts w:ascii="Times New Roman" w:hAnsi="Times New Roman" w:cs="Times New Roman"/>
          <w:sz w:val="24"/>
          <w:szCs w:val="24"/>
        </w:rPr>
      </w:pPr>
      <w:r w:rsidRPr="005C0ECA">
        <w:rPr>
          <w:rFonts w:ascii="Times New Roman" w:hAnsi="Times New Roman" w:cs="Times New Roman"/>
          <w:sz w:val="24"/>
          <w:szCs w:val="24"/>
        </w:rPr>
        <w:t xml:space="preserve">Allocate </w:t>
      </w:r>
      <w:r w:rsidR="006D70CE" w:rsidRPr="005C0ECA">
        <w:rPr>
          <w:rFonts w:ascii="Times New Roman" w:hAnsi="Times New Roman" w:cs="Times New Roman"/>
          <w:sz w:val="24"/>
          <w:szCs w:val="24"/>
        </w:rPr>
        <w:t xml:space="preserve">the </w:t>
      </w:r>
      <w:r w:rsidRPr="005C0ECA">
        <w:rPr>
          <w:rFonts w:ascii="Times New Roman" w:hAnsi="Times New Roman" w:cs="Times New Roman"/>
          <w:sz w:val="24"/>
          <w:szCs w:val="24"/>
        </w:rPr>
        <w:t>financial resources needed to implement the Strategy on Occupational Safety and Health.</w:t>
      </w:r>
    </w:p>
    <w:p w:rsidR="00B66D9A" w:rsidRPr="005C0ECA" w:rsidRDefault="00B66D9A" w:rsidP="00D51F94">
      <w:pPr>
        <w:jc w:val="both"/>
        <w:rPr>
          <w:rFonts w:ascii="Times New Roman" w:hAnsi="Times New Roman" w:cs="Times New Roman"/>
          <w:sz w:val="24"/>
          <w:szCs w:val="24"/>
        </w:rPr>
      </w:pPr>
    </w:p>
    <w:p w:rsidR="00B66D9A" w:rsidRPr="005C0ECA" w:rsidRDefault="00B66D9A" w:rsidP="005C0ECA">
      <w:pPr>
        <w:pStyle w:val="Heading1"/>
        <w:rPr>
          <w:rFonts w:asciiTheme="majorBidi" w:hAnsiTheme="majorBidi"/>
          <w:b/>
          <w:bCs/>
          <w:color w:val="auto"/>
        </w:rPr>
      </w:pPr>
      <w:bookmarkStart w:id="14" w:name="_Toc79315038"/>
      <w:r w:rsidRPr="005C0ECA">
        <w:rPr>
          <w:rFonts w:asciiTheme="majorBidi" w:hAnsiTheme="majorBidi"/>
          <w:b/>
          <w:bCs/>
          <w:color w:val="auto"/>
        </w:rPr>
        <w:t>Right to freedom of association and right to strike</w:t>
      </w:r>
      <w:bookmarkEnd w:id="14"/>
      <w:r w:rsidRPr="005C0ECA">
        <w:rPr>
          <w:rFonts w:asciiTheme="majorBidi" w:hAnsiTheme="majorBidi"/>
          <w:b/>
          <w:bCs/>
          <w:color w:val="auto"/>
        </w:rPr>
        <w:t xml:space="preserve"> </w:t>
      </w:r>
    </w:p>
    <w:p w:rsidR="00B66D9A" w:rsidRPr="005C0ECA" w:rsidRDefault="00B66D9A" w:rsidP="004F01E8">
      <w:pPr>
        <w:jc w:val="both"/>
        <w:rPr>
          <w:rFonts w:ascii="Times New Roman" w:hAnsi="Times New Roman" w:cs="Times New Roman"/>
          <w:sz w:val="24"/>
          <w:szCs w:val="24"/>
        </w:rPr>
      </w:pPr>
      <w:r w:rsidRPr="005C0ECA">
        <w:rPr>
          <w:rFonts w:ascii="Times New Roman" w:hAnsi="Times New Roman" w:cs="Times New Roman"/>
          <w:sz w:val="24"/>
          <w:szCs w:val="24"/>
        </w:rPr>
        <w:t xml:space="preserve">The report </w:t>
      </w:r>
      <w:r w:rsidR="006F3B2D" w:rsidRPr="005C0ECA">
        <w:rPr>
          <w:rFonts w:ascii="Times New Roman" w:hAnsi="Times New Roman" w:cs="Times New Roman"/>
          <w:sz w:val="24"/>
          <w:szCs w:val="24"/>
        </w:rPr>
        <w:t>states</w:t>
      </w:r>
      <w:r w:rsidRPr="005C0ECA">
        <w:rPr>
          <w:rFonts w:ascii="Times New Roman" w:hAnsi="Times New Roman" w:cs="Times New Roman"/>
          <w:sz w:val="24"/>
          <w:szCs w:val="24"/>
        </w:rPr>
        <w:t xml:space="preserve"> that a legal provision on the right to freedom of association and right to strike is in place. Both rights are enshrined in the Palestinian Basic Law. However, the report does not reflect on the absence of a legal regulation of trade unions. All the more so, the report does not refer to the Law by Decree No. 11 of 2017 on the Regulation of </w:t>
      </w:r>
      <w:r w:rsidR="004F01E8" w:rsidRPr="005C0ECA">
        <w:rPr>
          <w:rFonts w:ascii="Times New Roman" w:hAnsi="Times New Roman" w:cs="Times New Roman"/>
          <w:sz w:val="24"/>
          <w:szCs w:val="24"/>
        </w:rPr>
        <w:t xml:space="preserve">the </w:t>
      </w:r>
      <w:r w:rsidRPr="005C0ECA">
        <w:rPr>
          <w:rFonts w:ascii="Times New Roman" w:hAnsi="Times New Roman" w:cs="Times New Roman"/>
          <w:sz w:val="24"/>
          <w:szCs w:val="24"/>
        </w:rPr>
        <w:t>Exercis</w:t>
      </w:r>
      <w:r w:rsidR="004F01E8" w:rsidRPr="005C0ECA">
        <w:rPr>
          <w:rFonts w:ascii="Times New Roman" w:hAnsi="Times New Roman" w:cs="Times New Roman"/>
          <w:sz w:val="24"/>
          <w:szCs w:val="24"/>
        </w:rPr>
        <w:t>e of</w:t>
      </w:r>
      <w:r w:rsidRPr="005C0ECA">
        <w:rPr>
          <w:rFonts w:ascii="Times New Roman" w:hAnsi="Times New Roman" w:cs="Times New Roman"/>
          <w:sz w:val="24"/>
          <w:szCs w:val="24"/>
        </w:rPr>
        <w:t xml:space="preserve"> the Right to Strike in </w:t>
      </w:r>
      <w:r w:rsidR="00F065FE" w:rsidRPr="005C0ECA">
        <w:rPr>
          <w:rFonts w:ascii="Times New Roman" w:hAnsi="Times New Roman" w:cs="Times New Roman"/>
          <w:sz w:val="24"/>
          <w:szCs w:val="24"/>
        </w:rPr>
        <w:t xml:space="preserve">Public Service, which completely </w:t>
      </w:r>
      <w:r w:rsidR="004F01E8" w:rsidRPr="005C0ECA">
        <w:rPr>
          <w:rFonts w:ascii="Times New Roman" w:hAnsi="Times New Roman" w:cs="Times New Roman"/>
          <w:sz w:val="24"/>
          <w:szCs w:val="24"/>
        </w:rPr>
        <w:t xml:space="preserve">eliminates the </w:t>
      </w:r>
      <w:r w:rsidR="00F065FE" w:rsidRPr="005C0ECA">
        <w:rPr>
          <w:rFonts w:ascii="Times New Roman" w:hAnsi="Times New Roman" w:cs="Times New Roman"/>
          <w:sz w:val="24"/>
          <w:szCs w:val="24"/>
        </w:rPr>
        <w:t xml:space="preserve">protection of the right to strike. It prohibits persons employed in some public service sectors from exercising this right. Based on this law by decree, the State of Palestine has halted by a court decision all the strikes, which it had already requested to put an end to. These included </w:t>
      </w:r>
      <w:r w:rsidR="004F01E8" w:rsidRPr="005C0ECA">
        <w:rPr>
          <w:rFonts w:ascii="Times New Roman" w:hAnsi="Times New Roman" w:cs="Times New Roman"/>
          <w:sz w:val="24"/>
          <w:szCs w:val="24"/>
        </w:rPr>
        <w:t xml:space="preserve">the </w:t>
      </w:r>
      <w:r w:rsidR="00F065FE" w:rsidRPr="005C0ECA">
        <w:rPr>
          <w:rFonts w:ascii="Times New Roman" w:hAnsi="Times New Roman" w:cs="Times New Roman"/>
          <w:sz w:val="24"/>
          <w:szCs w:val="24"/>
        </w:rPr>
        <w:t>strikes declared by the Palestinian Bar Association and Federation of Unions of Palestinian University Professors and Employees. Against this background, the ICHR</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"ICHR" </w:instrText>
      </w:r>
      <w:r w:rsidR="005C0ECA" w:rsidRPr="005C0ECA">
        <w:rPr>
          <w:rFonts w:ascii="Times New Roman" w:hAnsi="Times New Roman" w:cs="Times New Roman"/>
          <w:sz w:val="24"/>
          <w:szCs w:val="24"/>
        </w:rPr>
        <w:fldChar w:fldCharType="end"/>
      </w:r>
      <w:r w:rsidR="00F065FE" w:rsidRPr="005C0ECA">
        <w:rPr>
          <w:rFonts w:ascii="Times New Roman" w:hAnsi="Times New Roman" w:cs="Times New Roman"/>
          <w:sz w:val="24"/>
          <w:szCs w:val="24"/>
        </w:rPr>
        <w:t xml:space="preserve"> recommends that: </w:t>
      </w:r>
    </w:p>
    <w:p w:rsidR="00F065FE" w:rsidRPr="005C0ECA" w:rsidRDefault="00FC7154" w:rsidP="004F01E8">
      <w:pPr>
        <w:pStyle w:val="ListParagraph"/>
        <w:numPr>
          <w:ilvl w:val="0"/>
          <w:numId w:val="16"/>
        </w:numPr>
        <w:jc w:val="both"/>
        <w:rPr>
          <w:rFonts w:ascii="Times New Roman" w:hAnsi="Times New Roman" w:cs="Times New Roman"/>
          <w:sz w:val="24"/>
          <w:szCs w:val="24"/>
        </w:rPr>
      </w:pPr>
      <w:r w:rsidRPr="005C0ECA">
        <w:rPr>
          <w:rFonts w:ascii="Times New Roman" w:hAnsi="Times New Roman" w:cs="Times New Roman"/>
          <w:sz w:val="24"/>
          <w:szCs w:val="24"/>
        </w:rPr>
        <w:t xml:space="preserve">A legal framework be developed for trade union regulation, allowing and safeguarding freedom of action, freedom to strike, and exercise of all union activities. </w:t>
      </w:r>
    </w:p>
    <w:p w:rsidR="00FC7154" w:rsidRPr="005C0ECA" w:rsidRDefault="00FC7154" w:rsidP="00D51F94">
      <w:pPr>
        <w:jc w:val="both"/>
        <w:rPr>
          <w:rFonts w:ascii="Times New Roman" w:hAnsi="Times New Roman" w:cs="Times New Roman"/>
          <w:sz w:val="24"/>
          <w:szCs w:val="24"/>
        </w:rPr>
      </w:pPr>
    </w:p>
    <w:p w:rsidR="00FC7154" w:rsidRPr="005C0ECA" w:rsidRDefault="00FC7154" w:rsidP="005C0ECA">
      <w:pPr>
        <w:pStyle w:val="Heading1"/>
        <w:rPr>
          <w:rFonts w:asciiTheme="majorBidi" w:hAnsiTheme="majorBidi"/>
          <w:b/>
          <w:bCs/>
          <w:color w:val="auto"/>
        </w:rPr>
      </w:pPr>
      <w:bookmarkStart w:id="15" w:name="_Toc79315039"/>
      <w:r w:rsidRPr="005C0ECA">
        <w:rPr>
          <w:rFonts w:asciiTheme="majorBidi" w:hAnsiTheme="majorBidi"/>
          <w:b/>
          <w:bCs/>
          <w:color w:val="auto"/>
        </w:rPr>
        <w:lastRenderedPageBreak/>
        <w:t xml:space="preserve">Right </w:t>
      </w:r>
      <w:r w:rsidR="00814EFD" w:rsidRPr="005C0ECA">
        <w:rPr>
          <w:rFonts w:asciiTheme="majorBidi" w:hAnsiTheme="majorBidi"/>
          <w:b/>
          <w:bCs/>
          <w:color w:val="auto"/>
        </w:rPr>
        <w:t>to social security and retirement</w:t>
      </w:r>
      <w:bookmarkEnd w:id="15"/>
    </w:p>
    <w:p w:rsidR="00814EFD" w:rsidRPr="005C0ECA" w:rsidRDefault="00F62CDE" w:rsidP="00D22DD8">
      <w:pPr>
        <w:jc w:val="both"/>
        <w:rPr>
          <w:rFonts w:ascii="Times New Roman" w:hAnsi="Times New Roman" w:cs="Times New Roman"/>
          <w:sz w:val="24"/>
          <w:szCs w:val="24"/>
        </w:rPr>
      </w:pPr>
      <w:r w:rsidRPr="005C0ECA">
        <w:rPr>
          <w:rFonts w:ascii="Times New Roman" w:hAnsi="Times New Roman" w:cs="Times New Roman"/>
          <w:sz w:val="24"/>
          <w:szCs w:val="24"/>
        </w:rPr>
        <w:t>The report, in paragraphs 88-95, provides a detailed account of the Law by Decree No. 6 of 2016 on Social Security</w:t>
      </w:r>
      <w:r w:rsidR="00AB6170" w:rsidRPr="005C0ECA">
        <w:rPr>
          <w:rFonts w:ascii="Times New Roman" w:hAnsi="Times New Roman" w:cs="Times New Roman"/>
          <w:sz w:val="24"/>
          <w:szCs w:val="24"/>
        </w:rPr>
        <w:t xml:space="preserve">. However, </w:t>
      </w:r>
      <w:r w:rsidR="00CD4E4A" w:rsidRPr="005C0ECA">
        <w:rPr>
          <w:rFonts w:ascii="Times New Roman" w:hAnsi="Times New Roman" w:cs="Times New Roman"/>
          <w:sz w:val="24"/>
          <w:szCs w:val="24"/>
        </w:rPr>
        <w:t xml:space="preserve">the report </w:t>
      </w:r>
      <w:r w:rsidR="00AB6170" w:rsidRPr="005C0ECA">
        <w:rPr>
          <w:rFonts w:ascii="Times New Roman" w:hAnsi="Times New Roman" w:cs="Times New Roman"/>
          <w:sz w:val="24"/>
          <w:szCs w:val="24"/>
        </w:rPr>
        <w:t xml:space="preserve">does </w:t>
      </w:r>
      <w:r w:rsidR="00CD4E4A" w:rsidRPr="005C0ECA">
        <w:rPr>
          <w:rFonts w:ascii="Times New Roman" w:hAnsi="Times New Roman" w:cs="Times New Roman"/>
          <w:sz w:val="24"/>
          <w:szCs w:val="24"/>
        </w:rPr>
        <w:t xml:space="preserve">not </w:t>
      </w:r>
      <w:r w:rsidR="00AB6170" w:rsidRPr="005C0ECA">
        <w:rPr>
          <w:rFonts w:ascii="Times New Roman" w:hAnsi="Times New Roman" w:cs="Times New Roman"/>
          <w:sz w:val="24"/>
          <w:szCs w:val="24"/>
        </w:rPr>
        <w:t>explain that this enactment was approved without adequate consultation with all relevant parties and stakeholders, including civil society organisations and private sector. An agreement was not made on all details or phased enforcement of the law by decree. No longer in force, th</w:t>
      </w:r>
      <w:r w:rsidR="00CD4E4A" w:rsidRPr="005C0ECA">
        <w:rPr>
          <w:rFonts w:ascii="Times New Roman" w:hAnsi="Times New Roman" w:cs="Times New Roman"/>
          <w:sz w:val="24"/>
          <w:szCs w:val="24"/>
        </w:rPr>
        <w:t xml:space="preserve">is legislative </w:t>
      </w:r>
      <w:r w:rsidR="00AB6170" w:rsidRPr="005C0ECA">
        <w:rPr>
          <w:rFonts w:ascii="Times New Roman" w:hAnsi="Times New Roman" w:cs="Times New Roman"/>
          <w:sz w:val="24"/>
          <w:szCs w:val="24"/>
        </w:rPr>
        <w:t xml:space="preserve">act was suspended by the Law by Decree No. 4 of 2019. The report does not account for </w:t>
      </w:r>
      <w:r w:rsidR="00CD4E4A" w:rsidRPr="005C0ECA">
        <w:rPr>
          <w:rFonts w:ascii="Times New Roman" w:hAnsi="Times New Roman" w:cs="Times New Roman"/>
          <w:sz w:val="24"/>
          <w:szCs w:val="24"/>
        </w:rPr>
        <w:t xml:space="preserve">any </w:t>
      </w:r>
      <w:r w:rsidR="00AB6170" w:rsidRPr="005C0ECA">
        <w:rPr>
          <w:rFonts w:ascii="Times New Roman" w:hAnsi="Times New Roman" w:cs="Times New Roman"/>
          <w:sz w:val="24"/>
          <w:szCs w:val="24"/>
        </w:rPr>
        <w:t xml:space="preserve">procedures initiated by the government to establish </w:t>
      </w:r>
      <w:r w:rsidR="00D22DD8" w:rsidRPr="005C0ECA">
        <w:rPr>
          <w:rFonts w:ascii="Times New Roman" w:hAnsi="Times New Roman" w:cs="Times New Roman"/>
          <w:sz w:val="24"/>
          <w:szCs w:val="24"/>
        </w:rPr>
        <w:t xml:space="preserve">an inclusive </w:t>
      </w:r>
      <w:r w:rsidR="00AB6170" w:rsidRPr="005C0ECA">
        <w:rPr>
          <w:rFonts w:ascii="Times New Roman" w:hAnsi="Times New Roman" w:cs="Times New Roman"/>
          <w:sz w:val="24"/>
          <w:szCs w:val="24"/>
        </w:rPr>
        <w:t xml:space="preserve">social security system in Palestine after the law by decree </w:t>
      </w:r>
      <w:r w:rsidR="00D22DD8" w:rsidRPr="005C0ECA">
        <w:rPr>
          <w:rFonts w:ascii="Times New Roman" w:hAnsi="Times New Roman" w:cs="Times New Roman"/>
          <w:sz w:val="24"/>
          <w:szCs w:val="24"/>
        </w:rPr>
        <w:t xml:space="preserve">in question </w:t>
      </w:r>
      <w:r w:rsidR="00AB6170" w:rsidRPr="005C0ECA">
        <w:rPr>
          <w:rFonts w:ascii="Times New Roman" w:hAnsi="Times New Roman" w:cs="Times New Roman"/>
          <w:sz w:val="24"/>
          <w:szCs w:val="24"/>
        </w:rPr>
        <w:t xml:space="preserve">ceased to have effect. These processes should bridge the gap in social protection policies. Of note, a key requirement has been the need to create a legal regulation, which </w:t>
      </w:r>
      <w:r w:rsidR="00F91F89" w:rsidRPr="005C0ECA">
        <w:rPr>
          <w:rFonts w:ascii="Times New Roman" w:hAnsi="Times New Roman" w:cs="Times New Roman"/>
          <w:sz w:val="24"/>
          <w:szCs w:val="24"/>
        </w:rPr>
        <w:t xml:space="preserve">will </w:t>
      </w:r>
      <w:r w:rsidR="00AB6170" w:rsidRPr="005C0ECA">
        <w:rPr>
          <w:rFonts w:ascii="Times New Roman" w:hAnsi="Times New Roman" w:cs="Times New Roman"/>
          <w:sz w:val="24"/>
          <w:szCs w:val="24"/>
        </w:rPr>
        <w:t>ensure citizens’ right to social security in consistence with relevant international standards. Furthermore, the Law on Public Retirement only covers protection from senility, disability, and illness. Benefits furnished by the law are only available to government personnel and persons of similar status. Against this backdrop, the ICHR</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"ICHR" </w:instrText>
      </w:r>
      <w:r w:rsidR="005C0ECA" w:rsidRPr="005C0ECA">
        <w:rPr>
          <w:rFonts w:ascii="Times New Roman" w:hAnsi="Times New Roman" w:cs="Times New Roman"/>
          <w:sz w:val="24"/>
          <w:szCs w:val="24"/>
        </w:rPr>
        <w:fldChar w:fldCharType="end"/>
      </w:r>
      <w:r w:rsidR="00AB6170" w:rsidRPr="005C0ECA">
        <w:rPr>
          <w:rFonts w:ascii="Times New Roman" w:hAnsi="Times New Roman" w:cs="Times New Roman"/>
          <w:sz w:val="24"/>
          <w:szCs w:val="24"/>
        </w:rPr>
        <w:t xml:space="preserve"> recommends that: </w:t>
      </w:r>
    </w:p>
    <w:p w:rsidR="00814EFD" w:rsidRPr="005C0ECA" w:rsidRDefault="00AB6170" w:rsidP="00775304">
      <w:pPr>
        <w:pStyle w:val="ListParagraph"/>
        <w:numPr>
          <w:ilvl w:val="0"/>
          <w:numId w:val="16"/>
        </w:numPr>
        <w:jc w:val="both"/>
        <w:rPr>
          <w:rFonts w:ascii="Times New Roman" w:hAnsi="Times New Roman" w:cs="Times New Roman"/>
          <w:sz w:val="24"/>
          <w:szCs w:val="24"/>
        </w:rPr>
      </w:pPr>
      <w:r w:rsidRPr="005C0ECA">
        <w:rPr>
          <w:rFonts w:ascii="Times New Roman" w:hAnsi="Times New Roman" w:cs="Times New Roman"/>
          <w:sz w:val="24"/>
          <w:szCs w:val="24"/>
        </w:rPr>
        <w:t>The Law on Social Security be developed jointly with civil society organisations and the ICHR</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"ICHR" </w:instrText>
      </w:r>
      <w:r w:rsidR="005C0ECA" w:rsidRPr="005C0ECA">
        <w:rPr>
          <w:rFonts w:ascii="Times New Roman" w:hAnsi="Times New Roman" w:cs="Times New Roman"/>
          <w:sz w:val="24"/>
          <w:szCs w:val="24"/>
        </w:rPr>
        <w:fldChar w:fldCharType="end"/>
      </w:r>
      <w:r w:rsidRPr="005C0ECA">
        <w:rPr>
          <w:rFonts w:ascii="Times New Roman" w:hAnsi="Times New Roman" w:cs="Times New Roman"/>
          <w:sz w:val="24"/>
          <w:szCs w:val="24"/>
        </w:rPr>
        <w:t xml:space="preserve">. It will </w:t>
      </w:r>
      <w:r w:rsidR="001B4F81" w:rsidRPr="005C0ECA">
        <w:rPr>
          <w:rFonts w:ascii="Times New Roman" w:hAnsi="Times New Roman" w:cs="Times New Roman"/>
          <w:sz w:val="24"/>
          <w:szCs w:val="24"/>
        </w:rPr>
        <w:t xml:space="preserve">be more inclusive of Palestinians and </w:t>
      </w:r>
      <w:r w:rsidR="00775304" w:rsidRPr="005C0ECA">
        <w:rPr>
          <w:rFonts w:ascii="Times New Roman" w:hAnsi="Times New Roman" w:cs="Times New Roman"/>
          <w:sz w:val="24"/>
          <w:szCs w:val="24"/>
        </w:rPr>
        <w:t xml:space="preserve">cover </w:t>
      </w:r>
      <w:r w:rsidR="001B4F81" w:rsidRPr="005C0ECA">
        <w:rPr>
          <w:rFonts w:ascii="Times New Roman" w:hAnsi="Times New Roman" w:cs="Times New Roman"/>
          <w:sz w:val="24"/>
          <w:szCs w:val="24"/>
        </w:rPr>
        <w:t xml:space="preserve">unemployment insurance, maternity, informal employment, and most economically vulnerable groups. </w:t>
      </w:r>
    </w:p>
    <w:p w:rsidR="001B4F81" w:rsidRPr="005C0ECA" w:rsidRDefault="001B4F81" w:rsidP="00D51F94">
      <w:pPr>
        <w:jc w:val="both"/>
        <w:rPr>
          <w:rFonts w:ascii="Times New Roman" w:hAnsi="Times New Roman" w:cs="Times New Roman"/>
          <w:sz w:val="24"/>
          <w:szCs w:val="24"/>
        </w:rPr>
      </w:pPr>
    </w:p>
    <w:p w:rsidR="001B4F81" w:rsidRPr="005C0ECA" w:rsidRDefault="001B4F81" w:rsidP="005C0ECA">
      <w:pPr>
        <w:pStyle w:val="Heading2"/>
        <w:rPr>
          <w:rFonts w:asciiTheme="majorBidi" w:hAnsiTheme="majorBidi"/>
          <w:color w:val="auto"/>
        </w:rPr>
      </w:pPr>
      <w:bookmarkStart w:id="16" w:name="_Toc79315040"/>
      <w:r w:rsidRPr="005C0ECA">
        <w:rPr>
          <w:rFonts w:asciiTheme="majorBidi" w:hAnsiTheme="majorBidi"/>
          <w:color w:val="auto"/>
        </w:rPr>
        <w:t>Protection of working mothers</w:t>
      </w:r>
      <w:bookmarkEnd w:id="16"/>
      <w:r w:rsidRPr="005C0ECA">
        <w:rPr>
          <w:rFonts w:asciiTheme="majorBidi" w:hAnsiTheme="majorBidi"/>
          <w:color w:val="auto"/>
        </w:rPr>
        <w:t xml:space="preserve"> </w:t>
      </w:r>
    </w:p>
    <w:p w:rsidR="001B4F81" w:rsidRPr="005C0ECA" w:rsidRDefault="001B4F81" w:rsidP="006913E5">
      <w:pPr>
        <w:jc w:val="both"/>
        <w:rPr>
          <w:rFonts w:ascii="Times New Roman" w:hAnsi="Times New Roman" w:cs="Times New Roman"/>
          <w:sz w:val="24"/>
          <w:szCs w:val="24"/>
        </w:rPr>
      </w:pPr>
      <w:r w:rsidRPr="005C0ECA">
        <w:rPr>
          <w:rFonts w:ascii="Times New Roman" w:hAnsi="Times New Roman" w:cs="Times New Roman"/>
          <w:sz w:val="24"/>
          <w:szCs w:val="24"/>
        </w:rPr>
        <w:t xml:space="preserve">With reference to the protection </w:t>
      </w:r>
      <w:r w:rsidR="00775304" w:rsidRPr="005C0ECA">
        <w:rPr>
          <w:rFonts w:ascii="Times New Roman" w:hAnsi="Times New Roman" w:cs="Times New Roman"/>
          <w:sz w:val="24"/>
          <w:szCs w:val="24"/>
        </w:rPr>
        <w:t xml:space="preserve">of </w:t>
      </w:r>
      <w:r w:rsidRPr="005C0ECA">
        <w:rPr>
          <w:rFonts w:ascii="Times New Roman" w:hAnsi="Times New Roman" w:cs="Times New Roman"/>
          <w:sz w:val="24"/>
          <w:szCs w:val="24"/>
        </w:rPr>
        <w:t xml:space="preserve">working mothers, in paragraphs 99-102, the report differentiates between the provision of protection in the public sector </w:t>
      </w:r>
      <w:r w:rsidR="00775987" w:rsidRPr="005C0ECA">
        <w:rPr>
          <w:rFonts w:ascii="Times New Roman" w:hAnsi="Times New Roman" w:cs="Times New Roman"/>
          <w:sz w:val="24"/>
          <w:szCs w:val="24"/>
        </w:rPr>
        <w:t xml:space="preserve">(governed by the Civil Service Law) and in the private sector (regulated by the operative Labour Law). While the latter grants a 10-week maternity leave, the former entitles working mothers to a paid maternity leave for a period of three months, starting from admission to hospital for delivery. Working mothers are also given one-hour breastfeeding break during working hours until the child attains one year of age. This is inaccurate, however. Pursuant to Article 88(1) of the Civil Service Law, </w:t>
      </w:r>
      <w:r w:rsidR="000524A1" w:rsidRPr="005C0ECA">
        <w:rPr>
          <w:rFonts w:ascii="Times New Roman" w:hAnsi="Times New Roman" w:cs="Times New Roman"/>
          <w:sz w:val="24"/>
          <w:szCs w:val="24"/>
        </w:rPr>
        <w:t>effectively applicable to female civil servants</w:t>
      </w:r>
      <w:r w:rsidR="00C34327" w:rsidRPr="005C0ECA">
        <w:rPr>
          <w:rFonts w:ascii="Times New Roman" w:hAnsi="Times New Roman" w:cs="Times New Roman"/>
          <w:sz w:val="24"/>
          <w:szCs w:val="24"/>
        </w:rPr>
        <w:t>,</w:t>
      </w:r>
      <w:r w:rsidR="000524A1" w:rsidRPr="005C0ECA">
        <w:rPr>
          <w:rFonts w:ascii="Times New Roman" w:hAnsi="Times New Roman" w:cs="Times New Roman"/>
          <w:sz w:val="24"/>
          <w:szCs w:val="24"/>
        </w:rPr>
        <w:t xml:space="preserve"> </w:t>
      </w:r>
      <w:r w:rsidR="00775987" w:rsidRPr="005C0ECA">
        <w:rPr>
          <w:rFonts w:ascii="Times New Roman" w:hAnsi="Times New Roman" w:cs="Times New Roman"/>
          <w:sz w:val="24"/>
          <w:szCs w:val="24"/>
        </w:rPr>
        <w:t>“</w:t>
      </w:r>
      <w:r w:rsidR="00C34327" w:rsidRPr="005C0ECA">
        <w:rPr>
          <w:rFonts w:ascii="Times New Roman" w:hAnsi="Times New Roman" w:cs="Times New Roman"/>
          <w:sz w:val="24"/>
          <w:szCs w:val="24"/>
        </w:rPr>
        <w:t>[</w:t>
      </w:r>
      <w:r w:rsidR="00775987" w:rsidRPr="005C0ECA">
        <w:rPr>
          <w:rFonts w:ascii="Times New Roman" w:hAnsi="Times New Roman" w:cs="Times New Roman"/>
          <w:sz w:val="24"/>
          <w:szCs w:val="24"/>
        </w:rPr>
        <w:t>a</w:t>
      </w:r>
      <w:r w:rsidR="00C34327" w:rsidRPr="005C0ECA">
        <w:rPr>
          <w:rFonts w:ascii="Times New Roman" w:hAnsi="Times New Roman" w:cs="Times New Roman"/>
          <w:sz w:val="24"/>
          <w:szCs w:val="24"/>
        </w:rPr>
        <w:t>]</w:t>
      </w:r>
      <w:r w:rsidR="00775987" w:rsidRPr="005C0ECA">
        <w:rPr>
          <w:rFonts w:ascii="Times New Roman" w:hAnsi="Times New Roman" w:cs="Times New Roman"/>
          <w:sz w:val="24"/>
          <w:szCs w:val="24"/>
        </w:rPr>
        <w:t xml:space="preserve"> pregnant </w:t>
      </w:r>
      <w:r w:rsidR="000524A1" w:rsidRPr="005C0ECA">
        <w:rPr>
          <w:rFonts w:ascii="Times New Roman" w:hAnsi="Times New Roman" w:cs="Times New Roman"/>
          <w:sz w:val="24"/>
          <w:szCs w:val="24"/>
        </w:rPr>
        <w:t>civil servant</w:t>
      </w:r>
      <w:r w:rsidR="00775987" w:rsidRPr="005C0ECA">
        <w:rPr>
          <w:rFonts w:ascii="Times New Roman" w:hAnsi="Times New Roman" w:cs="Times New Roman"/>
          <w:sz w:val="24"/>
          <w:szCs w:val="24"/>
        </w:rPr>
        <w:t xml:space="preserve"> shall be granted leave on full pay for a period of ten successive weeks before and after the birth.</w:t>
      </w:r>
      <w:r w:rsidR="000524A1" w:rsidRPr="005C0ECA">
        <w:rPr>
          <w:rFonts w:ascii="Times New Roman" w:hAnsi="Times New Roman" w:cs="Times New Roman"/>
          <w:sz w:val="24"/>
          <w:szCs w:val="24"/>
        </w:rPr>
        <w:t xml:space="preserve">” </w:t>
      </w:r>
      <w:r w:rsidR="00C34327" w:rsidRPr="005C0ECA">
        <w:rPr>
          <w:rFonts w:ascii="Times New Roman" w:hAnsi="Times New Roman" w:cs="Times New Roman"/>
          <w:sz w:val="24"/>
          <w:szCs w:val="24"/>
        </w:rPr>
        <w:t xml:space="preserve">This provision </w:t>
      </w:r>
      <w:r w:rsidR="000524A1" w:rsidRPr="005C0ECA">
        <w:rPr>
          <w:rFonts w:ascii="Times New Roman" w:hAnsi="Times New Roman" w:cs="Times New Roman"/>
          <w:sz w:val="24"/>
          <w:szCs w:val="24"/>
        </w:rPr>
        <w:t xml:space="preserve">is in violation of the Maternity Protection Convention of </w:t>
      </w:r>
      <w:bookmarkStart w:id="17" w:name="_Hlk79314771"/>
      <w:r w:rsidR="000524A1" w:rsidRPr="005C0ECA">
        <w:rPr>
          <w:rFonts w:ascii="Times New Roman" w:hAnsi="Times New Roman" w:cs="Times New Roman"/>
          <w:sz w:val="24"/>
          <w:szCs w:val="24"/>
        </w:rPr>
        <w:t xml:space="preserve">the International Liberation Organisation </w:t>
      </w:r>
      <w:bookmarkEnd w:id="17"/>
      <w:r w:rsidR="000524A1" w:rsidRPr="005C0ECA">
        <w:rPr>
          <w:rFonts w:ascii="Times New Roman" w:hAnsi="Times New Roman" w:cs="Times New Roman"/>
          <w:sz w:val="24"/>
          <w:szCs w:val="24"/>
        </w:rPr>
        <w:t>(ILO</w:t>
      </w:r>
      <w:r w:rsidR="005C0ECA" w:rsidRPr="005C0ECA">
        <w:rPr>
          <w:rFonts w:ascii="Times New Roman" w:hAnsi="Times New Roman" w:cs="Times New Roman"/>
          <w:sz w:val="24"/>
          <w:szCs w:val="24"/>
        </w:rPr>
        <w:fldChar w:fldCharType="begin"/>
      </w:r>
      <w:r w:rsidR="005C0ECA" w:rsidRPr="005C0ECA">
        <w:instrText xml:space="preserve"> TA \l "</w:instrText>
      </w:r>
      <w:r w:rsidR="005C0ECA" w:rsidRPr="005C0ECA">
        <w:rPr>
          <w:rFonts w:ascii="Times New Roman" w:hAnsi="Times New Roman" w:cs="Times New Roman"/>
          <w:sz w:val="24"/>
          <w:szCs w:val="24"/>
        </w:rPr>
        <w:instrText>ILO : the International Liberation Organisation</w:instrText>
      </w:r>
      <w:r w:rsidR="005C0ECA" w:rsidRPr="005C0ECA">
        <w:instrText xml:space="preserve">" \s "ILO" \c 1 </w:instrText>
      </w:r>
      <w:r w:rsidR="005C0ECA" w:rsidRPr="005C0ECA">
        <w:rPr>
          <w:rFonts w:ascii="Times New Roman" w:hAnsi="Times New Roman" w:cs="Times New Roman"/>
          <w:sz w:val="24"/>
          <w:szCs w:val="24"/>
        </w:rPr>
        <w:fldChar w:fldCharType="end"/>
      </w:r>
      <w:r w:rsidR="000524A1" w:rsidRPr="005C0ECA">
        <w:rPr>
          <w:rFonts w:ascii="Times New Roman" w:hAnsi="Times New Roman" w:cs="Times New Roman"/>
          <w:sz w:val="24"/>
          <w:szCs w:val="24"/>
        </w:rPr>
        <w:t>), which provides that “a woman to whom this Convention applies shall be entitled to a period of maternity leave of not less than 14 weeks.”</w:t>
      </w:r>
      <w:r w:rsidR="00BC2CBB" w:rsidRPr="005C0ECA">
        <w:rPr>
          <w:rFonts w:ascii="Times New Roman" w:hAnsi="Times New Roman" w:cs="Times New Roman"/>
          <w:sz w:val="24"/>
          <w:szCs w:val="24"/>
        </w:rPr>
        <w:t xml:space="preserve"> </w:t>
      </w:r>
      <w:r w:rsidR="00312B6D" w:rsidRPr="005C0ECA">
        <w:rPr>
          <w:rFonts w:ascii="Times New Roman" w:hAnsi="Times New Roman" w:cs="Times New Roman"/>
          <w:sz w:val="24"/>
          <w:szCs w:val="24"/>
        </w:rPr>
        <w:t>PCBS</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"PCBS" </w:instrText>
      </w:r>
      <w:r w:rsidR="005C0ECA" w:rsidRPr="005C0ECA">
        <w:rPr>
          <w:rFonts w:ascii="Times New Roman" w:hAnsi="Times New Roman" w:cs="Times New Roman"/>
          <w:sz w:val="24"/>
          <w:szCs w:val="24"/>
        </w:rPr>
        <w:fldChar w:fldCharType="end"/>
      </w:r>
      <w:r w:rsidR="00312B6D" w:rsidRPr="005C0ECA">
        <w:rPr>
          <w:rFonts w:ascii="Times New Roman" w:hAnsi="Times New Roman" w:cs="Times New Roman"/>
          <w:sz w:val="24"/>
          <w:szCs w:val="24"/>
        </w:rPr>
        <w:t xml:space="preserve"> data show that approximately 40 percent of working women do not enjoy paid maternity leave. This puts in question the MoL</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"MoL" </w:instrText>
      </w:r>
      <w:r w:rsidR="005C0ECA" w:rsidRPr="005C0ECA">
        <w:rPr>
          <w:rFonts w:ascii="Times New Roman" w:hAnsi="Times New Roman" w:cs="Times New Roman"/>
          <w:sz w:val="24"/>
          <w:szCs w:val="24"/>
        </w:rPr>
        <w:fldChar w:fldCharType="end"/>
      </w:r>
      <w:r w:rsidR="00312B6D" w:rsidRPr="005C0ECA">
        <w:rPr>
          <w:rFonts w:ascii="Times New Roman" w:hAnsi="Times New Roman" w:cs="Times New Roman"/>
          <w:sz w:val="24"/>
          <w:szCs w:val="24"/>
        </w:rPr>
        <w:t xml:space="preserve"> role in </w:t>
      </w:r>
      <w:r w:rsidR="005F5850" w:rsidRPr="005C0ECA">
        <w:rPr>
          <w:rFonts w:ascii="Times New Roman" w:hAnsi="Times New Roman" w:cs="Times New Roman"/>
          <w:sz w:val="24"/>
          <w:szCs w:val="24"/>
        </w:rPr>
        <w:t xml:space="preserve">the oversight of </w:t>
      </w:r>
      <w:r w:rsidR="00312B6D" w:rsidRPr="005C0ECA">
        <w:rPr>
          <w:rFonts w:ascii="Times New Roman" w:hAnsi="Times New Roman" w:cs="Times New Roman"/>
          <w:sz w:val="24"/>
          <w:szCs w:val="24"/>
        </w:rPr>
        <w:t xml:space="preserve">law enforcement by employers and private sector enterprises. In addition, the report makes no mention of ongoing impingements on the rights of mothers working in the private </w:t>
      </w:r>
      <w:r w:rsidR="00312B6D" w:rsidRPr="005C0ECA">
        <w:rPr>
          <w:rFonts w:ascii="Times New Roman" w:hAnsi="Times New Roman" w:cs="Times New Roman"/>
          <w:sz w:val="24"/>
          <w:szCs w:val="24"/>
        </w:rPr>
        <w:lastRenderedPageBreak/>
        <w:t>sector. After they gave birth, mothers were dismissed to avoid paying maternity leave</w:t>
      </w:r>
      <w:r w:rsidR="006913E5" w:rsidRPr="005C0ECA">
        <w:rPr>
          <w:rFonts w:ascii="Times New Roman" w:hAnsi="Times New Roman" w:cs="Times New Roman"/>
          <w:sz w:val="24"/>
          <w:szCs w:val="24"/>
        </w:rPr>
        <w:t xml:space="preserve"> wages</w:t>
      </w:r>
      <w:r w:rsidR="00312B6D" w:rsidRPr="005C0ECA">
        <w:rPr>
          <w:rFonts w:ascii="Times New Roman" w:hAnsi="Times New Roman" w:cs="Times New Roman"/>
          <w:sz w:val="24"/>
          <w:szCs w:val="24"/>
        </w:rPr>
        <w:t>. Employers also evade obligations under the Labour Law, including shorter working hours for new mothers. The report also fails to touch on the status of mothers in informal employment, family businesses, and domestic work. In the light of the above, the ICHR</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"ICHR" </w:instrText>
      </w:r>
      <w:r w:rsidR="005C0ECA" w:rsidRPr="005C0ECA">
        <w:rPr>
          <w:rFonts w:ascii="Times New Roman" w:hAnsi="Times New Roman" w:cs="Times New Roman"/>
          <w:sz w:val="24"/>
          <w:szCs w:val="24"/>
        </w:rPr>
        <w:fldChar w:fldCharType="end"/>
      </w:r>
      <w:r w:rsidR="00312B6D" w:rsidRPr="005C0ECA">
        <w:rPr>
          <w:rFonts w:ascii="Times New Roman" w:hAnsi="Times New Roman" w:cs="Times New Roman"/>
          <w:sz w:val="24"/>
          <w:szCs w:val="24"/>
        </w:rPr>
        <w:t xml:space="preserve"> recommends that: </w:t>
      </w:r>
    </w:p>
    <w:p w:rsidR="00312B6D" w:rsidRPr="005C0ECA" w:rsidRDefault="00312B6D" w:rsidP="00D51F94">
      <w:pPr>
        <w:pStyle w:val="ListParagraph"/>
        <w:numPr>
          <w:ilvl w:val="0"/>
          <w:numId w:val="2"/>
        </w:numPr>
        <w:jc w:val="both"/>
        <w:rPr>
          <w:rFonts w:ascii="Times New Roman" w:hAnsi="Times New Roman" w:cs="Times New Roman"/>
          <w:sz w:val="24"/>
          <w:szCs w:val="24"/>
        </w:rPr>
      </w:pPr>
      <w:r w:rsidRPr="005C0ECA">
        <w:rPr>
          <w:rFonts w:ascii="Times New Roman" w:hAnsi="Times New Roman" w:cs="Times New Roman"/>
          <w:sz w:val="24"/>
          <w:szCs w:val="24"/>
        </w:rPr>
        <w:t>The principle of equal</w:t>
      </w:r>
      <w:r w:rsidR="00F656D8" w:rsidRPr="005C0ECA">
        <w:rPr>
          <w:rFonts w:ascii="Times New Roman" w:hAnsi="Times New Roman" w:cs="Times New Roman"/>
          <w:sz w:val="24"/>
          <w:szCs w:val="24"/>
        </w:rPr>
        <w:t xml:space="preserve"> rights and obligations</w:t>
      </w:r>
      <w:r w:rsidRPr="005C0ECA">
        <w:rPr>
          <w:rFonts w:ascii="Times New Roman" w:hAnsi="Times New Roman" w:cs="Times New Roman"/>
          <w:sz w:val="24"/>
          <w:szCs w:val="24"/>
        </w:rPr>
        <w:t xml:space="preserve"> be applied to female </w:t>
      </w:r>
      <w:r w:rsidR="00F656D8" w:rsidRPr="005C0ECA">
        <w:rPr>
          <w:rFonts w:ascii="Times New Roman" w:hAnsi="Times New Roman" w:cs="Times New Roman"/>
          <w:sz w:val="24"/>
          <w:szCs w:val="24"/>
        </w:rPr>
        <w:t>employees in public and private sector</w:t>
      </w:r>
      <w:r w:rsidR="004930AE" w:rsidRPr="005C0ECA">
        <w:rPr>
          <w:rFonts w:ascii="Times New Roman" w:hAnsi="Times New Roman" w:cs="Times New Roman"/>
          <w:sz w:val="24"/>
          <w:szCs w:val="24"/>
        </w:rPr>
        <w:t>s</w:t>
      </w:r>
      <w:r w:rsidR="00F656D8" w:rsidRPr="005C0ECA">
        <w:rPr>
          <w:rFonts w:ascii="Times New Roman" w:hAnsi="Times New Roman" w:cs="Times New Roman"/>
          <w:sz w:val="24"/>
          <w:szCs w:val="24"/>
        </w:rPr>
        <w:t>, ensuring non-discrimination on the basis of employment sectors. Informal employment, family businesses, and domestic work</w:t>
      </w:r>
      <w:r w:rsidR="00B617BD" w:rsidRPr="005C0ECA">
        <w:rPr>
          <w:rFonts w:ascii="Times New Roman" w:hAnsi="Times New Roman" w:cs="Times New Roman"/>
          <w:sz w:val="24"/>
          <w:szCs w:val="24"/>
        </w:rPr>
        <w:t xml:space="preserve"> will be subject to supervision and oversight. </w:t>
      </w:r>
    </w:p>
    <w:p w:rsidR="000948B9" w:rsidRPr="005C0ECA" w:rsidRDefault="00B617BD" w:rsidP="00D51F94">
      <w:pPr>
        <w:pStyle w:val="ListParagraph"/>
        <w:numPr>
          <w:ilvl w:val="0"/>
          <w:numId w:val="2"/>
        </w:numPr>
        <w:jc w:val="both"/>
        <w:rPr>
          <w:rFonts w:ascii="Times New Roman" w:hAnsi="Times New Roman" w:cs="Times New Roman"/>
          <w:sz w:val="24"/>
          <w:szCs w:val="24"/>
        </w:rPr>
      </w:pPr>
      <w:r w:rsidRPr="005C0ECA">
        <w:rPr>
          <w:rFonts w:ascii="Times New Roman" w:hAnsi="Times New Roman" w:cs="Times New Roman"/>
          <w:sz w:val="24"/>
          <w:szCs w:val="24"/>
        </w:rPr>
        <w:t xml:space="preserve">The private sector be encouraged to </w:t>
      </w:r>
      <w:r w:rsidR="000948B9" w:rsidRPr="005C0ECA">
        <w:rPr>
          <w:rFonts w:ascii="Times New Roman" w:hAnsi="Times New Roman" w:cs="Times New Roman"/>
          <w:sz w:val="24"/>
          <w:szCs w:val="24"/>
        </w:rPr>
        <w:t xml:space="preserve">employ women, particularly mothers, by approving social regulations and policies. In conjunction with the private sector, the State will contribute to affording the costs of women’s reproductive role. Nurseries in close proximity to mothers’ workplaces also need to be provided. </w:t>
      </w:r>
    </w:p>
    <w:p w:rsidR="000948B9" w:rsidRPr="005C0ECA" w:rsidRDefault="000948B9" w:rsidP="00D51F94">
      <w:pPr>
        <w:jc w:val="both"/>
        <w:rPr>
          <w:rFonts w:ascii="Times New Roman" w:hAnsi="Times New Roman" w:cs="Times New Roman"/>
          <w:sz w:val="24"/>
          <w:szCs w:val="24"/>
        </w:rPr>
      </w:pPr>
    </w:p>
    <w:p w:rsidR="00B617BD" w:rsidRPr="005C0ECA" w:rsidRDefault="000948B9" w:rsidP="005C0ECA">
      <w:pPr>
        <w:pStyle w:val="Heading2"/>
        <w:rPr>
          <w:rFonts w:asciiTheme="majorBidi" w:hAnsiTheme="majorBidi"/>
          <w:color w:val="auto"/>
        </w:rPr>
      </w:pPr>
      <w:bookmarkStart w:id="18" w:name="_Toc79315041"/>
      <w:r w:rsidRPr="005C0ECA">
        <w:rPr>
          <w:rFonts w:asciiTheme="majorBidi" w:hAnsiTheme="majorBidi"/>
          <w:color w:val="auto"/>
        </w:rPr>
        <w:t>Protection of children</w:t>
      </w:r>
      <w:bookmarkEnd w:id="18"/>
      <w:r w:rsidRPr="005C0ECA">
        <w:rPr>
          <w:rFonts w:asciiTheme="majorBidi" w:hAnsiTheme="majorBidi"/>
          <w:color w:val="auto"/>
        </w:rPr>
        <w:t xml:space="preserve">  </w:t>
      </w:r>
    </w:p>
    <w:p w:rsidR="00312B6D" w:rsidRPr="005C0ECA" w:rsidRDefault="00930E0A" w:rsidP="002317F2">
      <w:pPr>
        <w:pStyle w:val="ListParagraph"/>
        <w:numPr>
          <w:ilvl w:val="0"/>
          <w:numId w:val="6"/>
        </w:numPr>
        <w:jc w:val="both"/>
        <w:rPr>
          <w:rFonts w:ascii="Times New Roman" w:hAnsi="Times New Roman" w:cs="Times New Roman"/>
          <w:sz w:val="24"/>
          <w:szCs w:val="24"/>
        </w:rPr>
      </w:pPr>
      <w:r w:rsidRPr="005C0ECA">
        <w:rPr>
          <w:rFonts w:ascii="Times New Roman" w:hAnsi="Times New Roman" w:cs="Times New Roman"/>
          <w:sz w:val="24"/>
          <w:szCs w:val="24"/>
        </w:rPr>
        <w:t xml:space="preserve">In paragraphs 103-117, </w:t>
      </w:r>
      <w:r w:rsidR="00FA590B" w:rsidRPr="005C0ECA">
        <w:rPr>
          <w:rFonts w:ascii="Times New Roman" w:hAnsi="Times New Roman" w:cs="Times New Roman"/>
          <w:sz w:val="24"/>
          <w:szCs w:val="24"/>
        </w:rPr>
        <w:t xml:space="preserve">the report elaborates on the protection of children under effective domestic legislation, but fails to </w:t>
      </w:r>
      <w:r w:rsidR="00106983" w:rsidRPr="005C0ECA">
        <w:rPr>
          <w:rFonts w:ascii="Times New Roman" w:hAnsi="Times New Roman" w:cs="Times New Roman"/>
          <w:sz w:val="24"/>
          <w:szCs w:val="24"/>
        </w:rPr>
        <w:t xml:space="preserve">show </w:t>
      </w:r>
      <w:r w:rsidR="00A816C1" w:rsidRPr="005C0ECA">
        <w:rPr>
          <w:rFonts w:ascii="Times New Roman" w:hAnsi="Times New Roman" w:cs="Times New Roman"/>
          <w:sz w:val="24"/>
          <w:szCs w:val="24"/>
        </w:rPr>
        <w:t>budgeted allocations for children within the MoSD</w:t>
      </w:r>
      <w:r w:rsidR="005C0ECA" w:rsidRPr="005C0ECA">
        <w:rPr>
          <w:rFonts w:ascii="Times New Roman" w:hAnsi="Times New Roman" w:cs="Times New Roman"/>
          <w:sz w:val="24"/>
          <w:szCs w:val="24"/>
        </w:rPr>
        <w:fldChar w:fldCharType="begin"/>
      </w:r>
      <w:r w:rsidR="005C0ECA" w:rsidRPr="005C0ECA">
        <w:instrText xml:space="preserve"> TA \l "</w:instrText>
      </w:r>
      <w:r w:rsidR="005C0ECA" w:rsidRPr="005C0ECA">
        <w:rPr>
          <w:rFonts w:ascii="Times New Roman" w:hAnsi="Times New Roman" w:cs="Times New Roman"/>
          <w:sz w:val="24"/>
          <w:szCs w:val="24"/>
        </w:rPr>
        <w:instrText>MoSD: The Ministry of Social Development</w:instrText>
      </w:r>
      <w:r w:rsidR="005C0ECA" w:rsidRPr="005C0ECA">
        <w:instrText xml:space="preserve">" \s "MoSD" \c 1 </w:instrText>
      </w:r>
      <w:r w:rsidR="005C0ECA" w:rsidRPr="005C0ECA">
        <w:rPr>
          <w:rFonts w:ascii="Times New Roman" w:hAnsi="Times New Roman" w:cs="Times New Roman"/>
          <w:sz w:val="24"/>
          <w:szCs w:val="24"/>
        </w:rPr>
        <w:fldChar w:fldCharType="end"/>
      </w:r>
      <w:r w:rsidR="00A816C1" w:rsidRPr="005C0ECA">
        <w:rPr>
          <w:rFonts w:ascii="Times New Roman" w:hAnsi="Times New Roman" w:cs="Times New Roman"/>
          <w:sz w:val="24"/>
          <w:szCs w:val="24"/>
        </w:rPr>
        <w:t xml:space="preserve"> budget line items</w:t>
      </w:r>
      <w:r w:rsidR="00F224A8" w:rsidRPr="005C0ECA">
        <w:rPr>
          <w:rFonts w:ascii="Times New Roman" w:hAnsi="Times New Roman" w:cs="Times New Roman"/>
          <w:sz w:val="24"/>
          <w:szCs w:val="24"/>
        </w:rPr>
        <w:t xml:space="preserve">. The report does not </w:t>
      </w:r>
      <w:r w:rsidR="002317F2" w:rsidRPr="005C0ECA">
        <w:rPr>
          <w:rFonts w:ascii="Times New Roman" w:hAnsi="Times New Roman" w:cs="Times New Roman"/>
          <w:sz w:val="24"/>
          <w:szCs w:val="24"/>
        </w:rPr>
        <w:t xml:space="preserve">account for </w:t>
      </w:r>
      <w:r w:rsidR="00F224A8" w:rsidRPr="005C0ECA">
        <w:rPr>
          <w:rFonts w:ascii="Times New Roman" w:hAnsi="Times New Roman" w:cs="Times New Roman"/>
          <w:sz w:val="24"/>
          <w:szCs w:val="24"/>
        </w:rPr>
        <w:t xml:space="preserve">the scale of child labour, </w:t>
      </w:r>
      <w:r w:rsidR="002317F2" w:rsidRPr="005C0ECA">
        <w:rPr>
          <w:rFonts w:ascii="Times New Roman" w:hAnsi="Times New Roman" w:cs="Times New Roman"/>
          <w:sz w:val="24"/>
          <w:szCs w:val="24"/>
        </w:rPr>
        <w:t xml:space="preserve">which </w:t>
      </w:r>
      <w:r w:rsidR="00F224A8" w:rsidRPr="005C0ECA">
        <w:rPr>
          <w:rFonts w:ascii="Times New Roman" w:hAnsi="Times New Roman" w:cs="Times New Roman"/>
          <w:sz w:val="24"/>
          <w:szCs w:val="24"/>
        </w:rPr>
        <w:t>amount</w:t>
      </w:r>
      <w:r w:rsidR="002317F2" w:rsidRPr="005C0ECA">
        <w:rPr>
          <w:rFonts w:ascii="Times New Roman" w:hAnsi="Times New Roman" w:cs="Times New Roman"/>
          <w:sz w:val="24"/>
          <w:szCs w:val="24"/>
        </w:rPr>
        <w:t>s</w:t>
      </w:r>
      <w:r w:rsidR="00F224A8" w:rsidRPr="005C0ECA">
        <w:rPr>
          <w:rFonts w:ascii="Times New Roman" w:hAnsi="Times New Roman" w:cs="Times New Roman"/>
          <w:sz w:val="24"/>
          <w:szCs w:val="24"/>
        </w:rPr>
        <w:t xml:space="preserve"> to 3 percent of total children in the 10-17 age group. It does not </w:t>
      </w:r>
      <w:r w:rsidR="002317F2" w:rsidRPr="005C0ECA">
        <w:rPr>
          <w:rFonts w:ascii="Times New Roman" w:hAnsi="Times New Roman" w:cs="Times New Roman"/>
          <w:sz w:val="24"/>
          <w:szCs w:val="24"/>
        </w:rPr>
        <w:t xml:space="preserve">provide an </w:t>
      </w:r>
      <w:r w:rsidR="00F224A8" w:rsidRPr="005C0ECA">
        <w:rPr>
          <w:rFonts w:ascii="Times New Roman" w:hAnsi="Times New Roman" w:cs="Times New Roman"/>
          <w:sz w:val="24"/>
          <w:szCs w:val="24"/>
        </w:rPr>
        <w:t xml:space="preserve">account </w:t>
      </w:r>
      <w:r w:rsidR="002317F2" w:rsidRPr="005C0ECA">
        <w:rPr>
          <w:rFonts w:ascii="Times New Roman" w:hAnsi="Times New Roman" w:cs="Times New Roman"/>
          <w:sz w:val="24"/>
          <w:szCs w:val="24"/>
        </w:rPr>
        <w:t xml:space="preserve">of </w:t>
      </w:r>
      <w:r w:rsidR="00F224A8" w:rsidRPr="005C0ECA">
        <w:rPr>
          <w:rFonts w:ascii="Times New Roman" w:hAnsi="Times New Roman" w:cs="Times New Roman"/>
          <w:sz w:val="24"/>
          <w:szCs w:val="24"/>
        </w:rPr>
        <w:t>deaths among child workers as a result of failure to put in place occupational safety and health standards in the work environment. Between 2014 and 2018, the ICHR</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"ICHR" </w:instrText>
      </w:r>
      <w:r w:rsidR="005C0ECA" w:rsidRPr="005C0ECA">
        <w:rPr>
          <w:rFonts w:ascii="Times New Roman" w:hAnsi="Times New Roman" w:cs="Times New Roman"/>
          <w:sz w:val="24"/>
          <w:szCs w:val="24"/>
        </w:rPr>
        <w:fldChar w:fldCharType="end"/>
      </w:r>
      <w:r w:rsidR="00F224A8" w:rsidRPr="005C0ECA">
        <w:rPr>
          <w:rFonts w:ascii="Times New Roman" w:hAnsi="Times New Roman" w:cs="Times New Roman"/>
          <w:sz w:val="24"/>
          <w:szCs w:val="24"/>
        </w:rPr>
        <w:t xml:space="preserve"> monitored 14 incidents of death among these children. </w:t>
      </w:r>
      <w:r w:rsidR="00D40247" w:rsidRPr="005C0ECA">
        <w:rPr>
          <w:rFonts w:ascii="Times New Roman" w:hAnsi="Times New Roman" w:cs="Times New Roman"/>
          <w:sz w:val="24"/>
          <w:szCs w:val="24"/>
        </w:rPr>
        <w:t xml:space="preserve">According to the ICHR estimation, injuries among children have been reported </w:t>
      </w:r>
      <w:r w:rsidR="002317F2" w:rsidRPr="005C0ECA">
        <w:rPr>
          <w:rFonts w:ascii="Times New Roman" w:hAnsi="Times New Roman" w:cs="Times New Roman"/>
          <w:sz w:val="24"/>
          <w:szCs w:val="24"/>
        </w:rPr>
        <w:t xml:space="preserve">due to </w:t>
      </w:r>
      <w:r w:rsidR="00D40247" w:rsidRPr="005C0ECA">
        <w:rPr>
          <w:rFonts w:ascii="Times New Roman" w:hAnsi="Times New Roman" w:cs="Times New Roman"/>
          <w:sz w:val="24"/>
          <w:szCs w:val="24"/>
        </w:rPr>
        <w:t xml:space="preserve">failure to implement occupational safety and health standards. However, statistical data on these casualties are not provided by </w:t>
      </w:r>
      <w:r w:rsidR="002317F2" w:rsidRPr="005C0ECA">
        <w:rPr>
          <w:rFonts w:ascii="Times New Roman" w:hAnsi="Times New Roman" w:cs="Times New Roman"/>
          <w:sz w:val="24"/>
          <w:szCs w:val="24"/>
        </w:rPr>
        <w:t xml:space="preserve">neither </w:t>
      </w:r>
      <w:r w:rsidR="00D40247" w:rsidRPr="005C0ECA">
        <w:rPr>
          <w:rFonts w:ascii="Times New Roman" w:hAnsi="Times New Roman" w:cs="Times New Roman"/>
          <w:sz w:val="24"/>
          <w:szCs w:val="24"/>
        </w:rPr>
        <w:t xml:space="preserve">relevant government bodies </w:t>
      </w:r>
      <w:r w:rsidR="002317F2" w:rsidRPr="005C0ECA">
        <w:rPr>
          <w:rFonts w:ascii="Times New Roman" w:hAnsi="Times New Roman" w:cs="Times New Roman"/>
          <w:sz w:val="24"/>
          <w:szCs w:val="24"/>
        </w:rPr>
        <w:t>n</w:t>
      </w:r>
      <w:r w:rsidR="00D40247" w:rsidRPr="005C0ECA">
        <w:rPr>
          <w:rFonts w:ascii="Times New Roman" w:hAnsi="Times New Roman" w:cs="Times New Roman"/>
          <w:sz w:val="24"/>
          <w:szCs w:val="24"/>
        </w:rPr>
        <w:t xml:space="preserve">or employers. </w:t>
      </w:r>
    </w:p>
    <w:p w:rsidR="00D40247" w:rsidRPr="005C0ECA" w:rsidRDefault="00C00FFD" w:rsidP="008F6006">
      <w:pPr>
        <w:pStyle w:val="ListParagraph"/>
        <w:numPr>
          <w:ilvl w:val="0"/>
          <w:numId w:val="6"/>
        </w:numPr>
        <w:jc w:val="both"/>
        <w:rPr>
          <w:rFonts w:ascii="Times New Roman" w:hAnsi="Times New Roman" w:cs="Times New Roman"/>
          <w:sz w:val="24"/>
          <w:szCs w:val="24"/>
        </w:rPr>
      </w:pPr>
      <w:r w:rsidRPr="005C0ECA">
        <w:rPr>
          <w:rFonts w:ascii="Times New Roman" w:hAnsi="Times New Roman" w:cs="Times New Roman"/>
          <w:sz w:val="24"/>
          <w:szCs w:val="24"/>
        </w:rPr>
        <w:t>On a continuous basis, the ICHR</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"ICHR" </w:instrText>
      </w:r>
      <w:r w:rsidR="005C0ECA" w:rsidRPr="005C0ECA">
        <w:rPr>
          <w:rFonts w:ascii="Times New Roman" w:hAnsi="Times New Roman" w:cs="Times New Roman"/>
          <w:sz w:val="24"/>
          <w:szCs w:val="24"/>
        </w:rPr>
        <w:fldChar w:fldCharType="end"/>
      </w:r>
      <w:r w:rsidRPr="005C0ECA">
        <w:rPr>
          <w:rFonts w:ascii="Times New Roman" w:hAnsi="Times New Roman" w:cs="Times New Roman"/>
          <w:sz w:val="24"/>
          <w:szCs w:val="24"/>
        </w:rPr>
        <w:t xml:space="preserve"> receives complaints on </w:t>
      </w:r>
      <w:r w:rsidR="002317F2" w:rsidRPr="005C0ECA">
        <w:rPr>
          <w:rFonts w:ascii="Times New Roman" w:hAnsi="Times New Roman" w:cs="Times New Roman"/>
          <w:sz w:val="24"/>
          <w:szCs w:val="24"/>
        </w:rPr>
        <w:t xml:space="preserve">the </w:t>
      </w:r>
      <w:r w:rsidRPr="005C0ECA">
        <w:rPr>
          <w:rFonts w:ascii="Times New Roman" w:hAnsi="Times New Roman" w:cs="Times New Roman"/>
          <w:sz w:val="24"/>
          <w:szCs w:val="24"/>
        </w:rPr>
        <w:t>rights</w:t>
      </w:r>
      <w:r w:rsidR="002317F2" w:rsidRPr="005C0ECA">
        <w:rPr>
          <w:rFonts w:ascii="Times New Roman" w:hAnsi="Times New Roman" w:cs="Times New Roman"/>
          <w:sz w:val="24"/>
          <w:szCs w:val="24"/>
        </w:rPr>
        <w:t xml:space="preserve"> of children</w:t>
      </w:r>
      <w:r w:rsidRPr="005C0ECA">
        <w:rPr>
          <w:rFonts w:ascii="Times New Roman" w:hAnsi="Times New Roman" w:cs="Times New Roman"/>
          <w:sz w:val="24"/>
          <w:szCs w:val="24"/>
        </w:rPr>
        <w:t xml:space="preserve">. Compared to 152 in 2019 and 2018 </w:t>
      </w:r>
      <w:r w:rsidR="006B77EE" w:rsidRPr="005C0ECA">
        <w:rPr>
          <w:rFonts w:ascii="Times New Roman" w:hAnsi="Times New Roman" w:cs="Times New Roman"/>
          <w:sz w:val="24"/>
          <w:szCs w:val="24"/>
        </w:rPr>
        <w:t xml:space="preserve">as well as </w:t>
      </w:r>
      <w:r w:rsidRPr="005C0ECA">
        <w:rPr>
          <w:rFonts w:ascii="Times New Roman" w:hAnsi="Times New Roman" w:cs="Times New Roman"/>
          <w:sz w:val="24"/>
          <w:szCs w:val="24"/>
        </w:rPr>
        <w:t xml:space="preserve">204 in 2017, a total of 190 complaints </w:t>
      </w:r>
      <w:r w:rsidR="008F6006" w:rsidRPr="005C0ECA">
        <w:rPr>
          <w:rFonts w:ascii="Times New Roman" w:hAnsi="Times New Roman" w:cs="Times New Roman"/>
          <w:sz w:val="24"/>
          <w:szCs w:val="24"/>
        </w:rPr>
        <w:t xml:space="preserve">on </w:t>
      </w:r>
      <w:r w:rsidR="006B77EE" w:rsidRPr="005C0ECA">
        <w:rPr>
          <w:rFonts w:ascii="Times New Roman" w:hAnsi="Times New Roman" w:cs="Times New Roman"/>
          <w:sz w:val="24"/>
          <w:szCs w:val="24"/>
        </w:rPr>
        <w:t xml:space="preserve">the rights of </w:t>
      </w:r>
      <w:r w:rsidRPr="005C0ECA">
        <w:rPr>
          <w:rFonts w:ascii="Times New Roman" w:hAnsi="Times New Roman" w:cs="Times New Roman"/>
          <w:sz w:val="24"/>
          <w:szCs w:val="24"/>
        </w:rPr>
        <w:t>children were filed to ICHR in 2020. These complaints involve</w:t>
      </w:r>
      <w:r w:rsidR="008F6006" w:rsidRPr="005C0ECA">
        <w:rPr>
          <w:rFonts w:ascii="Times New Roman" w:hAnsi="Times New Roman" w:cs="Times New Roman"/>
          <w:sz w:val="24"/>
          <w:szCs w:val="24"/>
        </w:rPr>
        <w:t>d</w:t>
      </w:r>
      <w:r w:rsidRPr="005C0ECA">
        <w:rPr>
          <w:rFonts w:ascii="Times New Roman" w:hAnsi="Times New Roman" w:cs="Times New Roman"/>
          <w:sz w:val="24"/>
          <w:szCs w:val="24"/>
        </w:rPr>
        <w:t xml:space="preserve"> violations of the right to health, right to education, assault, torture, and </w:t>
      </w:r>
      <w:r w:rsidR="001D6115" w:rsidRPr="005C0ECA">
        <w:rPr>
          <w:rFonts w:ascii="Times New Roman" w:hAnsi="Times New Roman" w:cs="Times New Roman"/>
          <w:sz w:val="24"/>
          <w:szCs w:val="24"/>
        </w:rPr>
        <w:t xml:space="preserve">right to legal recourse. </w:t>
      </w:r>
    </w:p>
    <w:p w:rsidR="001D6115" w:rsidRPr="005C0ECA" w:rsidRDefault="001D6115" w:rsidP="00D51F94">
      <w:pPr>
        <w:jc w:val="both"/>
        <w:rPr>
          <w:rFonts w:ascii="Times New Roman" w:hAnsi="Times New Roman" w:cs="Times New Roman"/>
          <w:sz w:val="24"/>
          <w:szCs w:val="24"/>
        </w:rPr>
      </w:pPr>
      <w:r w:rsidRPr="005C0ECA">
        <w:rPr>
          <w:rFonts w:ascii="Times New Roman" w:hAnsi="Times New Roman" w:cs="Times New Roman"/>
          <w:sz w:val="24"/>
          <w:szCs w:val="24"/>
        </w:rPr>
        <w:t>Against this background, the ICHR</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"ICHR" </w:instrText>
      </w:r>
      <w:r w:rsidR="005C0ECA" w:rsidRPr="005C0ECA">
        <w:rPr>
          <w:rFonts w:ascii="Times New Roman" w:hAnsi="Times New Roman" w:cs="Times New Roman"/>
          <w:sz w:val="24"/>
          <w:szCs w:val="24"/>
        </w:rPr>
        <w:fldChar w:fldCharType="end"/>
      </w:r>
      <w:r w:rsidRPr="005C0ECA">
        <w:rPr>
          <w:rFonts w:ascii="Times New Roman" w:hAnsi="Times New Roman" w:cs="Times New Roman"/>
          <w:sz w:val="24"/>
          <w:szCs w:val="24"/>
        </w:rPr>
        <w:t xml:space="preserve"> recommends that: </w:t>
      </w:r>
    </w:p>
    <w:p w:rsidR="001D6115" w:rsidRPr="005C0ECA" w:rsidRDefault="005C7747" w:rsidP="00FC5CCE">
      <w:pPr>
        <w:pStyle w:val="ListParagraph"/>
        <w:numPr>
          <w:ilvl w:val="0"/>
          <w:numId w:val="8"/>
        </w:numPr>
        <w:jc w:val="both"/>
        <w:rPr>
          <w:rFonts w:ascii="Times New Roman" w:hAnsi="Times New Roman" w:cs="Times New Roman"/>
          <w:sz w:val="24"/>
          <w:szCs w:val="24"/>
        </w:rPr>
      </w:pPr>
      <w:r w:rsidRPr="005C0ECA">
        <w:rPr>
          <w:rFonts w:ascii="Times New Roman" w:hAnsi="Times New Roman" w:cs="Times New Roman"/>
          <w:sz w:val="24"/>
          <w:szCs w:val="24"/>
        </w:rPr>
        <w:t xml:space="preserve">Policies and strategies be developed and proper measures taken to provide protection to children in employment and ensure that they complete their education and enjoy their right to welfare and culture. </w:t>
      </w:r>
    </w:p>
    <w:p w:rsidR="005C7747" w:rsidRPr="005C0ECA" w:rsidRDefault="005C7747" w:rsidP="00D51F94">
      <w:pPr>
        <w:pStyle w:val="ListParagraph"/>
        <w:numPr>
          <w:ilvl w:val="0"/>
          <w:numId w:val="8"/>
        </w:numPr>
        <w:jc w:val="both"/>
        <w:rPr>
          <w:rFonts w:ascii="Times New Roman" w:hAnsi="Times New Roman" w:cs="Times New Roman"/>
          <w:sz w:val="24"/>
          <w:szCs w:val="24"/>
        </w:rPr>
      </w:pPr>
      <w:r w:rsidRPr="005C0ECA">
        <w:rPr>
          <w:rFonts w:ascii="Times New Roman" w:hAnsi="Times New Roman" w:cs="Times New Roman"/>
          <w:sz w:val="24"/>
          <w:szCs w:val="24"/>
        </w:rPr>
        <w:lastRenderedPageBreak/>
        <w:t xml:space="preserve">Children’s complaints be handled and processed, ensuring that their rights are realised and child rights violators are held to account. </w:t>
      </w:r>
    </w:p>
    <w:p w:rsidR="005C7747" w:rsidRPr="005C0ECA" w:rsidRDefault="005C7747" w:rsidP="00D51F94">
      <w:pPr>
        <w:jc w:val="both"/>
        <w:rPr>
          <w:rFonts w:ascii="Times New Roman" w:hAnsi="Times New Roman" w:cs="Times New Roman"/>
          <w:sz w:val="24"/>
          <w:szCs w:val="24"/>
        </w:rPr>
      </w:pPr>
    </w:p>
    <w:p w:rsidR="005C7747" w:rsidRPr="005C0ECA" w:rsidRDefault="005C7747" w:rsidP="005C0ECA">
      <w:pPr>
        <w:pStyle w:val="Heading2"/>
        <w:rPr>
          <w:rFonts w:asciiTheme="majorBidi" w:hAnsiTheme="majorBidi"/>
          <w:color w:val="auto"/>
        </w:rPr>
      </w:pPr>
      <w:bookmarkStart w:id="19" w:name="_Toc79315042"/>
      <w:r w:rsidRPr="005C0ECA">
        <w:rPr>
          <w:rFonts w:asciiTheme="majorBidi" w:hAnsiTheme="majorBidi"/>
          <w:color w:val="auto"/>
        </w:rPr>
        <w:t>Persons with disabilities</w:t>
      </w:r>
      <w:bookmarkEnd w:id="19"/>
      <w:r w:rsidRPr="005C0ECA">
        <w:rPr>
          <w:rFonts w:asciiTheme="majorBidi" w:hAnsiTheme="majorBidi"/>
          <w:color w:val="auto"/>
        </w:rPr>
        <w:t xml:space="preserve"> </w:t>
      </w:r>
    </w:p>
    <w:p w:rsidR="005C7747" w:rsidRPr="005C0ECA" w:rsidRDefault="004B44F3" w:rsidP="00C950BB">
      <w:pPr>
        <w:pStyle w:val="ListParagraph"/>
        <w:numPr>
          <w:ilvl w:val="0"/>
          <w:numId w:val="9"/>
        </w:numPr>
        <w:jc w:val="both"/>
        <w:rPr>
          <w:rFonts w:ascii="Times New Roman" w:hAnsi="Times New Roman" w:cs="Times New Roman"/>
          <w:sz w:val="24"/>
          <w:szCs w:val="24"/>
        </w:rPr>
      </w:pPr>
      <w:r w:rsidRPr="005C0ECA">
        <w:rPr>
          <w:rFonts w:ascii="Times New Roman" w:hAnsi="Times New Roman" w:cs="Times New Roman"/>
          <w:sz w:val="24"/>
          <w:szCs w:val="24"/>
        </w:rPr>
        <w:t xml:space="preserve">In paragraphs 118-119, the report makes reference to care and rehabilitation for persons with disabilities, but does not </w:t>
      </w:r>
      <w:r w:rsidR="00DF2E4E" w:rsidRPr="005C0ECA">
        <w:rPr>
          <w:rFonts w:ascii="Times New Roman" w:hAnsi="Times New Roman" w:cs="Times New Roman"/>
          <w:sz w:val="24"/>
          <w:szCs w:val="24"/>
        </w:rPr>
        <w:t xml:space="preserve">state </w:t>
      </w:r>
      <w:r w:rsidRPr="005C0ECA">
        <w:rPr>
          <w:rFonts w:ascii="Times New Roman" w:hAnsi="Times New Roman" w:cs="Times New Roman"/>
          <w:sz w:val="24"/>
          <w:szCs w:val="24"/>
        </w:rPr>
        <w:t xml:space="preserve">the percentage of beneficiaries from social and shelter services or how inclusive and adequate these services are. The report </w:t>
      </w:r>
      <w:r w:rsidR="00DF2E4E" w:rsidRPr="005C0ECA">
        <w:rPr>
          <w:rFonts w:ascii="Times New Roman" w:hAnsi="Times New Roman" w:cs="Times New Roman"/>
          <w:sz w:val="24"/>
          <w:szCs w:val="24"/>
        </w:rPr>
        <w:t xml:space="preserve">also </w:t>
      </w:r>
      <w:r w:rsidRPr="005C0ECA">
        <w:rPr>
          <w:rFonts w:ascii="Times New Roman" w:hAnsi="Times New Roman" w:cs="Times New Roman"/>
          <w:sz w:val="24"/>
          <w:szCs w:val="24"/>
        </w:rPr>
        <w:t xml:space="preserve">fails to indicate the percentage of persons with disabilities who have benefited from emergency assistance programmes, which provide assistive devices and medical equipment. It does </w:t>
      </w:r>
      <w:r w:rsidR="000B30E2" w:rsidRPr="005C0ECA">
        <w:rPr>
          <w:rFonts w:ascii="Times New Roman" w:hAnsi="Times New Roman" w:cs="Times New Roman"/>
          <w:sz w:val="24"/>
          <w:szCs w:val="24"/>
        </w:rPr>
        <w:t xml:space="preserve">not </w:t>
      </w:r>
      <w:r w:rsidRPr="005C0ECA">
        <w:rPr>
          <w:rFonts w:ascii="Times New Roman" w:hAnsi="Times New Roman" w:cs="Times New Roman"/>
          <w:sz w:val="24"/>
          <w:szCs w:val="24"/>
        </w:rPr>
        <w:t>elaborate on the nature of</w:t>
      </w:r>
      <w:r w:rsidR="000B30E2" w:rsidRPr="005C0ECA">
        <w:rPr>
          <w:rFonts w:ascii="Times New Roman" w:hAnsi="Times New Roman" w:cs="Times New Roman"/>
          <w:sz w:val="24"/>
          <w:szCs w:val="24"/>
        </w:rPr>
        <w:t xml:space="preserve"> these devices</w:t>
      </w:r>
      <w:r w:rsidRPr="005C0ECA">
        <w:rPr>
          <w:rFonts w:ascii="Times New Roman" w:hAnsi="Times New Roman" w:cs="Times New Roman"/>
          <w:sz w:val="24"/>
          <w:szCs w:val="24"/>
        </w:rPr>
        <w:t xml:space="preserve"> and how </w:t>
      </w:r>
      <w:r w:rsidR="000B30E2" w:rsidRPr="005C0ECA">
        <w:rPr>
          <w:rFonts w:ascii="Times New Roman" w:hAnsi="Times New Roman" w:cs="Times New Roman"/>
          <w:sz w:val="24"/>
          <w:szCs w:val="24"/>
        </w:rPr>
        <w:t xml:space="preserve">they can be accessed </w:t>
      </w:r>
      <w:r w:rsidRPr="005C0ECA">
        <w:rPr>
          <w:rFonts w:ascii="Times New Roman" w:hAnsi="Times New Roman" w:cs="Times New Roman"/>
          <w:sz w:val="24"/>
          <w:szCs w:val="24"/>
        </w:rPr>
        <w:t xml:space="preserve">by beneficiaries. Information is also lacking on the percentage of schools </w:t>
      </w:r>
      <w:r w:rsidR="002D5CD3" w:rsidRPr="005C0ECA">
        <w:rPr>
          <w:rFonts w:ascii="Times New Roman" w:hAnsi="Times New Roman" w:cs="Times New Roman"/>
          <w:sz w:val="24"/>
          <w:szCs w:val="24"/>
        </w:rPr>
        <w:t xml:space="preserve">adapted </w:t>
      </w:r>
      <w:r w:rsidRPr="005C0ECA">
        <w:rPr>
          <w:rFonts w:ascii="Times New Roman" w:hAnsi="Times New Roman" w:cs="Times New Roman"/>
          <w:sz w:val="24"/>
          <w:szCs w:val="24"/>
        </w:rPr>
        <w:t xml:space="preserve">to the needs of persons </w:t>
      </w:r>
      <w:r w:rsidR="002D5CD3" w:rsidRPr="005C0ECA">
        <w:rPr>
          <w:rFonts w:ascii="Times New Roman" w:hAnsi="Times New Roman" w:cs="Times New Roman"/>
          <w:sz w:val="24"/>
          <w:szCs w:val="24"/>
        </w:rPr>
        <w:t>with disabilities, participation in the labour market, and conditions of work</w:t>
      </w:r>
      <w:r w:rsidR="00E04B53" w:rsidRPr="005C0ECA">
        <w:rPr>
          <w:rFonts w:ascii="Times New Roman" w:hAnsi="Times New Roman" w:cs="Times New Roman"/>
          <w:sz w:val="24"/>
          <w:szCs w:val="24"/>
        </w:rPr>
        <w:t xml:space="preserve"> among this group</w:t>
      </w:r>
      <w:r w:rsidR="002D5CD3" w:rsidRPr="005C0ECA">
        <w:rPr>
          <w:rFonts w:ascii="Times New Roman" w:hAnsi="Times New Roman" w:cs="Times New Roman"/>
          <w:sz w:val="24"/>
          <w:szCs w:val="24"/>
        </w:rPr>
        <w:t xml:space="preserve">. The report does not provide data on exercises to raise awareness </w:t>
      </w:r>
      <w:r w:rsidR="009F5AB3" w:rsidRPr="005C0ECA">
        <w:rPr>
          <w:rFonts w:ascii="Times New Roman" w:hAnsi="Times New Roman" w:cs="Times New Roman"/>
          <w:sz w:val="24"/>
          <w:szCs w:val="24"/>
        </w:rPr>
        <w:t xml:space="preserve">about </w:t>
      </w:r>
      <w:r w:rsidR="002D5CD3" w:rsidRPr="005C0ECA">
        <w:rPr>
          <w:rFonts w:ascii="Times New Roman" w:hAnsi="Times New Roman" w:cs="Times New Roman"/>
          <w:sz w:val="24"/>
          <w:szCs w:val="24"/>
        </w:rPr>
        <w:t xml:space="preserve">the rights of persons with disabilities to contribute to changing prevailing perceptions of </w:t>
      </w:r>
      <w:r w:rsidR="009F5AB3" w:rsidRPr="005C0ECA">
        <w:rPr>
          <w:rFonts w:ascii="Times New Roman" w:hAnsi="Times New Roman" w:cs="Times New Roman"/>
          <w:sz w:val="24"/>
          <w:szCs w:val="24"/>
        </w:rPr>
        <w:t>these people</w:t>
      </w:r>
      <w:r w:rsidR="002D5CD3" w:rsidRPr="005C0ECA">
        <w:rPr>
          <w:rFonts w:ascii="Times New Roman" w:hAnsi="Times New Roman" w:cs="Times New Roman"/>
          <w:sz w:val="24"/>
          <w:szCs w:val="24"/>
        </w:rPr>
        <w:t xml:space="preserve">. </w:t>
      </w:r>
    </w:p>
    <w:p w:rsidR="002D5CD3" w:rsidRPr="005C0ECA" w:rsidRDefault="002D5CD3" w:rsidP="00C950BB">
      <w:pPr>
        <w:pStyle w:val="ListParagraph"/>
        <w:numPr>
          <w:ilvl w:val="0"/>
          <w:numId w:val="9"/>
        </w:numPr>
        <w:jc w:val="both"/>
        <w:rPr>
          <w:rFonts w:ascii="Times New Roman" w:hAnsi="Times New Roman" w:cs="Times New Roman"/>
          <w:sz w:val="24"/>
          <w:szCs w:val="24"/>
        </w:rPr>
      </w:pPr>
      <w:r w:rsidRPr="005C0ECA">
        <w:rPr>
          <w:rFonts w:ascii="Times New Roman" w:hAnsi="Times New Roman" w:cs="Times New Roman"/>
          <w:sz w:val="24"/>
          <w:szCs w:val="24"/>
        </w:rPr>
        <w:t>In the same context, the ICHR</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"ICHR" </w:instrText>
      </w:r>
      <w:r w:rsidR="005C0ECA" w:rsidRPr="005C0ECA">
        <w:rPr>
          <w:rFonts w:ascii="Times New Roman" w:hAnsi="Times New Roman" w:cs="Times New Roman"/>
          <w:sz w:val="24"/>
          <w:szCs w:val="24"/>
        </w:rPr>
        <w:fldChar w:fldCharType="end"/>
      </w:r>
      <w:r w:rsidRPr="005C0ECA">
        <w:rPr>
          <w:rFonts w:ascii="Times New Roman" w:hAnsi="Times New Roman" w:cs="Times New Roman"/>
          <w:sz w:val="24"/>
          <w:szCs w:val="24"/>
        </w:rPr>
        <w:t xml:space="preserve"> received 134 complaints from persons with disabilities in 2020, 76 in 2019, and 62 in 2018. These addressed abuses of the right to health, deprivation of liberty, right to social insurance, torture, absence of fair competition, and access to public services. </w:t>
      </w:r>
    </w:p>
    <w:p w:rsidR="002D5CD3" w:rsidRPr="005C0ECA" w:rsidRDefault="002D5CD3" w:rsidP="00D51F94">
      <w:pPr>
        <w:jc w:val="both"/>
        <w:rPr>
          <w:rFonts w:ascii="Times New Roman" w:hAnsi="Times New Roman" w:cs="Times New Roman"/>
          <w:sz w:val="24"/>
          <w:szCs w:val="24"/>
        </w:rPr>
      </w:pPr>
      <w:r w:rsidRPr="005C0ECA">
        <w:rPr>
          <w:rFonts w:ascii="Times New Roman" w:hAnsi="Times New Roman" w:cs="Times New Roman"/>
          <w:sz w:val="24"/>
          <w:szCs w:val="24"/>
        </w:rPr>
        <w:t>Accordingly, the ICHR</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"ICHR" </w:instrText>
      </w:r>
      <w:r w:rsidR="005C0ECA" w:rsidRPr="005C0ECA">
        <w:rPr>
          <w:rFonts w:ascii="Times New Roman" w:hAnsi="Times New Roman" w:cs="Times New Roman"/>
          <w:sz w:val="24"/>
          <w:szCs w:val="24"/>
        </w:rPr>
        <w:fldChar w:fldCharType="end"/>
      </w:r>
      <w:r w:rsidRPr="005C0ECA">
        <w:rPr>
          <w:rFonts w:ascii="Times New Roman" w:hAnsi="Times New Roman" w:cs="Times New Roman"/>
          <w:sz w:val="24"/>
          <w:szCs w:val="24"/>
        </w:rPr>
        <w:t xml:space="preserve"> recommends that: </w:t>
      </w:r>
    </w:p>
    <w:p w:rsidR="002D5CD3" w:rsidRPr="005C0ECA" w:rsidRDefault="002D5CD3" w:rsidP="00D51F94">
      <w:pPr>
        <w:pStyle w:val="ListParagraph"/>
        <w:numPr>
          <w:ilvl w:val="0"/>
          <w:numId w:val="10"/>
        </w:numPr>
        <w:jc w:val="both"/>
        <w:rPr>
          <w:rFonts w:ascii="Times New Roman" w:hAnsi="Times New Roman" w:cs="Times New Roman"/>
          <w:sz w:val="24"/>
          <w:szCs w:val="24"/>
        </w:rPr>
      </w:pPr>
      <w:bookmarkStart w:id="20" w:name="_Hlk79314799"/>
      <w:r w:rsidRPr="005C0ECA">
        <w:rPr>
          <w:rFonts w:ascii="Times New Roman" w:hAnsi="Times New Roman" w:cs="Times New Roman"/>
          <w:sz w:val="24"/>
          <w:szCs w:val="24"/>
        </w:rPr>
        <w:t xml:space="preserve">The Ministry of Health </w:t>
      </w:r>
      <w:bookmarkEnd w:id="20"/>
      <w:r w:rsidR="00B478A3" w:rsidRPr="005C0ECA">
        <w:rPr>
          <w:rFonts w:ascii="Times New Roman" w:hAnsi="Times New Roman" w:cs="Times New Roman"/>
          <w:sz w:val="24"/>
          <w:szCs w:val="24"/>
        </w:rPr>
        <w:t>(MoH</w:t>
      </w:r>
      <w:r w:rsidR="005C0ECA" w:rsidRPr="005C0ECA">
        <w:rPr>
          <w:rFonts w:ascii="Times New Roman" w:hAnsi="Times New Roman" w:cs="Times New Roman"/>
          <w:sz w:val="24"/>
          <w:szCs w:val="24"/>
        </w:rPr>
        <w:fldChar w:fldCharType="begin"/>
      </w:r>
      <w:r w:rsidR="005C0ECA" w:rsidRPr="005C0ECA">
        <w:instrText xml:space="preserve"> TA \l "</w:instrText>
      </w:r>
      <w:r w:rsidR="005C0ECA" w:rsidRPr="005C0ECA">
        <w:rPr>
          <w:rFonts w:ascii="Times New Roman" w:hAnsi="Times New Roman" w:cs="Times New Roman"/>
          <w:sz w:val="24"/>
          <w:szCs w:val="24"/>
        </w:rPr>
        <w:instrText xml:space="preserve">MoH : </w:instrText>
      </w:r>
      <w:r w:rsidR="005C0ECA" w:rsidRPr="005C0ECA">
        <w:rPr>
          <w:rFonts w:ascii="Times New Roman" w:hAnsi="Times New Roman" w:cs="Times New Roman"/>
          <w:sz w:val="24"/>
          <w:szCs w:val="24"/>
        </w:rPr>
        <w:tab/>
        <w:instrText>The Ministry of Health</w:instrText>
      </w:r>
      <w:r w:rsidR="005C0ECA" w:rsidRPr="005C0ECA">
        <w:instrText xml:space="preserve">" \s "MoH" \c 1 </w:instrText>
      </w:r>
      <w:r w:rsidR="005C0ECA" w:rsidRPr="005C0ECA">
        <w:rPr>
          <w:rFonts w:ascii="Times New Roman" w:hAnsi="Times New Roman" w:cs="Times New Roman"/>
          <w:sz w:val="24"/>
          <w:szCs w:val="24"/>
        </w:rPr>
        <w:fldChar w:fldCharType="end"/>
      </w:r>
      <w:r w:rsidR="00B478A3" w:rsidRPr="005C0ECA">
        <w:rPr>
          <w:rFonts w:ascii="Times New Roman" w:hAnsi="Times New Roman" w:cs="Times New Roman"/>
          <w:sz w:val="24"/>
          <w:szCs w:val="24"/>
        </w:rPr>
        <w:t xml:space="preserve">) </w:t>
      </w:r>
      <w:r w:rsidRPr="005C0ECA">
        <w:rPr>
          <w:rFonts w:ascii="Times New Roman" w:hAnsi="Times New Roman" w:cs="Times New Roman"/>
          <w:sz w:val="24"/>
          <w:szCs w:val="24"/>
        </w:rPr>
        <w:t xml:space="preserve">implement the Regulation on Health Insurance for Persons with Disabilities, </w:t>
      </w:r>
      <w:r w:rsidR="00B478A3" w:rsidRPr="005C0ECA">
        <w:rPr>
          <w:rFonts w:ascii="Times New Roman" w:hAnsi="Times New Roman" w:cs="Times New Roman"/>
          <w:sz w:val="24"/>
          <w:szCs w:val="24"/>
        </w:rPr>
        <w:t xml:space="preserve">which was </w:t>
      </w:r>
      <w:r w:rsidRPr="005C0ECA">
        <w:rPr>
          <w:rFonts w:ascii="Times New Roman" w:hAnsi="Times New Roman" w:cs="Times New Roman"/>
          <w:sz w:val="24"/>
          <w:szCs w:val="24"/>
        </w:rPr>
        <w:t>approved in 2020 with the ICHR</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"ICHR" </w:instrText>
      </w:r>
      <w:r w:rsidR="005C0ECA" w:rsidRPr="005C0ECA">
        <w:rPr>
          <w:rFonts w:ascii="Times New Roman" w:hAnsi="Times New Roman" w:cs="Times New Roman"/>
          <w:sz w:val="24"/>
          <w:szCs w:val="24"/>
        </w:rPr>
        <w:fldChar w:fldCharType="end"/>
      </w:r>
      <w:r w:rsidRPr="005C0ECA">
        <w:rPr>
          <w:rFonts w:ascii="Times New Roman" w:hAnsi="Times New Roman" w:cs="Times New Roman"/>
          <w:sz w:val="24"/>
          <w:szCs w:val="24"/>
        </w:rPr>
        <w:t xml:space="preserve"> contribution. </w:t>
      </w:r>
    </w:p>
    <w:p w:rsidR="002D5CD3" w:rsidRPr="005C0ECA" w:rsidRDefault="002D5CD3" w:rsidP="00D51F94">
      <w:pPr>
        <w:pStyle w:val="ListParagraph"/>
        <w:numPr>
          <w:ilvl w:val="0"/>
          <w:numId w:val="10"/>
        </w:numPr>
        <w:jc w:val="both"/>
        <w:rPr>
          <w:rFonts w:ascii="Times New Roman" w:hAnsi="Times New Roman" w:cs="Times New Roman"/>
          <w:sz w:val="24"/>
          <w:szCs w:val="24"/>
        </w:rPr>
      </w:pPr>
      <w:r w:rsidRPr="005C0ECA">
        <w:rPr>
          <w:rFonts w:ascii="Times New Roman" w:hAnsi="Times New Roman" w:cs="Times New Roman"/>
          <w:sz w:val="24"/>
          <w:szCs w:val="24"/>
        </w:rPr>
        <w:t>The MoL</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"MoL" </w:instrText>
      </w:r>
      <w:r w:rsidR="005C0ECA" w:rsidRPr="005C0ECA">
        <w:rPr>
          <w:rFonts w:ascii="Times New Roman" w:hAnsi="Times New Roman" w:cs="Times New Roman"/>
          <w:sz w:val="24"/>
          <w:szCs w:val="24"/>
        </w:rPr>
        <w:fldChar w:fldCharType="end"/>
      </w:r>
      <w:r w:rsidRPr="005C0ECA">
        <w:rPr>
          <w:rFonts w:ascii="Times New Roman" w:hAnsi="Times New Roman" w:cs="Times New Roman"/>
          <w:sz w:val="24"/>
          <w:szCs w:val="24"/>
        </w:rPr>
        <w:t xml:space="preserve"> promote its role in oversight of the employment of male and female persons with disabilities. The Palestinian government will also implement awareness raising programmes to change mainstream cultural patterns. </w:t>
      </w:r>
    </w:p>
    <w:p w:rsidR="002D5CD3" w:rsidRPr="005C0ECA" w:rsidRDefault="002D5CD3" w:rsidP="00D51F94">
      <w:pPr>
        <w:pStyle w:val="ListParagraph"/>
        <w:numPr>
          <w:ilvl w:val="0"/>
          <w:numId w:val="10"/>
        </w:numPr>
        <w:jc w:val="both"/>
        <w:rPr>
          <w:rFonts w:ascii="Times New Roman" w:hAnsi="Times New Roman" w:cs="Times New Roman"/>
          <w:sz w:val="24"/>
          <w:szCs w:val="24"/>
        </w:rPr>
      </w:pPr>
      <w:r w:rsidRPr="005C0ECA">
        <w:rPr>
          <w:rFonts w:ascii="Times New Roman" w:hAnsi="Times New Roman" w:cs="Times New Roman"/>
          <w:sz w:val="24"/>
          <w:szCs w:val="24"/>
        </w:rPr>
        <w:t xml:space="preserve">Service providers put an end to abuses of the rights of persons with disabilities, ensuring that abusers are held to account. </w:t>
      </w:r>
    </w:p>
    <w:p w:rsidR="002D5CD3" w:rsidRPr="005C0ECA" w:rsidRDefault="002D5CD3" w:rsidP="00D51F94">
      <w:pPr>
        <w:jc w:val="both"/>
        <w:rPr>
          <w:rFonts w:ascii="Times New Roman" w:hAnsi="Times New Roman" w:cs="Times New Roman"/>
          <w:sz w:val="24"/>
          <w:szCs w:val="24"/>
        </w:rPr>
      </w:pPr>
    </w:p>
    <w:p w:rsidR="002D5CD3" w:rsidRPr="005C0ECA" w:rsidRDefault="002D5CD3" w:rsidP="005C0ECA">
      <w:pPr>
        <w:pStyle w:val="Heading2"/>
        <w:rPr>
          <w:rFonts w:asciiTheme="majorBidi" w:hAnsiTheme="majorBidi"/>
          <w:color w:val="auto"/>
        </w:rPr>
      </w:pPr>
      <w:bookmarkStart w:id="21" w:name="_Toc79315043"/>
      <w:r w:rsidRPr="005C0ECA">
        <w:rPr>
          <w:rFonts w:asciiTheme="majorBidi" w:hAnsiTheme="majorBidi"/>
          <w:color w:val="auto"/>
        </w:rPr>
        <w:t>Older persons</w:t>
      </w:r>
      <w:bookmarkEnd w:id="21"/>
      <w:r w:rsidRPr="005C0ECA">
        <w:rPr>
          <w:rFonts w:asciiTheme="majorBidi" w:hAnsiTheme="majorBidi"/>
          <w:color w:val="auto"/>
        </w:rPr>
        <w:t xml:space="preserve"> </w:t>
      </w:r>
    </w:p>
    <w:p w:rsidR="00120567" w:rsidRPr="005C0ECA" w:rsidRDefault="00120567" w:rsidP="00B478A3">
      <w:pPr>
        <w:pStyle w:val="ListParagraph"/>
        <w:numPr>
          <w:ilvl w:val="0"/>
          <w:numId w:val="11"/>
        </w:numPr>
        <w:jc w:val="both"/>
        <w:rPr>
          <w:rFonts w:ascii="Times New Roman" w:hAnsi="Times New Roman" w:cs="Times New Roman"/>
          <w:sz w:val="24"/>
          <w:szCs w:val="24"/>
        </w:rPr>
      </w:pPr>
      <w:r w:rsidRPr="005C0ECA">
        <w:rPr>
          <w:rFonts w:ascii="Times New Roman" w:hAnsi="Times New Roman" w:cs="Times New Roman"/>
          <w:sz w:val="24"/>
          <w:szCs w:val="24"/>
        </w:rPr>
        <w:t>I</w:t>
      </w:r>
      <w:r w:rsidR="002D5CD3" w:rsidRPr="005C0ECA">
        <w:rPr>
          <w:rFonts w:ascii="Times New Roman" w:hAnsi="Times New Roman" w:cs="Times New Roman"/>
          <w:sz w:val="24"/>
          <w:szCs w:val="24"/>
        </w:rPr>
        <w:t>n paragraphs 120-122</w:t>
      </w:r>
      <w:r w:rsidRPr="005C0ECA">
        <w:rPr>
          <w:rFonts w:ascii="Times New Roman" w:hAnsi="Times New Roman" w:cs="Times New Roman"/>
          <w:sz w:val="24"/>
          <w:szCs w:val="24"/>
        </w:rPr>
        <w:t xml:space="preserve"> of the report, reference is made to care and protection of older persons. However, in the absence of an integrated database on older persons, it is hard to make policies and develop plans and strategies, which help to construct indicators to measure the situation of older persons in Palestine. While a dedicated law on the elderly is lacking, national legislation does not contain any provisions </w:t>
      </w:r>
      <w:r w:rsidRPr="005C0ECA">
        <w:rPr>
          <w:rFonts w:ascii="Times New Roman" w:hAnsi="Times New Roman" w:cs="Times New Roman"/>
          <w:sz w:val="24"/>
          <w:szCs w:val="24"/>
        </w:rPr>
        <w:lastRenderedPageBreak/>
        <w:t xml:space="preserve">on these persons. Official bodies do not provide any financial assistance to community institutions, which care for this group. </w:t>
      </w:r>
    </w:p>
    <w:p w:rsidR="002D5CD3" w:rsidRPr="005C0ECA" w:rsidRDefault="00120567" w:rsidP="002A13F1">
      <w:pPr>
        <w:pStyle w:val="ListParagraph"/>
        <w:numPr>
          <w:ilvl w:val="0"/>
          <w:numId w:val="11"/>
        </w:numPr>
        <w:jc w:val="both"/>
        <w:rPr>
          <w:rFonts w:ascii="Times New Roman" w:hAnsi="Times New Roman" w:cs="Times New Roman"/>
          <w:sz w:val="24"/>
          <w:szCs w:val="24"/>
        </w:rPr>
      </w:pPr>
      <w:r w:rsidRPr="005C0ECA">
        <w:rPr>
          <w:rFonts w:ascii="Times New Roman" w:hAnsi="Times New Roman" w:cs="Times New Roman"/>
          <w:sz w:val="24"/>
          <w:szCs w:val="24"/>
        </w:rPr>
        <w:t xml:space="preserve">Regarding health rights, the Law on Public Health and 2004 Regulation on Health Insurance </w:t>
      </w:r>
      <w:r w:rsidR="00245CB4" w:rsidRPr="005C0ECA">
        <w:rPr>
          <w:rFonts w:ascii="Times New Roman" w:hAnsi="Times New Roman" w:cs="Times New Roman"/>
          <w:sz w:val="24"/>
          <w:szCs w:val="24"/>
        </w:rPr>
        <w:t xml:space="preserve">turn a deaf ear to older persons. Apart from </w:t>
      </w:r>
      <w:r w:rsidR="00B478A3" w:rsidRPr="005C0ECA">
        <w:rPr>
          <w:rFonts w:ascii="Times New Roman" w:hAnsi="Times New Roman" w:cs="Times New Roman"/>
          <w:sz w:val="24"/>
          <w:szCs w:val="24"/>
        </w:rPr>
        <w:t xml:space="preserve">being dependent on </w:t>
      </w:r>
      <w:r w:rsidR="00245CB4" w:rsidRPr="005C0ECA">
        <w:rPr>
          <w:rFonts w:ascii="Times New Roman" w:hAnsi="Times New Roman" w:cs="Times New Roman"/>
          <w:sz w:val="24"/>
          <w:szCs w:val="24"/>
        </w:rPr>
        <w:t xml:space="preserve">family providers or </w:t>
      </w:r>
      <w:r w:rsidR="00B478A3" w:rsidRPr="005C0ECA">
        <w:rPr>
          <w:rFonts w:ascii="Times New Roman" w:hAnsi="Times New Roman" w:cs="Times New Roman"/>
          <w:sz w:val="24"/>
          <w:szCs w:val="24"/>
        </w:rPr>
        <w:t>impoverished</w:t>
      </w:r>
      <w:r w:rsidR="00245CB4" w:rsidRPr="005C0ECA">
        <w:rPr>
          <w:rFonts w:ascii="Times New Roman" w:hAnsi="Times New Roman" w:cs="Times New Roman"/>
          <w:sz w:val="24"/>
          <w:szCs w:val="24"/>
        </w:rPr>
        <w:t xml:space="preserve">, </w:t>
      </w:r>
      <w:r w:rsidR="009451F4" w:rsidRPr="005C0ECA">
        <w:rPr>
          <w:rFonts w:ascii="Times New Roman" w:hAnsi="Times New Roman" w:cs="Times New Roman"/>
          <w:sz w:val="24"/>
          <w:szCs w:val="24"/>
        </w:rPr>
        <w:t xml:space="preserve">older persons </w:t>
      </w:r>
      <w:r w:rsidR="00245CB4" w:rsidRPr="005C0ECA">
        <w:rPr>
          <w:rFonts w:ascii="Times New Roman" w:hAnsi="Times New Roman" w:cs="Times New Roman"/>
          <w:sz w:val="24"/>
          <w:szCs w:val="24"/>
        </w:rPr>
        <w:t xml:space="preserve">are not treated as individuals who deserve health care as a result of ageing and loss of economic resources. Accordingly, poor older persons can receive health care services in the context of social affairs programmes or if their </w:t>
      </w:r>
      <w:r w:rsidR="00547516" w:rsidRPr="005C0ECA">
        <w:rPr>
          <w:rFonts w:ascii="Times New Roman" w:hAnsi="Times New Roman" w:cs="Times New Roman"/>
          <w:sz w:val="24"/>
          <w:szCs w:val="24"/>
        </w:rPr>
        <w:t xml:space="preserve">son has </w:t>
      </w:r>
      <w:r w:rsidR="009451F4" w:rsidRPr="005C0ECA">
        <w:rPr>
          <w:rFonts w:ascii="Times New Roman" w:hAnsi="Times New Roman" w:cs="Times New Roman"/>
          <w:sz w:val="24"/>
          <w:szCs w:val="24"/>
        </w:rPr>
        <w:t xml:space="preserve">health </w:t>
      </w:r>
      <w:r w:rsidR="00547516" w:rsidRPr="005C0ECA">
        <w:rPr>
          <w:rFonts w:ascii="Times New Roman" w:hAnsi="Times New Roman" w:cs="Times New Roman"/>
          <w:sz w:val="24"/>
          <w:szCs w:val="24"/>
        </w:rPr>
        <w:t xml:space="preserve">insurance. Furthermore, the report </w:t>
      </w:r>
      <w:r w:rsidR="00EF78F6" w:rsidRPr="005C0ECA">
        <w:rPr>
          <w:rFonts w:ascii="Times New Roman" w:hAnsi="Times New Roman" w:cs="Times New Roman"/>
          <w:sz w:val="24"/>
          <w:szCs w:val="24"/>
        </w:rPr>
        <w:t>does not account for cultural and recreational activities</w:t>
      </w:r>
      <w:r w:rsidR="00D969FD" w:rsidRPr="005C0ECA">
        <w:rPr>
          <w:rFonts w:ascii="Times New Roman" w:hAnsi="Times New Roman" w:cs="Times New Roman"/>
          <w:sz w:val="24"/>
          <w:szCs w:val="24"/>
        </w:rPr>
        <w:t xml:space="preserve"> or </w:t>
      </w:r>
      <w:r w:rsidR="00EF78F6" w:rsidRPr="005C0ECA">
        <w:rPr>
          <w:rFonts w:ascii="Times New Roman" w:hAnsi="Times New Roman" w:cs="Times New Roman"/>
          <w:sz w:val="24"/>
          <w:szCs w:val="24"/>
        </w:rPr>
        <w:t>programmes for the social integration of older persons with a view to improving their quality of life and engag</w:t>
      </w:r>
      <w:r w:rsidR="002A13F1" w:rsidRPr="005C0ECA">
        <w:rPr>
          <w:rFonts w:ascii="Times New Roman" w:hAnsi="Times New Roman" w:cs="Times New Roman"/>
          <w:sz w:val="24"/>
          <w:szCs w:val="24"/>
        </w:rPr>
        <w:t>ing</w:t>
      </w:r>
      <w:r w:rsidR="00EF78F6" w:rsidRPr="005C0ECA">
        <w:rPr>
          <w:rFonts w:ascii="Times New Roman" w:hAnsi="Times New Roman" w:cs="Times New Roman"/>
          <w:sz w:val="24"/>
          <w:szCs w:val="24"/>
        </w:rPr>
        <w:t xml:space="preserve"> them in public life. Against this backdrop, the ICHR</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"ICHR" </w:instrText>
      </w:r>
      <w:r w:rsidR="005C0ECA" w:rsidRPr="005C0ECA">
        <w:rPr>
          <w:rFonts w:ascii="Times New Roman" w:hAnsi="Times New Roman" w:cs="Times New Roman"/>
          <w:sz w:val="24"/>
          <w:szCs w:val="24"/>
        </w:rPr>
        <w:fldChar w:fldCharType="end"/>
      </w:r>
      <w:r w:rsidR="00EF78F6" w:rsidRPr="005C0ECA">
        <w:rPr>
          <w:rFonts w:ascii="Times New Roman" w:hAnsi="Times New Roman" w:cs="Times New Roman"/>
          <w:sz w:val="24"/>
          <w:szCs w:val="24"/>
        </w:rPr>
        <w:t xml:space="preserve"> recommends that: </w:t>
      </w:r>
    </w:p>
    <w:p w:rsidR="00EF78F6" w:rsidRPr="005C0ECA" w:rsidRDefault="00EF78F6" w:rsidP="002A13F1">
      <w:pPr>
        <w:pStyle w:val="ListParagraph"/>
        <w:numPr>
          <w:ilvl w:val="1"/>
          <w:numId w:val="11"/>
        </w:numPr>
        <w:jc w:val="both"/>
        <w:rPr>
          <w:rFonts w:ascii="Times New Roman" w:hAnsi="Times New Roman" w:cs="Times New Roman"/>
          <w:sz w:val="24"/>
          <w:szCs w:val="24"/>
        </w:rPr>
      </w:pPr>
      <w:bookmarkStart w:id="22" w:name="_Hlk79314822"/>
      <w:r w:rsidRPr="005C0ECA">
        <w:rPr>
          <w:rFonts w:ascii="Times New Roman" w:hAnsi="Times New Roman" w:cs="Times New Roman"/>
          <w:sz w:val="24"/>
          <w:szCs w:val="24"/>
        </w:rPr>
        <w:t xml:space="preserve">The Ministry of Social Development </w:t>
      </w:r>
      <w:bookmarkEnd w:id="22"/>
      <w:r w:rsidRPr="005C0ECA">
        <w:rPr>
          <w:rFonts w:ascii="Times New Roman" w:hAnsi="Times New Roman" w:cs="Times New Roman"/>
          <w:sz w:val="24"/>
          <w:szCs w:val="24"/>
        </w:rPr>
        <w:t>(MoSD</w:t>
      </w:r>
      <w:r w:rsidR="005C0ECA" w:rsidRPr="005C0ECA">
        <w:rPr>
          <w:rFonts w:ascii="Times New Roman" w:hAnsi="Times New Roman" w:cs="Times New Roman"/>
          <w:sz w:val="24"/>
          <w:szCs w:val="24"/>
        </w:rPr>
        <w:fldChar w:fldCharType="begin"/>
      </w:r>
      <w:r w:rsidR="005C0ECA" w:rsidRPr="005C0ECA">
        <w:instrText xml:space="preserve"> TA \s "MoSD" </w:instrText>
      </w:r>
      <w:r w:rsidR="005C0ECA" w:rsidRPr="005C0ECA">
        <w:rPr>
          <w:rFonts w:ascii="Times New Roman" w:hAnsi="Times New Roman" w:cs="Times New Roman"/>
          <w:sz w:val="24"/>
          <w:szCs w:val="24"/>
        </w:rPr>
        <w:fldChar w:fldCharType="end"/>
      </w:r>
      <w:r w:rsidRPr="005C0ECA">
        <w:rPr>
          <w:rFonts w:ascii="Times New Roman" w:hAnsi="Times New Roman" w:cs="Times New Roman"/>
          <w:sz w:val="24"/>
          <w:szCs w:val="24"/>
        </w:rPr>
        <w:t xml:space="preserve">) publish and roll out </w:t>
      </w:r>
      <w:r w:rsidR="002A13F1" w:rsidRPr="005C0ECA">
        <w:rPr>
          <w:rFonts w:ascii="Times New Roman" w:hAnsi="Times New Roman" w:cs="Times New Roman"/>
          <w:sz w:val="24"/>
          <w:szCs w:val="24"/>
        </w:rPr>
        <w:t xml:space="preserve">as widely as possible </w:t>
      </w:r>
      <w:r w:rsidRPr="005C0ECA">
        <w:rPr>
          <w:rFonts w:ascii="Times New Roman" w:hAnsi="Times New Roman" w:cs="Times New Roman"/>
          <w:sz w:val="24"/>
          <w:szCs w:val="24"/>
        </w:rPr>
        <w:t xml:space="preserve">the survey and analytical study it compiled on older persons in 2015, namely, </w:t>
      </w:r>
      <w:r w:rsidRPr="005C0ECA">
        <w:rPr>
          <w:rFonts w:ascii="Times New Roman" w:hAnsi="Times New Roman" w:cs="Times New Roman"/>
          <w:i/>
          <w:iCs/>
          <w:sz w:val="24"/>
          <w:szCs w:val="24"/>
        </w:rPr>
        <w:t>Analysis of the Status and Needs of Old Persons in Palestine</w:t>
      </w:r>
      <w:r w:rsidRPr="005C0ECA">
        <w:rPr>
          <w:rFonts w:ascii="Times New Roman" w:hAnsi="Times New Roman" w:cs="Times New Roman"/>
          <w:sz w:val="24"/>
          <w:szCs w:val="24"/>
        </w:rPr>
        <w:t xml:space="preserve">, as well as the Strategic Plan for Older Persons in Palestine 2016-2022,. </w:t>
      </w:r>
    </w:p>
    <w:p w:rsidR="00EF78F6" w:rsidRPr="005C0ECA" w:rsidRDefault="00EF78F6" w:rsidP="00D51F94">
      <w:pPr>
        <w:pStyle w:val="ListParagraph"/>
        <w:numPr>
          <w:ilvl w:val="1"/>
          <w:numId w:val="11"/>
        </w:numPr>
        <w:jc w:val="both"/>
        <w:rPr>
          <w:rFonts w:ascii="Times New Roman" w:hAnsi="Times New Roman" w:cs="Times New Roman"/>
          <w:sz w:val="24"/>
          <w:szCs w:val="24"/>
        </w:rPr>
      </w:pPr>
      <w:r w:rsidRPr="005C0ECA">
        <w:rPr>
          <w:rFonts w:ascii="Times New Roman" w:hAnsi="Times New Roman" w:cs="Times New Roman"/>
          <w:sz w:val="24"/>
          <w:szCs w:val="24"/>
        </w:rPr>
        <w:t>The MoSD</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"MoSD" </w:instrText>
      </w:r>
      <w:r w:rsidR="005C0ECA" w:rsidRPr="005C0ECA">
        <w:rPr>
          <w:rFonts w:ascii="Times New Roman" w:hAnsi="Times New Roman" w:cs="Times New Roman"/>
          <w:sz w:val="24"/>
          <w:szCs w:val="24"/>
        </w:rPr>
        <w:fldChar w:fldCharType="end"/>
      </w:r>
      <w:r w:rsidRPr="005C0ECA">
        <w:rPr>
          <w:rFonts w:ascii="Times New Roman" w:hAnsi="Times New Roman" w:cs="Times New Roman"/>
          <w:sz w:val="24"/>
          <w:szCs w:val="24"/>
        </w:rPr>
        <w:t>, PCBS</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"PCBS" </w:instrText>
      </w:r>
      <w:r w:rsidR="005C0ECA" w:rsidRPr="005C0ECA">
        <w:rPr>
          <w:rFonts w:ascii="Times New Roman" w:hAnsi="Times New Roman" w:cs="Times New Roman"/>
          <w:sz w:val="24"/>
          <w:szCs w:val="24"/>
        </w:rPr>
        <w:fldChar w:fldCharType="end"/>
      </w:r>
      <w:r w:rsidRPr="005C0ECA">
        <w:rPr>
          <w:rFonts w:ascii="Times New Roman" w:hAnsi="Times New Roman" w:cs="Times New Roman"/>
          <w:sz w:val="24"/>
          <w:szCs w:val="24"/>
        </w:rPr>
        <w:t xml:space="preserve">, and relevant ministries develop adequate indicators on older persons in Palestine. </w:t>
      </w:r>
    </w:p>
    <w:p w:rsidR="00EF78F6" w:rsidRPr="005C0ECA" w:rsidRDefault="00EF78F6" w:rsidP="00D51F94">
      <w:pPr>
        <w:pStyle w:val="ListParagraph"/>
        <w:numPr>
          <w:ilvl w:val="1"/>
          <w:numId w:val="11"/>
        </w:numPr>
        <w:jc w:val="both"/>
        <w:rPr>
          <w:rFonts w:ascii="Times New Roman" w:hAnsi="Times New Roman" w:cs="Times New Roman"/>
          <w:sz w:val="24"/>
          <w:szCs w:val="24"/>
        </w:rPr>
      </w:pPr>
      <w:r w:rsidRPr="005C0ECA">
        <w:rPr>
          <w:rFonts w:ascii="Times New Roman" w:hAnsi="Times New Roman" w:cs="Times New Roman"/>
          <w:sz w:val="24"/>
          <w:szCs w:val="24"/>
        </w:rPr>
        <w:t>A legal framework be in place for the rights of older persons, ensuring their rights without discrimination with other social groups.</w:t>
      </w:r>
    </w:p>
    <w:p w:rsidR="00EF78F6" w:rsidRPr="005C0ECA" w:rsidRDefault="00EF78F6" w:rsidP="00675ED3">
      <w:pPr>
        <w:pStyle w:val="ListParagraph"/>
        <w:numPr>
          <w:ilvl w:val="1"/>
          <w:numId w:val="11"/>
        </w:numPr>
        <w:jc w:val="both"/>
        <w:rPr>
          <w:rFonts w:ascii="Times New Roman" w:hAnsi="Times New Roman" w:cs="Times New Roman"/>
          <w:sz w:val="24"/>
          <w:szCs w:val="24"/>
        </w:rPr>
      </w:pPr>
      <w:r w:rsidRPr="005C0ECA">
        <w:rPr>
          <w:rFonts w:ascii="Times New Roman" w:hAnsi="Times New Roman" w:cs="Times New Roman"/>
          <w:sz w:val="24"/>
          <w:szCs w:val="24"/>
        </w:rPr>
        <w:t xml:space="preserve">Health </w:t>
      </w:r>
      <w:r w:rsidR="006C2099" w:rsidRPr="005C0ECA">
        <w:rPr>
          <w:rFonts w:ascii="Times New Roman" w:hAnsi="Times New Roman" w:cs="Times New Roman"/>
          <w:sz w:val="24"/>
          <w:szCs w:val="24"/>
        </w:rPr>
        <w:t xml:space="preserve">care services be provided. Disability due to ageing will be a component of the social security system in order to protect older persons </w:t>
      </w:r>
      <w:r w:rsidR="00675ED3" w:rsidRPr="005C0ECA">
        <w:rPr>
          <w:rFonts w:ascii="Times New Roman" w:hAnsi="Times New Roman" w:cs="Times New Roman"/>
          <w:sz w:val="24"/>
          <w:szCs w:val="24"/>
        </w:rPr>
        <w:t xml:space="preserve">from </w:t>
      </w:r>
      <w:r w:rsidR="006C2099" w:rsidRPr="005C0ECA">
        <w:rPr>
          <w:rFonts w:ascii="Times New Roman" w:hAnsi="Times New Roman" w:cs="Times New Roman"/>
          <w:sz w:val="24"/>
          <w:szCs w:val="24"/>
        </w:rPr>
        <w:t xml:space="preserve">poverty. </w:t>
      </w:r>
    </w:p>
    <w:p w:rsidR="006C2099" w:rsidRPr="005C0ECA" w:rsidRDefault="006C2099" w:rsidP="00D51F94">
      <w:pPr>
        <w:pStyle w:val="ListParagraph"/>
        <w:numPr>
          <w:ilvl w:val="1"/>
          <w:numId w:val="11"/>
        </w:numPr>
        <w:jc w:val="both"/>
        <w:rPr>
          <w:rFonts w:ascii="Times New Roman" w:hAnsi="Times New Roman" w:cs="Times New Roman"/>
          <w:sz w:val="24"/>
          <w:szCs w:val="24"/>
        </w:rPr>
      </w:pPr>
      <w:r w:rsidRPr="005C0ECA">
        <w:rPr>
          <w:rFonts w:ascii="Times New Roman" w:hAnsi="Times New Roman" w:cs="Times New Roman"/>
          <w:sz w:val="24"/>
          <w:szCs w:val="24"/>
        </w:rPr>
        <w:t xml:space="preserve">Government bodies and community institutions pay more attention to establishing </w:t>
      </w:r>
      <w:r w:rsidR="00675ED3" w:rsidRPr="005C0ECA">
        <w:rPr>
          <w:rFonts w:ascii="Times New Roman" w:hAnsi="Times New Roman" w:cs="Times New Roman"/>
          <w:sz w:val="24"/>
          <w:szCs w:val="24"/>
        </w:rPr>
        <w:t>day-care</w:t>
      </w:r>
      <w:r w:rsidRPr="005C0ECA">
        <w:rPr>
          <w:rFonts w:ascii="Times New Roman" w:hAnsi="Times New Roman" w:cs="Times New Roman"/>
          <w:sz w:val="24"/>
          <w:szCs w:val="24"/>
        </w:rPr>
        <w:t xml:space="preserve"> clubs for older persons, given increasing women’s work outside the home and sustained increase in the proportion of older persons.</w:t>
      </w:r>
      <w:r w:rsidRPr="005C0ECA">
        <w:rPr>
          <w:rStyle w:val="FootnoteReference"/>
          <w:rFonts w:ascii="Times New Roman" w:hAnsi="Times New Roman" w:cs="Times New Roman"/>
          <w:sz w:val="24"/>
          <w:szCs w:val="24"/>
        </w:rPr>
        <w:footnoteReference w:id="5"/>
      </w:r>
      <w:r w:rsidRPr="005C0ECA">
        <w:rPr>
          <w:rFonts w:ascii="Times New Roman" w:hAnsi="Times New Roman" w:cs="Times New Roman"/>
          <w:sz w:val="24"/>
          <w:szCs w:val="24"/>
        </w:rPr>
        <w:t xml:space="preserve">  </w:t>
      </w:r>
    </w:p>
    <w:p w:rsidR="00313FDC" w:rsidRPr="005C0ECA" w:rsidRDefault="00313FDC" w:rsidP="00D51F94">
      <w:pPr>
        <w:jc w:val="both"/>
        <w:rPr>
          <w:rFonts w:ascii="Times New Roman" w:hAnsi="Times New Roman" w:cs="Times New Roman"/>
          <w:sz w:val="24"/>
          <w:szCs w:val="24"/>
        </w:rPr>
      </w:pPr>
    </w:p>
    <w:p w:rsidR="00313FDC" w:rsidRPr="005C0ECA" w:rsidRDefault="00675ED3" w:rsidP="005C0ECA">
      <w:pPr>
        <w:pStyle w:val="Heading1"/>
        <w:rPr>
          <w:rFonts w:asciiTheme="majorBidi" w:hAnsiTheme="majorBidi"/>
          <w:b/>
          <w:bCs/>
          <w:color w:val="auto"/>
        </w:rPr>
      </w:pPr>
      <w:bookmarkStart w:id="23" w:name="_Toc79315044"/>
      <w:r w:rsidRPr="005C0ECA">
        <w:rPr>
          <w:rFonts w:asciiTheme="majorBidi" w:hAnsiTheme="majorBidi"/>
          <w:b/>
          <w:bCs/>
          <w:color w:val="auto"/>
        </w:rPr>
        <w:t>P</w:t>
      </w:r>
      <w:r w:rsidR="00313FDC" w:rsidRPr="005C0ECA">
        <w:rPr>
          <w:rFonts w:asciiTheme="majorBidi" w:hAnsiTheme="majorBidi"/>
          <w:b/>
          <w:bCs/>
          <w:color w:val="auto"/>
        </w:rPr>
        <w:t xml:space="preserve">overty </w:t>
      </w:r>
      <w:r w:rsidRPr="005C0ECA">
        <w:rPr>
          <w:rFonts w:asciiTheme="majorBidi" w:hAnsiTheme="majorBidi"/>
          <w:b/>
          <w:bCs/>
          <w:color w:val="auto"/>
        </w:rPr>
        <w:t>reduction</w:t>
      </w:r>
      <w:bookmarkEnd w:id="23"/>
    </w:p>
    <w:p w:rsidR="00313FDC" w:rsidRPr="005C0ECA" w:rsidRDefault="00313FDC" w:rsidP="00004F4D">
      <w:pPr>
        <w:jc w:val="both"/>
        <w:rPr>
          <w:rFonts w:ascii="Times New Roman" w:hAnsi="Times New Roman" w:cs="Times New Roman"/>
          <w:sz w:val="24"/>
          <w:szCs w:val="24"/>
        </w:rPr>
      </w:pPr>
      <w:r w:rsidRPr="005C0ECA">
        <w:rPr>
          <w:rFonts w:ascii="Times New Roman" w:hAnsi="Times New Roman" w:cs="Times New Roman"/>
          <w:sz w:val="24"/>
          <w:szCs w:val="24"/>
        </w:rPr>
        <w:t xml:space="preserve">In 2007, multidimensional poverty accounted for 22.1 percent, while cash poverty </w:t>
      </w:r>
      <w:r w:rsidR="00004F4D" w:rsidRPr="005C0ECA">
        <w:rPr>
          <w:rFonts w:ascii="Times New Roman" w:hAnsi="Times New Roman" w:cs="Times New Roman"/>
          <w:sz w:val="24"/>
          <w:szCs w:val="24"/>
        </w:rPr>
        <w:t xml:space="preserve">registered </w:t>
      </w:r>
      <w:r w:rsidRPr="005C0ECA">
        <w:rPr>
          <w:rFonts w:ascii="Times New Roman" w:hAnsi="Times New Roman" w:cs="Times New Roman"/>
          <w:sz w:val="24"/>
          <w:szCs w:val="24"/>
        </w:rPr>
        <w:t>29.2 percent.</w:t>
      </w:r>
      <w:r w:rsidRPr="005C0ECA">
        <w:rPr>
          <w:rStyle w:val="FootnoteReference"/>
          <w:rFonts w:ascii="Times New Roman" w:hAnsi="Times New Roman" w:cs="Times New Roman"/>
          <w:sz w:val="24"/>
          <w:szCs w:val="24"/>
        </w:rPr>
        <w:footnoteReference w:id="6"/>
      </w:r>
      <w:r w:rsidR="008E0613" w:rsidRPr="005C0ECA">
        <w:rPr>
          <w:rFonts w:ascii="Times New Roman" w:hAnsi="Times New Roman" w:cs="Times New Roman"/>
          <w:sz w:val="24"/>
          <w:szCs w:val="24"/>
        </w:rPr>
        <w:t xml:space="preserve"> Poverty rate is higher in the Gaza Strip than in the West Bank, in the south than in the north, and in urban and rural areas.</w:t>
      </w:r>
      <w:r w:rsidR="008E0613" w:rsidRPr="005C0ECA">
        <w:rPr>
          <w:rStyle w:val="FootnoteReference"/>
          <w:rFonts w:ascii="Times New Roman" w:hAnsi="Times New Roman" w:cs="Times New Roman"/>
          <w:sz w:val="24"/>
          <w:szCs w:val="24"/>
        </w:rPr>
        <w:footnoteReference w:id="7"/>
      </w:r>
      <w:r w:rsidR="00E930F3" w:rsidRPr="005C0ECA">
        <w:rPr>
          <w:rFonts w:ascii="Times New Roman" w:hAnsi="Times New Roman" w:cs="Times New Roman"/>
          <w:sz w:val="24"/>
          <w:szCs w:val="24"/>
        </w:rPr>
        <w:t xml:space="preserve"> </w:t>
      </w:r>
    </w:p>
    <w:p w:rsidR="004C0BF9" w:rsidRPr="005C0ECA" w:rsidRDefault="00A40D1F" w:rsidP="00004F4D">
      <w:pPr>
        <w:jc w:val="both"/>
        <w:rPr>
          <w:rFonts w:ascii="Times New Roman" w:hAnsi="Times New Roman" w:cs="Times New Roman"/>
          <w:sz w:val="24"/>
          <w:szCs w:val="24"/>
        </w:rPr>
      </w:pPr>
      <w:r w:rsidRPr="005C0ECA">
        <w:rPr>
          <w:rFonts w:ascii="Times New Roman" w:hAnsi="Times New Roman" w:cs="Times New Roman"/>
          <w:sz w:val="24"/>
          <w:szCs w:val="24"/>
        </w:rPr>
        <w:lastRenderedPageBreak/>
        <w:t>The report does not state budgeted allocations for the eradication of poverty. According to ICHR</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"ICHR" </w:instrText>
      </w:r>
      <w:r w:rsidR="005C0ECA" w:rsidRPr="005C0ECA">
        <w:rPr>
          <w:rFonts w:ascii="Times New Roman" w:hAnsi="Times New Roman" w:cs="Times New Roman"/>
          <w:sz w:val="24"/>
          <w:szCs w:val="24"/>
        </w:rPr>
        <w:fldChar w:fldCharType="end"/>
      </w:r>
      <w:r w:rsidRPr="005C0ECA">
        <w:rPr>
          <w:rFonts w:ascii="Times New Roman" w:hAnsi="Times New Roman" w:cs="Times New Roman"/>
          <w:sz w:val="24"/>
          <w:szCs w:val="24"/>
        </w:rPr>
        <w:t xml:space="preserve"> monitoring, </w:t>
      </w:r>
      <w:r w:rsidR="004E138D" w:rsidRPr="005C0ECA">
        <w:rPr>
          <w:rFonts w:ascii="Times New Roman" w:hAnsi="Times New Roman" w:cs="Times New Roman"/>
          <w:sz w:val="24"/>
          <w:szCs w:val="24"/>
        </w:rPr>
        <w:t>based on the MoSD</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"MoSD" </w:instrText>
      </w:r>
      <w:r w:rsidR="005C0ECA" w:rsidRPr="005C0ECA">
        <w:rPr>
          <w:rFonts w:ascii="Times New Roman" w:hAnsi="Times New Roman" w:cs="Times New Roman"/>
          <w:sz w:val="24"/>
          <w:szCs w:val="24"/>
        </w:rPr>
        <w:fldChar w:fldCharType="end"/>
      </w:r>
      <w:r w:rsidR="004E138D" w:rsidRPr="005C0ECA">
        <w:rPr>
          <w:rFonts w:ascii="Times New Roman" w:hAnsi="Times New Roman" w:cs="Times New Roman"/>
          <w:sz w:val="24"/>
          <w:szCs w:val="24"/>
        </w:rPr>
        <w:t xml:space="preserve"> target, the government designates </w:t>
      </w:r>
      <w:r w:rsidR="00004F4D" w:rsidRPr="005C0ECA">
        <w:rPr>
          <w:rFonts w:ascii="Times New Roman" w:hAnsi="Times New Roman" w:cs="Times New Roman"/>
          <w:sz w:val="24"/>
          <w:szCs w:val="24"/>
        </w:rPr>
        <w:t xml:space="preserve">an amount of </w:t>
      </w:r>
      <w:r w:rsidR="004E138D" w:rsidRPr="005C0ECA">
        <w:rPr>
          <w:rFonts w:ascii="Times New Roman" w:hAnsi="Times New Roman" w:cs="Times New Roman"/>
          <w:sz w:val="24"/>
          <w:szCs w:val="24"/>
        </w:rPr>
        <w:t xml:space="preserve">NIS 750-1,800 per poor household every three months; i.e., NIS 250-600 every month. This amount is mediocre compared to the national minimum wage (NIS 1,450). It does not meet the basic needs of a single individual. Hence, cash assistance involves two problems: (1) value and adequacy, and (2) inclusiveness. </w:t>
      </w:r>
      <w:r w:rsidR="004C0BF9" w:rsidRPr="005C0ECA">
        <w:rPr>
          <w:rFonts w:ascii="Times New Roman" w:hAnsi="Times New Roman" w:cs="Times New Roman"/>
          <w:sz w:val="24"/>
          <w:szCs w:val="24"/>
        </w:rPr>
        <w:t xml:space="preserve">While </w:t>
      </w:r>
      <w:r w:rsidR="004E138D" w:rsidRPr="005C0ECA">
        <w:rPr>
          <w:rFonts w:ascii="Times New Roman" w:hAnsi="Times New Roman" w:cs="Times New Roman"/>
          <w:sz w:val="24"/>
          <w:szCs w:val="24"/>
        </w:rPr>
        <w:t>some 200,000 households are in need of assistance</w:t>
      </w:r>
      <w:r w:rsidR="004C0BF9" w:rsidRPr="005C0ECA">
        <w:rPr>
          <w:rFonts w:ascii="Times New Roman" w:hAnsi="Times New Roman" w:cs="Times New Roman"/>
          <w:sz w:val="24"/>
          <w:szCs w:val="24"/>
        </w:rPr>
        <w:t>, the MoSD targets 111,860 households</w:t>
      </w:r>
      <w:r w:rsidR="00004F4D" w:rsidRPr="005C0ECA">
        <w:rPr>
          <w:rFonts w:ascii="Times New Roman" w:hAnsi="Times New Roman" w:cs="Times New Roman"/>
          <w:sz w:val="24"/>
          <w:szCs w:val="24"/>
        </w:rPr>
        <w:t xml:space="preserve"> only</w:t>
      </w:r>
      <w:r w:rsidR="004C0BF9" w:rsidRPr="005C0ECA">
        <w:rPr>
          <w:rFonts w:ascii="Times New Roman" w:hAnsi="Times New Roman" w:cs="Times New Roman"/>
          <w:sz w:val="24"/>
          <w:szCs w:val="24"/>
        </w:rPr>
        <w:t xml:space="preserve">. Consequently, the ICHR recommends that: </w:t>
      </w:r>
    </w:p>
    <w:p w:rsidR="00CA0177" w:rsidRPr="005C0ECA" w:rsidRDefault="005904CE" w:rsidP="00004F4D">
      <w:pPr>
        <w:pStyle w:val="ListParagraph"/>
        <w:numPr>
          <w:ilvl w:val="0"/>
          <w:numId w:val="12"/>
        </w:numPr>
        <w:jc w:val="both"/>
        <w:rPr>
          <w:rFonts w:ascii="Times New Roman" w:hAnsi="Times New Roman" w:cs="Times New Roman"/>
          <w:sz w:val="24"/>
          <w:szCs w:val="24"/>
        </w:rPr>
      </w:pPr>
      <w:r w:rsidRPr="005C0ECA">
        <w:rPr>
          <w:rFonts w:ascii="Times New Roman" w:hAnsi="Times New Roman" w:cs="Times New Roman"/>
          <w:sz w:val="24"/>
          <w:szCs w:val="24"/>
        </w:rPr>
        <w:t xml:space="preserve">Attention be given to the most economically disadvantaged groups at policy level and by allocating financial resources needed to launch income-generating enterprises, taking account of dimensions, </w:t>
      </w:r>
      <w:r w:rsidR="00004F4D" w:rsidRPr="005C0ECA">
        <w:rPr>
          <w:rFonts w:ascii="Times New Roman" w:hAnsi="Times New Roman" w:cs="Times New Roman"/>
          <w:sz w:val="24"/>
          <w:szCs w:val="24"/>
        </w:rPr>
        <w:t xml:space="preserve">regional </w:t>
      </w:r>
      <w:r w:rsidRPr="005C0ECA">
        <w:rPr>
          <w:rFonts w:ascii="Times New Roman" w:hAnsi="Times New Roman" w:cs="Times New Roman"/>
          <w:sz w:val="24"/>
          <w:szCs w:val="24"/>
        </w:rPr>
        <w:t xml:space="preserve">formations, and human characteristics of poverty. </w:t>
      </w:r>
    </w:p>
    <w:p w:rsidR="005904CE" w:rsidRPr="005C0ECA" w:rsidRDefault="005904CE" w:rsidP="00D51F94">
      <w:pPr>
        <w:pStyle w:val="ListParagraph"/>
        <w:numPr>
          <w:ilvl w:val="0"/>
          <w:numId w:val="12"/>
        </w:numPr>
        <w:jc w:val="both"/>
        <w:rPr>
          <w:rFonts w:ascii="Times New Roman" w:hAnsi="Times New Roman" w:cs="Times New Roman"/>
          <w:sz w:val="24"/>
          <w:szCs w:val="24"/>
        </w:rPr>
      </w:pPr>
      <w:r w:rsidRPr="005C0ECA">
        <w:rPr>
          <w:rFonts w:ascii="Times New Roman" w:hAnsi="Times New Roman" w:cs="Times New Roman"/>
          <w:sz w:val="24"/>
          <w:szCs w:val="24"/>
        </w:rPr>
        <w:t xml:space="preserve">Attention be paid to equal distribution of economic resources across economic sectors, social groups, and geographical areas. </w:t>
      </w:r>
    </w:p>
    <w:p w:rsidR="005904CE" w:rsidRPr="005C0ECA" w:rsidRDefault="005904CE" w:rsidP="00D51F94">
      <w:pPr>
        <w:jc w:val="both"/>
        <w:rPr>
          <w:rFonts w:ascii="Times New Roman" w:hAnsi="Times New Roman" w:cs="Times New Roman"/>
          <w:sz w:val="24"/>
          <w:szCs w:val="24"/>
        </w:rPr>
      </w:pPr>
    </w:p>
    <w:p w:rsidR="005904CE" w:rsidRPr="005C0ECA" w:rsidRDefault="005904CE" w:rsidP="005C0ECA">
      <w:pPr>
        <w:pStyle w:val="Heading1"/>
        <w:rPr>
          <w:rFonts w:asciiTheme="majorBidi" w:hAnsiTheme="majorBidi"/>
          <w:b/>
          <w:bCs/>
          <w:color w:val="auto"/>
        </w:rPr>
      </w:pPr>
      <w:bookmarkStart w:id="24" w:name="_Toc79315045"/>
      <w:r w:rsidRPr="005C0ECA">
        <w:rPr>
          <w:rFonts w:asciiTheme="majorBidi" w:hAnsiTheme="majorBidi"/>
          <w:b/>
          <w:bCs/>
          <w:color w:val="auto"/>
        </w:rPr>
        <w:t>Right to adequate food</w:t>
      </w:r>
      <w:bookmarkEnd w:id="24"/>
      <w:r w:rsidRPr="005C0ECA">
        <w:rPr>
          <w:rFonts w:asciiTheme="majorBidi" w:hAnsiTheme="majorBidi"/>
          <w:b/>
          <w:bCs/>
          <w:color w:val="auto"/>
        </w:rPr>
        <w:t xml:space="preserve"> </w:t>
      </w:r>
    </w:p>
    <w:p w:rsidR="005904CE" w:rsidRPr="005C0ECA" w:rsidRDefault="005904CE" w:rsidP="0033088E">
      <w:pPr>
        <w:jc w:val="both"/>
        <w:rPr>
          <w:rFonts w:ascii="Times New Roman" w:hAnsi="Times New Roman" w:cs="Times New Roman"/>
          <w:sz w:val="24"/>
          <w:szCs w:val="24"/>
        </w:rPr>
      </w:pPr>
      <w:r w:rsidRPr="005C0ECA">
        <w:rPr>
          <w:rFonts w:ascii="Times New Roman" w:hAnsi="Times New Roman" w:cs="Times New Roman"/>
          <w:sz w:val="24"/>
          <w:szCs w:val="24"/>
        </w:rPr>
        <w:t xml:space="preserve">In paragraphs 148-153, the report does not address the problems facing Gaza citizens to </w:t>
      </w:r>
      <w:r w:rsidR="0033088E" w:rsidRPr="005C0ECA">
        <w:rPr>
          <w:rFonts w:ascii="Times New Roman" w:hAnsi="Times New Roman" w:cs="Times New Roman"/>
          <w:sz w:val="24"/>
          <w:szCs w:val="24"/>
        </w:rPr>
        <w:t xml:space="preserve">enjoys </w:t>
      </w:r>
      <w:r w:rsidRPr="005C0ECA">
        <w:rPr>
          <w:rFonts w:ascii="Times New Roman" w:hAnsi="Times New Roman" w:cs="Times New Roman"/>
          <w:sz w:val="24"/>
          <w:szCs w:val="24"/>
        </w:rPr>
        <w:t xml:space="preserve">their right to adequate food. According to certain data, some 70 </w:t>
      </w:r>
      <w:r w:rsidR="0033088E" w:rsidRPr="005C0ECA">
        <w:rPr>
          <w:rFonts w:ascii="Times New Roman" w:hAnsi="Times New Roman" w:cs="Times New Roman"/>
          <w:sz w:val="24"/>
          <w:szCs w:val="24"/>
        </w:rPr>
        <w:t xml:space="preserve">percent </w:t>
      </w:r>
      <w:r w:rsidRPr="005C0ECA">
        <w:rPr>
          <w:rFonts w:ascii="Times New Roman" w:hAnsi="Times New Roman" w:cs="Times New Roman"/>
          <w:sz w:val="24"/>
          <w:szCs w:val="24"/>
        </w:rPr>
        <w:t xml:space="preserve">of the Gaza population are affected by food insecurity. Nearly 1.5 </w:t>
      </w:r>
      <w:r w:rsidR="0033088E" w:rsidRPr="005C0ECA">
        <w:rPr>
          <w:rFonts w:ascii="Times New Roman" w:hAnsi="Times New Roman" w:cs="Times New Roman"/>
          <w:sz w:val="24"/>
          <w:szCs w:val="24"/>
        </w:rPr>
        <w:t xml:space="preserve">million </w:t>
      </w:r>
      <w:r w:rsidRPr="005C0ECA">
        <w:rPr>
          <w:rFonts w:ascii="Times New Roman" w:hAnsi="Times New Roman" w:cs="Times New Roman"/>
          <w:sz w:val="24"/>
          <w:szCs w:val="24"/>
        </w:rPr>
        <w:t xml:space="preserve">out of 2 million citizens </w:t>
      </w:r>
      <w:r w:rsidR="0033088E" w:rsidRPr="005C0ECA">
        <w:rPr>
          <w:rFonts w:ascii="Times New Roman" w:hAnsi="Times New Roman" w:cs="Times New Roman"/>
          <w:sz w:val="24"/>
          <w:szCs w:val="24"/>
        </w:rPr>
        <w:t xml:space="preserve">depend </w:t>
      </w:r>
      <w:r w:rsidRPr="005C0ECA">
        <w:rPr>
          <w:rFonts w:ascii="Times New Roman" w:hAnsi="Times New Roman" w:cs="Times New Roman"/>
          <w:sz w:val="24"/>
          <w:szCs w:val="24"/>
        </w:rPr>
        <w:t>on humanitarian assistance delivered by international and local organisations. In light of the above, the ICHR</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"ICHR" </w:instrText>
      </w:r>
      <w:r w:rsidR="005C0ECA" w:rsidRPr="005C0ECA">
        <w:rPr>
          <w:rFonts w:ascii="Times New Roman" w:hAnsi="Times New Roman" w:cs="Times New Roman"/>
          <w:sz w:val="24"/>
          <w:szCs w:val="24"/>
        </w:rPr>
        <w:fldChar w:fldCharType="end"/>
      </w:r>
      <w:r w:rsidRPr="005C0ECA">
        <w:rPr>
          <w:rFonts w:ascii="Times New Roman" w:hAnsi="Times New Roman" w:cs="Times New Roman"/>
          <w:sz w:val="24"/>
          <w:szCs w:val="24"/>
        </w:rPr>
        <w:t xml:space="preserve"> recommends that: </w:t>
      </w:r>
    </w:p>
    <w:p w:rsidR="005904CE" w:rsidRPr="005C0ECA" w:rsidRDefault="005904CE" w:rsidP="00004F4D">
      <w:pPr>
        <w:pStyle w:val="ListParagraph"/>
        <w:numPr>
          <w:ilvl w:val="0"/>
          <w:numId w:val="17"/>
        </w:numPr>
        <w:jc w:val="both"/>
        <w:rPr>
          <w:rFonts w:ascii="Times New Roman" w:hAnsi="Times New Roman" w:cs="Times New Roman"/>
          <w:sz w:val="24"/>
          <w:szCs w:val="24"/>
        </w:rPr>
      </w:pPr>
      <w:r w:rsidRPr="005C0ECA">
        <w:rPr>
          <w:rFonts w:ascii="Times New Roman" w:hAnsi="Times New Roman" w:cs="Times New Roman"/>
          <w:sz w:val="24"/>
          <w:szCs w:val="24"/>
        </w:rPr>
        <w:t xml:space="preserve">Equal distribution of economic resources be highlighted, together with providing necessary budget appropriations to the Gaza Strip due to the Israeli economic and political blockade, closure of crossing points, and movement restrictions. </w:t>
      </w:r>
    </w:p>
    <w:p w:rsidR="005904CE" w:rsidRPr="005C0ECA" w:rsidRDefault="005904CE" w:rsidP="00D51F94">
      <w:pPr>
        <w:jc w:val="both"/>
        <w:rPr>
          <w:rFonts w:ascii="Times New Roman" w:hAnsi="Times New Roman" w:cs="Times New Roman"/>
          <w:sz w:val="24"/>
          <w:szCs w:val="24"/>
        </w:rPr>
      </w:pPr>
    </w:p>
    <w:p w:rsidR="005904CE" w:rsidRPr="005C0ECA" w:rsidRDefault="005904CE" w:rsidP="005C0ECA">
      <w:pPr>
        <w:pStyle w:val="Heading1"/>
        <w:rPr>
          <w:rFonts w:asciiTheme="majorBidi" w:hAnsiTheme="majorBidi"/>
          <w:b/>
          <w:bCs/>
          <w:color w:val="auto"/>
        </w:rPr>
      </w:pPr>
      <w:bookmarkStart w:id="25" w:name="_Toc79315046"/>
      <w:r w:rsidRPr="005C0ECA">
        <w:rPr>
          <w:rFonts w:asciiTheme="majorBidi" w:hAnsiTheme="majorBidi"/>
          <w:b/>
          <w:bCs/>
          <w:color w:val="auto"/>
        </w:rPr>
        <w:t>Right to adequate housing</w:t>
      </w:r>
      <w:bookmarkEnd w:id="25"/>
      <w:r w:rsidRPr="005C0ECA">
        <w:rPr>
          <w:rFonts w:asciiTheme="majorBidi" w:hAnsiTheme="majorBidi"/>
          <w:b/>
          <w:bCs/>
          <w:color w:val="auto"/>
        </w:rPr>
        <w:t xml:space="preserve"> </w:t>
      </w:r>
    </w:p>
    <w:p w:rsidR="00DE5E8D" w:rsidRPr="005C0ECA" w:rsidRDefault="005904CE" w:rsidP="00B208A6">
      <w:pPr>
        <w:jc w:val="both"/>
        <w:rPr>
          <w:rFonts w:ascii="Times New Roman" w:hAnsi="Times New Roman" w:cs="Times New Roman"/>
          <w:sz w:val="24"/>
          <w:szCs w:val="24"/>
        </w:rPr>
      </w:pPr>
      <w:r w:rsidRPr="005C0ECA">
        <w:rPr>
          <w:rFonts w:ascii="Times New Roman" w:hAnsi="Times New Roman" w:cs="Times New Roman"/>
          <w:sz w:val="24"/>
          <w:szCs w:val="24"/>
        </w:rPr>
        <w:t xml:space="preserve">Paragraphs 161-171 of the report review government efforts to provide adequate housing, but </w:t>
      </w:r>
      <w:r w:rsidR="00DE5E8D" w:rsidRPr="005C0ECA">
        <w:rPr>
          <w:rFonts w:ascii="Times New Roman" w:hAnsi="Times New Roman" w:cs="Times New Roman"/>
          <w:sz w:val="24"/>
          <w:szCs w:val="24"/>
        </w:rPr>
        <w:t xml:space="preserve">do not examine approved policies to finalise Gaza reconstruction </w:t>
      </w:r>
      <w:r w:rsidR="00F704B0" w:rsidRPr="005C0ECA">
        <w:rPr>
          <w:rFonts w:ascii="Times New Roman" w:hAnsi="Times New Roman" w:cs="Times New Roman"/>
          <w:sz w:val="24"/>
          <w:szCs w:val="24"/>
        </w:rPr>
        <w:t xml:space="preserve">in the aftermath of </w:t>
      </w:r>
      <w:r w:rsidR="00DE5E8D" w:rsidRPr="005C0ECA">
        <w:rPr>
          <w:rFonts w:ascii="Times New Roman" w:hAnsi="Times New Roman" w:cs="Times New Roman"/>
          <w:sz w:val="24"/>
          <w:szCs w:val="24"/>
        </w:rPr>
        <w:t xml:space="preserve">Israel’s military aggression of 2021. After the Israeli offensive in 2014, just 70 percent of Gaza reconstruction projects have been completed. In other words, some 2,000 destroyed housing units have not </w:t>
      </w:r>
      <w:r w:rsidR="00F704B0" w:rsidRPr="005C0ECA">
        <w:rPr>
          <w:rFonts w:ascii="Times New Roman" w:hAnsi="Times New Roman" w:cs="Times New Roman"/>
          <w:sz w:val="24"/>
          <w:szCs w:val="24"/>
        </w:rPr>
        <w:t xml:space="preserve">yet </w:t>
      </w:r>
      <w:r w:rsidR="00DE5E8D" w:rsidRPr="005C0ECA">
        <w:rPr>
          <w:rFonts w:ascii="Times New Roman" w:hAnsi="Times New Roman" w:cs="Times New Roman"/>
          <w:sz w:val="24"/>
          <w:szCs w:val="24"/>
        </w:rPr>
        <w:t xml:space="preserve">been rebuilt. Also, </w:t>
      </w:r>
      <w:r w:rsidR="00F704B0" w:rsidRPr="005C0ECA">
        <w:rPr>
          <w:rFonts w:ascii="Times New Roman" w:hAnsi="Times New Roman" w:cs="Times New Roman"/>
          <w:sz w:val="24"/>
          <w:szCs w:val="24"/>
        </w:rPr>
        <w:t>following</w:t>
      </w:r>
      <w:r w:rsidR="00DE5E8D" w:rsidRPr="005C0ECA">
        <w:rPr>
          <w:rFonts w:ascii="Times New Roman" w:hAnsi="Times New Roman" w:cs="Times New Roman"/>
          <w:sz w:val="24"/>
          <w:szCs w:val="24"/>
        </w:rPr>
        <w:t xml:space="preserve"> Israel’s offensive </w:t>
      </w:r>
      <w:r w:rsidR="00F704B0" w:rsidRPr="005C0ECA">
        <w:rPr>
          <w:rFonts w:ascii="Times New Roman" w:hAnsi="Times New Roman" w:cs="Times New Roman"/>
          <w:sz w:val="24"/>
          <w:szCs w:val="24"/>
        </w:rPr>
        <w:t>of</w:t>
      </w:r>
      <w:r w:rsidR="00DE5E8D" w:rsidRPr="005C0ECA">
        <w:rPr>
          <w:rFonts w:ascii="Times New Roman" w:hAnsi="Times New Roman" w:cs="Times New Roman"/>
          <w:sz w:val="24"/>
          <w:szCs w:val="24"/>
        </w:rPr>
        <w:t xml:space="preserve"> 2018 and 2019, 207 completely destroyed homes were not reconstructed. In the 2021 aggression, the Israeli army destroyed more than 500 housing units and </w:t>
      </w:r>
      <w:r w:rsidR="00B208A6" w:rsidRPr="005C0ECA">
        <w:rPr>
          <w:rFonts w:ascii="Times New Roman" w:hAnsi="Times New Roman" w:cs="Times New Roman"/>
          <w:sz w:val="24"/>
          <w:szCs w:val="24"/>
        </w:rPr>
        <w:t xml:space="preserve">caused </w:t>
      </w:r>
      <w:r w:rsidR="00DE5E8D" w:rsidRPr="005C0ECA">
        <w:rPr>
          <w:rFonts w:ascii="Times New Roman" w:hAnsi="Times New Roman" w:cs="Times New Roman"/>
          <w:sz w:val="24"/>
          <w:szCs w:val="24"/>
        </w:rPr>
        <w:t>partial damage</w:t>
      </w:r>
      <w:r w:rsidR="00B208A6" w:rsidRPr="005C0ECA">
        <w:rPr>
          <w:rFonts w:ascii="Times New Roman" w:hAnsi="Times New Roman" w:cs="Times New Roman"/>
          <w:sz w:val="24"/>
          <w:szCs w:val="24"/>
        </w:rPr>
        <w:t xml:space="preserve"> to</w:t>
      </w:r>
      <w:r w:rsidR="00DE5E8D" w:rsidRPr="005C0ECA">
        <w:rPr>
          <w:rFonts w:ascii="Times New Roman" w:hAnsi="Times New Roman" w:cs="Times New Roman"/>
          <w:sz w:val="24"/>
          <w:szCs w:val="24"/>
        </w:rPr>
        <w:t xml:space="preserve"> hundreds of homes. Preliminary estimates of losses were US$ 73 million. To this end, the ICHR</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"ICHR" </w:instrText>
      </w:r>
      <w:r w:rsidR="005C0ECA" w:rsidRPr="005C0ECA">
        <w:rPr>
          <w:rFonts w:ascii="Times New Roman" w:hAnsi="Times New Roman" w:cs="Times New Roman"/>
          <w:sz w:val="24"/>
          <w:szCs w:val="24"/>
        </w:rPr>
        <w:fldChar w:fldCharType="end"/>
      </w:r>
      <w:r w:rsidR="00DE5E8D" w:rsidRPr="005C0ECA">
        <w:rPr>
          <w:rFonts w:ascii="Times New Roman" w:hAnsi="Times New Roman" w:cs="Times New Roman"/>
          <w:sz w:val="24"/>
          <w:szCs w:val="24"/>
        </w:rPr>
        <w:t xml:space="preserve"> recommends that: </w:t>
      </w:r>
    </w:p>
    <w:p w:rsidR="005904CE" w:rsidRPr="005C0ECA" w:rsidRDefault="0083408F" w:rsidP="00D51F94">
      <w:pPr>
        <w:pStyle w:val="ListParagraph"/>
        <w:numPr>
          <w:ilvl w:val="0"/>
          <w:numId w:val="14"/>
        </w:numPr>
        <w:jc w:val="both"/>
        <w:rPr>
          <w:rFonts w:ascii="Times New Roman" w:hAnsi="Times New Roman" w:cs="Times New Roman"/>
          <w:sz w:val="24"/>
          <w:szCs w:val="24"/>
        </w:rPr>
      </w:pPr>
      <w:r w:rsidRPr="005C0ECA">
        <w:rPr>
          <w:rFonts w:ascii="Times New Roman" w:hAnsi="Times New Roman" w:cs="Times New Roman"/>
          <w:sz w:val="24"/>
          <w:szCs w:val="24"/>
        </w:rPr>
        <w:lastRenderedPageBreak/>
        <w:t xml:space="preserve">The Palestinian government make clear </w:t>
      </w:r>
      <w:r w:rsidR="00562EEB" w:rsidRPr="005C0ECA">
        <w:rPr>
          <w:rFonts w:ascii="Times New Roman" w:hAnsi="Times New Roman" w:cs="Times New Roman"/>
          <w:sz w:val="24"/>
          <w:szCs w:val="24"/>
        </w:rPr>
        <w:t xml:space="preserve">the </w:t>
      </w:r>
      <w:r w:rsidRPr="005C0ECA">
        <w:rPr>
          <w:rFonts w:ascii="Times New Roman" w:hAnsi="Times New Roman" w:cs="Times New Roman"/>
          <w:sz w:val="24"/>
          <w:szCs w:val="24"/>
        </w:rPr>
        <w:t xml:space="preserve">reconstruction mechanisms based on the principle local and international partnership, while at the same time prioritising reconstruction of homes </w:t>
      </w:r>
      <w:r w:rsidR="00562EEB" w:rsidRPr="005C0ECA">
        <w:rPr>
          <w:rFonts w:ascii="Times New Roman" w:hAnsi="Times New Roman" w:cs="Times New Roman"/>
          <w:sz w:val="24"/>
          <w:szCs w:val="24"/>
        </w:rPr>
        <w:t xml:space="preserve">belonging to, </w:t>
      </w:r>
      <w:r w:rsidRPr="005C0ECA">
        <w:rPr>
          <w:rFonts w:ascii="Times New Roman" w:hAnsi="Times New Roman" w:cs="Times New Roman"/>
          <w:sz w:val="24"/>
          <w:szCs w:val="24"/>
        </w:rPr>
        <w:t xml:space="preserve">and provision of adequate housing to the most vulnerable groups, including impoverished persons and women. </w:t>
      </w:r>
    </w:p>
    <w:p w:rsidR="0083408F" w:rsidRPr="005C0ECA" w:rsidRDefault="0083408F" w:rsidP="00D51F94">
      <w:pPr>
        <w:jc w:val="both"/>
        <w:rPr>
          <w:rFonts w:ascii="Times New Roman" w:hAnsi="Times New Roman" w:cs="Times New Roman"/>
          <w:sz w:val="24"/>
          <w:szCs w:val="24"/>
        </w:rPr>
      </w:pPr>
    </w:p>
    <w:p w:rsidR="0083408F" w:rsidRPr="005C0ECA" w:rsidRDefault="0083408F" w:rsidP="005C0ECA">
      <w:pPr>
        <w:pStyle w:val="Heading1"/>
        <w:rPr>
          <w:rFonts w:asciiTheme="majorBidi" w:hAnsiTheme="majorBidi"/>
          <w:b/>
          <w:bCs/>
          <w:color w:val="auto"/>
        </w:rPr>
      </w:pPr>
      <w:bookmarkStart w:id="26" w:name="_Toc79315047"/>
      <w:r w:rsidRPr="005C0ECA">
        <w:rPr>
          <w:rFonts w:asciiTheme="majorBidi" w:hAnsiTheme="majorBidi"/>
          <w:b/>
          <w:bCs/>
          <w:color w:val="auto"/>
        </w:rPr>
        <w:t>Right to health</w:t>
      </w:r>
      <w:bookmarkEnd w:id="26"/>
      <w:r w:rsidRPr="005C0ECA">
        <w:rPr>
          <w:rFonts w:asciiTheme="majorBidi" w:hAnsiTheme="majorBidi"/>
          <w:b/>
          <w:bCs/>
          <w:color w:val="auto"/>
        </w:rPr>
        <w:t xml:space="preserve"> </w:t>
      </w:r>
    </w:p>
    <w:p w:rsidR="00C8134F" w:rsidRPr="005C0ECA" w:rsidRDefault="003F1220" w:rsidP="006A358D">
      <w:pPr>
        <w:jc w:val="both"/>
        <w:rPr>
          <w:rFonts w:ascii="Times New Roman" w:hAnsi="Times New Roman" w:cs="Times New Roman"/>
          <w:sz w:val="24"/>
          <w:szCs w:val="24"/>
        </w:rPr>
      </w:pPr>
      <w:r w:rsidRPr="005C0ECA">
        <w:rPr>
          <w:rFonts w:ascii="Times New Roman" w:hAnsi="Times New Roman" w:cs="Times New Roman"/>
          <w:sz w:val="24"/>
          <w:szCs w:val="24"/>
        </w:rPr>
        <w:t xml:space="preserve">In paragraphs 172-201, the report provides an overview of </w:t>
      </w:r>
      <w:r w:rsidR="001A5E48" w:rsidRPr="005C0ECA">
        <w:rPr>
          <w:rFonts w:ascii="Times New Roman" w:hAnsi="Times New Roman" w:cs="Times New Roman"/>
          <w:sz w:val="24"/>
          <w:szCs w:val="24"/>
        </w:rPr>
        <w:t xml:space="preserve">the regulations, strategies, and procedures, which ensure </w:t>
      </w:r>
      <w:r w:rsidR="006A358D" w:rsidRPr="005C0ECA">
        <w:rPr>
          <w:rFonts w:ascii="Times New Roman" w:hAnsi="Times New Roman" w:cs="Times New Roman"/>
          <w:sz w:val="24"/>
          <w:szCs w:val="24"/>
        </w:rPr>
        <w:t xml:space="preserve">the </w:t>
      </w:r>
      <w:r w:rsidR="001A5E48" w:rsidRPr="005C0ECA">
        <w:rPr>
          <w:rFonts w:ascii="Times New Roman" w:hAnsi="Times New Roman" w:cs="Times New Roman"/>
          <w:sz w:val="24"/>
          <w:szCs w:val="24"/>
        </w:rPr>
        <w:t xml:space="preserve">realisation of the right to health. However, </w:t>
      </w:r>
      <w:r w:rsidR="00562EEB" w:rsidRPr="005C0ECA">
        <w:rPr>
          <w:rFonts w:ascii="Times New Roman" w:hAnsi="Times New Roman" w:cs="Times New Roman"/>
          <w:sz w:val="24"/>
          <w:szCs w:val="24"/>
        </w:rPr>
        <w:t xml:space="preserve">the report </w:t>
      </w:r>
      <w:r w:rsidR="001A5E48" w:rsidRPr="005C0ECA">
        <w:rPr>
          <w:rFonts w:ascii="Times New Roman" w:hAnsi="Times New Roman" w:cs="Times New Roman"/>
          <w:sz w:val="24"/>
          <w:szCs w:val="24"/>
        </w:rPr>
        <w:t xml:space="preserve">fails to mention that the Palestinian Basic Law does not provide for the right to health as one of the constitutionally guaranteed rights. Although in force, application of </w:t>
      </w:r>
      <w:r w:rsidR="006A358D" w:rsidRPr="005C0ECA">
        <w:rPr>
          <w:rFonts w:ascii="Times New Roman" w:hAnsi="Times New Roman" w:cs="Times New Roman"/>
          <w:sz w:val="24"/>
          <w:szCs w:val="24"/>
        </w:rPr>
        <w:t xml:space="preserve">the </w:t>
      </w:r>
      <w:r w:rsidR="001A5E48" w:rsidRPr="005C0ECA">
        <w:rPr>
          <w:rFonts w:ascii="Times New Roman" w:hAnsi="Times New Roman" w:cs="Times New Roman"/>
          <w:sz w:val="24"/>
          <w:szCs w:val="24"/>
        </w:rPr>
        <w:t xml:space="preserve">Law by Decree on Medical Protection and Safety is impeded by significant challenges due to </w:t>
      </w:r>
      <w:r w:rsidR="006A358D" w:rsidRPr="005C0ECA">
        <w:rPr>
          <w:rFonts w:ascii="Times New Roman" w:hAnsi="Times New Roman" w:cs="Times New Roman"/>
          <w:sz w:val="24"/>
          <w:szCs w:val="24"/>
        </w:rPr>
        <w:t xml:space="preserve">the </w:t>
      </w:r>
      <w:r w:rsidR="001A5E48" w:rsidRPr="005C0ECA">
        <w:rPr>
          <w:rFonts w:ascii="Times New Roman" w:hAnsi="Times New Roman" w:cs="Times New Roman"/>
          <w:sz w:val="24"/>
          <w:szCs w:val="24"/>
        </w:rPr>
        <w:t>lack</w:t>
      </w:r>
      <w:r w:rsidR="006A358D" w:rsidRPr="005C0ECA">
        <w:rPr>
          <w:rFonts w:ascii="Times New Roman" w:hAnsi="Times New Roman" w:cs="Times New Roman"/>
          <w:sz w:val="24"/>
          <w:szCs w:val="24"/>
        </w:rPr>
        <w:t xml:space="preserve"> of </w:t>
      </w:r>
      <w:r w:rsidR="001A5E48" w:rsidRPr="005C0ECA">
        <w:rPr>
          <w:rFonts w:ascii="Times New Roman" w:hAnsi="Times New Roman" w:cs="Times New Roman"/>
          <w:sz w:val="24"/>
          <w:szCs w:val="24"/>
        </w:rPr>
        <w:t>relevant bylaws. The report does not make reference to the policies needed to enhance the health system in the light of a natural population increase of 2.5 percent, continuing rise in the number of older persons, and health care gaps revealed by the COVID-19 pandemic. This requires that the government state estimated budgets and plans to increase the number of hospitals, primary health care centres, beds, medical staff, and list of medicines and health services to be provided to service recipients. Additionally, the report does not provide the ratio of hospital beds to the population</w:t>
      </w:r>
      <w:r w:rsidR="00FE280E" w:rsidRPr="005C0ECA">
        <w:rPr>
          <w:rFonts w:ascii="Times New Roman" w:hAnsi="Times New Roman" w:cs="Times New Roman"/>
          <w:sz w:val="24"/>
          <w:szCs w:val="24"/>
        </w:rPr>
        <w:t xml:space="preserve">, </w:t>
      </w:r>
      <w:r w:rsidR="00562EEB" w:rsidRPr="005C0ECA">
        <w:rPr>
          <w:rFonts w:ascii="Times New Roman" w:hAnsi="Times New Roman" w:cs="Times New Roman"/>
          <w:sz w:val="24"/>
          <w:szCs w:val="24"/>
        </w:rPr>
        <w:t xml:space="preserve">nor does it show the extent to which </w:t>
      </w:r>
      <w:r w:rsidR="00FE280E" w:rsidRPr="005C0ECA">
        <w:rPr>
          <w:rFonts w:ascii="Times New Roman" w:hAnsi="Times New Roman" w:cs="Times New Roman"/>
          <w:sz w:val="24"/>
          <w:szCs w:val="24"/>
        </w:rPr>
        <w:t>the list of medicines available at MoH</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"MoH" </w:instrText>
      </w:r>
      <w:r w:rsidR="005C0ECA" w:rsidRPr="005C0ECA">
        <w:rPr>
          <w:rFonts w:ascii="Times New Roman" w:hAnsi="Times New Roman" w:cs="Times New Roman"/>
          <w:sz w:val="24"/>
          <w:szCs w:val="24"/>
        </w:rPr>
        <w:fldChar w:fldCharType="end"/>
      </w:r>
      <w:r w:rsidR="00FE280E" w:rsidRPr="005C0ECA">
        <w:rPr>
          <w:rFonts w:ascii="Times New Roman" w:hAnsi="Times New Roman" w:cs="Times New Roman"/>
          <w:sz w:val="24"/>
          <w:szCs w:val="24"/>
        </w:rPr>
        <w:t xml:space="preserve"> pharmacies </w:t>
      </w:r>
      <w:r w:rsidR="00562EEB" w:rsidRPr="005C0ECA">
        <w:rPr>
          <w:rFonts w:ascii="Times New Roman" w:hAnsi="Times New Roman" w:cs="Times New Roman"/>
          <w:sz w:val="24"/>
          <w:szCs w:val="24"/>
        </w:rPr>
        <w:t xml:space="preserve">for </w:t>
      </w:r>
      <w:r w:rsidR="00FE280E" w:rsidRPr="005C0ECA">
        <w:rPr>
          <w:rFonts w:ascii="Times New Roman" w:hAnsi="Times New Roman" w:cs="Times New Roman"/>
          <w:sz w:val="24"/>
          <w:szCs w:val="24"/>
        </w:rPr>
        <w:t>the health insured</w:t>
      </w:r>
      <w:r w:rsidR="00562EEB" w:rsidRPr="005C0ECA">
        <w:rPr>
          <w:rFonts w:ascii="Times New Roman" w:hAnsi="Times New Roman" w:cs="Times New Roman"/>
          <w:sz w:val="24"/>
          <w:szCs w:val="24"/>
        </w:rPr>
        <w:t xml:space="preserve"> are adequate and inclusive</w:t>
      </w:r>
      <w:r w:rsidR="00FE280E" w:rsidRPr="005C0ECA">
        <w:rPr>
          <w:rFonts w:ascii="Times New Roman" w:hAnsi="Times New Roman" w:cs="Times New Roman"/>
          <w:sz w:val="24"/>
          <w:szCs w:val="24"/>
        </w:rPr>
        <w:t xml:space="preserve">, and </w:t>
      </w:r>
      <w:r w:rsidR="00562EEB" w:rsidRPr="005C0ECA">
        <w:rPr>
          <w:rFonts w:ascii="Times New Roman" w:hAnsi="Times New Roman" w:cs="Times New Roman"/>
          <w:sz w:val="24"/>
          <w:szCs w:val="24"/>
        </w:rPr>
        <w:t xml:space="preserve">the availability of </w:t>
      </w:r>
      <w:r w:rsidR="00FE280E" w:rsidRPr="005C0ECA">
        <w:rPr>
          <w:rFonts w:ascii="Times New Roman" w:hAnsi="Times New Roman" w:cs="Times New Roman"/>
          <w:sz w:val="24"/>
          <w:szCs w:val="24"/>
        </w:rPr>
        <w:t xml:space="preserve">drugs for chronic and perilous diseases. </w:t>
      </w:r>
    </w:p>
    <w:p w:rsidR="00FE280E" w:rsidRPr="005C0ECA" w:rsidRDefault="00620408" w:rsidP="00562EEB">
      <w:pPr>
        <w:jc w:val="both"/>
        <w:rPr>
          <w:rFonts w:ascii="Times New Roman" w:hAnsi="Times New Roman" w:cs="Times New Roman"/>
          <w:sz w:val="24"/>
          <w:szCs w:val="24"/>
        </w:rPr>
      </w:pPr>
      <w:r w:rsidRPr="005C0ECA">
        <w:rPr>
          <w:rFonts w:ascii="Times New Roman" w:hAnsi="Times New Roman" w:cs="Times New Roman"/>
          <w:sz w:val="24"/>
          <w:szCs w:val="24"/>
        </w:rPr>
        <w:t>D</w:t>
      </w:r>
      <w:r w:rsidR="00FE280E" w:rsidRPr="005C0ECA">
        <w:rPr>
          <w:rFonts w:ascii="Times New Roman" w:hAnsi="Times New Roman" w:cs="Times New Roman"/>
          <w:sz w:val="24"/>
          <w:szCs w:val="24"/>
        </w:rPr>
        <w:t xml:space="preserve">ozens of complaints </w:t>
      </w:r>
      <w:r w:rsidRPr="005C0ECA">
        <w:rPr>
          <w:rFonts w:ascii="Times New Roman" w:hAnsi="Times New Roman" w:cs="Times New Roman"/>
          <w:sz w:val="24"/>
          <w:szCs w:val="24"/>
        </w:rPr>
        <w:t>are filed to the ICHR</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"ICHR" </w:instrText>
      </w:r>
      <w:r w:rsidR="005C0ECA" w:rsidRPr="005C0ECA">
        <w:rPr>
          <w:rFonts w:ascii="Times New Roman" w:hAnsi="Times New Roman" w:cs="Times New Roman"/>
          <w:sz w:val="24"/>
          <w:szCs w:val="24"/>
        </w:rPr>
        <w:fldChar w:fldCharType="end"/>
      </w:r>
      <w:r w:rsidRPr="005C0ECA">
        <w:rPr>
          <w:rFonts w:ascii="Times New Roman" w:hAnsi="Times New Roman" w:cs="Times New Roman"/>
          <w:sz w:val="24"/>
          <w:szCs w:val="24"/>
        </w:rPr>
        <w:t xml:space="preserve"> </w:t>
      </w:r>
      <w:r w:rsidR="00FE280E" w:rsidRPr="005C0ECA">
        <w:rPr>
          <w:rFonts w:ascii="Times New Roman" w:hAnsi="Times New Roman" w:cs="Times New Roman"/>
          <w:sz w:val="24"/>
          <w:szCs w:val="24"/>
        </w:rPr>
        <w:t>in relation to the right to health. In 2020,</w:t>
      </w:r>
      <w:r w:rsidRPr="005C0ECA">
        <w:rPr>
          <w:rFonts w:ascii="Times New Roman" w:hAnsi="Times New Roman" w:cs="Times New Roman"/>
          <w:sz w:val="24"/>
          <w:szCs w:val="24"/>
        </w:rPr>
        <w:t xml:space="preserve"> the ICHR received 42 complaints on unavailable health</w:t>
      </w:r>
      <w:r w:rsidR="003F1AE5" w:rsidRPr="005C0ECA">
        <w:rPr>
          <w:rFonts w:ascii="Times New Roman" w:hAnsi="Times New Roman" w:cs="Times New Roman"/>
          <w:sz w:val="24"/>
          <w:szCs w:val="24"/>
        </w:rPr>
        <w:t xml:space="preserve"> </w:t>
      </w:r>
      <w:r w:rsidRPr="005C0ECA">
        <w:rPr>
          <w:rFonts w:ascii="Times New Roman" w:hAnsi="Times New Roman" w:cs="Times New Roman"/>
          <w:sz w:val="24"/>
          <w:szCs w:val="24"/>
        </w:rPr>
        <w:t xml:space="preserve">care services, eight on the lack of access, and 102 on </w:t>
      </w:r>
      <w:r w:rsidR="008F7B3B" w:rsidRPr="005C0ECA">
        <w:rPr>
          <w:rFonts w:ascii="Times New Roman" w:hAnsi="Times New Roman" w:cs="Times New Roman"/>
          <w:sz w:val="24"/>
          <w:szCs w:val="24"/>
        </w:rPr>
        <w:t xml:space="preserve">the </w:t>
      </w:r>
      <w:r w:rsidRPr="005C0ECA">
        <w:rPr>
          <w:rFonts w:ascii="Times New Roman" w:hAnsi="Times New Roman" w:cs="Times New Roman"/>
          <w:sz w:val="24"/>
          <w:szCs w:val="24"/>
        </w:rPr>
        <w:t xml:space="preserve">quality </w:t>
      </w:r>
      <w:r w:rsidR="008F7B3B" w:rsidRPr="005C0ECA">
        <w:rPr>
          <w:rFonts w:ascii="Times New Roman" w:hAnsi="Times New Roman" w:cs="Times New Roman"/>
          <w:sz w:val="24"/>
          <w:szCs w:val="24"/>
        </w:rPr>
        <w:t xml:space="preserve">of </w:t>
      </w:r>
      <w:r w:rsidRPr="005C0ECA">
        <w:rPr>
          <w:rFonts w:ascii="Times New Roman" w:hAnsi="Times New Roman" w:cs="Times New Roman"/>
          <w:sz w:val="24"/>
          <w:szCs w:val="24"/>
        </w:rPr>
        <w:t xml:space="preserve">health services. The Commission also monitored a surge in deaths caused medical malpractice, up from eight in 2019 to 16 in 2020. </w:t>
      </w:r>
    </w:p>
    <w:p w:rsidR="00620408" w:rsidRPr="005C0ECA" w:rsidRDefault="00620408" w:rsidP="00816216">
      <w:pPr>
        <w:jc w:val="both"/>
        <w:rPr>
          <w:rFonts w:ascii="Times New Roman" w:hAnsi="Times New Roman" w:cs="Times New Roman"/>
          <w:sz w:val="24"/>
          <w:szCs w:val="24"/>
        </w:rPr>
      </w:pPr>
      <w:r w:rsidRPr="005C0ECA">
        <w:rPr>
          <w:rFonts w:ascii="Times New Roman" w:hAnsi="Times New Roman" w:cs="Times New Roman"/>
          <w:sz w:val="24"/>
          <w:szCs w:val="24"/>
        </w:rPr>
        <w:t>In 2019, the ICHR</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"ICHR" </w:instrText>
      </w:r>
      <w:r w:rsidR="005C0ECA" w:rsidRPr="005C0ECA">
        <w:rPr>
          <w:rFonts w:ascii="Times New Roman" w:hAnsi="Times New Roman" w:cs="Times New Roman"/>
          <w:sz w:val="24"/>
          <w:szCs w:val="24"/>
        </w:rPr>
        <w:fldChar w:fldCharType="end"/>
      </w:r>
      <w:r w:rsidRPr="005C0ECA">
        <w:rPr>
          <w:rFonts w:ascii="Times New Roman" w:hAnsi="Times New Roman" w:cs="Times New Roman"/>
          <w:sz w:val="24"/>
          <w:szCs w:val="24"/>
        </w:rPr>
        <w:t xml:space="preserve"> received complaints, involving 66 violations. These included five complaints </w:t>
      </w:r>
      <w:r w:rsidR="008F7B3B" w:rsidRPr="005C0ECA">
        <w:rPr>
          <w:rFonts w:ascii="Times New Roman" w:hAnsi="Times New Roman" w:cs="Times New Roman"/>
          <w:sz w:val="24"/>
          <w:szCs w:val="24"/>
        </w:rPr>
        <w:t xml:space="preserve">on </w:t>
      </w:r>
      <w:r w:rsidRPr="005C0ECA">
        <w:rPr>
          <w:rFonts w:ascii="Times New Roman" w:hAnsi="Times New Roman" w:cs="Times New Roman"/>
          <w:sz w:val="24"/>
          <w:szCs w:val="24"/>
        </w:rPr>
        <w:t xml:space="preserve">unavailable vaccinations and medicines, 37 on lacking basic medical services, one on unavailable treatment centres in remote areas, and 13 on liability for medical errors. The latter featured seven </w:t>
      </w:r>
      <w:r w:rsidR="00800042" w:rsidRPr="005C0ECA">
        <w:rPr>
          <w:rFonts w:ascii="Times New Roman" w:hAnsi="Times New Roman" w:cs="Times New Roman"/>
          <w:sz w:val="24"/>
          <w:szCs w:val="24"/>
        </w:rPr>
        <w:t xml:space="preserve">complaints on deaths </w:t>
      </w:r>
      <w:r w:rsidR="008F7B3B" w:rsidRPr="005C0ECA">
        <w:rPr>
          <w:rFonts w:ascii="Times New Roman" w:hAnsi="Times New Roman" w:cs="Times New Roman"/>
          <w:sz w:val="24"/>
          <w:szCs w:val="24"/>
        </w:rPr>
        <w:t xml:space="preserve">following </w:t>
      </w:r>
      <w:r w:rsidR="00800042" w:rsidRPr="005C0ECA">
        <w:rPr>
          <w:rFonts w:ascii="Times New Roman" w:hAnsi="Times New Roman" w:cs="Times New Roman"/>
          <w:sz w:val="24"/>
          <w:szCs w:val="24"/>
        </w:rPr>
        <w:t xml:space="preserve">medical treatment, including five in 2019 and two in 2018 and 2017. Seven complaints concerned </w:t>
      </w:r>
      <w:r w:rsidR="008F7B3B" w:rsidRPr="005C0ECA">
        <w:rPr>
          <w:rFonts w:ascii="Times New Roman" w:hAnsi="Times New Roman" w:cs="Times New Roman"/>
          <w:sz w:val="24"/>
          <w:szCs w:val="24"/>
        </w:rPr>
        <w:t xml:space="preserve">the </w:t>
      </w:r>
      <w:r w:rsidR="00800042" w:rsidRPr="005C0ECA">
        <w:rPr>
          <w:rFonts w:ascii="Times New Roman" w:hAnsi="Times New Roman" w:cs="Times New Roman"/>
          <w:sz w:val="24"/>
          <w:szCs w:val="24"/>
        </w:rPr>
        <w:t xml:space="preserve">quality </w:t>
      </w:r>
      <w:r w:rsidR="008F7B3B" w:rsidRPr="005C0ECA">
        <w:rPr>
          <w:rFonts w:ascii="Times New Roman" w:hAnsi="Times New Roman" w:cs="Times New Roman"/>
          <w:sz w:val="24"/>
          <w:szCs w:val="24"/>
        </w:rPr>
        <w:t xml:space="preserve">of </w:t>
      </w:r>
      <w:r w:rsidR="00800042" w:rsidRPr="005C0ECA">
        <w:rPr>
          <w:rFonts w:ascii="Times New Roman" w:hAnsi="Times New Roman" w:cs="Times New Roman"/>
          <w:sz w:val="24"/>
          <w:szCs w:val="24"/>
        </w:rPr>
        <w:t xml:space="preserve">medical service provision, including five resulting from the purchase of medical services (patient transfers). By contrast, in 2018, the ICHR received 48 complaints, including five </w:t>
      </w:r>
      <w:r w:rsidR="00816216" w:rsidRPr="005C0ECA">
        <w:rPr>
          <w:rFonts w:ascii="Times New Roman" w:hAnsi="Times New Roman" w:cs="Times New Roman"/>
          <w:sz w:val="24"/>
          <w:szCs w:val="24"/>
        </w:rPr>
        <w:t xml:space="preserve">on </w:t>
      </w:r>
      <w:r w:rsidR="00800042" w:rsidRPr="005C0ECA">
        <w:rPr>
          <w:rFonts w:ascii="Times New Roman" w:hAnsi="Times New Roman" w:cs="Times New Roman"/>
          <w:sz w:val="24"/>
          <w:szCs w:val="24"/>
        </w:rPr>
        <w:t xml:space="preserve">unavailable vaccinations and medicines, 32 on </w:t>
      </w:r>
      <w:r w:rsidR="00816216" w:rsidRPr="005C0ECA">
        <w:rPr>
          <w:rFonts w:ascii="Times New Roman" w:hAnsi="Times New Roman" w:cs="Times New Roman"/>
          <w:sz w:val="24"/>
          <w:szCs w:val="24"/>
        </w:rPr>
        <w:t xml:space="preserve">the </w:t>
      </w:r>
      <w:r w:rsidR="00800042" w:rsidRPr="005C0ECA">
        <w:rPr>
          <w:rFonts w:ascii="Times New Roman" w:hAnsi="Times New Roman" w:cs="Times New Roman"/>
          <w:sz w:val="24"/>
          <w:szCs w:val="24"/>
        </w:rPr>
        <w:t>lack</w:t>
      </w:r>
      <w:r w:rsidR="00816216" w:rsidRPr="005C0ECA">
        <w:rPr>
          <w:rFonts w:ascii="Times New Roman" w:hAnsi="Times New Roman" w:cs="Times New Roman"/>
          <w:sz w:val="24"/>
          <w:szCs w:val="24"/>
        </w:rPr>
        <w:t xml:space="preserve"> of</w:t>
      </w:r>
      <w:r w:rsidR="00800042" w:rsidRPr="005C0ECA">
        <w:rPr>
          <w:rFonts w:ascii="Times New Roman" w:hAnsi="Times New Roman" w:cs="Times New Roman"/>
          <w:sz w:val="24"/>
          <w:szCs w:val="24"/>
        </w:rPr>
        <w:t xml:space="preserve"> basic medical services, three on unavailable treatment centres in remote areas, and </w:t>
      </w:r>
      <w:r w:rsidR="004724BE" w:rsidRPr="005C0ECA">
        <w:rPr>
          <w:rFonts w:ascii="Times New Roman" w:hAnsi="Times New Roman" w:cs="Times New Roman"/>
          <w:sz w:val="24"/>
          <w:szCs w:val="24"/>
        </w:rPr>
        <w:t xml:space="preserve">eight </w:t>
      </w:r>
      <w:r w:rsidR="00800042" w:rsidRPr="005C0ECA">
        <w:rPr>
          <w:rFonts w:ascii="Times New Roman" w:hAnsi="Times New Roman" w:cs="Times New Roman"/>
          <w:sz w:val="24"/>
          <w:szCs w:val="24"/>
        </w:rPr>
        <w:t>on liability for medical errors.</w:t>
      </w:r>
      <w:r w:rsidR="004724BE" w:rsidRPr="005C0ECA">
        <w:rPr>
          <w:rFonts w:ascii="Times New Roman" w:hAnsi="Times New Roman" w:cs="Times New Roman"/>
          <w:sz w:val="24"/>
          <w:szCs w:val="24"/>
        </w:rPr>
        <w:t xml:space="preserve"> </w:t>
      </w:r>
    </w:p>
    <w:p w:rsidR="006166A6" w:rsidRPr="005C0ECA" w:rsidRDefault="006166A6" w:rsidP="00D51F94">
      <w:pPr>
        <w:jc w:val="both"/>
        <w:rPr>
          <w:rFonts w:ascii="Times New Roman" w:hAnsi="Times New Roman" w:cs="Times New Roman"/>
          <w:sz w:val="24"/>
          <w:szCs w:val="24"/>
        </w:rPr>
      </w:pPr>
      <w:r w:rsidRPr="005C0ECA">
        <w:rPr>
          <w:rFonts w:ascii="Times New Roman" w:hAnsi="Times New Roman" w:cs="Times New Roman"/>
          <w:sz w:val="24"/>
          <w:szCs w:val="24"/>
        </w:rPr>
        <w:t>Against this background, the ICHR</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"ICHR" </w:instrText>
      </w:r>
      <w:r w:rsidR="005C0ECA" w:rsidRPr="005C0ECA">
        <w:rPr>
          <w:rFonts w:ascii="Times New Roman" w:hAnsi="Times New Roman" w:cs="Times New Roman"/>
          <w:sz w:val="24"/>
          <w:szCs w:val="24"/>
        </w:rPr>
        <w:fldChar w:fldCharType="end"/>
      </w:r>
      <w:r w:rsidRPr="005C0ECA">
        <w:rPr>
          <w:rFonts w:ascii="Times New Roman" w:hAnsi="Times New Roman" w:cs="Times New Roman"/>
          <w:sz w:val="24"/>
          <w:szCs w:val="24"/>
        </w:rPr>
        <w:t xml:space="preserve"> recommends that: </w:t>
      </w:r>
    </w:p>
    <w:p w:rsidR="006166A6" w:rsidRPr="005C0ECA" w:rsidRDefault="00AF7E7E" w:rsidP="00816216">
      <w:pPr>
        <w:pStyle w:val="ListParagraph"/>
        <w:numPr>
          <w:ilvl w:val="0"/>
          <w:numId w:val="14"/>
        </w:numPr>
        <w:jc w:val="both"/>
        <w:rPr>
          <w:rFonts w:ascii="Times New Roman" w:hAnsi="Times New Roman" w:cs="Times New Roman"/>
          <w:sz w:val="24"/>
          <w:szCs w:val="24"/>
        </w:rPr>
      </w:pPr>
      <w:r w:rsidRPr="005C0ECA">
        <w:rPr>
          <w:rFonts w:ascii="Times New Roman" w:hAnsi="Times New Roman" w:cs="Times New Roman"/>
          <w:sz w:val="24"/>
          <w:szCs w:val="24"/>
        </w:rPr>
        <w:lastRenderedPageBreak/>
        <w:t xml:space="preserve">Health be considered as a right, rather than a service. This right </w:t>
      </w:r>
      <w:r w:rsidR="00816216" w:rsidRPr="005C0ECA">
        <w:rPr>
          <w:rFonts w:ascii="Times New Roman" w:hAnsi="Times New Roman" w:cs="Times New Roman"/>
          <w:sz w:val="24"/>
          <w:szCs w:val="24"/>
        </w:rPr>
        <w:t xml:space="preserve">should </w:t>
      </w:r>
      <w:r w:rsidRPr="005C0ECA">
        <w:rPr>
          <w:rFonts w:ascii="Times New Roman" w:hAnsi="Times New Roman" w:cs="Times New Roman"/>
          <w:sz w:val="24"/>
          <w:szCs w:val="24"/>
        </w:rPr>
        <w:t xml:space="preserve">be </w:t>
      </w:r>
      <w:r w:rsidR="00816216" w:rsidRPr="005C0ECA">
        <w:rPr>
          <w:rFonts w:ascii="Times New Roman" w:hAnsi="Times New Roman" w:cs="Times New Roman"/>
          <w:sz w:val="24"/>
          <w:szCs w:val="24"/>
        </w:rPr>
        <w:t xml:space="preserve">enshrined in </w:t>
      </w:r>
      <w:r w:rsidRPr="005C0ECA">
        <w:rPr>
          <w:rFonts w:ascii="Times New Roman" w:hAnsi="Times New Roman" w:cs="Times New Roman"/>
          <w:sz w:val="24"/>
          <w:szCs w:val="24"/>
        </w:rPr>
        <w:t xml:space="preserve">the Palestinian Basic Law. </w:t>
      </w:r>
    </w:p>
    <w:p w:rsidR="00AF7E7E" w:rsidRPr="005C0ECA" w:rsidRDefault="00AF7E7E" w:rsidP="00D51F94">
      <w:pPr>
        <w:pStyle w:val="ListParagraph"/>
        <w:numPr>
          <w:ilvl w:val="0"/>
          <w:numId w:val="14"/>
        </w:numPr>
        <w:jc w:val="both"/>
        <w:rPr>
          <w:rFonts w:ascii="Times New Roman" w:hAnsi="Times New Roman" w:cs="Times New Roman"/>
          <w:sz w:val="24"/>
          <w:szCs w:val="24"/>
        </w:rPr>
      </w:pPr>
      <w:r w:rsidRPr="005C0ECA">
        <w:rPr>
          <w:rFonts w:ascii="Times New Roman" w:hAnsi="Times New Roman" w:cs="Times New Roman"/>
          <w:sz w:val="24"/>
          <w:szCs w:val="24"/>
        </w:rPr>
        <w:t xml:space="preserve">The Law by Decree No. 13 of 2018 on Medical Protection and Safety be put </w:t>
      </w:r>
      <w:r w:rsidR="00196E71" w:rsidRPr="005C0ECA">
        <w:rPr>
          <w:rFonts w:ascii="Times New Roman" w:hAnsi="Times New Roman" w:cs="Times New Roman"/>
          <w:sz w:val="24"/>
          <w:szCs w:val="24"/>
        </w:rPr>
        <w:t>in</w:t>
      </w:r>
      <w:r w:rsidRPr="005C0ECA">
        <w:rPr>
          <w:rFonts w:ascii="Times New Roman" w:hAnsi="Times New Roman" w:cs="Times New Roman"/>
          <w:sz w:val="24"/>
          <w:szCs w:val="24"/>
        </w:rPr>
        <w:t xml:space="preserve">to effect. </w:t>
      </w:r>
    </w:p>
    <w:p w:rsidR="00AF7E7E" w:rsidRPr="005C0ECA" w:rsidRDefault="00AF7E7E" w:rsidP="00D51F94">
      <w:pPr>
        <w:pStyle w:val="ListParagraph"/>
        <w:numPr>
          <w:ilvl w:val="0"/>
          <w:numId w:val="14"/>
        </w:numPr>
        <w:jc w:val="both"/>
        <w:rPr>
          <w:rFonts w:ascii="Times New Roman" w:hAnsi="Times New Roman" w:cs="Times New Roman"/>
          <w:sz w:val="24"/>
          <w:szCs w:val="24"/>
        </w:rPr>
      </w:pPr>
      <w:r w:rsidRPr="005C0ECA">
        <w:rPr>
          <w:rFonts w:ascii="Times New Roman" w:hAnsi="Times New Roman" w:cs="Times New Roman"/>
          <w:sz w:val="24"/>
          <w:szCs w:val="24"/>
        </w:rPr>
        <w:t xml:space="preserve">A law on health insurance be approved to replace the current Regulation on Health </w:t>
      </w:r>
      <w:r w:rsidR="00446A8C" w:rsidRPr="005C0ECA">
        <w:rPr>
          <w:rFonts w:ascii="Times New Roman" w:hAnsi="Times New Roman" w:cs="Times New Roman"/>
          <w:sz w:val="24"/>
          <w:szCs w:val="24"/>
        </w:rPr>
        <w:t xml:space="preserve">Insurance, based on </w:t>
      </w:r>
      <w:bookmarkStart w:id="27" w:name="_Hlk79314875"/>
      <w:r w:rsidR="00446A8C" w:rsidRPr="005C0ECA">
        <w:rPr>
          <w:rFonts w:ascii="Times New Roman" w:hAnsi="Times New Roman" w:cs="Times New Roman"/>
          <w:sz w:val="24"/>
          <w:szCs w:val="24"/>
        </w:rPr>
        <w:t xml:space="preserve">World Health Organisation </w:t>
      </w:r>
      <w:bookmarkEnd w:id="27"/>
      <w:r w:rsidR="00D83041" w:rsidRPr="005C0ECA">
        <w:rPr>
          <w:rFonts w:ascii="Times New Roman" w:hAnsi="Times New Roman" w:cs="Times New Roman"/>
          <w:sz w:val="24"/>
          <w:szCs w:val="24"/>
        </w:rPr>
        <w:t>(WHO</w:t>
      </w:r>
      <w:r w:rsidR="005C0ECA" w:rsidRPr="005C0ECA">
        <w:rPr>
          <w:rFonts w:ascii="Times New Roman" w:hAnsi="Times New Roman" w:cs="Times New Roman"/>
          <w:sz w:val="24"/>
          <w:szCs w:val="24"/>
        </w:rPr>
        <w:fldChar w:fldCharType="begin"/>
      </w:r>
      <w:r w:rsidR="005C0ECA" w:rsidRPr="005C0ECA">
        <w:instrText xml:space="preserve"> TA \l "</w:instrText>
      </w:r>
      <w:r w:rsidR="005C0ECA" w:rsidRPr="005C0ECA">
        <w:rPr>
          <w:rFonts w:ascii="Times New Roman" w:hAnsi="Times New Roman" w:cs="Times New Roman"/>
          <w:sz w:val="24"/>
          <w:szCs w:val="24"/>
        </w:rPr>
        <w:instrText>WHO : World Health Organisation</w:instrText>
      </w:r>
      <w:r w:rsidR="005C0ECA" w:rsidRPr="005C0ECA">
        <w:instrText xml:space="preserve">" \s "WHO" \c 1 </w:instrText>
      </w:r>
      <w:r w:rsidR="005C0ECA" w:rsidRPr="005C0ECA">
        <w:rPr>
          <w:rFonts w:ascii="Times New Roman" w:hAnsi="Times New Roman" w:cs="Times New Roman"/>
          <w:sz w:val="24"/>
          <w:szCs w:val="24"/>
        </w:rPr>
        <w:fldChar w:fldCharType="end"/>
      </w:r>
      <w:r w:rsidR="00D83041" w:rsidRPr="005C0ECA">
        <w:rPr>
          <w:rFonts w:ascii="Times New Roman" w:hAnsi="Times New Roman" w:cs="Times New Roman"/>
          <w:sz w:val="24"/>
          <w:szCs w:val="24"/>
        </w:rPr>
        <w:t xml:space="preserve">) </w:t>
      </w:r>
      <w:r w:rsidR="00446A8C" w:rsidRPr="005C0ECA">
        <w:rPr>
          <w:rFonts w:ascii="Times New Roman" w:hAnsi="Times New Roman" w:cs="Times New Roman"/>
          <w:sz w:val="24"/>
          <w:szCs w:val="24"/>
        </w:rPr>
        <w:t xml:space="preserve">standards of health care provision. </w:t>
      </w:r>
    </w:p>
    <w:p w:rsidR="00446A8C" w:rsidRPr="005C0ECA" w:rsidRDefault="00446A8C" w:rsidP="004F602F">
      <w:pPr>
        <w:pStyle w:val="ListParagraph"/>
        <w:numPr>
          <w:ilvl w:val="0"/>
          <w:numId w:val="14"/>
        </w:numPr>
        <w:jc w:val="both"/>
        <w:rPr>
          <w:rFonts w:ascii="Times New Roman" w:hAnsi="Times New Roman" w:cs="Times New Roman"/>
          <w:sz w:val="24"/>
          <w:szCs w:val="24"/>
        </w:rPr>
      </w:pPr>
      <w:r w:rsidRPr="005C0ECA">
        <w:rPr>
          <w:rFonts w:ascii="Times New Roman" w:hAnsi="Times New Roman" w:cs="Times New Roman"/>
          <w:sz w:val="24"/>
          <w:szCs w:val="24"/>
        </w:rPr>
        <w:t xml:space="preserve">The existing health system be improved in view of </w:t>
      </w:r>
      <w:r w:rsidR="00DF36EE" w:rsidRPr="005C0ECA">
        <w:rPr>
          <w:rFonts w:ascii="Times New Roman" w:hAnsi="Times New Roman" w:cs="Times New Roman"/>
          <w:sz w:val="24"/>
          <w:szCs w:val="24"/>
        </w:rPr>
        <w:t xml:space="preserve">the </w:t>
      </w:r>
      <w:r w:rsidRPr="005C0ECA">
        <w:rPr>
          <w:rFonts w:ascii="Times New Roman" w:hAnsi="Times New Roman" w:cs="Times New Roman"/>
          <w:sz w:val="24"/>
          <w:szCs w:val="24"/>
        </w:rPr>
        <w:t xml:space="preserve">significant challenges </w:t>
      </w:r>
      <w:r w:rsidR="00D67B8E" w:rsidRPr="005C0ECA">
        <w:rPr>
          <w:rFonts w:ascii="Times New Roman" w:hAnsi="Times New Roman" w:cs="Times New Roman"/>
          <w:sz w:val="24"/>
          <w:szCs w:val="24"/>
        </w:rPr>
        <w:t xml:space="preserve">that came to light </w:t>
      </w:r>
      <w:r w:rsidRPr="005C0ECA">
        <w:rPr>
          <w:rFonts w:ascii="Times New Roman" w:hAnsi="Times New Roman" w:cs="Times New Roman"/>
          <w:sz w:val="24"/>
          <w:szCs w:val="24"/>
        </w:rPr>
        <w:t>in the context of the COVID-19 pandemic.</w:t>
      </w:r>
      <w:r w:rsidRPr="005C0ECA">
        <w:rPr>
          <w:rStyle w:val="FootnoteReference"/>
          <w:rFonts w:ascii="Times New Roman" w:hAnsi="Times New Roman" w:cs="Times New Roman"/>
          <w:sz w:val="24"/>
          <w:szCs w:val="24"/>
        </w:rPr>
        <w:footnoteReference w:id="8"/>
      </w:r>
      <w:r w:rsidRPr="005C0ECA">
        <w:rPr>
          <w:rFonts w:ascii="Times New Roman" w:hAnsi="Times New Roman" w:cs="Times New Roman"/>
          <w:sz w:val="24"/>
          <w:szCs w:val="24"/>
        </w:rPr>
        <w:t xml:space="preserve"> </w:t>
      </w:r>
      <w:r w:rsidR="00DF36EE" w:rsidRPr="005C0ECA">
        <w:rPr>
          <w:rFonts w:ascii="Times New Roman" w:hAnsi="Times New Roman" w:cs="Times New Roman"/>
          <w:sz w:val="24"/>
          <w:szCs w:val="24"/>
        </w:rPr>
        <w:t xml:space="preserve">In addition to paying attention to primary health care, medical professionals, medicines, and </w:t>
      </w:r>
      <w:r w:rsidR="00D67B8E" w:rsidRPr="005C0ECA">
        <w:rPr>
          <w:rFonts w:ascii="Times New Roman" w:hAnsi="Times New Roman" w:cs="Times New Roman"/>
          <w:sz w:val="24"/>
          <w:szCs w:val="24"/>
        </w:rPr>
        <w:t xml:space="preserve">paramedical </w:t>
      </w:r>
      <w:r w:rsidR="00DF36EE" w:rsidRPr="005C0ECA">
        <w:rPr>
          <w:rFonts w:ascii="Times New Roman" w:hAnsi="Times New Roman" w:cs="Times New Roman"/>
          <w:sz w:val="24"/>
          <w:szCs w:val="24"/>
        </w:rPr>
        <w:t xml:space="preserve">services will be provided. </w:t>
      </w:r>
    </w:p>
    <w:p w:rsidR="00071A5A" w:rsidRPr="005C0ECA" w:rsidRDefault="00071A5A" w:rsidP="00D51F94">
      <w:pPr>
        <w:jc w:val="both"/>
        <w:rPr>
          <w:rFonts w:ascii="Times New Roman" w:hAnsi="Times New Roman" w:cs="Times New Roman"/>
          <w:sz w:val="24"/>
          <w:szCs w:val="24"/>
        </w:rPr>
      </w:pPr>
    </w:p>
    <w:p w:rsidR="00071A5A" w:rsidRPr="005C0ECA" w:rsidRDefault="00071A5A" w:rsidP="005C0ECA">
      <w:pPr>
        <w:pStyle w:val="Heading1"/>
        <w:rPr>
          <w:rFonts w:asciiTheme="majorBidi" w:hAnsiTheme="majorBidi"/>
          <w:b/>
          <w:bCs/>
          <w:color w:val="auto"/>
        </w:rPr>
      </w:pPr>
      <w:bookmarkStart w:id="28" w:name="_Toc79315048"/>
      <w:r w:rsidRPr="005C0ECA">
        <w:rPr>
          <w:rFonts w:asciiTheme="majorBidi" w:hAnsiTheme="majorBidi"/>
          <w:b/>
          <w:bCs/>
          <w:color w:val="auto"/>
        </w:rPr>
        <w:t>Right to education</w:t>
      </w:r>
      <w:bookmarkEnd w:id="28"/>
      <w:r w:rsidRPr="005C0ECA">
        <w:rPr>
          <w:rFonts w:asciiTheme="majorBidi" w:hAnsiTheme="majorBidi"/>
          <w:b/>
          <w:bCs/>
          <w:color w:val="auto"/>
        </w:rPr>
        <w:t xml:space="preserve"> </w:t>
      </w:r>
    </w:p>
    <w:p w:rsidR="00071A5A" w:rsidRPr="005C0ECA" w:rsidRDefault="00071A5A" w:rsidP="001A3547">
      <w:pPr>
        <w:jc w:val="both"/>
        <w:rPr>
          <w:rFonts w:ascii="Times New Roman" w:hAnsi="Times New Roman" w:cs="Times New Roman"/>
          <w:sz w:val="24"/>
          <w:szCs w:val="24"/>
        </w:rPr>
      </w:pPr>
      <w:r w:rsidRPr="005C0ECA">
        <w:rPr>
          <w:rFonts w:ascii="Times New Roman" w:hAnsi="Times New Roman" w:cs="Times New Roman"/>
          <w:sz w:val="24"/>
          <w:szCs w:val="24"/>
        </w:rPr>
        <w:t xml:space="preserve">The Law by Decree No. 8 of 2017 </w:t>
      </w:r>
      <w:r w:rsidR="006D4137" w:rsidRPr="005C0ECA">
        <w:rPr>
          <w:rFonts w:ascii="Times New Roman" w:hAnsi="Times New Roman" w:cs="Times New Roman"/>
          <w:sz w:val="24"/>
          <w:szCs w:val="24"/>
        </w:rPr>
        <w:t xml:space="preserve">on General Education </w:t>
      </w:r>
      <w:r w:rsidR="0026251F" w:rsidRPr="005C0ECA">
        <w:rPr>
          <w:rFonts w:ascii="Times New Roman" w:hAnsi="Times New Roman" w:cs="Times New Roman"/>
          <w:sz w:val="24"/>
          <w:szCs w:val="24"/>
        </w:rPr>
        <w:t xml:space="preserve">does not provide for free secondary education. It involves a breach of the principle of free education at public schools, institutes and institutions. The law by decree </w:t>
      </w:r>
      <w:r w:rsidR="006D4137" w:rsidRPr="005C0ECA">
        <w:rPr>
          <w:rFonts w:ascii="Times New Roman" w:hAnsi="Times New Roman" w:cs="Times New Roman"/>
          <w:sz w:val="24"/>
          <w:szCs w:val="24"/>
        </w:rPr>
        <w:t xml:space="preserve">does not include a clear and explicit provision, asserting the freedom of belief, free circulation of ideas, and right to freedom of opinion and expression. </w:t>
      </w:r>
      <w:r w:rsidR="0026251F" w:rsidRPr="005C0ECA">
        <w:rPr>
          <w:rFonts w:ascii="Times New Roman" w:hAnsi="Times New Roman" w:cs="Times New Roman"/>
          <w:sz w:val="24"/>
          <w:szCs w:val="24"/>
        </w:rPr>
        <w:t xml:space="preserve">It </w:t>
      </w:r>
      <w:r w:rsidR="006D4137" w:rsidRPr="005C0ECA">
        <w:rPr>
          <w:rFonts w:ascii="Times New Roman" w:hAnsi="Times New Roman" w:cs="Times New Roman"/>
          <w:sz w:val="24"/>
          <w:szCs w:val="24"/>
        </w:rPr>
        <w:t>does not expressly prohibit corporal punishment in schools.</w:t>
      </w:r>
      <w:r w:rsidR="0026251F" w:rsidRPr="005C0ECA">
        <w:rPr>
          <w:rFonts w:ascii="Times New Roman" w:hAnsi="Times New Roman" w:cs="Times New Roman"/>
          <w:sz w:val="24"/>
          <w:szCs w:val="24"/>
        </w:rPr>
        <w:t xml:space="preserve"> </w:t>
      </w:r>
    </w:p>
    <w:p w:rsidR="00071A5A" w:rsidRPr="005C0ECA" w:rsidRDefault="009D0FE0" w:rsidP="00902AD9">
      <w:pPr>
        <w:jc w:val="both"/>
        <w:rPr>
          <w:rFonts w:ascii="Times New Roman" w:hAnsi="Times New Roman" w:cs="Times New Roman"/>
          <w:sz w:val="24"/>
          <w:szCs w:val="24"/>
        </w:rPr>
      </w:pPr>
      <w:r w:rsidRPr="005C0ECA">
        <w:rPr>
          <w:rFonts w:ascii="Times New Roman" w:hAnsi="Times New Roman" w:cs="Times New Roman"/>
          <w:sz w:val="24"/>
          <w:szCs w:val="24"/>
        </w:rPr>
        <w:t xml:space="preserve">The Law by Decree No. 6 of 2018 does not </w:t>
      </w:r>
      <w:r w:rsidR="006F6F9E" w:rsidRPr="005C0ECA">
        <w:rPr>
          <w:rFonts w:ascii="Times New Roman" w:hAnsi="Times New Roman" w:cs="Times New Roman"/>
          <w:sz w:val="24"/>
          <w:szCs w:val="24"/>
        </w:rPr>
        <w:t xml:space="preserve">explicitly </w:t>
      </w:r>
      <w:r w:rsidRPr="005C0ECA">
        <w:rPr>
          <w:rFonts w:ascii="Times New Roman" w:hAnsi="Times New Roman" w:cs="Times New Roman"/>
          <w:sz w:val="24"/>
          <w:szCs w:val="24"/>
        </w:rPr>
        <w:t xml:space="preserve">provide that higher education is a right and free of charge, just like general education. Furthermore, the </w:t>
      </w:r>
      <w:r w:rsidR="006F6F9E" w:rsidRPr="005C0ECA">
        <w:rPr>
          <w:rFonts w:ascii="Times New Roman" w:hAnsi="Times New Roman" w:cs="Times New Roman"/>
          <w:sz w:val="24"/>
          <w:szCs w:val="24"/>
        </w:rPr>
        <w:t>l</w:t>
      </w:r>
      <w:r w:rsidRPr="005C0ECA">
        <w:rPr>
          <w:rFonts w:ascii="Times New Roman" w:hAnsi="Times New Roman" w:cs="Times New Roman"/>
          <w:sz w:val="24"/>
          <w:szCs w:val="24"/>
        </w:rPr>
        <w:t xml:space="preserve">aw by </w:t>
      </w:r>
      <w:r w:rsidR="006F6F9E" w:rsidRPr="005C0ECA">
        <w:rPr>
          <w:rFonts w:ascii="Times New Roman" w:hAnsi="Times New Roman" w:cs="Times New Roman"/>
          <w:sz w:val="24"/>
          <w:szCs w:val="24"/>
        </w:rPr>
        <w:t>d</w:t>
      </w:r>
      <w:r w:rsidRPr="005C0ECA">
        <w:rPr>
          <w:rFonts w:ascii="Times New Roman" w:hAnsi="Times New Roman" w:cs="Times New Roman"/>
          <w:sz w:val="24"/>
          <w:szCs w:val="24"/>
        </w:rPr>
        <w:t xml:space="preserve">ecree does not confirm that higher education is a non-profit service, which is incumbent on the </w:t>
      </w:r>
      <w:r w:rsidR="006F6F9E" w:rsidRPr="005C0ECA">
        <w:rPr>
          <w:rFonts w:ascii="Times New Roman" w:hAnsi="Times New Roman" w:cs="Times New Roman"/>
          <w:sz w:val="24"/>
          <w:szCs w:val="24"/>
        </w:rPr>
        <w:t>S</w:t>
      </w:r>
      <w:r w:rsidRPr="005C0ECA">
        <w:rPr>
          <w:rFonts w:ascii="Times New Roman" w:hAnsi="Times New Roman" w:cs="Times New Roman"/>
          <w:sz w:val="24"/>
          <w:szCs w:val="24"/>
        </w:rPr>
        <w:t xml:space="preserve">tate. The Law by Decree on Higher Education does not include separate and clear provisions on integrating </w:t>
      </w:r>
      <w:bookmarkStart w:id="29" w:name="_Hlk79314902"/>
      <w:r w:rsidR="00C6479B" w:rsidRPr="005C0ECA">
        <w:rPr>
          <w:rFonts w:ascii="Times New Roman" w:hAnsi="Times New Roman" w:cs="Times New Roman"/>
          <w:sz w:val="24"/>
          <w:szCs w:val="24"/>
        </w:rPr>
        <w:t xml:space="preserve">technical and vocational education and training </w:t>
      </w:r>
      <w:bookmarkEnd w:id="29"/>
      <w:r w:rsidR="00C6479B" w:rsidRPr="005C0ECA">
        <w:rPr>
          <w:rFonts w:ascii="Times New Roman" w:hAnsi="Times New Roman" w:cs="Times New Roman"/>
          <w:sz w:val="24"/>
          <w:szCs w:val="24"/>
        </w:rPr>
        <w:t>(</w:t>
      </w:r>
      <w:r w:rsidRPr="005C0ECA">
        <w:rPr>
          <w:rFonts w:ascii="Times New Roman" w:hAnsi="Times New Roman" w:cs="Times New Roman"/>
          <w:sz w:val="24"/>
          <w:szCs w:val="24"/>
        </w:rPr>
        <w:t>TVET</w:t>
      </w:r>
      <w:r w:rsidR="005C0ECA" w:rsidRPr="005C0ECA">
        <w:rPr>
          <w:rFonts w:ascii="Times New Roman" w:hAnsi="Times New Roman" w:cs="Times New Roman"/>
          <w:sz w:val="24"/>
          <w:szCs w:val="24"/>
        </w:rPr>
        <w:fldChar w:fldCharType="begin"/>
      </w:r>
      <w:r w:rsidR="005C0ECA" w:rsidRPr="005C0ECA">
        <w:instrText xml:space="preserve"> TA \l "</w:instrText>
      </w:r>
      <w:r w:rsidR="005C0ECA" w:rsidRPr="005C0ECA">
        <w:rPr>
          <w:rFonts w:ascii="Times New Roman" w:hAnsi="Times New Roman" w:cs="Times New Roman"/>
          <w:sz w:val="24"/>
          <w:szCs w:val="24"/>
        </w:rPr>
        <w:instrText>TVET: technical and vocational education and training</w:instrText>
      </w:r>
      <w:r w:rsidR="005C0ECA" w:rsidRPr="005C0ECA">
        <w:instrText xml:space="preserve">" \s "TVET" \c 1 </w:instrText>
      </w:r>
      <w:r w:rsidR="005C0ECA" w:rsidRPr="005C0ECA">
        <w:rPr>
          <w:rFonts w:ascii="Times New Roman" w:hAnsi="Times New Roman" w:cs="Times New Roman"/>
          <w:sz w:val="24"/>
          <w:szCs w:val="24"/>
        </w:rPr>
        <w:fldChar w:fldCharType="end"/>
      </w:r>
      <w:r w:rsidR="00C6479B" w:rsidRPr="005C0ECA">
        <w:rPr>
          <w:rFonts w:ascii="Times New Roman" w:hAnsi="Times New Roman" w:cs="Times New Roman"/>
          <w:sz w:val="24"/>
          <w:szCs w:val="24"/>
        </w:rPr>
        <w:t>)</w:t>
      </w:r>
      <w:r w:rsidRPr="005C0ECA">
        <w:rPr>
          <w:rFonts w:ascii="Times New Roman" w:hAnsi="Times New Roman" w:cs="Times New Roman"/>
          <w:sz w:val="24"/>
          <w:szCs w:val="24"/>
        </w:rPr>
        <w:t xml:space="preserve"> within higher education. TVET is essentially an integral part of education at all levels. The law by decree does neither explicitly nor clearly confirm that higher education institutions and scientific research centres enjoy full independence. </w:t>
      </w:r>
      <w:r w:rsidR="00CB2354" w:rsidRPr="005C0ECA">
        <w:rPr>
          <w:rFonts w:ascii="Times New Roman" w:hAnsi="Times New Roman" w:cs="Times New Roman"/>
          <w:sz w:val="24"/>
          <w:szCs w:val="24"/>
        </w:rPr>
        <w:t>Additionally</w:t>
      </w:r>
      <w:r w:rsidRPr="005C0ECA">
        <w:rPr>
          <w:rFonts w:ascii="Times New Roman" w:hAnsi="Times New Roman" w:cs="Times New Roman"/>
          <w:sz w:val="24"/>
          <w:szCs w:val="24"/>
        </w:rPr>
        <w:t xml:space="preserve">, it does not ensure </w:t>
      </w:r>
      <w:r w:rsidR="00CB2354" w:rsidRPr="005C0ECA">
        <w:rPr>
          <w:rFonts w:ascii="Times New Roman" w:hAnsi="Times New Roman" w:cs="Times New Roman"/>
          <w:sz w:val="24"/>
          <w:szCs w:val="24"/>
        </w:rPr>
        <w:t xml:space="preserve">freedom of scientific research, literary, cultural and artistic innovation. The law by decree does not provide for </w:t>
      </w:r>
      <w:r w:rsidRPr="005C0ECA">
        <w:rPr>
          <w:rFonts w:ascii="Times New Roman" w:hAnsi="Times New Roman" w:cs="Times New Roman"/>
          <w:sz w:val="24"/>
          <w:szCs w:val="24"/>
        </w:rPr>
        <w:t>protection and maintenance of human dignity, respect for pluralism and equality, and safeguarding of intellectual property and copyright issues.</w:t>
      </w:r>
      <w:r w:rsidR="00CE4B4F" w:rsidRPr="005C0ECA">
        <w:rPr>
          <w:rFonts w:ascii="Times New Roman" w:hAnsi="Times New Roman" w:cs="Times New Roman"/>
          <w:sz w:val="24"/>
          <w:szCs w:val="24"/>
        </w:rPr>
        <w:t xml:space="preserve"> Contrary to paragraph 6 of the </w:t>
      </w:r>
      <w:r w:rsidR="00CE4B4F" w:rsidRPr="005C0ECA">
        <w:rPr>
          <w:rFonts w:ascii="Times New Roman" w:hAnsi="Times New Roman" w:cs="Times New Roman"/>
          <w:sz w:val="24"/>
          <w:szCs w:val="24"/>
        </w:rPr>
        <w:lastRenderedPageBreak/>
        <w:t xml:space="preserve">General Comment No. 13 of 1999, the </w:t>
      </w:r>
      <w:r w:rsidR="00902AD9" w:rsidRPr="005C0ECA">
        <w:rPr>
          <w:rFonts w:ascii="Times New Roman" w:hAnsi="Times New Roman" w:cs="Times New Roman"/>
          <w:sz w:val="24"/>
          <w:szCs w:val="24"/>
        </w:rPr>
        <w:t>l</w:t>
      </w:r>
      <w:r w:rsidR="00CE4B4F" w:rsidRPr="005C0ECA">
        <w:rPr>
          <w:rFonts w:ascii="Times New Roman" w:hAnsi="Times New Roman" w:cs="Times New Roman"/>
          <w:sz w:val="24"/>
          <w:szCs w:val="24"/>
        </w:rPr>
        <w:t xml:space="preserve">aw by </w:t>
      </w:r>
      <w:r w:rsidR="00902AD9" w:rsidRPr="005C0ECA">
        <w:rPr>
          <w:rFonts w:ascii="Times New Roman" w:hAnsi="Times New Roman" w:cs="Times New Roman"/>
          <w:sz w:val="24"/>
          <w:szCs w:val="24"/>
        </w:rPr>
        <w:t>d</w:t>
      </w:r>
      <w:r w:rsidR="00CE4B4F" w:rsidRPr="005C0ECA">
        <w:rPr>
          <w:rFonts w:ascii="Times New Roman" w:hAnsi="Times New Roman" w:cs="Times New Roman"/>
          <w:sz w:val="24"/>
          <w:szCs w:val="24"/>
        </w:rPr>
        <w:t xml:space="preserve">ecree does not contain a separate provision, </w:t>
      </w:r>
      <w:r w:rsidR="00562EEB" w:rsidRPr="005C0ECA">
        <w:rPr>
          <w:rFonts w:ascii="Times New Roman" w:hAnsi="Times New Roman" w:cs="Times New Roman"/>
          <w:sz w:val="24"/>
          <w:szCs w:val="24"/>
        </w:rPr>
        <w:t>emphasising</w:t>
      </w:r>
      <w:r w:rsidR="00CE4B4F" w:rsidRPr="005C0ECA">
        <w:rPr>
          <w:rFonts w:ascii="Times New Roman" w:hAnsi="Times New Roman" w:cs="Times New Roman"/>
          <w:sz w:val="24"/>
          <w:szCs w:val="24"/>
        </w:rPr>
        <w:t xml:space="preserve"> key principles of the education</w:t>
      </w:r>
      <w:r w:rsidR="00BE4E83" w:rsidRPr="005C0ECA">
        <w:rPr>
          <w:rFonts w:ascii="Times New Roman" w:hAnsi="Times New Roman" w:cs="Times New Roman"/>
          <w:sz w:val="24"/>
          <w:szCs w:val="24"/>
        </w:rPr>
        <w:t>al</w:t>
      </w:r>
      <w:r w:rsidR="00CE4B4F" w:rsidRPr="005C0ECA">
        <w:rPr>
          <w:rFonts w:ascii="Times New Roman" w:hAnsi="Times New Roman" w:cs="Times New Roman"/>
          <w:sz w:val="24"/>
          <w:szCs w:val="24"/>
        </w:rPr>
        <w:t xml:space="preserve"> process. </w:t>
      </w:r>
    </w:p>
    <w:p w:rsidR="00397ED5" w:rsidRPr="005C0ECA" w:rsidRDefault="00CE4B4F" w:rsidP="00BE4E83">
      <w:pPr>
        <w:jc w:val="both"/>
        <w:rPr>
          <w:rFonts w:ascii="Times New Roman" w:hAnsi="Times New Roman" w:cs="Times New Roman"/>
          <w:sz w:val="24"/>
          <w:szCs w:val="24"/>
        </w:rPr>
      </w:pPr>
      <w:r w:rsidRPr="005C0ECA">
        <w:rPr>
          <w:rFonts w:ascii="Times New Roman" w:hAnsi="Times New Roman" w:cs="Times New Roman"/>
          <w:sz w:val="24"/>
          <w:szCs w:val="24"/>
        </w:rPr>
        <w:t xml:space="preserve">Although </w:t>
      </w:r>
      <w:r w:rsidR="00BE4E83" w:rsidRPr="005C0ECA">
        <w:rPr>
          <w:rFonts w:ascii="Times New Roman" w:hAnsi="Times New Roman" w:cs="Times New Roman"/>
          <w:sz w:val="24"/>
          <w:szCs w:val="24"/>
        </w:rPr>
        <w:t xml:space="preserve">budgeted allocations of </w:t>
      </w:r>
      <w:r w:rsidRPr="005C0ECA">
        <w:rPr>
          <w:rFonts w:ascii="Times New Roman" w:hAnsi="Times New Roman" w:cs="Times New Roman"/>
          <w:sz w:val="24"/>
          <w:szCs w:val="24"/>
        </w:rPr>
        <w:t xml:space="preserve">the </w:t>
      </w:r>
      <w:r w:rsidR="00FE7BFC" w:rsidRPr="005C0ECA">
        <w:rPr>
          <w:rFonts w:ascii="Times New Roman" w:hAnsi="Times New Roman" w:cs="Times New Roman"/>
          <w:sz w:val="24"/>
          <w:szCs w:val="24"/>
        </w:rPr>
        <w:t>Ministry of Education (</w:t>
      </w:r>
      <w:r w:rsidRPr="005C0ECA">
        <w:rPr>
          <w:rFonts w:ascii="Times New Roman" w:hAnsi="Times New Roman" w:cs="Times New Roman"/>
          <w:sz w:val="24"/>
          <w:szCs w:val="24"/>
        </w:rPr>
        <w:t>MoE</w:t>
      </w:r>
      <w:r w:rsidR="00FE7BFC" w:rsidRPr="005C0ECA">
        <w:rPr>
          <w:rFonts w:ascii="Times New Roman" w:hAnsi="Times New Roman" w:cs="Times New Roman"/>
          <w:sz w:val="24"/>
          <w:szCs w:val="24"/>
        </w:rPr>
        <w:t>)</w:t>
      </w:r>
      <w:r w:rsidRPr="005C0ECA">
        <w:rPr>
          <w:rFonts w:ascii="Times New Roman" w:hAnsi="Times New Roman" w:cs="Times New Roman"/>
          <w:sz w:val="24"/>
          <w:szCs w:val="24"/>
        </w:rPr>
        <w:t xml:space="preserve"> </w:t>
      </w:r>
      <w:r w:rsidR="00BE4E83" w:rsidRPr="005C0ECA">
        <w:rPr>
          <w:rFonts w:ascii="Times New Roman" w:hAnsi="Times New Roman" w:cs="Times New Roman"/>
          <w:sz w:val="24"/>
          <w:szCs w:val="24"/>
        </w:rPr>
        <w:t xml:space="preserve">account for </w:t>
      </w:r>
      <w:r w:rsidRPr="005C0ECA">
        <w:rPr>
          <w:rFonts w:ascii="Times New Roman" w:hAnsi="Times New Roman" w:cs="Times New Roman"/>
          <w:sz w:val="24"/>
          <w:szCs w:val="24"/>
        </w:rPr>
        <w:t>almost one fifth of the State’s general budget,</w:t>
      </w:r>
      <w:r w:rsidR="00FE7BFC" w:rsidRPr="005C0ECA">
        <w:rPr>
          <w:rFonts w:ascii="Times New Roman" w:hAnsi="Times New Roman" w:cs="Times New Roman"/>
          <w:sz w:val="24"/>
          <w:szCs w:val="24"/>
        </w:rPr>
        <w:t xml:space="preserve"> salaries and wages take up half this budget. On the other hand, development expenditures are just 25 percent of the MoE budget. Of note, the MoE spend </w:t>
      </w:r>
      <w:r w:rsidR="00BE4E83" w:rsidRPr="005C0ECA">
        <w:rPr>
          <w:rFonts w:ascii="Times New Roman" w:hAnsi="Times New Roman" w:cs="Times New Roman"/>
          <w:sz w:val="24"/>
          <w:szCs w:val="24"/>
        </w:rPr>
        <w:t>little</w:t>
      </w:r>
      <w:r w:rsidR="00FE7BFC" w:rsidRPr="005C0ECA">
        <w:rPr>
          <w:rFonts w:ascii="Times New Roman" w:hAnsi="Times New Roman" w:cs="Times New Roman"/>
          <w:sz w:val="24"/>
          <w:szCs w:val="24"/>
        </w:rPr>
        <w:t xml:space="preserve"> amounts on programmes aiming to improve the educational process. This spending is not sufficient to achieve set objectives. As a result, the whole educational process faces difficult conditions that inhibit the development of both material and human infrastructure.</w:t>
      </w:r>
      <w:r w:rsidR="00565AEC" w:rsidRPr="005C0ECA">
        <w:rPr>
          <w:rFonts w:ascii="Times New Roman" w:hAnsi="Times New Roman" w:cs="Times New Roman"/>
          <w:sz w:val="24"/>
          <w:szCs w:val="24"/>
        </w:rPr>
        <w:t xml:space="preserve"> Accommodating some 78 percent of all university students, Palestinian universities are crippled by a permanent budget deficit, ranging from 20 to 50 percent. </w:t>
      </w:r>
      <w:r w:rsidR="00397ED5" w:rsidRPr="005C0ECA">
        <w:rPr>
          <w:rFonts w:ascii="Times New Roman" w:hAnsi="Times New Roman" w:cs="Times New Roman"/>
          <w:sz w:val="24"/>
          <w:szCs w:val="24"/>
        </w:rPr>
        <w:t xml:space="preserve">A primary cause of this deficit is the lack </w:t>
      </w:r>
      <w:r w:rsidR="00623D1C" w:rsidRPr="005C0ECA">
        <w:rPr>
          <w:rFonts w:ascii="Times New Roman" w:hAnsi="Times New Roman" w:cs="Times New Roman"/>
          <w:sz w:val="24"/>
          <w:szCs w:val="24"/>
        </w:rPr>
        <w:t xml:space="preserve">of </w:t>
      </w:r>
      <w:r w:rsidR="00397ED5" w:rsidRPr="005C0ECA">
        <w:rPr>
          <w:rFonts w:ascii="Times New Roman" w:hAnsi="Times New Roman" w:cs="Times New Roman"/>
          <w:sz w:val="24"/>
          <w:szCs w:val="24"/>
        </w:rPr>
        <w:t xml:space="preserve">regulations and policies, which should regulate government financing of the higher education sector. </w:t>
      </w:r>
    </w:p>
    <w:p w:rsidR="00E011C6" w:rsidRPr="005C0ECA" w:rsidRDefault="00EA7EB7" w:rsidP="006D13E2">
      <w:pPr>
        <w:jc w:val="both"/>
        <w:rPr>
          <w:rFonts w:ascii="Times New Roman" w:hAnsi="Times New Roman" w:cs="Times New Roman"/>
          <w:sz w:val="24"/>
          <w:szCs w:val="24"/>
        </w:rPr>
      </w:pPr>
      <w:r w:rsidRPr="005C0ECA">
        <w:rPr>
          <w:rFonts w:ascii="Times New Roman" w:hAnsi="Times New Roman" w:cs="Times New Roman"/>
          <w:sz w:val="24"/>
          <w:szCs w:val="24"/>
        </w:rPr>
        <w:t>According to ICHR</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"ICHR" </w:instrText>
      </w:r>
      <w:r w:rsidR="005C0ECA" w:rsidRPr="005C0ECA">
        <w:rPr>
          <w:rFonts w:ascii="Times New Roman" w:hAnsi="Times New Roman" w:cs="Times New Roman"/>
          <w:sz w:val="24"/>
          <w:szCs w:val="24"/>
        </w:rPr>
        <w:fldChar w:fldCharType="end"/>
      </w:r>
      <w:r w:rsidRPr="005C0ECA">
        <w:rPr>
          <w:rFonts w:ascii="Times New Roman" w:hAnsi="Times New Roman" w:cs="Times New Roman"/>
          <w:sz w:val="24"/>
          <w:szCs w:val="24"/>
        </w:rPr>
        <w:t xml:space="preserve"> monitoring, the </w:t>
      </w:r>
      <w:r w:rsidR="00E011C6" w:rsidRPr="005C0ECA">
        <w:rPr>
          <w:rFonts w:ascii="Times New Roman" w:hAnsi="Times New Roman" w:cs="Times New Roman"/>
          <w:sz w:val="24"/>
          <w:szCs w:val="24"/>
        </w:rPr>
        <w:t>right of vulnerable and marginalised groups to education</w:t>
      </w:r>
      <w:r w:rsidRPr="005C0ECA">
        <w:rPr>
          <w:rFonts w:ascii="Times New Roman" w:hAnsi="Times New Roman" w:cs="Times New Roman"/>
          <w:sz w:val="24"/>
          <w:szCs w:val="24"/>
        </w:rPr>
        <w:t xml:space="preserve"> is abused. </w:t>
      </w:r>
      <w:r w:rsidR="00E011C6" w:rsidRPr="005C0ECA">
        <w:rPr>
          <w:rFonts w:ascii="Times New Roman" w:hAnsi="Times New Roman" w:cs="Times New Roman"/>
          <w:sz w:val="24"/>
          <w:szCs w:val="24"/>
        </w:rPr>
        <w:t xml:space="preserve">MoE </w:t>
      </w:r>
      <w:r w:rsidRPr="005C0ECA">
        <w:rPr>
          <w:rFonts w:ascii="Times New Roman" w:hAnsi="Times New Roman" w:cs="Times New Roman"/>
          <w:sz w:val="24"/>
          <w:szCs w:val="24"/>
        </w:rPr>
        <w:t xml:space="preserve">data </w:t>
      </w:r>
      <w:r w:rsidR="00E011C6" w:rsidRPr="005C0ECA">
        <w:rPr>
          <w:rFonts w:ascii="Times New Roman" w:hAnsi="Times New Roman" w:cs="Times New Roman"/>
          <w:sz w:val="24"/>
          <w:szCs w:val="24"/>
        </w:rPr>
        <w:t xml:space="preserve">showed </w:t>
      </w:r>
      <w:r w:rsidRPr="005C0ECA">
        <w:rPr>
          <w:rFonts w:ascii="Times New Roman" w:hAnsi="Times New Roman" w:cs="Times New Roman"/>
          <w:sz w:val="24"/>
          <w:szCs w:val="24"/>
        </w:rPr>
        <w:t xml:space="preserve">that </w:t>
      </w:r>
      <w:r w:rsidR="00E011C6" w:rsidRPr="005C0ECA">
        <w:rPr>
          <w:rFonts w:ascii="Times New Roman" w:hAnsi="Times New Roman" w:cs="Times New Roman"/>
          <w:sz w:val="24"/>
          <w:szCs w:val="24"/>
        </w:rPr>
        <w:t>the gross enrolment ratio at kindergartens (KG 1 and KG 2)</w:t>
      </w:r>
      <w:r w:rsidRPr="005C0ECA">
        <w:rPr>
          <w:rFonts w:ascii="Times New Roman" w:hAnsi="Times New Roman" w:cs="Times New Roman"/>
          <w:sz w:val="24"/>
          <w:szCs w:val="24"/>
        </w:rPr>
        <w:t xml:space="preserve"> was approximately 56 percent. P</w:t>
      </w:r>
      <w:r w:rsidR="00E011C6" w:rsidRPr="005C0ECA">
        <w:rPr>
          <w:rFonts w:ascii="Times New Roman" w:hAnsi="Times New Roman" w:cs="Times New Roman"/>
          <w:sz w:val="24"/>
          <w:szCs w:val="24"/>
        </w:rPr>
        <w:t>upils at government kindergartens only represented 1.</w:t>
      </w:r>
      <w:r w:rsidRPr="005C0ECA">
        <w:rPr>
          <w:rFonts w:ascii="Times New Roman" w:hAnsi="Times New Roman" w:cs="Times New Roman"/>
          <w:sz w:val="24"/>
          <w:szCs w:val="24"/>
        </w:rPr>
        <w:t>5</w:t>
      </w:r>
      <w:r w:rsidR="00E011C6" w:rsidRPr="005C0ECA">
        <w:rPr>
          <w:rFonts w:ascii="Times New Roman" w:hAnsi="Times New Roman" w:cs="Times New Roman"/>
          <w:sz w:val="24"/>
          <w:szCs w:val="24"/>
        </w:rPr>
        <w:t xml:space="preserve"> percent of the entire pupil population. </w:t>
      </w:r>
      <w:r w:rsidRPr="005C0ECA">
        <w:rPr>
          <w:rFonts w:ascii="Times New Roman" w:hAnsi="Times New Roman" w:cs="Times New Roman"/>
          <w:sz w:val="24"/>
          <w:szCs w:val="24"/>
        </w:rPr>
        <w:t>Out of a total 2,391, t</w:t>
      </w:r>
      <w:r w:rsidR="00E011C6" w:rsidRPr="005C0ECA">
        <w:rPr>
          <w:rFonts w:ascii="Times New Roman" w:hAnsi="Times New Roman" w:cs="Times New Roman"/>
          <w:sz w:val="24"/>
          <w:szCs w:val="24"/>
        </w:rPr>
        <w:t>here were 105 government kindergartens</w:t>
      </w:r>
      <w:r w:rsidRPr="005C0ECA">
        <w:rPr>
          <w:rFonts w:ascii="Times New Roman" w:hAnsi="Times New Roman" w:cs="Times New Roman"/>
          <w:sz w:val="24"/>
          <w:szCs w:val="24"/>
        </w:rPr>
        <w:t xml:space="preserve">. </w:t>
      </w:r>
      <w:r w:rsidR="0024798A" w:rsidRPr="005C0ECA">
        <w:rPr>
          <w:rFonts w:ascii="Times New Roman" w:hAnsi="Times New Roman" w:cs="Times New Roman"/>
          <w:sz w:val="24"/>
          <w:szCs w:val="24"/>
        </w:rPr>
        <w:t>The number of persons with disabilities integrated in the government school system was just 1 percent of the total student population.</w:t>
      </w:r>
    </w:p>
    <w:p w:rsidR="00571237" w:rsidRPr="005C0ECA" w:rsidRDefault="00571237" w:rsidP="00D51F94">
      <w:pPr>
        <w:jc w:val="both"/>
        <w:rPr>
          <w:rFonts w:ascii="Times New Roman" w:hAnsi="Times New Roman" w:cs="Times New Roman"/>
          <w:sz w:val="24"/>
          <w:szCs w:val="24"/>
        </w:rPr>
      </w:pPr>
      <w:r w:rsidRPr="005C0ECA">
        <w:rPr>
          <w:rFonts w:ascii="Times New Roman" w:hAnsi="Times New Roman" w:cs="Times New Roman"/>
          <w:sz w:val="24"/>
          <w:szCs w:val="24"/>
        </w:rPr>
        <w:t>With respect to the school curriculum, human rights principles and values need to be incorporated and reflected in the Palestinian school books clearly, smoothly, meaningfully, and both quantitatively and qualitatively. Education of human rights should be value-oriented, not only knowledge-based. Contents in conflict with human rights or those which present a stereotypical image of women in school books should be neutralised. Textbooks of all grades should have a fully consistent and integrated approach to human rights-based education.</w:t>
      </w:r>
      <w:r w:rsidR="00832990" w:rsidRPr="005C0ECA">
        <w:rPr>
          <w:rFonts w:ascii="Times New Roman" w:hAnsi="Times New Roman" w:cs="Times New Roman"/>
          <w:sz w:val="24"/>
          <w:szCs w:val="24"/>
        </w:rPr>
        <w:t xml:space="preserve"> To this avail, the ICHR</w:t>
      </w:r>
      <w:r w:rsidR="005C0ECA" w:rsidRPr="005C0ECA">
        <w:rPr>
          <w:rFonts w:ascii="Times New Roman" w:hAnsi="Times New Roman" w:cs="Times New Roman"/>
          <w:sz w:val="24"/>
          <w:szCs w:val="24"/>
        </w:rPr>
        <w:fldChar w:fldCharType="begin"/>
      </w:r>
      <w:r w:rsidR="005C0ECA" w:rsidRPr="005C0ECA">
        <w:rPr>
          <w:rFonts w:ascii="Times New Roman" w:hAnsi="Times New Roman" w:cs="Times New Roman"/>
          <w:sz w:val="24"/>
          <w:szCs w:val="24"/>
        </w:rPr>
        <w:instrText xml:space="preserve"> TA \s "ICHR" </w:instrText>
      </w:r>
      <w:r w:rsidR="005C0ECA" w:rsidRPr="005C0ECA">
        <w:rPr>
          <w:rFonts w:ascii="Times New Roman" w:hAnsi="Times New Roman" w:cs="Times New Roman"/>
          <w:sz w:val="24"/>
          <w:szCs w:val="24"/>
        </w:rPr>
        <w:fldChar w:fldCharType="end"/>
      </w:r>
      <w:r w:rsidR="00832990" w:rsidRPr="005C0ECA">
        <w:rPr>
          <w:rFonts w:ascii="Times New Roman" w:hAnsi="Times New Roman" w:cs="Times New Roman"/>
          <w:sz w:val="24"/>
          <w:szCs w:val="24"/>
        </w:rPr>
        <w:t xml:space="preserve"> recommends that: </w:t>
      </w:r>
    </w:p>
    <w:p w:rsidR="00EE2EF7" w:rsidRPr="005C0ECA" w:rsidRDefault="00242763" w:rsidP="004D03D5">
      <w:pPr>
        <w:pStyle w:val="ListParagraph"/>
        <w:numPr>
          <w:ilvl w:val="0"/>
          <w:numId w:val="15"/>
        </w:numPr>
        <w:jc w:val="both"/>
        <w:rPr>
          <w:rFonts w:ascii="Times New Roman" w:hAnsi="Times New Roman" w:cs="Times New Roman"/>
          <w:sz w:val="24"/>
          <w:szCs w:val="24"/>
        </w:rPr>
      </w:pPr>
      <w:r w:rsidRPr="005C0ECA">
        <w:rPr>
          <w:rFonts w:ascii="Times New Roman" w:hAnsi="Times New Roman" w:cs="Times New Roman"/>
          <w:sz w:val="24"/>
          <w:szCs w:val="24"/>
        </w:rPr>
        <w:t>Financial resources needed for development expenditures be provided to improve education</w:t>
      </w:r>
      <w:r w:rsidR="004D03D5" w:rsidRPr="005C0ECA">
        <w:rPr>
          <w:rFonts w:ascii="Times New Roman" w:hAnsi="Times New Roman" w:cs="Times New Roman"/>
          <w:sz w:val="24"/>
          <w:szCs w:val="24"/>
        </w:rPr>
        <w:t xml:space="preserve"> and</w:t>
      </w:r>
      <w:r w:rsidRPr="005C0ECA">
        <w:rPr>
          <w:rFonts w:ascii="Times New Roman" w:hAnsi="Times New Roman" w:cs="Times New Roman"/>
          <w:sz w:val="24"/>
          <w:szCs w:val="24"/>
        </w:rPr>
        <w:t xml:space="preserve"> develop educational programmes for all social groups and marginalised (rural) areas, Wall-adjacent communities, remote villages, and persons with disabilities. </w:t>
      </w:r>
    </w:p>
    <w:p w:rsidR="00832990" w:rsidRPr="005C0ECA" w:rsidRDefault="00EE2EF7" w:rsidP="00D51F94">
      <w:pPr>
        <w:pStyle w:val="ListParagraph"/>
        <w:numPr>
          <w:ilvl w:val="0"/>
          <w:numId w:val="15"/>
        </w:numPr>
        <w:jc w:val="both"/>
        <w:rPr>
          <w:rFonts w:ascii="Times New Roman" w:hAnsi="Times New Roman" w:cs="Times New Roman"/>
          <w:sz w:val="24"/>
          <w:szCs w:val="24"/>
        </w:rPr>
      </w:pPr>
      <w:r w:rsidRPr="005C0ECA">
        <w:rPr>
          <w:rFonts w:ascii="Times New Roman" w:hAnsi="Times New Roman" w:cs="Times New Roman"/>
          <w:sz w:val="24"/>
          <w:szCs w:val="24"/>
        </w:rPr>
        <w:t>Secondary education be free</w:t>
      </w:r>
      <w:r w:rsidR="00E46865" w:rsidRPr="005C0ECA">
        <w:rPr>
          <w:rFonts w:ascii="Times New Roman" w:hAnsi="Times New Roman" w:cs="Times New Roman"/>
          <w:sz w:val="24"/>
          <w:szCs w:val="24"/>
        </w:rPr>
        <w:t xml:space="preserve"> of charge</w:t>
      </w:r>
      <w:r w:rsidRPr="005C0ECA">
        <w:rPr>
          <w:rFonts w:ascii="Times New Roman" w:hAnsi="Times New Roman" w:cs="Times New Roman"/>
          <w:sz w:val="24"/>
          <w:szCs w:val="24"/>
        </w:rPr>
        <w:t xml:space="preserve">. </w:t>
      </w:r>
    </w:p>
    <w:p w:rsidR="00EE2EF7" w:rsidRPr="005C0ECA" w:rsidRDefault="00EE2EF7" w:rsidP="00D51F94">
      <w:pPr>
        <w:pStyle w:val="ListParagraph"/>
        <w:numPr>
          <w:ilvl w:val="0"/>
          <w:numId w:val="15"/>
        </w:numPr>
        <w:jc w:val="both"/>
        <w:rPr>
          <w:rFonts w:ascii="Times New Roman" w:hAnsi="Times New Roman" w:cs="Times New Roman"/>
          <w:sz w:val="24"/>
          <w:szCs w:val="24"/>
        </w:rPr>
      </w:pPr>
      <w:r w:rsidRPr="005C0ECA">
        <w:rPr>
          <w:rFonts w:ascii="Times New Roman" w:hAnsi="Times New Roman" w:cs="Times New Roman"/>
          <w:sz w:val="24"/>
          <w:szCs w:val="24"/>
        </w:rPr>
        <w:t>Curriculum development be continued, based on a human rights perspective.</w:t>
      </w:r>
      <w:r w:rsidR="00D83041" w:rsidRPr="005C0ECA">
        <w:rPr>
          <w:rStyle w:val="FootnoteReference"/>
          <w:rFonts w:ascii="Times New Roman" w:hAnsi="Times New Roman" w:cs="Times New Roman"/>
          <w:sz w:val="24"/>
          <w:szCs w:val="24"/>
        </w:rPr>
        <w:footnoteReference w:id="9"/>
      </w:r>
      <w:r w:rsidRPr="005C0ECA">
        <w:rPr>
          <w:rFonts w:ascii="Times New Roman" w:hAnsi="Times New Roman" w:cs="Times New Roman"/>
          <w:sz w:val="24"/>
          <w:szCs w:val="24"/>
        </w:rPr>
        <w:t xml:space="preserve"> </w:t>
      </w:r>
    </w:p>
    <w:p w:rsidR="00EE2EF7" w:rsidRPr="005C0ECA" w:rsidRDefault="00EE2EF7" w:rsidP="00EC5EA2">
      <w:pPr>
        <w:pStyle w:val="ListParagraph"/>
        <w:numPr>
          <w:ilvl w:val="0"/>
          <w:numId w:val="15"/>
        </w:numPr>
        <w:jc w:val="both"/>
        <w:rPr>
          <w:rFonts w:ascii="Times New Roman" w:hAnsi="Times New Roman" w:cs="Times New Roman"/>
          <w:sz w:val="24"/>
          <w:szCs w:val="24"/>
        </w:rPr>
      </w:pPr>
      <w:r w:rsidRPr="005C0ECA">
        <w:rPr>
          <w:rFonts w:ascii="Times New Roman" w:hAnsi="Times New Roman" w:cs="Times New Roman"/>
          <w:sz w:val="24"/>
          <w:szCs w:val="24"/>
        </w:rPr>
        <w:t>The Palestinian government grant full independence</w:t>
      </w:r>
      <w:r w:rsidR="00EC5EA2" w:rsidRPr="005C0ECA">
        <w:rPr>
          <w:rFonts w:ascii="Times New Roman" w:hAnsi="Times New Roman" w:cs="Times New Roman"/>
          <w:sz w:val="24"/>
          <w:szCs w:val="24"/>
        </w:rPr>
        <w:t xml:space="preserve"> and</w:t>
      </w:r>
      <w:r w:rsidRPr="005C0ECA">
        <w:rPr>
          <w:rFonts w:ascii="Times New Roman" w:hAnsi="Times New Roman" w:cs="Times New Roman"/>
          <w:sz w:val="24"/>
          <w:szCs w:val="24"/>
        </w:rPr>
        <w:t xml:space="preserve"> freedom of scientific research, literary, cultural and artistic innovation to higher education institutions </w:t>
      </w:r>
      <w:r w:rsidRPr="005C0ECA">
        <w:rPr>
          <w:rFonts w:ascii="Times New Roman" w:hAnsi="Times New Roman" w:cs="Times New Roman"/>
          <w:sz w:val="24"/>
          <w:szCs w:val="24"/>
        </w:rPr>
        <w:lastRenderedPageBreak/>
        <w:t xml:space="preserve">and scientific research centres. The government will ensure </w:t>
      </w:r>
      <w:r w:rsidR="007B5DC2" w:rsidRPr="005C0ECA">
        <w:rPr>
          <w:rFonts w:ascii="Times New Roman" w:hAnsi="Times New Roman" w:cs="Times New Roman"/>
          <w:sz w:val="24"/>
          <w:szCs w:val="24"/>
        </w:rPr>
        <w:t xml:space="preserve">protection and </w:t>
      </w:r>
      <w:r w:rsidRPr="005C0ECA">
        <w:rPr>
          <w:rFonts w:ascii="Times New Roman" w:hAnsi="Times New Roman" w:cs="Times New Roman"/>
          <w:sz w:val="24"/>
          <w:szCs w:val="24"/>
        </w:rPr>
        <w:t>inviolability of human dignity, respect for pluralism and equality, and protection of intellectual property and copyright</w:t>
      </w:r>
      <w:r w:rsidR="007B5DC2" w:rsidRPr="005C0ECA">
        <w:rPr>
          <w:rFonts w:ascii="Times New Roman" w:hAnsi="Times New Roman" w:cs="Times New Roman"/>
          <w:sz w:val="24"/>
          <w:szCs w:val="24"/>
        </w:rPr>
        <w:t>s</w:t>
      </w:r>
      <w:r w:rsidRPr="005C0ECA">
        <w:rPr>
          <w:rFonts w:ascii="Times New Roman" w:hAnsi="Times New Roman" w:cs="Times New Roman"/>
          <w:sz w:val="24"/>
          <w:szCs w:val="24"/>
        </w:rPr>
        <w:t xml:space="preserve">. </w:t>
      </w:r>
    </w:p>
    <w:p w:rsidR="00EE2EF7" w:rsidRPr="005C0ECA" w:rsidRDefault="00EE2EF7" w:rsidP="00D51F94">
      <w:pPr>
        <w:jc w:val="both"/>
        <w:rPr>
          <w:rFonts w:ascii="Times New Roman" w:hAnsi="Times New Roman" w:cs="Times New Roman"/>
          <w:sz w:val="24"/>
          <w:szCs w:val="24"/>
        </w:rPr>
      </w:pPr>
    </w:p>
    <w:p w:rsidR="00EE2EF7" w:rsidRPr="005C0ECA" w:rsidRDefault="00EE2EF7" w:rsidP="005C0ECA">
      <w:pPr>
        <w:pStyle w:val="Heading1"/>
        <w:rPr>
          <w:rFonts w:asciiTheme="majorBidi" w:hAnsiTheme="majorBidi"/>
          <w:b/>
          <w:bCs/>
          <w:color w:val="auto"/>
        </w:rPr>
      </w:pPr>
      <w:bookmarkStart w:id="30" w:name="_Toc79315049"/>
      <w:r w:rsidRPr="005C0ECA">
        <w:rPr>
          <w:rFonts w:asciiTheme="majorBidi" w:hAnsiTheme="majorBidi"/>
          <w:b/>
          <w:bCs/>
          <w:color w:val="auto"/>
        </w:rPr>
        <w:t>Cultural rights</w:t>
      </w:r>
      <w:bookmarkEnd w:id="30"/>
      <w:r w:rsidRPr="005C0ECA">
        <w:rPr>
          <w:rFonts w:asciiTheme="majorBidi" w:hAnsiTheme="majorBidi"/>
          <w:b/>
          <w:bCs/>
          <w:color w:val="auto"/>
        </w:rPr>
        <w:t xml:space="preserve"> </w:t>
      </w:r>
    </w:p>
    <w:p w:rsidR="00EE2EF7" w:rsidRPr="005C0ECA" w:rsidRDefault="000642C1" w:rsidP="00CC05FE">
      <w:pPr>
        <w:jc w:val="both"/>
        <w:rPr>
          <w:rFonts w:ascii="Times New Roman" w:hAnsi="Times New Roman" w:cs="Times New Roman"/>
          <w:sz w:val="24"/>
          <w:szCs w:val="24"/>
        </w:rPr>
      </w:pPr>
      <w:r w:rsidRPr="005C0ECA">
        <w:rPr>
          <w:rFonts w:ascii="Times New Roman" w:hAnsi="Times New Roman" w:cs="Times New Roman"/>
          <w:sz w:val="24"/>
          <w:szCs w:val="24"/>
        </w:rPr>
        <w:t xml:space="preserve">In paragraph 251-274, the report refers to the right to participation in cultural life and </w:t>
      </w:r>
      <w:r w:rsidR="00951A87" w:rsidRPr="005C0ECA">
        <w:rPr>
          <w:rFonts w:ascii="Times New Roman" w:hAnsi="Times New Roman" w:cs="Times New Roman"/>
          <w:sz w:val="24"/>
          <w:szCs w:val="24"/>
        </w:rPr>
        <w:t xml:space="preserve">to </w:t>
      </w:r>
      <w:r w:rsidRPr="005C0ECA">
        <w:rPr>
          <w:rFonts w:ascii="Times New Roman" w:hAnsi="Times New Roman" w:cs="Times New Roman"/>
          <w:sz w:val="24"/>
          <w:szCs w:val="24"/>
        </w:rPr>
        <w:t>relevant regulation</w:t>
      </w:r>
      <w:r w:rsidR="00951A87" w:rsidRPr="005C0ECA">
        <w:rPr>
          <w:rFonts w:ascii="Times New Roman" w:hAnsi="Times New Roman" w:cs="Times New Roman"/>
          <w:sz w:val="24"/>
          <w:szCs w:val="24"/>
        </w:rPr>
        <w:t>s</w:t>
      </w:r>
      <w:r w:rsidRPr="005C0ECA">
        <w:rPr>
          <w:rFonts w:ascii="Times New Roman" w:hAnsi="Times New Roman" w:cs="Times New Roman"/>
          <w:sz w:val="24"/>
          <w:szCs w:val="24"/>
        </w:rPr>
        <w:t>. Nevertheless, the report does not make a mention of the Law by Decree No. 11 of 2018 on Tangible Cultural Heritage, which holds great significance to the conservation of movable and immovable tangible cultural properties. Available information indicate</w:t>
      </w:r>
      <w:r w:rsidR="00951A87" w:rsidRPr="005C0ECA">
        <w:rPr>
          <w:rFonts w:ascii="Times New Roman" w:hAnsi="Times New Roman" w:cs="Times New Roman"/>
          <w:sz w:val="24"/>
          <w:szCs w:val="24"/>
        </w:rPr>
        <w:t>s</w:t>
      </w:r>
      <w:r w:rsidRPr="005C0ECA">
        <w:rPr>
          <w:rFonts w:ascii="Times New Roman" w:hAnsi="Times New Roman" w:cs="Times New Roman"/>
          <w:sz w:val="24"/>
          <w:szCs w:val="24"/>
        </w:rPr>
        <w:t xml:space="preserve"> that the provisions of this law by decree are not respected. In particular, buildings viewed by the law by decree as cultural heritage are being pulled down. The Ministry of Tourism and Antiquities has not established the Advisory Council of Heritage</w:t>
      </w:r>
      <w:r w:rsidR="00314B90" w:rsidRPr="005C0ECA">
        <w:rPr>
          <w:rFonts w:ascii="Times New Roman" w:hAnsi="Times New Roman" w:cs="Times New Roman"/>
          <w:sz w:val="24"/>
          <w:szCs w:val="24"/>
        </w:rPr>
        <w:t xml:space="preserve"> as</w:t>
      </w:r>
      <w:r w:rsidRPr="005C0ECA">
        <w:rPr>
          <w:rFonts w:ascii="Times New Roman" w:hAnsi="Times New Roman" w:cs="Times New Roman"/>
          <w:sz w:val="24"/>
          <w:szCs w:val="24"/>
        </w:rPr>
        <w:t xml:space="preserve"> provided for under the law by decree. A bylaw of this council has not been published either. In addition, the report does not state the reasons for lacking a law on copyright, nor does </w:t>
      </w:r>
      <w:r w:rsidR="00314B90" w:rsidRPr="005C0ECA">
        <w:rPr>
          <w:rFonts w:ascii="Times New Roman" w:hAnsi="Times New Roman" w:cs="Times New Roman"/>
          <w:sz w:val="24"/>
          <w:szCs w:val="24"/>
        </w:rPr>
        <w:t xml:space="preserve">it </w:t>
      </w:r>
      <w:r w:rsidRPr="005C0ECA">
        <w:rPr>
          <w:rFonts w:ascii="Times New Roman" w:hAnsi="Times New Roman" w:cs="Times New Roman"/>
          <w:sz w:val="24"/>
          <w:szCs w:val="24"/>
        </w:rPr>
        <w:t xml:space="preserve">delineate </w:t>
      </w:r>
      <w:r w:rsidR="00314B90" w:rsidRPr="005C0ECA">
        <w:rPr>
          <w:rFonts w:ascii="Times New Roman" w:hAnsi="Times New Roman" w:cs="Times New Roman"/>
          <w:sz w:val="24"/>
          <w:szCs w:val="24"/>
        </w:rPr>
        <w:t xml:space="preserve">the </w:t>
      </w:r>
      <w:r w:rsidRPr="005C0ECA">
        <w:rPr>
          <w:rFonts w:ascii="Times New Roman" w:hAnsi="Times New Roman" w:cs="Times New Roman"/>
          <w:sz w:val="24"/>
          <w:szCs w:val="24"/>
        </w:rPr>
        <w:t xml:space="preserve">efforts made to protect copyrights as part of </w:t>
      </w:r>
      <w:r w:rsidR="00314B90" w:rsidRPr="005C0ECA">
        <w:rPr>
          <w:rFonts w:ascii="Times New Roman" w:hAnsi="Times New Roman" w:cs="Times New Roman"/>
          <w:sz w:val="24"/>
          <w:szCs w:val="24"/>
        </w:rPr>
        <w:t xml:space="preserve">the </w:t>
      </w:r>
      <w:r w:rsidRPr="005C0ECA">
        <w:rPr>
          <w:rFonts w:ascii="Times New Roman" w:hAnsi="Times New Roman" w:cs="Times New Roman"/>
          <w:sz w:val="24"/>
          <w:szCs w:val="24"/>
        </w:rPr>
        <w:t xml:space="preserve">intellectual property right. </w:t>
      </w:r>
      <w:r w:rsidR="004F156A" w:rsidRPr="005C0ECA">
        <w:rPr>
          <w:rFonts w:ascii="Times New Roman" w:hAnsi="Times New Roman" w:cs="Times New Roman"/>
          <w:sz w:val="24"/>
          <w:szCs w:val="24"/>
        </w:rPr>
        <w:t xml:space="preserve">The report does not indicate how effective the programmes carried out by </w:t>
      </w:r>
      <w:bookmarkStart w:id="31" w:name="_Hlk79314936"/>
      <w:r w:rsidR="004F156A" w:rsidRPr="005C0ECA">
        <w:rPr>
          <w:rFonts w:ascii="Times New Roman" w:hAnsi="Times New Roman" w:cs="Times New Roman"/>
          <w:sz w:val="24"/>
          <w:szCs w:val="24"/>
        </w:rPr>
        <w:t xml:space="preserve">the Ministry of Culture </w:t>
      </w:r>
      <w:bookmarkEnd w:id="31"/>
      <w:r w:rsidR="004F156A" w:rsidRPr="005C0ECA">
        <w:rPr>
          <w:rFonts w:ascii="Times New Roman" w:hAnsi="Times New Roman" w:cs="Times New Roman"/>
          <w:sz w:val="24"/>
          <w:szCs w:val="24"/>
        </w:rPr>
        <w:t>(MoC</w:t>
      </w:r>
      <w:r w:rsidR="005C0ECA" w:rsidRPr="005C0ECA">
        <w:rPr>
          <w:rFonts w:ascii="Times New Roman" w:hAnsi="Times New Roman" w:cs="Times New Roman"/>
          <w:sz w:val="24"/>
          <w:szCs w:val="24"/>
        </w:rPr>
        <w:fldChar w:fldCharType="begin"/>
      </w:r>
      <w:r w:rsidR="005C0ECA" w:rsidRPr="005C0ECA">
        <w:instrText xml:space="preserve"> TA \l "</w:instrText>
      </w:r>
      <w:r w:rsidR="005C0ECA" w:rsidRPr="005C0ECA">
        <w:rPr>
          <w:rFonts w:ascii="Times New Roman" w:hAnsi="Times New Roman" w:cs="Times New Roman"/>
          <w:sz w:val="24"/>
          <w:szCs w:val="24"/>
        </w:rPr>
        <w:instrText>MoC: the Ministry of Culture</w:instrText>
      </w:r>
      <w:r w:rsidR="005C0ECA" w:rsidRPr="005C0ECA">
        <w:instrText xml:space="preserve">" \s "MoC" \c 1 </w:instrText>
      </w:r>
      <w:r w:rsidR="005C0ECA" w:rsidRPr="005C0ECA">
        <w:rPr>
          <w:rFonts w:ascii="Times New Roman" w:hAnsi="Times New Roman" w:cs="Times New Roman"/>
          <w:sz w:val="24"/>
          <w:szCs w:val="24"/>
        </w:rPr>
        <w:fldChar w:fldCharType="end"/>
      </w:r>
      <w:r w:rsidR="004F156A" w:rsidRPr="005C0ECA">
        <w:rPr>
          <w:rFonts w:ascii="Times New Roman" w:hAnsi="Times New Roman" w:cs="Times New Roman"/>
          <w:sz w:val="24"/>
          <w:szCs w:val="24"/>
        </w:rPr>
        <w:t xml:space="preserve">) are and the extent to which they have achieved set goals in light of inadequate budgeted allocations </w:t>
      </w:r>
      <w:r w:rsidR="00CC05FE" w:rsidRPr="005C0ECA">
        <w:rPr>
          <w:rFonts w:ascii="Times New Roman" w:hAnsi="Times New Roman" w:cs="Times New Roman"/>
          <w:sz w:val="24"/>
          <w:szCs w:val="24"/>
        </w:rPr>
        <w:t xml:space="preserve">to </w:t>
      </w:r>
      <w:r w:rsidR="004F156A" w:rsidRPr="005C0ECA">
        <w:rPr>
          <w:rFonts w:ascii="Times New Roman" w:hAnsi="Times New Roman" w:cs="Times New Roman"/>
          <w:sz w:val="24"/>
          <w:szCs w:val="24"/>
        </w:rPr>
        <w:t xml:space="preserve">the MoC (just 0.003 percent of the overall public budget). Also, the report does not state the amount of financial support provided by the MoC to community-based cultural institutions in Palestine. </w:t>
      </w:r>
      <w:bookmarkEnd w:id="0"/>
    </w:p>
    <w:sectPr w:rsidR="00EE2EF7" w:rsidRPr="005C0ECA">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21A" w:rsidRDefault="0000521A" w:rsidP="000B17DB">
      <w:pPr>
        <w:spacing w:after="0" w:line="240" w:lineRule="auto"/>
      </w:pPr>
      <w:r>
        <w:separator/>
      </w:r>
    </w:p>
  </w:endnote>
  <w:endnote w:type="continuationSeparator" w:id="0">
    <w:p w:rsidR="0000521A" w:rsidRDefault="0000521A" w:rsidP="000B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altName w:val="Times New Roman"/>
    <w:charset w:val="00"/>
    <w:family w:val="roman"/>
    <w:pitch w:val="variable"/>
    <w:sig w:usb0="00000000"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97744730"/>
      <w:docPartObj>
        <w:docPartGallery w:val="Page Numbers (Bottom of Page)"/>
        <w:docPartUnique/>
      </w:docPartObj>
    </w:sdtPr>
    <w:sdtEndPr>
      <w:rPr>
        <w:noProof/>
      </w:rPr>
    </w:sdtEndPr>
    <w:sdtContent>
      <w:p w:rsidR="00D51F94" w:rsidRPr="00D51F94" w:rsidRDefault="00D51F94" w:rsidP="00D51F94">
        <w:pPr>
          <w:pStyle w:val="Footer"/>
          <w:jc w:val="center"/>
          <w:rPr>
            <w:rFonts w:ascii="Times New Roman" w:hAnsi="Times New Roman" w:cs="Times New Roman"/>
          </w:rPr>
        </w:pPr>
        <w:r w:rsidRPr="00D51F94">
          <w:rPr>
            <w:rFonts w:ascii="Times New Roman" w:hAnsi="Times New Roman" w:cs="Times New Roman"/>
          </w:rPr>
          <w:fldChar w:fldCharType="begin"/>
        </w:r>
        <w:r w:rsidRPr="00D51F94">
          <w:rPr>
            <w:rFonts w:ascii="Times New Roman" w:hAnsi="Times New Roman" w:cs="Times New Roman"/>
          </w:rPr>
          <w:instrText xml:space="preserve"> PAGE   \* MERGEFORMAT </w:instrText>
        </w:r>
        <w:r w:rsidRPr="00D51F94">
          <w:rPr>
            <w:rFonts w:ascii="Times New Roman" w:hAnsi="Times New Roman" w:cs="Times New Roman"/>
          </w:rPr>
          <w:fldChar w:fldCharType="separate"/>
        </w:r>
        <w:r w:rsidR="00F4571C">
          <w:rPr>
            <w:rFonts w:ascii="Times New Roman" w:hAnsi="Times New Roman" w:cs="Times New Roman"/>
            <w:noProof/>
          </w:rPr>
          <w:t>2</w:t>
        </w:r>
        <w:r w:rsidRPr="00D51F94">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21A" w:rsidRDefault="0000521A" w:rsidP="000B17DB">
      <w:pPr>
        <w:spacing w:after="0" w:line="240" w:lineRule="auto"/>
      </w:pPr>
      <w:r>
        <w:separator/>
      </w:r>
    </w:p>
  </w:footnote>
  <w:footnote w:type="continuationSeparator" w:id="0">
    <w:p w:rsidR="0000521A" w:rsidRDefault="0000521A" w:rsidP="000B17DB">
      <w:pPr>
        <w:spacing w:after="0" w:line="240" w:lineRule="auto"/>
      </w:pPr>
      <w:r>
        <w:continuationSeparator/>
      </w:r>
    </w:p>
  </w:footnote>
  <w:footnote w:id="1">
    <w:p w:rsidR="00397ED5" w:rsidRPr="00D83041" w:rsidRDefault="00397ED5" w:rsidP="00EA3C09">
      <w:pPr>
        <w:pStyle w:val="FootnoteText"/>
        <w:jc w:val="both"/>
        <w:rPr>
          <w:rFonts w:ascii="Times New Roman" w:hAnsi="Times New Roman" w:cs="Times New Roman"/>
        </w:rPr>
      </w:pPr>
      <w:r w:rsidRPr="00D83041">
        <w:rPr>
          <w:rStyle w:val="FootnoteReference"/>
          <w:rFonts w:ascii="Times New Roman" w:hAnsi="Times New Roman" w:cs="Times New Roman"/>
        </w:rPr>
        <w:footnoteRef/>
      </w:r>
      <w:r w:rsidRPr="00D83041">
        <w:rPr>
          <w:rFonts w:ascii="Times New Roman" w:hAnsi="Times New Roman" w:cs="Times New Roman"/>
        </w:rPr>
        <w:t xml:space="preserve"> </w:t>
      </w:r>
      <w:r w:rsidR="00EA3C09" w:rsidRPr="00D83041">
        <w:rPr>
          <w:rFonts w:ascii="Times New Roman" w:hAnsi="Times New Roman" w:cs="Times New Roman"/>
        </w:rPr>
        <w:t>Palestinian Central Bureau of Statistics (PCBS</w:t>
      </w:r>
      <w:r w:rsidR="005C0ECA">
        <w:rPr>
          <w:rFonts w:ascii="Times New Roman" w:hAnsi="Times New Roman" w:cs="Times New Roman"/>
        </w:rPr>
        <w:fldChar w:fldCharType="begin"/>
      </w:r>
      <w:r w:rsidR="005C0ECA">
        <w:rPr>
          <w:rFonts w:ascii="Times New Roman" w:hAnsi="Times New Roman" w:cs="Times New Roman"/>
        </w:rPr>
        <w:instrText xml:space="preserve"> TA \s "PCBS" </w:instrText>
      </w:r>
      <w:r w:rsidR="005C0ECA">
        <w:rPr>
          <w:rFonts w:ascii="Times New Roman" w:hAnsi="Times New Roman" w:cs="Times New Roman"/>
        </w:rPr>
        <w:fldChar w:fldCharType="end"/>
      </w:r>
      <w:r w:rsidR="00EA3C09" w:rsidRPr="00D83041">
        <w:rPr>
          <w:rFonts w:ascii="Times New Roman" w:hAnsi="Times New Roman" w:cs="Times New Roman"/>
        </w:rPr>
        <w:t>)</w:t>
      </w:r>
      <w:r w:rsidRPr="00D83041">
        <w:rPr>
          <w:rFonts w:ascii="Times New Roman" w:hAnsi="Times New Roman" w:cs="Times New Roman"/>
        </w:rPr>
        <w:t xml:space="preserve">, </w:t>
      </w:r>
      <w:r w:rsidRPr="00D83041">
        <w:rPr>
          <w:rFonts w:ascii="Times New Roman" w:hAnsi="Times New Roman" w:cs="Times New Roman"/>
          <w:i/>
          <w:iCs/>
        </w:rPr>
        <w:t>Results of the Labour Force Survey Second Quarter (April-June, 2020) Round</w:t>
      </w:r>
      <w:r w:rsidRPr="00D83041">
        <w:rPr>
          <w:rFonts w:ascii="Times New Roman" w:hAnsi="Times New Roman" w:cs="Times New Roman"/>
        </w:rPr>
        <w:t xml:space="preserve">. </w:t>
      </w:r>
    </w:p>
  </w:footnote>
  <w:footnote w:id="2">
    <w:p w:rsidR="00397ED5" w:rsidRPr="00D83041" w:rsidRDefault="00397ED5" w:rsidP="00EA3C09">
      <w:pPr>
        <w:pStyle w:val="FootnoteText"/>
        <w:jc w:val="both"/>
        <w:rPr>
          <w:rFonts w:ascii="Times New Roman" w:hAnsi="Times New Roman" w:cs="Times New Roman"/>
        </w:rPr>
      </w:pPr>
      <w:r w:rsidRPr="00D83041">
        <w:rPr>
          <w:rStyle w:val="FootnoteReference"/>
          <w:rFonts w:ascii="Times New Roman" w:hAnsi="Times New Roman" w:cs="Times New Roman"/>
        </w:rPr>
        <w:footnoteRef/>
      </w:r>
      <w:r w:rsidRPr="00D83041">
        <w:rPr>
          <w:rFonts w:ascii="Times New Roman" w:hAnsi="Times New Roman" w:cs="Times New Roman"/>
        </w:rPr>
        <w:t xml:space="preserve"> MoL</w:t>
      </w:r>
      <w:r w:rsidR="005C0ECA">
        <w:rPr>
          <w:rFonts w:ascii="Times New Roman" w:hAnsi="Times New Roman" w:cs="Times New Roman"/>
        </w:rPr>
        <w:fldChar w:fldCharType="begin"/>
      </w:r>
      <w:r w:rsidR="005C0ECA">
        <w:rPr>
          <w:rFonts w:ascii="Times New Roman" w:hAnsi="Times New Roman" w:cs="Times New Roman"/>
        </w:rPr>
        <w:instrText xml:space="preserve"> TA \s "MoL" </w:instrText>
      </w:r>
      <w:r w:rsidR="005C0ECA">
        <w:rPr>
          <w:rFonts w:ascii="Times New Roman" w:hAnsi="Times New Roman" w:cs="Times New Roman"/>
        </w:rPr>
        <w:fldChar w:fldCharType="end"/>
      </w:r>
      <w:r w:rsidRPr="00D83041">
        <w:rPr>
          <w:rFonts w:ascii="Times New Roman" w:hAnsi="Times New Roman" w:cs="Times New Roman"/>
        </w:rPr>
        <w:t xml:space="preserve"> reply to the ICHR</w:t>
      </w:r>
      <w:r w:rsidR="005C0ECA">
        <w:rPr>
          <w:rFonts w:ascii="Times New Roman" w:hAnsi="Times New Roman" w:cs="Times New Roman"/>
        </w:rPr>
        <w:fldChar w:fldCharType="begin"/>
      </w:r>
      <w:r w:rsidR="005C0ECA">
        <w:rPr>
          <w:rFonts w:ascii="Times New Roman" w:hAnsi="Times New Roman" w:cs="Times New Roman"/>
        </w:rPr>
        <w:instrText xml:space="preserve"> TA \s "ICHR" </w:instrText>
      </w:r>
      <w:r w:rsidR="005C0ECA">
        <w:rPr>
          <w:rFonts w:ascii="Times New Roman" w:hAnsi="Times New Roman" w:cs="Times New Roman"/>
        </w:rPr>
        <w:fldChar w:fldCharType="end"/>
      </w:r>
      <w:r w:rsidRPr="00D83041">
        <w:rPr>
          <w:rFonts w:ascii="Times New Roman" w:hAnsi="Times New Roman" w:cs="Times New Roman"/>
        </w:rPr>
        <w:t xml:space="preserve">, 18 January 2021. </w:t>
      </w:r>
    </w:p>
  </w:footnote>
  <w:footnote w:id="3">
    <w:p w:rsidR="00397ED5" w:rsidRPr="00D83041" w:rsidRDefault="00397ED5" w:rsidP="00EA3C09">
      <w:pPr>
        <w:pStyle w:val="FootnoteText"/>
        <w:jc w:val="both"/>
        <w:rPr>
          <w:rFonts w:ascii="Times New Roman" w:hAnsi="Times New Roman" w:cs="Times New Roman"/>
        </w:rPr>
      </w:pPr>
      <w:r w:rsidRPr="00D83041">
        <w:rPr>
          <w:rStyle w:val="FootnoteReference"/>
          <w:rFonts w:ascii="Times New Roman" w:hAnsi="Times New Roman" w:cs="Times New Roman"/>
        </w:rPr>
        <w:footnoteRef/>
      </w:r>
      <w:r w:rsidRPr="00D83041">
        <w:rPr>
          <w:rFonts w:ascii="Times New Roman" w:hAnsi="Times New Roman" w:cs="Times New Roman"/>
        </w:rPr>
        <w:t xml:space="preserve"> MoL</w:t>
      </w:r>
      <w:r w:rsidR="005C0ECA">
        <w:rPr>
          <w:rFonts w:ascii="Times New Roman" w:hAnsi="Times New Roman" w:cs="Times New Roman"/>
        </w:rPr>
        <w:fldChar w:fldCharType="begin"/>
      </w:r>
      <w:r w:rsidR="005C0ECA">
        <w:rPr>
          <w:rFonts w:ascii="Times New Roman" w:hAnsi="Times New Roman" w:cs="Times New Roman"/>
        </w:rPr>
        <w:instrText xml:space="preserve"> TA \s "MoL" </w:instrText>
      </w:r>
      <w:r w:rsidR="005C0ECA">
        <w:rPr>
          <w:rFonts w:ascii="Times New Roman" w:hAnsi="Times New Roman" w:cs="Times New Roman"/>
        </w:rPr>
        <w:fldChar w:fldCharType="end"/>
      </w:r>
      <w:r w:rsidRPr="00D83041">
        <w:rPr>
          <w:rFonts w:ascii="Times New Roman" w:hAnsi="Times New Roman" w:cs="Times New Roman"/>
        </w:rPr>
        <w:t xml:space="preserve"> Letter no. 93, dated 28 January 2019, in response to ICHR</w:t>
      </w:r>
      <w:r w:rsidR="005C0ECA">
        <w:rPr>
          <w:rFonts w:ascii="Times New Roman" w:hAnsi="Times New Roman" w:cs="Times New Roman"/>
        </w:rPr>
        <w:fldChar w:fldCharType="begin"/>
      </w:r>
      <w:r w:rsidR="005C0ECA">
        <w:rPr>
          <w:rFonts w:ascii="Times New Roman" w:hAnsi="Times New Roman" w:cs="Times New Roman"/>
        </w:rPr>
        <w:instrText xml:space="preserve"> TA \s "ICHR" </w:instrText>
      </w:r>
      <w:r w:rsidR="005C0ECA">
        <w:rPr>
          <w:rFonts w:ascii="Times New Roman" w:hAnsi="Times New Roman" w:cs="Times New Roman"/>
        </w:rPr>
        <w:fldChar w:fldCharType="end"/>
      </w:r>
      <w:r w:rsidRPr="00D83041">
        <w:rPr>
          <w:rFonts w:ascii="Times New Roman" w:hAnsi="Times New Roman" w:cs="Times New Roman"/>
        </w:rPr>
        <w:t xml:space="preserve"> Letter no. TS/87/2018, dated 19 November 2018.</w:t>
      </w:r>
    </w:p>
  </w:footnote>
  <w:footnote w:id="4">
    <w:p w:rsidR="00397ED5" w:rsidRPr="00D83041" w:rsidRDefault="00397ED5" w:rsidP="006D70CE">
      <w:pPr>
        <w:pStyle w:val="FootnoteText"/>
        <w:jc w:val="both"/>
        <w:rPr>
          <w:rFonts w:ascii="Times New Roman" w:hAnsi="Times New Roman" w:cs="Times New Roman"/>
        </w:rPr>
      </w:pPr>
      <w:r w:rsidRPr="00D83041">
        <w:rPr>
          <w:rStyle w:val="FootnoteReference"/>
          <w:rFonts w:ascii="Times New Roman" w:hAnsi="Times New Roman" w:cs="Times New Roman"/>
        </w:rPr>
        <w:footnoteRef/>
      </w:r>
      <w:r w:rsidRPr="00D83041">
        <w:rPr>
          <w:rFonts w:ascii="Times New Roman" w:hAnsi="Times New Roman" w:cs="Times New Roman"/>
        </w:rPr>
        <w:t xml:space="preserve"> ICHR</w:t>
      </w:r>
      <w:r w:rsidR="005C0ECA">
        <w:rPr>
          <w:rFonts w:ascii="Times New Roman" w:hAnsi="Times New Roman" w:cs="Times New Roman"/>
        </w:rPr>
        <w:fldChar w:fldCharType="begin"/>
      </w:r>
      <w:r w:rsidR="005C0ECA">
        <w:rPr>
          <w:rFonts w:ascii="Times New Roman" w:hAnsi="Times New Roman" w:cs="Times New Roman"/>
        </w:rPr>
        <w:instrText xml:space="preserve"> TA \s "ICHR" </w:instrText>
      </w:r>
      <w:r w:rsidR="005C0ECA">
        <w:rPr>
          <w:rFonts w:ascii="Times New Roman" w:hAnsi="Times New Roman" w:cs="Times New Roman"/>
        </w:rPr>
        <w:fldChar w:fldCharType="end"/>
      </w:r>
      <w:r w:rsidRPr="00D83041">
        <w:rPr>
          <w:rFonts w:ascii="Times New Roman" w:hAnsi="Times New Roman" w:cs="Times New Roman"/>
        </w:rPr>
        <w:t xml:space="preserve">, </w:t>
      </w:r>
      <w:r w:rsidRPr="00D83041">
        <w:rPr>
          <w:rFonts w:ascii="Times New Roman" w:hAnsi="Times New Roman" w:cs="Times New Roman"/>
          <w:i/>
          <w:iCs/>
        </w:rPr>
        <w:t>The Status of Human Rights in Palestine 2017: Twenty Third Annual Report</w:t>
      </w:r>
      <w:r w:rsidRPr="00D83041">
        <w:rPr>
          <w:rFonts w:ascii="Times New Roman" w:hAnsi="Times New Roman" w:cs="Times New Roman"/>
        </w:rPr>
        <w:t>, 201</w:t>
      </w:r>
      <w:r w:rsidR="006D70CE" w:rsidRPr="00D83041">
        <w:rPr>
          <w:rFonts w:ascii="Times New Roman" w:hAnsi="Times New Roman" w:cs="Times New Roman"/>
        </w:rPr>
        <w:t>7</w:t>
      </w:r>
      <w:r w:rsidRPr="00D83041">
        <w:rPr>
          <w:rFonts w:ascii="Times New Roman" w:hAnsi="Times New Roman" w:cs="Times New Roman"/>
        </w:rPr>
        <w:t xml:space="preserve">. </w:t>
      </w:r>
    </w:p>
  </w:footnote>
  <w:footnote w:id="5">
    <w:p w:rsidR="00397ED5" w:rsidRPr="00D83041" w:rsidRDefault="00397ED5" w:rsidP="00675ED3">
      <w:pPr>
        <w:pStyle w:val="FootnoteText"/>
        <w:jc w:val="both"/>
        <w:rPr>
          <w:rFonts w:ascii="Times New Roman" w:hAnsi="Times New Roman" w:cs="Times New Roman"/>
          <w:rtl/>
        </w:rPr>
      </w:pPr>
      <w:r w:rsidRPr="00D83041">
        <w:rPr>
          <w:rStyle w:val="FootnoteReference"/>
          <w:rFonts w:ascii="Times New Roman" w:hAnsi="Times New Roman" w:cs="Times New Roman"/>
        </w:rPr>
        <w:footnoteRef/>
      </w:r>
      <w:r w:rsidRPr="00D83041">
        <w:rPr>
          <w:rFonts w:ascii="Times New Roman" w:hAnsi="Times New Roman" w:cs="Times New Roman"/>
        </w:rPr>
        <w:t xml:space="preserve"> In 2018, the ICHR</w:t>
      </w:r>
      <w:r w:rsidR="005C0ECA">
        <w:rPr>
          <w:rFonts w:ascii="Times New Roman" w:hAnsi="Times New Roman" w:cs="Times New Roman"/>
        </w:rPr>
        <w:fldChar w:fldCharType="begin"/>
      </w:r>
      <w:r w:rsidR="005C0ECA">
        <w:rPr>
          <w:rFonts w:ascii="Times New Roman" w:hAnsi="Times New Roman" w:cs="Times New Roman"/>
        </w:rPr>
        <w:instrText xml:space="preserve"> TA \s "ICHR" </w:instrText>
      </w:r>
      <w:r w:rsidR="005C0ECA">
        <w:rPr>
          <w:rFonts w:ascii="Times New Roman" w:hAnsi="Times New Roman" w:cs="Times New Roman"/>
        </w:rPr>
        <w:fldChar w:fldCharType="end"/>
      </w:r>
      <w:r w:rsidRPr="00D83041">
        <w:rPr>
          <w:rFonts w:ascii="Times New Roman" w:hAnsi="Times New Roman" w:cs="Times New Roman"/>
        </w:rPr>
        <w:t xml:space="preserve"> published a report on older persons, titled </w:t>
      </w:r>
      <w:r w:rsidRPr="00D83041">
        <w:rPr>
          <w:rFonts w:ascii="Times New Roman" w:hAnsi="Times New Roman" w:cs="Times New Roman"/>
          <w:i/>
          <w:iCs/>
        </w:rPr>
        <w:t>Older Persons Caught between Rights and Negligence</w:t>
      </w:r>
      <w:r w:rsidRPr="00D83041">
        <w:rPr>
          <w:rFonts w:ascii="Times New Roman" w:hAnsi="Times New Roman" w:cs="Times New Roman"/>
        </w:rPr>
        <w:t xml:space="preserve">. The report investigates how responsive domestic policies, practices, and legislative frameworks are </w:t>
      </w:r>
      <w:r w:rsidR="00675ED3" w:rsidRPr="00D83041">
        <w:rPr>
          <w:rFonts w:ascii="Times New Roman" w:hAnsi="Times New Roman" w:cs="Times New Roman"/>
        </w:rPr>
        <w:t>to</w:t>
      </w:r>
      <w:r w:rsidRPr="00D83041">
        <w:rPr>
          <w:rFonts w:ascii="Times New Roman" w:hAnsi="Times New Roman" w:cs="Times New Roman"/>
        </w:rPr>
        <w:t xml:space="preserve"> international standards and declarations on older persons. </w:t>
      </w:r>
    </w:p>
  </w:footnote>
  <w:footnote w:id="6">
    <w:p w:rsidR="00397ED5" w:rsidRPr="00D83041" w:rsidRDefault="00397ED5" w:rsidP="00EA3C09">
      <w:pPr>
        <w:pStyle w:val="FootnoteText"/>
        <w:jc w:val="both"/>
        <w:rPr>
          <w:rFonts w:ascii="Times New Roman" w:hAnsi="Times New Roman" w:cs="Times New Roman"/>
        </w:rPr>
      </w:pPr>
      <w:r w:rsidRPr="00D83041">
        <w:rPr>
          <w:rStyle w:val="FootnoteReference"/>
          <w:rFonts w:ascii="Times New Roman" w:hAnsi="Times New Roman" w:cs="Times New Roman"/>
        </w:rPr>
        <w:footnoteRef/>
      </w:r>
      <w:r w:rsidRPr="00D83041">
        <w:rPr>
          <w:rFonts w:ascii="Times New Roman" w:hAnsi="Times New Roman" w:cs="Times New Roman"/>
        </w:rPr>
        <w:t xml:space="preserve"> PCBS</w:t>
      </w:r>
      <w:r w:rsidR="005C0ECA">
        <w:rPr>
          <w:rFonts w:ascii="Times New Roman" w:hAnsi="Times New Roman" w:cs="Times New Roman"/>
        </w:rPr>
        <w:fldChar w:fldCharType="begin"/>
      </w:r>
      <w:r w:rsidR="005C0ECA">
        <w:rPr>
          <w:rFonts w:ascii="Times New Roman" w:hAnsi="Times New Roman" w:cs="Times New Roman"/>
        </w:rPr>
        <w:instrText xml:space="preserve"> TA \s "PCBS" </w:instrText>
      </w:r>
      <w:r w:rsidR="005C0ECA">
        <w:rPr>
          <w:rFonts w:ascii="Times New Roman" w:hAnsi="Times New Roman" w:cs="Times New Roman"/>
        </w:rPr>
        <w:fldChar w:fldCharType="end"/>
      </w:r>
      <w:r w:rsidRPr="00D83041">
        <w:rPr>
          <w:rFonts w:ascii="Times New Roman" w:hAnsi="Times New Roman" w:cs="Times New Roman"/>
        </w:rPr>
        <w:t xml:space="preserve">. 2017. </w:t>
      </w:r>
      <w:r w:rsidRPr="00D83041">
        <w:rPr>
          <w:rFonts w:ascii="Times New Roman" w:hAnsi="Times New Roman" w:cs="Times New Roman"/>
          <w:i/>
          <w:iCs/>
        </w:rPr>
        <w:t>Multi-Dimensional Poverty Profile in Palestine, 2017: Main Results</w:t>
      </w:r>
      <w:r w:rsidRPr="00D83041">
        <w:rPr>
          <w:rFonts w:ascii="Times New Roman" w:hAnsi="Times New Roman" w:cs="Times New Roman"/>
        </w:rPr>
        <w:t xml:space="preserve">. </w:t>
      </w:r>
    </w:p>
  </w:footnote>
  <w:footnote w:id="7">
    <w:p w:rsidR="00397ED5" w:rsidRPr="00D83041" w:rsidRDefault="00397ED5" w:rsidP="00EA3C09">
      <w:pPr>
        <w:pStyle w:val="FootnoteText"/>
        <w:jc w:val="both"/>
        <w:rPr>
          <w:rFonts w:ascii="Times New Roman" w:hAnsi="Times New Roman" w:cs="Times New Roman"/>
        </w:rPr>
      </w:pPr>
      <w:r w:rsidRPr="00D83041">
        <w:rPr>
          <w:rStyle w:val="FootnoteReference"/>
          <w:rFonts w:ascii="Times New Roman" w:hAnsi="Times New Roman" w:cs="Times New Roman"/>
        </w:rPr>
        <w:footnoteRef/>
      </w:r>
      <w:r w:rsidRPr="00D83041">
        <w:rPr>
          <w:rFonts w:ascii="Times New Roman" w:hAnsi="Times New Roman" w:cs="Times New Roman"/>
        </w:rPr>
        <w:t xml:space="preserve"> Compared to 44.7 percent in the Gaza Strip, poverty rate stands at 13.6 percent in southern West Bank, 10.5 percent in northern West Bank, and 38.1 percent in refugee camps. </w:t>
      </w:r>
    </w:p>
  </w:footnote>
  <w:footnote w:id="8">
    <w:p w:rsidR="00397ED5" w:rsidRPr="00D83041" w:rsidRDefault="00397ED5" w:rsidP="00483CBB">
      <w:pPr>
        <w:pStyle w:val="FootnoteText"/>
        <w:jc w:val="both"/>
        <w:rPr>
          <w:rFonts w:ascii="Times New Roman" w:hAnsi="Times New Roman" w:cs="Times New Roman"/>
        </w:rPr>
      </w:pPr>
      <w:r w:rsidRPr="00D83041">
        <w:rPr>
          <w:rStyle w:val="FootnoteReference"/>
          <w:rFonts w:ascii="Times New Roman" w:hAnsi="Times New Roman" w:cs="Times New Roman"/>
        </w:rPr>
        <w:footnoteRef/>
      </w:r>
      <w:r w:rsidRPr="00D83041">
        <w:rPr>
          <w:rFonts w:ascii="Times New Roman" w:hAnsi="Times New Roman" w:cs="Times New Roman"/>
        </w:rPr>
        <w:t xml:space="preserve"> Within the framework of its persistent activity, the ICHR</w:t>
      </w:r>
      <w:r w:rsidR="005C0ECA">
        <w:rPr>
          <w:rFonts w:ascii="Times New Roman" w:hAnsi="Times New Roman" w:cs="Times New Roman"/>
        </w:rPr>
        <w:fldChar w:fldCharType="begin"/>
      </w:r>
      <w:r w:rsidR="005C0ECA">
        <w:rPr>
          <w:rFonts w:ascii="Times New Roman" w:hAnsi="Times New Roman" w:cs="Times New Roman"/>
        </w:rPr>
        <w:instrText xml:space="preserve"> TA \s "ICHR" </w:instrText>
      </w:r>
      <w:r w:rsidR="005C0ECA">
        <w:rPr>
          <w:rFonts w:ascii="Times New Roman" w:hAnsi="Times New Roman" w:cs="Times New Roman"/>
        </w:rPr>
        <w:fldChar w:fldCharType="end"/>
      </w:r>
      <w:r w:rsidRPr="00D83041">
        <w:rPr>
          <w:rFonts w:ascii="Times New Roman" w:hAnsi="Times New Roman" w:cs="Times New Roman"/>
        </w:rPr>
        <w:t xml:space="preserve"> carried out the </w:t>
      </w:r>
      <w:r w:rsidRPr="00483CBB">
        <w:rPr>
          <w:rFonts w:ascii="Times New Roman" w:hAnsi="Times New Roman" w:cs="Times New Roman"/>
          <w:i/>
          <w:iCs/>
        </w:rPr>
        <w:t>National Inquiry into Health Insurance 2019-2021</w:t>
      </w:r>
      <w:r w:rsidRPr="00D83041">
        <w:rPr>
          <w:rFonts w:ascii="Times New Roman" w:hAnsi="Times New Roman" w:cs="Times New Roman"/>
        </w:rPr>
        <w:t>, an exercise that is at the core of the work of national human rights institutions. Informed by international human rights benchmarks and WHO</w:t>
      </w:r>
      <w:r w:rsidR="005C0ECA">
        <w:rPr>
          <w:rFonts w:ascii="Times New Roman" w:hAnsi="Times New Roman" w:cs="Times New Roman"/>
        </w:rPr>
        <w:fldChar w:fldCharType="begin"/>
      </w:r>
      <w:r w:rsidR="005C0ECA">
        <w:rPr>
          <w:rFonts w:ascii="Times New Roman" w:hAnsi="Times New Roman" w:cs="Times New Roman"/>
        </w:rPr>
        <w:instrText xml:space="preserve"> TA \s "WHO" </w:instrText>
      </w:r>
      <w:r w:rsidR="005C0ECA">
        <w:rPr>
          <w:rFonts w:ascii="Times New Roman" w:hAnsi="Times New Roman" w:cs="Times New Roman"/>
        </w:rPr>
        <w:fldChar w:fldCharType="end"/>
      </w:r>
      <w:r w:rsidRPr="00D83041">
        <w:rPr>
          <w:rFonts w:ascii="Times New Roman" w:hAnsi="Times New Roman" w:cs="Times New Roman"/>
        </w:rPr>
        <w:t xml:space="preserve"> standards, the inquiry adopted a public wide approach through a quantitative survey conducted by the PCBS</w:t>
      </w:r>
      <w:r w:rsidR="005C0ECA">
        <w:rPr>
          <w:rFonts w:ascii="Times New Roman" w:hAnsi="Times New Roman" w:cs="Times New Roman"/>
        </w:rPr>
        <w:fldChar w:fldCharType="begin"/>
      </w:r>
      <w:r w:rsidR="005C0ECA">
        <w:rPr>
          <w:rFonts w:ascii="Times New Roman" w:hAnsi="Times New Roman" w:cs="Times New Roman"/>
        </w:rPr>
        <w:instrText xml:space="preserve"> TA \s "PCBS" </w:instrText>
      </w:r>
      <w:r w:rsidR="005C0ECA">
        <w:rPr>
          <w:rFonts w:ascii="Times New Roman" w:hAnsi="Times New Roman" w:cs="Times New Roman"/>
        </w:rPr>
        <w:fldChar w:fldCharType="end"/>
      </w:r>
      <w:r w:rsidRPr="00D83041">
        <w:rPr>
          <w:rFonts w:ascii="Times New Roman" w:hAnsi="Times New Roman" w:cs="Times New Roman"/>
        </w:rPr>
        <w:t xml:space="preserve"> in 2019. It also used regional focus groups across the West Bank, Gaza Strip, and East Jerusalem. The inquiry reached many conclusions. Mainly, the current health system is incompatible with WHO standards on all levels: availability, accessibility, acceptability and quality. Beneficiaries expressed low satisfaction with the services provided by health insurance. Key recommendations include</w:t>
      </w:r>
      <w:r w:rsidR="00483CBB">
        <w:rPr>
          <w:rFonts w:ascii="Times New Roman" w:hAnsi="Times New Roman" w:cs="Times New Roman"/>
        </w:rPr>
        <w:t>d</w:t>
      </w:r>
      <w:r w:rsidRPr="00D83041">
        <w:rPr>
          <w:rFonts w:ascii="Times New Roman" w:hAnsi="Times New Roman" w:cs="Times New Roman"/>
        </w:rPr>
        <w:t xml:space="preserve"> the need to enact a law on health insurance and establish an independent body to manage and supervise health care service delivery. </w:t>
      </w:r>
    </w:p>
  </w:footnote>
  <w:footnote w:id="9">
    <w:p w:rsidR="00D83041" w:rsidRPr="00D83041" w:rsidRDefault="00D83041" w:rsidP="00D83041">
      <w:pPr>
        <w:pStyle w:val="FootnoteText"/>
        <w:jc w:val="both"/>
        <w:rPr>
          <w:rFonts w:ascii="Times New Roman" w:hAnsi="Times New Roman" w:cs="Times New Roman"/>
        </w:rPr>
      </w:pPr>
      <w:r w:rsidRPr="00D83041">
        <w:rPr>
          <w:rStyle w:val="FootnoteReference"/>
          <w:rFonts w:ascii="Times New Roman" w:hAnsi="Times New Roman" w:cs="Times New Roman"/>
        </w:rPr>
        <w:footnoteRef/>
      </w:r>
      <w:r w:rsidRPr="00D83041">
        <w:rPr>
          <w:rFonts w:ascii="Times New Roman" w:hAnsi="Times New Roman" w:cs="Times New Roman"/>
        </w:rPr>
        <w:t xml:space="preserve"> In 2019, the ICHR</w:t>
      </w:r>
      <w:r w:rsidR="005C0ECA">
        <w:rPr>
          <w:rFonts w:ascii="Times New Roman" w:hAnsi="Times New Roman" w:cs="Times New Roman"/>
        </w:rPr>
        <w:fldChar w:fldCharType="begin"/>
      </w:r>
      <w:r w:rsidR="005C0ECA">
        <w:rPr>
          <w:rFonts w:ascii="Times New Roman" w:hAnsi="Times New Roman" w:cs="Times New Roman"/>
        </w:rPr>
        <w:instrText xml:space="preserve"> TA \s "ICHR" </w:instrText>
      </w:r>
      <w:r w:rsidR="005C0ECA">
        <w:rPr>
          <w:rFonts w:ascii="Times New Roman" w:hAnsi="Times New Roman" w:cs="Times New Roman"/>
        </w:rPr>
        <w:fldChar w:fldCharType="end"/>
      </w:r>
      <w:r w:rsidRPr="00D83041">
        <w:rPr>
          <w:rFonts w:ascii="Times New Roman" w:hAnsi="Times New Roman" w:cs="Times New Roman"/>
        </w:rPr>
        <w:t xml:space="preserve"> analysed </w:t>
      </w:r>
      <w:r>
        <w:rPr>
          <w:rFonts w:ascii="Times New Roman" w:hAnsi="Times New Roman" w:cs="Times New Roman"/>
        </w:rPr>
        <w:t>the content of school textbooks from a human rights and gender perspective. Reports were deliberated with the MoE and relevant civil society organisations. Discussions demonstrated that some content was insensitive of human rights or entrench</w:t>
      </w:r>
      <w:r w:rsidR="00C11F65">
        <w:rPr>
          <w:rFonts w:ascii="Times New Roman" w:hAnsi="Times New Roman" w:cs="Times New Roman"/>
        </w:rPr>
        <w:t>ed</w:t>
      </w:r>
      <w:r>
        <w:rPr>
          <w:rFonts w:ascii="Times New Roman" w:hAnsi="Times New Roman" w:cs="Times New Roman"/>
        </w:rPr>
        <w:t xml:space="preserve"> traditional social patterns.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F90"/>
    <w:multiLevelType w:val="hybridMultilevel"/>
    <w:tmpl w:val="45589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E7156"/>
    <w:multiLevelType w:val="hybridMultilevel"/>
    <w:tmpl w:val="82A8EFA2"/>
    <w:lvl w:ilvl="0" w:tplc="BE682542">
      <w:numFmt w:val="bullet"/>
      <w:lvlText w:val="-"/>
      <w:lvlJc w:val="left"/>
      <w:pPr>
        <w:ind w:left="72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94E7C"/>
    <w:multiLevelType w:val="hybridMultilevel"/>
    <w:tmpl w:val="88360FF4"/>
    <w:lvl w:ilvl="0" w:tplc="CD84C1CC">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1706B"/>
    <w:multiLevelType w:val="hybridMultilevel"/>
    <w:tmpl w:val="00FC3B7E"/>
    <w:lvl w:ilvl="0" w:tplc="AD90F6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178CB"/>
    <w:multiLevelType w:val="hybridMultilevel"/>
    <w:tmpl w:val="97A03B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B18BD"/>
    <w:multiLevelType w:val="hybridMultilevel"/>
    <w:tmpl w:val="5F32830E"/>
    <w:lvl w:ilvl="0" w:tplc="BE682542">
      <w:numFmt w:val="bullet"/>
      <w:lvlText w:val="-"/>
      <w:lvlJc w:val="left"/>
      <w:pPr>
        <w:ind w:left="783" w:hanging="360"/>
      </w:pPr>
      <w:rPr>
        <w:rFonts w:ascii="Simplified Arabic" w:eastAsiaTheme="minorHAnsi" w:hAnsi="Simplified Arabic" w:cs="Simplified Arabic"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 w15:restartNumberingAfterBreak="0">
    <w:nsid w:val="316A78F2"/>
    <w:multiLevelType w:val="hybridMultilevel"/>
    <w:tmpl w:val="5A34D8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9E3D5E"/>
    <w:multiLevelType w:val="hybridMultilevel"/>
    <w:tmpl w:val="014644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823EA"/>
    <w:multiLevelType w:val="hybridMultilevel"/>
    <w:tmpl w:val="DF82247A"/>
    <w:lvl w:ilvl="0" w:tplc="04090003">
      <w:start w:val="1"/>
      <w:numFmt w:val="bullet"/>
      <w:lvlText w:val="o"/>
      <w:lvlJc w:val="left"/>
      <w:pPr>
        <w:ind w:left="783" w:hanging="360"/>
      </w:pPr>
      <w:rPr>
        <w:rFonts w:ascii="Courier New" w:hAnsi="Courier New" w:cs="Courier New"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15:restartNumberingAfterBreak="0">
    <w:nsid w:val="3EF331E5"/>
    <w:multiLevelType w:val="hybridMultilevel"/>
    <w:tmpl w:val="90DE3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4C16B8"/>
    <w:multiLevelType w:val="hybridMultilevel"/>
    <w:tmpl w:val="769CB81E"/>
    <w:lvl w:ilvl="0" w:tplc="04090003">
      <w:start w:val="1"/>
      <w:numFmt w:val="bullet"/>
      <w:lvlText w:val="o"/>
      <w:lvlJc w:val="left"/>
      <w:pPr>
        <w:ind w:left="783" w:hanging="360"/>
      </w:pPr>
      <w:rPr>
        <w:rFonts w:ascii="Courier New" w:hAnsi="Courier New" w:cs="Courier New"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1" w15:restartNumberingAfterBreak="0">
    <w:nsid w:val="4FB35E3E"/>
    <w:multiLevelType w:val="hybridMultilevel"/>
    <w:tmpl w:val="560208E0"/>
    <w:lvl w:ilvl="0" w:tplc="BE682542">
      <w:numFmt w:val="bullet"/>
      <w:lvlText w:val="-"/>
      <w:lvlJc w:val="left"/>
      <w:pPr>
        <w:ind w:left="72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2C201B"/>
    <w:multiLevelType w:val="hybridMultilevel"/>
    <w:tmpl w:val="F822B4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92D53"/>
    <w:multiLevelType w:val="hybridMultilevel"/>
    <w:tmpl w:val="F9CA4750"/>
    <w:lvl w:ilvl="0" w:tplc="BE68254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2F3578"/>
    <w:multiLevelType w:val="hybridMultilevel"/>
    <w:tmpl w:val="1494F6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0751B8"/>
    <w:multiLevelType w:val="hybridMultilevel"/>
    <w:tmpl w:val="6AEC46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1C4CF7"/>
    <w:multiLevelType w:val="hybridMultilevel"/>
    <w:tmpl w:val="3D540BF0"/>
    <w:lvl w:ilvl="0" w:tplc="BE682542">
      <w:numFmt w:val="bullet"/>
      <w:lvlText w:val="-"/>
      <w:lvlJc w:val="left"/>
      <w:pPr>
        <w:ind w:left="72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7"/>
  </w:num>
  <w:num w:numId="5">
    <w:abstractNumId w:val="11"/>
  </w:num>
  <w:num w:numId="6">
    <w:abstractNumId w:val="16"/>
  </w:num>
  <w:num w:numId="7">
    <w:abstractNumId w:val="9"/>
  </w:num>
  <w:num w:numId="8">
    <w:abstractNumId w:val="14"/>
  </w:num>
  <w:num w:numId="9">
    <w:abstractNumId w:val="13"/>
  </w:num>
  <w:num w:numId="10">
    <w:abstractNumId w:val="15"/>
  </w:num>
  <w:num w:numId="11">
    <w:abstractNumId w:val="1"/>
  </w:num>
  <w:num w:numId="12">
    <w:abstractNumId w:val="10"/>
  </w:num>
  <w:num w:numId="13">
    <w:abstractNumId w:val="5"/>
  </w:num>
  <w:num w:numId="14">
    <w:abstractNumId w:val="8"/>
  </w:num>
  <w:num w:numId="15">
    <w:abstractNumId w:val="6"/>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KwMDI0MjY3NzMxMrZU0lEKTi0uzszPAykwrAUATEAPniwAAAA="/>
  </w:docVars>
  <w:rsids>
    <w:rsidRoot w:val="008F592D"/>
    <w:rsid w:val="00004F4D"/>
    <w:rsid w:val="0000521A"/>
    <w:rsid w:val="0004226A"/>
    <w:rsid w:val="000524A1"/>
    <w:rsid w:val="000642C1"/>
    <w:rsid w:val="000701D9"/>
    <w:rsid w:val="00071A5A"/>
    <w:rsid w:val="000948B9"/>
    <w:rsid w:val="000B17DB"/>
    <w:rsid w:val="000B30E2"/>
    <w:rsid w:val="000B4C34"/>
    <w:rsid w:val="00101E72"/>
    <w:rsid w:val="00106983"/>
    <w:rsid w:val="00120567"/>
    <w:rsid w:val="00140DD5"/>
    <w:rsid w:val="00171D67"/>
    <w:rsid w:val="00196E71"/>
    <w:rsid w:val="001A3547"/>
    <w:rsid w:val="001A5E48"/>
    <w:rsid w:val="001B05B9"/>
    <w:rsid w:val="001B4F81"/>
    <w:rsid w:val="001C0618"/>
    <w:rsid w:val="001C15E1"/>
    <w:rsid w:val="001C4F53"/>
    <w:rsid w:val="001D6115"/>
    <w:rsid w:val="001E0BFE"/>
    <w:rsid w:val="001F2393"/>
    <w:rsid w:val="001F73E5"/>
    <w:rsid w:val="002254C9"/>
    <w:rsid w:val="002317F2"/>
    <w:rsid w:val="00242763"/>
    <w:rsid w:val="00245CB4"/>
    <w:rsid w:val="0024798A"/>
    <w:rsid w:val="0026251F"/>
    <w:rsid w:val="002820AA"/>
    <w:rsid w:val="0028418E"/>
    <w:rsid w:val="002A13F1"/>
    <w:rsid w:val="002D5CD3"/>
    <w:rsid w:val="002E4095"/>
    <w:rsid w:val="002F5A6D"/>
    <w:rsid w:val="00312B6D"/>
    <w:rsid w:val="00313FDC"/>
    <w:rsid w:val="00314746"/>
    <w:rsid w:val="00314B90"/>
    <w:rsid w:val="0033088E"/>
    <w:rsid w:val="003407F6"/>
    <w:rsid w:val="00341F8A"/>
    <w:rsid w:val="00391C3D"/>
    <w:rsid w:val="00397ED5"/>
    <w:rsid w:val="003B2969"/>
    <w:rsid w:val="003C1434"/>
    <w:rsid w:val="003C29AD"/>
    <w:rsid w:val="003F1220"/>
    <w:rsid w:val="003F1AE5"/>
    <w:rsid w:val="00446A8C"/>
    <w:rsid w:val="00460FF3"/>
    <w:rsid w:val="004631F8"/>
    <w:rsid w:val="004724BE"/>
    <w:rsid w:val="00483CBB"/>
    <w:rsid w:val="004930AE"/>
    <w:rsid w:val="00496F4C"/>
    <w:rsid w:val="004A1444"/>
    <w:rsid w:val="004B44F3"/>
    <w:rsid w:val="004B5AB0"/>
    <w:rsid w:val="004C0BF9"/>
    <w:rsid w:val="004C5542"/>
    <w:rsid w:val="004D03D5"/>
    <w:rsid w:val="004D1DCD"/>
    <w:rsid w:val="004E138D"/>
    <w:rsid w:val="004E3EC3"/>
    <w:rsid w:val="004E721F"/>
    <w:rsid w:val="004F01E8"/>
    <w:rsid w:val="004F156A"/>
    <w:rsid w:val="004F602F"/>
    <w:rsid w:val="00521842"/>
    <w:rsid w:val="00547516"/>
    <w:rsid w:val="0055090C"/>
    <w:rsid w:val="00562EEB"/>
    <w:rsid w:val="00565AEC"/>
    <w:rsid w:val="00571237"/>
    <w:rsid w:val="005904CE"/>
    <w:rsid w:val="005977A0"/>
    <w:rsid w:val="005A5E34"/>
    <w:rsid w:val="005B4D83"/>
    <w:rsid w:val="005B6256"/>
    <w:rsid w:val="005B6DFD"/>
    <w:rsid w:val="005C0ECA"/>
    <w:rsid w:val="005C7747"/>
    <w:rsid w:val="005F5850"/>
    <w:rsid w:val="00604EDD"/>
    <w:rsid w:val="00606A0E"/>
    <w:rsid w:val="00612F1C"/>
    <w:rsid w:val="006166A6"/>
    <w:rsid w:val="00620408"/>
    <w:rsid w:val="0062223A"/>
    <w:rsid w:val="00623D1C"/>
    <w:rsid w:val="0062622D"/>
    <w:rsid w:val="006650AA"/>
    <w:rsid w:val="00675ED3"/>
    <w:rsid w:val="00687C5C"/>
    <w:rsid w:val="006913E5"/>
    <w:rsid w:val="006A358D"/>
    <w:rsid w:val="006A4814"/>
    <w:rsid w:val="006B77EE"/>
    <w:rsid w:val="006C05EC"/>
    <w:rsid w:val="006C2099"/>
    <w:rsid w:val="006D03B4"/>
    <w:rsid w:val="006D13E2"/>
    <w:rsid w:val="006D4137"/>
    <w:rsid w:val="006D70CE"/>
    <w:rsid w:val="006F3B2D"/>
    <w:rsid w:val="006F49A5"/>
    <w:rsid w:val="006F6F9E"/>
    <w:rsid w:val="006F7823"/>
    <w:rsid w:val="007047E7"/>
    <w:rsid w:val="0072377E"/>
    <w:rsid w:val="00772AAF"/>
    <w:rsid w:val="00775304"/>
    <w:rsid w:val="00775987"/>
    <w:rsid w:val="007934E6"/>
    <w:rsid w:val="007B5DC2"/>
    <w:rsid w:val="007E5F97"/>
    <w:rsid w:val="00800042"/>
    <w:rsid w:val="00814EFD"/>
    <w:rsid w:val="00816216"/>
    <w:rsid w:val="008179FF"/>
    <w:rsid w:val="00832990"/>
    <w:rsid w:val="0083408F"/>
    <w:rsid w:val="008353AF"/>
    <w:rsid w:val="00852E0A"/>
    <w:rsid w:val="008A00AD"/>
    <w:rsid w:val="008C3C7E"/>
    <w:rsid w:val="008E0613"/>
    <w:rsid w:val="008E1879"/>
    <w:rsid w:val="008F21A6"/>
    <w:rsid w:val="008F592D"/>
    <w:rsid w:val="008F6006"/>
    <w:rsid w:val="008F7B3B"/>
    <w:rsid w:val="00902AD9"/>
    <w:rsid w:val="00930E0A"/>
    <w:rsid w:val="009451F4"/>
    <w:rsid w:val="00951A87"/>
    <w:rsid w:val="009713F7"/>
    <w:rsid w:val="00986D87"/>
    <w:rsid w:val="009D0FE0"/>
    <w:rsid w:val="009F1502"/>
    <w:rsid w:val="009F5AB3"/>
    <w:rsid w:val="009F78B5"/>
    <w:rsid w:val="00A40D1F"/>
    <w:rsid w:val="00A50C4E"/>
    <w:rsid w:val="00A54D24"/>
    <w:rsid w:val="00A70EB8"/>
    <w:rsid w:val="00A816C1"/>
    <w:rsid w:val="00A8510A"/>
    <w:rsid w:val="00AA6984"/>
    <w:rsid w:val="00AB2BD2"/>
    <w:rsid w:val="00AB6170"/>
    <w:rsid w:val="00AC4319"/>
    <w:rsid w:val="00AD1899"/>
    <w:rsid w:val="00AE176B"/>
    <w:rsid w:val="00AF7E7E"/>
    <w:rsid w:val="00B0549D"/>
    <w:rsid w:val="00B13605"/>
    <w:rsid w:val="00B208A6"/>
    <w:rsid w:val="00B478A3"/>
    <w:rsid w:val="00B56EA0"/>
    <w:rsid w:val="00B617BD"/>
    <w:rsid w:val="00B66D9A"/>
    <w:rsid w:val="00BA3999"/>
    <w:rsid w:val="00BC2CBB"/>
    <w:rsid w:val="00BD139E"/>
    <w:rsid w:val="00BE4E83"/>
    <w:rsid w:val="00C00FFD"/>
    <w:rsid w:val="00C11F65"/>
    <w:rsid w:val="00C12965"/>
    <w:rsid w:val="00C16ACE"/>
    <w:rsid w:val="00C34327"/>
    <w:rsid w:val="00C44D08"/>
    <w:rsid w:val="00C62FFB"/>
    <w:rsid w:val="00C6479B"/>
    <w:rsid w:val="00C707CE"/>
    <w:rsid w:val="00C73B95"/>
    <w:rsid w:val="00C80B01"/>
    <w:rsid w:val="00C8134F"/>
    <w:rsid w:val="00C90179"/>
    <w:rsid w:val="00C90782"/>
    <w:rsid w:val="00C950BB"/>
    <w:rsid w:val="00CA0177"/>
    <w:rsid w:val="00CA1687"/>
    <w:rsid w:val="00CB2354"/>
    <w:rsid w:val="00CB6764"/>
    <w:rsid w:val="00CB7895"/>
    <w:rsid w:val="00CC05FE"/>
    <w:rsid w:val="00CD4E4A"/>
    <w:rsid w:val="00CE4B4F"/>
    <w:rsid w:val="00CF2970"/>
    <w:rsid w:val="00D12192"/>
    <w:rsid w:val="00D22DD8"/>
    <w:rsid w:val="00D31E5A"/>
    <w:rsid w:val="00D40247"/>
    <w:rsid w:val="00D51F94"/>
    <w:rsid w:val="00D577D5"/>
    <w:rsid w:val="00D67B8E"/>
    <w:rsid w:val="00D83041"/>
    <w:rsid w:val="00D969FD"/>
    <w:rsid w:val="00DB17A1"/>
    <w:rsid w:val="00DB1978"/>
    <w:rsid w:val="00DC1D66"/>
    <w:rsid w:val="00DD0F3F"/>
    <w:rsid w:val="00DD588C"/>
    <w:rsid w:val="00DE5E8D"/>
    <w:rsid w:val="00DE752A"/>
    <w:rsid w:val="00DF2E4E"/>
    <w:rsid w:val="00DF36EE"/>
    <w:rsid w:val="00DF5573"/>
    <w:rsid w:val="00E011C6"/>
    <w:rsid w:val="00E04B53"/>
    <w:rsid w:val="00E17032"/>
    <w:rsid w:val="00E30918"/>
    <w:rsid w:val="00E46865"/>
    <w:rsid w:val="00E930F3"/>
    <w:rsid w:val="00EA3C09"/>
    <w:rsid w:val="00EA7EB7"/>
    <w:rsid w:val="00EB5161"/>
    <w:rsid w:val="00EC5EA2"/>
    <w:rsid w:val="00ED7683"/>
    <w:rsid w:val="00EE2EF7"/>
    <w:rsid w:val="00EE329B"/>
    <w:rsid w:val="00EF78F6"/>
    <w:rsid w:val="00F065FE"/>
    <w:rsid w:val="00F1088E"/>
    <w:rsid w:val="00F224A8"/>
    <w:rsid w:val="00F40731"/>
    <w:rsid w:val="00F4571C"/>
    <w:rsid w:val="00F47827"/>
    <w:rsid w:val="00F55290"/>
    <w:rsid w:val="00F56742"/>
    <w:rsid w:val="00F57EA1"/>
    <w:rsid w:val="00F61857"/>
    <w:rsid w:val="00F62CDE"/>
    <w:rsid w:val="00F656D8"/>
    <w:rsid w:val="00F704B0"/>
    <w:rsid w:val="00F84D48"/>
    <w:rsid w:val="00F91F89"/>
    <w:rsid w:val="00FA590B"/>
    <w:rsid w:val="00FC5CCE"/>
    <w:rsid w:val="00FC6870"/>
    <w:rsid w:val="00FC7154"/>
    <w:rsid w:val="00FE280E"/>
    <w:rsid w:val="00FE3E63"/>
    <w:rsid w:val="00FE7BFC"/>
    <w:rsid w:val="00FF59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CDA9E-0404-40A6-868F-E35B5B43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bidi="ar-JO"/>
    </w:rPr>
  </w:style>
  <w:style w:type="paragraph" w:styleId="Heading1">
    <w:name w:val="heading 1"/>
    <w:basedOn w:val="Normal"/>
    <w:next w:val="Normal"/>
    <w:link w:val="Heading1Char"/>
    <w:uiPriority w:val="9"/>
    <w:qFormat/>
    <w:rsid w:val="005C0E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0E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721F"/>
    <w:rPr>
      <w:color w:val="0563C1" w:themeColor="hyperlink"/>
      <w:u w:val="single"/>
    </w:rPr>
  </w:style>
  <w:style w:type="paragraph" w:styleId="ListParagraph">
    <w:name w:val="List Paragraph"/>
    <w:basedOn w:val="Normal"/>
    <w:uiPriority w:val="34"/>
    <w:qFormat/>
    <w:rsid w:val="00F56742"/>
    <w:pPr>
      <w:ind w:left="720"/>
      <w:contextualSpacing/>
    </w:pPr>
  </w:style>
  <w:style w:type="paragraph" w:styleId="FootnoteText">
    <w:name w:val="footnote text"/>
    <w:basedOn w:val="Normal"/>
    <w:link w:val="FootnoteTextChar"/>
    <w:uiPriority w:val="99"/>
    <w:semiHidden/>
    <w:unhideWhenUsed/>
    <w:rsid w:val="000B17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17DB"/>
    <w:rPr>
      <w:sz w:val="20"/>
      <w:szCs w:val="20"/>
      <w:lang w:val="en-GB" w:bidi="ar-JO"/>
    </w:rPr>
  </w:style>
  <w:style w:type="character" w:styleId="FootnoteReference">
    <w:name w:val="footnote reference"/>
    <w:basedOn w:val="DefaultParagraphFont"/>
    <w:uiPriority w:val="99"/>
    <w:semiHidden/>
    <w:unhideWhenUsed/>
    <w:rsid w:val="000B17DB"/>
    <w:rPr>
      <w:vertAlign w:val="superscript"/>
    </w:rPr>
  </w:style>
  <w:style w:type="paragraph" w:styleId="Header">
    <w:name w:val="header"/>
    <w:basedOn w:val="Normal"/>
    <w:link w:val="HeaderChar"/>
    <w:uiPriority w:val="99"/>
    <w:unhideWhenUsed/>
    <w:rsid w:val="00D51F94"/>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1F94"/>
    <w:rPr>
      <w:lang w:val="en-GB" w:bidi="ar-JO"/>
    </w:rPr>
  </w:style>
  <w:style w:type="paragraph" w:styleId="Footer">
    <w:name w:val="footer"/>
    <w:basedOn w:val="Normal"/>
    <w:link w:val="FooterChar"/>
    <w:uiPriority w:val="99"/>
    <w:unhideWhenUsed/>
    <w:rsid w:val="00D51F94"/>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1F94"/>
    <w:rPr>
      <w:lang w:val="en-GB" w:bidi="ar-JO"/>
    </w:rPr>
  </w:style>
  <w:style w:type="paragraph" w:styleId="TOAHeading">
    <w:name w:val="toa heading"/>
    <w:basedOn w:val="Normal"/>
    <w:next w:val="Normal"/>
    <w:uiPriority w:val="99"/>
    <w:unhideWhenUsed/>
    <w:rsid w:val="00F55290"/>
    <w:pPr>
      <w:spacing w:before="120" w:after="120"/>
    </w:pPr>
    <w:rPr>
      <w:rFonts w:cstheme="minorHAnsi"/>
      <w:sz w:val="20"/>
      <w:szCs w:val="24"/>
      <w:u w:val="single"/>
    </w:rPr>
  </w:style>
  <w:style w:type="paragraph" w:styleId="TableofAuthorities">
    <w:name w:val="table of authorities"/>
    <w:basedOn w:val="Normal"/>
    <w:next w:val="Normal"/>
    <w:uiPriority w:val="99"/>
    <w:unhideWhenUsed/>
    <w:rsid w:val="00F55290"/>
    <w:pPr>
      <w:spacing w:after="0"/>
      <w:ind w:left="220" w:hanging="220"/>
    </w:pPr>
    <w:rPr>
      <w:rFonts w:cstheme="minorHAnsi"/>
      <w:sz w:val="20"/>
      <w:szCs w:val="24"/>
    </w:rPr>
  </w:style>
  <w:style w:type="character" w:customStyle="1" w:styleId="Heading1Char">
    <w:name w:val="Heading 1 Char"/>
    <w:basedOn w:val="DefaultParagraphFont"/>
    <w:link w:val="Heading1"/>
    <w:uiPriority w:val="9"/>
    <w:rsid w:val="005C0ECA"/>
    <w:rPr>
      <w:rFonts w:asciiTheme="majorHAnsi" w:eastAsiaTheme="majorEastAsia" w:hAnsiTheme="majorHAnsi" w:cstheme="majorBidi"/>
      <w:color w:val="2E74B5" w:themeColor="accent1" w:themeShade="BF"/>
      <w:sz w:val="32"/>
      <w:szCs w:val="32"/>
      <w:lang w:val="en-GB" w:bidi="ar-JO"/>
    </w:rPr>
  </w:style>
  <w:style w:type="character" w:customStyle="1" w:styleId="Heading2Char">
    <w:name w:val="Heading 2 Char"/>
    <w:basedOn w:val="DefaultParagraphFont"/>
    <w:link w:val="Heading2"/>
    <w:uiPriority w:val="9"/>
    <w:rsid w:val="005C0ECA"/>
    <w:rPr>
      <w:rFonts w:asciiTheme="majorHAnsi" w:eastAsiaTheme="majorEastAsia" w:hAnsiTheme="majorHAnsi" w:cstheme="majorBidi"/>
      <w:color w:val="2E74B5" w:themeColor="accent1" w:themeShade="BF"/>
      <w:sz w:val="26"/>
      <w:szCs w:val="26"/>
      <w:lang w:val="en-GB" w:bidi="ar-JO"/>
    </w:rPr>
  </w:style>
  <w:style w:type="paragraph" w:styleId="TOCHeading">
    <w:name w:val="TOC Heading"/>
    <w:basedOn w:val="Heading1"/>
    <w:next w:val="Normal"/>
    <w:uiPriority w:val="39"/>
    <w:unhideWhenUsed/>
    <w:qFormat/>
    <w:rsid w:val="005C0ECA"/>
    <w:pPr>
      <w:spacing w:line="259" w:lineRule="auto"/>
      <w:outlineLvl w:val="9"/>
    </w:pPr>
    <w:rPr>
      <w:lang w:val="en-US" w:bidi="ar-SA"/>
    </w:rPr>
  </w:style>
  <w:style w:type="paragraph" w:styleId="TOC1">
    <w:name w:val="toc 1"/>
    <w:basedOn w:val="Normal"/>
    <w:next w:val="Normal"/>
    <w:autoRedefine/>
    <w:uiPriority w:val="39"/>
    <w:unhideWhenUsed/>
    <w:rsid w:val="005C0ECA"/>
    <w:pPr>
      <w:spacing w:after="100"/>
    </w:pPr>
  </w:style>
  <w:style w:type="paragraph" w:styleId="TOC2">
    <w:name w:val="toc 2"/>
    <w:basedOn w:val="Normal"/>
    <w:next w:val="Normal"/>
    <w:autoRedefine/>
    <w:uiPriority w:val="39"/>
    <w:unhideWhenUsed/>
    <w:rsid w:val="005C0EC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ichr.ps/en/1" TargetMode="External"/><Relationship Id="rId4" Type="http://schemas.openxmlformats.org/officeDocument/2006/relationships/settings" Target="settings.xml"/><Relationship Id="rId9" Type="http://schemas.openxmlformats.org/officeDocument/2006/relationships/hyperlink" Target="mailto:kzahran@ichr.p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605d714aae7fb165c45759dfa1df7b8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9E6C6A-9E14-4E06-81CC-A8340F370367}">
  <ds:schemaRefs>
    <ds:schemaRef ds:uri="http://schemas.openxmlformats.org/officeDocument/2006/bibliography"/>
  </ds:schemaRefs>
</ds:datastoreItem>
</file>

<file path=customXml/itemProps2.xml><?xml version="1.0" encoding="utf-8"?>
<ds:datastoreItem xmlns:ds="http://schemas.openxmlformats.org/officeDocument/2006/customXml" ds:itemID="{15E0875C-D8FE-45ED-8008-7C2FC08E8221}"/>
</file>

<file path=customXml/itemProps3.xml><?xml version="1.0" encoding="utf-8"?>
<ds:datastoreItem xmlns:ds="http://schemas.openxmlformats.org/officeDocument/2006/customXml" ds:itemID="{C9917277-9F90-452A-A688-45D0DFED9D92}"/>
</file>

<file path=customXml/itemProps4.xml><?xml version="1.0" encoding="utf-8"?>
<ds:datastoreItem xmlns:ds="http://schemas.openxmlformats.org/officeDocument/2006/customXml" ds:itemID="{CF086B6F-FFB4-4CA9-AD2A-6B8BDD29468C}"/>
</file>

<file path=docProps/app.xml><?xml version="1.0" encoding="utf-8"?>
<Properties xmlns="http://schemas.openxmlformats.org/officeDocument/2006/extended-properties" xmlns:vt="http://schemas.openxmlformats.org/officeDocument/2006/docPropsVTypes">
  <Template>Normal.dotm</Template>
  <TotalTime>1</TotalTime>
  <Pages>17</Pages>
  <Words>5692</Words>
  <Characters>32450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Yaseen Al-Sayyed</dc:creator>
  <cp:keywords/>
  <dc:description/>
  <cp:lastModifiedBy>REYNAUD Céline</cp:lastModifiedBy>
  <cp:revision>2</cp:revision>
  <dcterms:created xsi:type="dcterms:W3CDTF">2021-08-09T16:51:00Z</dcterms:created>
  <dcterms:modified xsi:type="dcterms:W3CDTF">2021-08-09T16:51:00Z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0x010100B5446AB3680AD04583FFC0D2A3BEC2EA</vt:lpwstr>
  </property>
</Properties>
</file>