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3CCB" w14:textId="22EA991F" w:rsidR="006855C9" w:rsidRDefault="00FE0635" w:rsidP="00E752FF">
      <w:pPr>
        <w:spacing w:line="276" w:lineRule="auto"/>
        <w:jc w:val="center"/>
        <w:rPr>
          <w:rFonts w:cstheme="minorHAnsi"/>
        </w:rPr>
      </w:pPr>
      <w:r>
        <w:rPr>
          <w:rFonts w:cstheme="minorHAnsi"/>
          <w:noProof/>
          <w:lang w:val="en-GB" w:eastAsia="en-GB"/>
        </w:rPr>
        <w:drawing>
          <wp:inline distT="0" distB="0" distL="0" distR="0" wp14:anchorId="6487AE85" wp14:editId="298D0AF8">
            <wp:extent cx="2486025" cy="2343150"/>
            <wp:effectExtent l="0" t="0" r="9525" b="0"/>
            <wp:docPr id="2" name="Picture 1" descr="WIS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G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343150"/>
                    </a:xfrm>
                    <a:prstGeom prst="rect">
                      <a:avLst/>
                    </a:prstGeom>
                    <a:noFill/>
                    <a:ln>
                      <a:noFill/>
                    </a:ln>
                  </pic:spPr>
                </pic:pic>
              </a:graphicData>
            </a:graphic>
          </wp:inline>
        </w:drawing>
      </w:r>
    </w:p>
    <w:p w14:paraId="23A7F20B" w14:textId="77777777" w:rsidR="00AA28D5" w:rsidRPr="00A24177" w:rsidRDefault="00AA28D5" w:rsidP="00E752FF">
      <w:pPr>
        <w:jc w:val="center"/>
        <w:rPr>
          <w:rFonts w:ascii="Sylfaen" w:hAnsi="Sylfaen" w:cs="Arial"/>
          <w:b/>
          <w:bCs/>
          <w:color w:val="1F4E79" w:themeColor="accent1" w:themeShade="80"/>
          <w:sz w:val="23"/>
          <w:szCs w:val="23"/>
          <w:lang w:val="ka-GE"/>
        </w:rPr>
      </w:pPr>
    </w:p>
    <w:p w14:paraId="7CFD4F9B" w14:textId="77777777" w:rsidR="00C10EC7" w:rsidRDefault="00C10EC7" w:rsidP="00E752FF">
      <w:pPr>
        <w:jc w:val="center"/>
        <w:rPr>
          <w:rFonts w:cstheme="minorHAnsi"/>
          <w:b/>
          <w:bCs/>
          <w:color w:val="1F4E79" w:themeColor="accent1" w:themeShade="80"/>
          <w:sz w:val="23"/>
          <w:szCs w:val="23"/>
        </w:rPr>
      </w:pPr>
    </w:p>
    <w:p w14:paraId="1CE3F5AE" w14:textId="77777777" w:rsidR="00C10EC7" w:rsidRPr="00C10EC7" w:rsidRDefault="00647CC2" w:rsidP="00C10EC7">
      <w:pPr>
        <w:jc w:val="center"/>
        <w:rPr>
          <w:rFonts w:cstheme="minorHAnsi"/>
          <w:b/>
          <w:bCs/>
          <w:color w:val="1F4E79" w:themeColor="accent1" w:themeShade="80"/>
          <w:spacing w:val="10"/>
          <w:sz w:val="28"/>
          <w:szCs w:val="23"/>
        </w:rPr>
      </w:pPr>
      <w:r w:rsidRPr="00C10EC7">
        <w:rPr>
          <w:rFonts w:cstheme="minorHAnsi"/>
          <w:b/>
          <w:bCs/>
          <w:color w:val="1F4E79" w:themeColor="accent1" w:themeShade="80"/>
          <w:spacing w:val="10"/>
          <w:sz w:val="28"/>
          <w:szCs w:val="23"/>
        </w:rPr>
        <w:t>SHADOW REPORT</w:t>
      </w:r>
    </w:p>
    <w:p w14:paraId="02DBD5D1" w14:textId="6F7C2F7C" w:rsidR="006855C9" w:rsidRPr="00C10EC7" w:rsidRDefault="004B073C" w:rsidP="004B073C">
      <w:pPr>
        <w:jc w:val="center"/>
        <w:rPr>
          <w:rFonts w:cstheme="minorHAnsi"/>
          <w:b/>
          <w:bCs/>
          <w:color w:val="1F4E79" w:themeColor="accent1" w:themeShade="80"/>
          <w:sz w:val="24"/>
          <w:szCs w:val="23"/>
        </w:rPr>
      </w:pPr>
      <w:r>
        <w:rPr>
          <w:rFonts w:cstheme="minorHAnsi"/>
          <w:b/>
          <w:bCs/>
          <w:color w:val="1F4E79" w:themeColor="accent1" w:themeShade="80"/>
          <w:sz w:val="24"/>
          <w:szCs w:val="23"/>
        </w:rPr>
        <w:t xml:space="preserve">to the </w:t>
      </w:r>
      <w:r w:rsidRPr="004B073C">
        <w:rPr>
          <w:rFonts w:cstheme="minorHAnsi"/>
          <w:b/>
          <w:bCs/>
          <w:color w:val="1F4E79" w:themeColor="accent1" w:themeShade="80"/>
          <w:sz w:val="24"/>
          <w:szCs w:val="23"/>
        </w:rPr>
        <w:t>Pre-sessional Working Group for the 81st session</w:t>
      </w:r>
      <w:r>
        <w:rPr>
          <w:rFonts w:cstheme="minorHAnsi"/>
          <w:b/>
          <w:bCs/>
          <w:color w:val="1F4E79" w:themeColor="accent1" w:themeShade="80"/>
          <w:sz w:val="24"/>
          <w:szCs w:val="23"/>
        </w:rPr>
        <w:t xml:space="preserve"> </w:t>
      </w:r>
      <w:r w:rsidR="006855C9" w:rsidRPr="00C10EC7">
        <w:rPr>
          <w:rFonts w:cstheme="minorHAnsi"/>
          <w:b/>
          <w:bCs/>
          <w:color w:val="1F4E79" w:themeColor="accent1" w:themeShade="80"/>
          <w:sz w:val="24"/>
          <w:szCs w:val="23"/>
        </w:rPr>
        <w:t xml:space="preserve">of the Committee on the Elimination of Discrimination </w:t>
      </w:r>
      <w:r w:rsidR="006A634E" w:rsidRPr="00C10EC7">
        <w:rPr>
          <w:rFonts w:cstheme="minorHAnsi"/>
          <w:b/>
          <w:bCs/>
          <w:color w:val="1F4E79" w:themeColor="accent1" w:themeShade="80"/>
          <w:sz w:val="24"/>
          <w:szCs w:val="23"/>
        </w:rPr>
        <w:t>Against</w:t>
      </w:r>
      <w:r w:rsidR="006855C9" w:rsidRPr="00C10EC7">
        <w:rPr>
          <w:rFonts w:cstheme="minorHAnsi"/>
          <w:b/>
          <w:bCs/>
          <w:color w:val="1F4E79" w:themeColor="accent1" w:themeShade="80"/>
          <w:sz w:val="24"/>
          <w:szCs w:val="23"/>
        </w:rPr>
        <w:t xml:space="preserve"> Women (CEDAW)</w:t>
      </w:r>
    </w:p>
    <w:p w14:paraId="46A65D69" w14:textId="77777777" w:rsidR="00AA28D5" w:rsidRPr="00C10EC7" w:rsidRDefault="00AA28D5" w:rsidP="00F87D9E">
      <w:pPr>
        <w:jc w:val="center"/>
        <w:rPr>
          <w:rFonts w:cstheme="minorHAnsi"/>
          <w:b/>
          <w:bCs/>
          <w:color w:val="1F4E79" w:themeColor="accent1" w:themeShade="80"/>
          <w:sz w:val="24"/>
          <w:szCs w:val="23"/>
        </w:rPr>
      </w:pPr>
    </w:p>
    <w:p w14:paraId="775A5E9C" w14:textId="77777777" w:rsidR="00782757" w:rsidRPr="00C10EC7" w:rsidRDefault="00F87D9E" w:rsidP="00F87D9E">
      <w:pPr>
        <w:jc w:val="center"/>
        <w:rPr>
          <w:rFonts w:cstheme="minorHAnsi"/>
          <w:b/>
          <w:bCs/>
          <w:color w:val="1F4E79" w:themeColor="accent1" w:themeShade="80"/>
          <w:sz w:val="24"/>
          <w:szCs w:val="23"/>
        </w:rPr>
      </w:pPr>
      <w:r w:rsidRPr="00C10EC7">
        <w:rPr>
          <w:rFonts w:cstheme="minorHAnsi"/>
          <w:b/>
          <w:bCs/>
          <w:color w:val="1F4E79" w:themeColor="accent1" w:themeShade="80"/>
          <w:sz w:val="24"/>
          <w:szCs w:val="23"/>
        </w:rPr>
        <w:t>Upcoming Pre-Sessional Working Group (05 Jul 2021 - 09 Jul 2021)</w:t>
      </w:r>
    </w:p>
    <w:p w14:paraId="60EC72DE" w14:textId="77777777" w:rsidR="00782757" w:rsidRPr="00C10EC7" w:rsidRDefault="00782757" w:rsidP="00782757">
      <w:pPr>
        <w:jc w:val="center"/>
        <w:rPr>
          <w:rFonts w:cstheme="minorHAnsi"/>
          <w:b/>
          <w:bCs/>
          <w:color w:val="1F4E79" w:themeColor="accent1" w:themeShade="80"/>
          <w:sz w:val="24"/>
          <w:szCs w:val="23"/>
        </w:rPr>
      </w:pPr>
      <w:r w:rsidRPr="00C10EC7">
        <w:rPr>
          <w:rFonts w:cstheme="minorHAnsi"/>
          <w:b/>
          <w:bCs/>
          <w:color w:val="1F4E79" w:themeColor="accent1" w:themeShade="80"/>
          <w:sz w:val="24"/>
          <w:szCs w:val="23"/>
        </w:rPr>
        <w:t xml:space="preserve">State party: Georgia </w:t>
      </w:r>
    </w:p>
    <w:p w14:paraId="69FF9393" w14:textId="77777777" w:rsidR="00C10EC7" w:rsidRDefault="00C10EC7" w:rsidP="00F87D9E">
      <w:pPr>
        <w:rPr>
          <w:rFonts w:cstheme="minorHAnsi"/>
          <w:b/>
          <w:bCs/>
          <w:color w:val="1F4E79" w:themeColor="accent1" w:themeShade="80"/>
          <w:szCs w:val="23"/>
        </w:rPr>
      </w:pPr>
    </w:p>
    <w:p w14:paraId="0CCD61F2" w14:textId="77777777" w:rsidR="00C10EC7" w:rsidRDefault="00C10EC7" w:rsidP="00F87D9E">
      <w:pPr>
        <w:rPr>
          <w:rFonts w:cstheme="minorHAnsi"/>
          <w:b/>
          <w:bCs/>
          <w:color w:val="1F4E79" w:themeColor="accent1" w:themeShade="80"/>
          <w:szCs w:val="23"/>
        </w:rPr>
      </w:pPr>
    </w:p>
    <w:p w14:paraId="4DF1EC0D" w14:textId="77777777" w:rsidR="00E752FF" w:rsidRDefault="00E752FF" w:rsidP="00766968">
      <w:pPr>
        <w:pStyle w:val="Default"/>
        <w:jc w:val="center"/>
        <w:rPr>
          <w:rFonts w:asciiTheme="minorHAnsi" w:hAnsiTheme="minorHAnsi" w:cstheme="minorHAnsi"/>
          <w:color w:val="1F4E79" w:themeColor="accent1" w:themeShade="80"/>
        </w:rPr>
      </w:pPr>
    </w:p>
    <w:p w14:paraId="683FD7E2" w14:textId="77777777" w:rsidR="00766968" w:rsidRPr="00A24177" w:rsidRDefault="00766968" w:rsidP="00E752FF">
      <w:pPr>
        <w:pStyle w:val="Default"/>
        <w:rPr>
          <w:rFonts w:asciiTheme="minorHAnsi" w:hAnsiTheme="minorHAnsi" w:cstheme="minorHAnsi"/>
          <w:color w:val="1F4E79" w:themeColor="accent1" w:themeShade="80"/>
        </w:rPr>
      </w:pPr>
    </w:p>
    <w:p w14:paraId="043DCAE2" w14:textId="7CBEF6AA" w:rsidR="00F87D9E" w:rsidRDefault="003F1F22" w:rsidP="00782757">
      <w:pPr>
        <w:jc w:val="center"/>
        <w:rPr>
          <w:rFonts w:cstheme="minorHAnsi"/>
          <w:b/>
          <w:bCs/>
          <w:color w:val="1F4E79" w:themeColor="accent1" w:themeShade="80"/>
          <w:szCs w:val="23"/>
        </w:rPr>
      </w:pPr>
      <w:r w:rsidRPr="003F1F22">
        <w:rPr>
          <w:rFonts w:cstheme="minorHAnsi"/>
          <w:b/>
          <w:bCs/>
          <w:color w:val="1F4E79" w:themeColor="accent1" w:themeShade="80"/>
          <w:spacing w:val="10"/>
          <w:sz w:val="32"/>
          <w:szCs w:val="23"/>
        </w:rPr>
        <w:t>Discrimination and Violen</w:t>
      </w:r>
      <w:r>
        <w:rPr>
          <w:rFonts w:cstheme="minorHAnsi"/>
          <w:b/>
          <w:bCs/>
          <w:color w:val="1F4E79" w:themeColor="accent1" w:themeShade="80"/>
          <w:spacing w:val="10"/>
          <w:sz w:val="32"/>
          <w:szCs w:val="23"/>
        </w:rPr>
        <w:t xml:space="preserve">ce </w:t>
      </w:r>
      <w:r w:rsidR="002B1238">
        <w:rPr>
          <w:rFonts w:cstheme="minorHAnsi"/>
          <w:b/>
          <w:bCs/>
          <w:color w:val="1F4E79" w:themeColor="accent1" w:themeShade="80"/>
          <w:spacing w:val="10"/>
          <w:sz w:val="32"/>
          <w:szCs w:val="23"/>
        </w:rPr>
        <w:t>Against</w:t>
      </w:r>
      <w:r>
        <w:rPr>
          <w:rFonts w:cstheme="minorHAnsi"/>
          <w:b/>
          <w:bCs/>
          <w:color w:val="1F4E79" w:themeColor="accent1" w:themeShade="80"/>
          <w:spacing w:val="10"/>
          <w:sz w:val="32"/>
          <w:szCs w:val="23"/>
        </w:rPr>
        <w:t xml:space="preserve"> Lesbian, Bisexual, Trans </w:t>
      </w:r>
      <w:r w:rsidR="00BC3CE1">
        <w:rPr>
          <w:rFonts w:cstheme="minorHAnsi"/>
          <w:b/>
          <w:bCs/>
          <w:color w:val="1F4E79" w:themeColor="accent1" w:themeShade="80"/>
          <w:spacing w:val="10"/>
          <w:sz w:val="32"/>
          <w:szCs w:val="23"/>
        </w:rPr>
        <w:t>and Intersex W</w:t>
      </w:r>
      <w:r w:rsidRPr="003F1F22">
        <w:rPr>
          <w:rFonts w:cstheme="minorHAnsi"/>
          <w:b/>
          <w:bCs/>
          <w:color w:val="1F4E79" w:themeColor="accent1" w:themeShade="80"/>
          <w:spacing w:val="10"/>
          <w:sz w:val="32"/>
          <w:szCs w:val="23"/>
        </w:rPr>
        <w:t xml:space="preserve">omen in Georgia </w:t>
      </w:r>
    </w:p>
    <w:p w14:paraId="519D0350" w14:textId="77777777" w:rsidR="00C10EC7" w:rsidRPr="00A24177" w:rsidRDefault="00C10EC7" w:rsidP="00C10EC7">
      <w:pPr>
        <w:rPr>
          <w:rFonts w:cstheme="minorHAnsi"/>
          <w:b/>
          <w:bCs/>
          <w:color w:val="1F4E79" w:themeColor="accent1" w:themeShade="80"/>
          <w:szCs w:val="23"/>
        </w:rPr>
      </w:pPr>
    </w:p>
    <w:p w14:paraId="0F94EB48" w14:textId="77777777" w:rsidR="00D06AFB" w:rsidRDefault="00D06AFB" w:rsidP="00782757">
      <w:pPr>
        <w:jc w:val="center"/>
        <w:rPr>
          <w:rFonts w:cstheme="minorHAnsi"/>
          <w:b/>
          <w:bCs/>
          <w:color w:val="1F4E79" w:themeColor="accent1" w:themeShade="80"/>
          <w:szCs w:val="23"/>
        </w:rPr>
      </w:pPr>
    </w:p>
    <w:p w14:paraId="7449E9A4" w14:textId="77777777" w:rsidR="00766968" w:rsidRPr="00A24177" w:rsidRDefault="00766968" w:rsidP="00782757">
      <w:pPr>
        <w:jc w:val="center"/>
        <w:rPr>
          <w:rFonts w:cstheme="minorHAnsi"/>
          <w:b/>
          <w:bCs/>
          <w:color w:val="1F4E79" w:themeColor="accent1" w:themeShade="80"/>
          <w:szCs w:val="23"/>
        </w:rPr>
      </w:pPr>
    </w:p>
    <w:p w14:paraId="5F12ED1D" w14:textId="77777777" w:rsidR="00E752FF" w:rsidRPr="00C10EC7" w:rsidRDefault="00E752FF" w:rsidP="00E752FF">
      <w:pPr>
        <w:jc w:val="center"/>
        <w:rPr>
          <w:rFonts w:cstheme="minorHAnsi"/>
          <w:b/>
          <w:bCs/>
          <w:color w:val="1F4E79" w:themeColor="accent1" w:themeShade="80"/>
          <w:sz w:val="24"/>
          <w:szCs w:val="23"/>
        </w:rPr>
      </w:pPr>
      <w:r w:rsidRPr="00C10EC7">
        <w:rPr>
          <w:rFonts w:cstheme="minorHAnsi"/>
          <w:b/>
          <w:bCs/>
          <w:color w:val="1F4E79" w:themeColor="accent1" w:themeShade="80"/>
          <w:sz w:val="24"/>
          <w:szCs w:val="23"/>
        </w:rPr>
        <w:t xml:space="preserve">Submitted by: </w:t>
      </w:r>
      <w:bookmarkStart w:id="0" w:name="_GoBack"/>
      <w:r w:rsidRPr="00C10EC7">
        <w:rPr>
          <w:rFonts w:cstheme="minorHAnsi"/>
          <w:b/>
          <w:bCs/>
          <w:color w:val="1F4E79" w:themeColor="accent1" w:themeShade="80"/>
          <w:sz w:val="24"/>
          <w:szCs w:val="23"/>
        </w:rPr>
        <w:t>Women’s Initiatives Supporting Group (WISG)</w:t>
      </w:r>
    </w:p>
    <w:bookmarkEnd w:id="0"/>
    <w:p w14:paraId="741F6812" w14:textId="74D8D358" w:rsidR="00782757" w:rsidRPr="000641C0" w:rsidRDefault="004B073C" w:rsidP="00A46E6D">
      <w:pPr>
        <w:jc w:val="center"/>
        <w:rPr>
          <w:rFonts w:cstheme="minorHAnsi"/>
          <w:b/>
          <w:bCs/>
          <w:color w:val="1F4E79" w:themeColor="accent1" w:themeShade="80"/>
          <w:sz w:val="24"/>
          <w:szCs w:val="23"/>
        </w:rPr>
      </w:pPr>
      <w:r>
        <w:rPr>
          <w:rFonts w:cstheme="minorHAnsi"/>
          <w:b/>
          <w:bCs/>
          <w:color w:val="1F4E79" w:themeColor="accent1" w:themeShade="80"/>
          <w:sz w:val="24"/>
          <w:szCs w:val="23"/>
        </w:rPr>
        <w:t xml:space="preserve">04 </w:t>
      </w:r>
      <w:r w:rsidR="00A46E6D" w:rsidRPr="000641C0">
        <w:rPr>
          <w:rFonts w:cstheme="minorHAnsi"/>
          <w:b/>
          <w:bCs/>
          <w:color w:val="1F4E79" w:themeColor="accent1" w:themeShade="80"/>
          <w:sz w:val="24"/>
          <w:szCs w:val="23"/>
        </w:rPr>
        <w:t xml:space="preserve">June </w:t>
      </w:r>
      <w:r w:rsidR="000641C0" w:rsidRPr="000641C0">
        <w:rPr>
          <w:rFonts w:cstheme="minorHAnsi"/>
          <w:b/>
          <w:bCs/>
          <w:color w:val="1F4E79" w:themeColor="accent1" w:themeShade="80"/>
          <w:sz w:val="24"/>
          <w:szCs w:val="23"/>
        </w:rPr>
        <w:t>2021</w:t>
      </w:r>
    </w:p>
    <w:p w14:paraId="73E86203" w14:textId="77777777" w:rsidR="006A044A" w:rsidRDefault="006A044A">
      <w:pPr>
        <w:rPr>
          <w:rFonts w:cstheme="minorHAnsi"/>
          <w:b/>
          <w:bCs/>
          <w:color w:val="1D498A"/>
          <w:sz w:val="23"/>
          <w:szCs w:val="23"/>
        </w:rPr>
      </w:pPr>
      <w:r>
        <w:rPr>
          <w:rFonts w:cstheme="minorHAnsi"/>
          <w:b/>
          <w:bCs/>
          <w:color w:val="1D498A"/>
          <w:sz w:val="23"/>
          <w:szCs w:val="23"/>
        </w:rPr>
        <w:br w:type="page"/>
      </w:r>
    </w:p>
    <w:sdt>
      <w:sdtPr>
        <w:rPr>
          <w:rFonts w:asciiTheme="minorHAnsi" w:eastAsiaTheme="minorHAnsi" w:hAnsiTheme="minorHAnsi" w:cstheme="minorBidi"/>
          <w:color w:val="auto"/>
          <w:sz w:val="22"/>
          <w:szCs w:val="22"/>
        </w:rPr>
        <w:id w:val="264958359"/>
        <w:docPartObj>
          <w:docPartGallery w:val="Table of Contents"/>
          <w:docPartUnique/>
        </w:docPartObj>
      </w:sdtPr>
      <w:sdtEndPr>
        <w:rPr>
          <w:b/>
          <w:bCs/>
          <w:noProof/>
        </w:rPr>
      </w:sdtEndPr>
      <w:sdtContent>
        <w:p w14:paraId="35050773" w14:textId="77777777" w:rsidR="006F25B7" w:rsidRPr="00D71320" w:rsidRDefault="00D71320" w:rsidP="00D71320">
          <w:pPr>
            <w:pStyle w:val="TOCHeading"/>
            <w:rPr>
              <w:color w:val="1F4E79" w:themeColor="accent1" w:themeShade="80"/>
            </w:rPr>
          </w:pPr>
          <w:r>
            <w:rPr>
              <w:color w:val="1F4E79" w:themeColor="accent1" w:themeShade="80"/>
            </w:rPr>
            <w:t>Contents</w:t>
          </w:r>
        </w:p>
        <w:p w14:paraId="413124E0" w14:textId="77777777" w:rsidR="008730A8" w:rsidRDefault="00D01499">
          <w:pPr>
            <w:pStyle w:val="TOC1"/>
            <w:tabs>
              <w:tab w:val="right" w:leader="dot" w:pos="9350"/>
            </w:tabs>
            <w:rPr>
              <w:rFonts w:eastAsiaTheme="minorEastAsia"/>
              <w:noProof/>
            </w:rPr>
          </w:pPr>
          <w:r w:rsidRPr="00D71320">
            <w:rPr>
              <w:b/>
              <w:bCs/>
              <w:noProof/>
              <w:color w:val="1F4E79" w:themeColor="accent1" w:themeShade="80"/>
            </w:rPr>
            <w:fldChar w:fldCharType="begin"/>
          </w:r>
          <w:r w:rsidRPr="00D71320">
            <w:rPr>
              <w:b/>
              <w:bCs/>
              <w:noProof/>
              <w:color w:val="1F4E79" w:themeColor="accent1" w:themeShade="80"/>
            </w:rPr>
            <w:instrText xml:space="preserve"> TOC \o "1-3" \h \z \u </w:instrText>
          </w:r>
          <w:r w:rsidRPr="00D71320">
            <w:rPr>
              <w:b/>
              <w:bCs/>
              <w:noProof/>
              <w:color w:val="1F4E79" w:themeColor="accent1" w:themeShade="80"/>
            </w:rPr>
            <w:fldChar w:fldCharType="separate"/>
          </w:r>
          <w:hyperlink w:anchor="_Toc73545917" w:history="1">
            <w:r w:rsidR="008730A8" w:rsidRPr="00A50809">
              <w:rPr>
                <w:rStyle w:val="Hyperlink"/>
                <w:rFonts w:cstheme="minorHAnsi"/>
                <w:noProof/>
              </w:rPr>
              <w:t>Executive Summary</w:t>
            </w:r>
            <w:r w:rsidR="008730A8">
              <w:rPr>
                <w:noProof/>
                <w:webHidden/>
              </w:rPr>
              <w:tab/>
            </w:r>
            <w:r w:rsidR="008730A8">
              <w:rPr>
                <w:noProof/>
                <w:webHidden/>
              </w:rPr>
              <w:fldChar w:fldCharType="begin"/>
            </w:r>
            <w:r w:rsidR="008730A8">
              <w:rPr>
                <w:noProof/>
                <w:webHidden/>
              </w:rPr>
              <w:instrText xml:space="preserve"> PAGEREF _Toc73545917 \h </w:instrText>
            </w:r>
            <w:r w:rsidR="008730A8">
              <w:rPr>
                <w:noProof/>
                <w:webHidden/>
              </w:rPr>
            </w:r>
            <w:r w:rsidR="008730A8">
              <w:rPr>
                <w:noProof/>
                <w:webHidden/>
              </w:rPr>
              <w:fldChar w:fldCharType="separate"/>
            </w:r>
            <w:r w:rsidR="00E42FE0">
              <w:rPr>
                <w:noProof/>
                <w:webHidden/>
              </w:rPr>
              <w:t>3</w:t>
            </w:r>
            <w:r w:rsidR="008730A8">
              <w:rPr>
                <w:noProof/>
                <w:webHidden/>
              </w:rPr>
              <w:fldChar w:fldCharType="end"/>
            </w:r>
          </w:hyperlink>
        </w:p>
        <w:p w14:paraId="15608D01" w14:textId="77777777" w:rsidR="008730A8" w:rsidRDefault="00B801AE">
          <w:pPr>
            <w:pStyle w:val="TOC1"/>
            <w:tabs>
              <w:tab w:val="left" w:pos="440"/>
              <w:tab w:val="right" w:leader="dot" w:pos="9350"/>
            </w:tabs>
            <w:rPr>
              <w:rFonts w:eastAsiaTheme="minorEastAsia"/>
              <w:noProof/>
            </w:rPr>
          </w:pPr>
          <w:hyperlink w:anchor="_Toc73545918" w:history="1">
            <w:r w:rsidR="008730A8" w:rsidRPr="00A50809">
              <w:rPr>
                <w:rStyle w:val="Hyperlink"/>
                <w:rFonts w:cstheme="minorHAnsi"/>
                <w:noProof/>
              </w:rPr>
              <w:t>I.</w:t>
            </w:r>
            <w:r w:rsidR="008730A8">
              <w:rPr>
                <w:rFonts w:eastAsiaTheme="minorEastAsia"/>
                <w:noProof/>
              </w:rPr>
              <w:tab/>
            </w:r>
            <w:r w:rsidR="008730A8" w:rsidRPr="00A50809">
              <w:rPr>
                <w:rStyle w:val="Hyperlink"/>
                <w:rFonts w:cstheme="minorHAnsi"/>
                <w:noProof/>
              </w:rPr>
              <w:t>Introduction</w:t>
            </w:r>
            <w:r w:rsidR="008730A8">
              <w:rPr>
                <w:noProof/>
                <w:webHidden/>
              </w:rPr>
              <w:tab/>
            </w:r>
            <w:r w:rsidR="008730A8">
              <w:rPr>
                <w:noProof/>
                <w:webHidden/>
              </w:rPr>
              <w:fldChar w:fldCharType="begin"/>
            </w:r>
            <w:r w:rsidR="008730A8">
              <w:rPr>
                <w:noProof/>
                <w:webHidden/>
              </w:rPr>
              <w:instrText xml:space="preserve"> PAGEREF _Toc73545918 \h </w:instrText>
            </w:r>
            <w:r w:rsidR="008730A8">
              <w:rPr>
                <w:noProof/>
                <w:webHidden/>
              </w:rPr>
            </w:r>
            <w:r w:rsidR="008730A8">
              <w:rPr>
                <w:noProof/>
                <w:webHidden/>
              </w:rPr>
              <w:fldChar w:fldCharType="separate"/>
            </w:r>
            <w:r w:rsidR="00E42FE0">
              <w:rPr>
                <w:noProof/>
                <w:webHidden/>
              </w:rPr>
              <w:t>3</w:t>
            </w:r>
            <w:r w:rsidR="008730A8">
              <w:rPr>
                <w:noProof/>
                <w:webHidden/>
              </w:rPr>
              <w:fldChar w:fldCharType="end"/>
            </w:r>
          </w:hyperlink>
        </w:p>
        <w:p w14:paraId="340E1ADB" w14:textId="77777777" w:rsidR="008730A8" w:rsidRDefault="00B801AE">
          <w:pPr>
            <w:pStyle w:val="TOC1"/>
            <w:tabs>
              <w:tab w:val="left" w:pos="440"/>
              <w:tab w:val="right" w:leader="dot" w:pos="9350"/>
            </w:tabs>
            <w:rPr>
              <w:rFonts w:eastAsiaTheme="minorEastAsia"/>
              <w:noProof/>
            </w:rPr>
          </w:pPr>
          <w:hyperlink w:anchor="_Toc73545919" w:history="1">
            <w:r w:rsidR="008730A8" w:rsidRPr="00A50809">
              <w:rPr>
                <w:rStyle w:val="Hyperlink"/>
                <w:rFonts w:cstheme="minorHAnsi"/>
                <w:noProof/>
              </w:rPr>
              <w:t xml:space="preserve">II. </w:t>
            </w:r>
            <w:r w:rsidR="008730A8">
              <w:rPr>
                <w:rFonts w:eastAsiaTheme="minorEastAsia"/>
                <w:noProof/>
              </w:rPr>
              <w:tab/>
            </w:r>
            <w:r w:rsidR="008730A8" w:rsidRPr="00A50809">
              <w:rPr>
                <w:rStyle w:val="Hyperlink"/>
                <w:rFonts w:cstheme="minorHAnsi"/>
                <w:noProof/>
              </w:rPr>
              <w:t>Violence against women on the grounds of SOGIE</w:t>
            </w:r>
            <w:r w:rsidR="008730A8">
              <w:rPr>
                <w:noProof/>
                <w:webHidden/>
              </w:rPr>
              <w:tab/>
            </w:r>
            <w:r w:rsidR="008730A8">
              <w:rPr>
                <w:noProof/>
                <w:webHidden/>
              </w:rPr>
              <w:fldChar w:fldCharType="begin"/>
            </w:r>
            <w:r w:rsidR="008730A8">
              <w:rPr>
                <w:noProof/>
                <w:webHidden/>
              </w:rPr>
              <w:instrText xml:space="preserve"> PAGEREF _Toc73545919 \h </w:instrText>
            </w:r>
            <w:r w:rsidR="008730A8">
              <w:rPr>
                <w:noProof/>
                <w:webHidden/>
              </w:rPr>
            </w:r>
            <w:r w:rsidR="008730A8">
              <w:rPr>
                <w:noProof/>
                <w:webHidden/>
              </w:rPr>
              <w:fldChar w:fldCharType="separate"/>
            </w:r>
            <w:r w:rsidR="00E42FE0">
              <w:rPr>
                <w:noProof/>
                <w:webHidden/>
              </w:rPr>
              <w:t>5</w:t>
            </w:r>
            <w:r w:rsidR="008730A8">
              <w:rPr>
                <w:noProof/>
                <w:webHidden/>
              </w:rPr>
              <w:fldChar w:fldCharType="end"/>
            </w:r>
          </w:hyperlink>
        </w:p>
        <w:p w14:paraId="1C2925F1" w14:textId="77777777" w:rsidR="008730A8" w:rsidRDefault="00B801AE">
          <w:pPr>
            <w:pStyle w:val="TOC2"/>
            <w:tabs>
              <w:tab w:val="left" w:pos="880"/>
              <w:tab w:val="right" w:leader="dot" w:pos="9350"/>
            </w:tabs>
            <w:rPr>
              <w:rFonts w:eastAsiaTheme="minorEastAsia"/>
              <w:noProof/>
            </w:rPr>
          </w:pPr>
          <w:hyperlink w:anchor="_Toc73545920" w:history="1">
            <w:r w:rsidR="008730A8" w:rsidRPr="00A50809">
              <w:rPr>
                <w:rStyle w:val="Hyperlink"/>
                <w:rFonts w:cstheme="minorHAnsi"/>
                <w:noProof/>
              </w:rPr>
              <w:t>2.1.</w:t>
            </w:r>
            <w:r w:rsidR="008730A8">
              <w:rPr>
                <w:rFonts w:eastAsiaTheme="minorEastAsia"/>
                <w:noProof/>
              </w:rPr>
              <w:tab/>
            </w:r>
            <w:r w:rsidR="008730A8" w:rsidRPr="00A50809">
              <w:rPr>
                <w:rStyle w:val="Hyperlink"/>
                <w:rFonts w:cstheme="minorHAnsi"/>
                <w:noProof/>
              </w:rPr>
              <w:t>Homo/bi/transphobic hate crimes</w:t>
            </w:r>
            <w:r w:rsidR="008730A8">
              <w:rPr>
                <w:noProof/>
                <w:webHidden/>
              </w:rPr>
              <w:tab/>
            </w:r>
            <w:r w:rsidR="008730A8">
              <w:rPr>
                <w:noProof/>
                <w:webHidden/>
              </w:rPr>
              <w:fldChar w:fldCharType="begin"/>
            </w:r>
            <w:r w:rsidR="008730A8">
              <w:rPr>
                <w:noProof/>
                <w:webHidden/>
              </w:rPr>
              <w:instrText xml:space="preserve"> PAGEREF _Toc73545920 \h </w:instrText>
            </w:r>
            <w:r w:rsidR="008730A8">
              <w:rPr>
                <w:noProof/>
                <w:webHidden/>
              </w:rPr>
            </w:r>
            <w:r w:rsidR="008730A8">
              <w:rPr>
                <w:noProof/>
                <w:webHidden/>
              </w:rPr>
              <w:fldChar w:fldCharType="separate"/>
            </w:r>
            <w:r w:rsidR="00E42FE0">
              <w:rPr>
                <w:noProof/>
                <w:webHidden/>
              </w:rPr>
              <w:t>5</w:t>
            </w:r>
            <w:r w:rsidR="008730A8">
              <w:rPr>
                <w:noProof/>
                <w:webHidden/>
              </w:rPr>
              <w:fldChar w:fldCharType="end"/>
            </w:r>
          </w:hyperlink>
        </w:p>
        <w:p w14:paraId="71A154FB" w14:textId="77777777" w:rsidR="008730A8" w:rsidRDefault="00B801AE">
          <w:pPr>
            <w:pStyle w:val="TOC2"/>
            <w:tabs>
              <w:tab w:val="right" w:leader="dot" w:pos="9350"/>
            </w:tabs>
            <w:rPr>
              <w:rFonts w:eastAsiaTheme="minorEastAsia"/>
              <w:noProof/>
            </w:rPr>
          </w:pPr>
          <w:hyperlink w:anchor="_Toc73545921" w:history="1">
            <w:r w:rsidR="008730A8" w:rsidRPr="00A50809">
              <w:rPr>
                <w:rStyle w:val="Hyperlink"/>
                <w:rFonts w:cstheme="minorHAnsi"/>
                <w:noProof/>
              </w:rPr>
              <w:t>2.2. Domestic Violence</w:t>
            </w:r>
            <w:r w:rsidR="008730A8">
              <w:rPr>
                <w:noProof/>
                <w:webHidden/>
              </w:rPr>
              <w:tab/>
            </w:r>
            <w:r w:rsidR="008730A8">
              <w:rPr>
                <w:noProof/>
                <w:webHidden/>
              </w:rPr>
              <w:fldChar w:fldCharType="begin"/>
            </w:r>
            <w:r w:rsidR="008730A8">
              <w:rPr>
                <w:noProof/>
                <w:webHidden/>
              </w:rPr>
              <w:instrText xml:space="preserve"> PAGEREF _Toc73545921 \h </w:instrText>
            </w:r>
            <w:r w:rsidR="008730A8">
              <w:rPr>
                <w:noProof/>
                <w:webHidden/>
              </w:rPr>
            </w:r>
            <w:r w:rsidR="008730A8">
              <w:rPr>
                <w:noProof/>
                <w:webHidden/>
              </w:rPr>
              <w:fldChar w:fldCharType="separate"/>
            </w:r>
            <w:r w:rsidR="00E42FE0">
              <w:rPr>
                <w:noProof/>
                <w:webHidden/>
              </w:rPr>
              <w:t>6</w:t>
            </w:r>
            <w:r w:rsidR="008730A8">
              <w:rPr>
                <w:noProof/>
                <w:webHidden/>
              </w:rPr>
              <w:fldChar w:fldCharType="end"/>
            </w:r>
          </w:hyperlink>
        </w:p>
        <w:p w14:paraId="5546177F" w14:textId="77777777" w:rsidR="008730A8" w:rsidRDefault="00B801AE">
          <w:pPr>
            <w:pStyle w:val="TOC2"/>
            <w:tabs>
              <w:tab w:val="right" w:leader="dot" w:pos="9350"/>
            </w:tabs>
            <w:rPr>
              <w:rFonts w:eastAsiaTheme="minorEastAsia"/>
              <w:noProof/>
            </w:rPr>
          </w:pPr>
          <w:hyperlink w:anchor="_Toc73545922" w:history="1">
            <w:r w:rsidR="008730A8" w:rsidRPr="00A50809">
              <w:rPr>
                <w:rStyle w:val="Hyperlink"/>
                <w:rFonts w:cstheme="minorHAnsi"/>
                <w:noProof/>
              </w:rPr>
              <w:t>2.3. Intimate Partner Violence</w:t>
            </w:r>
            <w:r w:rsidR="008730A8">
              <w:rPr>
                <w:noProof/>
                <w:webHidden/>
              </w:rPr>
              <w:tab/>
            </w:r>
            <w:r w:rsidR="008730A8">
              <w:rPr>
                <w:noProof/>
                <w:webHidden/>
              </w:rPr>
              <w:fldChar w:fldCharType="begin"/>
            </w:r>
            <w:r w:rsidR="008730A8">
              <w:rPr>
                <w:noProof/>
                <w:webHidden/>
              </w:rPr>
              <w:instrText xml:space="preserve"> PAGEREF _Toc73545922 \h </w:instrText>
            </w:r>
            <w:r w:rsidR="008730A8">
              <w:rPr>
                <w:noProof/>
                <w:webHidden/>
              </w:rPr>
            </w:r>
            <w:r w:rsidR="008730A8">
              <w:rPr>
                <w:noProof/>
                <w:webHidden/>
              </w:rPr>
              <w:fldChar w:fldCharType="separate"/>
            </w:r>
            <w:r w:rsidR="00E42FE0">
              <w:rPr>
                <w:noProof/>
                <w:webHidden/>
              </w:rPr>
              <w:t>6</w:t>
            </w:r>
            <w:r w:rsidR="008730A8">
              <w:rPr>
                <w:noProof/>
                <w:webHidden/>
              </w:rPr>
              <w:fldChar w:fldCharType="end"/>
            </w:r>
          </w:hyperlink>
        </w:p>
        <w:p w14:paraId="7D0035C7" w14:textId="77777777" w:rsidR="008730A8" w:rsidRDefault="00B801AE">
          <w:pPr>
            <w:pStyle w:val="TOC2"/>
            <w:tabs>
              <w:tab w:val="right" w:leader="dot" w:pos="9350"/>
            </w:tabs>
            <w:rPr>
              <w:rFonts w:eastAsiaTheme="minorEastAsia"/>
              <w:noProof/>
            </w:rPr>
          </w:pPr>
          <w:hyperlink w:anchor="_Toc73545923" w:history="1">
            <w:r w:rsidR="008730A8" w:rsidRPr="00A50809">
              <w:rPr>
                <w:rStyle w:val="Hyperlink"/>
                <w:rFonts w:cstheme="minorHAnsi"/>
                <w:noProof/>
              </w:rPr>
              <w:t>2.4. Services for the hate crime survivals</w:t>
            </w:r>
            <w:r w:rsidR="008730A8">
              <w:rPr>
                <w:noProof/>
                <w:webHidden/>
              </w:rPr>
              <w:tab/>
            </w:r>
            <w:r w:rsidR="008730A8">
              <w:rPr>
                <w:noProof/>
                <w:webHidden/>
              </w:rPr>
              <w:fldChar w:fldCharType="begin"/>
            </w:r>
            <w:r w:rsidR="008730A8">
              <w:rPr>
                <w:noProof/>
                <w:webHidden/>
              </w:rPr>
              <w:instrText xml:space="preserve"> PAGEREF _Toc73545923 \h </w:instrText>
            </w:r>
            <w:r w:rsidR="008730A8">
              <w:rPr>
                <w:noProof/>
                <w:webHidden/>
              </w:rPr>
            </w:r>
            <w:r w:rsidR="008730A8">
              <w:rPr>
                <w:noProof/>
                <w:webHidden/>
              </w:rPr>
              <w:fldChar w:fldCharType="separate"/>
            </w:r>
            <w:r w:rsidR="00E42FE0">
              <w:rPr>
                <w:noProof/>
                <w:webHidden/>
              </w:rPr>
              <w:t>6</w:t>
            </w:r>
            <w:r w:rsidR="008730A8">
              <w:rPr>
                <w:noProof/>
                <w:webHidden/>
              </w:rPr>
              <w:fldChar w:fldCharType="end"/>
            </w:r>
          </w:hyperlink>
        </w:p>
        <w:p w14:paraId="0C1C20E9" w14:textId="77777777" w:rsidR="008730A8" w:rsidRDefault="00B801AE">
          <w:pPr>
            <w:pStyle w:val="TOC3"/>
            <w:tabs>
              <w:tab w:val="left" w:pos="880"/>
              <w:tab w:val="right" w:leader="dot" w:pos="9350"/>
            </w:tabs>
            <w:rPr>
              <w:rFonts w:eastAsiaTheme="minorEastAsia"/>
              <w:noProof/>
            </w:rPr>
          </w:pPr>
          <w:hyperlink w:anchor="_Toc73545924" w:history="1">
            <w:r w:rsidR="008730A8" w:rsidRPr="00A50809">
              <w:rPr>
                <w:rStyle w:val="Hyperlink"/>
                <w:rFonts w:ascii="Symbol" w:eastAsia="Times New Roman" w:hAnsi="Symbol"/>
                <w:b/>
                <w:noProof/>
              </w:rPr>
              <w:t></w:t>
            </w:r>
            <w:r w:rsidR="008730A8">
              <w:rPr>
                <w:rFonts w:eastAsiaTheme="minorEastAsia"/>
                <w:noProof/>
              </w:rPr>
              <w:tab/>
            </w:r>
            <w:r w:rsidR="008730A8" w:rsidRPr="00A50809">
              <w:rPr>
                <w:rStyle w:val="Hyperlink"/>
                <w:rFonts w:eastAsia="Times New Roman"/>
                <w:noProof/>
              </w:rPr>
              <w:t>Recommendations:</w:t>
            </w:r>
            <w:r w:rsidR="008730A8">
              <w:rPr>
                <w:noProof/>
                <w:webHidden/>
              </w:rPr>
              <w:tab/>
            </w:r>
            <w:r w:rsidR="008730A8">
              <w:rPr>
                <w:noProof/>
                <w:webHidden/>
              </w:rPr>
              <w:fldChar w:fldCharType="begin"/>
            </w:r>
            <w:r w:rsidR="008730A8">
              <w:rPr>
                <w:noProof/>
                <w:webHidden/>
              </w:rPr>
              <w:instrText xml:space="preserve"> PAGEREF _Toc73545924 \h </w:instrText>
            </w:r>
            <w:r w:rsidR="008730A8">
              <w:rPr>
                <w:noProof/>
                <w:webHidden/>
              </w:rPr>
            </w:r>
            <w:r w:rsidR="008730A8">
              <w:rPr>
                <w:noProof/>
                <w:webHidden/>
              </w:rPr>
              <w:fldChar w:fldCharType="separate"/>
            </w:r>
            <w:r w:rsidR="00E42FE0">
              <w:rPr>
                <w:noProof/>
                <w:webHidden/>
              </w:rPr>
              <w:t>7</w:t>
            </w:r>
            <w:r w:rsidR="008730A8">
              <w:rPr>
                <w:noProof/>
                <w:webHidden/>
              </w:rPr>
              <w:fldChar w:fldCharType="end"/>
            </w:r>
          </w:hyperlink>
        </w:p>
        <w:p w14:paraId="2E2749CF" w14:textId="77777777" w:rsidR="008730A8" w:rsidRDefault="00B801AE">
          <w:pPr>
            <w:pStyle w:val="TOC1"/>
            <w:tabs>
              <w:tab w:val="left" w:pos="660"/>
              <w:tab w:val="right" w:leader="dot" w:pos="9350"/>
            </w:tabs>
            <w:rPr>
              <w:rFonts w:eastAsiaTheme="minorEastAsia"/>
              <w:noProof/>
            </w:rPr>
          </w:pPr>
          <w:hyperlink w:anchor="_Toc73545925" w:history="1">
            <w:r w:rsidR="008730A8" w:rsidRPr="00A50809">
              <w:rPr>
                <w:rStyle w:val="Hyperlink"/>
                <w:rFonts w:cstheme="minorHAnsi"/>
                <w:noProof/>
              </w:rPr>
              <w:t xml:space="preserve">III. </w:t>
            </w:r>
            <w:r w:rsidR="008730A8">
              <w:rPr>
                <w:rFonts w:eastAsiaTheme="minorEastAsia"/>
                <w:noProof/>
              </w:rPr>
              <w:tab/>
            </w:r>
            <w:r w:rsidR="008730A8" w:rsidRPr="00A50809">
              <w:rPr>
                <w:rStyle w:val="Hyperlink"/>
                <w:rFonts w:cstheme="minorHAnsi"/>
                <w:noProof/>
              </w:rPr>
              <w:t>Legal Gender Recognition</w:t>
            </w:r>
            <w:r w:rsidR="008730A8">
              <w:rPr>
                <w:noProof/>
                <w:webHidden/>
              </w:rPr>
              <w:tab/>
            </w:r>
            <w:r w:rsidR="008730A8">
              <w:rPr>
                <w:noProof/>
                <w:webHidden/>
              </w:rPr>
              <w:fldChar w:fldCharType="begin"/>
            </w:r>
            <w:r w:rsidR="008730A8">
              <w:rPr>
                <w:noProof/>
                <w:webHidden/>
              </w:rPr>
              <w:instrText xml:space="preserve"> PAGEREF _Toc73545925 \h </w:instrText>
            </w:r>
            <w:r w:rsidR="008730A8">
              <w:rPr>
                <w:noProof/>
                <w:webHidden/>
              </w:rPr>
            </w:r>
            <w:r w:rsidR="008730A8">
              <w:rPr>
                <w:noProof/>
                <w:webHidden/>
              </w:rPr>
              <w:fldChar w:fldCharType="separate"/>
            </w:r>
            <w:r w:rsidR="00E42FE0">
              <w:rPr>
                <w:noProof/>
                <w:webHidden/>
              </w:rPr>
              <w:t>7</w:t>
            </w:r>
            <w:r w:rsidR="008730A8">
              <w:rPr>
                <w:noProof/>
                <w:webHidden/>
              </w:rPr>
              <w:fldChar w:fldCharType="end"/>
            </w:r>
          </w:hyperlink>
        </w:p>
        <w:p w14:paraId="344768C2" w14:textId="77777777" w:rsidR="008730A8" w:rsidRDefault="00B801AE">
          <w:pPr>
            <w:pStyle w:val="TOC3"/>
            <w:tabs>
              <w:tab w:val="left" w:pos="880"/>
              <w:tab w:val="right" w:leader="dot" w:pos="9350"/>
            </w:tabs>
            <w:rPr>
              <w:rFonts w:eastAsiaTheme="minorEastAsia"/>
              <w:noProof/>
            </w:rPr>
          </w:pPr>
          <w:hyperlink w:anchor="_Toc73545926" w:history="1">
            <w:r w:rsidR="008730A8" w:rsidRPr="00A50809">
              <w:rPr>
                <w:rStyle w:val="Hyperlink"/>
                <w:rFonts w:ascii="Symbol" w:eastAsia="Times New Roman" w:hAnsi="Symbol"/>
                <w:b/>
                <w:noProof/>
              </w:rPr>
              <w:t></w:t>
            </w:r>
            <w:r w:rsidR="008730A8">
              <w:rPr>
                <w:rFonts w:eastAsiaTheme="minorEastAsia"/>
                <w:noProof/>
              </w:rPr>
              <w:tab/>
            </w:r>
            <w:r w:rsidR="008730A8" w:rsidRPr="00A50809">
              <w:rPr>
                <w:rStyle w:val="Hyperlink"/>
                <w:rFonts w:eastAsia="Times New Roman"/>
                <w:noProof/>
              </w:rPr>
              <w:t>Recommendations:</w:t>
            </w:r>
            <w:r w:rsidR="008730A8">
              <w:rPr>
                <w:noProof/>
                <w:webHidden/>
              </w:rPr>
              <w:tab/>
            </w:r>
            <w:r w:rsidR="008730A8">
              <w:rPr>
                <w:noProof/>
                <w:webHidden/>
              </w:rPr>
              <w:fldChar w:fldCharType="begin"/>
            </w:r>
            <w:r w:rsidR="008730A8">
              <w:rPr>
                <w:noProof/>
                <w:webHidden/>
              </w:rPr>
              <w:instrText xml:space="preserve"> PAGEREF _Toc73545926 \h </w:instrText>
            </w:r>
            <w:r w:rsidR="008730A8">
              <w:rPr>
                <w:noProof/>
                <w:webHidden/>
              </w:rPr>
            </w:r>
            <w:r w:rsidR="008730A8">
              <w:rPr>
                <w:noProof/>
                <w:webHidden/>
              </w:rPr>
              <w:fldChar w:fldCharType="separate"/>
            </w:r>
            <w:r w:rsidR="00E42FE0">
              <w:rPr>
                <w:noProof/>
                <w:webHidden/>
              </w:rPr>
              <w:t>7</w:t>
            </w:r>
            <w:r w:rsidR="008730A8">
              <w:rPr>
                <w:noProof/>
                <w:webHidden/>
              </w:rPr>
              <w:fldChar w:fldCharType="end"/>
            </w:r>
          </w:hyperlink>
        </w:p>
        <w:p w14:paraId="328ABD29" w14:textId="77777777" w:rsidR="008730A8" w:rsidRDefault="00B801AE">
          <w:pPr>
            <w:pStyle w:val="TOC1"/>
            <w:tabs>
              <w:tab w:val="right" w:leader="dot" w:pos="9350"/>
            </w:tabs>
            <w:rPr>
              <w:rFonts w:eastAsiaTheme="minorEastAsia"/>
              <w:noProof/>
            </w:rPr>
          </w:pPr>
          <w:hyperlink w:anchor="_Toc73545927" w:history="1">
            <w:r w:rsidR="008730A8" w:rsidRPr="00A50809">
              <w:rPr>
                <w:rStyle w:val="Hyperlink"/>
                <w:rFonts w:cstheme="minorHAnsi"/>
                <w:noProof/>
              </w:rPr>
              <w:t>IV. Combatting discrimination and stereotyping through education</w:t>
            </w:r>
            <w:r w:rsidR="008730A8">
              <w:rPr>
                <w:noProof/>
                <w:webHidden/>
              </w:rPr>
              <w:tab/>
            </w:r>
            <w:r w:rsidR="008730A8">
              <w:rPr>
                <w:noProof/>
                <w:webHidden/>
              </w:rPr>
              <w:fldChar w:fldCharType="begin"/>
            </w:r>
            <w:r w:rsidR="008730A8">
              <w:rPr>
                <w:noProof/>
                <w:webHidden/>
              </w:rPr>
              <w:instrText xml:space="preserve"> PAGEREF _Toc73545927 \h </w:instrText>
            </w:r>
            <w:r w:rsidR="008730A8">
              <w:rPr>
                <w:noProof/>
                <w:webHidden/>
              </w:rPr>
            </w:r>
            <w:r w:rsidR="008730A8">
              <w:rPr>
                <w:noProof/>
                <w:webHidden/>
              </w:rPr>
              <w:fldChar w:fldCharType="separate"/>
            </w:r>
            <w:r w:rsidR="00E42FE0">
              <w:rPr>
                <w:noProof/>
                <w:webHidden/>
              </w:rPr>
              <w:t>8</w:t>
            </w:r>
            <w:r w:rsidR="008730A8">
              <w:rPr>
                <w:noProof/>
                <w:webHidden/>
              </w:rPr>
              <w:fldChar w:fldCharType="end"/>
            </w:r>
          </w:hyperlink>
        </w:p>
        <w:p w14:paraId="0F8789D7" w14:textId="77777777" w:rsidR="008730A8" w:rsidRDefault="00B801AE">
          <w:pPr>
            <w:pStyle w:val="TOC3"/>
            <w:tabs>
              <w:tab w:val="left" w:pos="880"/>
              <w:tab w:val="right" w:leader="dot" w:pos="9350"/>
            </w:tabs>
            <w:rPr>
              <w:rFonts w:eastAsiaTheme="minorEastAsia"/>
              <w:noProof/>
            </w:rPr>
          </w:pPr>
          <w:hyperlink w:anchor="_Toc73545928" w:history="1">
            <w:r w:rsidR="008730A8" w:rsidRPr="00A50809">
              <w:rPr>
                <w:rStyle w:val="Hyperlink"/>
                <w:rFonts w:ascii="Symbol" w:eastAsia="Times New Roman" w:hAnsi="Symbol"/>
                <w:b/>
                <w:noProof/>
              </w:rPr>
              <w:t></w:t>
            </w:r>
            <w:r w:rsidR="008730A8">
              <w:rPr>
                <w:rFonts w:eastAsiaTheme="minorEastAsia"/>
                <w:noProof/>
              </w:rPr>
              <w:tab/>
            </w:r>
            <w:r w:rsidR="008730A8" w:rsidRPr="00A50809">
              <w:rPr>
                <w:rStyle w:val="Hyperlink"/>
                <w:rFonts w:eastAsia="Times New Roman"/>
                <w:noProof/>
              </w:rPr>
              <w:t>Recommendations:</w:t>
            </w:r>
            <w:r w:rsidR="008730A8">
              <w:rPr>
                <w:noProof/>
                <w:webHidden/>
              </w:rPr>
              <w:tab/>
            </w:r>
            <w:r w:rsidR="008730A8">
              <w:rPr>
                <w:noProof/>
                <w:webHidden/>
              </w:rPr>
              <w:fldChar w:fldCharType="begin"/>
            </w:r>
            <w:r w:rsidR="008730A8">
              <w:rPr>
                <w:noProof/>
                <w:webHidden/>
              </w:rPr>
              <w:instrText xml:space="preserve"> PAGEREF _Toc73545928 \h </w:instrText>
            </w:r>
            <w:r w:rsidR="008730A8">
              <w:rPr>
                <w:noProof/>
                <w:webHidden/>
              </w:rPr>
            </w:r>
            <w:r w:rsidR="008730A8">
              <w:rPr>
                <w:noProof/>
                <w:webHidden/>
              </w:rPr>
              <w:fldChar w:fldCharType="separate"/>
            </w:r>
            <w:r w:rsidR="00E42FE0">
              <w:rPr>
                <w:noProof/>
                <w:webHidden/>
              </w:rPr>
              <w:t>8</w:t>
            </w:r>
            <w:r w:rsidR="008730A8">
              <w:rPr>
                <w:noProof/>
                <w:webHidden/>
              </w:rPr>
              <w:fldChar w:fldCharType="end"/>
            </w:r>
          </w:hyperlink>
        </w:p>
        <w:p w14:paraId="5DBFBC91" w14:textId="77777777" w:rsidR="008730A8" w:rsidRDefault="00B801AE">
          <w:pPr>
            <w:pStyle w:val="TOC1"/>
            <w:tabs>
              <w:tab w:val="left" w:pos="660"/>
              <w:tab w:val="right" w:leader="dot" w:pos="9350"/>
            </w:tabs>
            <w:rPr>
              <w:rFonts w:eastAsiaTheme="minorEastAsia"/>
              <w:noProof/>
            </w:rPr>
          </w:pPr>
          <w:hyperlink w:anchor="_Toc73545929" w:history="1">
            <w:r w:rsidR="008730A8" w:rsidRPr="00A50809">
              <w:rPr>
                <w:rStyle w:val="Hyperlink"/>
                <w:rFonts w:cstheme="minorHAnsi"/>
                <w:noProof/>
              </w:rPr>
              <w:t xml:space="preserve">V. </w:t>
            </w:r>
            <w:r w:rsidR="008730A8">
              <w:rPr>
                <w:rFonts w:eastAsiaTheme="minorEastAsia"/>
                <w:noProof/>
              </w:rPr>
              <w:tab/>
            </w:r>
            <w:r w:rsidR="008730A8" w:rsidRPr="00A50809">
              <w:rPr>
                <w:rStyle w:val="Hyperlink"/>
                <w:rFonts w:cstheme="minorHAnsi"/>
                <w:noProof/>
              </w:rPr>
              <w:t>Equal access to healthcare</w:t>
            </w:r>
            <w:r w:rsidR="008730A8">
              <w:rPr>
                <w:noProof/>
                <w:webHidden/>
              </w:rPr>
              <w:tab/>
            </w:r>
            <w:r w:rsidR="008730A8">
              <w:rPr>
                <w:noProof/>
                <w:webHidden/>
              </w:rPr>
              <w:fldChar w:fldCharType="begin"/>
            </w:r>
            <w:r w:rsidR="008730A8">
              <w:rPr>
                <w:noProof/>
                <w:webHidden/>
              </w:rPr>
              <w:instrText xml:space="preserve"> PAGEREF _Toc73545929 \h </w:instrText>
            </w:r>
            <w:r w:rsidR="008730A8">
              <w:rPr>
                <w:noProof/>
                <w:webHidden/>
              </w:rPr>
            </w:r>
            <w:r w:rsidR="008730A8">
              <w:rPr>
                <w:noProof/>
                <w:webHidden/>
              </w:rPr>
              <w:fldChar w:fldCharType="separate"/>
            </w:r>
            <w:r w:rsidR="00E42FE0">
              <w:rPr>
                <w:noProof/>
                <w:webHidden/>
              </w:rPr>
              <w:t>9</w:t>
            </w:r>
            <w:r w:rsidR="008730A8">
              <w:rPr>
                <w:noProof/>
                <w:webHidden/>
              </w:rPr>
              <w:fldChar w:fldCharType="end"/>
            </w:r>
          </w:hyperlink>
        </w:p>
        <w:p w14:paraId="1FB2011C" w14:textId="77777777" w:rsidR="008730A8" w:rsidRDefault="00B801AE">
          <w:pPr>
            <w:pStyle w:val="TOC2"/>
            <w:tabs>
              <w:tab w:val="right" w:leader="dot" w:pos="9350"/>
            </w:tabs>
            <w:rPr>
              <w:rFonts w:eastAsiaTheme="minorEastAsia"/>
              <w:noProof/>
            </w:rPr>
          </w:pPr>
          <w:hyperlink w:anchor="_Toc73545930" w:history="1">
            <w:r w:rsidR="008730A8" w:rsidRPr="00A50809">
              <w:rPr>
                <w:rStyle w:val="Hyperlink"/>
                <w:rFonts w:cstheme="minorHAnsi"/>
                <w:noProof/>
              </w:rPr>
              <w:t>5.2. Ill treatment of intersex children</w:t>
            </w:r>
            <w:r w:rsidR="008730A8">
              <w:rPr>
                <w:noProof/>
                <w:webHidden/>
              </w:rPr>
              <w:tab/>
            </w:r>
            <w:r w:rsidR="008730A8">
              <w:rPr>
                <w:noProof/>
                <w:webHidden/>
              </w:rPr>
              <w:fldChar w:fldCharType="begin"/>
            </w:r>
            <w:r w:rsidR="008730A8">
              <w:rPr>
                <w:noProof/>
                <w:webHidden/>
              </w:rPr>
              <w:instrText xml:space="preserve"> PAGEREF _Toc73545930 \h </w:instrText>
            </w:r>
            <w:r w:rsidR="008730A8">
              <w:rPr>
                <w:noProof/>
                <w:webHidden/>
              </w:rPr>
            </w:r>
            <w:r w:rsidR="008730A8">
              <w:rPr>
                <w:noProof/>
                <w:webHidden/>
              </w:rPr>
              <w:fldChar w:fldCharType="separate"/>
            </w:r>
            <w:r w:rsidR="00E42FE0">
              <w:rPr>
                <w:noProof/>
                <w:webHidden/>
              </w:rPr>
              <w:t>9</w:t>
            </w:r>
            <w:r w:rsidR="008730A8">
              <w:rPr>
                <w:noProof/>
                <w:webHidden/>
              </w:rPr>
              <w:fldChar w:fldCharType="end"/>
            </w:r>
          </w:hyperlink>
        </w:p>
        <w:p w14:paraId="0AE1615F" w14:textId="77777777" w:rsidR="008730A8" w:rsidRDefault="00B801AE">
          <w:pPr>
            <w:pStyle w:val="TOC3"/>
            <w:tabs>
              <w:tab w:val="left" w:pos="880"/>
              <w:tab w:val="right" w:leader="dot" w:pos="9350"/>
            </w:tabs>
            <w:rPr>
              <w:rFonts w:eastAsiaTheme="minorEastAsia"/>
              <w:noProof/>
            </w:rPr>
          </w:pPr>
          <w:hyperlink w:anchor="_Toc73545931" w:history="1">
            <w:r w:rsidR="008730A8" w:rsidRPr="00A50809">
              <w:rPr>
                <w:rStyle w:val="Hyperlink"/>
                <w:rFonts w:ascii="Symbol" w:eastAsia="Times New Roman" w:hAnsi="Symbol"/>
                <w:b/>
                <w:noProof/>
              </w:rPr>
              <w:t></w:t>
            </w:r>
            <w:r w:rsidR="008730A8">
              <w:rPr>
                <w:rFonts w:eastAsiaTheme="minorEastAsia"/>
                <w:noProof/>
              </w:rPr>
              <w:tab/>
            </w:r>
            <w:r w:rsidR="008730A8" w:rsidRPr="00A50809">
              <w:rPr>
                <w:rStyle w:val="Hyperlink"/>
                <w:rFonts w:eastAsia="Times New Roman"/>
                <w:noProof/>
              </w:rPr>
              <w:t>Recommendations:</w:t>
            </w:r>
            <w:r w:rsidR="008730A8">
              <w:rPr>
                <w:noProof/>
                <w:webHidden/>
              </w:rPr>
              <w:tab/>
            </w:r>
            <w:r w:rsidR="008730A8">
              <w:rPr>
                <w:noProof/>
                <w:webHidden/>
              </w:rPr>
              <w:fldChar w:fldCharType="begin"/>
            </w:r>
            <w:r w:rsidR="008730A8">
              <w:rPr>
                <w:noProof/>
                <w:webHidden/>
              </w:rPr>
              <w:instrText xml:space="preserve"> PAGEREF _Toc73545931 \h </w:instrText>
            </w:r>
            <w:r w:rsidR="008730A8">
              <w:rPr>
                <w:noProof/>
                <w:webHidden/>
              </w:rPr>
            </w:r>
            <w:r w:rsidR="008730A8">
              <w:rPr>
                <w:noProof/>
                <w:webHidden/>
              </w:rPr>
              <w:fldChar w:fldCharType="separate"/>
            </w:r>
            <w:r w:rsidR="00E42FE0">
              <w:rPr>
                <w:noProof/>
                <w:webHidden/>
              </w:rPr>
              <w:t>9</w:t>
            </w:r>
            <w:r w:rsidR="008730A8">
              <w:rPr>
                <w:noProof/>
                <w:webHidden/>
              </w:rPr>
              <w:fldChar w:fldCharType="end"/>
            </w:r>
          </w:hyperlink>
        </w:p>
        <w:p w14:paraId="036136F5" w14:textId="77777777" w:rsidR="008730A8" w:rsidRDefault="00B801AE">
          <w:pPr>
            <w:pStyle w:val="TOC1"/>
            <w:tabs>
              <w:tab w:val="left" w:pos="660"/>
              <w:tab w:val="right" w:leader="dot" w:pos="9350"/>
            </w:tabs>
            <w:rPr>
              <w:rFonts w:eastAsiaTheme="minorEastAsia"/>
              <w:noProof/>
            </w:rPr>
          </w:pPr>
          <w:hyperlink w:anchor="_Toc73545932" w:history="1">
            <w:r w:rsidR="008730A8" w:rsidRPr="00A50809">
              <w:rPr>
                <w:rStyle w:val="Hyperlink"/>
                <w:rFonts w:cstheme="minorHAnsi"/>
                <w:noProof/>
              </w:rPr>
              <w:t xml:space="preserve">VI. </w:t>
            </w:r>
            <w:r w:rsidR="008730A8">
              <w:rPr>
                <w:rFonts w:eastAsiaTheme="minorEastAsia"/>
                <w:noProof/>
              </w:rPr>
              <w:tab/>
            </w:r>
            <w:r w:rsidR="008730A8" w:rsidRPr="00A50809">
              <w:rPr>
                <w:rStyle w:val="Hyperlink"/>
                <w:rFonts w:cstheme="minorHAnsi"/>
                <w:noProof/>
              </w:rPr>
              <w:t>Discrimination and exclusion in employment</w:t>
            </w:r>
            <w:r w:rsidR="008730A8">
              <w:rPr>
                <w:noProof/>
                <w:webHidden/>
              </w:rPr>
              <w:tab/>
            </w:r>
            <w:r w:rsidR="008730A8">
              <w:rPr>
                <w:noProof/>
                <w:webHidden/>
              </w:rPr>
              <w:fldChar w:fldCharType="begin"/>
            </w:r>
            <w:r w:rsidR="008730A8">
              <w:rPr>
                <w:noProof/>
                <w:webHidden/>
              </w:rPr>
              <w:instrText xml:space="preserve"> PAGEREF _Toc73545932 \h </w:instrText>
            </w:r>
            <w:r w:rsidR="008730A8">
              <w:rPr>
                <w:noProof/>
                <w:webHidden/>
              </w:rPr>
            </w:r>
            <w:r w:rsidR="008730A8">
              <w:rPr>
                <w:noProof/>
                <w:webHidden/>
              </w:rPr>
              <w:fldChar w:fldCharType="separate"/>
            </w:r>
            <w:r w:rsidR="00E42FE0">
              <w:rPr>
                <w:noProof/>
                <w:webHidden/>
              </w:rPr>
              <w:t>10</w:t>
            </w:r>
            <w:r w:rsidR="008730A8">
              <w:rPr>
                <w:noProof/>
                <w:webHidden/>
              </w:rPr>
              <w:fldChar w:fldCharType="end"/>
            </w:r>
          </w:hyperlink>
        </w:p>
        <w:p w14:paraId="43860662" w14:textId="77777777" w:rsidR="008730A8" w:rsidRDefault="00B801AE">
          <w:pPr>
            <w:pStyle w:val="TOC3"/>
            <w:tabs>
              <w:tab w:val="left" w:pos="880"/>
              <w:tab w:val="right" w:leader="dot" w:pos="9350"/>
            </w:tabs>
            <w:rPr>
              <w:rFonts w:eastAsiaTheme="minorEastAsia"/>
              <w:noProof/>
            </w:rPr>
          </w:pPr>
          <w:hyperlink w:anchor="_Toc73545933" w:history="1">
            <w:r w:rsidR="008730A8" w:rsidRPr="00A50809">
              <w:rPr>
                <w:rStyle w:val="Hyperlink"/>
                <w:rFonts w:ascii="Symbol" w:eastAsia="Times New Roman" w:hAnsi="Symbol"/>
                <w:b/>
                <w:noProof/>
              </w:rPr>
              <w:t></w:t>
            </w:r>
            <w:r w:rsidR="008730A8">
              <w:rPr>
                <w:rFonts w:eastAsiaTheme="minorEastAsia"/>
                <w:noProof/>
              </w:rPr>
              <w:tab/>
            </w:r>
            <w:r w:rsidR="008730A8" w:rsidRPr="00A50809">
              <w:rPr>
                <w:rStyle w:val="Hyperlink"/>
                <w:rFonts w:eastAsia="Times New Roman"/>
                <w:noProof/>
              </w:rPr>
              <w:t>Recommendations:</w:t>
            </w:r>
            <w:r w:rsidR="008730A8">
              <w:rPr>
                <w:noProof/>
                <w:webHidden/>
              </w:rPr>
              <w:tab/>
            </w:r>
            <w:r w:rsidR="008730A8">
              <w:rPr>
                <w:noProof/>
                <w:webHidden/>
              </w:rPr>
              <w:fldChar w:fldCharType="begin"/>
            </w:r>
            <w:r w:rsidR="008730A8">
              <w:rPr>
                <w:noProof/>
                <w:webHidden/>
              </w:rPr>
              <w:instrText xml:space="preserve"> PAGEREF _Toc73545933 \h </w:instrText>
            </w:r>
            <w:r w:rsidR="008730A8">
              <w:rPr>
                <w:noProof/>
                <w:webHidden/>
              </w:rPr>
            </w:r>
            <w:r w:rsidR="008730A8">
              <w:rPr>
                <w:noProof/>
                <w:webHidden/>
              </w:rPr>
              <w:fldChar w:fldCharType="separate"/>
            </w:r>
            <w:r w:rsidR="00E42FE0">
              <w:rPr>
                <w:noProof/>
                <w:webHidden/>
              </w:rPr>
              <w:t>10</w:t>
            </w:r>
            <w:r w:rsidR="008730A8">
              <w:rPr>
                <w:noProof/>
                <w:webHidden/>
              </w:rPr>
              <w:fldChar w:fldCharType="end"/>
            </w:r>
          </w:hyperlink>
        </w:p>
        <w:p w14:paraId="3FE9834F" w14:textId="77777777" w:rsidR="00D01499" w:rsidRDefault="00D01499">
          <w:r w:rsidRPr="00D71320">
            <w:rPr>
              <w:b/>
              <w:bCs/>
              <w:noProof/>
              <w:color w:val="1F4E79" w:themeColor="accent1" w:themeShade="80"/>
            </w:rPr>
            <w:fldChar w:fldCharType="end"/>
          </w:r>
        </w:p>
      </w:sdtContent>
    </w:sdt>
    <w:p w14:paraId="7C5F334E" w14:textId="1D0F0258" w:rsidR="00AA28D5" w:rsidRPr="00AA28D5" w:rsidRDefault="00AA28D5" w:rsidP="00AA28D5">
      <w:pPr>
        <w:pStyle w:val="FootnoteText"/>
        <w:jc w:val="left"/>
        <w:rPr>
          <w:rFonts w:asciiTheme="minorHAnsi" w:eastAsiaTheme="minorHAnsi" w:hAnsiTheme="minorHAnsi" w:cstheme="minorHAnsi"/>
          <w:sz w:val="22"/>
          <w:szCs w:val="22"/>
        </w:rPr>
      </w:pPr>
      <w:r w:rsidRPr="00AA28D5">
        <w:rPr>
          <w:rFonts w:asciiTheme="minorHAnsi" w:eastAsiaTheme="minorHAnsi" w:hAnsiTheme="minorHAnsi" w:cstheme="minorHAnsi"/>
          <w:sz w:val="22"/>
          <w:szCs w:val="22"/>
        </w:rPr>
        <w:t xml:space="preserve">Women’s Initiatives Supporting Group (WISG) is a non-governmental, non-profit-making organization advocating for the rights of lesbian, bisexual and </w:t>
      </w:r>
      <w:r w:rsidR="00E318F1">
        <w:rPr>
          <w:rFonts w:asciiTheme="minorHAnsi" w:eastAsiaTheme="minorHAnsi" w:hAnsiTheme="minorHAnsi" w:cstheme="minorHAnsi"/>
          <w:sz w:val="22"/>
          <w:szCs w:val="22"/>
        </w:rPr>
        <w:t>t</w:t>
      </w:r>
      <w:r w:rsidRPr="00AA28D5">
        <w:rPr>
          <w:rFonts w:asciiTheme="minorHAnsi" w:eastAsiaTheme="minorHAnsi" w:hAnsiTheme="minorHAnsi" w:cstheme="minorHAnsi"/>
          <w:sz w:val="22"/>
          <w:szCs w:val="22"/>
        </w:rPr>
        <w:t>rans women in Georgia.</w:t>
      </w:r>
    </w:p>
    <w:p w14:paraId="6B4044B9" w14:textId="77777777" w:rsidR="00D71320" w:rsidRDefault="00D71320" w:rsidP="00AA28D5">
      <w:pPr>
        <w:pStyle w:val="FootnoteText"/>
        <w:jc w:val="right"/>
        <w:rPr>
          <w:color w:val="1F4E79" w:themeColor="accent1" w:themeShade="80"/>
          <w:sz w:val="22"/>
          <w:szCs w:val="22"/>
        </w:rPr>
      </w:pPr>
    </w:p>
    <w:p w14:paraId="1B99641F" w14:textId="77777777" w:rsidR="00AA28D5" w:rsidRPr="00AA28D5" w:rsidRDefault="00AA28D5" w:rsidP="00AA28D5">
      <w:pPr>
        <w:pStyle w:val="FootnoteText"/>
        <w:jc w:val="right"/>
        <w:rPr>
          <w:sz w:val="22"/>
          <w:szCs w:val="22"/>
        </w:rPr>
      </w:pPr>
      <w:r w:rsidRPr="00AA28D5">
        <w:rPr>
          <w:color w:val="1F4E79" w:themeColor="accent1" w:themeShade="80"/>
          <w:sz w:val="22"/>
          <w:szCs w:val="22"/>
        </w:rPr>
        <w:t xml:space="preserve">Contacts: </w:t>
      </w:r>
      <w:hyperlink r:id="rId9" w:history="1">
        <w:r w:rsidRPr="00AA28D5">
          <w:rPr>
            <w:rStyle w:val="Hyperlink"/>
            <w:sz w:val="22"/>
            <w:szCs w:val="22"/>
            <w14:textFill>
              <w14:solidFill>
                <w14:srgbClr w14:val="0000FF">
                  <w14:lumMod w14:val="50000"/>
                </w14:srgbClr>
              </w14:solidFill>
            </w14:textFill>
          </w:rPr>
          <w:t>wisg@wisg.org</w:t>
        </w:r>
      </w:hyperlink>
      <w:r w:rsidRPr="00AA28D5">
        <w:rPr>
          <w:color w:val="1F4E79" w:themeColor="accent1" w:themeShade="80"/>
          <w:sz w:val="22"/>
          <w:szCs w:val="22"/>
        </w:rPr>
        <w:t xml:space="preserve"> </w:t>
      </w:r>
      <w:r w:rsidRPr="00AA28D5">
        <w:rPr>
          <w:sz w:val="22"/>
          <w:szCs w:val="22"/>
        </w:rPr>
        <w:t xml:space="preserve"> </w:t>
      </w:r>
    </w:p>
    <w:p w14:paraId="66A2B6ED" w14:textId="77777777" w:rsidR="00AA28D5" w:rsidRPr="00AA28D5" w:rsidRDefault="00B801AE" w:rsidP="00AA28D5">
      <w:pPr>
        <w:pStyle w:val="FootnoteText"/>
        <w:jc w:val="right"/>
        <w:rPr>
          <w:rFonts w:asciiTheme="minorHAnsi" w:eastAsiaTheme="minorHAnsi" w:hAnsiTheme="minorHAnsi" w:cstheme="minorHAnsi"/>
          <w:sz w:val="22"/>
          <w:szCs w:val="22"/>
        </w:rPr>
      </w:pPr>
      <w:hyperlink r:id="rId10" w:history="1">
        <w:r w:rsidR="00AA28D5" w:rsidRPr="00AA28D5">
          <w:rPr>
            <w:rStyle w:val="Hyperlink"/>
            <w:sz w:val="22"/>
            <w:szCs w:val="22"/>
          </w:rPr>
          <w:t>www.wisg.org</w:t>
        </w:r>
      </w:hyperlink>
      <w:r w:rsidR="00AA28D5" w:rsidRPr="00AA28D5">
        <w:rPr>
          <w:sz w:val="22"/>
          <w:szCs w:val="22"/>
        </w:rPr>
        <w:t xml:space="preserve"> </w:t>
      </w:r>
    </w:p>
    <w:p w14:paraId="0B508EBF" w14:textId="77777777" w:rsidR="00D01499" w:rsidRPr="00AA28D5" w:rsidRDefault="00D01499" w:rsidP="00782757">
      <w:pPr>
        <w:jc w:val="center"/>
        <w:rPr>
          <w:rFonts w:cstheme="minorHAnsi"/>
          <w:b/>
          <w:bCs/>
          <w:color w:val="1D498A"/>
        </w:rPr>
      </w:pPr>
    </w:p>
    <w:p w14:paraId="2C80F766" w14:textId="54BDC093" w:rsidR="00AD457E" w:rsidRPr="00AA28D5" w:rsidRDefault="00AD457E" w:rsidP="00AD457E">
      <w:pPr>
        <w:spacing w:before="120" w:after="0"/>
        <w:jc w:val="both"/>
        <w:rPr>
          <w:rFonts w:cstheme="minorHAnsi"/>
        </w:rPr>
      </w:pPr>
      <w:r w:rsidRPr="00AA28D5">
        <w:rPr>
          <w:rFonts w:cstheme="minorHAnsi"/>
        </w:rPr>
        <w:t xml:space="preserve">The aim of this </w:t>
      </w:r>
      <w:r w:rsidR="003F1F22" w:rsidRPr="0065695E">
        <w:rPr>
          <w:rFonts w:cstheme="minorHAnsi"/>
          <w:i/>
        </w:rPr>
        <w:t>shadow report</w:t>
      </w:r>
      <w:r w:rsidRPr="00AA28D5">
        <w:rPr>
          <w:rFonts w:cstheme="minorHAnsi"/>
        </w:rPr>
        <w:t xml:space="preserve"> is to draw the attention</w:t>
      </w:r>
      <w:r w:rsidR="00AA28D5" w:rsidRPr="00AA28D5">
        <w:rPr>
          <w:rFonts w:cstheme="minorHAnsi"/>
        </w:rPr>
        <w:t xml:space="preserve"> of the Committee</w:t>
      </w:r>
      <w:r w:rsidRPr="00AA28D5">
        <w:rPr>
          <w:rFonts w:cstheme="minorHAnsi"/>
        </w:rPr>
        <w:t xml:space="preserve"> to </w:t>
      </w:r>
      <w:r w:rsidR="00AA28D5" w:rsidRPr="00AA28D5">
        <w:rPr>
          <w:rFonts w:cstheme="minorHAnsi"/>
        </w:rPr>
        <w:t xml:space="preserve">the </w:t>
      </w:r>
      <w:r w:rsidRPr="00AA28D5">
        <w:rPr>
          <w:rFonts w:cstheme="minorHAnsi"/>
        </w:rPr>
        <w:t>violations of human r</w:t>
      </w:r>
      <w:r w:rsidR="00D94F20">
        <w:rPr>
          <w:rFonts w:cstheme="minorHAnsi"/>
        </w:rPr>
        <w:t xml:space="preserve">ights of LBTI women in Georgia </w:t>
      </w:r>
      <w:r w:rsidR="00D94F20" w:rsidRPr="0065695E">
        <w:rPr>
          <w:rFonts w:cstheme="minorHAnsi"/>
          <w:u w:val="single"/>
        </w:rPr>
        <w:t xml:space="preserve">for developing list of issues </w:t>
      </w:r>
      <w:r w:rsidR="00D94F20" w:rsidRPr="0065695E">
        <w:rPr>
          <w:u w:val="single"/>
        </w:rPr>
        <w:t>prior to reporting by the pre-sessional working group.</w:t>
      </w:r>
      <w:r w:rsidRPr="00AA28D5">
        <w:rPr>
          <w:rFonts w:cstheme="minorHAnsi"/>
        </w:rPr>
        <w:t xml:space="preserve"> The report is based on materials </w:t>
      </w:r>
      <w:r w:rsidR="00AA28D5" w:rsidRPr="00AA28D5">
        <w:rPr>
          <w:rFonts w:cstheme="minorHAnsi"/>
        </w:rPr>
        <w:t xml:space="preserve">produces, </w:t>
      </w:r>
      <w:r w:rsidRPr="00AA28D5">
        <w:rPr>
          <w:rFonts w:cstheme="minorHAnsi"/>
        </w:rPr>
        <w:t>collected and documented by WISG: cases of human rights violations of LBTI persons in Georgia, interviews and focus groups conducted with community member</w:t>
      </w:r>
      <w:r w:rsidR="00AA28D5" w:rsidRPr="00AA28D5">
        <w:rPr>
          <w:rFonts w:cstheme="minorHAnsi"/>
        </w:rPr>
        <w:t>s and health care specialists;</w:t>
      </w:r>
      <w:r w:rsidRPr="00AA28D5">
        <w:rPr>
          <w:rFonts w:cstheme="minorHAnsi"/>
        </w:rPr>
        <w:t xml:space="preserve"> WISG’s discrimination studies (2018-20</w:t>
      </w:r>
      <w:r w:rsidR="00AA28D5" w:rsidRPr="00AA28D5">
        <w:rPr>
          <w:rFonts w:cstheme="minorHAnsi"/>
        </w:rPr>
        <w:t xml:space="preserve">), researches on attitudes (2018), resources of NGOs working on LGBTQI rights, reports of the Public Defender’s </w:t>
      </w:r>
      <w:r w:rsidRPr="00AA28D5">
        <w:rPr>
          <w:rFonts w:cstheme="minorHAnsi"/>
        </w:rPr>
        <w:t xml:space="preserve">and other reports by international stakeholders.   </w:t>
      </w:r>
    </w:p>
    <w:p w14:paraId="6A9FDEDE" w14:textId="77777777" w:rsidR="00AA28D5" w:rsidRPr="00AA28D5" w:rsidRDefault="00AA28D5" w:rsidP="00AD457E">
      <w:pPr>
        <w:spacing w:before="120" w:after="0"/>
        <w:jc w:val="both"/>
        <w:rPr>
          <w:rFonts w:cstheme="minorHAnsi"/>
        </w:rPr>
      </w:pPr>
    </w:p>
    <w:p w14:paraId="1235CA2F" w14:textId="77777777" w:rsidR="00AA28D5" w:rsidRPr="00AA28D5" w:rsidRDefault="00AA28D5" w:rsidP="00AA28D5">
      <w:pPr>
        <w:rPr>
          <w:rFonts w:cstheme="minorHAnsi"/>
          <w:i/>
        </w:rPr>
      </w:pPr>
      <w:r w:rsidRPr="00AA28D5">
        <w:rPr>
          <w:rFonts w:cstheme="minorHAnsi"/>
          <w:i/>
        </w:rPr>
        <w:t>*submission can be posted on the CEDAW website for public information purposes</w:t>
      </w:r>
      <w:r w:rsidR="00D71320">
        <w:rPr>
          <w:rFonts w:cstheme="minorHAnsi"/>
          <w:i/>
        </w:rPr>
        <w:t>.</w:t>
      </w:r>
    </w:p>
    <w:p w14:paraId="349A3741" w14:textId="77777777" w:rsidR="00AA28D5" w:rsidRDefault="00AA28D5">
      <w:pPr>
        <w:rPr>
          <w:rFonts w:cstheme="minorHAnsi"/>
          <w:sz w:val="20"/>
          <w:szCs w:val="20"/>
        </w:rPr>
      </w:pPr>
      <w:r>
        <w:rPr>
          <w:rFonts w:cstheme="minorHAnsi"/>
          <w:sz w:val="20"/>
          <w:szCs w:val="20"/>
        </w:rPr>
        <w:br w:type="page"/>
      </w:r>
    </w:p>
    <w:p w14:paraId="34EF4204" w14:textId="07E39046" w:rsidR="009505AD" w:rsidRPr="00D22A5D" w:rsidRDefault="009505AD" w:rsidP="00D22A5D">
      <w:pPr>
        <w:pStyle w:val="Heading1"/>
        <w:shd w:val="clear" w:color="auto" w:fill="DEEAF6" w:themeFill="accent1" w:themeFillTint="33"/>
        <w:ind w:left="-360" w:firstLine="360"/>
        <w:rPr>
          <w:rFonts w:asciiTheme="minorHAnsi" w:hAnsiTheme="minorHAnsi" w:cstheme="minorHAnsi"/>
          <w:color w:val="1F4E79" w:themeColor="accent1" w:themeShade="80"/>
          <w:sz w:val="24"/>
          <w:szCs w:val="24"/>
        </w:rPr>
      </w:pPr>
      <w:bookmarkStart w:id="1" w:name="_Toc73545917"/>
      <w:r w:rsidRPr="009505AD">
        <w:rPr>
          <w:rFonts w:asciiTheme="minorHAnsi" w:hAnsiTheme="minorHAnsi" w:cstheme="minorHAnsi"/>
          <w:color w:val="1F4E79" w:themeColor="accent1" w:themeShade="80"/>
          <w:sz w:val="24"/>
          <w:szCs w:val="24"/>
        </w:rPr>
        <w:t>Executive Summary</w:t>
      </w:r>
      <w:bookmarkEnd w:id="1"/>
      <w:r w:rsidRPr="009505AD">
        <w:rPr>
          <w:rFonts w:asciiTheme="minorHAnsi" w:hAnsiTheme="minorHAnsi" w:cstheme="minorHAnsi"/>
          <w:color w:val="1F4E79" w:themeColor="accent1" w:themeShade="80"/>
          <w:sz w:val="24"/>
          <w:szCs w:val="24"/>
        </w:rPr>
        <w:t xml:space="preserve"> </w:t>
      </w:r>
    </w:p>
    <w:p w14:paraId="4A2576AF" w14:textId="290F4FFC" w:rsidR="00A60F3D" w:rsidRDefault="009505AD" w:rsidP="00A60F3D">
      <w:pPr>
        <w:autoSpaceDE w:val="0"/>
        <w:autoSpaceDN w:val="0"/>
        <w:adjustRightInd w:val="0"/>
        <w:spacing w:before="120" w:after="120" w:line="276" w:lineRule="auto"/>
        <w:jc w:val="both"/>
        <w:rPr>
          <w:rFonts w:cstheme="minorHAnsi"/>
        </w:rPr>
      </w:pPr>
      <w:r w:rsidRPr="009505AD">
        <w:rPr>
          <w:rFonts w:cstheme="minorHAnsi"/>
        </w:rPr>
        <w:t xml:space="preserve">Despite relatively enhanced </w:t>
      </w:r>
      <w:r>
        <w:rPr>
          <w:rFonts w:cstheme="minorHAnsi"/>
        </w:rPr>
        <w:t xml:space="preserve">anti-discrimination standards in law since the last review, Georgia still </w:t>
      </w:r>
      <w:r w:rsidR="001F6B79">
        <w:rPr>
          <w:rFonts w:cstheme="minorHAnsi"/>
        </w:rPr>
        <w:t>faces</w:t>
      </w:r>
      <w:r>
        <w:rPr>
          <w:rFonts w:cstheme="minorHAnsi"/>
        </w:rPr>
        <w:t xml:space="preserve"> the gaps to be filled in order to guarantee equality and non-discrimination of women based on sexual orientation, gender identity and expression</w:t>
      </w:r>
      <w:r w:rsidR="008C1F9E">
        <w:rPr>
          <w:rFonts w:cstheme="minorHAnsi"/>
        </w:rPr>
        <w:t xml:space="preserve"> (SOGIE)</w:t>
      </w:r>
      <w:r>
        <w:rPr>
          <w:rFonts w:cstheme="minorHAnsi"/>
        </w:rPr>
        <w:t xml:space="preserve">. </w:t>
      </w:r>
      <w:r w:rsidRPr="009505AD">
        <w:rPr>
          <w:rFonts w:cstheme="minorHAnsi"/>
        </w:rPr>
        <w:t>L</w:t>
      </w:r>
      <w:r w:rsidR="008C1F9E">
        <w:rPr>
          <w:rFonts w:cstheme="minorHAnsi"/>
        </w:rPr>
        <w:t>esbian</w:t>
      </w:r>
      <w:r w:rsidR="00396B56">
        <w:rPr>
          <w:rFonts w:cstheme="minorHAnsi"/>
        </w:rPr>
        <w:t>,</w:t>
      </w:r>
      <w:r w:rsidR="008C1F9E">
        <w:rPr>
          <w:rFonts w:cstheme="minorHAnsi"/>
        </w:rPr>
        <w:t xml:space="preserve"> </w:t>
      </w:r>
      <w:r w:rsidRPr="009505AD">
        <w:rPr>
          <w:rFonts w:cstheme="minorHAnsi"/>
        </w:rPr>
        <w:t>B</w:t>
      </w:r>
      <w:r w:rsidR="008C1F9E">
        <w:rPr>
          <w:rFonts w:cstheme="minorHAnsi"/>
        </w:rPr>
        <w:t>isexual</w:t>
      </w:r>
      <w:r w:rsidR="00396B56">
        <w:rPr>
          <w:rFonts w:cstheme="minorHAnsi"/>
        </w:rPr>
        <w:t>,</w:t>
      </w:r>
      <w:r w:rsidR="008C1F9E">
        <w:rPr>
          <w:rFonts w:cstheme="minorHAnsi"/>
        </w:rPr>
        <w:t xml:space="preserve"> </w:t>
      </w:r>
      <w:r w:rsidRPr="009505AD">
        <w:rPr>
          <w:rFonts w:cstheme="minorHAnsi"/>
        </w:rPr>
        <w:t>T</w:t>
      </w:r>
      <w:r w:rsidR="008C1F9E">
        <w:rPr>
          <w:rFonts w:cstheme="minorHAnsi"/>
        </w:rPr>
        <w:t xml:space="preserve">rans and </w:t>
      </w:r>
      <w:r w:rsidRPr="009505AD">
        <w:rPr>
          <w:rFonts w:cstheme="minorHAnsi"/>
        </w:rPr>
        <w:t>I</w:t>
      </w:r>
      <w:r w:rsidR="008C1F9E">
        <w:rPr>
          <w:rFonts w:cstheme="minorHAnsi"/>
        </w:rPr>
        <w:t>ntersex</w:t>
      </w:r>
      <w:r w:rsidRPr="009505AD">
        <w:rPr>
          <w:rFonts w:cstheme="minorHAnsi"/>
        </w:rPr>
        <w:t xml:space="preserve"> </w:t>
      </w:r>
      <w:r w:rsidR="008C1F9E">
        <w:rPr>
          <w:rFonts w:cstheme="minorHAnsi"/>
        </w:rPr>
        <w:t xml:space="preserve">(LBTI) </w:t>
      </w:r>
      <w:r w:rsidRPr="009505AD">
        <w:rPr>
          <w:rFonts w:cstheme="minorHAnsi"/>
        </w:rPr>
        <w:t xml:space="preserve">women are subjects of a double discrimination, based </w:t>
      </w:r>
      <w:r w:rsidR="008C1F9E">
        <w:rPr>
          <w:rFonts w:cstheme="minorHAnsi"/>
        </w:rPr>
        <w:t>on their sex, as well as their SOGIE</w:t>
      </w:r>
      <w:r w:rsidRPr="009505AD">
        <w:rPr>
          <w:rFonts w:cstheme="minorHAnsi"/>
        </w:rPr>
        <w:t xml:space="preserve">, which are due to the stigma and prevailing stereotypes rooted against them in the society. Such a background is nurtured by the state’s neglect of the specific needs of the group, </w:t>
      </w:r>
      <w:r>
        <w:rPr>
          <w:rFonts w:cstheme="minorHAnsi"/>
        </w:rPr>
        <w:t xml:space="preserve">also </w:t>
      </w:r>
      <w:r w:rsidR="001F6B79">
        <w:rPr>
          <w:rFonts w:cstheme="minorHAnsi"/>
        </w:rPr>
        <w:t>illustrated</w:t>
      </w:r>
      <w:r>
        <w:rPr>
          <w:rFonts w:cstheme="minorHAnsi"/>
        </w:rPr>
        <w:t xml:space="preserve"> at </w:t>
      </w:r>
      <w:r w:rsidRPr="009505AD">
        <w:rPr>
          <w:rFonts w:cstheme="minorHAnsi"/>
        </w:rPr>
        <w:t>the sixth periodic report submitted by Georgia before the Committee in 2020 that</w:t>
      </w:r>
      <w:r>
        <w:rPr>
          <w:rFonts w:cstheme="minorHAnsi"/>
        </w:rPr>
        <w:t xml:space="preserve"> </w:t>
      </w:r>
      <w:r w:rsidR="001F6B79">
        <w:rPr>
          <w:rFonts w:cstheme="minorHAnsi"/>
        </w:rPr>
        <w:t xml:space="preserve">neglects </w:t>
      </w:r>
      <w:r w:rsidRPr="00197E39">
        <w:rPr>
          <w:rFonts w:cstheme="minorHAnsi"/>
        </w:rPr>
        <w:t xml:space="preserve">the number of </w:t>
      </w:r>
      <w:r w:rsidR="001F6B79">
        <w:rPr>
          <w:rFonts w:cstheme="minorHAnsi"/>
        </w:rPr>
        <w:t xml:space="preserve">crucial challenges in regards to SOGIE. </w:t>
      </w:r>
      <w:r w:rsidR="00A60F3D">
        <w:rPr>
          <w:rFonts w:cstheme="minorHAnsi"/>
        </w:rPr>
        <w:t>Hence, Georgian government fails to recognize h</w:t>
      </w:r>
      <w:r w:rsidR="00A60F3D" w:rsidRPr="00A60F3D">
        <w:rPr>
          <w:rFonts w:cstheme="minorHAnsi"/>
        </w:rPr>
        <w:t xml:space="preserve">omo/bi/transphobia </w:t>
      </w:r>
      <w:r w:rsidR="00A60F3D">
        <w:rPr>
          <w:rFonts w:cstheme="minorHAnsi"/>
        </w:rPr>
        <w:t>as</w:t>
      </w:r>
      <w:r w:rsidR="00A60F3D" w:rsidRPr="00A60F3D">
        <w:rPr>
          <w:rFonts w:cstheme="minorHAnsi"/>
        </w:rPr>
        <w:t xml:space="preserve"> a social problem</w:t>
      </w:r>
      <w:r w:rsidR="0065695E">
        <w:rPr>
          <w:rFonts w:cstheme="minorHAnsi"/>
        </w:rPr>
        <w:t>,</w:t>
      </w:r>
      <w:r w:rsidR="00A60F3D">
        <w:rPr>
          <w:rFonts w:cstheme="minorHAnsi"/>
        </w:rPr>
        <w:t xml:space="preserve"> </w:t>
      </w:r>
      <w:r w:rsidR="00A60F3D" w:rsidRPr="00A60F3D">
        <w:rPr>
          <w:rFonts w:cstheme="minorHAnsi"/>
        </w:rPr>
        <w:t>manifested in gender based violence and discrimination on the grounds of SOGI</w:t>
      </w:r>
      <w:r w:rsidR="00A60F3D">
        <w:rPr>
          <w:rFonts w:cstheme="minorHAnsi"/>
        </w:rPr>
        <w:t>E</w:t>
      </w:r>
      <w:r w:rsidR="0065695E">
        <w:rPr>
          <w:rFonts w:cstheme="minorHAnsi"/>
        </w:rPr>
        <w:t>,</w:t>
      </w:r>
      <w:r w:rsidR="00A60F3D">
        <w:rPr>
          <w:rFonts w:cstheme="minorHAnsi"/>
        </w:rPr>
        <w:t xml:space="preserve"> </w:t>
      </w:r>
      <w:r w:rsidR="0065695E">
        <w:rPr>
          <w:rFonts w:cstheme="minorHAnsi"/>
        </w:rPr>
        <w:t xml:space="preserve">in </w:t>
      </w:r>
      <w:r w:rsidR="00A06BEC">
        <w:rPr>
          <w:rFonts w:cstheme="minorHAnsi"/>
        </w:rPr>
        <w:t>need</w:t>
      </w:r>
      <w:r w:rsidR="0065695E">
        <w:rPr>
          <w:rFonts w:cstheme="minorHAnsi"/>
        </w:rPr>
        <w:t xml:space="preserve"> of</w:t>
      </w:r>
      <w:r w:rsidR="00A06BEC">
        <w:rPr>
          <w:rFonts w:cstheme="minorHAnsi"/>
        </w:rPr>
        <w:t xml:space="preserve"> emergency intervention.</w:t>
      </w:r>
    </w:p>
    <w:p w14:paraId="5A4DEB18" w14:textId="1A46EA73" w:rsidR="009505AD" w:rsidRPr="00A60F3D" w:rsidRDefault="001F6B79" w:rsidP="00A60F3D">
      <w:pPr>
        <w:pStyle w:val="Normal1"/>
        <w:shd w:val="clear" w:color="auto" w:fill="FFFFFF"/>
        <w:spacing w:before="120" w:after="120"/>
        <w:rPr>
          <w:rFonts w:asciiTheme="minorHAnsi" w:eastAsiaTheme="minorHAnsi" w:hAnsiTheme="minorHAnsi" w:cstheme="minorHAnsi"/>
        </w:rPr>
      </w:pPr>
      <w:r>
        <w:rPr>
          <w:rFonts w:cstheme="minorHAnsi"/>
        </w:rPr>
        <w:t xml:space="preserve">Under the international obligations and the standards Georgia is required to </w:t>
      </w:r>
      <w:r w:rsidRPr="00DB2DE0">
        <w:rPr>
          <w:rFonts w:cstheme="minorHAnsi"/>
        </w:rPr>
        <w:t>provide</w:t>
      </w:r>
      <w:r>
        <w:rPr>
          <w:rFonts w:cstheme="minorHAnsi"/>
        </w:rPr>
        <w:t xml:space="preserve"> effective protection against discrimination of LBTI persons; proper investigation and prevention of hate crimes that shall cover SOGIE among the protected grounds; </w:t>
      </w:r>
      <w:r w:rsidR="009505AD" w:rsidRPr="001F6B79">
        <w:rPr>
          <w:rFonts w:cstheme="minorHAnsi"/>
        </w:rPr>
        <w:t>act on ongoing practices sustaining discrimination in gender recognition and self-determination;</w:t>
      </w:r>
      <w:r w:rsidRPr="001F6B79">
        <w:rPr>
          <w:rFonts w:cstheme="minorHAnsi"/>
        </w:rPr>
        <w:t xml:space="preserve"> eliminate abusive requirements as prerequis</w:t>
      </w:r>
      <w:r w:rsidR="00D22A5D">
        <w:rPr>
          <w:rFonts w:cstheme="minorHAnsi"/>
        </w:rPr>
        <w:t xml:space="preserve">ites for gender marker change;  </w:t>
      </w:r>
      <w:r w:rsidR="00D22A5D" w:rsidRPr="00D22A5D">
        <w:rPr>
          <w:rFonts w:cstheme="minorHAnsi"/>
        </w:rPr>
        <w:t xml:space="preserve">guarantee protection against discrimination of </w:t>
      </w:r>
      <w:r w:rsidR="003F1F22">
        <w:rPr>
          <w:rFonts w:cstheme="minorHAnsi"/>
        </w:rPr>
        <w:t>LB</w:t>
      </w:r>
      <w:r w:rsidR="00D22A5D">
        <w:rPr>
          <w:rFonts w:cstheme="minorHAnsi"/>
        </w:rPr>
        <w:t xml:space="preserve"> and especially Trans and I</w:t>
      </w:r>
      <w:r w:rsidR="00D22A5D" w:rsidRPr="00D22A5D">
        <w:rPr>
          <w:rFonts w:cstheme="minorHAnsi"/>
        </w:rPr>
        <w:t>ntersex persons</w:t>
      </w:r>
      <w:r w:rsidR="00D22A5D">
        <w:rPr>
          <w:rFonts w:cstheme="minorHAnsi"/>
        </w:rPr>
        <w:t xml:space="preserve"> in</w:t>
      </w:r>
      <w:r w:rsidR="00D22A5D" w:rsidRPr="00D22A5D">
        <w:rPr>
          <w:rFonts w:cstheme="minorHAnsi"/>
        </w:rPr>
        <w:t xml:space="preserve"> healthcare; </w:t>
      </w:r>
      <w:r w:rsidR="009505AD" w:rsidRPr="00D22A5D">
        <w:rPr>
          <w:rFonts w:cstheme="minorHAnsi"/>
        </w:rPr>
        <w:t>implement proper education curricula to combat discrimination and guarantee policies to protect LBTI persons from violence and ill-treatment</w:t>
      </w:r>
      <w:r w:rsidR="00D22A5D" w:rsidRPr="00D22A5D">
        <w:rPr>
          <w:rFonts w:cstheme="minorHAnsi"/>
        </w:rPr>
        <w:t xml:space="preserve">, </w:t>
      </w:r>
      <w:r w:rsidR="00D22A5D" w:rsidRPr="0065695E">
        <w:rPr>
          <w:rFonts w:cstheme="minorHAnsi"/>
          <w:i/>
        </w:rPr>
        <w:t>inter alia</w:t>
      </w:r>
      <w:r w:rsidR="00D22A5D" w:rsidRPr="00D22A5D">
        <w:rPr>
          <w:rFonts w:cstheme="minorHAnsi"/>
        </w:rPr>
        <w:t xml:space="preserve"> at educational institutions and labor marker</w:t>
      </w:r>
      <w:r w:rsidR="009505AD" w:rsidRPr="00D22A5D">
        <w:rPr>
          <w:rFonts w:cstheme="minorHAnsi"/>
        </w:rPr>
        <w:t xml:space="preserve">. </w:t>
      </w:r>
    </w:p>
    <w:p w14:paraId="3C949324" w14:textId="4FFD135B" w:rsidR="00D22A5D" w:rsidRPr="001F6B79" w:rsidRDefault="00D22A5D" w:rsidP="00D22A5D">
      <w:pPr>
        <w:autoSpaceDE w:val="0"/>
        <w:autoSpaceDN w:val="0"/>
        <w:adjustRightInd w:val="0"/>
        <w:spacing w:before="120" w:after="120" w:line="276" w:lineRule="auto"/>
        <w:jc w:val="both"/>
        <w:rPr>
          <w:rFonts w:cstheme="minorHAnsi"/>
        </w:rPr>
      </w:pPr>
      <w:r w:rsidRPr="00D22A5D">
        <w:rPr>
          <w:rFonts w:cstheme="minorHAnsi"/>
        </w:rPr>
        <w:t xml:space="preserve">This report offers </w:t>
      </w:r>
      <w:r>
        <w:rPr>
          <w:rFonts w:cstheme="minorHAnsi"/>
        </w:rPr>
        <w:t>scrutinized</w:t>
      </w:r>
      <w:r w:rsidRPr="00D22A5D">
        <w:rPr>
          <w:rFonts w:cstheme="minorHAnsi"/>
        </w:rPr>
        <w:t xml:space="preserve"> analyses of those </w:t>
      </w:r>
      <w:r w:rsidR="00DB2DE0">
        <w:rPr>
          <w:rFonts w:cstheme="minorHAnsi"/>
        </w:rPr>
        <w:t>shortcomings</w:t>
      </w:r>
      <w:r w:rsidRPr="00D22A5D">
        <w:rPr>
          <w:rFonts w:cstheme="minorHAnsi"/>
        </w:rPr>
        <w:t xml:space="preserve"> together with the clear recommendation to </w:t>
      </w:r>
      <w:r>
        <w:rPr>
          <w:rFonts w:cstheme="minorHAnsi"/>
        </w:rPr>
        <w:t>address the Georgian government.</w:t>
      </w:r>
      <w:r w:rsidRPr="00D22A5D">
        <w:rPr>
          <w:rFonts w:cstheme="minorHAnsi"/>
        </w:rPr>
        <w:t xml:space="preserve">  </w:t>
      </w:r>
    </w:p>
    <w:p w14:paraId="7A40EE2D" w14:textId="77777777" w:rsidR="009505AD" w:rsidRDefault="009505AD" w:rsidP="00D22A5D">
      <w:pPr>
        <w:spacing w:before="120" w:after="120"/>
        <w:rPr>
          <w:rFonts w:cstheme="minorHAnsi"/>
          <w:sz w:val="20"/>
          <w:szCs w:val="20"/>
        </w:rPr>
      </w:pPr>
    </w:p>
    <w:p w14:paraId="1B468BB6" w14:textId="77777777" w:rsidR="00515CAA" w:rsidRPr="00A24177" w:rsidRDefault="00416D2C" w:rsidP="00C10EC7">
      <w:pPr>
        <w:pStyle w:val="Heading1"/>
        <w:shd w:val="clear" w:color="auto" w:fill="DEEAF6" w:themeFill="accent1" w:themeFillTint="33"/>
        <w:ind w:left="-360"/>
        <w:rPr>
          <w:rFonts w:asciiTheme="minorHAnsi" w:hAnsiTheme="minorHAnsi" w:cstheme="minorHAnsi"/>
          <w:color w:val="1F4E79" w:themeColor="accent1" w:themeShade="80"/>
          <w:sz w:val="24"/>
          <w:szCs w:val="24"/>
        </w:rPr>
      </w:pPr>
      <w:bookmarkStart w:id="2" w:name="_Toc72856168"/>
      <w:bookmarkStart w:id="3" w:name="_Toc73545918"/>
      <w:r w:rsidRPr="00A24177">
        <w:rPr>
          <w:rFonts w:asciiTheme="minorHAnsi" w:hAnsiTheme="minorHAnsi" w:cstheme="minorHAnsi"/>
          <w:color w:val="1F4E79" w:themeColor="accent1" w:themeShade="80"/>
          <w:sz w:val="24"/>
          <w:szCs w:val="24"/>
        </w:rPr>
        <w:t>I</w:t>
      </w:r>
      <w:r w:rsidR="007F4158" w:rsidRPr="00A24177">
        <w:rPr>
          <w:rFonts w:asciiTheme="minorHAnsi" w:hAnsiTheme="minorHAnsi" w:cstheme="minorHAnsi"/>
          <w:color w:val="1F4E79" w:themeColor="accent1" w:themeShade="80"/>
          <w:sz w:val="24"/>
          <w:szCs w:val="24"/>
        </w:rPr>
        <w:t>.</w:t>
      </w:r>
      <w:r w:rsidRPr="00A24177">
        <w:rPr>
          <w:rFonts w:asciiTheme="minorHAnsi" w:hAnsiTheme="minorHAnsi" w:cstheme="minorHAnsi"/>
          <w:color w:val="1F4E79" w:themeColor="accent1" w:themeShade="80"/>
          <w:sz w:val="24"/>
          <w:szCs w:val="24"/>
        </w:rPr>
        <w:tab/>
      </w:r>
      <w:r w:rsidR="00251F8A" w:rsidRPr="00A24177">
        <w:rPr>
          <w:rFonts w:asciiTheme="minorHAnsi" w:hAnsiTheme="minorHAnsi" w:cstheme="minorHAnsi"/>
          <w:color w:val="1F4E79" w:themeColor="accent1" w:themeShade="80"/>
          <w:sz w:val="24"/>
          <w:szCs w:val="24"/>
        </w:rPr>
        <w:t>Introduction</w:t>
      </w:r>
      <w:bookmarkEnd w:id="2"/>
      <w:bookmarkEnd w:id="3"/>
      <w:r w:rsidR="00C10EC7">
        <w:rPr>
          <w:rFonts w:asciiTheme="minorHAnsi" w:hAnsiTheme="minorHAnsi" w:cstheme="minorHAnsi"/>
          <w:color w:val="1F4E79" w:themeColor="accent1" w:themeShade="80"/>
          <w:sz w:val="24"/>
          <w:szCs w:val="24"/>
        </w:rPr>
        <w:t xml:space="preserve"> </w:t>
      </w:r>
    </w:p>
    <w:p w14:paraId="7C6A8973" w14:textId="77777777" w:rsidR="00C3276E" w:rsidRPr="00197E39" w:rsidRDefault="007C76C1" w:rsidP="00AA28D5">
      <w:pPr>
        <w:pStyle w:val="Default"/>
        <w:numPr>
          <w:ilvl w:val="0"/>
          <w:numId w:val="11"/>
        </w:numPr>
        <w:spacing w:before="120" w:after="120" w:line="276" w:lineRule="auto"/>
        <w:ind w:left="0"/>
        <w:jc w:val="both"/>
        <w:rPr>
          <w:rFonts w:asciiTheme="minorHAnsi" w:hAnsiTheme="minorHAnsi" w:cstheme="minorHAnsi"/>
          <w:color w:val="auto"/>
          <w:sz w:val="22"/>
          <w:szCs w:val="22"/>
        </w:rPr>
      </w:pPr>
      <w:r w:rsidRPr="00197E39">
        <w:rPr>
          <w:rFonts w:asciiTheme="minorHAnsi" w:hAnsiTheme="minorHAnsi" w:cstheme="minorHAnsi"/>
          <w:color w:val="auto"/>
          <w:sz w:val="22"/>
          <w:szCs w:val="22"/>
        </w:rPr>
        <w:t xml:space="preserve">Since the last review held in 2014, Georgia has undergone </w:t>
      </w:r>
      <w:r w:rsidR="00E841A7" w:rsidRPr="00197E39">
        <w:rPr>
          <w:rFonts w:asciiTheme="minorHAnsi" w:hAnsiTheme="minorHAnsi" w:cstheme="minorHAnsi"/>
          <w:color w:val="auto"/>
          <w:sz w:val="22"/>
          <w:szCs w:val="22"/>
        </w:rPr>
        <w:t>multiple</w:t>
      </w:r>
      <w:r w:rsidRPr="00197E39">
        <w:rPr>
          <w:rFonts w:asciiTheme="minorHAnsi" w:hAnsiTheme="minorHAnsi" w:cstheme="minorHAnsi"/>
          <w:color w:val="auto"/>
          <w:sz w:val="22"/>
          <w:szCs w:val="22"/>
        </w:rPr>
        <w:t xml:space="preserve"> significant </w:t>
      </w:r>
      <w:r w:rsidR="005B625F" w:rsidRPr="00197E39">
        <w:rPr>
          <w:rFonts w:asciiTheme="minorHAnsi" w:hAnsiTheme="minorHAnsi" w:cstheme="minorHAnsi"/>
          <w:color w:val="auto"/>
          <w:sz w:val="22"/>
          <w:szCs w:val="22"/>
        </w:rPr>
        <w:t>legal and institutional reforms tackling gender, violence and discrimination. More precisely,</w:t>
      </w:r>
      <w:r w:rsidR="00980486" w:rsidRPr="00197E39">
        <w:rPr>
          <w:rFonts w:asciiTheme="minorHAnsi" w:hAnsiTheme="minorHAnsi" w:cstheme="minorHAnsi"/>
          <w:color w:val="auto"/>
          <w:sz w:val="22"/>
          <w:szCs w:val="22"/>
        </w:rPr>
        <w:t xml:space="preserve"> sexual orientation, gender identity and gender expression (SOGIE) were incorporated as protected grounds in the Law on the Elimination of All Forms of Discrimination (2014); The Criminal Code amended to include </w:t>
      </w:r>
      <w:r w:rsidR="005B625F" w:rsidRPr="00197E39">
        <w:rPr>
          <w:rFonts w:asciiTheme="minorHAnsi" w:hAnsiTheme="minorHAnsi" w:cstheme="minorHAnsi"/>
          <w:color w:val="auto"/>
          <w:sz w:val="22"/>
          <w:szCs w:val="22"/>
        </w:rPr>
        <w:t xml:space="preserve"> </w:t>
      </w:r>
      <w:r w:rsidR="00980486" w:rsidRPr="00197E39">
        <w:rPr>
          <w:rFonts w:asciiTheme="minorHAnsi" w:hAnsiTheme="minorHAnsi" w:cstheme="minorHAnsi"/>
          <w:color w:val="auto"/>
          <w:sz w:val="22"/>
          <w:szCs w:val="22"/>
        </w:rPr>
        <w:t xml:space="preserve">violation of human equality on the basis, among other things, of SOGIE (2014); Hate crime cases based on SOGIE had shown up in the official data; </w:t>
      </w:r>
      <w:r w:rsidR="005B625F" w:rsidRPr="00197E39">
        <w:rPr>
          <w:rFonts w:asciiTheme="minorHAnsi" w:hAnsiTheme="minorHAnsi" w:cstheme="minorHAnsi"/>
          <w:color w:val="auto"/>
          <w:sz w:val="22"/>
          <w:szCs w:val="22"/>
        </w:rPr>
        <w:t xml:space="preserve">Council of Europe Convention on Preventing and Combating Violence against Women and Domestic Violence was ratified (2017) together with emending 30 normative acts to align domestic law </w:t>
      </w:r>
      <w:r w:rsidR="00980486" w:rsidRPr="00197E39">
        <w:rPr>
          <w:rFonts w:asciiTheme="minorHAnsi" w:hAnsiTheme="minorHAnsi" w:cstheme="minorHAnsi"/>
          <w:color w:val="auto"/>
          <w:sz w:val="22"/>
          <w:szCs w:val="22"/>
        </w:rPr>
        <w:t xml:space="preserve">respectively; </w:t>
      </w:r>
      <w:r w:rsidR="00F27A39" w:rsidRPr="00197E39">
        <w:rPr>
          <w:rFonts w:asciiTheme="minorHAnsi" w:hAnsiTheme="minorHAnsi" w:cstheme="minorHAnsi"/>
          <w:color w:val="auto"/>
          <w:sz w:val="22"/>
          <w:szCs w:val="22"/>
        </w:rPr>
        <w:t>etc.</w:t>
      </w:r>
    </w:p>
    <w:p w14:paraId="1E27F3CB" w14:textId="6717ED33" w:rsidR="00E841A7" w:rsidRPr="00197E39" w:rsidRDefault="00F27A39" w:rsidP="00AA28D5">
      <w:pPr>
        <w:pStyle w:val="Default"/>
        <w:numPr>
          <w:ilvl w:val="0"/>
          <w:numId w:val="11"/>
        </w:numPr>
        <w:spacing w:before="120" w:after="120" w:line="276" w:lineRule="auto"/>
        <w:ind w:left="0"/>
        <w:jc w:val="both"/>
        <w:rPr>
          <w:rFonts w:asciiTheme="minorHAnsi" w:hAnsiTheme="minorHAnsi" w:cstheme="minorHAnsi"/>
          <w:sz w:val="22"/>
          <w:szCs w:val="22"/>
        </w:rPr>
      </w:pPr>
      <w:r w:rsidRPr="00197E39">
        <w:rPr>
          <w:rFonts w:asciiTheme="minorHAnsi" w:hAnsiTheme="minorHAnsi" w:cstheme="minorHAnsi"/>
          <w:color w:val="auto"/>
          <w:sz w:val="22"/>
          <w:szCs w:val="22"/>
        </w:rPr>
        <w:t xml:space="preserve">However, despite strengthened anti-discrimination standards in </w:t>
      </w:r>
      <w:r w:rsidR="00295D9B" w:rsidRPr="00197E39">
        <w:rPr>
          <w:rFonts w:asciiTheme="minorHAnsi" w:hAnsiTheme="minorHAnsi" w:cstheme="minorHAnsi"/>
          <w:color w:val="auto"/>
          <w:sz w:val="22"/>
          <w:szCs w:val="22"/>
        </w:rPr>
        <w:t>legislation</w:t>
      </w:r>
      <w:r w:rsidR="008C1F9E">
        <w:rPr>
          <w:rFonts w:asciiTheme="minorHAnsi" w:hAnsiTheme="minorHAnsi" w:cstheme="minorHAnsi"/>
          <w:color w:val="auto"/>
          <w:sz w:val="22"/>
          <w:szCs w:val="22"/>
        </w:rPr>
        <w:t xml:space="preserve">, </w:t>
      </w:r>
      <w:r w:rsidR="008C1F9E" w:rsidRPr="00197E39">
        <w:rPr>
          <w:rFonts w:asciiTheme="minorHAnsi" w:hAnsiTheme="minorHAnsi" w:cstheme="minorHAnsi"/>
          <w:color w:val="auto"/>
          <w:sz w:val="22"/>
          <w:szCs w:val="22"/>
        </w:rPr>
        <w:t>gaps</w:t>
      </w:r>
      <w:r w:rsidR="006F3627">
        <w:rPr>
          <w:rFonts w:asciiTheme="minorHAnsi" w:hAnsiTheme="minorHAnsi" w:cstheme="minorHAnsi"/>
          <w:color w:val="auto"/>
          <w:sz w:val="22"/>
          <w:szCs w:val="22"/>
        </w:rPr>
        <w:t xml:space="preserve"> and challenges</w:t>
      </w:r>
      <w:r w:rsidR="006F3627" w:rsidRPr="00197E39" w:rsidDel="006F3627">
        <w:rPr>
          <w:rFonts w:asciiTheme="minorHAnsi" w:hAnsiTheme="minorHAnsi" w:cstheme="minorHAnsi"/>
          <w:color w:val="auto"/>
          <w:sz w:val="22"/>
          <w:szCs w:val="22"/>
        </w:rPr>
        <w:t xml:space="preserve"> </w:t>
      </w:r>
      <w:r w:rsidR="00295D9B" w:rsidRPr="00197E39">
        <w:rPr>
          <w:rFonts w:asciiTheme="minorHAnsi" w:hAnsiTheme="minorHAnsi" w:cstheme="minorHAnsi"/>
          <w:color w:val="auto"/>
          <w:sz w:val="22"/>
          <w:szCs w:val="22"/>
        </w:rPr>
        <w:t>still remain</w:t>
      </w:r>
      <w:r w:rsidR="00D06AFB" w:rsidRPr="00197E39">
        <w:rPr>
          <w:rFonts w:asciiTheme="minorHAnsi" w:hAnsiTheme="minorHAnsi" w:cstheme="minorHAnsi"/>
          <w:color w:val="auto"/>
          <w:sz w:val="22"/>
          <w:szCs w:val="22"/>
        </w:rPr>
        <w:t xml:space="preserve"> </w:t>
      </w:r>
      <w:r w:rsidRPr="00197E39">
        <w:rPr>
          <w:rFonts w:asciiTheme="minorHAnsi" w:hAnsiTheme="minorHAnsi" w:cstheme="minorHAnsi"/>
          <w:color w:val="auto"/>
          <w:sz w:val="22"/>
          <w:szCs w:val="22"/>
        </w:rPr>
        <w:t>in practice</w:t>
      </w:r>
      <w:r w:rsidR="00295D9B" w:rsidRPr="00197E39">
        <w:rPr>
          <w:rFonts w:asciiTheme="minorHAnsi" w:hAnsiTheme="minorHAnsi" w:cstheme="minorHAnsi"/>
          <w:color w:val="auto"/>
          <w:sz w:val="22"/>
          <w:szCs w:val="22"/>
        </w:rPr>
        <w:t>, major issues in terms of implementation</w:t>
      </w:r>
      <w:r w:rsidRPr="00197E39">
        <w:rPr>
          <w:rFonts w:asciiTheme="minorHAnsi" w:hAnsiTheme="minorHAnsi" w:cstheme="minorHAnsi"/>
          <w:color w:val="auto"/>
          <w:sz w:val="22"/>
          <w:szCs w:val="22"/>
        </w:rPr>
        <w:t xml:space="preserve"> and h</w:t>
      </w:r>
      <w:r w:rsidR="00C3276E" w:rsidRPr="00197E39">
        <w:rPr>
          <w:rFonts w:asciiTheme="minorHAnsi" w:hAnsiTheme="minorHAnsi" w:cstheme="minorHAnsi"/>
          <w:color w:val="auto"/>
          <w:sz w:val="22"/>
          <w:szCs w:val="22"/>
        </w:rPr>
        <w:t>oles in policies that impede to</w:t>
      </w:r>
      <w:r w:rsidRPr="00197E39">
        <w:rPr>
          <w:rFonts w:asciiTheme="minorHAnsi" w:hAnsiTheme="minorHAnsi" w:cstheme="minorHAnsi"/>
          <w:color w:val="auto"/>
          <w:sz w:val="22"/>
          <w:szCs w:val="22"/>
        </w:rPr>
        <w:t xml:space="preserve"> guarantee equality and non-discrimination of women based on SOGIE.</w:t>
      </w:r>
      <w:r w:rsidR="00295D9B" w:rsidRPr="00197E39">
        <w:rPr>
          <w:rFonts w:asciiTheme="minorHAnsi" w:hAnsiTheme="minorHAnsi" w:cstheme="minorHAnsi"/>
          <w:color w:val="auto"/>
          <w:sz w:val="22"/>
          <w:szCs w:val="22"/>
        </w:rPr>
        <w:t xml:space="preserve"> </w:t>
      </w:r>
      <w:r w:rsidR="00D06AFB" w:rsidRPr="00197E39">
        <w:rPr>
          <w:rFonts w:asciiTheme="minorHAnsi" w:hAnsiTheme="minorHAnsi" w:cstheme="minorHAnsi"/>
          <w:sz w:val="22"/>
          <w:szCs w:val="22"/>
        </w:rPr>
        <w:t xml:space="preserve">As a result </w:t>
      </w:r>
      <w:r w:rsidR="003F1F22" w:rsidRPr="003F1F22">
        <w:rPr>
          <w:rFonts w:asciiTheme="minorHAnsi" w:hAnsiTheme="minorHAnsi" w:cstheme="minorHAnsi"/>
          <w:sz w:val="22"/>
          <w:szCs w:val="22"/>
        </w:rPr>
        <w:t>LBT</w:t>
      </w:r>
      <w:r w:rsidR="00D06AFB" w:rsidRPr="003F1F22">
        <w:rPr>
          <w:rFonts w:asciiTheme="minorHAnsi" w:hAnsiTheme="minorHAnsi" w:cstheme="minorHAnsi"/>
          <w:sz w:val="22"/>
          <w:szCs w:val="22"/>
        </w:rPr>
        <w:t>I</w:t>
      </w:r>
      <w:r w:rsidR="00D06AFB" w:rsidRPr="00197E39">
        <w:rPr>
          <w:rFonts w:asciiTheme="minorHAnsi" w:hAnsiTheme="minorHAnsi" w:cstheme="minorHAnsi"/>
          <w:sz w:val="22"/>
          <w:szCs w:val="22"/>
        </w:rPr>
        <w:t xml:space="preserve"> women are subjects of double discrimination, based on their sex, as well as their </w:t>
      </w:r>
      <w:r w:rsidR="00416D2C" w:rsidRPr="00197E39">
        <w:rPr>
          <w:rFonts w:asciiTheme="minorHAnsi" w:hAnsiTheme="minorHAnsi" w:cstheme="minorHAnsi"/>
          <w:sz w:val="22"/>
          <w:szCs w:val="22"/>
        </w:rPr>
        <w:t xml:space="preserve">SOGIE, </w:t>
      </w:r>
      <w:r w:rsidR="00E548A7" w:rsidRPr="00197E39">
        <w:rPr>
          <w:rFonts w:asciiTheme="minorHAnsi" w:hAnsiTheme="minorHAnsi" w:cstheme="minorHAnsi"/>
          <w:sz w:val="22"/>
          <w:szCs w:val="22"/>
        </w:rPr>
        <w:t>which are due to the stigma and prevailing stereotypes rooted against them in the society. Such a background is nurtured by the state’s neglect of the specific needs of the group, which makes members of the LBTI group vulnerable to violence and discrimination.</w:t>
      </w:r>
      <w:r w:rsidR="009F4EF3" w:rsidRPr="00197E39">
        <w:rPr>
          <w:rFonts w:asciiTheme="minorHAnsi" w:hAnsiTheme="minorHAnsi" w:cstheme="minorHAnsi"/>
          <w:sz w:val="22"/>
          <w:szCs w:val="22"/>
        </w:rPr>
        <w:t xml:space="preserve"> </w:t>
      </w:r>
    </w:p>
    <w:p w14:paraId="7DC085B0" w14:textId="32316548" w:rsidR="006913A4" w:rsidRPr="00AA28D5" w:rsidRDefault="00E548A7" w:rsidP="00AA28D5">
      <w:pPr>
        <w:pStyle w:val="ListParagraph"/>
        <w:numPr>
          <w:ilvl w:val="0"/>
          <w:numId w:val="11"/>
        </w:numPr>
        <w:spacing w:before="120" w:after="120" w:line="276" w:lineRule="auto"/>
        <w:ind w:left="0"/>
        <w:jc w:val="both"/>
        <w:rPr>
          <w:rFonts w:cstheme="minorHAnsi"/>
        </w:rPr>
      </w:pPr>
      <w:r w:rsidRPr="00AA28D5">
        <w:rPr>
          <w:rFonts w:cstheme="minorHAnsi"/>
        </w:rPr>
        <w:t xml:space="preserve">Such an environmental context is </w:t>
      </w:r>
      <w:r w:rsidR="00416D2C" w:rsidRPr="00AA28D5">
        <w:rPr>
          <w:rFonts w:cstheme="minorHAnsi"/>
        </w:rPr>
        <w:t>alarming</w:t>
      </w:r>
      <w:r w:rsidRPr="00AA28D5">
        <w:rPr>
          <w:rFonts w:cstheme="minorHAnsi"/>
        </w:rPr>
        <w:t xml:space="preserve"> </w:t>
      </w:r>
      <w:r w:rsidR="00416D2C" w:rsidRPr="00AA28D5">
        <w:rPr>
          <w:rFonts w:cstheme="minorHAnsi"/>
        </w:rPr>
        <w:t>for the</w:t>
      </w:r>
      <w:r w:rsidRPr="00AA28D5">
        <w:rPr>
          <w:rFonts w:cstheme="minorHAnsi"/>
        </w:rPr>
        <w:t xml:space="preserve"> UN Independent Expert on protection against violence and discrimination based on sexual orientation and gender identity</w:t>
      </w:r>
      <w:r w:rsidR="00416D2C" w:rsidRPr="00AA28D5">
        <w:rPr>
          <w:rFonts w:cstheme="minorHAnsi"/>
        </w:rPr>
        <w:t xml:space="preserve"> (IE), the report </w:t>
      </w:r>
      <w:r w:rsidR="006F3627">
        <w:rPr>
          <w:rFonts w:cstheme="minorHAnsi"/>
        </w:rPr>
        <w:t>stating</w:t>
      </w:r>
      <w:r w:rsidR="006F3627" w:rsidRPr="00AA28D5">
        <w:rPr>
          <w:rFonts w:cstheme="minorHAnsi"/>
        </w:rPr>
        <w:t xml:space="preserve"> </w:t>
      </w:r>
      <w:r w:rsidRPr="00AA28D5">
        <w:rPr>
          <w:rFonts w:cstheme="minorHAnsi"/>
        </w:rPr>
        <w:t>“beatings are commonplace, harassment and bullying constant, and exclusion from education, work and health settings appear be the norm”.</w:t>
      </w:r>
      <w:r w:rsidRPr="00197E39">
        <w:rPr>
          <w:vertAlign w:val="superscript"/>
        </w:rPr>
        <w:footnoteReference w:id="1"/>
      </w:r>
      <w:r w:rsidRPr="00AA28D5">
        <w:rPr>
          <w:rFonts w:cstheme="minorHAnsi"/>
        </w:rPr>
        <w:t xml:space="preserve"> </w:t>
      </w:r>
      <w:r w:rsidR="00416D2C" w:rsidRPr="00AA28D5">
        <w:rPr>
          <w:rFonts w:cstheme="minorHAnsi"/>
        </w:rPr>
        <w:t xml:space="preserve">The same report </w:t>
      </w:r>
      <w:r w:rsidRPr="00AA28D5">
        <w:rPr>
          <w:rFonts w:cstheme="minorHAnsi"/>
        </w:rPr>
        <w:t xml:space="preserve">analyzes the obstacles that </w:t>
      </w:r>
      <w:r w:rsidR="00E318F1">
        <w:rPr>
          <w:rFonts w:cstheme="minorHAnsi"/>
        </w:rPr>
        <w:t>t</w:t>
      </w:r>
      <w:r w:rsidR="00076F3B" w:rsidRPr="00AA28D5">
        <w:rPr>
          <w:rFonts w:cstheme="minorHAnsi"/>
        </w:rPr>
        <w:t>rans</w:t>
      </w:r>
      <w:r w:rsidRPr="00AA28D5">
        <w:rPr>
          <w:rFonts w:cstheme="minorHAnsi"/>
        </w:rPr>
        <w:t xml:space="preserve"> people face in the absence of a mechanism for </w:t>
      </w:r>
      <w:r w:rsidR="00416D2C" w:rsidRPr="00AA28D5">
        <w:rPr>
          <w:rFonts w:cstheme="minorHAnsi"/>
        </w:rPr>
        <w:t>legal gender recognition (LGR).</w:t>
      </w:r>
      <w:r w:rsidR="00416D2C" w:rsidRPr="00197E39">
        <w:rPr>
          <w:rStyle w:val="FootnoteReference"/>
          <w:rFonts w:cstheme="minorHAnsi"/>
        </w:rPr>
        <w:footnoteReference w:id="2"/>
      </w:r>
      <w:r w:rsidRPr="00AA28D5">
        <w:rPr>
          <w:rFonts w:cstheme="minorHAnsi"/>
        </w:rPr>
        <w:t xml:space="preserve"> </w:t>
      </w:r>
    </w:p>
    <w:p w14:paraId="5DD5B40F" w14:textId="2D1011F2" w:rsidR="00D06AFB" w:rsidRPr="00197E39" w:rsidRDefault="003A18C2" w:rsidP="00AA28D5">
      <w:pPr>
        <w:pStyle w:val="Default"/>
        <w:numPr>
          <w:ilvl w:val="0"/>
          <w:numId w:val="11"/>
        </w:numPr>
        <w:spacing w:before="120" w:after="120" w:line="276" w:lineRule="auto"/>
        <w:ind w:left="0"/>
        <w:jc w:val="both"/>
        <w:rPr>
          <w:rFonts w:asciiTheme="minorHAnsi" w:hAnsiTheme="minorHAnsi" w:cstheme="minorHAnsi"/>
          <w:sz w:val="22"/>
          <w:szCs w:val="22"/>
        </w:rPr>
      </w:pPr>
      <w:r w:rsidRPr="00197E39">
        <w:rPr>
          <w:rFonts w:asciiTheme="minorHAnsi" w:hAnsiTheme="minorHAnsi" w:cstheme="minorHAnsi"/>
          <w:sz w:val="22"/>
          <w:szCs w:val="22"/>
        </w:rPr>
        <w:t>Correspondingly</w:t>
      </w:r>
      <w:r w:rsidR="006913A4" w:rsidRPr="00197E39">
        <w:rPr>
          <w:rFonts w:asciiTheme="minorHAnsi" w:hAnsiTheme="minorHAnsi" w:cstheme="minorHAnsi"/>
          <w:sz w:val="22"/>
          <w:szCs w:val="22"/>
        </w:rPr>
        <w:t xml:space="preserve">, under the </w:t>
      </w:r>
      <w:r w:rsidR="00EF4C17" w:rsidRPr="00076F3B">
        <w:rPr>
          <w:rFonts w:asciiTheme="minorHAnsi" w:hAnsiTheme="minorHAnsi" w:cstheme="minorHAnsi"/>
          <w:b/>
          <w:sz w:val="22"/>
          <w:szCs w:val="22"/>
          <w:u w:val="single"/>
        </w:rPr>
        <w:t>c</w:t>
      </w:r>
      <w:r w:rsidR="006913A4" w:rsidRPr="00076F3B">
        <w:rPr>
          <w:rFonts w:asciiTheme="minorHAnsi" w:hAnsiTheme="minorHAnsi" w:cstheme="minorHAnsi"/>
          <w:b/>
          <w:sz w:val="22"/>
          <w:szCs w:val="22"/>
          <w:u w:val="single"/>
        </w:rPr>
        <w:t>oncluding observations</w:t>
      </w:r>
      <w:r w:rsidR="006913A4" w:rsidRPr="00197E39">
        <w:rPr>
          <w:rFonts w:asciiTheme="minorHAnsi" w:hAnsiTheme="minorHAnsi" w:cstheme="minorHAnsi"/>
          <w:sz w:val="22"/>
          <w:szCs w:val="22"/>
        </w:rPr>
        <w:t xml:space="preserve"> on the combined fourth and fifth periodic reports of Georgia</w:t>
      </w:r>
      <w:r w:rsidR="00EF4C17" w:rsidRPr="00197E39">
        <w:rPr>
          <w:rFonts w:asciiTheme="minorHAnsi" w:hAnsiTheme="minorHAnsi" w:cstheme="minorHAnsi"/>
          <w:sz w:val="22"/>
          <w:szCs w:val="22"/>
        </w:rPr>
        <w:t>, the Committee was concerned about the physical violence and harassment faced by lesbian, bisexual and transsexual women and restrictions on obtaining identity documents for transgender persons</w:t>
      </w:r>
      <w:r w:rsidR="0044354A" w:rsidRPr="00197E39">
        <w:rPr>
          <w:rFonts w:asciiTheme="minorHAnsi" w:hAnsiTheme="minorHAnsi" w:cstheme="minorHAnsi"/>
          <w:sz w:val="22"/>
          <w:szCs w:val="22"/>
        </w:rPr>
        <w:t>.</w:t>
      </w:r>
      <w:r w:rsidR="0044354A" w:rsidRPr="00197E39">
        <w:rPr>
          <w:rStyle w:val="FootnoteReference"/>
          <w:rFonts w:asciiTheme="minorHAnsi" w:hAnsiTheme="minorHAnsi" w:cstheme="minorHAnsi"/>
          <w:sz w:val="22"/>
          <w:szCs w:val="22"/>
        </w:rPr>
        <w:footnoteReference w:id="3"/>
      </w:r>
      <w:r w:rsidR="0044354A" w:rsidRPr="00197E39">
        <w:rPr>
          <w:rFonts w:asciiTheme="minorHAnsi" w:hAnsiTheme="minorHAnsi" w:cstheme="minorHAnsi"/>
          <w:sz w:val="22"/>
          <w:szCs w:val="22"/>
        </w:rPr>
        <w:t xml:space="preserve"> Requesting for the measures to eradicate those challenges the Committee was responded only in terms of hate crimes: </w:t>
      </w:r>
      <w:r w:rsidR="0044354A" w:rsidRPr="00076F3B">
        <w:rPr>
          <w:rFonts w:asciiTheme="minorHAnsi" w:hAnsiTheme="minorHAnsi" w:cstheme="minorHAnsi"/>
          <w:b/>
          <w:sz w:val="22"/>
          <w:szCs w:val="22"/>
          <w:u w:val="single"/>
        </w:rPr>
        <w:t>Under the sixth periodic report submitted by Georgia</w:t>
      </w:r>
      <w:r w:rsidR="0044354A" w:rsidRPr="00197E39">
        <w:rPr>
          <w:rFonts w:asciiTheme="minorHAnsi" w:hAnsiTheme="minorHAnsi" w:cstheme="minorHAnsi"/>
          <w:sz w:val="22"/>
          <w:szCs w:val="22"/>
        </w:rPr>
        <w:t xml:space="preserve"> in 2020 the number of issues advocated by the CSOs on the rights of LBTI women has been omitted, together with the Committee’s recommendation </w:t>
      </w:r>
      <w:r w:rsidR="006F3627">
        <w:rPr>
          <w:rFonts w:asciiTheme="minorHAnsi" w:hAnsiTheme="minorHAnsi" w:cstheme="minorHAnsi"/>
          <w:sz w:val="22"/>
          <w:szCs w:val="22"/>
        </w:rPr>
        <w:t>regarding</w:t>
      </w:r>
      <w:r w:rsidR="00E318F1">
        <w:rPr>
          <w:rFonts w:asciiTheme="minorHAnsi" w:hAnsiTheme="minorHAnsi" w:cstheme="minorHAnsi"/>
          <w:sz w:val="22"/>
          <w:szCs w:val="22"/>
        </w:rPr>
        <w:t xml:space="preserve"> t</w:t>
      </w:r>
      <w:r w:rsidR="0044354A" w:rsidRPr="00197E39">
        <w:rPr>
          <w:rFonts w:asciiTheme="minorHAnsi" w:hAnsiTheme="minorHAnsi" w:cstheme="minorHAnsi"/>
          <w:sz w:val="22"/>
          <w:szCs w:val="22"/>
        </w:rPr>
        <w:t>rans persons. Hence, the only issue in terms of</w:t>
      </w:r>
      <w:r w:rsidR="00543E2E">
        <w:rPr>
          <w:rFonts w:asciiTheme="minorHAnsi" w:hAnsiTheme="minorHAnsi" w:cstheme="minorHAnsi"/>
          <w:sz w:val="22"/>
          <w:szCs w:val="22"/>
        </w:rPr>
        <w:t xml:space="preserve"> SOGIE</w:t>
      </w:r>
      <w:r w:rsidR="0044354A" w:rsidRPr="00197E39">
        <w:rPr>
          <w:rFonts w:asciiTheme="minorHAnsi" w:hAnsiTheme="minorHAnsi" w:cstheme="minorHAnsi"/>
          <w:sz w:val="22"/>
          <w:szCs w:val="22"/>
        </w:rPr>
        <w:t xml:space="preserve"> </w:t>
      </w:r>
      <w:r w:rsidR="006F3627">
        <w:rPr>
          <w:rFonts w:asciiTheme="minorHAnsi" w:hAnsiTheme="minorHAnsi" w:cstheme="minorHAnsi"/>
          <w:sz w:val="22"/>
          <w:szCs w:val="22"/>
        </w:rPr>
        <w:t>reflected in</w:t>
      </w:r>
      <w:r w:rsidR="0044354A" w:rsidRPr="00197E39">
        <w:rPr>
          <w:rFonts w:asciiTheme="minorHAnsi" w:hAnsiTheme="minorHAnsi" w:cstheme="minorHAnsi"/>
          <w:sz w:val="22"/>
          <w:szCs w:val="22"/>
        </w:rPr>
        <w:t xml:space="preserve"> the national report</w:t>
      </w:r>
      <w:r w:rsidR="006F3627">
        <w:rPr>
          <w:rFonts w:asciiTheme="minorHAnsi" w:hAnsiTheme="minorHAnsi" w:cstheme="minorHAnsi"/>
          <w:sz w:val="22"/>
          <w:szCs w:val="22"/>
        </w:rPr>
        <w:t xml:space="preserve"> are the </w:t>
      </w:r>
      <w:r w:rsidR="006F3627" w:rsidRPr="00197E39">
        <w:rPr>
          <w:rFonts w:asciiTheme="minorHAnsi" w:hAnsiTheme="minorHAnsi" w:cstheme="minorHAnsi"/>
          <w:sz w:val="22"/>
          <w:szCs w:val="22"/>
        </w:rPr>
        <w:t>hate crimes</w:t>
      </w:r>
      <w:r w:rsidR="00F327EC" w:rsidRPr="00197E39">
        <w:rPr>
          <w:rFonts w:asciiTheme="minorHAnsi" w:hAnsiTheme="minorHAnsi" w:cstheme="minorHAnsi"/>
          <w:sz w:val="22"/>
          <w:szCs w:val="22"/>
        </w:rPr>
        <w:t>. In general</w:t>
      </w:r>
      <w:r w:rsidRPr="00197E39">
        <w:rPr>
          <w:rFonts w:asciiTheme="minorHAnsi" w:hAnsiTheme="minorHAnsi" w:cstheme="minorHAnsi"/>
          <w:sz w:val="22"/>
          <w:szCs w:val="22"/>
        </w:rPr>
        <w:t>,</w:t>
      </w:r>
      <w:r w:rsidR="00F327EC" w:rsidRPr="00197E39">
        <w:rPr>
          <w:rFonts w:asciiTheme="minorHAnsi" w:hAnsiTheme="minorHAnsi" w:cstheme="minorHAnsi"/>
          <w:sz w:val="22"/>
          <w:szCs w:val="22"/>
        </w:rPr>
        <w:t xml:space="preserve"> the report duplicates the state policy that is set on heteronormative bases and </w:t>
      </w:r>
      <w:r w:rsidR="006F3627">
        <w:rPr>
          <w:rFonts w:asciiTheme="minorHAnsi" w:hAnsiTheme="minorHAnsi" w:cstheme="minorHAnsi"/>
          <w:sz w:val="22"/>
          <w:szCs w:val="22"/>
        </w:rPr>
        <w:t xml:space="preserve">fails </w:t>
      </w:r>
      <w:r w:rsidR="00667E31">
        <w:rPr>
          <w:rFonts w:asciiTheme="minorHAnsi" w:hAnsiTheme="minorHAnsi" w:cstheme="minorHAnsi"/>
          <w:sz w:val="22"/>
          <w:szCs w:val="22"/>
        </w:rPr>
        <w:t xml:space="preserve">to </w:t>
      </w:r>
      <w:r w:rsidR="006F3627">
        <w:rPr>
          <w:rFonts w:asciiTheme="minorHAnsi" w:hAnsiTheme="minorHAnsi" w:cstheme="minorHAnsi"/>
          <w:sz w:val="22"/>
          <w:szCs w:val="22"/>
        </w:rPr>
        <w:t xml:space="preserve">acknowledge </w:t>
      </w:r>
      <w:r w:rsidR="00667E31">
        <w:rPr>
          <w:rFonts w:asciiTheme="minorHAnsi" w:hAnsiTheme="minorHAnsi" w:cstheme="minorHAnsi"/>
          <w:sz w:val="22"/>
          <w:szCs w:val="22"/>
        </w:rPr>
        <w:t>the needs of LB</w:t>
      </w:r>
      <w:r w:rsidR="00F327EC" w:rsidRPr="00197E39">
        <w:rPr>
          <w:rFonts w:asciiTheme="minorHAnsi" w:hAnsiTheme="minorHAnsi" w:cstheme="minorHAnsi"/>
          <w:sz w:val="22"/>
          <w:szCs w:val="22"/>
        </w:rPr>
        <w:t xml:space="preserve">I and Trans persons (analyzed below). </w:t>
      </w:r>
    </w:p>
    <w:p w14:paraId="6A699EDB" w14:textId="7ED15CE1" w:rsidR="00CE75D6" w:rsidRPr="00197E39" w:rsidRDefault="00F327EC" w:rsidP="00AA28D5">
      <w:pPr>
        <w:pStyle w:val="Default"/>
        <w:numPr>
          <w:ilvl w:val="0"/>
          <w:numId w:val="11"/>
        </w:numPr>
        <w:spacing w:before="120" w:after="120" w:line="276" w:lineRule="auto"/>
        <w:ind w:left="0"/>
        <w:jc w:val="both"/>
        <w:rPr>
          <w:rFonts w:asciiTheme="minorHAnsi" w:hAnsiTheme="minorHAnsi" w:cstheme="minorHAnsi"/>
          <w:sz w:val="22"/>
          <w:szCs w:val="22"/>
        </w:rPr>
      </w:pPr>
      <w:r w:rsidRPr="00197E39">
        <w:rPr>
          <w:rFonts w:asciiTheme="minorHAnsi" w:hAnsiTheme="minorHAnsi" w:cstheme="minorHAnsi"/>
          <w:sz w:val="22"/>
          <w:szCs w:val="22"/>
        </w:rPr>
        <w:t xml:space="preserve">The illustration of state policies </w:t>
      </w:r>
      <w:r w:rsidR="003A18C2" w:rsidRPr="00197E39">
        <w:rPr>
          <w:rFonts w:asciiTheme="minorHAnsi" w:hAnsiTheme="minorHAnsi" w:cstheme="minorHAnsi"/>
          <w:sz w:val="22"/>
          <w:szCs w:val="22"/>
        </w:rPr>
        <w:t>is</w:t>
      </w:r>
      <w:r w:rsidRPr="00197E39">
        <w:rPr>
          <w:rFonts w:asciiTheme="minorHAnsi" w:hAnsiTheme="minorHAnsi" w:cstheme="minorHAnsi"/>
          <w:sz w:val="22"/>
          <w:szCs w:val="22"/>
        </w:rPr>
        <w:t xml:space="preserve"> National Human Rights Action Plan. The plan </w:t>
      </w:r>
      <w:r w:rsidR="006F3627">
        <w:rPr>
          <w:rFonts w:asciiTheme="minorHAnsi" w:hAnsiTheme="minorHAnsi" w:cstheme="minorHAnsi"/>
          <w:sz w:val="22"/>
          <w:szCs w:val="22"/>
        </w:rPr>
        <w:t xml:space="preserve">for </w:t>
      </w:r>
      <w:r w:rsidRPr="00197E39">
        <w:rPr>
          <w:rFonts w:asciiTheme="minorHAnsi" w:hAnsiTheme="minorHAnsi" w:cstheme="minorHAnsi"/>
          <w:sz w:val="22"/>
          <w:szCs w:val="22"/>
        </w:rPr>
        <w:t xml:space="preserve">2018-2020 </w:t>
      </w:r>
      <w:r w:rsidR="006F3627">
        <w:rPr>
          <w:rFonts w:asciiTheme="minorHAnsi" w:hAnsiTheme="minorHAnsi" w:cstheme="minorHAnsi"/>
          <w:sz w:val="22"/>
          <w:szCs w:val="22"/>
        </w:rPr>
        <w:t>had no</w:t>
      </w:r>
      <w:r w:rsidRPr="00197E39">
        <w:rPr>
          <w:rFonts w:asciiTheme="minorHAnsi" w:hAnsiTheme="minorHAnsi" w:cstheme="minorHAnsi"/>
          <w:sz w:val="22"/>
          <w:szCs w:val="22"/>
        </w:rPr>
        <w:t xml:space="preserve"> chapter on Gender Identity and Equality till February 2020.</w:t>
      </w:r>
      <w:r w:rsidR="008759E0" w:rsidRPr="00197E39">
        <w:rPr>
          <w:rFonts w:asciiTheme="minorHAnsi" w:hAnsiTheme="minorHAnsi" w:cstheme="minorHAnsi"/>
          <w:sz w:val="22"/>
          <w:szCs w:val="22"/>
        </w:rPr>
        <w:t xml:space="preserve"> It's worth noting that a number of issues advocated by civil society, </w:t>
      </w:r>
      <w:r w:rsidR="008759E0" w:rsidRPr="008C1F9E">
        <w:rPr>
          <w:rFonts w:asciiTheme="minorHAnsi" w:hAnsiTheme="minorHAnsi" w:cstheme="minorHAnsi"/>
          <w:i/>
          <w:sz w:val="22"/>
          <w:szCs w:val="22"/>
        </w:rPr>
        <w:t xml:space="preserve">inter alia </w:t>
      </w:r>
      <w:r w:rsidR="00CE75D6" w:rsidRPr="00197E39">
        <w:rPr>
          <w:rFonts w:asciiTheme="minorHAnsi" w:hAnsiTheme="minorHAnsi" w:cstheme="minorHAnsi"/>
          <w:sz w:val="22"/>
          <w:szCs w:val="22"/>
        </w:rPr>
        <w:t>LGR</w:t>
      </w:r>
      <w:r w:rsidR="008759E0" w:rsidRPr="00197E39">
        <w:rPr>
          <w:rFonts w:asciiTheme="minorHAnsi" w:hAnsiTheme="minorHAnsi" w:cstheme="minorHAnsi"/>
          <w:sz w:val="22"/>
          <w:szCs w:val="22"/>
        </w:rPr>
        <w:t xml:space="preserve">, </w:t>
      </w:r>
      <w:r w:rsidR="006F3627">
        <w:rPr>
          <w:rFonts w:asciiTheme="minorHAnsi" w:hAnsiTheme="minorHAnsi" w:cstheme="minorHAnsi"/>
          <w:sz w:val="22"/>
          <w:szCs w:val="22"/>
        </w:rPr>
        <w:t>were</w:t>
      </w:r>
      <w:r w:rsidR="006F3627" w:rsidRPr="00197E39">
        <w:rPr>
          <w:rFonts w:asciiTheme="minorHAnsi" w:hAnsiTheme="minorHAnsi" w:cstheme="minorHAnsi"/>
          <w:sz w:val="22"/>
          <w:szCs w:val="22"/>
        </w:rPr>
        <w:t xml:space="preserve"> </w:t>
      </w:r>
      <w:r w:rsidR="008759E0" w:rsidRPr="00197E39">
        <w:rPr>
          <w:rFonts w:asciiTheme="minorHAnsi" w:hAnsiTheme="minorHAnsi" w:cstheme="minorHAnsi"/>
          <w:sz w:val="22"/>
          <w:szCs w:val="22"/>
        </w:rPr>
        <w:t xml:space="preserve">still not covered. Given the unstable political situation and the pandemic, the chapter had no progress in terms of implementation. </w:t>
      </w:r>
    </w:p>
    <w:p w14:paraId="7100179D" w14:textId="7249A5BB" w:rsidR="00636E8D" w:rsidRPr="00197E39" w:rsidRDefault="008759E0" w:rsidP="00AA28D5">
      <w:pPr>
        <w:pStyle w:val="Default"/>
        <w:numPr>
          <w:ilvl w:val="0"/>
          <w:numId w:val="11"/>
        </w:numPr>
        <w:spacing w:before="120" w:after="120" w:line="276" w:lineRule="auto"/>
        <w:ind w:left="0"/>
        <w:jc w:val="both"/>
        <w:rPr>
          <w:rFonts w:asciiTheme="minorHAnsi" w:hAnsiTheme="minorHAnsi" w:cstheme="minorHAnsi"/>
          <w:sz w:val="22"/>
          <w:szCs w:val="22"/>
        </w:rPr>
      </w:pPr>
      <w:r w:rsidRPr="00197E39">
        <w:rPr>
          <w:rFonts w:asciiTheme="minorHAnsi" w:hAnsiTheme="minorHAnsi" w:cstheme="minorHAnsi"/>
          <w:sz w:val="22"/>
          <w:szCs w:val="22"/>
        </w:rPr>
        <w:t>Thus, the state policy sti</w:t>
      </w:r>
      <w:r w:rsidR="003A18C2" w:rsidRPr="00197E39">
        <w:rPr>
          <w:rFonts w:asciiTheme="minorHAnsi" w:hAnsiTheme="minorHAnsi" w:cstheme="minorHAnsi"/>
          <w:sz w:val="22"/>
          <w:szCs w:val="22"/>
        </w:rPr>
        <w:t>ll fails to recognize homo</w:t>
      </w:r>
      <w:r w:rsidRPr="00197E39">
        <w:rPr>
          <w:rFonts w:asciiTheme="minorHAnsi" w:hAnsiTheme="minorHAnsi" w:cstheme="minorHAnsi"/>
          <w:sz w:val="22"/>
          <w:szCs w:val="22"/>
        </w:rPr>
        <w:t xml:space="preserve">/transphobia as </w:t>
      </w:r>
      <w:r w:rsidR="00F3491F">
        <w:rPr>
          <w:rFonts w:asciiTheme="minorHAnsi" w:hAnsiTheme="minorHAnsi" w:cstheme="minorHAnsi"/>
          <w:sz w:val="22"/>
          <w:szCs w:val="22"/>
        </w:rPr>
        <w:t>a</w:t>
      </w:r>
      <w:r w:rsidR="00F3491F" w:rsidRPr="00197E39">
        <w:rPr>
          <w:rFonts w:asciiTheme="minorHAnsi" w:hAnsiTheme="minorHAnsi" w:cstheme="minorHAnsi"/>
          <w:sz w:val="22"/>
          <w:szCs w:val="22"/>
        </w:rPr>
        <w:t xml:space="preserve"> </w:t>
      </w:r>
      <w:r w:rsidRPr="00197E39">
        <w:rPr>
          <w:rFonts w:asciiTheme="minorHAnsi" w:hAnsiTheme="minorHAnsi" w:cstheme="minorHAnsi"/>
          <w:sz w:val="22"/>
          <w:szCs w:val="22"/>
        </w:rPr>
        <w:t xml:space="preserve">systematic and structural problem, hence presented </w:t>
      </w:r>
      <w:r w:rsidR="00F3491F">
        <w:rPr>
          <w:rFonts w:asciiTheme="minorHAnsi" w:hAnsiTheme="minorHAnsi" w:cstheme="minorHAnsi"/>
          <w:sz w:val="22"/>
          <w:szCs w:val="22"/>
        </w:rPr>
        <w:t xml:space="preserve">such incidents </w:t>
      </w:r>
      <w:r w:rsidRPr="00197E39">
        <w:rPr>
          <w:rFonts w:asciiTheme="minorHAnsi" w:hAnsiTheme="minorHAnsi" w:cstheme="minorHAnsi"/>
          <w:sz w:val="22"/>
          <w:szCs w:val="22"/>
        </w:rPr>
        <w:t xml:space="preserve">as </w:t>
      </w:r>
      <w:r w:rsidR="00F3491F">
        <w:rPr>
          <w:rFonts w:asciiTheme="minorHAnsi" w:hAnsiTheme="minorHAnsi" w:cstheme="minorHAnsi"/>
          <w:sz w:val="22"/>
          <w:szCs w:val="22"/>
        </w:rPr>
        <w:t>isolated</w:t>
      </w:r>
      <w:r w:rsidR="00F3491F" w:rsidRPr="00197E39">
        <w:rPr>
          <w:rFonts w:asciiTheme="minorHAnsi" w:hAnsiTheme="minorHAnsi" w:cstheme="minorHAnsi"/>
          <w:sz w:val="22"/>
          <w:szCs w:val="22"/>
        </w:rPr>
        <w:t xml:space="preserve"> </w:t>
      </w:r>
      <w:r w:rsidRPr="00197E39">
        <w:rPr>
          <w:rFonts w:asciiTheme="minorHAnsi" w:hAnsiTheme="minorHAnsi" w:cstheme="minorHAnsi"/>
          <w:sz w:val="22"/>
          <w:szCs w:val="22"/>
        </w:rPr>
        <w:t>case</w:t>
      </w:r>
      <w:r w:rsidR="00F3491F">
        <w:rPr>
          <w:rFonts w:asciiTheme="minorHAnsi" w:hAnsiTheme="minorHAnsi" w:cstheme="minorHAnsi"/>
          <w:sz w:val="22"/>
          <w:szCs w:val="22"/>
        </w:rPr>
        <w:t>s</w:t>
      </w:r>
      <w:r w:rsidRPr="00197E39">
        <w:rPr>
          <w:rFonts w:asciiTheme="minorHAnsi" w:hAnsiTheme="minorHAnsi" w:cstheme="minorHAnsi"/>
          <w:sz w:val="22"/>
          <w:szCs w:val="22"/>
        </w:rPr>
        <w:t xml:space="preserve"> and state strategy </w:t>
      </w:r>
      <w:r w:rsidR="00F3491F">
        <w:rPr>
          <w:rFonts w:asciiTheme="minorHAnsi" w:hAnsiTheme="minorHAnsi" w:cstheme="minorHAnsi"/>
          <w:sz w:val="22"/>
          <w:szCs w:val="22"/>
        </w:rPr>
        <w:t xml:space="preserve">continues to be a </w:t>
      </w:r>
      <w:r w:rsidRPr="00197E39">
        <w:rPr>
          <w:rFonts w:asciiTheme="minorHAnsi" w:hAnsiTheme="minorHAnsi" w:cstheme="minorHAnsi"/>
          <w:sz w:val="22"/>
          <w:szCs w:val="22"/>
        </w:rPr>
        <w:t xml:space="preserve">selective punitive response to homo/transphobic manifestations. Whereas gender equality, </w:t>
      </w:r>
      <w:r w:rsidR="00CE75D6" w:rsidRPr="00197E39">
        <w:rPr>
          <w:rFonts w:asciiTheme="minorHAnsi" w:hAnsiTheme="minorHAnsi" w:cstheme="minorHAnsi"/>
          <w:sz w:val="22"/>
          <w:szCs w:val="22"/>
        </w:rPr>
        <w:t>LGR</w:t>
      </w:r>
      <w:r w:rsidRPr="00197E39">
        <w:rPr>
          <w:rFonts w:asciiTheme="minorHAnsi" w:hAnsiTheme="minorHAnsi" w:cstheme="minorHAnsi"/>
          <w:sz w:val="22"/>
          <w:szCs w:val="22"/>
        </w:rPr>
        <w:t xml:space="preserve">, proactive initiatives to reduce homo/transphobia </w:t>
      </w:r>
      <w:r w:rsidR="00F3491F">
        <w:rPr>
          <w:rFonts w:asciiTheme="minorHAnsi" w:hAnsiTheme="minorHAnsi" w:cstheme="minorHAnsi"/>
          <w:sz w:val="22"/>
          <w:szCs w:val="22"/>
        </w:rPr>
        <w:t>such as</w:t>
      </w:r>
      <w:r w:rsidRPr="00197E39">
        <w:rPr>
          <w:rFonts w:asciiTheme="minorHAnsi" w:hAnsiTheme="minorHAnsi" w:cstheme="minorHAnsi"/>
          <w:sz w:val="22"/>
          <w:szCs w:val="22"/>
        </w:rPr>
        <w:t xml:space="preserve"> comprehensive educational and awareness raising campaigns, remain beyond the state strategies. </w:t>
      </w:r>
    </w:p>
    <w:p w14:paraId="2B96DCFE" w14:textId="5C16832C" w:rsidR="00CE75D6" w:rsidRPr="00AA28D5" w:rsidRDefault="00636E8D" w:rsidP="00AA28D5">
      <w:pPr>
        <w:pStyle w:val="ListParagraph"/>
        <w:numPr>
          <w:ilvl w:val="0"/>
          <w:numId w:val="11"/>
        </w:numPr>
        <w:spacing w:before="120" w:after="120" w:line="276" w:lineRule="auto"/>
        <w:ind w:left="0"/>
        <w:jc w:val="both"/>
        <w:rPr>
          <w:rFonts w:cstheme="minorHAnsi"/>
          <w:lang w:val="ka-GE"/>
        </w:rPr>
      </w:pPr>
      <w:r w:rsidRPr="00AA28D5">
        <w:rPr>
          <w:rFonts w:cstheme="minorHAnsi"/>
        </w:rPr>
        <w:t>All these systematic barriers ha</w:t>
      </w:r>
      <w:r w:rsidR="00F3491F">
        <w:rPr>
          <w:rFonts w:cstheme="minorHAnsi"/>
        </w:rPr>
        <w:t>ve</w:t>
      </w:r>
      <w:r w:rsidRPr="00AA28D5">
        <w:rPr>
          <w:rFonts w:cstheme="minorHAnsi"/>
        </w:rPr>
        <w:t xml:space="preserve"> once again </w:t>
      </w:r>
      <w:r w:rsidR="00F3491F">
        <w:rPr>
          <w:rFonts w:cstheme="minorHAnsi"/>
        </w:rPr>
        <w:t>surfaced</w:t>
      </w:r>
      <w:r w:rsidR="00F3491F" w:rsidRPr="00AA28D5">
        <w:rPr>
          <w:rFonts w:cstheme="minorHAnsi"/>
        </w:rPr>
        <w:t xml:space="preserve"> </w:t>
      </w:r>
      <w:r w:rsidRPr="00AA28D5">
        <w:rPr>
          <w:rFonts w:cstheme="minorHAnsi"/>
        </w:rPr>
        <w:t xml:space="preserve">in 2020 during the </w:t>
      </w:r>
      <w:r w:rsidRPr="00AA28D5">
        <w:rPr>
          <w:rFonts w:cstheme="minorHAnsi"/>
          <w:b/>
        </w:rPr>
        <w:t>Covid-19 pandemic</w:t>
      </w:r>
      <w:r w:rsidRPr="00AA28D5">
        <w:rPr>
          <w:rFonts w:cstheme="minorHAnsi"/>
        </w:rPr>
        <w:t xml:space="preserve">, - social and economic oppression </w:t>
      </w:r>
      <w:r w:rsidR="00543E2E">
        <w:rPr>
          <w:rFonts w:cstheme="minorHAnsi"/>
        </w:rPr>
        <w:t>heightened</w:t>
      </w:r>
      <w:r w:rsidR="00F3491F" w:rsidRPr="00AA28D5">
        <w:rPr>
          <w:rFonts w:cstheme="minorHAnsi"/>
        </w:rPr>
        <w:t xml:space="preserve"> </w:t>
      </w:r>
      <w:r w:rsidRPr="00AA28D5">
        <w:rPr>
          <w:rFonts w:cstheme="minorHAnsi"/>
        </w:rPr>
        <w:t>the risks of losing homes, being victimized by homo/bi/transphobic violence and discrimination, while the complex needs of the community have been overlooked by the anti-crisis plans. The support provided by the government with the participation of the international organizations was an act of one-off humanitarian assistance and cannot be perceived as an adequate response to either the general or the currently critical needs of the LGBTQI community.</w:t>
      </w:r>
    </w:p>
    <w:p w14:paraId="55A8D8F5" w14:textId="202B63C2" w:rsidR="00EF5A56" w:rsidRPr="00197E39" w:rsidRDefault="00295D9B" w:rsidP="00AA28D5">
      <w:pPr>
        <w:pStyle w:val="Normal1"/>
        <w:numPr>
          <w:ilvl w:val="0"/>
          <w:numId w:val="11"/>
        </w:numPr>
        <w:pBdr>
          <w:top w:val="nil"/>
          <w:left w:val="nil"/>
          <w:bottom w:val="nil"/>
          <w:right w:val="nil"/>
          <w:between w:val="nil"/>
        </w:pBdr>
        <w:spacing w:before="120" w:after="120"/>
        <w:ind w:left="0"/>
        <w:rPr>
          <w:rFonts w:asciiTheme="minorHAnsi" w:hAnsiTheme="minorHAnsi" w:cstheme="minorHAnsi"/>
          <w:color w:val="000000"/>
        </w:rPr>
      </w:pPr>
      <w:r w:rsidRPr="00197E39">
        <w:rPr>
          <w:rFonts w:asciiTheme="minorHAnsi" w:hAnsiTheme="minorHAnsi" w:cstheme="minorHAnsi"/>
          <w:color w:val="000000"/>
        </w:rPr>
        <w:t xml:space="preserve">The following </w:t>
      </w:r>
      <w:r w:rsidR="00F327EC" w:rsidRPr="00197E39">
        <w:rPr>
          <w:rFonts w:asciiTheme="minorHAnsi" w:hAnsiTheme="minorHAnsi" w:cstheme="minorHAnsi"/>
          <w:color w:val="000000"/>
        </w:rPr>
        <w:t>paragraphs</w:t>
      </w:r>
      <w:r w:rsidRPr="00197E39">
        <w:rPr>
          <w:rFonts w:asciiTheme="minorHAnsi" w:hAnsiTheme="minorHAnsi" w:cstheme="minorHAnsi"/>
          <w:color w:val="000000"/>
        </w:rPr>
        <w:t xml:space="preserve"> introduces </w:t>
      </w:r>
      <w:r w:rsidR="006913A4" w:rsidRPr="00197E39">
        <w:rPr>
          <w:rFonts w:asciiTheme="minorHAnsi" w:hAnsiTheme="minorHAnsi" w:cstheme="minorHAnsi"/>
          <w:color w:val="000000"/>
        </w:rPr>
        <w:t>listed</w:t>
      </w:r>
      <w:r w:rsidR="00EF5A56" w:rsidRPr="00197E39">
        <w:rPr>
          <w:rFonts w:asciiTheme="minorHAnsi" w:hAnsiTheme="minorHAnsi" w:cstheme="minorHAnsi"/>
          <w:color w:val="000000"/>
        </w:rPr>
        <w:t xml:space="preserve"> </w:t>
      </w:r>
      <w:r w:rsidRPr="00197E39">
        <w:rPr>
          <w:rFonts w:asciiTheme="minorHAnsi" w:hAnsiTheme="minorHAnsi" w:cstheme="minorHAnsi"/>
          <w:color w:val="000000"/>
        </w:rPr>
        <w:t>problems against LBT</w:t>
      </w:r>
      <w:r w:rsidR="00EF5A56" w:rsidRPr="00197E39">
        <w:rPr>
          <w:rFonts w:asciiTheme="minorHAnsi" w:hAnsiTheme="minorHAnsi" w:cstheme="minorHAnsi"/>
          <w:color w:val="000000"/>
        </w:rPr>
        <w:t xml:space="preserve">I women in line with relevant articles of the </w:t>
      </w:r>
      <w:r w:rsidR="003A18C2" w:rsidRPr="00197E39">
        <w:rPr>
          <w:rFonts w:asciiTheme="minorHAnsi" w:hAnsiTheme="minorHAnsi" w:cstheme="minorHAnsi"/>
          <w:color w:val="000000"/>
        </w:rPr>
        <w:t>Convention</w:t>
      </w:r>
      <w:r w:rsidR="002767A7" w:rsidRPr="00197E39">
        <w:rPr>
          <w:rFonts w:asciiTheme="minorHAnsi" w:hAnsiTheme="minorHAnsi" w:cstheme="minorHAnsi"/>
          <w:color w:val="000000"/>
        </w:rPr>
        <w:t xml:space="preserve"> (1-16)</w:t>
      </w:r>
      <w:r w:rsidR="007F4A94" w:rsidRPr="00197E39">
        <w:rPr>
          <w:rFonts w:asciiTheme="minorHAnsi" w:hAnsiTheme="minorHAnsi" w:cstheme="minorHAnsi"/>
          <w:color w:val="000000"/>
        </w:rPr>
        <w:t>, its General Recommendations</w:t>
      </w:r>
      <w:r w:rsidR="004F2360" w:rsidRPr="00197E39">
        <w:rPr>
          <w:rFonts w:asciiTheme="minorHAnsi" w:hAnsiTheme="minorHAnsi" w:cstheme="minorHAnsi"/>
          <w:color w:val="000000"/>
        </w:rPr>
        <w:t xml:space="preserve"> (GR)</w:t>
      </w:r>
      <w:r w:rsidR="007F4A94" w:rsidRPr="00197E39">
        <w:rPr>
          <w:rFonts w:asciiTheme="minorHAnsi" w:hAnsiTheme="minorHAnsi" w:cstheme="minorHAnsi"/>
          <w:color w:val="000000"/>
        </w:rPr>
        <w:t xml:space="preserve"> and Concluding Observations</w:t>
      </w:r>
      <w:r w:rsidR="00EF5A56" w:rsidRPr="00197E39">
        <w:rPr>
          <w:rFonts w:asciiTheme="minorHAnsi" w:hAnsiTheme="minorHAnsi" w:cstheme="minorHAnsi"/>
          <w:color w:val="000000"/>
        </w:rPr>
        <w:t xml:space="preserve">, providing Georgian government </w:t>
      </w:r>
      <w:r w:rsidR="00D06AFB" w:rsidRPr="00197E39">
        <w:rPr>
          <w:rFonts w:asciiTheme="minorHAnsi" w:hAnsiTheme="minorHAnsi" w:cstheme="minorHAnsi"/>
          <w:color w:val="000000"/>
        </w:rPr>
        <w:t xml:space="preserve">with the </w:t>
      </w:r>
      <w:r w:rsidR="00EF5A56" w:rsidRPr="00197E39">
        <w:rPr>
          <w:rFonts w:asciiTheme="minorHAnsi" w:hAnsiTheme="minorHAnsi" w:cstheme="minorHAnsi"/>
          <w:color w:val="000000"/>
        </w:rPr>
        <w:t xml:space="preserve">clear recommendations to solve highlighted issues. </w:t>
      </w:r>
    </w:p>
    <w:p w14:paraId="4998234B" w14:textId="77777777" w:rsidR="00C37C5D" w:rsidRPr="00197E39" w:rsidRDefault="00C37C5D" w:rsidP="00197E39">
      <w:pPr>
        <w:spacing w:before="120" w:after="120" w:line="276" w:lineRule="auto"/>
        <w:jc w:val="both"/>
        <w:rPr>
          <w:rFonts w:cstheme="minorHAnsi"/>
          <w:b/>
        </w:rPr>
      </w:pPr>
    </w:p>
    <w:p w14:paraId="6C8ECA7C" w14:textId="77777777" w:rsidR="00C37C5D" w:rsidRPr="00A24177" w:rsidRDefault="004F2360" w:rsidP="00AA240B">
      <w:pPr>
        <w:pStyle w:val="Heading1"/>
        <w:shd w:val="clear" w:color="auto" w:fill="DEEAF6" w:themeFill="accent1" w:themeFillTint="33"/>
        <w:spacing w:before="0" w:beforeAutospacing="0" w:after="60" w:afterAutospacing="0"/>
        <w:ind w:left="-360"/>
        <w:rPr>
          <w:rFonts w:asciiTheme="minorHAnsi" w:hAnsiTheme="minorHAnsi" w:cstheme="minorHAnsi"/>
          <w:color w:val="1F4E79" w:themeColor="accent1" w:themeShade="80"/>
          <w:sz w:val="24"/>
          <w:szCs w:val="24"/>
        </w:rPr>
      </w:pPr>
      <w:bookmarkStart w:id="4" w:name="_Toc72856169"/>
      <w:bookmarkStart w:id="5" w:name="_Toc73545919"/>
      <w:r w:rsidRPr="00A24177">
        <w:rPr>
          <w:rFonts w:asciiTheme="minorHAnsi" w:hAnsiTheme="minorHAnsi" w:cstheme="minorHAnsi"/>
          <w:color w:val="1F4E79" w:themeColor="accent1" w:themeShade="80"/>
          <w:sz w:val="24"/>
          <w:szCs w:val="24"/>
        </w:rPr>
        <w:t>II</w:t>
      </w:r>
      <w:r w:rsidR="007F4158" w:rsidRPr="00A24177">
        <w:rPr>
          <w:rFonts w:asciiTheme="minorHAnsi" w:hAnsiTheme="minorHAnsi" w:cstheme="minorHAnsi"/>
          <w:color w:val="1F4E79" w:themeColor="accent1" w:themeShade="80"/>
          <w:sz w:val="24"/>
          <w:szCs w:val="24"/>
        </w:rPr>
        <w:t xml:space="preserve">. </w:t>
      </w:r>
      <w:r w:rsidRPr="00A24177">
        <w:rPr>
          <w:rFonts w:asciiTheme="minorHAnsi" w:hAnsiTheme="minorHAnsi" w:cstheme="minorHAnsi"/>
          <w:color w:val="1F4E79" w:themeColor="accent1" w:themeShade="80"/>
          <w:sz w:val="24"/>
          <w:szCs w:val="24"/>
        </w:rPr>
        <w:tab/>
      </w:r>
      <w:r w:rsidR="00C37C5D" w:rsidRPr="00A24177">
        <w:rPr>
          <w:rFonts w:asciiTheme="minorHAnsi" w:hAnsiTheme="minorHAnsi" w:cstheme="minorHAnsi"/>
          <w:color w:val="1F4E79" w:themeColor="accent1" w:themeShade="80"/>
          <w:sz w:val="24"/>
          <w:szCs w:val="24"/>
        </w:rPr>
        <w:t>Violence against women on the grounds of SOGIE</w:t>
      </w:r>
      <w:bookmarkEnd w:id="4"/>
      <w:bookmarkEnd w:id="5"/>
    </w:p>
    <w:p w14:paraId="3CFAF9DF" w14:textId="77777777" w:rsidR="00AA240B" w:rsidRDefault="00C37C5D" w:rsidP="00AA240B">
      <w:pPr>
        <w:spacing w:before="60" w:after="240" w:line="276" w:lineRule="auto"/>
        <w:jc w:val="both"/>
        <w:rPr>
          <w:rFonts w:cstheme="minorHAnsi"/>
          <w:i/>
          <w:color w:val="2E74B5" w:themeColor="accent1" w:themeShade="BF"/>
        </w:rPr>
      </w:pPr>
      <w:r w:rsidRPr="00A24177">
        <w:rPr>
          <w:rFonts w:cstheme="minorHAnsi"/>
          <w:i/>
          <w:color w:val="2E74B5" w:themeColor="accent1" w:themeShade="BF"/>
        </w:rPr>
        <w:t>CEDAW</w:t>
      </w:r>
      <w:r w:rsidR="004F2360" w:rsidRPr="00A24177">
        <w:rPr>
          <w:rFonts w:cstheme="minorHAnsi"/>
          <w:i/>
          <w:color w:val="2E74B5" w:themeColor="accent1" w:themeShade="BF"/>
        </w:rPr>
        <w:t>:</w:t>
      </w:r>
      <w:r w:rsidRPr="00A24177">
        <w:rPr>
          <w:rFonts w:cstheme="minorHAnsi"/>
          <w:i/>
          <w:color w:val="2E74B5" w:themeColor="accent1" w:themeShade="BF"/>
        </w:rPr>
        <w:t xml:space="preserve"> art. 1</w:t>
      </w:r>
      <w:r w:rsidR="00501BB2" w:rsidRPr="00A24177">
        <w:rPr>
          <w:rFonts w:cstheme="minorHAnsi"/>
          <w:i/>
          <w:color w:val="2E74B5" w:themeColor="accent1" w:themeShade="BF"/>
        </w:rPr>
        <w:t>-</w:t>
      </w:r>
      <w:r w:rsidRPr="00A24177">
        <w:rPr>
          <w:rFonts w:cstheme="minorHAnsi"/>
          <w:i/>
          <w:color w:val="2E74B5" w:themeColor="accent1" w:themeShade="BF"/>
        </w:rPr>
        <w:t xml:space="preserve">3,6. </w:t>
      </w:r>
      <w:r w:rsidR="004F2360" w:rsidRPr="00A24177">
        <w:rPr>
          <w:rFonts w:cstheme="minorHAnsi"/>
          <w:i/>
          <w:color w:val="2E74B5" w:themeColor="accent1" w:themeShade="BF"/>
        </w:rPr>
        <w:t>General Recommendations:</w:t>
      </w:r>
      <w:r w:rsidRPr="00A24177">
        <w:rPr>
          <w:rFonts w:cstheme="minorHAnsi"/>
          <w:i/>
          <w:color w:val="2E74B5" w:themeColor="accent1" w:themeShade="BF"/>
        </w:rPr>
        <w:t xml:space="preserve"> </w:t>
      </w:r>
      <w:r w:rsidR="00921ADF" w:rsidRPr="00A24177">
        <w:rPr>
          <w:rFonts w:cstheme="minorHAnsi"/>
          <w:i/>
          <w:color w:val="2E74B5" w:themeColor="accent1" w:themeShade="BF"/>
        </w:rPr>
        <w:t>N</w:t>
      </w:r>
      <w:r w:rsidRPr="00A24177">
        <w:rPr>
          <w:rFonts w:cstheme="minorHAnsi"/>
          <w:i/>
          <w:color w:val="2E74B5" w:themeColor="accent1" w:themeShade="BF"/>
        </w:rPr>
        <w:t>19, 35.</w:t>
      </w:r>
      <w:r w:rsidR="00501BB2" w:rsidRPr="00A24177">
        <w:rPr>
          <w:rFonts w:cstheme="minorHAnsi"/>
          <w:i/>
          <w:color w:val="2E74B5" w:themeColor="accent1" w:themeShade="BF"/>
        </w:rPr>
        <w:t xml:space="preserve"> Concluding observations 34(e).</w:t>
      </w:r>
      <w:r w:rsidR="00197E39" w:rsidRPr="00A24177">
        <w:rPr>
          <w:rFonts w:cstheme="minorHAnsi"/>
          <w:i/>
          <w:color w:val="2E74B5" w:themeColor="accent1" w:themeShade="BF"/>
        </w:rPr>
        <w:t xml:space="preserve"> </w:t>
      </w:r>
    </w:p>
    <w:p w14:paraId="0350BF8D" w14:textId="7032C712" w:rsidR="00501BB2" w:rsidRPr="00AA240B" w:rsidRDefault="00501BB2" w:rsidP="008730A8">
      <w:pPr>
        <w:pStyle w:val="ListParagraph"/>
        <w:numPr>
          <w:ilvl w:val="0"/>
          <w:numId w:val="11"/>
        </w:numPr>
        <w:spacing w:before="120" w:after="120" w:line="276" w:lineRule="auto"/>
        <w:ind w:left="0"/>
        <w:jc w:val="both"/>
        <w:rPr>
          <w:rFonts w:cstheme="minorHAnsi"/>
        </w:rPr>
      </w:pPr>
      <w:r w:rsidRPr="00AA240B">
        <w:rPr>
          <w:rFonts w:cstheme="minorHAnsi"/>
        </w:rPr>
        <w:t xml:space="preserve">Under the </w:t>
      </w:r>
      <w:r w:rsidR="004F2360" w:rsidRPr="00AA240B">
        <w:rPr>
          <w:rFonts w:cstheme="minorHAnsi"/>
        </w:rPr>
        <w:t>recommendation</w:t>
      </w:r>
      <w:r w:rsidRPr="00AA240B">
        <w:rPr>
          <w:rFonts w:cstheme="minorHAnsi"/>
        </w:rPr>
        <w:t xml:space="preserve"> </w:t>
      </w:r>
      <w:r w:rsidR="00921ADF" w:rsidRPr="00AA240B">
        <w:rPr>
          <w:rFonts w:cstheme="minorHAnsi"/>
        </w:rPr>
        <w:t>N</w:t>
      </w:r>
      <w:r w:rsidRPr="00AA240B">
        <w:rPr>
          <w:rFonts w:cstheme="minorHAnsi"/>
        </w:rPr>
        <w:t xml:space="preserve">12 the Committee asked for states to include information on </w:t>
      </w:r>
      <w:r w:rsidR="00921ADF" w:rsidRPr="00AA240B">
        <w:rPr>
          <w:rFonts w:cstheme="minorHAnsi"/>
        </w:rPr>
        <w:t>violence and</w:t>
      </w:r>
      <w:r w:rsidRPr="00AA240B">
        <w:rPr>
          <w:rFonts w:cstheme="minorHAnsi"/>
        </w:rPr>
        <w:t xml:space="preserve"> on measures introduced in their national reports. Georgia ha</w:t>
      </w:r>
      <w:r w:rsidR="00F3491F">
        <w:rPr>
          <w:rFonts w:cstheme="minorHAnsi"/>
        </w:rPr>
        <w:t>s</w:t>
      </w:r>
      <w:r w:rsidRPr="00AA240B">
        <w:rPr>
          <w:rFonts w:cstheme="minorHAnsi"/>
        </w:rPr>
        <w:t xml:space="preserve"> </w:t>
      </w:r>
      <w:r w:rsidR="00921ADF" w:rsidRPr="00AA240B">
        <w:rPr>
          <w:rFonts w:cstheme="minorHAnsi"/>
        </w:rPr>
        <w:t>partially ac</w:t>
      </w:r>
      <w:r w:rsidR="004F2360" w:rsidRPr="00AA240B">
        <w:rPr>
          <w:rFonts w:cstheme="minorHAnsi"/>
        </w:rPr>
        <w:t>knowledge</w:t>
      </w:r>
      <w:r w:rsidR="00F3491F">
        <w:rPr>
          <w:rFonts w:cstheme="minorHAnsi"/>
        </w:rPr>
        <w:t>d</w:t>
      </w:r>
      <w:r w:rsidR="004F2360" w:rsidRPr="00AA240B">
        <w:rPr>
          <w:rFonts w:cstheme="minorHAnsi"/>
        </w:rPr>
        <w:t xml:space="preserve"> the importance of GR and in </w:t>
      </w:r>
      <w:r w:rsidR="008C1F9E">
        <w:rPr>
          <w:rFonts w:cstheme="minorHAnsi"/>
        </w:rPr>
        <w:t>its sixth periodic report (</w:t>
      </w:r>
      <w:r w:rsidR="004F2360" w:rsidRPr="00AA240B">
        <w:rPr>
          <w:rFonts w:cstheme="minorHAnsi"/>
        </w:rPr>
        <w:t>paras 235-238</w:t>
      </w:r>
      <w:r w:rsidR="008C1F9E">
        <w:rPr>
          <w:rFonts w:cstheme="minorHAnsi"/>
        </w:rPr>
        <w:t>)</w:t>
      </w:r>
      <w:r w:rsidR="004F2360" w:rsidRPr="00AA240B">
        <w:rPr>
          <w:rFonts w:cstheme="minorHAnsi"/>
        </w:rPr>
        <w:t xml:space="preserve"> provided</w:t>
      </w:r>
      <w:r w:rsidR="00921ADF" w:rsidRPr="00AA240B">
        <w:rPr>
          <w:rFonts w:cstheme="minorHAnsi"/>
        </w:rPr>
        <w:t xml:space="preserve"> the data on homo/bi/transphobic hate crimes highlighting the importance of combating it.</w:t>
      </w:r>
      <w:r w:rsidR="00DF2E97" w:rsidRPr="00AA240B">
        <w:rPr>
          <w:rFonts w:cstheme="minorHAnsi"/>
        </w:rPr>
        <w:t xml:space="preserve"> It doesn’t however, address the causes for refraining from reporting</w:t>
      </w:r>
      <w:r w:rsidR="003B0432">
        <w:rPr>
          <w:rFonts w:cstheme="minorHAnsi"/>
        </w:rPr>
        <w:t xml:space="preserve"> to law-enforcement agencies</w:t>
      </w:r>
      <w:r w:rsidR="00543E2E">
        <w:rPr>
          <w:rFonts w:cstheme="minorHAnsi"/>
        </w:rPr>
        <w:t>,</w:t>
      </w:r>
      <w:r w:rsidR="00DF2E97" w:rsidRPr="00AA240B">
        <w:rPr>
          <w:rFonts w:cstheme="minorHAnsi"/>
        </w:rPr>
        <w:t xml:space="preserve"> challenges in terms of domestic violence (DV), Intimate Partner Violence (IPV) or the services for the victims of hate crimes.</w:t>
      </w:r>
    </w:p>
    <w:p w14:paraId="4BD1280A" w14:textId="77777777" w:rsidR="00A24177" w:rsidRPr="00197E39" w:rsidRDefault="00A24177" w:rsidP="00197E39">
      <w:pPr>
        <w:spacing w:before="120" w:after="120" w:line="276" w:lineRule="auto"/>
        <w:jc w:val="both"/>
        <w:rPr>
          <w:rFonts w:cstheme="minorHAnsi"/>
        </w:rPr>
      </w:pPr>
    </w:p>
    <w:p w14:paraId="31F9DABB" w14:textId="77777777" w:rsidR="00F123BC" w:rsidRPr="00A24177" w:rsidRDefault="004F2360" w:rsidP="00F123BC">
      <w:pPr>
        <w:pStyle w:val="Heading2"/>
        <w:ind w:hanging="360"/>
        <w:rPr>
          <w:rFonts w:asciiTheme="minorHAnsi" w:hAnsiTheme="minorHAnsi" w:cstheme="minorHAnsi"/>
          <w:color w:val="1F4E79" w:themeColor="accent1" w:themeShade="80"/>
          <w:sz w:val="22"/>
          <w:szCs w:val="22"/>
        </w:rPr>
      </w:pPr>
      <w:bookmarkStart w:id="6" w:name="_Toc72856170"/>
      <w:bookmarkStart w:id="7" w:name="_Toc73545920"/>
      <w:r w:rsidRPr="00A24177">
        <w:rPr>
          <w:rFonts w:asciiTheme="minorHAnsi" w:hAnsiTheme="minorHAnsi" w:cstheme="minorHAnsi"/>
          <w:color w:val="1F4E79" w:themeColor="accent1" w:themeShade="80"/>
          <w:sz w:val="22"/>
          <w:szCs w:val="22"/>
        </w:rPr>
        <w:t>2.1.</w:t>
      </w:r>
      <w:r w:rsidRPr="00A24177">
        <w:rPr>
          <w:rFonts w:asciiTheme="minorHAnsi" w:hAnsiTheme="minorHAnsi" w:cstheme="minorHAnsi"/>
          <w:color w:val="1F4E79" w:themeColor="accent1" w:themeShade="80"/>
          <w:sz w:val="22"/>
          <w:szCs w:val="22"/>
        </w:rPr>
        <w:tab/>
      </w:r>
      <w:r w:rsidR="00A24177" w:rsidRPr="00A24177">
        <w:rPr>
          <w:rFonts w:asciiTheme="minorHAnsi" w:hAnsiTheme="minorHAnsi" w:cstheme="minorHAnsi"/>
          <w:sz w:val="22"/>
          <w:szCs w:val="22"/>
        </w:rPr>
        <w:t>Homo/bi/transphobic h</w:t>
      </w:r>
      <w:r w:rsidR="00F123BC" w:rsidRPr="00A24177">
        <w:rPr>
          <w:rFonts w:asciiTheme="minorHAnsi" w:hAnsiTheme="minorHAnsi" w:cstheme="minorHAnsi"/>
          <w:sz w:val="22"/>
          <w:szCs w:val="22"/>
        </w:rPr>
        <w:t>ate crimes</w:t>
      </w:r>
      <w:bookmarkEnd w:id="6"/>
      <w:bookmarkEnd w:id="7"/>
    </w:p>
    <w:p w14:paraId="59491345" w14:textId="3533E8AE" w:rsidR="00214150" w:rsidRPr="00AA240B" w:rsidRDefault="00251F8A" w:rsidP="008730A8">
      <w:pPr>
        <w:pStyle w:val="ListParagraph"/>
        <w:numPr>
          <w:ilvl w:val="0"/>
          <w:numId w:val="11"/>
        </w:numPr>
        <w:spacing w:before="120" w:after="120" w:line="276" w:lineRule="auto"/>
        <w:ind w:left="0"/>
        <w:jc w:val="both"/>
        <w:rPr>
          <w:rFonts w:cstheme="minorHAnsi"/>
          <w:color w:val="000000"/>
        </w:rPr>
      </w:pPr>
      <w:r w:rsidRPr="00AA240B">
        <w:rPr>
          <w:rFonts w:cstheme="minorHAnsi"/>
          <w:color w:val="000000"/>
        </w:rPr>
        <w:t xml:space="preserve">Despite the institutional measures taken by the state, the frequency and brutality of hate crimes experienced by the </w:t>
      </w:r>
      <w:r w:rsidR="00882E66" w:rsidRPr="00AA240B">
        <w:rPr>
          <w:rFonts w:cstheme="minorHAnsi"/>
          <w:color w:val="000000"/>
        </w:rPr>
        <w:t>L</w:t>
      </w:r>
      <w:r w:rsidR="004F2360" w:rsidRPr="00AA240B">
        <w:rPr>
          <w:rFonts w:cstheme="minorHAnsi"/>
          <w:color w:val="000000"/>
        </w:rPr>
        <w:t>(</w:t>
      </w:r>
      <w:r w:rsidR="00882E66" w:rsidRPr="00AA240B">
        <w:rPr>
          <w:rFonts w:cstheme="minorHAnsi"/>
          <w:color w:val="000000"/>
        </w:rPr>
        <w:t>G</w:t>
      </w:r>
      <w:r w:rsidR="004F2360" w:rsidRPr="00AA240B">
        <w:rPr>
          <w:rFonts w:cstheme="minorHAnsi"/>
          <w:color w:val="000000"/>
        </w:rPr>
        <w:t>)</w:t>
      </w:r>
      <w:r w:rsidR="00882E66" w:rsidRPr="00AA240B">
        <w:rPr>
          <w:rFonts w:cstheme="minorHAnsi"/>
          <w:color w:val="000000"/>
        </w:rPr>
        <w:t xml:space="preserve">BTQI </w:t>
      </w:r>
      <w:r w:rsidRPr="00AA240B">
        <w:rPr>
          <w:rFonts w:cstheme="minorHAnsi"/>
          <w:color w:val="000000"/>
        </w:rPr>
        <w:t xml:space="preserve">community is </w:t>
      </w:r>
      <w:r w:rsidR="00881AD2">
        <w:rPr>
          <w:rFonts w:cstheme="minorHAnsi"/>
          <w:color w:val="000000"/>
        </w:rPr>
        <w:t>alarming</w:t>
      </w:r>
      <w:r w:rsidR="004F2360" w:rsidRPr="00AA240B">
        <w:rPr>
          <w:rFonts w:cstheme="minorHAnsi"/>
          <w:color w:val="000000"/>
        </w:rPr>
        <w:t>.</w:t>
      </w:r>
      <w:r w:rsidRPr="00AA240B">
        <w:rPr>
          <w:rFonts w:cstheme="minorHAnsi"/>
          <w:color w:val="000000"/>
        </w:rPr>
        <w:t xml:space="preserve"> According to the study </w:t>
      </w:r>
      <w:r w:rsidR="004F2360" w:rsidRPr="00AA240B">
        <w:rPr>
          <w:rFonts w:cstheme="minorHAnsi"/>
          <w:color w:val="000000"/>
        </w:rPr>
        <w:t xml:space="preserve">conducted in 2020, </w:t>
      </w:r>
      <w:r w:rsidRPr="00AA240B">
        <w:rPr>
          <w:rFonts w:cstheme="minorHAnsi"/>
          <w:color w:val="000000"/>
        </w:rPr>
        <w:t xml:space="preserve">56% of respondents (N=320) had experienced some form of violence during the </w:t>
      </w:r>
      <w:r w:rsidR="00881AD2">
        <w:rPr>
          <w:rFonts w:cstheme="minorHAnsi"/>
          <w:color w:val="000000"/>
        </w:rPr>
        <w:t>previous</w:t>
      </w:r>
      <w:r w:rsidR="00881AD2" w:rsidRPr="00AA240B">
        <w:rPr>
          <w:rFonts w:cstheme="minorHAnsi"/>
          <w:color w:val="000000"/>
        </w:rPr>
        <w:t xml:space="preserve"> </w:t>
      </w:r>
      <w:r w:rsidRPr="00AA240B">
        <w:rPr>
          <w:rFonts w:cstheme="minorHAnsi"/>
          <w:color w:val="000000"/>
        </w:rPr>
        <w:t xml:space="preserve">two years. Like the past years the recent </w:t>
      </w:r>
      <w:r w:rsidR="00881AD2">
        <w:rPr>
          <w:rFonts w:cstheme="minorHAnsi"/>
          <w:color w:val="000000"/>
        </w:rPr>
        <w:t>data</w:t>
      </w:r>
      <w:r w:rsidR="00881AD2" w:rsidRPr="00AA240B">
        <w:rPr>
          <w:rFonts w:cstheme="minorHAnsi"/>
          <w:color w:val="000000"/>
        </w:rPr>
        <w:t xml:space="preserve"> </w:t>
      </w:r>
      <w:r w:rsidRPr="00AA240B">
        <w:rPr>
          <w:rFonts w:cstheme="minorHAnsi"/>
          <w:color w:val="000000"/>
        </w:rPr>
        <w:t xml:space="preserve">also revealed the low </w:t>
      </w:r>
      <w:r w:rsidR="00881AD2">
        <w:rPr>
          <w:rFonts w:cstheme="minorHAnsi"/>
          <w:color w:val="000000"/>
        </w:rPr>
        <w:t>rate</w:t>
      </w:r>
      <w:r w:rsidR="00881AD2" w:rsidRPr="00AA240B">
        <w:rPr>
          <w:rFonts w:cstheme="minorHAnsi"/>
          <w:color w:val="000000"/>
        </w:rPr>
        <w:t xml:space="preserve"> </w:t>
      </w:r>
      <w:r w:rsidRPr="00AA240B">
        <w:rPr>
          <w:rFonts w:cstheme="minorHAnsi"/>
          <w:color w:val="000000"/>
        </w:rPr>
        <w:t xml:space="preserve">of reporting </w:t>
      </w:r>
      <w:r w:rsidR="00881AD2">
        <w:rPr>
          <w:rFonts w:cstheme="minorHAnsi"/>
          <w:color w:val="000000"/>
        </w:rPr>
        <w:t>-</w:t>
      </w:r>
      <w:r w:rsidRPr="00AA240B">
        <w:rPr>
          <w:rFonts w:cstheme="minorHAnsi"/>
          <w:color w:val="000000"/>
        </w:rPr>
        <w:t xml:space="preserve"> 70% refrained from reporting </w:t>
      </w:r>
      <w:r w:rsidR="00881AD2">
        <w:rPr>
          <w:rFonts w:cstheme="minorHAnsi"/>
          <w:color w:val="000000"/>
        </w:rPr>
        <w:t xml:space="preserve">violence they had experienced </w:t>
      </w:r>
      <w:r w:rsidRPr="00AA240B">
        <w:rPr>
          <w:rFonts w:cstheme="minorHAnsi"/>
          <w:color w:val="000000"/>
        </w:rPr>
        <w:t>to the law enforcement agencies.</w:t>
      </w:r>
      <w:r w:rsidR="00237E71" w:rsidRPr="00197E39">
        <w:rPr>
          <w:rStyle w:val="FootnoteReference"/>
          <w:rFonts w:cstheme="minorHAnsi"/>
          <w:color w:val="000000"/>
        </w:rPr>
        <w:footnoteReference w:id="4"/>
      </w:r>
      <w:r w:rsidRPr="00AA240B">
        <w:rPr>
          <w:rFonts w:cstheme="minorHAnsi"/>
          <w:color w:val="000000"/>
        </w:rPr>
        <w:t xml:space="preserve"> </w:t>
      </w:r>
    </w:p>
    <w:p w14:paraId="63752803" w14:textId="4029C1F5" w:rsidR="00214150" w:rsidRPr="00AA240B" w:rsidRDefault="00881AD2" w:rsidP="008730A8">
      <w:pPr>
        <w:pStyle w:val="ListParagraph"/>
        <w:numPr>
          <w:ilvl w:val="0"/>
          <w:numId w:val="11"/>
        </w:numPr>
        <w:spacing w:before="120" w:after="120" w:line="276" w:lineRule="auto"/>
        <w:ind w:left="0"/>
        <w:jc w:val="both"/>
        <w:rPr>
          <w:rFonts w:cstheme="minorHAnsi"/>
          <w:color w:val="000000"/>
        </w:rPr>
      </w:pPr>
      <w:r>
        <w:rPr>
          <w:rFonts w:cstheme="minorHAnsi"/>
          <w:color w:val="000000"/>
        </w:rPr>
        <w:t>According to</w:t>
      </w:r>
      <w:r w:rsidRPr="00AA240B">
        <w:rPr>
          <w:rFonts w:cstheme="minorHAnsi"/>
          <w:color w:val="000000"/>
        </w:rPr>
        <w:t xml:space="preserve"> </w:t>
      </w:r>
      <w:r w:rsidR="00882E66" w:rsidRPr="00AA240B">
        <w:rPr>
          <w:rFonts w:cstheme="minorHAnsi"/>
          <w:color w:val="000000"/>
        </w:rPr>
        <w:t xml:space="preserve">the study </w:t>
      </w:r>
      <w:r>
        <w:rPr>
          <w:rFonts w:cstheme="minorHAnsi"/>
          <w:color w:val="000000"/>
        </w:rPr>
        <w:t xml:space="preserve">of </w:t>
      </w:r>
      <w:r w:rsidRPr="00AA240B">
        <w:rPr>
          <w:rFonts w:cstheme="minorHAnsi"/>
          <w:color w:val="000000"/>
        </w:rPr>
        <w:t xml:space="preserve">LBT women </w:t>
      </w:r>
      <w:r w:rsidR="00882E66" w:rsidRPr="00AA240B">
        <w:rPr>
          <w:rFonts w:cstheme="minorHAnsi"/>
          <w:color w:val="000000"/>
        </w:rPr>
        <w:t xml:space="preserve">conducted in 2018, out of the 66 victims of hate crimes only 4 (6%) addressed the law </w:t>
      </w:r>
      <w:r>
        <w:rPr>
          <w:rFonts w:cstheme="minorHAnsi"/>
          <w:color w:val="000000"/>
        </w:rPr>
        <w:t>enforcement</w:t>
      </w:r>
      <w:r w:rsidR="00882E66" w:rsidRPr="00AA240B">
        <w:rPr>
          <w:rFonts w:cstheme="minorHAnsi"/>
          <w:color w:val="000000"/>
        </w:rPr>
        <w:t xml:space="preserve">/ombudsperson. </w:t>
      </w:r>
      <w:r>
        <w:rPr>
          <w:rFonts w:cstheme="minorHAnsi"/>
          <w:color w:val="000000"/>
        </w:rPr>
        <w:t>T</w:t>
      </w:r>
      <w:r w:rsidR="00214150" w:rsidRPr="00AA240B">
        <w:rPr>
          <w:rFonts w:cstheme="minorHAnsi"/>
          <w:color w:val="000000"/>
        </w:rPr>
        <w:t>he victims usually refrain from reporting</w:t>
      </w:r>
      <w:r>
        <w:rPr>
          <w:rFonts w:cstheme="minorHAnsi"/>
          <w:color w:val="000000"/>
        </w:rPr>
        <w:t xml:space="preserve"> crimes</w:t>
      </w:r>
      <w:r w:rsidR="00214150" w:rsidRPr="00AA240B">
        <w:rPr>
          <w:rFonts w:cstheme="minorHAnsi"/>
          <w:color w:val="000000"/>
        </w:rPr>
        <w:t xml:space="preserve"> to law enforcements because they </w:t>
      </w:r>
      <w:r>
        <w:rPr>
          <w:rFonts w:cstheme="minorHAnsi"/>
          <w:color w:val="000000"/>
        </w:rPr>
        <w:t>consider</w:t>
      </w:r>
      <w:r w:rsidRPr="00AA240B">
        <w:rPr>
          <w:rFonts w:cstheme="minorHAnsi"/>
          <w:color w:val="000000"/>
        </w:rPr>
        <w:t xml:space="preserve"> </w:t>
      </w:r>
      <w:r w:rsidR="00214150" w:rsidRPr="00AA240B">
        <w:rPr>
          <w:rFonts w:cstheme="minorHAnsi"/>
          <w:color w:val="000000"/>
        </w:rPr>
        <w:t xml:space="preserve">it ineffective (44.3%), </w:t>
      </w:r>
      <w:r>
        <w:rPr>
          <w:rFonts w:cstheme="minorHAnsi"/>
          <w:color w:val="000000"/>
        </w:rPr>
        <w:t xml:space="preserve">they </w:t>
      </w:r>
      <w:r w:rsidR="00214150" w:rsidRPr="00AA240B">
        <w:rPr>
          <w:rFonts w:cstheme="minorHAnsi"/>
          <w:color w:val="000000"/>
        </w:rPr>
        <w:t>f</w:t>
      </w:r>
      <w:r w:rsidR="00214150" w:rsidRPr="00AA240B">
        <w:rPr>
          <w:rFonts w:cstheme="minorHAnsi"/>
          <w:color w:val="000000" w:themeColor="text1"/>
        </w:rPr>
        <w:t>ear</w:t>
      </w:r>
      <w:r w:rsidR="00214150" w:rsidRPr="00AA240B">
        <w:rPr>
          <w:rFonts w:cstheme="minorHAnsi"/>
          <w:color w:val="000000"/>
        </w:rPr>
        <w:t xml:space="preserve"> forcible outing (24.6%) and re-victimization (16.4%)</w:t>
      </w:r>
      <w:r w:rsidR="00543E2E">
        <w:rPr>
          <w:rFonts w:cstheme="minorHAnsi"/>
          <w:color w:val="000000"/>
        </w:rPr>
        <w:t xml:space="preserve"> t</w:t>
      </w:r>
      <w:r w:rsidR="00214150" w:rsidRPr="00AA240B">
        <w:rPr>
          <w:rFonts w:cstheme="minorHAnsi"/>
          <w:color w:val="000000"/>
        </w:rPr>
        <w:t>hat results in a gap between the official and NGO statistics.</w:t>
      </w:r>
      <w:r w:rsidR="00214150" w:rsidRPr="00AA240B">
        <w:rPr>
          <w:rStyle w:val="FootnoteReference"/>
          <w:rFonts w:cstheme="minorHAnsi"/>
          <w:color w:val="000000"/>
        </w:rPr>
        <w:t xml:space="preserve"> </w:t>
      </w:r>
      <w:r w:rsidR="00214150" w:rsidRPr="00197E39">
        <w:rPr>
          <w:rStyle w:val="FootnoteReference"/>
          <w:rFonts w:cstheme="minorHAnsi"/>
          <w:color w:val="000000"/>
        </w:rPr>
        <w:footnoteReference w:id="5"/>
      </w:r>
    </w:p>
    <w:p w14:paraId="208CF526" w14:textId="1D029977" w:rsidR="00251F8A" w:rsidRPr="00AA240B" w:rsidRDefault="00214150" w:rsidP="008730A8">
      <w:pPr>
        <w:pStyle w:val="ListParagraph"/>
        <w:numPr>
          <w:ilvl w:val="0"/>
          <w:numId w:val="11"/>
        </w:numPr>
        <w:spacing w:before="120" w:after="120" w:line="276" w:lineRule="auto"/>
        <w:ind w:left="0"/>
        <w:jc w:val="both"/>
        <w:rPr>
          <w:rFonts w:eastAsia="Times New Roman" w:cstheme="minorHAnsi"/>
          <w:color w:val="000000"/>
        </w:rPr>
      </w:pPr>
      <w:r w:rsidRPr="00AA240B">
        <w:rPr>
          <w:rFonts w:cstheme="minorHAnsi"/>
          <w:color w:val="000000"/>
        </w:rPr>
        <w:t xml:space="preserve">As noted by the State report </w:t>
      </w:r>
      <w:r w:rsidR="00F60A6D" w:rsidRPr="00AA240B">
        <w:rPr>
          <w:rFonts w:cstheme="minorHAnsi"/>
        </w:rPr>
        <w:t>§</w:t>
      </w:r>
      <w:r w:rsidRPr="00AA240B">
        <w:rPr>
          <w:rFonts w:cstheme="minorHAnsi"/>
          <w:color w:val="000000"/>
        </w:rPr>
        <w:t>238</w:t>
      </w:r>
      <w:r w:rsidR="00F60A6D" w:rsidRPr="00AA240B">
        <w:rPr>
          <w:rFonts w:cstheme="minorHAnsi"/>
          <w:color w:val="000000"/>
        </w:rPr>
        <w:t>,</w:t>
      </w:r>
      <w:r w:rsidRPr="00AA240B">
        <w:rPr>
          <w:rFonts w:cstheme="minorHAnsi"/>
          <w:color w:val="000000"/>
        </w:rPr>
        <w:t xml:space="preserve"> </w:t>
      </w:r>
      <w:r w:rsidRPr="00AA240B">
        <w:rPr>
          <w:rFonts w:eastAsia="Times New Roman" w:cstheme="minorHAnsi"/>
          <w:color w:val="000000"/>
        </w:rPr>
        <w:t>c</w:t>
      </w:r>
      <w:r w:rsidR="00251F8A" w:rsidRPr="00AA240B">
        <w:rPr>
          <w:rFonts w:eastAsia="Times New Roman" w:cstheme="minorHAnsi"/>
          <w:color w:val="000000"/>
        </w:rPr>
        <w:t xml:space="preserve">ombating hate crimes, the Ministry of Internal Affairs has created </w:t>
      </w:r>
      <w:r w:rsidRPr="00AA240B">
        <w:rPr>
          <w:rFonts w:eastAsia="Times New Roman" w:cstheme="minorHAnsi"/>
          <w:color w:val="000000"/>
        </w:rPr>
        <w:t>special department,</w:t>
      </w:r>
      <w:r w:rsidR="00251F8A" w:rsidRPr="00AA240B">
        <w:rPr>
          <w:rFonts w:eastAsia="Times New Roman" w:cstheme="minorHAnsi"/>
          <w:color w:val="000000"/>
        </w:rPr>
        <w:t xml:space="preserve"> which </w:t>
      </w:r>
      <w:r w:rsidR="00251F8A" w:rsidRPr="008C1F9E">
        <w:rPr>
          <w:rFonts w:eastAsia="Times New Roman" w:cstheme="minorHAnsi"/>
          <w:i/>
          <w:color w:val="000000"/>
        </w:rPr>
        <w:t>inter alia</w:t>
      </w:r>
      <w:r w:rsidR="00251F8A" w:rsidRPr="00AA240B">
        <w:rPr>
          <w:rFonts w:eastAsia="Times New Roman" w:cstheme="minorHAnsi"/>
          <w:color w:val="000000"/>
        </w:rPr>
        <w:t xml:space="preserve"> monitors investigation o</w:t>
      </w:r>
      <w:r w:rsidR="00881AD2">
        <w:rPr>
          <w:rFonts w:eastAsia="Times New Roman" w:cstheme="minorHAnsi"/>
          <w:color w:val="000000"/>
        </w:rPr>
        <w:t>f</w:t>
      </w:r>
      <w:r w:rsidR="00251F8A" w:rsidRPr="00AA240B">
        <w:rPr>
          <w:rFonts w:eastAsia="Times New Roman" w:cstheme="minorHAnsi"/>
          <w:color w:val="000000"/>
        </w:rPr>
        <w:t xml:space="preserve"> hate crimes.</w:t>
      </w:r>
      <w:r w:rsidRPr="00AA240B">
        <w:rPr>
          <w:rFonts w:eastAsia="Times New Roman" w:cstheme="minorHAnsi"/>
          <w:color w:val="000000"/>
        </w:rPr>
        <w:t xml:space="preserve"> </w:t>
      </w:r>
      <w:r w:rsidR="00F60A6D" w:rsidRPr="00AA240B">
        <w:rPr>
          <w:rFonts w:eastAsia="Times New Roman" w:cstheme="minorHAnsi"/>
          <w:color w:val="000000"/>
        </w:rPr>
        <w:t>On that</w:t>
      </w:r>
      <w:r w:rsidR="00251F8A" w:rsidRPr="00AA240B">
        <w:rPr>
          <w:rFonts w:eastAsia="Times New Roman" w:cstheme="minorHAnsi"/>
          <w:color w:val="000000"/>
        </w:rPr>
        <w:t xml:space="preserve"> ECRI noted: “such a department is not a substitute for a specialized investigative unit within the police, as recommended by ECRI. The new department was created to review hate crime investigations, not to carry them out. It therefore does not constitute a dedicated reinforcement of hate crime investigation capacity at law enforcement level”. This recommendation has been also addressed by the </w:t>
      </w:r>
      <w:r w:rsidR="00F60A6D" w:rsidRPr="00AA240B">
        <w:rPr>
          <w:rFonts w:eastAsia="Times New Roman" w:cstheme="minorHAnsi"/>
          <w:color w:val="000000"/>
        </w:rPr>
        <w:t>IE</w:t>
      </w:r>
      <w:r w:rsidR="00251F8A" w:rsidRPr="00AA240B">
        <w:rPr>
          <w:rFonts w:eastAsia="Times New Roman" w:cstheme="minorHAnsi"/>
          <w:color w:val="000000"/>
        </w:rPr>
        <w:t>.</w:t>
      </w:r>
      <w:r w:rsidR="00F60A6D" w:rsidRPr="00197E39">
        <w:rPr>
          <w:rStyle w:val="FootnoteReference"/>
          <w:rFonts w:eastAsia="Times New Roman" w:cstheme="minorHAnsi"/>
          <w:color w:val="000000"/>
        </w:rPr>
        <w:footnoteReference w:id="6"/>
      </w:r>
    </w:p>
    <w:p w14:paraId="5AA58885" w14:textId="77777777" w:rsidR="00D414A8" w:rsidRPr="00197E39" w:rsidRDefault="00D414A8" w:rsidP="00197E39">
      <w:pPr>
        <w:spacing w:before="120" w:after="120" w:line="276" w:lineRule="auto"/>
        <w:jc w:val="both"/>
        <w:rPr>
          <w:rFonts w:eastAsia="Times New Roman" w:cstheme="minorHAnsi"/>
          <w:color w:val="000000"/>
        </w:rPr>
      </w:pPr>
    </w:p>
    <w:p w14:paraId="1B734EBB" w14:textId="77777777" w:rsidR="00214150" w:rsidRPr="00A24177" w:rsidRDefault="00977A54" w:rsidP="00F123BC">
      <w:pPr>
        <w:pStyle w:val="Heading2"/>
        <w:ind w:hanging="360"/>
        <w:rPr>
          <w:rFonts w:asciiTheme="minorHAnsi" w:hAnsiTheme="minorHAnsi" w:cstheme="minorHAnsi"/>
          <w:sz w:val="22"/>
          <w:szCs w:val="22"/>
        </w:rPr>
      </w:pPr>
      <w:bookmarkStart w:id="8" w:name="_Toc72856171"/>
      <w:bookmarkStart w:id="9" w:name="_Toc73545921"/>
      <w:r w:rsidRPr="00A24177">
        <w:rPr>
          <w:rFonts w:asciiTheme="minorHAnsi" w:hAnsiTheme="minorHAnsi" w:cstheme="minorHAnsi"/>
          <w:sz w:val="22"/>
          <w:szCs w:val="22"/>
        </w:rPr>
        <w:t xml:space="preserve">2.2. </w:t>
      </w:r>
      <w:r w:rsidR="00D414A8" w:rsidRPr="00A24177">
        <w:rPr>
          <w:rFonts w:asciiTheme="minorHAnsi" w:hAnsiTheme="minorHAnsi" w:cstheme="minorHAnsi"/>
          <w:sz w:val="22"/>
          <w:szCs w:val="22"/>
        </w:rPr>
        <w:t>Domestic Violence</w:t>
      </w:r>
      <w:bookmarkEnd w:id="8"/>
      <w:bookmarkEnd w:id="9"/>
    </w:p>
    <w:p w14:paraId="31A00B70" w14:textId="311F8E90" w:rsidR="00251F8A" w:rsidRPr="00FE0635" w:rsidRDefault="00251F8A" w:rsidP="0098713F">
      <w:pPr>
        <w:pStyle w:val="ListParagraph"/>
        <w:numPr>
          <w:ilvl w:val="0"/>
          <w:numId w:val="11"/>
        </w:numPr>
        <w:spacing w:before="120" w:after="120" w:line="276" w:lineRule="auto"/>
        <w:ind w:left="0"/>
        <w:jc w:val="both"/>
        <w:rPr>
          <w:rFonts w:eastAsia="Times New Roman" w:cstheme="minorHAnsi"/>
          <w:color w:val="000000"/>
        </w:rPr>
      </w:pPr>
      <w:r w:rsidRPr="00FE0635">
        <w:rPr>
          <w:rFonts w:eastAsia="Times New Roman" w:cstheme="minorHAnsi"/>
          <w:color w:val="000000"/>
        </w:rPr>
        <w:t>The 2018 study showed that 67.2% (N=172)</w:t>
      </w:r>
      <w:r w:rsidR="00F60A6D" w:rsidRPr="00FE0635">
        <w:rPr>
          <w:rFonts w:eastAsia="Times New Roman" w:cstheme="minorHAnsi"/>
          <w:color w:val="000000"/>
        </w:rPr>
        <w:t xml:space="preserve"> of respondents</w:t>
      </w:r>
      <w:r w:rsidRPr="00FE0635">
        <w:rPr>
          <w:rFonts w:eastAsia="Times New Roman" w:cstheme="minorHAnsi"/>
          <w:color w:val="000000"/>
        </w:rPr>
        <w:t xml:space="preserve"> have experience</w:t>
      </w:r>
      <w:r w:rsidR="00F60A6D" w:rsidRPr="00FE0635">
        <w:rPr>
          <w:rFonts w:eastAsia="Times New Roman" w:cstheme="minorHAnsi"/>
          <w:color w:val="000000"/>
        </w:rPr>
        <w:t xml:space="preserve">d some form of abuse by family </w:t>
      </w:r>
      <w:r w:rsidRPr="00FE0635">
        <w:rPr>
          <w:rFonts w:eastAsia="Times New Roman" w:cstheme="minorHAnsi"/>
          <w:color w:val="000000"/>
        </w:rPr>
        <w:t>members since 2015</w:t>
      </w:r>
      <w:r w:rsidR="00F46CD5" w:rsidRPr="00FE0635">
        <w:rPr>
          <w:rFonts w:eastAsia="Times New Roman" w:cstheme="minorHAnsi"/>
          <w:color w:val="000000"/>
        </w:rPr>
        <w:t xml:space="preserve"> on the bases of SOGIE;</w:t>
      </w:r>
      <w:r w:rsidR="00F60A6D" w:rsidRPr="00197E39">
        <w:rPr>
          <w:rStyle w:val="FootnoteReference"/>
          <w:rFonts w:eastAsia="Times New Roman" w:cstheme="minorHAnsi"/>
          <w:color w:val="000000"/>
        </w:rPr>
        <w:footnoteReference w:id="7"/>
      </w:r>
      <w:r w:rsidRPr="00FE0635">
        <w:rPr>
          <w:rFonts w:eastAsia="Times New Roman" w:cstheme="minorHAnsi"/>
          <w:color w:val="000000"/>
        </w:rPr>
        <w:t xml:space="preserve"> However, hate motive has not been documented in any domestic violence cases against L</w:t>
      </w:r>
      <w:r w:rsidR="00F60A6D" w:rsidRPr="00FE0635">
        <w:rPr>
          <w:rFonts w:eastAsia="Times New Roman" w:cstheme="minorHAnsi"/>
          <w:color w:val="000000"/>
        </w:rPr>
        <w:t>(</w:t>
      </w:r>
      <w:r w:rsidR="00D414A8" w:rsidRPr="00FE0635">
        <w:rPr>
          <w:rFonts w:eastAsia="Times New Roman" w:cstheme="minorHAnsi"/>
          <w:color w:val="000000"/>
        </w:rPr>
        <w:t>G</w:t>
      </w:r>
      <w:r w:rsidR="00F60A6D" w:rsidRPr="00FE0635">
        <w:rPr>
          <w:rFonts w:eastAsia="Times New Roman" w:cstheme="minorHAnsi"/>
          <w:color w:val="000000"/>
        </w:rPr>
        <w:t>)</w:t>
      </w:r>
      <w:r w:rsidR="00D414A8" w:rsidRPr="00FE0635">
        <w:rPr>
          <w:rFonts w:eastAsia="Times New Roman" w:cstheme="minorHAnsi"/>
          <w:color w:val="000000"/>
        </w:rPr>
        <w:t xml:space="preserve">BTQI individuals </w:t>
      </w:r>
      <w:r w:rsidR="00881AD2" w:rsidRPr="00FE0635">
        <w:rPr>
          <w:rFonts w:eastAsia="Times New Roman" w:cstheme="minorHAnsi"/>
          <w:color w:val="000000"/>
        </w:rPr>
        <w:t>since</w:t>
      </w:r>
      <w:r w:rsidR="00D414A8" w:rsidRPr="00FE0635">
        <w:rPr>
          <w:rFonts w:eastAsia="Times New Roman" w:cstheme="minorHAnsi"/>
          <w:color w:val="000000"/>
        </w:rPr>
        <w:t xml:space="preserve"> o</w:t>
      </w:r>
      <w:r w:rsidRPr="00FE0635">
        <w:rPr>
          <w:rFonts w:eastAsia="Times New Roman" w:cstheme="minorHAnsi"/>
          <w:color w:val="000000"/>
        </w:rPr>
        <w:t xml:space="preserve">fficial statistics </w:t>
      </w:r>
      <w:r w:rsidR="00881AD2" w:rsidRPr="00FE0635">
        <w:rPr>
          <w:rFonts w:eastAsia="Times New Roman" w:cstheme="minorHAnsi"/>
          <w:color w:val="000000"/>
        </w:rPr>
        <w:t xml:space="preserve">with </w:t>
      </w:r>
      <w:r w:rsidRPr="00FE0635">
        <w:rPr>
          <w:rFonts w:eastAsia="Times New Roman" w:cstheme="minorHAnsi"/>
          <w:color w:val="000000"/>
        </w:rPr>
        <w:t>regard</w:t>
      </w:r>
      <w:r w:rsidR="00D414A8" w:rsidRPr="00FE0635">
        <w:rPr>
          <w:rFonts w:eastAsia="Times New Roman" w:cstheme="minorHAnsi"/>
          <w:color w:val="000000"/>
        </w:rPr>
        <w:t>s</w:t>
      </w:r>
      <w:r w:rsidRPr="00FE0635">
        <w:rPr>
          <w:rFonts w:eastAsia="Times New Roman" w:cstheme="minorHAnsi"/>
          <w:color w:val="000000"/>
        </w:rPr>
        <w:t xml:space="preserve"> to domestic violence based on SOGIE </w:t>
      </w:r>
      <w:r w:rsidR="00881AD2" w:rsidRPr="00FE0635">
        <w:rPr>
          <w:rFonts w:eastAsia="Times New Roman" w:cstheme="minorHAnsi"/>
          <w:color w:val="000000"/>
        </w:rPr>
        <w:t>is not</w:t>
      </w:r>
      <w:r w:rsidRPr="00FE0635">
        <w:rPr>
          <w:rFonts w:eastAsia="Times New Roman" w:cstheme="minorHAnsi"/>
          <w:color w:val="000000"/>
        </w:rPr>
        <w:t xml:space="preserve"> collected. Additionally, the government does not address the specific forms of violence against </w:t>
      </w:r>
      <w:r w:rsidR="003F1F22" w:rsidRPr="00FE0635">
        <w:rPr>
          <w:rFonts w:eastAsia="Times New Roman" w:cstheme="minorHAnsi"/>
          <w:color w:val="000000"/>
        </w:rPr>
        <w:t>LBT</w:t>
      </w:r>
      <w:r w:rsidR="00D414A8" w:rsidRPr="00FE0635">
        <w:rPr>
          <w:rFonts w:eastAsia="Times New Roman" w:cstheme="minorHAnsi"/>
          <w:color w:val="000000"/>
        </w:rPr>
        <w:t>I</w:t>
      </w:r>
      <w:r w:rsidRPr="00FE0635">
        <w:rPr>
          <w:rFonts w:eastAsia="Times New Roman" w:cstheme="minorHAnsi"/>
          <w:color w:val="000000"/>
        </w:rPr>
        <w:t xml:space="preserve"> individuals (minors are at </w:t>
      </w:r>
      <w:r w:rsidR="00881AD2" w:rsidRPr="00FE0635">
        <w:rPr>
          <w:rFonts w:eastAsia="Times New Roman" w:cstheme="minorHAnsi"/>
          <w:color w:val="000000"/>
        </w:rPr>
        <w:t xml:space="preserve">particular </w:t>
      </w:r>
      <w:r w:rsidRPr="00FE0635">
        <w:rPr>
          <w:rFonts w:eastAsia="Times New Roman" w:cstheme="minorHAnsi"/>
          <w:color w:val="000000"/>
        </w:rPr>
        <w:t>risk), such as different forms of coercive therapies, psychological pressure and violence, attempts of forced marriages of lesbian women</w:t>
      </w:r>
      <w:r w:rsidR="0004022C" w:rsidRPr="00FE0635">
        <w:rPr>
          <w:rFonts w:eastAsia="Times New Roman" w:cstheme="minorHAnsi"/>
          <w:color w:val="000000"/>
        </w:rPr>
        <w:t xml:space="preserve"> and </w:t>
      </w:r>
      <w:r w:rsidR="008730A8">
        <w:rPr>
          <w:rFonts w:eastAsia="Times New Roman" w:cstheme="minorHAnsi"/>
          <w:color w:val="000000"/>
        </w:rPr>
        <w:t>t</w:t>
      </w:r>
      <w:r w:rsidR="00FE0635" w:rsidRPr="00FE0635">
        <w:rPr>
          <w:rFonts w:eastAsia="Times New Roman" w:cstheme="minorHAnsi"/>
          <w:color w:val="000000"/>
        </w:rPr>
        <w:t>rans</w:t>
      </w:r>
      <w:r w:rsidR="0004022C" w:rsidRPr="00FE0635">
        <w:rPr>
          <w:rFonts w:eastAsia="Times New Roman" w:cstheme="minorHAnsi"/>
          <w:color w:val="000000"/>
        </w:rPr>
        <w:t xml:space="preserve"> men</w:t>
      </w:r>
      <w:r w:rsidRPr="00FE0635">
        <w:rPr>
          <w:rFonts w:eastAsia="Times New Roman" w:cstheme="minorHAnsi"/>
          <w:color w:val="000000"/>
        </w:rPr>
        <w:t xml:space="preserve">. </w:t>
      </w:r>
    </w:p>
    <w:p w14:paraId="63E3A7AB" w14:textId="77777777" w:rsidR="00F60A6D" w:rsidRPr="00197E39" w:rsidRDefault="00F60A6D" w:rsidP="00197E39">
      <w:pPr>
        <w:spacing w:before="120" w:after="120" w:line="276" w:lineRule="auto"/>
        <w:jc w:val="both"/>
        <w:rPr>
          <w:rFonts w:eastAsia="Times New Roman" w:cstheme="minorHAnsi"/>
        </w:rPr>
      </w:pPr>
    </w:p>
    <w:p w14:paraId="2FA43F1D" w14:textId="77777777" w:rsidR="00700BC5" w:rsidRPr="00A24177" w:rsidRDefault="00F60A6D" w:rsidP="00F123BC">
      <w:pPr>
        <w:pStyle w:val="Heading2"/>
        <w:ind w:hanging="360"/>
        <w:rPr>
          <w:rFonts w:asciiTheme="minorHAnsi" w:hAnsiTheme="minorHAnsi" w:cstheme="minorHAnsi"/>
          <w:sz w:val="22"/>
          <w:szCs w:val="22"/>
        </w:rPr>
      </w:pPr>
      <w:bookmarkStart w:id="10" w:name="_Toc72856172"/>
      <w:bookmarkStart w:id="11" w:name="_Toc73545922"/>
      <w:r w:rsidRPr="00A24177">
        <w:rPr>
          <w:rFonts w:asciiTheme="minorHAnsi" w:hAnsiTheme="minorHAnsi" w:cstheme="minorHAnsi"/>
          <w:sz w:val="22"/>
          <w:szCs w:val="22"/>
        </w:rPr>
        <w:t>2.3. Intimate</w:t>
      </w:r>
      <w:r w:rsidR="00700BC5" w:rsidRPr="00A24177">
        <w:rPr>
          <w:rFonts w:asciiTheme="minorHAnsi" w:hAnsiTheme="minorHAnsi" w:cstheme="minorHAnsi"/>
          <w:sz w:val="22"/>
          <w:szCs w:val="22"/>
        </w:rPr>
        <w:t xml:space="preserve"> Partner Violence</w:t>
      </w:r>
      <w:bookmarkEnd w:id="10"/>
      <w:bookmarkEnd w:id="11"/>
    </w:p>
    <w:p w14:paraId="4B15F5E7" w14:textId="5D7C1A57" w:rsidR="00700BC5" w:rsidRPr="00197E39" w:rsidRDefault="00700BC5" w:rsidP="00AA240B">
      <w:pPr>
        <w:pStyle w:val="NormalWeb"/>
        <w:numPr>
          <w:ilvl w:val="0"/>
          <w:numId w:val="11"/>
        </w:numPr>
        <w:spacing w:before="120" w:beforeAutospacing="0" w:after="120" w:afterAutospacing="0" w:line="276" w:lineRule="auto"/>
        <w:ind w:left="0"/>
        <w:jc w:val="both"/>
        <w:rPr>
          <w:rFonts w:asciiTheme="minorHAnsi" w:hAnsiTheme="minorHAnsi" w:cstheme="minorHAnsi"/>
          <w:color w:val="000000"/>
          <w:sz w:val="22"/>
          <w:szCs w:val="22"/>
        </w:rPr>
      </w:pPr>
      <w:r w:rsidRPr="00197E39">
        <w:rPr>
          <w:rFonts w:asciiTheme="minorHAnsi" w:hAnsiTheme="minorHAnsi" w:cstheme="minorHAnsi"/>
          <w:color w:val="000000"/>
          <w:sz w:val="22"/>
          <w:szCs w:val="22"/>
        </w:rPr>
        <w:t xml:space="preserve">While the </w:t>
      </w:r>
      <w:r w:rsidR="00F60A6D" w:rsidRPr="00197E39">
        <w:rPr>
          <w:rFonts w:asciiTheme="minorHAnsi" w:hAnsiTheme="minorHAnsi" w:cstheme="minorHAnsi"/>
          <w:color w:val="000000"/>
          <w:sz w:val="22"/>
          <w:szCs w:val="22"/>
        </w:rPr>
        <w:t>legislation</w:t>
      </w:r>
      <w:r w:rsidRPr="00197E39">
        <w:rPr>
          <w:rFonts w:asciiTheme="minorHAnsi" w:hAnsiTheme="minorHAnsi" w:cstheme="minorHAnsi"/>
          <w:color w:val="000000"/>
          <w:sz w:val="22"/>
          <w:szCs w:val="22"/>
        </w:rPr>
        <w:t xml:space="preserve"> doesn’t consider an </w:t>
      </w:r>
      <w:r w:rsidR="00F60A6D" w:rsidRPr="00197E39">
        <w:rPr>
          <w:rFonts w:asciiTheme="minorHAnsi" w:hAnsiTheme="minorHAnsi" w:cstheme="minorHAnsi"/>
          <w:color w:val="000000"/>
          <w:sz w:val="22"/>
          <w:szCs w:val="22"/>
        </w:rPr>
        <w:t>intimate partner</w:t>
      </w:r>
      <w:r w:rsidRPr="00197E39">
        <w:rPr>
          <w:rFonts w:asciiTheme="minorHAnsi" w:hAnsiTheme="minorHAnsi" w:cstheme="minorHAnsi"/>
          <w:color w:val="000000"/>
          <w:sz w:val="22"/>
          <w:szCs w:val="22"/>
        </w:rPr>
        <w:t xml:space="preserve"> as </w:t>
      </w:r>
      <w:r w:rsidR="00881AD2">
        <w:rPr>
          <w:rFonts w:asciiTheme="minorHAnsi" w:hAnsiTheme="minorHAnsi" w:cstheme="minorHAnsi"/>
          <w:color w:val="000000"/>
          <w:sz w:val="22"/>
          <w:szCs w:val="22"/>
        </w:rPr>
        <w:t xml:space="preserve">a </w:t>
      </w:r>
      <w:r w:rsidRPr="00197E39">
        <w:rPr>
          <w:rFonts w:asciiTheme="minorHAnsi" w:hAnsiTheme="minorHAnsi" w:cstheme="minorHAnsi"/>
          <w:color w:val="000000"/>
          <w:sz w:val="22"/>
          <w:szCs w:val="22"/>
        </w:rPr>
        <w:t xml:space="preserve">family member, or recognize any form of civil partnership, it does not prohibit </w:t>
      </w:r>
      <w:r w:rsidR="00F60A6D" w:rsidRPr="00197E39">
        <w:rPr>
          <w:rFonts w:asciiTheme="minorHAnsi" w:hAnsiTheme="minorHAnsi" w:cstheme="minorHAnsi"/>
          <w:color w:val="000000"/>
          <w:sz w:val="22"/>
          <w:szCs w:val="22"/>
        </w:rPr>
        <w:t>IPV</w:t>
      </w:r>
      <w:r w:rsidRPr="00197E39">
        <w:rPr>
          <w:rFonts w:asciiTheme="minorHAnsi" w:hAnsiTheme="minorHAnsi" w:cstheme="minorHAnsi"/>
          <w:color w:val="000000"/>
          <w:sz w:val="22"/>
          <w:szCs w:val="22"/>
        </w:rPr>
        <w:t>, especially among same-sex partners. This situation significantly impedes access of LBT women to the mechanisms of protection</w:t>
      </w:r>
      <w:r w:rsidR="00197E39" w:rsidRPr="00197E39">
        <w:rPr>
          <w:rFonts w:asciiTheme="minorHAnsi" w:hAnsiTheme="minorHAnsi" w:cstheme="minorHAnsi"/>
          <w:color w:val="000000"/>
          <w:sz w:val="22"/>
          <w:szCs w:val="22"/>
        </w:rPr>
        <w:t xml:space="preserve"> on Va</w:t>
      </w:r>
      <w:r w:rsidR="00F60A6D" w:rsidRPr="00197E39">
        <w:rPr>
          <w:rFonts w:asciiTheme="minorHAnsi" w:hAnsiTheme="minorHAnsi" w:cstheme="minorHAnsi"/>
          <w:color w:val="000000"/>
          <w:sz w:val="22"/>
          <w:szCs w:val="22"/>
        </w:rPr>
        <w:t>W</w:t>
      </w:r>
      <w:r w:rsidRPr="00197E39">
        <w:rPr>
          <w:rFonts w:asciiTheme="minorHAnsi" w:hAnsiTheme="minorHAnsi" w:cstheme="minorHAnsi"/>
          <w:color w:val="000000"/>
          <w:sz w:val="22"/>
          <w:szCs w:val="22"/>
        </w:rPr>
        <w:t xml:space="preserve">. However, according to study, during the period of 2015-18, 81.2% of </w:t>
      </w:r>
      <w:r w:rsidR="00F60A6D" w:rsidRPr="00197E39">
        <w:rPr>
          <w:rFonts w:asciiTheme="minorHAnsi" w:hAnsiTheme="minorHAnsi" w:cstheme="minorHAnsi"/>
          <w:color w:val="000000"/>
          <w:sz w:val="22"/>
          <w:szCs w:val="22"/>
        </w:rPr>
        <w:t>LB</w:t>
      </w:r>
      <w:r w:rsidRPr="00197E39">
        <w:rPr>
          <w:rFonts w:asciiTheme="minorHAnsi" w:hAnsiTheme="minorHAnsi" w:cstheme="minorHAnsi"/>
          <w:color w:val="000000"/>
          <w:sz w:val="22"/>
          <w:szCs w:val="22"/>
        </w:rPr>
        <w:t xml:space="preserve"> respondents (N=95) had experienced some form of v</w:t>
      </w:r>
      <w:r w:rsidR="00F60A6D" w:rsidRPr="00197E39">
        <w:rPr>
          <w:rFonts w:asciiTheme="minorHAnsi" w:hAnsiTheme="minorHAnsi" w:cstheme="minorHAnsi"/>
          <w:color w:val="000000"/>
          <w:sz w:val="22"/>
          <w:szCs w:val="22"/>
        </w:rPr>
        <w:t>iolence by the intimate partner</w:t>
      </w:r>
      <w:r w:rsidR="00801F84">
        <w:rPr>
          <w:rFonts w:asciiTheme="minorHAnsi" w:hAnsiTheme="minorHAnsi" w:cstheme="minorHAnsi"/>
          <w:color w:val="000000"/>
          <w:sz w:val="22"/>
          <w:szCs w:val="22"/>
        </w:rPr>
        <w:t>,</w:t>
      </w:r>
      <w:r w:rsidRPr="00197E39">
        <w:rPr>
          <w:rFonts w:asciiTheme="minorHAnsi" w:hAnsiTheme="minorHAnsi" w:cstheme="minorHAnsi"/>
          <w:color w:val="000000"/>
          <w:sz w:val="22"/>
          <w:szCs w:val="22"/>
        </w:rPr>
        <w:t xml:space="preserve"> psychological violence being the most widespread form.</w:t>
      </w:r>
      <w:r w:rsidR="00F60A6D" w:rsidRPr="00197E39">
        <w:rPr>
          <w:rStyle w:val="FootnoteReference"/>
          <w:rFonts w:asciiTheme="minorHAnsi" w:hAnsiTheme="minorHAnsi" w:cstheme="minorHAnsi"/>
          <w:color w:val="000000"/>
          <w:sz w:val="22"/>
          <w:szCs w:val="22"/>
        </w:rPr>
        <w:footnoteReference w:id="8"/>
      </w:r>
      <w:r w:rsidRPr="00197E39">
        <w:rPr>
          <w:rFonts w:asciiTheme="minorHAnsi" w:hAnsiTheme="minorHAnsi" w:cstheme="minorHAnsi"/>
          <w:color w:val="000000"/>
          <w:sz w:val="22"/>
          <w:szCs w:val="22"/>
        </w:rPr>
        <w:t xml:space="preserve"> </w:t>
      </w:r>
    </w:p>
    <w:p w14:paraId="24878BDE" w14:textId="17C851C8" w:rsidR="00700BC5" w:rsidRPr="00197E39" w:rsidRDefault="00700BC5" w:rsidP="00AA240B">
      <w:pPr>
        <w:pStyle w:val="NormalWeb"/>
        <w:numPr>
          <w:ilvl w:val="0"/>
          <w:numId w:val="11"/>
        </w:numPr>
        <w:spacing w:before="120" w:beforeAutospacing="0" w:after="120" w:afterAutospacing="0" w:line="276" w:lineRule="auto"/>
        <w:ind w:left="0"/>
        <w:jc w:val="both"/>
        <w:rPr>
          <w:rFonts w:asciiTheme="minorHAnsi" w:hAnsiTheme="minorHAnsi" w:cstheme="minorHAnsi"/>
          <w:color w:val="000000"/>
          <w:sz w:val="22"/>
          <w:szCs w:val="22"/>
        </w:rPr>
      </w:pPr>
      <w:r w:rsidRPr="00197E39">
        <w:rPr>
          <w:rFonts w:asciiTheme="minorHAnsi" w:hAnsiTheme="minorHAnsi" w:cstheme="minorHAnsi"/>
          <w:color w:val="000000"/>
          <w:sz w:val="22"/>
          <w:szCs w:val="22"/>
        </w:rPr>
        <w:t xml:space="preserve">In terms of </w:t>
      </w:r>
      <w:r w:rsidR="008730A8">
        <w:rPr>
          <w:rFonts w:asciiTheme="minorHAnsi" w:hAnsiTheme="minorHAnsi" w:cstheme="minorHAnsi"/>
          <w:color w:val="000000"/>
          <w:sz w:val="22"/>
          <w:szCs w:val="22"/>
        </w:rPr>
        <w:t>t</w:t>
      </w:r>
      <w:r w:rsidR="00FE0635" w:rsidRPr="00197E39">
        <w:rPr>
          <w:rFonts w:asciiTheme="minorHAnsi" w:hAnsiTheme="minorHAnsi" w:cstheme="minorHAnsi"/>
          <w:color w:val="000000"/>
          <w:sz w:val="22"/>
          <w:szCs w:val="22"/>
        </w:rPr>
        <w:t>rans</w:t>
      </w:r>
      <w:r w:rsidRPr="00197E39">
        <w:rPr>
          <w:rFonts w:asciiTheme="minorHAnsi" w:hAnsiTheme="minorHAnsi" w:cstheme="minorHAnsi"/>
          <w:color w:val="000000"/>
          <w:sz w:val="22"/>
          <w:szCs w:val="22"/>
        </w:rPr>
        <w:t xml:space="preserve"> persons and their access to the protective mechanisms, the law defining “victim” as “a woman or other family member,”</w:t>
      </w:r>
      <w:r w:rsidRPr="00197E39">
        <w:rPr>
          <w:rStyle w:val="FootnoteReference"/>
          <w:rFonts w:asciiTheme="minorHAnsi" w:hAnsiTheme="minorHAnsi" w:cstheme="minorHAnsi"/>
          <w:color w:val="000000"/>
          <w:sz w:val="22"/>
          <w:szCs w:val="22"/>
        </w:rPr>
        <w:footnoteReference w:id="9"/>
      </w:r>
      <w:r w:rsidRPr="00197E39">
        <w:rPr>
          <w:rFonts w:asciiTheme="minorHAnsi" w:hAnsiTheme="minorHAnsi" w:cstheme="minorHAnsi"/>
          <w:color w:val="000000"/>
          <w:sz w:val="22"/>
          <w:szCs w:val="22"/>
        </w:rPr>
        <w:t xml:space="preserve"> without further anti-discrimination clause in light with unregulated </w:t>
      </w:r>
      <w:r w:rsidR="00F60A6D" w:rsidRPr="00197E39">
        <w:rPr>
          <w:rFonts w:asciiTheme="minorHAnsi" w:hAnsiTheme="minorHAnsi" w:cstheme="minorHAnsi"/>
          <w:color w:val="000000"/>
          <w:sz w:val="22"/>
          <w:szCs w:val="22"/>
        </w:rPr>
        <w:t>LGR</w:t>
      </w:r>
      <w:r w:rsidRPr="00197E39">
        <w:rPr>
          <w:rFonts w:asciiTheme="minorHAnsi" w:hAnsiTheme="minorHAnsi" w:cstheme="minorHAnsi"/>
          <w:color w:val="000000"/>
          <w:sz w:val="22"/>
          <w:szCs w:val="22"/>
        </w:rPr>
        <w:t xml:space="preserve"> mechanism, precludes trans women from the access to the national mechanism </w:t>
      </w:r>
      <w:r w:rsidR="00197E39" w:rsidRPr="00197E39">
        <w:rPr>
          <w:rFonts w:asciiTheme="minorHAnsi" w:hAnsiTheme="minorHAnsi" w:cstheme="minorHAnsi"/>
          <w:color w:val="000000"/>
          <w:sz w:val="22"/>
          <w:szCs w:val="22"/>
        </w:rPr>
        <w:t>on</w:t>
      </w:r>
      <w:r w:rsidR="00122EA8">
        <w:rPr>
          <w:rFonts w:asciiTheme="minorHAnsi" w:hAnsiTheme="minorHAnsi" w:cstheme="minorHAnsi"/>
          <w:color w:val="000000"/>
          <w:sz w:val="22"/>
          <w:szCs w:val="22"/>
        </w:rPr>
        <w:t xml:space="preserve"> violence against women</w:t>
      </w:r>
      <w:r w:rsidRPr="00197E39">
        <w:rPr>
          <w:rFonts w:asciiTheme="minorHAnsi" w:hAnsiTheme="minorHAnsi" w:cstheme="minorHAnsi"/>
          <w:color w:val="000000"/>
          <w:sz w:val="22"/>
          <w:szCs w:val="22"/>
        </w:rPr>
        <w:t>.</w:t>
      </w:r>
      <w:r w:rsidRPr="00197E39">
        <w:rPr>
          <w:rStyle w:val="FootnoteReference"/>
          <w:rFonts w:asciiTheme="minorHAnsi" w:hAnsiTheme="minorHAnsi" w:cstheme="minorHAnsi"/>
          <w:color w:val="000000"/>
          <w:sz w:val="22"/>
          <w:szCs w:val="22"/>
        </w:rPr>
        <w:footnoteReference w:id="10"/>
      </w:r>
      <w:r w:rsidRPr="00197E39">
        <w:rPr>
          <w:rFonts w:asciiTheme="minorHAnsi" w:hAnsiTheme="minorHAnsi" w:cstheme="minorHAnsi"/>
          <w:color w:val="000000"/>
          <w:sz w:val="22"/>
          <w:szCs w:val="22"/>
        </w:rPr>
        <w:t xml:space="preserve"> </w:t>
      </w:r>
    </w:p>
    <w:p w14:paraId="7F0D7B2B" w14:textId="77777777" w:rsidR="00D414A8" w:rsidRPr="00197E39" w:rsidRDefault="00D414A8" w:rsidP="00AA240B">
      <w:pPr>
        <w:spacing w:before="120" w:after="120" w:line="276" w:lineRule="auto"/>
        <w:jc w:val="both"/>
        <w:rPr>
          <w:rFonts w:cstheme="minorHAnsi"/>
        </w:rPr>
      </w:pPr>
    </w:p>
    <w:p w14:paraId="433B1150" w14:textId="77777777" w:rsidR="00251F8A" w:rsidRPr="00A24177" w:rsidRDefault="00977A54" w:rsidP="00F123BC">
      <w:pPr>
        <w:pStyle w:val="Heading2"/>
        <w:ind w:hanging="360"/>
        <w:rPr>
          <w:rFonts w:asciiTheme="minorHAnsi" w:hAnsiTheme="minorHAnsi" w:cstheme="minorHAnsi"/>
          <w:sz w:val="22"/>
          <w:szCs w:val="22"/>
        </w:rPr>
      </w:pPr>
      <w:bookmarkStart w:id="12" w:name="_Toc72856173"/>
      <w:bookmarkStart w:id="13" w:name="_Toc73545923"/>
      <w:r w:rsidRPr="00A24177">
        <w:rPr>
          <w:rFonts w:asciiTheme="minorHAnsi" w:hAnsiTheme="minorHAnsi" w:cstheme="minorHAnsi"/>
          <w:sz w:val="22"/>
          <w:szCs w:val="22"/>
        </w:rPr>
        <w:t xml:space="preserve">2.4. </w:t>
      </w:r>
      <w:r w:rsidR="00F46CD5" w:rsidRPr="00A24177">
        <w:rPr>
          <w:rFonts w:asciiTheme="minorHAnsi" w:hAnsiTheme="minorHAnsi" w:cstheme="minorHAnsi"/>
          <w:sz w:val="22"/>
          <w:szCs w:val="22"/>
        </w:rPr>
        <w:t>Services</w:t>
      </w:r>
      <w:r w:rsidR="00251F8A" w:rsidRPr="00A24177">
        <w:rPr>
          <w:rFonts w:asciiTheme="minorHAnsi" w:hAnsiTheme="minorHAnsi" w:cstheme="minorHAnsi"/>
          <w:sz w:val="22"/>
          <w:szCs w:val="22"/>
        </w:rPr>
        <w:t xml:space="preserve"> for the</w:t>
      </w:r>
      <w:r w:rsidR="003C5589" w:rsidRPr="00A24177">
        <w:rPr>
          <w:rFonts w:asciiTheme="minorHAnsi" w:hAnsiTheme="minorHAnsi" w:cstheme="minorHAnsi"/>
          <w:sz w:val="22"/>
          <w:szCs w:val="22"/>
        </w:rPr>
        <w:t xml:space="preserve"> hate crime</w:t>
      </w:r>
      <w:r w:rsidR="00251F8A" w:rsidRPr="00A24177">
        <w:rPr>
          <w:rFonts w:asciiTheme="minorHAnsi" w:hAnsiTheme="minorHAnsi" w:cstheme="minorHAnsi"/>
          <w:sz w:val="22"/>
          <w:szCs w:val="22"/>
        </w:rPr>
        <w:t xml:space="preserve"> </w:t>
      </w:r>
      <w:r w:rsidR="003C5589" w:rsidRPr="00A24177">
        <w:rPr>
          <w:rFonts w:asciiTheme="minorHAnsi" w:hAnsiTheme="minorHAnsi" w:cstheme="minorHAnsi"/>
          <w:sz w:val="22"/>
          <w:szCs w:val="22"/>
        </w:rPr>
        <w:t>survivals</w:t>
      </w:r>
      <w:bookmarkEnd w:id="12"/>
      <w:bookmarkEnd w:id="13"/>
      <w:r w:rsidR="00251F8A" w:rsidRPr="00A24177">
        <w:rPr>
          <w:rFonts w:asciiTheme="minorHAnsi" w:hAnsiTheme="minorHAnsi" w:cstheme="minorHAnsi"/>
          <w:sz w:val="22"/>
          <w:szCs w:val="22"/>
        </w:rPr>
        <w:t xml:space="preserve"> </w:t>
      </w:r>
    </w:p>
    <w:p w14:paraId="4C140B18" w14:textId="374C88D7" w:rsidR="00197E39" w:rsidRPr="00AA240B" w:rsidRDefault="00D414A8" w:rsidP="00AA240B">
      <w:pPr>
        <w:pStyle w:val="ListParagraph"/>
        <w:numPr>
          <w:ilvl w:val="0"/>
          <w:numId w:val="11"/>
        </w:numPr>
        <w:spacing w:before="120" w:after="120" w:line="276" w:lineRule="auto"/>
        <w:ind w:left="0" w:right="-180"/>
        <w:jc w:val="both"/>
        <w:rPr>
          <w:rFonts w:eastAsia="Times New Roman" w:cstheme="minorHAnsi"/>
          <w:color w:val="000000"/>
        </w:rPr>
      </w:pPr>
      <w:r w:rsidRPr="00AA240B">
        <w:rPr>
          <w:rFonts w:eastAsia="Times New Roman" w:cstheme="minorHAnsi"/>
          <w:color w:val="000000"/>
        </w:rPr>
        <w:t>The</w:t>
      </w:r>
      <w:r w:rsidR="00251F8A" w:rsidRPr="00AA240B">
        <w:rPr>
          <w:rFonts w:eastAsia="Times New Roman" w:cstheme="minorHAnsi"/>
          <w:color w:val="000000"/>
        </w:rPr>
        <w:t xml:space="preserve"> victims of hate crime can access the Offices of Protecting Witness and Victim within the Prosecutor’s Office and the Ministry of Internal Affairs system, which have a limited number of coordinators throughout Georgia.</w:t>
      </w:r>
      <w:r w:rsidRPr="00197E39">
        <w:rPr>
          <w:rStyle w:val="FootnoteReference"/>
          <w:rFonts w:eastAsia="Times New Roman" w:cstheme="minorHAnsi"/>
          <w:color w:val="000000"/>
        </w:rPr>
        <w:footnoteReference w:id="11"/>
      </w:r>
      <w:r w:rsidR="00251F8A" w:rsidRPr="00AA240B">
        <w:rPr>
          <w:rFonts w:eastAsia="Times New Roman" w:cstheme="minorHAnsi"/>
          <w:color w:val="000000"/>
        </w:rPr>
        <w:t xml:space="preserve"> One of the responsibilities of the coordinator is to offer victims the services available at different state agencies and civil society </w:t>
      </w:r>
      <w:r w:rsidR="00197E39" w:rsidRPr="00AA240B">
        <w:rPr>
          <w:rFonts w:eastAsia="Times New Roman" w:cstheme="minorHAnsi"/>
          <w:color w:val="000000"/>
        </w:rPr>
        <w:t>organizations</w:t>
      </w:r>
      <w:r w:rsidR="00251F8A" w:rsidRPr="00AA240B">
        <w:rPr>
          <w:rFonts w:eastAsia="Times New Roman" w:cstheme="minorHAnsi"/>
          <w:color w:val="000000"/>
        </w:rPr>
        <w:t xml:space="preserve">. </w:t>
      </w:r>
      <w:r w:rsidR="00801F84">
        <w:rPr>
          <w:rFonts w:eastAsia="Times New Roman" w:cstheme="minorHAnsi"/>
          <w:color w:val="000000"/>
        </w:rPr>
        <w:t xml:space="preserve">Crucially, </w:t>
      </w:r>
      <w:r w:rsidR="00251F8A" w:rsidRPr="00AA240B">
        <w:rPr>
          <w:rFonts w:eastAsia="Times New Roman" w:cstheme="minorHAnsi"/>
          <w:color w:val="000000"/>
        </w:rPr>
        <w:t>the state doesn't offer relevant services for the victims of hate crimes itself and the coordinators of the Prosecutor’s and MIA’s are seeking those services outside the system and mainly approachi</w:t>
      </w:r>
      <w:r w:rsidRPr="00AA240B">
        <w:rPr>
          <w:rFonts w:eastAsia="Times New Roman" w:cstheme="minorHAnsi"/>
          <w:color w:val="000000"/>
        </w:rPr>
        <w:t xml:space="preserve">ng civil society organizations that </w:t>
      </w:r>
      <w:r w:rsidR="00801F84">
        <w:rPr>
          <w:rFonts w:eastAsia="Times New Roman" w:cstheme="minorHAnsi"/>
          <w:color w:val="000000"/>
        </w:rPr>
        <w:t>themselves</w:t>
      </w:r>
      <w:r w:rsidR="00801F84" w:rsidRPr="00AA240B">
        <w:rPr>
          <w:rFonts w:eastAsia="Times New Roman" w:cstheme="minorHAnsi"/>
          <w:color w:val="000000"/>
        </w:rPr>
        <w:t xml:space="preserve"> </w:t>
      </w:r>
      <w:r w:rsidRPr="00AA240B">
        <w:rPr>
          <w:rFonts w:eastAsia="Times New Roman" w:cstheme="minorHAnsi"/>
          <w:color w:val="000000"/>
        </w:rPr>
        <w:t>hav</w:t>
      </w:r>
      <w:r w:rsidR="00801F84">
        <w:rPr>
          <w:rFonts w:eastAsia="Times New Roman" w:cstheme="minorHAnsi"/>
          <w:color w:val="000000"/>
        </w:rPr>
        <w:t>e</w:t>
      </w:r>
      <w:r w:rsidRPr="00AA240B">
        <w:rPr>
          <w:rFonts w:eastAsia="Times New Roman" w:cstheme="minorHAnsi"/>
          <w:color w:val="000000"/>
        </w:rPr>
        <w:t xml:space="preserve"> limited capacity. I</w:t>
      </w:r>
      <w:r w:rsidR="00251F8A" w:rsidRPr="00AA240B">
        <w:rPr>
          <w:rFonts w:eastAsia="Times New Roman" w:cstheme="minorHAnsi"/>
          <w:color w:val="000000"/>
        </w:rPr>
        <w:t>t's crucial that the State had such guarantees as part of the fight against hate crimes itself.  </w:t>
      </w:r>
    </w:p>
    <w:p w14:paraId="37FA7A2D" w14:textId="77777777" w:rsidR="00417F3A" w:rsidRPr="00197E39" w:rsidRDefault="00417F3A" w:rsidP="00197E39">
      <w:pPr>
        <w:spacing w:before="120" w:after="120" w:line="276" w:lineRule="auto"/>
        <w:ind w:right="-180"/>
        <w:jc w:val="both"/>
        <w:rPr>
          <w:rFonts w:eastAsia="Times New Roman" w:cstheme="minorHAnsi"/>
        </w:rPr>
      </w:pPr>
    </w:p>
    <w:p w14:paraId="1F2DDDC0" w14:textId="77777777" w:rsidR="00F65C3D" w:rsidRPr="00A24177" w:rsidRDefault="00F65C3D" w:rsidP="00D94F20">
      <w:pPr>
        <w:pStyle w:val="Heading3"/>
        <w:numPr>
          <w:ilvl w:val="0"/>
          <w:numId w:val="15"/>
        </w:numPr>
        <w:ind w:left="0"/>
        <w:rPr>
          <w:rFonts w:eastAsia="Times New Roman"/>
        </w:rPr>
      </w:pPr>
      <w:bookmarkStart w:id="14" w:name="_Toc73545924"/>
      <w:r w:rsidRPr="00A24177">
        <w:rPr>
          <w:rFonts w:eastAsia="Times New Roman"/>
        </w:rPr>
        <w:t>Recommendation</w:t>
      </w:r>
      <w:r w:rsidR="00A24177" w:rsidRPr="00A24177">
        <w:rPr>
          <w:rFonts w:eastAsia="Times New Roman"/>
        </w:rPr>
        <w:t>s</w:t>
      </w:r>
      <w:r w:rsidRPr="00A24177">
        <w:rPr>
          <w:rFonts w:eastAsia="Times New Roman"/>
        </w:rPr>
        <w:t>:</w:t>
      </w:r>
      <w:bookmarkEnd w:id="14"/>
      <w:r w:rsidRPr="00A24177">
        <w:rPr>
          <w:rFonts w:eastAsia="Times New Roman"/>
        </w:rPr>
        <w:t xml:space="preserve"> </w:t>
      </w:r>
    </w:p>
    <w:p w14:paraId="3DA0DA94" w14:textId="77777777" w:rsidR="005E1943" w:rsidRDefault="00076F3B" w:rsidP="00076F3B">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Pr="00076F3B">
        <w:rPr>
          <w:rFonts w:asciiTheme="minorHAnsi" w:hAnsiTheme="minorHAnsi" w:cstheme="minorHAnsi"/>
          <w:color w:val="000000"/>
          <w:sz w:val="22"/>
          <w:szCs w:val="22"/>
        </w:rPr>
        <w:t>stablish hate crime investigation units within the law enforcement system in order to strengthen the investigation/prosecution/prevention</w:t>
      </w:r>
      <w:r>
        <w:rPr>
          <w:rFonts w:asciiTheme="minorHAnsi" w:hAnsiTheme="minorHAnsi" w:cstheme="minorHAnsi"/>
          <w:color w:val="000000"/>
          <w:sz w:val="22"/>
          <w:szCs w:val="22"/>
        </w:rPr>
        <w:t xml:space="preserve"> of hate crimes based on SOGIE.</w:t>
      </w:r>
    </w:p>
    <w:p w14:paraId="5EEE32B6" w14:textId="77777777" w:rsidR="00076F3B" w:rsidRDefault="00076F3B" w:rsidP="00076F3B">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G</w:t>
      </w:r>
      <w:r w:rsidRPr="00076F3B">
        <w:rPr>
          <w:rFonts w:asciiTheme="minorHAnsi" w:hAnsiTheme="minorHAnsi" w:cstheme="minorHAnsi"/>
          <w:color w:val="000000"/>
          <w:sz w:val="22"/>
          <w:szCs w:val="22"/>
        </w:rPr>
        <w:t xml:space="preserve">uarantee the adequate identification and processing of </w:t>
      </w:r>
      <w:r w:rsidR="009F3B97">
        <w:rPr>
          <w:rFonts w:asciiTheme="minorHAnsi" w:hAnsiTheme="minorHAnsi" w:cstheme="minorHAnsi"/>
          <w:color w:val="000000"/>
          <w:sz w:val="22"/>
          <w:szCs w:val="22"/>
        </w:rPr>
        <w:t>Domestic Violence</w:t>
      </w:r>
      <w:r w:rsidRPr="00076F3B">
        <w:rPr>
          <w:rFonts w:asciiTheme="minorHAnsi" w:hAnsiTheme="minorHAnsi" w:cstheme="minorHAnsi"/>
          <w:color w:val="000000"/>
          <w:sz w:val="22"/>
          <w:szCs w:val="22"/>
        </w:rPr>
        <w:t xml:space="preserve"> cases based on </w:t>
      </w:r>
      <w:r>
        <w:rPr>
          <w:rFonts w:asciiTheme="minorHAnsi" w:hAnsiTheme="minorHAnsi" w:cstheme="minorHAnsi"/>
          <w:color w:val="000000"/>
          <w:sz w:val="22"/>
          <w:szCs w:val="22"/>
        </w:rPr>
        <w:t>SOGIE</w:t>
      </w:r>
      <w:r w:rsidRPr="00076F3B">
        <w:rPr>
          <w:rFonts w:asciiTheme="minorHAnsi" w:hAnsiTheme="minorHAnsi" w:cstheme="minorHAnsi"/>
          <w:color w:val="000000"/>
          <w:sz w:val="22"/>
          <w:szCs w:val="22"/>
        </w:rPr>
        <w:t xml:space="preserve">, and the collection of the relevant statistics. </w:t>
      </w:r>
    </w:p>
    <w:p w14:paraId="731C4CE0" w14:textId="77777777" w:rsidR="009F3B97" w:rsidRDefault="009F3B97" w:rsidP="00197E39">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9F3B97">
        <w:rPr>
          <w:rFonts w:asciiTheme="minorHAnsi" w:hAnsiTheme="minorHAnsi" w:cstheme="minorHAnsi"/>
          <w:color w:val="000000"/>
          <w:sz w:val="22"/>
          <w:szCs w:val="22"/>
        </w:rPr>
        <w:t xml:space="preserve">Amend the Criminal Code and the Law on Elimination of Domestic Violence, Protection and Support of Victims of Domestic Violence to ensure that the rights of victims are protected without discrimination on any ground, including </w:t>
      </w:r>
      <w:r>
        <w:rPr>
          <w:rFonts w:asciiTheme="minorHAnsi" w:hAnsiTheme="minorHAnsi" w:cstheme="minorHAnsi"/>
          <w:color w:val="000000"/>
          <w:sz w:val="22"/>
          <w:szCs w:val="22"/>
        </w:rPr>
        <w:t>SOGIE, as well as civil status (Intimate Partner).</w:t>
      </w:r>
    </w:p>
    <w:p w14:paraId="1FBE28A2" w14:textId="77777777" w:rsidR="005E1943" w:rsidRDefault="009F3B97" w:rsidP="00197E39">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Introduce the </w:t>
      </w:r>
      <w:r w:rsidRPr="009F3B97">
        <w:rPr>
          <w:rFonts w:asciiTheme="minorHAnsi" w:hAnsiTheme="minorHAnsi" w:cstheme="minorHAnsi"/>
          <w:color w:val="000000"/>
          <w:sz w:val="22"/>
          <w:szCs w:val="22"/>
        </w:rPr>
        <w:t>state-funded</w:t>
      </w:r>
      <w:r>
        <w:rPr>
          <w:rFonts w:asciiTheme="minorHAnsi" w:hAnsiTheme="minorHAnsi" w:cstheme="minorHAnsi"/>
          <w:color w:val="000000"/>
          <w:sz w:val="22"/>
          <w:szCs w:val="22"/>
        </w:rPr>
        <w:t xml:space="preserve"> range of</w:t>
      </w:r>
      <w:r w:rsidRPr="009F3B97">
        <w:rPr>
          <w:rFonts w:asciiTheme="minorHAnsi" w:hAnsiTheme="minorHAnsi" w:cstheme="minorHAnsi"/>
          <w:color w:val="000000"/>
          <w:sz w:val="22"/>
          <w:szCs w:val="22"/>
        </w:rPr>
        <w:t xml:space="preserve"> services for the victims of hate crimes</w:t>
      </w:r>
      <w:r>
        <w:rPr>
          <w:rFonts w:asciiTheme="minorHAnsi" w:hAnsiTheme="minorHAnsi" w:cstheme="minorHAnsi"/>
          <w:color w:val="000000"/>
          <w:sz w:val="22"/>
          <w:szCs w:val="22"/>
        </w:rPr>
        <w:t>.</w:t>
      </w:r>
    </w:p>
    <w:p w14:paraId="5D29A10C" w14:textId="77777777" w:rsidR="009F3B97" w:rsidRPr="009F3B97" w:rsidRDefault="009F3B97" w:rsidP="009F3B97">
      <w:pPr>
        <w:pStyle w:val="NormalWeb"/>
        <w:spacing w:before="120" w:beforeAutospacing="0" w:after="120" w:afterAutospacing="0" w:line="276" w:lineRule="auto"/>
        <w:ind w:left="720"/>
        <w:jc w:val="both"/>
        <w:rPr>
          <w:rFonts w:asciiTheme="minorHAnsi" w:hAnsiTheme="minorHAnsi" w:cstheme="minorHAnsi"/>
          <w:color w:val="000000"/>
          <w:sz w:val="22"/>
          <w:szCs w:val="22"/>
        </w:rPr>
      </w:pPr>
    </w:p>
    <w:p w14:paraId="21142D2B" w14:textId="77777777" w:rsidR="003C5589" w:rsidRPr="00A24177" w:rsidRDefault="00197E39" w:rsidP="00AA240B">
      <w:pPr>
        <w:pStyle w:val="Heading1"/>
        <w:shd w:val="clear" w:color="auto" w:fill="DEEAF6" w:themeFill="accent1" w:themeFillTint="33"/>
        <w:spacing w:after="60" w:afterAutospacing="0"/>
        <w:ind w:left="-360"/>
        <w:rPr>
          <w:rFonts w:asciiTheme="minorHAnsi" w:hAnsiTheme="minorHAnsi" w:cstheme="minorHAnsi"/>
          <w:color w:val="1F4E79" w:themeColor="accent1" w:themeShade="80"/>
          <w:sz w:val="24"/>
          <w:szCs w:val="24"/>
        </w:rPr>
      </w:pPr>
      <w:bookmarkStart w:id="15" w:name="_Toc72856174"/>
      <w:bookmarkStart w:id="16" w:name="_Toc73545925"/>
      <w:r w:rsidRPr="00A24177">
        <w:rPr>
          <w:rFonts w:asciiTheme="minorHAnsi" w:hAnsiTheme="minorHAnsi" w:cstheme="minorHAnsi"/>
          <w:color w:val="1F4E79" w:themeColor="accent1" w:themeShade="80"/>
          <w:sz w:val="24"/>
          <w:szCs w:val="24"/>
        </w:rPr>
        <w:t>III</w:t>
      </w:r>
      <w:r w:rsidR="00977A54" w:rsidRPr="00A24177">
        <w:rPr>
          <w:rFonts w:asciiTheme="minorHAnsi" w:hAnsiTheme="minorHAnsi" w:cstheme="minorHAnsi"/>
          <w:color w:val="1F4E79" w:themeColor="accent1" w:themeShade="80"/>
          <w:sz w:val="24"/>
          <w:szCs w:val="24"/>
        </w:rPr>
        <w:t xml:space="preserve">. </w:t>
      </w:r>
      <w:r w:rsidR="00A24177">
        <w:rPr>
          <w:rFonts w:asciiTheme="minorHAnsi" w:hAnsiTheme="minorHAnsi" w:cstheme="minorHAnsi"/>
          <w:color w:val="1F4E79" w:themeColor="accent1" w:themeShade="80"/>
          <w:sz w:val="24"/>
          <w:szCs w:val="24"/>
        </w:rPr>
        <w:tab/>
      </w:r>
      <w:r w:rsidR="003C5589" w:rsidRPr="00A24177">
        <w:rPr>
          <w:rFonts w:asciiTheme="minorHAnsi" w:hAnsiTheme="minorHAnsi" w:cstheme="minorHAnsi"/>
          <w:color w:val="1F4E79" w:themeColor="accent1" w:themeShade="80"/>
          <w:sz w:val="24"/>
          <w:szCs w:val="24"/>
        </w:rPr>
        <w:t>Legal Gender Recognition</w:t>
      </w:r>
      <w:bookmarkEnd w:id="15"/>
      <w:bookmarkEnd w:id="16"/>
      <w:r w:rsidR="003C5589" w:rsidRPr="00A24177">
        <w:rPr>
          <w:rFonts w:asciiTheme="minorHAnsi" w:hAnsiTheme="minorHAnsi" w:cstheme="minorHAnsi"/>
          <w:color w:val="1F4E79" w:themeColor="accent1" w:themeShade="80"/>
          <w:sz w:val="24"/>
          <w:szCs w:val="24"/>
        </w:rPr>
        <w:t xml:space="preserve"> </w:t>
      </w:r>
    </w:p>
    <w:p w14:paraId="1E157C00" w14:textId="77777777" w:rsidR="00AA240B" w:rsidRPr="00AA240B" w:rsidRDefault="003C5589" w:rsidP="00AA240B">
      <w:pPr>
        <w:spacing w:before="120" w:after="240" w:line="276" w:lineRule="auto"/>
        <w:jc w:val="both"/>
        <w:rPr>
          <w:rFonts w:cstheme="minorHAnsi"/>
          <w:i/>
          <w:color w:val="2E74B5" w:themeColor="accent1" w:themeShade="BF"/>
        </w:rPr>
      </w:pPr>
      <w:r w:rsidRPr="00A24177">
        <w:rPr>
          <w:rFonts w:cstheme="minorHAnsi"/>
          <w:i/>
          <w:color w:val="2E74B5" w:themeColor="accent1" w:themeShade="BF"/>
        </w:rPr>
        <w:t>CEDAW</w:t>
      </w:r>
      <w:r w:rsidR="00197E39" w:rsidRPr="00A24177">
        <w:rPr>
          <w:rFonts w:cstheme="minorHAnsi"/>
          <w:i/>
          <w:color w:val="2E74B5" w:themeColor="accent1" w:themeShade="BF"/>
        </w:rPr>
        <w:t>:</w:t>
      </w:r>
      <w:r w:rsidRPr="00A24177">
        <w:rPr>
          <w:rFonts w:cstheme="minorHAnsi"/>
          <w:i/>
          <w:color w:val="2E74B5" w:themeColor="accent1" w:themeShade="BF"/>
        </w:rPr>
        <w:t xml:space="preserve"> art. 1-3,15. Concluding observations 34</w:t>
      </w:r>
      <w:r w:rsidR="00A24177">
        <w:rPr>
          <w:rFonts w:cstheme="minorHAnsi"/>
          <w:i/>
          <w:color w:val="2E74B5" w:themeColor="accent1" w:themeShade="BF"/>
        </w:rPr>
        <w:t>(e).</w:t>
      </w:r>
    </w:p>
    <w:p w14:paraId="3942DA60" w14:textId="09326D81" w:rsidR="00516857" w:rsidRPr="00197E39" w:rsidRDefault="0097142F" w:rsidP="008730A8">
      <w:pPr>
        <w:pStyle w:val="Default"/>
        <w:numPr>
          <w:ilvl w:val="0"/>
          <w:numId w:val="11"/>
        </w:numPr>
        <w:spacing w:before="120" w:after="120" w:line="276" w:lineRule="auto"/>
        <w:ind w:left="0"/>
        <w:jc w:val="both"/>
        <w:rPr>
          <w:rFonts w:asciiTheme="minorHAnsi" w:eastAsia="Times New Roman" w:hAnsiTheme="minorHAnsi" w:cstheme="minorHAnsi"/>
          <w:sz w:val="22"/>
          <w:szCs w:val="22"/>
        </w:rPr>
      </w:pPr>
      <w:r w:rsidRPr="00197E39">
        <w:rPr>
          <w:rFonts w:asciiTheme="minorHAnsi" w:eastAsia="Times New Roman" w:hAnsiTheme="minorHAnsi" w:cstheme="minorHAnsi"/>
          <w:sz w:val="22"/>
          <w:szCs w:val="22"/>
        </w:rPr>
        <w:t xml:space="preserve">Despite the Committee’s recommendation (35e), as well as </w:t>
      </w:r>
      <w:r w:rsidR="00295E33">
        <w:rPr>
          <w:rFonts w:asciiTheme="minorHAnsi" w:eastAsia="Times New Roman" w:hAnsiTheme="minorHAnsi" w:cstheme="minorHAnsi"/>
          <w:sz w:val="22"/>
          <w:szCs w:val="22"/>
        </w:rPr>
        <w:t>IE’s</w:t>
      </w:r>
      <w:r w:rsidRPr="00197E39">
        <w:rPr>
          <w:rFonts w:asciiTheme="minorHAnsi" w:eastAsia="Times New Roman" w:hAnsiTheme="minorHAnsi" w:cstheme="minorHAnsi"/>
          <w:sz w:val="22"/>
          <w:szCs w:val="22"/>
        </w:rPr>
        <w:t xml:space="preserve"> condemn</w:t>
      </w:r>
      <w:r w:rsidR="00C53B94" w:rsidRPr="00197E39">
        <w:rPr>
          <w:rStyle w:val="FootnoteReference"/>
          <w:rFonts w:asciiTheme="minorHAnsi" w:eastAsia="Times New Roman" w:hAnsiTheme="minorHAnsi" w:cstheme="minorHAnsi"/>
          <w:sz w:val="22"/>
          <w:szCs w:val="22"/>
        </w:rPr>
        <w:footnoteReference w:id="12"/>
      </w:r>
      <w:r w:rsidRPr="00197E39">
        <w:rPr>
          <w:rFonts w:asciiTheme="minorHAnsi" w:eastAsia="Times New Roman" w:hAnsiTheme="minorHAnsi" w:cstheme="minorHAnsi"/>
          <w:sz w:val="22"/>
          <w:szCs w:val="22"/>
        </w:rPr>
        <w:t xml:space="preserve">, the </w:t>
      </w:r>
      <w:r w:rsidR="00414E5B">
        <w:rPr>
          <w:rFonts w:asciiTheme="minorHAnsi" w:eastAsia="Times New Roman" w:hAnsiTheme="minorHAnsi" w:cstheme="minorHAnsi"/>
          <w:sz w:val="22"/>
          <w:szCs w:val="22"/>
        </w:rPr>
        <w:t>s</w:t>
      </w:r>
      <w:r w:rsidRPr="00197E39">
        <w:rPr>
          <w:rFonts w:asciiTheme="minorHAnsi" w:eastAsia="Times New Roman" w:hAnsiTheme="minorHAnsi" w:cstheme="minorHAnsi"/>
          <w:sz w:val="22"/>
          <w:szCs w:val="22"/>
        </w:rPr>
        <w:t>tate ha</w:t>
      </w:r>
      <w:r w:rsidR="00A67EB2">
        <w:rPr>
          <w:rFonts w:asciiTheme="minorHAnsi" w:eastAsia="Times New Roman" w:hAnsiTheme="minorHAnsi" w:cstheme="minorHAnsi"/>
          <w:sz w:val="22"/>
          <w:szCs w:val="22"/>
        </w:rPr>
        <w:t>s</w:t>
      </w:r>
      <w:r w:rsidRPr="00197E39">
        <w:rPr>
          <w:rFonts w:asciiTheme="minorHAnsi" w:eastAsia="Times New Roman" w:hAnsiTheme="minorHAnsi" w:cstheme="minorHAnsi"/>
          <w:sz w:val="22"/>
          <w:szCs w:val="22"/>
        </w:rPr>
        <w:t xml:space="preserve"> no progress in abolishing restrictions for trans persons with regard to obtaining identity documents.</w:t>
      </w:r>
      <w:r w:rsidR="00516857" w:rsidRPr="00197E39">
        <w:rPr>
          <w:rFonts w:asciiTheme="minorHAnsi" w:eastAsia="Times New Roman" w:hAnsiTheme="minorHAnsi" w:cstheme="minorHAnsi"/>
          <w:sz w:val="22"/>
          <w:szCs w:val="22"/>
        </w:rPr>
        <w:t xml:space="preserve"> Hence no response </w:t>
      </w:r>
      <w:r w:rsidR="00A67EB2">
        <w:rPr>
          <w:rFonts w:asciiTheme="minorHAnsi" w:eastAsia="Times New Roman" w:hAnsiTheme="minorHAnsi" w:cstheme="minorHAnsi"/>
          <w:sz w:val="22"/>
          <w:szCs w:val="22"/>
        </w:rPr>
        <w:t>in</w:t>
      </w:r>
      <w:r w:rsidR="00A67EB2" w:rsidRPr="00197E39">
        <w:rPr>
          <w:rFonts w:asciiTheme="minorHAnsi" w:eastAsia="Times New Roman" w:hAnsiTheme="minorHAnsi" w:cstheme="minorHAnsi"/>
          <w:sz w:val="22"/>
          <w:szCs w:val="22"/>
        </w:rPr>
        <w:t xml:space="preserve"> </w:t>
      </w:r>
      <w:r w:rsidR="00122EA8">
        <w:rPr>
          <w:rFonts w:asciiTheme="minorHAnsi" w:eastAsia="Times New Roman" w:hAnsiTheme="minorHAnsi" w:cstheme="minorHAnsi"/>
          <w:sz w:val="22"/>
          <w:szCs w:val="22"/>
        </w:rPr>
        <w:t>the National R</w:t>
      </w:r>
      <w:r w:rsidR="00516857" w:rsidRPr="00197E39">
        <w:rPr>
          <w:rFonts w:asciiTheme="minorHAnsi" w:eastAsia="Times New Roman" w:hAnsiTheme="minorHAnsi" w:cstheme="minorHAnsi"/>
          <w:sz w:val="22"/>
          <w:szCs w:val="22"/>
        </w:rPr>
        <w:t>eport.</w:t>
      </w:r>
      <w:r w:rsidRPr="00197E39">
        <w:rPr>
          <w:rFonts w:asciiTheme="minorHAnsi" w:eastAsia="Times New Roman" w:hAnsiTheme="minorHAnsi" w:cstheme="minorHAnsi"/>
          <w:sz w:val="22"/>
          <w:szCs w:val="22"/>
        </w:rPr>
        <w:t xml:space="preserve"> </w:t>
      </w:r>
      <w:r w:rsidRPr="00197E39">
        <w:rPr>
          <w:rFonts w:asciiTheme="minorHAnsi" w:eastAsia="Times New Roman" w:hAnsiTheme="minorHAnsi" w:cstheme="minorHAnsi"/>
          <w:sz w:val="22"/>
          <w:szCs w:val="22"/>
          <w:lang w:val="en-GB"/>
        </w:rPr>
        <w:t xml:space="preserve">Such failure </w:t>
      </w:r>
      <w:r w:rsidR="003C5589" w:rsidRPr="00197E39">
        <w:rPr>
          <w:rFonts w:asciiTheme="minorHAnsi" w:eastAsia="Times New Roman" w:hAnsiTheme="minorHAnsi" w:cstheme="minorHAnsi"/>
          <w:sz w:val="22"/>
          <w:szCs w:val="22"/>
        </w:rPr>
        <w:t xml:space="preserve">to recognize </w:t>
      </w:r>
      <w:r w:rsidR="00E318F1">
        <w:rPr>
          <w:rFonts w:asciiTheme="minorHAnsi" w:eastAsia="Times New Roman" w:hAnsiTheme="minorHAnsi" w:cstheme="minorHAnsi"/>
          <w:sz w:val="22"/>
          <w:szCs w:val="22"/>
        </w:rPr>
        <w:t xml:space="preserve">the gender identity of trans </w:t>
      </w:r>
      <w:r w:rsidR="003C5589" w:rsidRPr="00197E39">
        <w:rPr>
          <w:rFonts w:asciiTheme="minorHAnsi" w:eastAsia="Times New Roman" w:hAnsiTheme="minorHAnsi" w:cstheme="minorHAnsi"/>
          <w:sz w:val="22"/>
          <w:szCs w:val="22"/>
        </w:rPr>
        <w:t>and intersex women is a breach of A</w:t>
      </w:r>
      <w:r w:rsidRPr="00197E39">
        <w:rPr>
          <w:rFonts w:asciiTheme="minorHAnsi" w:eastAsia="Times New Roman" w:hAnsiTheme="minorHAnsi" w:cstheme="minorHAnsi"/>
          <w:sz w:val="22"/>
          <w:szCs w:val="22"/>
        </w:rPr>
        <w:t xml:space="preserve">rticles 1, 2, 3 and 15 of CEDAW. </w:t>
      </w:r>
    </w:p>
    <w:p w14:paraId="54C06E90" w14:textId="77777777" w:rsidR="005E1943" w:rsidRDefault="00516857" w:rsidP="008730A8">
      <w:pPr>
        <w:pStyle w:val="Default"/>
        <w:numPr>
          <w:ilvl w:val="0"/>
          <w:numId w:val="11"/>
        </w:numPr>
        <w:spacing w:before="120" w:after="120" w:line="276" w:lineRule="auto"/>
        <w:ind w:left="0"/>
        <w:jc w:val="both"/>
        <w:rPr>
          <w:rFonts w:asciiTheme="minorHAnsi" w:hAnsiTheme="minorHAnsi" w:cstheme="minorHAnsi"/>
          <w:sz w:val="22"/>
          <w:szCs w:val="22"/>
          <w:lang w:val="en-GB"/>
        </w:rPr>
      </w:pPr>
      <w:r w:rsidRPr="00197E39">
        <w:rPr>
          <w:rFonts w:asciiTheme="minorHAnsi" w:hAnsiTheme="minorHAnsi" w:cstheme="minorHAnsi"/>
          <w:sz w:val="22"/>
          <w:szCs w:val="22"/>
        </w:rPr>
        <w:t xml:space="preserve">LGR remains unregulated in Georgia: </w:t>
      </w:r>
      <w:r w:rsidR="00C53B94" w:rsidRPr="00197E39">
        <w:rPr>
          <w:rFonts w:asciiTheme="minorHAnsi" w:hAnsiTheme="minorHAnsi" w:cstheme="minorHAnsi"/>
          <w:sz w:val="22"/>
          <w:szCs w:val="22"/>
          <w:lang w:val="en-GB"/>
        </w:rPr>
        <w:t>According to the practice, without any legislative or administrative basis, t</w:t>
      </w:r>
      <w:r w:rsidR="0097142F" w:rsidRPr="00197E39">
        <w:rPr>
          <w:rFonts w:asciiTheme="minorHAnsi" w:hAnsiTheme="minorHAnsi" w:cstheme="minorHAnsi"/>
          <w:sz w:val="22"/>
          <w:szCs w:val="22"/>
          <w:lang w:val="en-GB"/>
        </w:rPr>
        <w:t>rans people have been forced to undergo unwanted, medically unjustified, expensive and life-threatening procedures in order to change gender marker in their IDs. Namely, under the current practice, new ID and birth certificate can be issued only after a person undergoes multiple medical procedures, including hormonal therapy and gender reassig</w:t>
      </w:r>
      <w:r w:rsidR="00C53B94" w:rsidRPr="00197E39">
        <w:rPr>
          <w:rFonts w:asciiTheme="minorHAnsi" w:hAnsiTheme="minorHAnsi" w:cstheme="minorHAnsi"/>
          <w:sz w:val="22"/>
          <w:szCs w:val="22"/>
          <w:lang w:val="en-GB"/>
        </w:rPr>
        <w:t>nment surgery, i.e.</w:t>
      </w:r>
      <w:r w:rsidR="0097142F" w:rsidRPr="00197E39">
        <w:rPr>
          <w:rFonts w:asciiTheme="minorHAnsi" w:hAnsiTheme="minorHAnsi" w:cstheme="minorHAnsi"/>
          <w:sz w:val="22"/>
          <w:szCs w:val="22"/>
          <w:lang w:val="en-GB"/>
        </w:rPr>
        <w:t xml:space="preserve"> irreversible sterilization, hormonal treatment and preliminary surgical procedures are ma</w:t>
      </w:r>
      <w:r w:rsidR="00C53B94" w:rsidRPr="00197E39">
        <w:rPr>
          <w:rFonts w:asciiTheme="minorHAnsi" w:hAnsiTheme="minorHAnsi" w:cstheme="minorHAnsi"/>
          <w:sz w:val="22"/>
          <w:szCs w:val="22"/>
          <w:lang w:val="en-GB"/>
        </w:rPr>
        <w:t>ndatory to change gender marker.</w:t>
      </w:r>
      <w:r w:rsidR="00C53B94" w:rsidRPr="00197E39">
        <w:rPr>
          <w:rStyle w:val="FootnoteReference"/>
          <w:rFonts w:asciiTheme="minorHAnsi" w:hAnsiTheme="minorHAnsi" w:cstheme="minorHAnsi"/>
          <w:sz w:val="22"/>
          <w:szCs w:val="22"/>
          <w:lang w:val="en-GB"/>
        </w:rPr>
        <w:footnoteReference w:id="13"/>
      </w:r>
      <w:r w:rsidR="00977A54" w:rsidRPr="00197E39">
        <w:rPr>
          <w:rFonts w:asciiTheme="minorHAnsi" w:hAnsiTheme="minorHAnsi" w:cstheme="minorHAnsi"/>
          <w:sz w:val="22"/>
          <w:szCs w:val="22"/>
          <w:lang w:val="en-GB"/>
        </w:rPr>
        <w:t xml:space="preserve"> </w:t>
      </w:r>
    </w:p>
    <w:p w14:paraId="755E7468" w14:textId="77777777" w:rsidR="00417F3A" w:rsidRPr="00197E39" w:rsidRDefault="00417F3A" w:rsidP="00EF39B3">
      <w:pPr>
        <w:pStyle w:val="Default"/>
        <w:spacing w:before="120" w:after="120" w:line="276" w:lineRule="auto"/>
        <w:jc w:val="both"/>
        <w:rPr>
          <w:rFonts w:asciiTheme="minorHAnsi" w:hAnsiTheme="minorHAnsi" w:cstheme="minorHAnsi"/>
          <w:sz w:val="22"/>
          <w:szCs w:val="22"/>
          <w:lang w:val="en-GB"/>
        </w:rPr>
      </w:pPr>
    </w:p>
    <w:p w14:paraId="43A4C1C7" w14:textId="77777777" w:rsidR="00D94F20" w:rsidRPr="00A24177" w:rsidRDefault="00D94F20" w:rsidP="00D94F20">
      <w:pPr>
        <w:pStyle w:val="Heading3"/>
        <w:numPr>
          <w:ilvl w:val="0"/>
          <w:numId w:val="15"/>
        </w:numPr>
        <w:ind w:left="0"/>
        <w:rPr>
          <w:rFonts w:eastAsia="Times New Roman"/>
        </w:rPr>
      </w:pPr>
      <w:bookmarkStart w:id="17" w:name="_Toc73545926"/>
      <w:r w:rsidRPr="00A24177">
        <w:rPr>
          <w:rFonts w:eastAsia="Times New Roman"/>
        </w:rPr>
        <w:t>Recommendations:</w:t>
      </w:r>
      <w:bookmarkEnd w:id="17"/>
      <w:r w:rsidRPr="00A24177">
        <w:rPr>
          <w:rFonts w:eastAsia="Times New Roman"/>
        </w:rPr>
        <w:t xml:space="preserve"> </w:t>
      </w:r>
    </w:p>
    <w:p w14:paraId="22AABCD9" w14:textId="77777777" w:rsidR="00B74D12" w:rsidRDefault="00EF39B3" w:rsidP="00EF39B3">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EF39B3">
        <w:rPr>
          <w:rFonts w:asciiTheme="minorHAnsi" w:hAnsiTheme="minorHAnsi" w:cstheme="minorHAnsi"/>
          <w:color w:val="000000"/>
          <w:sz w:val="22"/>
          <w:szCs w:val="22"/>
        </w:rPr>
        <w:t>Regulate</w:t>
      </w:r>
      <w:r w:rsidR="009F3B97" w:rsidRPr="00EF39B3">
        <w:rPr>
          <w:rFonts w:asciiTheme="minorHAnsi" w:hAnsiTheme="minorHAnsi" w:cstheme="minorHAnsi"/>
          <w:color w:val="000000"/>
          <w:sz w:val="22"/>
          <w:szCs w:val="22"/>
        </w:rPr>
        <w:t xml:space="preserve"> the process of LGR that is quick, accessible, transparent </w:t>
      </w:r>
      <w:r w:rsidRPr="00EF39B3">
        <w:rPr>
          <w:rFonts w:asciiTheme="minorHAnsi" w:hAnsiTheme="minorHAnsi" w:cstheme="minorHAnsi"/>
          <w:color w:val="000000"/>
          <w:sz w:val="22"/>
          <w:szCs w:val="22"/>
        </w:rPr>
        <w:t xml:space="preserve">administrative procedure </w:t>
      </w:r>
      <w:r w:rsidR="009F3B97" w:rsidRPr="00EF39B3">
        <w:rPr>
          <w:rFonts w:asciiTheme="minorHAnsi" w:hAnsiTheme="minorHAnsi" w:cstheme="minorHAnsi"/>
          <w:color w:val="000000"/>
          <w:sz w:val="22"/>
          <w:szCs w:val="22"/>
        </w:rPr>
        <w:t xml:space="preserve">based on self-determination. </w:t>
      </w:r>
    </w:p>
    <w:p w14:paraId="0B1B843D" w14:textId="77777777" w:rsidR="006F25B7" w:rsidRPr="00EF39B3" w:rsidRDefault="006F25B7" w:rsidP="00EF39B3">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6F25B7">
        <w:rPr>
          <w:rFonts w:asciiTheme="minorHAnsi" w:hAnsiTheme="minorHAnsi" w:cstheme="minorHAnsi"/>
          <w:color w:val="000000"/>
          <w:sz w:val="22"/>
          <w:szCs w:val="22"/>
        </w:rPr>
        <w:t>Eliminate abusive requirements as prerequisites for gender marker change, including forced involuntary sterilization, medical procedures related to transition, surgery and hormonal therapies, and mandatory medical diagnosis, psychological appraisals or other medical or psychosocial procedures or treatment.</w:t>
      </w:r>
    </w:p>
    <w:p w14:paraId="39ACBC80" w14:textId="77777777" w:rsidR="00EF39B3" w:rsidRPr="00EF39B3" w:rsidRDefault="00EF39B3" w:rsidP="00EF39B3">
      <w:pPr>
        <w:pStyle w:val="ListParagraph"/>
        <w:spacing w:before="120" w:after="120" w:line="276" w:lineRule="auto"/>
        <w:jc w:val="both"/>
        <w:rPr>
          <w:rFonts w:cstheme="minorHAnsi"/>
        </w:rPr>
      </w:pPr>
    </w:p>
    <w:p w14:paraId="32C85803" w14:textId="77777777" w:rsidR="004C430E" w:rsidRPr="00A24177" w:rsidRDefault="00B74D12" w:rsidP="00AA240B">
      <w:pPr>
        <w:pStyle w:val="Heading1"/>
        <w:shd w:val="clear" w:color="auto" w:fill="DEEAF6" w:themeFill="accent1" w:themeFillTint="33"/>
        <w:spacing w:after="60" w:afterAutospacing="0"/>
        <w:ind w:left="-360"/>
        <w:rPr>
          <w:rFonts w:asciiTheme="minorHAnsi" w:hAnsiTheme="minorHAnsi" w:cstheme="minorHAnsi"/>
          <w:color w:val="1F4E79" w:themeColor="accent1" w:themeShade="80"/>
          <w:sz w:val="24"/>
          <w:szCs w:val="24"/>
        </w:rPr>
      </w:pPr>
      <w:bookmarkStart w:id="18" w:name="_Toc72856175"/>
      <w:bookmarkStart w:id="19" w:name="_Toc73545927"/>
      <w:r w:rsidRPr="00A24177">
        <w:rPr>
          <w:rFonts w:asciiTheme="minorHAnsi" w:hAnsiTheme="minorHAnsi" w:cstheme="minorHAnsi"/>
          <w:color w:val="1F4E79" w:themeColor="accent1" w:themeShade="80"/>
          <w:sz w:val="24"/>
          <w:szCs w:val="24"/>
        </w:rPr>
        <w:t>IV</w:t>
      </w:r>
      <w:r w:rsidR="00977A54" w:rsidRPr="00A24177">
        <w:rPr>
          <w:rFonts w:asciiTheme="minorHAnsi" w:hAnsiTheme="minorHAnsi" w:cstheme="minorHAnsi"/>
          <w:color w:val="1F4E79" w:themeColor="accent1" w:themeShade="80"/>
          <w:sz w:val="24"/>
          <w:szCs w:val="24"/>
        </w:rPr>
        <w:t xml:space="preserve">. </w:t>
      </w:r>
      <w:r w:rsidR="00700BC5" w:rsidRPr="00A24177">
        <w:rPr>
          <w:rFonts w:asciiTheme="minorHAnsi" w:hAnsiTheme="minorHAnsi" w:cstheme="minorHAnsi"/>
          <w:color w:val="1F4E79" w:themeColor="accent1" w:themeShade="80"/>
          <w:sz w:val="24"/>
          <w:szCs w:val="24"/>
        </w:rPr>
        <w:t>Combatting discrimination and stereotyping through education</w:t>
      </w:r>
      <w:bookmarkEnd w:id="18"/>
      <w:bookmarkEnd w:id="19"/>
      <w:r w:rsidR="00700BC5" w:rsidRPr="00A24177">
        <w:rPr>
          <w:rFonts w:asciiTheme="minorHAnsi" w:hAnsiTheme="minorHAnsi" w:cstheme="minorHAnsi"/>
          <w:color w:val="1F4E79" w:themeColor="accent1" w:themeShade="80"/>
          <w:sz w:val="24"/>
          <w:szCs w:val="24"/>
        </w:rPr>
        <w:t xml:space="preserve"> </w:t>
      </w:r>
    </w:p>
    <w:p w14:paraId="4AE538F1" w14:textId="77777777" w:rsidR="006D5E38" w:rsidRPr="00AA240B" w:rsidRDefault="00700BC5" w:rsidP="00AA240B">
      <w:pPr>
        <w:pStyle w:val="NormalWeb"/>
        <w:spacing w:before="120" w:beforeAutospacing="0" w:after="240" w:afterAutospacing="0" w:line="276" w:lineRule="auto"/>
        <w:ind w:left="-360" w:firstLine="360"/>
        <w:jc w:val="both"/>
        <w:rPr>
          <w:rFonts w:asciiTheme="minorHAnsi" w:hAnsiTheme="minorHAnsi" w:cstheme="minorHAnsi"/>
          <w:color w:val="2E74B5" w:themeColor="accent1" w:themeShade="BF"/>
          <w:sz w:val="22"/>
          <w:szCs w:val="22"/>
        </w:rPr>
      </w:pPr>
      <w:r w:rsidRPr="00A24177">
        <w:rPr>
          <w:rFonts w:asciiTheme="minorHAnsi" w:hAnsiTheme="minorHAnsi" w:cstheme="minorHAnsi"/>
          <w:i/>
          <w:color w:val="2E74B5" w:themeColor="accent1" w:themeShade="BF"/>
          <w:sz w:val="22"/>
          <w:szCs w:val="22"/>
        </w:rPr>
        <w:t>CEDAW</w:t>
      </w:r>
      <w:r w:rsidR="004C430E" w:rsidRPr="00A24177">
        <w:rPr>
          <w:rFonts w:asciiTheme="minorHAnsi" w:hAnsiTheme="minorHAnsi" w:cstheme="minorHAnsi"/>
          <w:i/>
          <w:color w:val="2E74B5" w:themeColor="accent1" w:themeShade="BF"/>
          <w:sz w:val="22"/>
          <w:szCs w:val="22"/>
        </w:rPr>
        <w:t>:</w:t>
      </w:r>
      <w:r w:rsidRPr="00A24177">
        <w:rPr>
          <w:rFonts w:asciiTheme="minorHAnsi" w:hAnsiTheme="minorHAnsi" w:cstheme="minorHAnsi"/>
          <w:i/>
          <w:color w:val="2E74B5" w:themeColor="accent1" w:themeShade="BF"/>
          <w:sz w:val="22"/>
          <w:szCs w:val="22"/>
        </w:rPr>
        <w:t xml:space="preserve"> art. </w:t>
      </w:r>
      <w:r w:rsidRPr="00A24177">
        <w:rPr>
          <w:rFonts w:asciiTheme="minorHAnsi" w:hAnsiTheme="minorHAnsi" w:cstheme="minorHAnsi"/>
          <w:i/>
          <w:color w:val="2E74B5" w:themeColor="accent1" w:themeShade="BF"/>
          <w:sz w:val="22"/>
          <w:szCs w:val="22"/>
          <w:lang w:val="ka-GE"/>
        </w:rPr>
        <w:t>2; 10.</w:t>
      </w:r>
      <w:r w:rsidRPr="00A24177">
        <w:rPr>
          <w:rFonts w:asciiTheme="minorHAnsi" w:hAnsiTheme="minorHAnsi" w:cstheme="minorHAnsi"/>
          <w:i/>
          <w:color w:val="2E74B5" w:themeColor="accent1" w:themeShade="BF"/>
          <w:sz w:val="22"/>
          <w:szCs w:val="22"/>
        </w:rPr>
        <w:t xml:space="preserve"> </w:t>
      </w:r>
      <w:r w:rsidR="007B721E" w:rsidRPr="00A24177">
        <w:rPr>
          <w:rFonts w:asciiTheme="minorHAnsi" w:hAnsiTheme="minorHAnsi" w:cstheme="minorHAnsi"/>
          <w:i/>
          <w:color w:val="2E74B5" w:themeColor="accent1" w:themeShade="BF"/>
          <w:sz w:val="22"/>
          <w:szCs w:val="22"/>
        </w:rPr>
        <w:t>GR</w:t>
      </w:r>
      <w:r w:rsidR="004C430E" w:rsidRPr="00A24177">
        <w:rPr>
          <w:rFonts w:asciiTheme="minorHAnsi" w:hAnsiTheme="minorHAnsi" w:cstheme="minorHAnsi"/>
          <w:i/>
          <w:color w:val="2E74B5" w:themeColor="accent1" w:themeShade="BF"/>
          <w:sz w:val="22"/>
          <w:szCs w:val="22"/>
        </w:rPr>
        <w:t>:</w:t>
      </w:r>
      <w:r w:rsidR="007B721E" w:rsidRPr="00A24177">
        <w:rPr>
          <w:rFonts w:asciiTheme="minorHAnsi" w:hAnsiTheme="minorHAnsi" w:cstheme="minorHAnsi"/>
          <w:i/>
          <w:color w:val="2E74B5" w:themeColor="accent1" w:themeShade="BF"/>
          <w:sz w:val="22"/>
          <w:szCs w:val="22"/>
        </w:rPr>
        <w:t xml:space="preserve"> N36.</w:t>
      </w:r>
    </w:p>
    <w:p w14:paraId="56C644D3" w14:textId="029D95EB" w:rsidR="00B57E82" w:rsidRPr="00197E39" w:rsidRDefault="006D5E38" w:rsidP="008730A8">
      <w:pPr>
        <w:pStyle w:val="Default"/>
        <w:numPr>
          <w:ilvl w:val="0"/>
          <w:numId w:val="11"/>
        </w:numPr>
        <w:spacing w:before="120" w:after="120" w:line="276" w:lineRule="auto"/>
        <w:ind w:left="0"/>
        <w:jc w:val="both"/>
        <w:rPr>
          <w:rFonts w:asciiTheme="minorHAnsi" w:hAnsiTheme="minorHAnsi" w:cstheme="minorHAnsi"/>
          <w:sz w:val="22"/>
          <w:szCs w:val="22"/>
        </w:rPr>
      </w:pPr>
      <w:r w:rsidRPr="00197E39">
        <w:rPr>
          <w:rFonts w:asciiTheme="minorHAnsi" w:hAnsiTheme="minorHAnsi" w:cstheme="minorHAnsi"/>
          <w:sz w:val="22"/>
          <w:szCs w:val="22"/>
        </w:rPr>
        <w:t>Even though schools</w:t>
      </w:r>
      <w:r w:rsidR="00700BC5" w:rsidRPr="00197E39">
        <w:rPr>
          <w:rFonts w:asciiTheme="minorHAnsi" w:hAnsiTheme="minorHAnsi" w:cstheme="minorHAnsi"/>
          <w:sz w:val="22"/>
          <w:szCs w:val="22"/>
        </w:rPr>
        <w:t xml:space="preserve"> are </w:t>
      </w:r>
      <w:r w:rsidR="00295E33">
        <w:rPr>
          <w:rFonts w:asciiTheme="minorHAnsi" w:hAnsiTheme="minorHAnsi" w:cstheme="minorHAnsi"/>
          <w:sz w:val="22"/>
          <w:szCs w:val="22"/>
        </w:rPr>
        <w:t>crucial</w:t>
      </w:r>
      <w:r w:rsidR="00700BC5" w:rsidRPr="00197E39">
        <w:rPr>
          <w:rFonts w:asciiTheme="minorHAnsi" w:hAnsiTheme="minorHAnsi" w:cstheme="minorHAnsi"/>
          <w:sz w:val="22"/>
          <w:szCs w:val="22"/>
        </w:rPr>
        <w:t xml:space="preserve"> spaces to learn social d</w:t>
      </w:r>
      <w:r w:rsidRPr="00197E39">
        <w:rPr>
          <w:rFonts w:asciiTheme="minorHAnsi" w:hAnsiTheme="minorHAnsi" w:cstheme="minorHAnsi"/>
          <w:sz w:val="22"/>
          <w:szCs w:val="22"/>
        </w:rPr>
        <w:t xml:space="preserve">iversity and individual esteem, </w:t>
      </w:r>
      <w:r w:rsidR="00700BC5" w:rsidRPr="00197E39">
        <w:rPr>
          <w:rFonts w:asciiTheme="minorHAnsi" w:hAnsiTheme="minorHAnsi" w:cstheme="minorHAnsi"/>
          <w:sz w:val="22"/>
          <w:szCs w:val="22"/>
        </w:rPr>
        <w:t xml:space="preserve">the </w:t>
      </w:r>
      <w:r w:rsidRPr="00197E39">
        <w:rPr>
          <w:rFonts w:asciiTheme="minorHAnsi" w:hAnsiTheme="minorHAnsi" w:cstheme="minorHAnsi"/>
          <w:sz w:val="22"/>
          <w:szCs w:val="22"/>
        </w:rPr>
        <w:t xml:space="preserve">Georgian </w:t>
      </w:r>
      <w:r w:rsidR="00700BC5" w:rsidRPr="00197E39">
        <w:rPr>
          <w:rFonts w:asciiTheme="minorHAnsi" w:hAnsiTheme="minorHAnsi" w:cstheme="minorHAnsi"/>
          <w:sz w:val="22"/>
          <w:szCs w:val="22"/>
        </w:rPr>
        <w:t xml:space="preserve">educational system reproduces social inequalities. </w:t>
      </w:r>
      <w:r w:rsidRPr="00197E39">
        <w:rPr>
          <w:rFonts w:asciiTheme="minorHAnsi" w:hAnsiTheme="minorHAnsi" w:cstheme="minorHAnsi"/>
          <w:sz w:val="22"/>
          <w:szCs w:val="22"/>
        </w:rPr>
        <w:t>Discrimination of L</w:t>
      </w:r>
      <w:r w:rsidR="007D1C5F">
        <w:rPr>
          <w:rFonts w:asciiTheme="minorHAnsi" w:hAnsiTheme="minorHAnsi" w:cstheme="minorHAnsi"/>
          <w:sz w:val="22"/>
          <w:szCs w:val="22"/>
        </w:rPr>
        <w:t>(G)</w:t>
      </w:r>
      <w:r w:rsidRPr="00197E39">
        <w:rPr>
          <w:rFonts w:asciiTheme="minorHAnsi" w:hAnsiTheme="minorHAnsi" w:cstheme="minorHAnsi"/>
          <w:sz w:val="22"/>
          <w:szCs w:val="22"/>
        </w:rPr>
        <w:t>BT</w:t>
      </w:r>
      <w:r w:rsidR="007D1C5F">
        <w:rPr>
          <w:rFonts w:asciiTheme="minorHAnsi" w:hAnsiTheme="minorHAnsi" w:cstheme="minorHAnsi"/>
          <w:sz w:val="22"/>
          <w:szCs w:val="22"/>
        </w:rPr>
        <w:t>I</w:t>
      </w:r>
      <w:r w:rsidRPr="00197E39">
        <w:rPr>
          <w:rFonts w:asciiTheme="minorHAnsi" w:hAnsiTheme="minorHAnsi" w:cstheme="minorHAnsi"/>
          <w:sz w:val="22"/>
          <w:szCs w:val="22"/>
        </w:rPr>
        <w:t xml:space="preserve"> youth in a forms of gender stereotyping, violence and bullying still persists in Georgia and has a </w:t>
      </w:r>
      <w:r w:rsidR="00B57E82" w:rsidRPr="00197E39">
        <w:rPr>
          <w:rFonts w:asciiTheme="minorHAnsi" w:hAnsiTheme="minorHAnsi" w:cstheme="minorHAnsi"/>
          <w:sz w:val="22"/>
          <w:szCs w:val="22"/>
        </w:rPr>
        <w:t>devastating</w:t>
      </w:r>
      <w:r w:rsidRPr="00197E39">
        <w:rPr>
          <w:rFonts w:asciiTheme="minorHAnsi" w:hAnsiTheme="minorHAnsi" w:cstheme="minorHAnsi"/>
          <w:sz w:val="22"/>
          <w:szCs w:val="22"/>
        </w:rPr>
        <w:t xml:space="preserve"> impact on their everyday life. </w:t>
      </w:r>
    </w:p>
    <w:p w14:paraId="0F4B333D" w14:textId="57FE2457" w:rsidR="00B74D12" w:rsidRPr="00AA240B" w:rsidRDefault="006D5E38" w:rsidP="008730A8">
      <w:pPr>
        <w:pStyle w:val="ListParagraph"/>
        <w:numPr>
          <w:ilvl w:val="0"/>
          <w:numId w:val="11"/>
        </w:numPr>
        <w:tabs>
          <w:tab w:val="left" w:pos="426"/>
        </w:tabs>
        <w:spacing w:before="120" w:after="120" w:line="276" w:lineRule="auto"/>
        <w:ind w:left="0"/>
        <w:jc w:val="both"/>
        <w:rPr>
          <w:rFonts w:cstheme="minorHAnsi"/>
        </w:rPr>
      </w:pPr>
      <w:r w:rsidRPr="00AA240B">
        <w:rPr>
          <w:rFonts w:eastAsia="Calibri" w:cstheme="minorHAnsi"/>
          <w:bCs/>
        </w:rPr>
        <w:t>Bullying in general and especially towards LGBT</w:t>
      </w:r>
      <w:r w:rsidR="007D1C5F">
        <w:rPr>
          <w:rFonts w:eastAsia="Calibri" w:cstheme="minorHAnsi"/>
          <w:bCs/>
        </w:rPr>
        <w:t>I</w:t>
      </w:r>
      <w:r w:rsidRPr="00AA240B">
        <w:rPr>
          <w:rFonts w:eastAsia="Calibri" w:cstheme="minorHAnsi"/>
          <w:bCs/>
        </w:rPr>
        <w:t xml:space="preserve"> youth at school remains a problem. </w:t>
      </w:r>
      <w:r w:rsidRPr="00AA240B">
        <w:rPr>
          <w:rFonts w:cstheme="minorHAnsi"/>
          <w:color w:val="000000"/>
        </w:rPr>
        <w:t xml:space="preserve">Additionally, no detailed analyses </w:t>
      </w:r>
      <w:r w:rsidR="00A67EB2">
        <w:rPr>
          <w:rFonts w:cstheme="minorHAnsi"/>
          <w:color w:val="000000"/>
        </w:rPr>
        <w:t>of</w:t>
      </w:r>
      <w:r w:rsidR="00A67EB2" w:rsidRPr="00AA240B">
        <w:rPr>
          <w:rFonts w:cstheme="minorHAnsi"/>
          <w:color w:val="000000"/>
        </w:rPr>
        <w:t xml:space="preserve"> </w:t>
      </w:r>
      <w:r w:rsidRPr="00AA240B">
        <w:rPr>
          <w:rFonts w:cstheme="minorHAnsi"/>
          <w:color w:val="000000"/>
        </w:rPr>
        <w:t xml:space="preserve">the school textbooks has been </w:t>
      </w:r>
      <w:r w:rsidR="00A67EB2">
        <w:rPr>
          <w:rFonts w:cstheme="minorHAnsi"/>
          <w:color w:val="000000"/>
        </w:rPr>
        <w:t>conducted</w:t>
      </w:r>
      <w:r w:rsidRPr="00AA240B">
        <w:rPr>
          <w:rFonts w:cstheme="minorHAnsi"/>
          <w:color w:val="000000"/>
        </w:rPr>
        <w:t xml:space="preserve">, which would determine </w:t>
      </w:r>
      <w:r w:rsidR="00A67EB2">
        <w:rPr>
          <w:rFonts w:cstheme="minorHAnsi"/>
          <w:color w:val="000000"/>
        </w:rPr>
        <w:t>whether</w:t>
      </w:r>
      <w:r w:rsidR="00A67EB2" w:rsidRPr="00AA240B">
        <w:rPr>
          <w:rFonts w:cstheme="minorHAnsi"/>
          <w:color w:val="000000"/>
        </w:rPr>
        <w:t xml:space="preserve"> </w:t>
      </w:r>
      <w:r w:rsidRPr="00AA240B">
        <w:rPr>
          <w:rFonts w:cstheme="minorHAnsi"/>
          <w:color w:val="000000"/>
        </w:rPr>
        <w:t>the tex</w:t>
      </w:r>
      <w:r w:rsidR="00B57E82" w:rsidRPr="00AA240B">
        <w:rPr>
          <w:rFonts w:cstheme="minorHAnsi"/>
          <w:color w:val="000000"/>
        </w:rPr>
        <w:t>tbooks are free from homo/transphobi</w:t>
      </w:r>
      <w:r w:rsidR="00295E33" w:rsidRPr="00AA240B">
        <w:rPr>
          <w:rFonts w:cstheme="minorHAnsi"/>
          <w:color w:val="000000"/>
        </w:rPr>
        <w:t>c stereotyping</w:t>
      </w:r>
      <w:r w:rsidRPr="00AA240B">
        <w:rPr>
          <w:rFonts w:cstheme="minorHAnsi"/>
          <w:color w:val="000000"/>
        </w:rPr>
        <w:t xml:space="preserve">. </w:t>
      </w:r>
      <w:r w:rsidRPr="00AA240B">
        <w:rPr>
          <w:rFonts w:cstheme="minorHAnsi"/>
        </w:rPr>
        <w:t xml:space="preserve">None of special awareness rising programmes or any psychological </w:t>
      </w:r>
      <w:r w:rsidR="00295E33" w:rsidRPr="00AA240B">
        <w:rPr>
          <w:rFonts w:cstheme="minorHAnsi"/>
        </w:rPr>
        <w:t>support</w:t>
      </w:r>
      <w:r w:rsidRPr="00AA240B">
        <w:rPr>
          <w:rFonts w:cstheme="minorHAnsi"/>
        </w:rPr>
        <w:t xml:space="preserve"> exist in order to meet special needs of L</w:t>
      </w:r>
      <w:r w:rsidR="00295E33" w:rsidRPr="00AA240B">
        <w:rPr>
          <w:rFonts w:cstheme="minorHAnsi"/>
        </w:rPr>
        <w:t>(</w:t>
      </w:r>
      <w:r w:rsidRPr="00AA240B">
        <w:rPr>
          <w:rFonts w:cstheme="minorHAnsi"/>
        </w:rPr>
        <w:t>G</w:t>
      </w:r>
      <w:r w:rsidR="00295E33" w:rsidRPr="00AA240B">
        <w:rPr>
          <w:rFonts w:cstheme="minorHAnsi"/>
        </w:rPr>
        <w:t>)BTI pupils</w:t>
      </w:r>
      <w:r w:rsidRPr="00AA240B">
        <w:rPr>
          <w:rFonts w:cstheme="minorHAnsi"/>
        </w:rPr>
        <w:t>.</w:t>
      </w:r>
      <w:r w:rsidR="00B57051" w:rsidRPr="00AA240B">
        <w:rPr>
          <w:rFonts w:cstheme="minorHAnsi"/>
        </w:rPr>
        <w:t xml:space="preserve"> </w:t>
      </w:r>
      <w:r w:rsidRPr="00AA240B">
        <w:rPr>
          <w:rFonts w:cstheme="minorHAnsi"/>
        </w:rPr>
        <w:t>Moreover, the research of the Public Defender about the human rights i</w:t>
      </w:r>
      <w:r w:rsidR="00A67EB2">
        <w:rPr>
          <w:rFonts w:cstheme="minorHAnsi"/>
        </w:rPr>
        <w:t>n</w:t>
      </w:r>
      <w:r w:rsidRPr="00AA240B">
        <w:rPr>
          <w:rFonts w:cstheme="minorHAnsi"/>
        </w:rPr>
        <w:t xml:space="preserve"> educational institutions clearly outlines how intolerant the school educational system </w:t>
      </w:r>
      <w:r w:rsidR="00A67EB2">
        <w:rPr>
          <w:rFonts w:cstheme="minorHAnsi"/>
        </w:rPr>
        <w:t xml:space="preserve">is </w:t>
      </w:r>
      <w:r w:rsidRPr="00AA240B">
        <w:rPr>
          <w:rFonts w:cstheme="minorHAnsi"/>
        </w:rPr>
        <w:t xml:space="preserve">in regard </w:t>
      </w:r>
      <w:r w:rsidR="00A67EB2">
        <w:rPr>
          <w:rFonts w:cstheme="minorHAnsi"/>
        </w:rPr>
        <w:t xml:space="preserve">to </w:t>
      </w:r>
      <w:r w:rsidRPr="00AA240B">
        <w:rPr>
          <w:rFonts w:cstheme="minorHAnsi"/>
        </w:rPr>
        <w:t>SOGIE.</w:t>
      </w:r>
      <w:r w:rsidRPr="00197E39">
        <w:rPr>
          <w:rStyle w:val="FootnoteReference"/>
          <w:rFonts w:cstheme="minorHAnsi"/>
        </w:rPr>
        <w:footnoteReference w:id="14"/>
      </w:r>
      <w:r w:rsidR="00B74D12" w:rsidRPr="00AA240B">
        <w:rPr>
          <w:rFonts w:cstheme="minorHAnsi"/>
        </w:rPr>
        <w:t xml:space="preserve"> Thus, the formal education system in Georgia on the one hand, can’t provide dissemination of knowledge on SOGIE issues free from stereotyping, and on the other hand, does almost nothing to promote a tolerant and inclusive environment for LGBT</w:t>
      </w:r>
      <w:r w:rsidR="007D1C5F">
        <w:rPr>
          <w:rFonts w:cstheme="minorHAnsi"/>
        </w:rPr>
        <w:t>I</w:t>
      </w:r>
      <w:r w:rsidR="00B74D12" w:rsidRPr="00AA240B">
        <w:rPr>
          <w:rFonts w:cstheme="minorHAnsi"/>
        </w:rPr>
        <w:t xml:space="preserve"> people.</w:t>
      </w:r>
    </w:p>
    <w:p w14:paraId="52F963CE" w14:textId="4BC4F891" w:rsidR="00B57051" w:rsidRPr="00197E39" w:rsidRDefault="006D5E38" w:rsidP="008730A8">
      <w:pPr>
        <w:pStyle w:val="bheader"/>
        <w:numPr>
          <w:ilvl w:val="0"/>
          <w:numId w:val="11"/>
        </w:numPr>
        <w:spacing w:before="120" w:beforeAutospacing="0" w:after="120" w:afterAutospacing="0" w:line="276" w:lineRule="auto"/>
        <w:ind w:left="0"/>
        <w:jc w:val="both"/>
        <w:rPr>
          <w:rFonts w:asciiTheme="minorHAnsi" w:hAnsiTheme="minorHAnsi" w:cstheme="minorHAnsi"/>
          <w:b w:val="0"/>
          <w:sz w:val="22"/>
          <w:szCs w:val="22"/>
        </w:rPr>
      </w:pPr>
      <w:r w:rsidRPr="00197E39">
        <w:rPr>
          <w:rFonts w:asciiTheme="minorHAnsi" w:eastAsia="Calibri" w:hAnsiTheme="minorHAnsi" w:cstheme="minorHAnsi"/>
          <w:b w:val="0"/>
          <w:bCs w:val="0"/>
          <w:color w:val="auto"/>
          <w:sz w:val="22"/>
          <w:szCs w:val="22"/>
        </w:rPr>
        <w:t xml:space="preserve">According to the </w:t>
      </w:r>
      <w:r w:rsidR="00B57E82" w:rsidRPr="00197E39">
        <w:rPr>
          <w:rFonts w:asciiTheme="minorHAnsi" w:eastAsia="Calibri" w:hAnsiTheme="minorHAnsi" w:cstheme="minorHAnsi"/>
          <w:b w:val="0"/>
          <w:bCs w:val="0"/>
          <w:color w:val="auto"/>
          <w:sz w:val="22"/>
          <w:szCs w:val="22"/>
        </w:rPr>
        <w:t xml:space="preserve">WISG’s </w:t>
      </w:r>
      <w:r w:rsidRPr="00197E39">
        <w:rPr>
          <w:rFonts w:asciiTheme="minorHAnsi" w:eastAsia="Calibri" w:hAnsiTheme="minorHAnsi" w:cstheme="minorHAnsi"/>
          <w:b w:val="0"/>
          <w:bCs w:val="0"/>
          <w:color w:val="auto"/>
          <w:sz w:val="22"/>
          <w:szCs w:val="22"/>
        </w:rPr>
        <w:t>research</w:t>
      </w:r>
      <w:r w:rsidR="00B57051" w:rsidRPr="00197E39">
        <w:rPr>
          <w:rFonts w:asciiTheme="minorHAnsi" w:eastAsia="Calibri" w:hAnsiTheme="minorHAnsi" w:cstheme="minorHAnsi"/>
          <w:b w:val="0"/>
          <w:bCs w:val="0"/>
          <w:color w:val="auto"/>
          <w:sz w:val="22"/>
          <w:szCs w:val="22"/>
        </w:rPr>
        <w:t xml:space="preserve"> (2018)</w:t>
      </w:r>
      <w:r w:rsidRPr="00197E39">
        <w:rPr>
          <w:rFonts w:asciiTheme="minorHAnsi" w:eastAsia="Calibri" w:hAnsiTheme="minorHAnsi" w:cstheme="minorHAnsi"/>
          <w:b w:val="0"/>
          <w:bCs w:val="0"/>
          <w:color w:val="auto"/>
          <w:sz w:val="22"/>
          <w:szCs w:val="22"/>
        </w:rPr>
        <w:t xml:space="preserve"> </w:t>
      </w:r>
      <w:r w:rsidR="00B57051" w:rsidRPr="00197E39">
        <w:rPr>
          <w:rFonts w:asciiTheme="minorHAnsi" w:eastAsia="Calibri" w:hAnsiTheme="minorHAnsi" w:cstheme="minorHAnsi"/>
          <w:b w:val="0"/>
          <w:bCs w:val="0"/>
          <w:color w:val="auto"/>
          <w:sz w:val="22"/>
          <w:szCs w:val="22"/>
        </w:rPr>
        <w:t xml:space="preserve">14.2% </w:t>
      </w:r>
      <w:r w:rsidRPr="00197E39">
        <w:rPr>
          <w:rFonts w:asciiTheme="minorHAnsi" w:eastAsia="Calibri" w:hAnsiTheme="minorHAnsi" w:cstheme="minorHAnsi"/>
          <w:b w:val="0"/>
          <w:bCs w:val="0"/>
          <w:color w:val="auto"/>
          <w:sz w:val="22"/>
          <w:szCs w:val="22"/>
        </w:rPr>
        <w:t xml:space="preserve">of </w:t>
      </w:r>
      <w:r w:rsidR="00B57051" w:rsidRPr="00197E39">
        <w:rPr>
          <w:rFonts w:asciiTheme="minorHAnsi" w:eastAsia="Calibri" w:hAnsiTheme="minorHAnsi" w:cstheme="minorHAnsi"/>
          <w:b w:val="0"/>
          <w:bCs w:val="0"/>
          <w:color w:val="auto"/>
          <w:sz w:val="22"/>
          <w:szCs w:val="22"/>
        </w:rPr>
        <w:t xml:space="preserve">LBT </w:t>
      </w:r>
      <w:r w:rsidR="00B57E82" w:rsidRPr="00197E39">
        <w:rPr>
          <w:rFonts w:asciiTheme="minorHAnsi" w:eastAsia="Calibri" w:hAnsiTheme="minorHAnsi" w:cstheme="minorHAnsi"/>
          <w:b w:val="0"/>
          <w:bCs w:val="0"/>
          <w:color w:val="auto"/>
          <w:sz w:val="22"/>
          <w:szCs w:val="22"/>
        </w:rPr>
        <w:t>participants bec</w:t>
      </w:r>
      <w:r w:rsidR="00295E33">
        <w:rPr>
          <w:rFonts w:asciiTheme="minorHAnsi" w:eastAsia="Calibri" w:hAnsiTheme="minorHAnsi" w:cstheme="minorHAnsi"/>
          <w:b w:val="0"/>
          <w:bCs w:val="0"/>
          <w:color w:val="auto"/>
          <w:sz w:val="22"/>
          <w:szCs w:val="22"/>
        </w:rPr>
        <w:t>a</w:t>
      </w:r>
      <w:r w:rsidR="00B57E82" w:rsidRPr="00197E39">
        <w:rPr>
          <w:rFonts w:asciiTheme="minorHAnsi" w:eastAsia="Calibri" w:hAnsiTheme="minorHAnsi" w:cstheme="minorHAnsi"/>
          <w:b w:val="0"/>
          <w:bCs w:val="0"/>
          <w:color w:val="auto"/>
          <w:sz w:val="22"/>
          <w:szCs w:val="22"/>
        </w:rPr>
        <w:t>me victim</w:t>
      </w:r>
      <w:r w:rsidR="00295E33">
        <w:rPr>
          <w:rFonts w:asciiTheme="minorHAnsi" w:eastAsia="Calibri" w:hAnsiTheme="minorHAnsi" w:cstheme="minorHAnsi"/>
          <w:b w:val="0"/>
          <w:bCs w:val="0"/>
          <w:color w:val="auto"/>
          <w:sz w:val="22"/>
          <w:szCs w:val="22"/>
        </w:rPr>
        <w:t>s</w:t>
      </w:r>
      <w:r w:rsidRPr="00197E39">
        <w:rPr>
          <w:rFonts w:asciiTheme="minorHAnsi" w:eastAsia="Calibri" w:hAnsiTheme="minorHAnsi" w:cstheme="minorHAnsi"/>
          <w:b w:val="0"/>
          <w:bCs w:val="0"/>
          <w:color w:val="auto"/>
          <w:sz w:val="22"/>
          <w:szCs w:val="22"/>
        </w:rPr>
        <w:t xml:space="preserve"> of discrimination in the field of education</w:t>
      </w:r>
      <w:r w:rsidR="00B57051" w:rsidRPr="00197E39">
        <w:rPr>
          <w:rFonts w:asciiTheme="minorHAnsi" w:eastAsia="Calibri" w:hAnsiTheme="minorHAnsi" w:cstheme="minorHAnsi"/>
          <w:b w:val="0"/>
          <w:bCs w:val="0"/>
          <w:color w:val="auto"/>
          <w:sz w:val="22"/>
          <w:szCs w:val="22"/>
        </w:rPr>
        <w:t xml:space="preserve"> during the last 2 years and the </w:t>
      </w:r>
      <w:r w:rsidRPr="00197E39">
        <w:rPr>
          <w:rFonts w:asciiTheme="minorHAnsi" w:hAnsiTheme="minorHAnsi" w:cstheme="minorHAnsi"/>
          <w:b w:val="0"/>
          <w:sz w:val="22"/>
          <w:szCs w:val="22"/>
        </w:rPr>
        <w:t xml:space="preserve">classmates/groupmates </w:t>
      </w:r>
      <w:r w:rsidR="00B57E82" w:rsidRPr="00197E39">
        <w:rPr>
          <w:rFonts w:asciiTheme="minorHAnsi" w:hAnsiTheme="minorHAnsi" w:cstheme="minorHAnsi"/>
          <w:b w:val="0"/>
          <w:sz w:val="22"/>
          <w:szCs w:val="22"/>
        </w:rPr>
        <w:t>were</w:t>
      </w:r>
      <w:r w:rsidRPr="00197E39">
        <w:rPr>
          <w:rFonts w:asciiTheme="minorHAnsi" w:hAnsiTheme="minorHAnsi" w:cstheme="minorHAnsi"/>
          <w:b w:val="0"/>
          <w:sz w:val="22"/>
          <w:szCs w:val="22"/>
        </w:rPr>
        <w:t xml:space="preserve"> named as the most abusive group.</w:t>
      </w:r>
      <w:r w:rsidR="00B57051" w:rsidRPr="00197E39">
        <w:rPr>
          <w:rFonts w:asciiTheme="minorHAnsi" w:hAnsiTheme="minorHAnsi" w:cstheme="minorHAnsi"/>
          <w:b w:val="0"/>
          <w:sz w:val="22"/>
          <w:szCs w:val="22"/>
          <w:vertAlign w:val="superscript"/>
        </w:rPr>
        <w:footnoteReference w:id="15"/>
      </w:r>
      <w:r w:rsidRPr="00197E39">
        <w:rPr>
          <w:rFonts w:asciiTheme="minorHAnsi" w:hAnsiTheme="minorHAnsi" w:cstheme="minorHAnsi"/>
          <w:b w:val="0"/>
          <w:sz w:val="22"/>
          <w:szCs w:val="22"/>
        </w:rPr>
        <w:t xml:space="preserve"> </w:t>
      </w:r>
      <w:r w:rsidR="00B57051" w:rsidRPr="00197E39">
        <w:rPr>
          <w:rFonts w:asciiTheme="minorHAnsi" w:hAnsiTheme="minorHAnsi" w:cstheme="minorHAnsi"/>
          <w:b w:val="0"/>
          <w:sz w:val="22"/>
          <w:szCs w:val="22"/>
        </w:rPr>
        <w:t xml:space="preserve">Among the forms of the violence experienced by the </w:t>
      </w:r>
      <w:r w:rsidR="00B57051" w:rsidRPr="00295E33">
        <w:rPr>
          <w:rFonts w:asciiTheme="minorHAnsi" w:hAnsiTheme="minorHAnsi" w:cstheme="minorHAnsi"/>
          <w:b w:val="0"/>
          <w:sz w:val="22"/>
          <w:szCs w:val="22"/>
        </w:rPr>
        <w:t xml:space="preserve">classmates </w:t>
      </w:r>
      <w:r w:rsidR="00B57E82" w:rsidRPr="00295E33">
        <w:rPr>
          <w:rFonts w:asciiTheme="minorHAnsi" w:hAnsiTheme="minorHAnsi" w:cstheme="minorHAnsi"/>
          <w:b w:val="0"/>
          <w:sz w:val="22"/>
          <w:szCs w:val="22"/>
        </w:rPr>
        <w:t>were</w:t>
      </w:r>
      <w:r w:rsidR="00B57051" w:rsidRPr="00295E33">
        <w:rPr>
          <w:rFonts w:asciiTheme="minorHAnsi" w:hAnsiTheme="minorHAnsi" w:cstheme="minorHAnsi"/>
          <w:b w:val="0"/>
          <w:sz w:val="22"/>
          <w:szCs w:val="22"/>
        </w:rPr>
        <w:t xml:space="preserve"> physical violence (7.9%), sexual harassment</w:t>
      </w:r>
      <w:r w:rsidR="007A59E2" w:rsidRPr="00295E33">
        <w:rPr>
          <w:rFonts w:asciiTheme="minorHAnsi" w:hAnsiTheme="minorHAnsi" w:cstheme="minorHAnsi"/>
          <w:b w:val="0"/>
          <w:sz w:val="22"/>
          <w:szCs w:val="22"/>
        </w:rPr>
        <w:t xml:space="preserve"> (34.2%)</w:t>
      </w:r>
      <w:r w:rsidR="00B57051" w:rsidRPr="00295E33">
        <w:rPr>
          <w:rFonts w:asciiTheme="minorHAnsi" w:hAnsiTheme="minorHAnsi" w:cstheme="minorHAnsi"/>
          <w:b w:val="0"/>
          <w:sz w:val="22"/>
          <w:szCs w:val="22"/>
        </w:rPr>
        <w:t xml:space="preserve">, </w:t>
      </w:r>
      <w:r w:rsidR="007A59E2" w:rsidRPr="00295E33">
        <w:rPr>
          <w:rFonts w:asciiTheme="minorHAnsi" w:hAnsiTheme="minorHAnsi" w:cstheme="minorHAnsi"/>
          <w:b w:val="0"/>
          <w:sz w:val="22"/>
          <w:szCs w:val="22"/>
        </w:rPr>
        <w:t xml:space="preserve">attempted </w:t>
      </w:r>
      <w:r w:rsidR="00295E33" w:rsidRPr="00295E33">
        <w:rPr>
          <w:rFonts w:asciiTheme="minorHAnsi" w:hAnsiTheme="minorHAnsi" w:cstheme="minorHAnsi"/>
          <w:b w:val="0"/>
          <w:sz w:val="22"/>
          <w:szCs w:val="22"/>
        </w:rPr>
        <w:t>rape (13,2%)</w:t>
      </w:r>
      <w:r w:rsidR="00B57E82" w:rsidRPr="00295E33">
        <w:rPr>
          <w:rFonts w:asciiTheme="minorHAnsi" w:hAnsiTheme="minorHAnsi" w:cstheme="minorHAnsi"/>
          <w:b w:val="0"/>
          <w:sz w:val="22"/>
          <w:szCs w:val="22"/>
        </w:rPr>
        <w:t xml:space="preserve">. </w:t>
      </w:r>
      <w:r w:rsidR="00295E33" w:rsidRPr="00295E33">
        <w:rPr>
          <w:rFonts w:asciiTheme="minorHAnsi" w:eastAsia="Calibri" w:hAnsiTheme="minorHAnsi" w:cstheme="minorHAnsi"/>
          <w:b w:val="0"/>
          <w:bCs w:val="0"/>
          <w:color w:val="auto"/>
          <w:sz w:val="22"/>
          <w:szCs w:val="22"/>
        </w:rPr>
        <w:t>57.9%</w:t>
      </w:r>
      <w:r w:rsidR="00B57E82" w:rsidRPr="00295E33">
        <w:rPr>
          <w:rFonts w:asciiTheme="minorHAnsi" w:eastAsia="Calibri" w:hAnsiTheme="minorHAnsi" w:cstheme="minorHAnsi"/>
          <w:b w:val="0"/>
          <w:bCs w:val="0"/>
          <w:color w:val="auto"/>
          <w:sz w:val="22"/>
          <w:szCs w:val="22"/>
        </w:rPr>
        <w:t xml:space="preserve"> </w:t>
      </w:r>
      <w:r w:rsidR="007A59E2" w:rsidRPr="00295E33">
        <w:rPr>
          <w:rFonts w:asciiTheme="minorHAnsi" w:hAnsiTheme="minorHAnsi" w:cstheme="minorHAnsi"/>
          <w:b w:val="0"/>
          <w:sz w:val="22"/>
          <w:szCs w:val="22"/>
        </w:rPr>
        <w:t>of the respondents recall</w:t>
      </w:r>
      <w:r w:rsidR="00B57E82" w:rsidRPr="00295E33">
        <w:rPr>
          <w:rFonts w:asciiTheme="minorHAnsi" w:hAnsiTheme="minorHAnsi" w:cstheme="minorHAnsi"/>
          <w:b w:val="0"/>
          <w:sz w:val="22"/>
          <w:szCs w:val="22"/>
        </w:rPr>
        <w:t>ed</w:t>
      </w:r>
      <w:r w:rsidR="007A59E2" w:rsidRPr="00295E33">
        <w:rPr>
          <w:rFonts w:asciiTheme="minorHAnsi" w:hAnsiTheme="minorHAnsi" w:cstheme="minorHAnsi"/>
          <w:b w:val="0"/>
          <w:sz w:val="22"/>
          <w:szCs w:val="22"/>
        </w:rPr>
        <w:t xml:space="preserve"> the experience of </w:t>
      </w:r>
      <w:r w:rsidR="007A59E2" w:rsidRPr="00295E33">
        <w:rPr>
          <w:rFonts w:asciiTheme="minorHAnsi" w:eastAsia="Calibri" w:hAnsiTheme="minorHAnsi" w:cstheme="minorHAnsi"/>
          <w:b w:val="0"/>
          <w:bCs w:val="0"/>
          <w:color w:val="auto"/>
          <w:sz w:val="22"/>
          <w:szCs w:val="22"/>
        </w:rPr>
        <w:t xml:space="preserve">psychological </w:t>
      </w:r>
      <w:r w:rsidR="00B57E82" w:rsidRPr="00295E33">
        <w:rPr>
          <w:rFonts w:asciiTheme="minorHAnsi" w:eastAsia="Calibri" w:hAnsiTheme="minorHAnsi" w:cstheme="minorHAnsi"/>
          <w:b w:val="0"/>
          <w:bCs w:val="0"/>
          <w:color w:val="auto"/>
          <w:sz w:val="22"/>
          <w:szCs w:val="22"/>
        </w:rPr>
        <w:t xml:space="preserve">pressure </w:t>
      </w:r>
      <w:r w:rsidR="007A59E2" w:rsidRPr="00295E33">
        <w:rPr>
          <w:rFonts w:asciiTheme="minorHAnsi" w:eastAsia="Calibri" w:hAnsiTheme="minorHAnsi" w:cstheme="minorHAnsi"/>
          <w:b w:val="0"/>
          <w:bCs w:val="0"/>
          <w:color w:val="auto"/>
          <w:sz w:val="22"/>
          <w:szCs w:val="22"/>
        </w:rPr>
        <w:t>and threats on forcible outing</w:t>
      </w:r>
      <w:r w:rsidR="00DD620E" w:rsidRPr="00295E33">
        <w:rPr>
          <w:rFonts w:asciiTheme="minorHAnsi" w:eastAsia="Calibri" w:hAnsiTheme="minorHAnsi" w:cstheme="minorHAnsi"/>
          <w:b w:val="0"/>
          <w:bCs w:val="0"/>
          <w:color w:val="auto"/>
          <w:sz w:val="22"/>
          <w:szCs w:val="22"/>
        </w:rPr>
        <w:t xml:space="preserve"> (</w:t>
      </w:r>
      <w:r w:rsidR="00DD620E" w:rsidRPr="00295E33">
        <w:rPr>
          <w:rFonts w:asciiTheme="minorHAnsi" w:eastAsia="Times New Roman" w:hAnsiTheme="minorHAnsi" w:cstheme="minorHAnsi"/>
          <w:b w:val="0"/>
          <w:sz w:val="22"/>
          <w:szCs w:val="22"/>
        </w:rPr>
        <w:t>7.9%)</w:t>
      </w:r>
      <w:r w:rsidR="007A59E2" w:rsidRPr="00295E33">
        <w:rPr>
          <w:rFonts w:asciiTheme="minorHAnsi" w:eastAsia="Calibri" w:hAnsiTheme="minorHAnsi" w:cstheme="minorHAnsi"/>
          <w:b w:val="0"/>
          <w:bCs w:val="0"/>
          <w:color w:val="auto"/>
          <w:sz w:val="22"/>
          <w:szCs w:val="22"/>
        </w:rPr>
        <w:t>.</w:t>
      </w:r>
      <w:r w:rsidR="007A59E2" w:rsidRPr="00295E33">
        <w:rPr>
          <w:rFonts w:asciiTheme="minorHAnsi" w:hAnsiTheme="minorHAnsi" w:cstheme="minorHAnsi"/>
          <w:b w:val="0"/>
          <w:sz w:val="22"/>
          <w:szCs w:val="22"/>
        </w:rPr>
        <w:t xml:space="preserve"> In particular cases teaching personnel, instead of responding,</w:t>
      </w:r>
      <w:r w:rsidR="00B57E82" w:rsidRPr="00295E33">
        <w:rPr>
          <w:rFonts w:asciiTheme="minorHAnsi" w:hAnsiTheme="minorHAnsi" w:cstheme="minorHAnsi"/>
          <w:b w:val="0"/>
          <w:sz w:val="22"/>
          <w:szCs w:val="22"/>
        </w:rPr>
        <w:t xml:space="preserve"> are</w:t>
      </w:r>
      <w:r w:rsidR="007A59E2" w:rsidRPr="00295E33">
        <w:rPr>
          <w:rFonts w:asciiTheme="minorHAnsi" w:hAnsiTheme="minorHAnsi" w:cstheme="minorHAnsi"/>
          <w:b w:val="0"/>
          <w:sz w:val="22"/>
          <w:szCs w:val="22"/>
        </w:rPr>
        <w:t xml:space="preserve"> aggravating unhealthy environment at class.</w:t>
      </w:r>
      <w:r w:rsidR="00295E33">
        <w:rPr>
          <w:rStyle w:val="FootnoteReference"/>
          <w:rFonts w:asciiTheme="minorHAnsi" w:hAnsiTheme="minorHAnsi" w:cstheme="minorHAnsi"/>
          <w:b w:val="0"/>
          <w:sz w:val="22"/>
          <w:szCs w:val="22"/>
        </w:rPr>
        <w:footnoteReference w:id="16"/>
      </w:r>
    </w:p>
    <w:p w14:paraId="4476BBF7" w14:textId="2A29B052" w:rsidR="007A59E2" w:rsidRDefault="007A59E2" w:rsidP="008730A8">
      <w:pPr>
        <w:pStyle w:val="Default"/>
        <w:numPr>
          <w:ilvl w:val="0"/>
          <w:numId w:val="11"/>
        </w:numPr>
        <w:spacing w:before="120" w:after="120" w:line="276" w:lineRule="auto"/>
        <w:ind w:left="0"/>
        <w:jc w:val="both"/>
        <w:rPr>
          <w:rFonts w:asciiTheme="minorHAnsi" w:hAnsiTheme="minorHAnsi" w:cstheme="minorHAnsi"/>
          <w:sz w:val="22"/>
          <w:szCs w:val="22"/>
        </w:rPr>
      </w:pPr>
      <w:r w:rsidRPr="00197E39">
        <w:rPr>
          <w:rFonts w:asciiTheme="minorHAnsi" w:hAnsiTheme="minorHAnsi" w:cstheme="minorHAnsi"/>
          <w:sz w:val="22"/>
          <w:szCs w:val="22"/>
        </w:rPr>
        <w:t>Trans persons are even mor</w:t>
      </w:r>
      <w:r w:rsidR="00E318F1">
        <w:rPr>
          <w:rFonts w:asciiTheme="minorHAnsi" w:hAnsiTheme="minorHAnsi" w:cstheme="minorHAnsi"/>
          <w:sz w:val="22"/>
          <w:szCs w:val="22"/>
        </w:rPr>
        <w:t>e marginalized, - almost every t</w:t>
      </w:r>
      <w:r w:rsidRPr="00197E39">
        <w:rPr>
          <w:rFonts w:asciiTheme="minorHAnsi" w:hAnsiTheme="minorHAnsi" w:cstheme="minorHAnsi"/>
          <w:sz w:val="22"/>
          <w:szCs w:val="22"/>
        </w:rPr>
        <w:t xml:space="preserve">rans respondent </w:t>
      </w:r>
      <w:r w:rsidR="00295E33">
        <w:rPr>
          <w:rFonts w:asciiTheme="minorHAnsi" w:hAnsiTheme="minorHAnsi" w:cstheme="minorHAnsi"/>
          <w:sz w:val="22"/>
          <w:szCs w:val="22"/>
        </w:rPr>
        <w:t>had the experience of discrimination at school</w:t>
      </w:r>
      <w:r w:rsidR="00A67EB2">
        <w:rPr>
          <w:rFonts w:asciiTheme="minorHAnsi" w:hAnsiTheme="minorHAnsi" w:cstheme="minorHAnsi"/>
          <w:sz w:val="22"/>
          <w:szCs w:val="22"/>
        </w:rPr>
        <w:t>,</w:t>
      </w:r>
      <w:r w:rsidR="00295E33">
        <w:rPr>
          <w:rFonts w:asciiTheme="minorHAnsi" w:hAnsiTheme="minorHAnsi" w:cstheme="minorHAnsi"/>
          <w:sz w:val="22"/>
          <w:szCs w:val="22"/>
        </w:rPr>
        <w:t xml:space="preserve"> resulting</w:t>
      </w:r>
      <w:r w:rsidRPr="00197E39">
        <w:rPr>
          <w:rFonts w:asciiTheme="minorHAnsi" w:hAnsiTheme="minorHAnsi" w:cstheme="minorHAnsi"/>
          <w:sz w:val="22"/>
          <w:szCs w:val="22"/>
        </w:rPr>
        <w:t xml:space="preserve"> in their decision to give up on studying.</w:t>
      </w:r>
      <w:r w:rsidR="00B57E82" w:rsidRPr="00197E39">
        <w:rPr>
          <w:rFonts w:asciiTheme="minorHAnsi" w:hAnsiTheme="minorHAnsi" w:cstheme="minorHAnsi"/>
          <w:sz w:val="22"/>
          <w:szCs w:val="22"/>
        </w:rPr>
        <w:t xml:space="preserve"> </w:t>
      </w:r>
    </w:p>
    <w:p w14:paraId="1A15BC50" w14:textId="77777777" w:rsidR="00417F3A" w:rsidRPr="00F65C3D" w:rsidRDefault="00417F3A" w:rsidP="00F65C3D">
      <w:pPr>
        <w:pStyle w:val="Default"/>
        <w:spacing w:before="120" w:after="120" w:line="276" w:lineRule="auto"/>
        <w:jc w:val="both"/>
        <w:rPr>
          <w:rFonts w:asciiTheme="minorHAnsi" w:hAnsiTheme="minorHAnsi" w:cstheme="minorHAnsi"/>
          <w:sz w:val="22"/>
          <w:szCs w:val="22"/>
        </w:rPr>
      </w:pPr>
    </w:p>
    <w:p w14:paraId="4EE60AC6" w14:textId="77777777" w:rsidR="00D94F20" w:rsidRPr="00A24177" w:rsidRDefault="00D94F20" w:rsidP="00D94F20">
      <w:pPr>
        <w:pStyle w:val="Heading3"/>
        <w:numPr>
          <w:ilvl w:val="0"/>
          <w:numId w:val="15"/>
        </w:numPr>
        <w:ind w:left="0"/>
        <w:rPr>
          <w:rFonts w:eastAsia="Times New Roman"/>
        </w:rPr>
      </w:pPr>
      <w:bookmarkStart w:id="20" w:name="_Toc73545928"/>
      <w:r w:rsidRPr="00A24177">
        <w:rPr>
          <w:rFonts w:eastAsia="Times New Roman"/>
        </w:rPr>
        <w:t>Recommendations:</w:t>
      </w:r>
      <w:bookmarkEnd w:id="20"/>
      <w:r w:rsidRPr="00A24177">
        <w:rPr>
          <w:rFonts w:eastAsia="Times New Roman"/>
        </w:rPr>
        <w:t xml:space="preserve"> </w:t>
      </w:r>
    </w:p>
    <w:p w14:paraId="6A38333B" w14:textId="0E435372" w:rsidR="00EF39B3" w:rsidRPr="00EF39B3" w:rsidRDefault="00DD620E" w:rsidP="00EF39B3">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EF39B3">
        <w:rPr>
          <w:rFonts w:asciiTheme="minorHAnsi" w:hAnsiTheme="minorHAnsi" w:cstheme="minorHAnsi"/>
          <w:color w:val="000000"/>
          <w:sz w:val="22"/>
          <w:szCs w:val="22"/>
        </w:rPr>
        <w:t xml:space="preserve">Together with relevant governmental organizations and SCOs, the ministry of Education shall analyze the school textbooks to determine </w:t>
      </w:r>
      <w:r w:rsidR="008730A8" w:rsidRPr="00EF39B3">
        <w:rPr>
          <w:rFonts w:asciiTheme="minorHAnsi" w:hAnsiTheme="minorHAnsi" w:cstheme="minorHAnsi"/>
          <w:color w:val="000000"/>
          <w:sz w:val="22"/>
          <w:szCs w:val="22"/>
        </w:rPr>
        <w:t>the level of tolerance on it</w:t>
      </w:r>
      <w:r w:rsidR="00FE0635">
        <w:rPr>
          <w:rFonts w:asciiTheme="minorHAnsi" w:hAnsiTheme="minorHAnsi" w:cstheme="minorHAnsi"/>
          <w:color w:val="000000"/>
          <w:sz w:val="22"/>
          <w:szCs w:val="22"/>
        </w:rPr>
        <w:t>;</w:t>
      </w:r>
    </w:p>
    <w:p w14:paraId="34FCB432" w14:textId="77777777" w:rsidR="003F1F22" w:rsidRDefault="00DD620E" w:rsidP="00662F2A">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3F1F22">
        <w:rPr>
          <w:rFonts w:asciiTheme="minorHAnsi" w:hAnsiTheme="minorHAnsi" w:cstheme="minorHAnsi"/>
          <w:color w:val="000000"/>
          <w:sz w:val="22"/>
          <w:szCs w:val="22"/>
        </w:rPr>
        <w:t xml:space="preserve">Ensure the policies for inclusion and overcoming bullying at schools; </w:t>
      </w:r>
    </w:p>
    <w:p w14:paraId="5B826F89" w14:textId="6BA37CFE" w:rsidR="003F1F22" w:rsidRPr="003F1F22" w:rsidRDefault="003F1F22" w:rsidP="00662F2A">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3F1F22">
        <w:rPr>
          <w:rFonts w:asciiTheme="minorHAnsi" w:hAnsiTheme="minorHAnsi" w:cstheme="minorHAnsi"/>
          <w:color w:val="000000"/>
          <w:sz w:val="22"/>
          <w:szCs w:val="22"/>
        </w:rPr>
        <w:t>Adopt specific policies or programmes to promote tolerance towards diverse sexual orientations or gender identities in educational settings</w:t>
      </w:r>
      <w:r>
        <w:rPr>
          <w:rFonts w:asciiTheme="minorHAnsi" w:hAnsiTheme="minorHAnsi" w:cstheme="minorHAnsi"/>
          <w:color w:val="000000"/>
          <w:sz w:val="22"/>
          <w:szCs w:val="22"/>
        </w:rPr>
        <w:t>;</w:t>
      </w:r>
    </w:p>
    <w:p w14:paraId="1E5880D3" w14:textId="77777777" w:rsidR="006F25B7" w:rsidRDefault="006F25B7" w:rsidP="006F25B7">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6F25B7">
        <w:rPr>
          <w:rFonts w:asciiTheme="minorHAnsi" w:hAnsiTheme="minorHAnsi" w:cstheme="minorHAnsi"/>
          <w:color w:val="000000"/>
          <w:sz w:val="22"/>
          <w:szCs w:val="22"/>
        </w:rPr>
        <w:t xml:space="preserve">Ensure that mechanisms to address bullying based on </w:t>
      </w:r>
      <w:r>
        <w:rPr>
          <w:rFonts w:asciiTheme="minorHAnsi" w:hAnsiTheme="minorHAnsi" w:cstheme="minorHAnsi"/>
          <w:color w:val="000000"/>
          <w:sz w:val="22"/>
          <w:szCs w:val="22"/>
        </w:rPr>
        <w:t>SOGIE</w:t>
      </w:r>
      <w:r w:rsidRPr="006F25B7">
        <w:rPr>
          <w:rFonts w:asciiTheme="minorHAnsi" w:hAnsiTheme="minorHAnsi" w:cstheme="minorHAnsi"/>
          <w:color w:val="000000"/>
          <w:sz w:val="22"/>
          <w:szCs w:val="22"/>
        </w:rPr>
        <w:t xml:space="preserve"> are available and accessible in educational settings.</w:t>
      </w:r>
    </w:p>
    <w:p w14:paraId="4452D979" w14:textId="77777777" w:rsidR="00DD620E" w:rsidRPr="00197E39" w:rsidRDefault="00DD620E" w:rsidP="00197E39">
      <w:pPr>
        <w:spacing w:before="120" w:after="120" w:line="276" w:lineRule="auto"/>
        <w:jc w:val="both"/>
        <w:rPr>
          <w:rFonts w:cstheme="minorHAnsi"/>
          <w:i/>
          <w:highlight w:val="yellow"/>
          <w:lang w:val="ka-GE"/>
        </w:rPr>
      </w:pPr>
    </w:p>
    <w:p w14:paraId="396DC0FD" w14:textId="77777777" w:rsidR="00977A54" w:rsidRPr="00A24177" w:rsidRDefault="004C430E" w:rsidP="00AA240B">
      <w:pPr>
        <w:pStyle w:val="Heading1"/>
        <w:shd w:val="clear" w:color="auto" w:fill="DEEAF6" w:themeFill="accent1" w:themeFillTint="33"/>
        <w:spacing w:after="60" w:afterAutospacing="0"/>
        <w:ind w:left="-360"/>
        <w:rPr>
          <w:rFonts w:asciiTheme="minorHAnsi" w:hAnsiTheme="minorHAnsi" w:cstheme="minorHAnsi"/>
          <w:color w:val="1F4E79" w:themeColor="accent1" w:themeShade="80"/>
          <w:sz w:val="24"/>
          <w:szCs w:val="24"/>
        </w:rPr>
      </w:pPr>
      <w:bookmarkStart w:id="21" w:name="_Toc72856176"/>
      <w:bookmarkStart w:id="22" w:name="_Toc73545929"/>
      <w:r w:rsidRPr="00A24177">
        <w:rPr>
          <w:rFonts w:asciiTheme="minorHAnsi" w:hAnsiTheme="minorHAnsi" w:cstheme="minorHAnsi"/>
          <w:color w:val="1F4E79" w:themeColor="accent1" w:themeShade="80"/>
          <w:sz w:val="24"/>
          <w:szCs w:val="24"/>
        </w:rPr>
        <w:t>V</w:t>
      </w:r>
      <w:r w:rsidR="00977A54" w:rsidRPr="00A24177">
        <w:rPr>
          <w:rFonts w:asciiTheme="minorHAnsi" w:hAnsiTheme="minorHAnsi" w:cstheme="minorHAnsi"/>
          <w:color w:val="1F4E79" w:themeColor="accent1" w:themeShade="80"/>
          <w:sz w:val="24"/>
          <w:szCs w:val="24"/>
        </w:rPr>
        <w:t xml:space="preserve">. </w:t>
      </w:r>
      <w:r w:rsidRPr="00A24177">
        <w:rPr>
          <w:rFonts w:asciiTheme="minorHAnsi" w:hAnsiTheme="minorHAnsi" w:cstheme="minorHAnsi"/>
          <w:color w:val="1F4E79" w:themeColor="accent1" w:themeShade="80"/>
          <w:sz w:val="24"/>
          <w:szCs w:val="24"/>
        </w:rPr>
        <w:tab/>
      </w:r>
      <w:r w:rsidR="00977A54" w:rsidRPr="00A24177">
        <w:rPr>
          <w:rFonts w:asciiTheme="minorHAnsi" w:hAnsiTheme="minorHAnsi" w:cstheme="minorHAnsi"/>
          <w:color w:val="1F4E79" w:themeColor="accent1" w:themeShade="80"/>
          <w:sz w:val="24"/>
          <w:szCs w:val="24"/>
        </w:rPr>
        <w:t>Equal access to healthcare</w:t>
      </w:r>
      <w:bookmarkEnd w:id="21"/>
      <w:bookmarkEnd w:id="22"/>
      <w:r w:rsidR="00977A54" w:rsidRPr="00A24177">
        <w:rPr>
          <w:rFonts w:asciiTheme="minorHAnsi" w:hAnsiTheme="minorHAnsi" w:cstheme="minorHAnsi"/>
          <w:color w:val="1F4E79" w:themeColor="accent1" w:themeShade="80"/>
          <w:sz w:val="24"/>
          <w:szCs w:val="24"/>
        </w:rPr>
        <w:t xml:space="preserve"> </w:t>
      </w:r>
    </w:p>
    <w:p w14:paraId="42916F12" w14:textId="77777777" w:rsidR="004C430E" w:rsidRPr="00AA240B" w:rsidRDefault="00977A54" w:rsidP="00AA240B">
      <w:pPr>
        <w:spacing w:before="120" w:after="240" w:line="276" w:lineRule="auto"/>
        <w:jc w:val="both"/>
        <w:rPr>
          <w:rFonts w:cstheme="minorHAnsi"/>
          <w:i/>
          <w:color w:val="2E74B5" w:themeColor="accent1" w:themeShade="BF"/>
        </w:rPr>
      </w:pPr>
      <w:r w:rsidRPr="00A24177">
        <w:rPr>
          <w:rFonts w:cstheme="minorHAnsi"/>
          <w:i/>
          <w:color w:val="2E74B5" w:themeColor="accent1" w:themeShade="BF"/>
        </w:rPr>
        <w:t>CEDAW</w:t>
      </w:r>
      <w:r w:rsidR="004C430E" w:rsidRPr="00A24177">
        <w:rPr>
          <w:rFonts w:cstheme="minorHAnsi"/>
          <w:i/>
          <w:color w:val="2E74B5" w:themeColor="accent1" w:themeShade="BF"/>
        </w:rPr>
        <w:t>:</w:t>
      </w:r>
      <w:r w:rsidRPr="00A24177">
        <w:rPr>
          <w:rFonts w:cstheme="minorHAnsi"/>
          <w:i/>
          <w:color w:val="2E74B5" w:themeColor="accent1" w:themeShade="BF"/>
        </w:rPr>
        <w:t xml:space="preserve"> art. </w:t>
      </w:r>
      <w:r w:rsidRPr="00A24177">
        <w:rPr>
          <w:rFonts w:cstheme="minorHAnsi"/>
          <w:i/>
          <w:color w:val="2E74B5" w:themeColor="accent1" w:themeShade="BF"/>
          <w:lang w:val="ka-GE"/>
        </w:rPr>
        <w:t>1</w:t>
      </w:r>
      <w:r w:rsidRPr="00A24177">
        <w:rPr>
          <w:rFonts w:cstheme="minorHAnsi"/>
          <w:i/>
          <w:color w:val="2E74B5" w:themeColor="accent1" w:themeShade="BF"/>
        </w:rPr>
        <w:t xml:space="preserve">2. GR: 19, 24. </w:t>
      </w:r>
    </w:p>
    <w:p w14:paraId="605ED21D" w14:textId="0988D93C" w:rsidR="006A6B19" w:rsidRPr="00AA240B" w:rsidRDefault="00977A54" w:rsidP="008730A8">
      <w:pPr>
        <w:pStyle w:val="ListParagraph"/>
        <w:numPr>
          <w:ilvl w:val="0"/>
          <w:numId w:val="11"/>
        </w:numPr>
        <w:spacing w:before="120" w:after="120" w:line="276" w:lineRule="auto"/>
        <w:ind w:left="0"/>
        <w:jc w:val="both"/>
        <w:rPr>
          <w:rFonts w:cstheme="minorHAnsi"/>
          <w:color w:val="000000"/>
        </w:rPr>
      </w:pPr>
      <w:r w:rsidRPr="00AA240B">
        <w:rPr>
          <w:rFonts w:cstheme="minorHAnsi"/>
        </w:rPr>
        <w:t xml:space="preserve">Heteronormativity is </w:t>
      </w:r>
      <w:r w:rsidR="00A67EB2">
        <w:rPr>
          <w:rFonts w:cstheme="minorHAnsi"/>
        </w:rPr>
        <w:t>the</w:t>
      </w:r>
      <w:r w:rsidRPr="00AA240B">
        <w:rPr>
          <w:rFonts w:cstheme="minorHAnsi"/>
        </w:rPr>
        <w:t xml:space="preserve"> </w:t>
      </w:r>
      <w:r w:rsidR="00A67EB2">
        <w:rPr>
          <w:rFonts w:cstheme="minorHAnsi"/>
        </w:rPr>
        <w:t>default</w:t>
      </w:r>
      <w:r w:rsidR="00A67EB2" w:rsidRPr="00AA240B">
        <w:rPr>
          <w:rFonts w:cstheme="minorHAnsi"/>
        </w:rPr>
        <w:t xml:space="preserve"> </w:t>
      </w:r>
      <w:r w:rsidRPr="00AA240B">
        <w:rPr>
          <w:rFonts w:cstheme="minorHAnsi"/>
        </w:rPr>
        <w:t xml:space="preserve">assumption in </w:t>
      </w:r>
      <w:r w:rsidR="00D72ED1" w:rsidRPr="00AA240B">
        <w:rPr>
          <w:rFonts w:cstheme="minorHAnsi"/>
        </w:rPr>
        <w:t xml:space="preserve">Georgian </w:t>
      </w:r>
      <w:r w:rsidRPr="00AA240B">
        <w:rPr>
          <w:rFonts w:cstheme="minorHAnsi"/>
        </w:rPr>
        <w:t>healthcare policies</w:t>
      </w:r>
      <w:r w:rsidR="00DA145B" w:rsidRPr="00AA240B">
        <w:rPr>
          <w:rFonts w:cstheme="minorHAnsi"/>
        </w:rPr>
        <w:t>, hence, infringing the needs of LBTI women</w:t>
      </w:r>
      <w:r w:rsidR="00D72ED1" w:rsidRPr="00AA240B">
        <w:rPr>
          <w:rFonts w:cstheme="minorHAnsi"/>
        </w:rPr>
        <w:t xml:space="preserve">. </w:t>
      </w:r>
      <w:r w:rsidR="004C430E" w:rsidRPr="00AA240B">
        <w:rPr>
          <w:rFonts w:cstheme="minorHAnsi"/>
          <w:color w:val="000000"/>
        </w:rPr>
        <w:t>P</w:t>
      </w:r>
      <w:r w:rsidR="004C430E" w:rsidRPr="00AA240B">
        <w:rPr>
          <w:rFonts w:cstheme="minorHAnsi"/>
        </w:rPr>
        <w:t>olicies, strategies and action plans on the health-care system do not cover or address the needs on SOGI</w:t>
      </w:r>
      <w:r w:rsidR="00122EA8">
        <w:rPr>
          <w:rFonts w:cstheme="minorHAnsi"/>
        </w:rPr>
        <w:t>E</w:t>
      </w:r>
      <w:r w:rsidR="004C430E" w:rsidRPr="00AA240B">
        <w:rPr>
          <w:rFonts w:cstheme="minorHAnsi"/>
        </w:rPr>
        <w:t xml:space="preserve">. </w:t>
      </w:r>
      <w:r w:rsidR="00D72ED1" w:rsidRPr="00AA240B">
        <w:rPr>
          <w:rFonts w:cstheme="minorHAnsi"/>
        </w:rPr>
        <w:t xml:space="preserve">As reported in 2019, IE was shocked at the lack of awareness and the stigma attached to </w:t>
      </w:r>
      <w:r w:rsidR="006A6B19" w:rsidRPr="00AA240B">
        <w:rPr>
          <w:rFonts w:cstheme="minorHAnsi"/>
        </w:rPr>
        <w:t>SOGI</w:t>
      </w:r>
      <w:r w:rsidR="00D72ED1" w:rsidRPr="00AA240B">
        <w:rPr>
          <w:rFonts w:cstheme="minorHAnsi"/>
        </w:rPr>
        <w:t xml:space="preserve"> by health professionals.</w:t>
      </w:r>
      <w:r w:rsidR="00D72ED1" w:rsidRPr="00197E39">
        <w:rPr>
          <w:rStyle w:val="FootnoteReference"/>
          <w:rFonts w:cstheme="minorHAnsi"/>
        </w:rPr>
        <w:footnoteReference w:id="17"/>
      </w:r>
      <w:r w:rsidR="006A6B19" w:rsidRPr="00AA240B">
        <w:rPr>
          <w:rFonts w:cstheme="minorHAnsi"/>
        </w:rPr>
        <w:t xml:space="preserve"> </w:t>
      </w:r>
      <w:r w:rsidR="006A6B19" w:rsidRPr="00AA240B">
        <w:rPr>
          <w:rFonts w:cstheme="minorHAnsi"/>
          <w:color w:val="000000"/>
        </w:rPr>
        <w:t>A</w:t>
      </w:r>
      <w:r w:rsidR="00D72ED1" w:rsidRPr="00AA240B">
        <w:rPr>
          <w:rFonts w:cstheme="minorHAnsi"/>
          <w:color w:val="000000"/>
        </w:rPr>
        <w:t xml:space="preserve"> study </w:t>
      </w:r>
      <w:r w:rsidR="006A6B19" w:rsidRPr="00AA240B">
        <w:rPr>
          <w:rFonts w:cstheme="minorHAnsi"/>
          <w:color w:val="000000"/>
        </w:rPr>
        <w:t>among</w:t>
      </w:r>
      <w:r w:rsidR="00D72ED1" w:rsidRPr="00AA240B">
        <w:rPr>
          <w:rFonts w:cstheme="minorHAnsi"/>
          <w:color w:val="000000"/>
        </w:rPr>
        <w:t xml:space="preserve"> medical staff </w:t>
      </w:r>
      <w:r w:rsidR="006A6B19" w:rsidRPr="00AA240B">
        <w:rPr>
          <w:rFonts w:cstheme="minorHAnsi"/>
          <w:color w:val="000000"/>
        </w:rPr>
        <w:t xml:space="preserve">(N=352) </w:t>
      </w:r>
      <w:r w:rsidR="00D72ED1" w:rsidRPr="00AA240B">
        <w:rPr>
          <w:rFonts w:cstheme="minorHAnsi"/>
          <w:color w:val="000000"/>
        </w:rPr>
        <w:t xml:space="preserve">showed that 13.8% of the respondents </w:t>
      </w:r>
      <w:r w:rsidR="006A6B19" w:rsidRPr="00AA240B">
        <w:rPr>
          <w:rFonts w:cstheme="minorHAnsi"/>
          <w:color w:val="000000"/>
        </w:rPr>
        <w:t>believed</w:t>
      </w:r>
      <w:r w:rsidR="00D72ED1" w:rsidRPr="00AA240B">
        <w:rPr>
          <w:rFonts w:cstheme="minorHAnsi"/>
          <w:color w:val="000000"/>
        </w:rPr>
        <w:t xml:space="preserve"> that bisexuals are person</w:t>
      </w:r>
      <w:r w:rsidR="006A6B19" w:rsidRPr="00AA240B">
        <w:rPr>
          <w:rFonts w:cstheme="minorHAnsi"/>
          <w:color w:val="000000"/>
        </w:rPr>
        <w:t>s with “double biological sex”</w:t>
      </w:r>
      <w:r w:rsidR="00D72ED1" w:rsidRPr="00AA240B">
        <w:rPr>
          <w:rFonts w:cstheme="minorHAnsi"/>
          <w:color w:val="000000"/>
        </w:rPr>
        <w:t>. Only 73.8% of the interviewed were able to select the correct definition of “transgender”. According to 39.3% of respondents, homosexuality is a disease, which can be cured.</w:t>
      </w:r>
      <w:r w:rsidR="00D72ED1" w:rsidRPr="00197E39">
        <w:rPr>
          <w:color w:val="000000"/>
          <w:vertAlign w:val="superscript"/>
        </w:rPr>
        <w:footnoteReference w:id="18"/>
      </w:r>
      <w:r w:rsidR="006A6B19" w:rsidRPr="00AA240B">
        <w:rPr>
          <w:rFonts w:cstheme="minorHAnsi"/>
          <w:color w:val="000000"/>
        </w:rPr>
        <w:t xml:space="preserve"> </w:t>
      </w:r>
    </w:p>
    <w:p w14:paraId="30AF94CD" w14:textId="5C8922AC" w:rsidR="00CA2CD9" w:rsidRPr="00197E39" w:rsidRDefault="006A6B19" w:rsidP="008730A8">
      <w:pPr>
        <w:pStyle w:val="Normal1"/>
        <w:numPr>
          <w:ilvl w:val="0"/>
          <w:numId w:val="11"/>
        </w:numPr>
        <w:pBdr>
          <w:top w:val="nil"/>
          <w:left w:val="nil"/>
          <w:bottom w:val="nil"/>
          <w:right w:val="nil"/>
          <w:between w:val="nil"/>
        </w:pBdr>
        <w:shd w:val="clear" w:color="auto" w:fill="FFFFFF"/>
        <w:spacing w:before="120" w:after="120"/>
        <w:ind w:left="0"/>
        <w:rPr>
          <w:rFonts w:asciiTheme="minorHAnsi" w:hAnsiTheme="minorHAnsi" w:cstheme="minorHAnsi"/>
          <w:color w:val="000000"/>
        </w:rPr>
      </w:pPr>
      <w:r w:rsidRPr="00197E39">
        <w:rPr>
          <w:rFonts w:asciiTheme="minorHAnsi" w:hAnsiTheme="minorHAnsi" w:cstheme="minorHAnsi"/>
        </w:rPr>
        <w:t xml:space="preserve">Healthcare system is blind </w:t>
      </w:r>
      <w:r w:rsidR="00A67EB2">
        <w:rPr>
          <w:rFonts w:asciiTheme="minorHAnsi" w:hAnsiTheme="minorHAnsi" w:cstheme="minorHAnsi"/>
        </w:rPr>
        <w:t>towards</w:t>
      </w:r>
      <w:r w:rsidRPr="00197E39">
        <w:rPr>
          <w:rFonts w:asciiTheme="minorHAnsi" w:hAnsiTheme="minorHAnsi" w:cstheme="minorHAnsi"/>
        </w:rPr>
        <w:t xml:space="preserve"> </w:t>
      </w:r>
      <w:r w:rsidR="004C430E" w:rsidRPr="00F123BC">
        <w:rPr>
          <w:rStyle w:val="Heading2Char"/>
          <w:rFonts w:asciiTheme="minorHAnsi" w:hAnsiTheme="minorHAnsi" w:cstheme="minorHAnsi"/>
          <w:sz w:val="22"/>
          <w:szCs w:val="22"/>
        </w:rPr>
        <w:t>Trans</w:t>
      </w:r>
      <w:r w:rsidRPr="00F123BC">
        <w:rPr>
          <w:rStyle w:val="Heading2Char"/>
          <w:rFonts w:asciiTheme="minorHAnsi" w:hAnsiTheme="minorHAnsi" w:cstheme="minorHAnsi"/>
          <w:sz w:val="22"/>
          <w:szCs w:val="22"/>
        </w:rPr>
        <w:t xml:space="preserve"> persons</w:t>
      </w:r>
      <w:r w:rsidRPr="00197E39">
        <w:rPr>
          <w:rFonts w:asciiTheme="minorHAnsi" w:hAnsiTheme="minorHAnsi" w:cstheme="minorHAnsi"/>
        </w:rPr>
        <w:t xml:space="preserve">: </w:t>
      </w:r>
      <w:r w:rsidR="00CA2CD9" w:rsidRPr="00197E39">
        <w:rPr>
          <w:rFonts w:asciiTheme="minorHAnsi" w:hAnsiTheme="minorHAnsi" w:cstheme="minorHAnsi"/>
          <w:color w:val="000000"/>
        </w:rPr>
        <w:t>T</w:t>
      </w:r>
      <w:r w:rsidR="00D72ED1" w:rsidRPr="00197E39">
        <w:rPr>
          <w:rFonts w:asciiTheme="minorHAnsi" w:hAnsiTheme="minorHAnsi" w:cstheme="minorHAnsi"/>
          <w:color w:val="000000"/>
        </w:rPr>
        <w:t xml:space="preserve">here are no clinical guidelines or protocols that underwrite procedural rules </w:t>
      </w:r>
      <w:r w:rsidR="00CA2CD9" w:rsidRPr="00197E39">
        <w:rPr>
          <w:rFonts w:asciiTheme="minorHAnsi" w:hAnsiTheme="minorHAnsi" w:cstheme="minorHAnsi"/>
          <w:color w:val="000000"/>
        </w:rPr>
        <w:t xml:space="preserve">of gender affirming procedures. That </w:t>
      </w:r>
      <w:r w:rsidR="00CA2CD9" w:rsidRPr="00197E39">
        <w:rPr>
          <w:rFonts w:asciiTheme="minorHAnsi" w:hAnsiTheme="minorHAnsi" w:cstheme="minorHAnsi"/>
        </w:rPr>
        <w:t>gives absolute discretion to medical institutions to decide who is eligible for the procedures</w:t>
      </w:r>
      <w:r w:rsidR="00A67EB2">
        <w:rPr>
          <w:rFonts w:asciiTheme="minorHAnsi" w:hAnsiTheme="minorHAnsi" w:cstheme="minorHAnsi"/>
        </w:rPr>
        <w:t>,</w:t>
      </w:r>
      <w:r w:rsidR="00CA2CD9" w:rsidRPr="00197E39">
        <w:rPr>
          <w:rFonts w:asciiTheme="minorHAnsi" w:hAnsiTheme="minorHAnsi" w:cstheme="minorHAnsi"/>
        </w:rPr>
        <w:t xml:space="preserve"> without any mechanism for appealing the consequences. Such a gap may result </w:t>
      </w:r>
      <w:r w:rsidR="00A67EB2">
        <w:rPr>
          <w:rFonts w:asciiTheme="minorHAnsi" w:hAnsiTheme="minorHAnsi" w:cstheme="minorHAnsi"/>
        </w:rPr>
        <w:t xml:space="preserve">in </w:t>
      </w:r>
      <w:r w:rsidR="00CA2CD9" w:rsidRPr="00197E39">
        <w:rPr>
          <w:rFonts w:asciiTheme="minorHAnsi" w:hAnsiTheme="minorHAnsi" w:cstheme="minorHAnsi"/>
        </w:rPr>
        <w:t xml:space="preserve">arbitrariness, lack of consistency and create obstacles for people willing to undergo the procedure. </w:t>
      </w:r>
      <w:r w:rsidR="00A67EB2">
        <w:rPr>
          <w:rFonts w:asciiTheme="minorHAnsi" w:hAnsiTheme="minorHAnsi" w:cstheme="minorHAnsi"/>
        </w:rPr>
        <w:t>This also</w:t>
      </w:r>
      <w:r w:rsidR="00A67EB2" w:rsidRPr="00197E39">
        <w:rPr>
          <w:rFonts w:asciiTheme="minorHAnsi" w:hAnsiTheme="minorHAnsi" w:cstheme="minorHAnsi"/>
        </w:rPr>
        <w:t xml:space="preserve"> </w:t>
      </w:r>
      <w:r w:rsidR="00CA2CD9" w:rsidRPr="00197E39">
        <w:rPr>
          <w:rFonts w:asciiTheme="minorHAnsi" w:hAnsiTheme="minorHAnsi" w:cstheme="minorHAnsi"/>
        </w:rPr>
        <w:t>question</w:t>
      </w:r>
      <w:r w:rsidR="00A67EB2">
        <w:rPr>
          <w:rFonts w:asciiTheme="minorHAnsi" w:hAnsiTheme="minorHAnsi" w:cstheme="minorHAnsi"/>
        </w:rPr>
        <w:t>s</w:t>
      </w:r>
      <w:r w:rsidR="00CA2CD9" w:rsidRPr="00197E39">
        <w:rPr>
          <w:rFonts w:asciiTheme="minorHAnsi" w:hAnsiTheme="minorHAnsi" w:cstheme="minorHAnsi"/>
        </w:rPr>
        <w:t xml:space="preserve"> the validity of informed consent.</w:t>
      </w:r>
      <w:r w:rsidR="00CA2CD9" w:rsidRPr="00197E39">
        <w:rPr>
          <w:rFonts w:asciiTheme="minorHAnsi" w:hAnsiTheme="minorHAnsi" w:cstheme="minorHAnsi"/>
          <w:color w:val="000000"/>
        </w:rPr>
        <w:t xml:space="preserve"> I</w:t>
      </w:r>
      <w:r w:rsidR="00CA2CD9" w:rsidRPr="00197E39">
        <w:rPr>
          <w:rFonts w:asciiTheme="minorHAnsi" w:hAnsiTheme="minorHAnsi" w:cstheme="minorHAnsi"/>
        </w:rPr>
        <w:t xml:space="preserve">n 2020 the Ombudsperson called </w:t>
      </w:r>
      <w:r w:rsidR="00FE4BC1">
        <w:rPr>
          <w:rFonts w:asciiTheme="minorHAnsi" w:hAnsiTheme="minorHAnsi" w:cstheme="minorHAnsi"/>
        </w:rPr>
        <w:t xml:space="preserve">on </w:t>
      </w:r>
      <w:r w:rsidR="00CA2CD9" w:rsidRPr="00197E39">
        <w:rPr>
          <w:rFonts w:asciiTheme="minorHAnsi" w:hAnsiTheme="minorHAnsi" w:cstheme="minorHAnsi"/>
        </w:rPr>
        <w:t xml:space="preserve">the Ministry of Health to draft </w:t>
      </w:r>
      <w:r w:rsidR="00E318F1">
        <w:rPr>
          <w:rFonts w:asciiTheme="minorHAnsi" w:hAnsiTheme="minorHAnsi" w:cstheme="minorHAnsi"/>
        </w:rPr>
        <w:t>t</w:t>
      </w:r>
      <w:r w:rsidR="00E567DF">
        <w:rPr>
          <w:rFonts w:asciiTheme="minorHAnsi" w:hAnsiTheme="minorHAnsi" w:cstheme="minorHAnsi"/>
        </w:rPr>
        <w:t>rans</w:t>
      </w:r>
      <w:r w:rsidR="00347968" w:rsidRPr="00197E39">
        <w:rPr>
          <w:rFonts w:asciiTheme="minorHAnsi" w:hAnsiTheme="minorHAnsi" w:cstheme="minorHAnsi"/>
        </w:rPr>
        <w:t xml:space="preserve"> </w:t>
      </w:r>
      <w:r w:rsidR="00E90BB3" w:rsidRPr="00197E39">
        <w:rPr>
          <w:rFonts w:asciiTheme="minorHAnsi" w:hAnsiTheme="minorHAnsi" w:cstheme="minorHAnsi"/>
        </w:rPr>
        <w:t>healthcare</w:t>
      </w:r>
      <w:r w:rsidR="00E90BB3">
        <w:rPr>
          <w:rFonts w:asciiTheme="minorHAnsi" w:hAnsiTheme="minorHAnsi" w:cstheme="minorHAnsi"/>
        </w:rPr>
        <w:t xml:space="preserve"> protocols</w:t>
      </w:r>
      <w:r w:rsidR="00E567DF">
        <w:rPr>
          <w:rFonts w:asciiTheme="minorHAnsi" w:hAnsiTheme="minorHAnsi" w:cstheme="minorHAnsi"/>
        </w:rPr>
        <w:t xml:space="preserve"> and guidelines</w:t>
      </w:r>
      <w:r w:rsidR="00347968" w:rsidRPr="00197E39">
        <w:rPr>
          <w:rFonts w:asciiTheme="minorHAnsi" w:hAnsiTheme="minorHAnsi" w:cstheme="minorHAnsi"/>
        </w:rPr>
        <w:t xml:space="preserve">, </w:t>
      </w:r>
      <w:r w:rsidR="00CA2CD9" w:rsidRPr="00197E39">
        <w:rPr>
          <w:rFonts w:asciiTheme="minorHAnsi" w:hAnsiTheme="minorHAnsi" w:cstheme="minorHAnsi"/>
        </w:rPr>
        <w:t xml:space="preserve">however </w:t>
      </w:r>
      <w:r w:rsidR="00FE4BC1">
        <w:rPr>
          <w:rFonts w:asciiTheme="minorHAnsi" w:hAnsiTheme="minorHAnsi" w:cstheme="minorHAnsi"/>
        </w:rPr>
        <w:t xml:space="preserve">there is </w:t>
      </w:r>
      <w:r w:rsidR="00CA2CD9" w:rsidRPr="00197E39">
        <w:rPr>
          <w:rFonts w:asciiTheme="minorHAnsi" w:hAnsiTheme="minorHAnsi" w:cstheme="minorHAnsi"/>
        </w:rPr>
        <w:t>no progress yet in this regards.</w:t>
      </w:r>
      <w:r w:rsidR="00347968" w:rsidRPr="00197E39">
        <w:rPr>
          <w:rStyle w:val="FootnoteReference"/>
          <w:rFonts w:asciiTheme="minorHAnsi" w:hAnsiTheme="minorHAnsi" w:cstheme="minorHAnsi"/>
        </w:rPr>
        <w:footnoteReference w:id="19"/>
      </w:r>
      <w:r w:rsidR="00CA2CD9" w:rsidRPr="00197E39">
        <w:rPr>
          <w:rFonts w:asciiTheme="minorHAnsi" w:hAnsiTheme="minorHAnsi" w:cstheme="minorHAnsi"/>
        </w:rPr>
        <w:t xml:space="preserve"> </w:t>
      </w:r>
    </w:p>
    <w:p w14:paraId="5AEC5663" w14:textId="77777777" w:rsidR="004C430E" w:rsidRPr="00197E39" w:rsidRDefault="004C430E" w:rsidP="00197E39">
      <w:pPr>
        <w:pStyle w:val="NormalWeb"/>
        <w:spacing w:before="120" w:beforeAutospacing="0" w:after="120" w:afterAutospacing="0" w:line="276" w:lineRule="auto"/>
        <w:jc w:val="both"/>
        <w:rPr>
          <w:rFonts w:asciiTheme="minorHAnsi" w:hAnsiTheme="minorHAnsi" w:cstheme="minorHAnsi"/>
          <w:sz w:val="22"/>
          <w:szCs w:val="22"/>
        </w:rPr>
      </w:pPr>
    </w:p>
    <w:p w14:paraId="37BAEC9B" w14:textId="77777777" w:rsidR="00347968" w:rsidRPr="006F25B7" w:rsidRDefault="00F123BC" w:rsidP="00AA240B">
      <w:pPr>
        <w:pStyle w:val="Heading2"/>
        <w:spacing w:after="60"/>
        <w:ind w:hanging="360"/>
        <w:rPr>
          <w:rFonts w:asciiTheme="minorHAnsi" w:hAnsiTheme="minorHAnsi" w:cstheme="minorHAnsi"/>
          <w:sz w:val="22"/>
          <w:szCs w:val="22"/>
        </w:rPr>
      </w:pPr>
      <w:bookmarkStart w:id="23" w:name="_Toc72856177"/>
      <w:bookmarkStart w:id="24" w:name="_Toc73545930"/>
      <w:r w:rsidRPr="006F25B7">
        <w:rPr>
          <w:rFonts w:asciiTheme="minorHAnsi" w:hAnsiTheme="minorHAnsi" w:cstheme="minorHAnsi"/>
          <w:sz w:val="22"/>
          <w:szCs w:val="22"/>
        </w:rPr>
        <w:t>5.2</w:t>
      </w:r>
      <w:r w:rsidR="00347968" w:rsidRPr="006F25B7">
        <w:rPr>
          <w:rFonts w:asciiTheme="minorHAnsi" w:hAnsiTheme="minorHAnsi" w:cstheme="minorHAnsi"/>
          <w:sz w:val="22"/>
          <w:szCs w:val="22"/>
        </w:rPr>
        <w:t xml:space="preserve">. </w:t>
      </w:r>
      <w:r w:rsidR="007F4158" w:rsidRPr="006F25B7">
        <w:rPr>
          <w:rFonts w:asciiTheme="minorHAnsi" w:hAnsiTheme="minorHAnsi" w:cstheme="minorHAnsi"/>
          <w:sz w:val="22"/>
          <w:szCs w:val="22"/>
        </w:rPr>
        <w:t xml:space="preserve">Ill treatment of intersex </w:t>
      </w:r>
      <w:bookmarkEnd w:id="23"/>
      <w:r w:rsidR="006F25B7">
        <w:rPr>
          <w:rFonts w:asciiTheme="minorHAnsi" w:hAnsiTheme="minorHAnsi" w:cstheme="minorHAnsi"/>
          <w:sz w:val="22"/>
          <w:szCs w:val="22"/>
        </w:rPr>
        <w:t>children</w:t>
      </w:r>
      <w:bookmarkEnd w:id="24"/>
    </w:p>
    <w:p w14:paraId="1913CB94" w14:textId="77777777" w:rsidR="00347968" w:rsidRPr="00AA240B" w:rsidRDefault="00347968" w:rsidP="00AA240B">
      <w:pPr>
        <w:spacing w:before="120" w:after="240" w:line="276" w:lineRule="auto"/>
        <w:jc w:val="both"/>
        <w:rPr>
          <w:rFonts w:cstheme="minorHAnsi"/>
          <w:i/>
          <w:color w:val="2E74B5" w:themeColor="accent1" w:themeShade="BF"/>
        </w:rPr>
      </w:pPr>
      <w:r w:rsidRPr="00A24177">
        <w:rPr>
          <w:rFonts w:cstheme="minorHAnsi"/>
          <w:i/>
          <w:color w:val="2E74B5" w:themeColor="accent1" w:themeShade="BF"/>
        </w:rPr>
        <w:t>CEDAW</w:t>
      </w:r>
      <w:r w:rsidR="004C430E" w:rsidRPr="00A24177">
        <w:rPr>
          <w:rFonts w:cstheme="minorHAnsi"/>
          <w:i/>
          <w:color w:val="2E74B5" w:themeColor="accent1" w:themeShade="BF"/>
        </w:rPr>
        <w:t>:</w:t>
      </w:r>
      <w:r w:rsidRPr="00A24177">
        <w:rPr>
          <w:rFonts w:cstheme="minorHAnsi"/>
          <w:i/>
          <w:color w:val="2E74B5" w:themeColor="accent1" w:themeShade="BF"/>
        </w:rPr>
        <w:t xml:space="preserve"> art. 1,5,12. GR:14,19,31. </w:t>
      </w:r>
    </w:p>
    <w:p w14:paraId="2775BB5E" w14:textId="18459B7E" w:rsidR="007F4158" w:rsidRPr="00197E39" w:rsidRDefault="007F4158" w:rsidP="008730A8">
      <w:pPr>
        <w:pStyle w:val="NormalWeb"/>
        <w:numPr>
          <w:ilvl w:val="0"/>
          <w:numId w:val="11"/>
        </w:numPr>
        <w:shd w:val="clear" w:color="auto" w:fill="FFFFFF"/>
        <w:spacing w:before="120" w:beforeAutospacing="0" w:after="120" w:afterAutospacing="0" w:line="276" w:lineRule="auto"/>
        <w:ind w:left="0"/>
        <w:jc w:val="both"/>
        <w:rPr>
          <w:rFonts w:asciiTheme="minorHAnsi" w:hAnsiTheme="minorHAnsi" w:cstheme="minorHAnsi"/>
          <w:color w:val="000000"/>
          <w:sz w:val="22"/>
          <w:szCs w:val="22"/>
        </w:rPr>
      </w:pPr>
      <w:r w:rsidRPr="00197E39">
        <w:rPr>
          <w:rFonts w:asciiTheme="minorHAnsi" w:hAnsiTheme="minorHAnsi" w:cstheme="minorHAnsi"/>
          <w:color w:val="000000"/>
          <w:sz w:val="22"/>
          <w:szCs w:val="22"/>
        </w:rPr>
        <w:t>Georgian healthcare legislation does not prohibit genital-</w:t>
      </w:r>
      <w:r w:rsidR="00977A54" w:rsidRPr="00197E39">
        <w:rPr>
          <w:rFonts w:asciiTheme="minorHAnsi" w:hAnsiTheme="minorHAnsi" w:cstheme="minorHAnsi"/>
          <w:color w:val="000000"/>
          <w:sz w:val="22"/>
          <w:szCs w:val="22"/>
        </w:rPr>
        <w:t>normalizing</w:t>
      </w:r>
      <w:r w:rsidRPr="00197E39">
        <w:rPr>
          <w:rFonts w:asciiTheme="minorHAnsi" w:hAnsiTheme="minorHAnsi" w:cstheme="minorHAnsi"/>
          <w:color w:val="000000"/>
          <w:sz w:val="22"/>
          <w:szCs w:val="22"/>
        </w:rPr>
        <w:t xml:space="preserve"> treatment, involving bo</w:t>
      </w:r>
      <w:r w:rsidR="00347968" w:rsidRPr="00197E39">
        <w:rPr>
          <w:rFonts w:asciiTheme="minorHAnsi" w:hAnsiTheme="minorHAnsi" w:cstheme="minorHAnsi"/>
          <w:color w:val="000000"/>
          <w:sz w:val="22"/>
          <w:szCs w:val="22"/>
        </w:rPr>
        <w:t xml:space="preserve">th surgery and hormone therapy that </w:t>
      </w:r>
      <w:r w:rsidRPr="00197E39">
        <w:rPr>
          <w:rFonts w:asciiTheme="minorHAnsi" w:hAnsiTheme="minorHAnsi" w:cstheme="minorHAnsi"/>
          <w:color w:val="000000"/>
          <w:sz w:val="22"/>
          <w:szCs w:val="22"/>
        </w:rPr>
        <w:t xml:space="preserve">are often medically unnecessary, not always consistent with the person’s gender identity, </w:t>
      </w:r>
      <w:r w:rsidR="004C430E" w:rsidRPr="00197E39">
        <w:rPr>
          <w:rFonts w:asciiTheme="minorHAnsi" w:hAnsiTheme="minorHAnsi" w:cstheme="minorHAnsi"/>
          <w:color w:val="000000"/>
          <w:sz w:val="22"/>
          <w:szCs w:val="22"/>
        </w:rPr>
        <w:t>posing</w:t>
      </w:r>
      <w:r w:rsidRPr="00197E39">
        <w:rPr>
          <w:rFonts w:asciiTheme="minorHAnsi" w:hAnsiTheme="minorHAnsi" w:cstheme="minorHAnsi"/>
          <w:color w:val="000000"/>
          <w:sz w:val="22"/>
          <w:szCs w:val="22"/>
        </w:rPr>
        <w:t xml:space="preserve"> severe risks for sexual and reproductive health and </w:t>
      </w:r>
      <w:r w:rsidR="00FE4BC1">
        <w:rPr>
          <w:rFonts w:asciiTheme="minorHAnsi" w:hAnsiTheme="minorHAnsi" w:cstheme="minorHAnsi"/>
          <w:color w:val="000000"/>
          <w:sz w:val="22"/>
          <w:szCs w:val="22"/>
        </w:rPr>
        <w:t>are</w:t>
      </w:r>
      <w:r w:rsidR="00FE4BC1" w:rsidRPr="00197E39">
        <w:rPr>
          <w:rFonts w:asciiTheme="minorHAnsi" w:hAnsiTheme="minorHAnsi" w:cstheme="minorHAnsi"/>
          <w:color w:val="000000"/>
          <w:sz w:val="22"/>
          <w:szCs w:val="22"/>
        </w:rPr>
        <w:t xml:space="preserve"> </w:t>
      </w:r>
      <w:r w:rsidRPr="00197E39">
        <w:rPr>
          <w:rFonts w:asciiTheme="minorHAnsi" w:hAnsiTheme="minorHAnsi" w:cstheme="minorHAnsi"/>
          <w:color w:val="000000"/>
          <w:sz w:val="22"/>
          <w:szCs w:val="22"/>
        </w:rPr>
        <w:t xml:space="preserve">often performed without informed consent. No study has been conducted in Georgia which would examine the medical needs of intersex children and would assess against the international standards of “sex </w:t>
      </w:r>
      <w:r w:rsidR="00977A54" w:rsidRPr="00197E39">
        <w:rPr>
          <w:rFonts w:asciiTheme="minorHAnsi" w:hAnsiTheme="minorHAnsi" w:cstheme="minorHAnsi"/>
          <w:color w:val="000000"/>
          <w:sz w:val="22"/>
          <w:szCs w:val="22"/>
        </w:rPr>
        <w:t>normalization</w:t>
      </w:r>
      <w:r w:rsidRPr="00197E39">
        <w:rPr>
          <w:rFonts w:asciiTheme="minorHAnsi" w:hAnsiTheme="minorHAnsi" w:cstheme="minorHAnsi"/>
          <w:color w:val="000000"/>
          <w:sz w:val="22"/>
          <w:szCs w:val="22"/>
        </w:rPr>
        <w:t xml:space="preserve">” </w:t>
      </w:r>
      <w:r w:rsidR="00FE4BC1">
        <w:rPr>
          <w:rFonts w:asciiTheme="minorHAnsi" w:hAnsiTheme="minorHAnsi" w:cstheme="minorHAnsi"/>
          <w:color w:val="000000"/>
          <w:sz w:val="22"/>
          <w:szCs w:val="22"/>
        </w:rPr>
        <w:t xml:space="preserve">the </w:t>
      </w:r>
      <w:r w:rsidRPr="00197E39">
        <w:rPr>
          <w:rFonts w:asciiTheme="minorHAnsi" w:hAnsiTheme="minorHAnsi" w:cstheme="minorHAnsi"/>
          <w:color w:val="000000"/>
          <w:sz w:val="22"/>
          <w:szCs w:val="22"/>
        </w:rPr>
        <w:t>surgeries conducted on them in infancy or at later stages.</w:t>
      </w:r>
    </w:p>
    <w:p w14:paraId="6AA1CD61" w14:textId="77777777" w:rsidR="007F4158" w:rsidRPr="00197E39" w:rsidRDefault="007F4158" w:rsidP="00197E39">
      <w:pPr>
        <w:pStyle w:val="NormalWeb"/>
        <w:spacing w:before="120" w:beforeAutospacing="0" w:after="120" w:afterAutospacing="0" w:line="276" w:lineRule="auto"/>
        <w:jc w:val="both"/>
        <w:rPr>
          <w:rFonts w:asciiTheme="minorHAnsi" w:hAnsiTheme="minorHAnsi" w:cstheme="minorHAnsi"/>
          <w:sz w:val="22"/>
          <w:szCs w:val="22"/>
        </w:rPr>
      </w:pPr>
    </w:p>
    <w:p w14:paraId="5C50DFF9" w14:textId="77777777" w:rsidR="00D94F20" w:rsidRPr="00A24177" w:rsidRDefault="00D94F20" w:rsidP="00D94F20">
      <w:pPr>
        <w:pStyle w:val="Heading3"/>
        <w:numPr>
          <w:ilvl w:val="0"/>
          <w:numId w:val="15"/>
        </w:numPr>
        <w:ind w:left="0"/>
        <w:rPr>
          <w:rFonts w:eastAsia="Times New Roman"/>
        </w:rPr>
      </w:pPr>
      <w:bookmarkStart w:id="25" w:name="_Toc73545931"/>
      <w:r w:rsidRPr="00A24177">
        <w:rPr>
          <w:rFonts w:eastAsia="Times New Roman"/>
        </w:rPr>
        <w:t>Recommendations:</w:t>
      </w:r>
      <w:bookmarkEnd w:id="25"/>
      <w:r w:rsidRPr="00A24177">
        <w:rPr>
          <w:rFonts w:eastAsia="Times New Roman"/>
        </w:rPr>
        <w:t xml:space="preserve"> </w:t>
      </w:r>
    </w:p>
    <w:p w14:paraId="25AD3637" w14:textId="7ED1E332" w:rsidR="00D01499" w:rsidRDefault="00D01499" w:rsidP="00AA28D5">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D01499">
        <w:rPr>
          <w:rFonts w:asciiTheme="minorHAnsi" w:hAnsiTheme="minorHAnsi" w:cstheme="minorHAnsi"/>
          <w:color w:val="000000"/>
          <w:sz w:val="22"/>
          <w:szCs w:val="22"/>
        </w:rPr>
        <w:t>A</w:t>
      </w:r>
      <w:r w:rsidR="00414E5B">
        <w:rPr>
          <w:rFonts w:asciiTheme="minorHAnsi" w:hAnsiTheme="minorHAnsi" w:cstheme="minorHAnsi"/>
          <w:color w:val="000000"/>
          <w:sz w:val="22"/>
          <w:szCs w:val="22"/>
        </w:rPr>
        <w:t>mend the s</w:t>
      </w:r>
      <w:r w:rsidRPr="00D01499">
        <w:rPr>
          <w:rFonts w:asciiTheme="minorHAnsi" w:hAnsiTheme="minorHAnsi" w:cstheme="minorHAnsi"/>
          <w:color w:val="000000"/>
          <w:sz w:val="22"/>
          <w:szCs w:val="22"/>
        </w:rPr>
        <w:t>tate policies</w:t>
      </w:r>
      <w:r w:rsidR="00A24177" w:rsidRPr="00D01499">
        <w:rPr>
          <w:rFonts w:asciiTheme="minorHAnsi" w:hAnsiTheme="minorHAnsi" w:cstheme="minorHAnsi"/>
          <w:color w:val="000000"/>
          <w:sz w:val="22"/>
          <w:szCs w:val="22"/>
        </w:rPr>
        <w:t xml:space="preserve">, strategies and action plans on the health-care </w:t>
      </w:r>
      <w:r w:rsidRPr="00D01499">
        <w:rPr>
          <w:rFonts w:asciiTheme="minorHAnsi" w:hAnsiTheme="minorHAnsi" w:cstheme="minorHAnsi"/>
          <w:color w:val="000000"/>
          <w:sz w:val="22"/>
          <w:szCs w:val="22"/>
        </w:rPr>
        <w:t xml:space="preserve">to include needs </w:t>
      </w:r>
      <w:r w:rsidR="00A24177" w:rsidRPr="00D01499">
        <w:rPr>
          <w:rFonts w:asciiTheme="minorHAnsi" w:hAnsiTheme="minorHAnsi" w:cstheme="minorHAnsi"/>
          <w:color w:val="000000"/>
          <w:sz w:val="22"/>
          <w:szCs w:val="22"/>
        </w:rPr>
        <w:t>on SOGI</w:t>
      </w:r>
      <w:r w:rsidRPr="00D01499">
        <w:rPr>
          <w:rFonts w:asciiTheme="minorHAnsi" w:hAnsiTheme="minorHAnsi" w:cstheme="minorHAnsi"/>
          <w:color w:val="000000"/>
          <w:sz w:val="22"/>
          <w:szCs w:val="22"/>
        </w:rPr>
        <w:t>E</w:t>
      </w:r>
      <w:r w:rsidR="00A24177" w:rsidRPr="00D01499">
        <w:rPr>
          <w:rFonts w:asciiTheme="minorHAnsi" w:hAnsiTheme="minorHAnsi" w:cstheme="minorHAnsi"/>
          <w:color w:val="000000"/>
          <w:sz w:val="22"/>
          <w:szCs w:val="22"/>
        </w:rPr>
        <w:t>.</w:t>
      </w:r>
    </w:p>
    <w:p w14:paraId="01059EE5" w14:textId="257E1412" w:rsidR="00D01499" w:rsidRPr="00D01499" w:rsidRDefault="00D01499" w:rsidP="00D01499">
      <w:pPr>
        <w:pStyle w:val="ListParagraph"/>
        <w:numPr>
          <w:ilvl w:val="0"/>
          <w:numId w:val="8"/>
        </w:numPr>
        <w:pBdr>
          <w:top w:val="nil"/>
          <w:left w:val="nil"/>
          <w:bottom w:val="nil"/>
          <w:right w:val="nil"/>
          <w:between w:val="nil"/>
        </w:pBdr>
        <w:tabs>
          <w:tab w:val="left" w:pos="180"/>
        </w:tabs>
        <w:spacing w:before="120" w:after="0" w:line="240" w:lineRule="auto"/>
        <w:jc w:val="both"/>
        <w:rPr>
          <w:color w:val="000000"/>
        </w:rPr>
      </w:pPr>
      <w:r>
        <w:rPr>
          <w:color w:val="000000" w:themeColor="text1"/>
        </w:rPr>
        <w:t>A</w:t>
      </w:r>
      <w:r w:rsidRPr="11CECF3A">
        <w:rPr>
          <w:color w:val="000000" w:themeColor="text1"/>
        </w:rPr>
        <w:t>dopt clinical guidelines on trans-specific medical procedures in line with international standards</w:t>
      </w:r>
      <w:r w:rsidR="00122EA8">
        <w:rPr>
          <w:color w:val="000000" w:themeColor="text1"/>
        </w:rPr>
        <w:t xml:space="preserve"> and recommendations.</w:t>
      </w:r>
    </w:p>
    <w:p w14:paraId="4FAD7289" w14:textId="77777777" w:rsidR="00347968" w:rsidRDefault="00347968" w:rsidP="00AA28D5">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sidRPr="00D01499">
        <w:rPr>
          <w:rFonts w:asciiTheme="minorHAnsi" w:hAnsiTheme="minorHAnsi" w:cstheme="minorHAnsi"/>
          <w:color w:val="000000"/>
          <w:sz w:val="22"/>
          <w:szCs w:val="22"/>
        </w:rPr>
        <w:t>Implement effective legislative, administrative, judicial and other measures to ensure that no child or adult is subjected to unnecessary surgery or treatment without free and fully informed consent</w:t>
      </w:r>
      <w:r w:rsidR="00D01499">
        <w:rPr>
          <w:rFonts w:asciiTheme="minorHAnsi" w:hAnsiTheme="minorHAnsi" w:cstheme="minorHAnsi"/>
          <w:color w:val="000000"/>
          <w:sz w:val="22"/>
          <w:szCs w:val="22"/>
        </w:rPr>
        <w:t>.</w:t>
      </w:r>
    </w:p>
    <w:p w14:paraId="4C0FC637" w14:textId="2588B3F4" w:rsidR="007F4158" w:rsidRPr="00D01499" w:rsidRDefault="00D01499" w:rsidP="00D01499">
      <w:pPr>
        <w:pStyle w:val="ListParagraph"/>
        <w:numPr>
          <w:ilvl w:val="0"/>
          <w:numId w:val="8"/>
        </w:numPr>
        <w:pBdr>
          <w:top w:val="nil"/>
          <w:left w:val="nil"/>
          <w:bottom w:val="nil"/>
          <w:right w:val="nil"/>
          <w:between w:val="nil"/>
        </w:pBdr>
        <w:tabs>
          <w:tab w:val="left" w:pos="180"/>
        </w:tabs>
        <w:spacing w:before="120" w:after="0" w:line="240" w:lineRule="auto"/>
        <w:jc w:val="both"/>
        <w:rPr>
          <w:color w:val="000000"/>
        </w:rPr>
      </w:pPr>
      <w:r>
        <w:rPr>
          <w:color w:val="000000" w:themeColor="text1"/>
        </w:rPr>
        <w:t xml:space="preserve">Conduct special </w:t>
      </w:r>
      <w:r w:rsidRPr="11CECF3A">
        <w:rPr>
          <w:color w:val="000000" w:themeColor="text1"/>
        </w:rPr>
        <w:t>trainings for the relevant medical staff</w:t>
      </w:r>
      <w:r>
        <w:rPr>
          <w:color w:val="000000" w:themeColor="text1"/>
        </w:rPr>
        <w:t xml:space="preserve"> to</w:t>
      </w:r>
      <w:r w:rsidR="00E567DF">
        <w:rPr>
          <w:color w:val="000000" w:themeColor="text1"/>
        </w:rPr>
        <w:t xml:space="preserve"> understand the needs of L(G)BT</w:t>
      </w:r>
      <w:r>
        <w:rPr>
          <w:color w:val="000000" w:themeColor="text1"/>
        </w:rPr>
        <w:t xml:space="preserve">I persons, </w:t>
      </w:r>
      <w:r w:rsidRPr="00D01499">
        <w:rPr>
          <w:color w:val="000000" w:themeColor="text1"/>
        </w:rPr>
        <w:t xml:space="preserve">avoid discrimination </w:t>
      </w:r>
      <w:r>
        <w:rPr>
          <w:color w:val="000000" w:themeColor="text1"/>
        </w:rPr>
        <w:t>and</w:t>
      </w:r>
      <w:r w:rsidRPr="00D01499">
        <w:rPr>
          <w:color w:val="000000" w:themeColor="text1"/>
        </w:rPr>
        <w:t xml:space="preserve"> provide them with necessary services.</w:t>
      </w:r>
    </w:p>
    <w:p w14:paraId="1434061F" w14:textId="77777777" w:rsidR="00D01499" w:rsidRPr="00D01499" w:rsidRDefault="00D01499" w:rsidP="00D01499">
      <w:pPr>
        <w:pStyle w:val="ListParagraph"/>
        <w:pBdr>
          <w:top w:val="nil"/>
          <w:left w:val="nil"/>
          <w:bottom w:val="nil"/>
          <w:right w:val="nil"/>
          <w:between w:val="nil"/>
        </w:pBdr>
        <w:tabs>
          <w:tab w:val="left" w:pos="180"/>
        </w:tabs>
        <w:spacing w:before="120" w:after="0" w:line="240" w:lineRule="auto"/>
        <w:jc w:val="both"/>
        <w:rPr>
          <w:color w:val="000000"/>
        </w:rPr>
      </w:pPr>
    </w:p>
    <w:p w14:paraId="2ADB9A72" w14:textId="77777777" w:rsidR="0005730F" w:rsidRPr="00A24177" w:rsidRDefault="004C430E" w:rsidP="00AA240B">
      <w:pPr>
        <w:pStyle w:val="Heading1"/>
        <w:shd w:val="clear" w:color="auto" w:fill="DEEAF6" w:themeFill="accent1" w:themeFillTint="33"/>
        <w:spacing w:after="60" w:afterAutospacing="0"/>
        <w:ind w:left="-360"/>
        <w:rPr>
          <w:rFonts w:asciiTheme="minorHAnsi" w:hAnsiTheme="minorHAnsi" w:cstheme="minorHAnsi"/>
          <w:color w:val="1F4E79" w:themeColor="accent1" w:themeShade="80"/>
          <w:sz w:val="24"/>
          <w:szCs w:val="24"/>
        </w:rPr>
      </w:pPr>
      <w:bookmarkStart w:id="26" w:name="_Toc72856178"/>
      <w:bookmarkStart w:id="27" w:name="_Toc73545932"/>
      <w:r w:rsidRPr="00A24177">
        <w:rPr>
          <w:rFonts w:asciiTheme="minorHAnsi" w:hAnsiTheme="minorHAnsi" w:cstheme="minorHAnsi"/>
          <w:color w:val="1F4E79" w:themeColor="accent1" w:themeShade="80"/>
          <w:sz w:val="24"/>
          <w:szCs w:val="24"/>
        </w:rPr>
        <w:t xml:space="preserve">VI. </w:t>
      </w:r>
      <w:r w:rsidRPr="00A24177">
        <w:rPr>
          <w:rFonts w:asciiTheme="minorHAnsi" w:hAnsiTheme="minorHAnsi" w:cstheme="minorHAnsi"/>
          <w:color w:val="1F4E79" w:themeColor="accent1" w:themeShade="80"/>
          <w:sz w:val="24"/>
          <w:szCs w:val="24"/>
        </w:rPr>
        <w:tab/>
      </w:r>
      <w:r w:rsidR="00504D69" w:rsidRPr="00A24177">
        <w:rPr>
          <w:rFonts w:asciiTheme="minorHAnsi" w:hAnsiTheme="minorHAnsi" w:cstheme="minorHAnsi"/>
          <w:color w:val="1F4E79" w:themeColor="accent1" w:themeShade="80"/>
          <w:sz w:val="24"/>
          <w:szCs w:val="24"/>
        </w:rPr>
        <w:t>Discrimination and exclusion in employment</w:t>
      </w:r>
      <w:bookmarkEnd w:id="26"/>
      <w:bookmarkEnd w:id="27"/>
      <w:r w:rsidR="00504D69" w:rsidRPr="00A24177">
        <w:rPr>
          <w:rFonts w:asciiTheme="minorHAnsi" w:hAnsiTheme="minorHAnsi" w:cstheme="minorHAnsi"/>
          <w:color w:val="1F4E79" w:themeColor="accent1" w:themeShade="80"/>
          <w:sz w:val="24"/>
          <w:szCs w:val="24"/>
        </w:rPr>
        <w:t xml:space="preserve"> </w:t>
      </w:r>
    </w:p>
    <w:p w14:paraId="45C0D052" w14:textId="77777777" w:rsidR="00AA240B" w:rsidRPr="00AA240B" w:rsidRDefault="007B721E" w:rsidP="00AA240B">
      <w:pPr>
        <w:spacing w:before="120" w:after="240" w:line="276" w:lineRule="auto"/>
        <w:rPr>
          <w:rFonts w:cstheme="minorHAnsi"/>
          <w:i/>
          <w:color w:val="2E74B5" w:themeColor="accent1" w:themeShade="BF"/>
        </w:rPr>
      </w:pPr>
      <w:r w:rsidRPr="00A24177">
        <w:rPr>
          <w:rFonts w:cstheme="minorHAnsi"/>
          <w:i/>
          <w:color w:val="2E74B5" w:themeColor="accent1" w:themeShade="BF"/>
        </w:rPr>
        <w:t>CEDAW</w:t>
      </w:r>
      <w:r w:rsidR="004C430E" w:rsidRPr="00A24177">
        <w:rPr>
          <w:rFonts w:cstheme="minorHAnsi"/>
          <w:i/>
          <w:color w:val="2E74B5" w:themeColor="accent1" w:themeShade="BF"/>
        </w:rPr>
        <w:t>:</w:t>
      </w:r>
      <w:r w:rsidRPr="00A24177">
        <w:rPr>
          <w:rFonts w:cstheme="minorHAnsi"/>
          <w:i/>
          <w:color w:val="2E74B5" w:themeColor="accent1" w:themeShade="BF"/>
        </w:rPr>
        <w:t xml:space="preserve"> art. </w:t>
      </w:r>
      <w:r w:rsidRPr="00A24177">
        <w:rPr>
          <w:rFonts w:cstheme="minorHAnsi"/>
          <w:i/>
          <w:color w:val="2E74B5" w:themeColor="accent1" w:themeShade="BF"/>
          <w:lang w:val="ka-GE"/>
        </w:rPr>
        <w:t xml:space="preserve">2; </w:t>
      </w:r>
      <w:r w:rsidR="004C430E" w:rsidRPr="00A24177">
        <w:rPr>
          <w:rFonts w:cstheme="minorHAnsi"/>
          <w:i/>
          <w:color w:val="2E74B5" w:themeColor="accent1" w:themeShade="BF"/>
        </w:rPr>
        <w:t>11, 15.</w:t>
      </w:r>
    </w:p>
    <w:p w14:paraId="1104A984" w14:textId="7A5BD4A7" w:rsidR="008B3705" w:rsidRPr="007D67B0" w:rsidRDefault="00092875" w:rsidP="008730A8">
      <w:pPr>
        <w:pStyle w:val="ListParagraph"/>
        <w:numPr>
          <w:ilvl w:val="0"/>
          <w:numId w:val="11"/>
        </w:numPr>
        <w:autoSpaceDE w:val="0"/>
        <w:autoSpaceDN w:val="0"/>
        <w:adjustRightInd w:val="0"/>
        <w:spacing w:before="120" w:after="120" w:line="276" w:lineRule="auto"/>
        <w:ind w:left="0"/>
        <w:jc w:val="both"/>
        <w:rPr>
          <w:rFonts w:cstheme="minorHAnsi"/>
          <w:color w:val="000000"/>
        </w:rPr>
      </w:pPr>
      <w:r w:rsidRPr="007D67B0">
        <w:rPr>
          <w:rFonts w:cstheme="minorHAnsi"/>
          <w:color w:val="000000"/>
        </w:rPr>
        <w:t>D</w:t>
      </w:r>
      <w:r w:rsidR="0005730F" w:rsidRPr="007D67B0">
        <w:rPr>
          <w:rFonts w:cstheme="minorHAnsi"/>
          <w:color w:val="000000"/>
        </w:rPr>
        <w:t>iscrimination in employment</w:t>
      </w:r>
      <w:r w:rsidR="0005730F" w:rsidRPr="007D67B0">
        <w:rPr>
          <w:rFonts w:cstheme="minorHAnsi"/>
          <w:color w:val="000000"/>
          <w:lang w:val="ka-GE"/>
        </w:rPr>
        <w:t xml:space="preserve"> is </w:t>
      </w:r>
      <w:r w:rsidRPr="007D67B0">
        <w:rPr>
          <w:rFonts w:cstheme="minorHAnsi"/>
          <w:color w:val="000000"/>
        </w:rPr>
        <w:t>yet another</w:t>
      </w:r>
      <w:r w:rsidR="0005730F" w:rsidRPr="007D67B0">
        <w:rPr>
          <w:rFonts w:cstheme="minorHAnsi"/>
          <w:color w:val="000000"/>
          <w:lang w:val="ka-GE"/>
        </w:rPr>
        <w:t xml:space="preserve"> </w:t>
      </w:r>
      <w:r w:rsidR="008B3705" w:rsidRPr="007D67B0">
        <w:rPr>
          <w:rFonts w:cstheme="minorHAnsi"/>
          <w:color w:val="000000"/>
        </w:rPr>
        <w:t>challenge</w:t>
      </w:r>
      <w:r w:rsidR="0005730F" w:rsidRPr="007D67B0">
        <w:rPr>
          <w:rFonts w:cstheme="minorHAnsi"/>
          <w:color w:val="000000"/>
          <w:lang w:val="ka-GE"/>
        </w:rPr>
        <w:t xml:space="preserve"> for </w:t>
      </w:r>
      <w:r w:rsidR="0070315D" w:rsidRPr="007D67B0">
        <w:rPr>
          <w:rFonts w:cstheme="minorHAnsi"/>
          <w:color w:val="000000"/>
        </w:rPr>
        <w:t>LBTI</w:t>
      </w:r>
      <w:r w:rsidR="0070315D" w:rsidRPr="007D67B0">
        <w:rPr>
          <w:rFonts w:cstheme="minorHAnsi"/>
          <w:color w:val="000000"/>
          <w:lang w:val="ka-GE"/>
        </w:rPr>
        <w:t xml:space="preserve"> persons</w:t>
      </w:r>
      <w:r w:rsidR="0070315D" w:rsidRPr="007D67B0">
        <w:rPr>
          <w:rFonts w:cstheme="minorHAnsi"/>
          <w:color w:val="000000"/>
        </w:rPr>
        <w:t>, even though Labour Code prohibit</w:t>
      </w:r>
      <w:r w:rsidR="00FE4BC1">
        <w:rPr>
          <w:rFonts w:cstheme="minorHAnsi"/>
          <w:color w:val="000000"/>
        </w:rPr>
        <w:t>s</w:t>
      </w:r>
      <w:r w:rsidR="0070315D" w:rsidRPr="007D67B0">
        <w:rPr>
          <w:rFonts w:cstheme="minorHAnsi"/>
          <w:color w:val="000000"/>
        </w:rPr>
        <w:t xml:space="preserve"> discrimination based on sexual orientation.</w:t>
      </w:r>
      <w:r w:rsidR="0070315D" w:rsidRPr="007D67B0">
        <w:rPr>
          <w:rFonts w:cstheme="minorHAnsi"/>
          <w:color w:val="000000"/>
          <w:lang w:val="ka-GE"/>
        </w:rPr>
        <w:t xml:space="preserve"> E</w:t>
      </w:r>
      <w:r w:rsidR="0005730F" w:rsidRPr="007D67B0">
        <w:rPr>
          <w:rFonts w:cstheme="minorHAnsi"/>
          <w:color w:val="000000"/>
          <w:lang w:val="ka-GE"/>
        </w:rPr>
        <w:t xml:space="preserve">specially </w:t>
      </w:r>
      <w:r w:rsidR="00E318F1">
        <w:rPr>
          <w:rFonts w:cstheme="minorHAnsi"/>
          <w:color w:val="000000"/>
        </w:rPr>
        <w:t>t</w:t>
      </w:r>
      <w:r w:rsidR="0070315D" w:rsidRPr="007D67B0">
        <w:rPr>
          <w:rFonts w:cstheme="minorHAnsi"/>
          <w:color w:val="000000"/>
          <w:lang w:val="ka-GE"/>
        </w:rPr>
        <w:t>rans</w:t>
      </w:r>
      <w:r w:rsidR="0005730F" w:rsidRPr="007D67B0">
        <w:rPr>
          <w:rFonts w:cstheme="minorHAnsi"/>
          <w:color w:val="000000"/>
          <w:lang w:val="ka-GE"/>
        </w:rPr>
        <w:t xml:space="preserve"> persons are</w:t>
      </w:r>
      <w:r w:rsidRPr="007D67B0">
        <w:rPr>
          <w:rFonts w:cstheme="minorHAnsi"/>
          <w:color w:val="000000"/>
          <w:lang w:val="ka-GE"/>
        </w:rPr>
        <w:t xml:space="preserve"> vulnerable at the labor market, </w:t>
      </w:r>
      <w:r w:rsidRPr="007D67B0">
        <w:rPr>
          <w:rFonts w:cstheme="minorHAnsi"/>
          <w:color w:val="000000"/>
        </w:rPr>
        <w:t>as unregulated</w:t>
      </w:r>
      <w:r w:rsidRPr="007D67B0">
        <w:rPr>
          <w:rFonts w:cstheme="minorHAnsi"/>
          <w:color w:val="000000"/>
          <w:lang w:val="ka-GE"/>
        </w:rPr>
        <w:t xml:space="preserve"> LGR </w:t>
      </w:r>
      <w:r w:rsidR="00FE4BC1">
        <w:rPr>
          <w:rFonts w:cstheme="minorHAnsi"/>
          <w:color w:val="000000"/>
        </w:rPr>
        <w:t>pushes</w:t>
      </w:r>
      <w:r w:rsidR="0005730F" w:rsidRPr="007D67B0">
        <w:rPr>
          <w:rFonts w:cstheme="minorHAnsi"/>
          <w:color w:val="000000"/>
          <w:lang w:val="ka-GE"/>
        </w:rPr>
        <w:t xml:space="preserve"> them </w:t>
      </w:r>
      <w:r w:rsidR="00FE4BC1">
        <w:rPr>
          <w:rFonts w:cstheme="minorHAnsi"/>
          <w:color w:val="000000"/>
        </w:rPr>
        <w:t>in</w:t>
      </w:r>
      <w:r w:rsidR="0005730F" w:rsidRPr="007D67B0">
        <w:rPr>
          <w:rFonts w:cstheme="minorHAnsi"/>
          <w:color w:val="000000"/>
          <w:lang w:val="ka-GE"/>
        </w:rPr>
        <w:t xml:space="preserve">to unofficial employment </w:t>
      </w:r>
      <w:r w:rsidRPr="007D67B0">
        <w:rPr>
          <w:rFonts w:cstheme="minorHAnsi"/>
          <w:color w:val="000000"/>
        </w:rPr>
        <w:t>i.e.</w:t>
      </w:r>
      <w:r w:rsidR="0005730F" w:rsidRPr="007D67B0">
        <w:rPr>
          <w:rFonts w:cstheme="minorHAnsi"/>
          <w:color w:val="000000"/>
          <w:lang w:val="ka-GE"/>
        </w:rPr>
        <w:t xml:space="preserve"> poor working conditions and remuneration</w:t>
      </w:r>
      <w:r w:rsidR="007F4158" w:rsidRPr="007D67B0">
        <w:rPr>
          <w:rFonts w:cstheme="minorHAnsi"/>
          <w:color w:val="000000"/>
          <w:lang w:val="ka-GE"/>
        </w:rPr>
        <w:t>, also highlite</w:t>
      </w:r>
      <w:r w:rsidR="007F4158" w:rsidRPr="007D67B0">
        <w:rPr>
          <w:rFonts w:cstheme="minorHAnsi"/>
          <w:color w:val="000000"/>
        </w:rPr>
        <w:t xml:space="preserve">d by the </w:t>
      </w:r>
      <w:r w:rsidR="00E567DF">
        <w:rPr>
          <w:rFonts w:cstheme="minorHAnsi"/>
          <w:color w:val="000000"/>
        </w:rPr>
        <w:t>IE</w:t>
      </w:r>
      <w:r w:rsidR="007F4158" w:rsidRPr="007D67B0">
        <w:rPr>
          <w:rFonts w:cstheme="minorHAnsi"/>
          <w:color w:val="000000"/>
        </w:rPr>
        <w:t>.</w:t>
      </w:r>
      <w:r w:rsidR="007F4158" w:rsidRPr="007D67B0">
        <w:rPr>
          <w:rStyle w:val="FootnoteReference"/>
          <w:rFonts w:cstheme="minorHAnsi"/>
          <w:color w:val="000000"/>
        </w:rPr>
        <w:t xml:space="preserve"> </w:t>
      </w:r>
      <w:r w:rsidR="007F4158" w:rsidRPr="00197E39">
        <w:rPr>
          <w:rStyle w:val="FootnoteReference"/>
          <w:rFonts w:cstheme="minorHAnsi"/>
          <w:color w:val="000000"/>
        </w:rPr>
        <w:footnoteReference w:id="20"/>
      </w:r>
    </w:p>
    <w:p w14:paraId="7AE7EA9E" w14:textId="70D4AF68" w:rsidR="005E1943" w:rsidRDefault="0070315D" w:rsidP="008730A8">
      <w:pPr>
        <w:pStyle w:val="Normal1"/>
        <w:numPr>
          <w:ilvl w:val="0"/>
          <w:numId w:val="11"/>
        </w:numPr>
        <w:shd w:val="clear" w:color="auto" w:fill="FFFFFF"/>
        <w:spacing w:before="120" w:after="120"/>
        <w:ind w:left="0"/>
        <w:rPr>
          <w:rFonts w:asciiTheme="minorHAnsi" w:hAnsiTheme="minorHAnsi" w:cstheme="minorHAnsi"/>
          <w:color w:val="000000"/>
        </w:rPr>
      </w:pPr>
      <w:r>
        <w:rPr>
          <w:rFonts w:asciiTheme="minorHAnsi" w:hAnsiTheme="minorHAnsi" w:cstheme="minorHAnsi"/>
          <w:color w:val="000000"/>
        </w:rPr>
        <w:t xml:space="preserve">Study </w:t>
      </w:r>
      <w:r w:rsidR="008730A8">
        <w:rPr>
          <w:rFonts w:asciiTheme="minorHAnsi" w:hAnsiTheme="minorHAnsi" w:cstheme="minorHAnsi"/>
          <w:color w:val="000000"/>
        </w:rPr>
        <w:t xml:space="preserve">of 2018 </w:t>
      </w:r>
      <w:r>
        <w:rPr>
          <w:rFonts w:asciiTheme="minorHAnsi" w:hAnsiTheme="minorHAnsi" w:cstheme="minorHAnsi"/>
          <w:color w:val="000000"/>
        </w:rPr>
        <w:t xml:space="preserve">reveals that </w:t>
      </w:r>
      <w:r w:rsidR="008B3705" w:rsidRPr="00197E39">
        <w:rPr>
          <w:rFonts w:asciiTheme="minorHAnsi" w:hAnsiTheme="minorHAnsi" w:cstheme="minorHAnsi"/>
          <w:color w:val="000000"/>
        </w:rPr>
        <w:t xml:space="preserve">28.2% of LB women </w:t>
      </w:r>
      <w:r>
        <w:rPr>
          <w:rFonts w:asciiTheme="minorHAnsi" w:hAnsiTheme="minorHAnsi" w:cstheme="minorHAnsi"/>
          <w:color w:val="000000"/>
        </w:rPr>
        <w:t xml:space="preserve">were discriminated in employment based on SOGIE, </w:t>
      </w:r>
      <w:r w:rsidR="009B5D12" w:rsidRPr="00197E39">
        <w:rPr>
          <w:rFonts w:asciiTheme="minorHAnsi" w:hAnsiTheme="minorHAnsi" w:cstheme="minorHAnsi"/>
          <w:color w:val="000000"/>
        </w:rPr>
        <w:t xml:space="preserve">mostly while seeking jobs: denial on employment </w:t>
      </w:r>
      <w:r>
        <w:rPr>
          <w:rFonts w:asciiTheme="minorHAnsi" w:hAnsiTheme="minorHAnsi" w:cstheme="minorHAnsi"/>
          <w:color w:val="000000"/>
        </w:rPr>
        <w:t>hit 21.4%</w:t>
      </w:r>
      <w:r w:rsidR="009B5D12" w:rsidRPr="00197E39">
        <w:rPr>
          <w:rFonts w:asciiTheme="minorHAnsi" w:hAnsiTheme="minorHAnsi" w:cstheme="minorHAnsi"/>
          <w:color w:val="000000"/>
        </w:rPr>
        <w:t xml:space="preserve">; </w:t>
      </w:r>
      <w:r>
        <w:rPr>
          <w:rFonts w:asciiTheme="minorHAnsi" w:hAnsiTheme="minorHAnsi" w:cstheme="minorHAnsi"/>
          <w:color w:val="000000"/>
        </w:rPr>
        <w:t>unequal opportunities (11.2%)</w:t>
      </w:r>
      <w:r w:rsidR="009B5D12" w:rsidRPr="00197E39">
        <w:rPr>
          <w:rFonts w:asciiTheme="minorHAnsi" w:hAnsiTheme="minorHAnsi" w:cstheme="minorHAnsi"/>
          <w:color w:val="000000"/>
        </w:rPr>
        <w:t xml:space="preserve">; obstacles </w:t>
      </w:r>
      <w:r w:rsidR="00FE4BC1">
        <w:rPr>
          <w:rFonts w:asciiTheme="minorHAnsi" w:hAnsiTheme="minorHAnsi" w:cstheme="minorHAnsi"/>
          <w:color w:val="000000"/>
        </w:rPr>
        <w:t>i</w:t>
      </w:r>
      <w:r w:rsidR="009B5D12" w:rsidRPr="00197E39">
        <w:rPr>
          <w:rFonts w:asciiTheme="minorHAnsi" w:hAnsiTheme="minorHAnsi" w:cstheme="minorHAnsi"/>
          <w:color w:val="000000"/>
        </w:rPr>
        <w:t>n promotion (6.5%).</w:t>
      </w:r>
      <w:r>
        <w:rPr>
          <w:rFonts w:asciiTheme="minorHAnsi" w:hAnsiTheme="minorHAnsi" w:cstheme="minorHAnsi"/>
          <w:color w:val="000000"/>
        </w:rPr>
        <w:t xml:space="preserve"> Entering the labo</w:t>
      </w:r>
      <w:r w:rsidR="00122EA8">
        <w:rPr>
          <w:rFonts w:asciiTheme="minorHAnsi" w:hAnsiTheme="minorHAnsi" w:cstheme="minorHAnsi"/>
          <w:color w:val="000000"/>
        </w:rPr>
        <w:t>u</w:t>
      </w:r>
      <w:r>
        <w:rPr>
          <w:rFonts w:asciiTheme="minorHAnsi" w:hAnsiTheme="minorHAnsi" w:cstheme="minorHAnsi"/>
          <w:color w:val="000000"/>
        </w:rPr>
        <w:t xml:space="preserve">r market </w:t>
      </w:r>
      <w:r w:rsidR="009B5D12" w:rsidRPr="00197E39">
        <w:rPr>
          <w:rFonts w:asciiTheme="minorHAnsi" w:hAnsiTheme="minorHAnsi" w:cstheme="minorHAnsi"/>
          <w:color w:val="000000"/>
        </w:rPr>
        <w:t>is more problematic for the LB women who look gender nonconforming (48.4%). It revealed that difference also occurs in terms of employment sector: as the discrimination experienced by LB women operat</w:t>
      </w:r>
      <w:r w:rsidR="00FE4BC1">
        <w:rPr>
          <w:rFonts w:asciiTheme="minorHAnsi" w:hAnsiTheme="minorHAnsi" w:cstheme="minorHAnsi"/>
          <w:color w:val="000000"/>
        </w:rPr>
        <w:t>ing</w:t>
      </w:r>
      <w:r w:rsidR="008157F4">
        <w:rPr>
          <w:rFonts w:asciiTheme="minorHAnsi" w:hAnsiTheme="minorHAnsi" w:cstheme="minorHAnsi"/>
          <w:color w:val="000000"/>
        </w:rPr>
        <w:t xml:space="preserve"> in</w:t>
      </w:r>
      <w:r w:rsidR="00FE4BC1">
        <w:rPr>
          <w:rFonts w:asciiTheme="minorHAnsi" w:hAnsiTheme="minorHAnsi" w:cstheme="minorHAnsi"/>
          <w:color w:val="000000"/>
        </w:rPr>
        <w:t xml:space="preserve"> the private</w:t>
      </w:r>
      <w:r w:rsidR="00FE4BC1" w:rsidRPr="00197E39">
        <w:rPr>
          <w:rFonts w:asciiTheme="minorHAnsi" w:hAnsiTheme="minorHAnsi" w:cstheme="minorHAnsi"/>
          <w:color w:val="000000"/>
        </w:rPr>
        <w:t xml:space="preserve"> </w:t>
      </w:r>
      <w:r w:rsidR="009B5D12" w:rsidRPr="00197E39">
        <w:rPr>
          <w:rFonts w:asciiTheme="minorHAnsi" w:hAnsiTheme="minorHAnsi" w:cstheme="minorHAnsi"/>
          <w:color w:val="000000"/>
        </w:rPr>
        <w:t xml:space="preserve">sector (32.6%) is </w:t>
      </w:r>
      <w:r w:rsidR="00FE4BC1">
        <w:rPr>
          <w:rFonts w:asciiTheme="minorHAnsi" w:hAnsiTheme="minorHAnsi" w:cstheme="minorHAnsi"/>
          <w:color w:val="000000"/>
        </w:rPr>
        <w:t>double that of</w:t>
      </w:r>
      <w:r w:rsidR="007F4158" w:rsidRPr="00197E39">
        <w:rPr>
          <w:rFonts w:asciiTheme="minorHAnsi" w:hAnsiTheme="minorHAnsi" w:cstheme="minorHAnsi"/>
          <w:color w:val="000000"/>
        </w:rPr>
        <w:t xml:space="preserve"> the employees of </w:t>
      </w:r>
      <w:r w:rsidR="00FE4BC1">
        <w:rPr>
          <w:rFonts w:asciiTheme="minorHAnsi" w:hAnsiTheme="minorHAnsi" w:cstheme="minorHAnsi"/>
          <w:color w:val="000000"/>
        </w:rPr>
        <w:t xml:space="preserve">the </w:t>
      </w:r>
      <w:r w:rsidR="007F4158" w:rsidRPr="00197E39">
        <w:rPr>
          <w:rFonts w:asciiTheme="minorHAnsi" w:hAnsiTheme="minorHAnsi" w:cstheme="minorHAnsi"/>
          <w:color w:val="000000"/>
        </w:rPr>
        <w:t>public sector</w:t>
      </w:r>
      <w:r>
        <w:rPr>
          <w:rFonts w:asciiTheme="minorHAnsi" w:hAnsiTheme="minorHAnsi" w:cstheme="minorHAnsi"/>
          <w:color w:val="000000"/>
        </w:rPr>
        <w:t>;</w:t>
      </w:r>
      <w:r>
        <w:rPr>
          <w:rStyle w:val="FootnoteReference"/>
          <w:rFonts w:asciiTheme="minorHAnsi" w:hAnsiTheme="minorHAnsi" w:cstheme="minorHAnsi"/>
          <w:color w:val="000000"/>
        </w:rPr>
        <w:footnoteReference w:id="21"/>
      </w:r>
      <w:r w:rsidR="007F4158" w:rsidRPr="00197E39">
        <w:rPr>
          <w:rFonts w:asciiTheme="minorHAnsi" w:hAnsiTheme="minorHAnsi" w:cstheme="minorHAnsi"/>
          <w:color w:val="000000"/>
        </w:rPr>
        <w:t xml:space="preserve"> </w:t>
      </w:r>
      <w:r w:rsidR="008730A8">
        <w:rPr>
          <w:rFonts w:asciiTheme="minorHAnsi" w:hAnsiTheme="minorHAnsi" w:cstheme="minorHAnsi"/>
          <w:color w:val="000000"/>
        </w:rPr>
        <w:t>w</w:t>
      </w:r>
      <w:r w:rsidR="00FE4BC1">
        <w:rPr>
          <w:rFonts w:asciiTheme="minorHAnsi" w:hAnsiTheme="minorHAnsi" w:cstheme="minorHAnsi"/>
          <w:color w:val="000000"/>
        </w:rPr>
        <w:t>e can thus presume</w:t>
      </w:r>
      <w:r>
        <w:rPr>
          <w:rFonts w:asciiTheme="minorHAnsi" w:hAnsiTheme="minorHAnsi" w:cstheme="minorHAnsi"/>
          <w:color w:val="000000"/>
        </w:rPr>
        <w:t xml:space="preserve"> </w:t>
      </w:r>
      <w:r w:rsidR="007F4158" w:rsidRPr="00197E39">
        <w:rPr>
          <w:rFonts w:asciiTheme="minorHAnsi" w:hAnsiTheme="minorHAnsi" w:cstheme="minorHAnsi"/>
          <w:color w:val="000000"/>
        </w:rPr>
        <w:t xml:space="preserve">that the anti-discrimination mechanism is more effective in the public sector. </w:t>
      </w:r>
    </w:p>
    <w:p w14:paraId="2E209C0C" w14:textId="77777777" w:rsidR="00417F3A" w:rsidRPr="00197E39" w:rsidRDefault="00417F3A" w:rsidP="00197E39">
      <w:pPr>
        <w:pStyle w:val="Normal1"/>
        <w:shd w:val="clear" w:color="auto" w:fill="FFFFFF"/>
        <w:spacing w:before="120" w:after="120"/>
        <w:rPr>
          <w:rFonts w:asciiTheme="minorHAnsi" w:hAnsiTheme="minorHAnsi" w:cstheme="minorHAnsi"/>
          <w:color w:val="000000"/>
        </w:rPr>
      </w:pPr>
    </w:p>
    <w:p w14:paraId="340F3A86" w14:textId="77777777" w:rsidR="00D94F20" w:rsidRPr="00A24177" w:rsidRDefault="00D94F20" w:rsidP="00D94F20">
      <w:pPr>
        <w:pStyle w:val="Heading3"/>
        <w:numPr>
          <w:ilvl w:val="0"/>
          <w:numId w:val="15"/>
        </w:numPr>
        <w:ind w:left="0"/>
        <w:rPr>
          <w:rFonts w:eastAsia="Times New Roman"/>
        </w:rPr>
      </w:pPr>
      <w:bookmarkStart w:id="28" w:name="_Toc73545933"/>
      <w:r w:rsidRPr="00A24177">
        <w:rPr>
          <w:rFonts w:eastAsia="Times New Roman"/>
        </w:rPr>
        <w:t>Recommendations:</w:t>
      </w:r>
      <w:bookmarkEnd w:id="28"/>
      <w:r w:rsidRPr="00A24177">
        <w:rPr>
          <w:rFonts w:eastAsia="Times New Roman"/>
        </w:rPr>
        <w:t xml:space="preserve"> </w:t>
      </w:r>
    </w:p>
    <w:p w14:paraId="4744E911" w14:textId="2043F56E" w:rsidR="00AD457E" w:rsidRPr="00AD457E" w:rsidRDefault="00AD457E" w:rsidP="00AD457E">
      <w:pPr>
        <w:pStyle w:val="NormalWeb"/>
        <w:numPr>
          <w:ilvl w:val="0"/>
          <w:numId w:val="8"/>
        </w:numPr>
        <w:spacing w:before="120" w:beforeAutospacing="0" w:after="12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Ensure awareness rising on anti-discrimination mechanism</w:t>
      </w:r>
      <w:r w:rsidR="00FE4BC1">
        <w:rPr>
          <w:rFonts w:asciiTheme="minorHAnsi" w:hAnsiTheme="minorHAnsi" w:cstheme="minorHAnsi"/>
          <w:color w:val="000000"/>
          <w:sz w:val="22"/>
          <w:szCs w:val="22"/>
        </w:rPr>
        <w:t xml:space="preserve">s, including in the </w:t>
      </w:r>
      <w:r>
        <w:rPr>
          <w:rFonts w:asciiTheme="minorHAnsi" w:hAnsiTheme="minorHAnsi" w:cstheme="minorHAnsi"/>
          <w:color w:val="000000"/>
          <w:sz w:val="22"/>
          <w:szCs w:val="22"/>
        </w:rPr>
        <w:t>Labour Code</w:t>
      </w:r>
      <w:r w:rsidR="00FE4BC1">
        <w:rPr>
          <w:rFonts w:asciiTheme="minorHAnsi" w:hAnsiTheme="minorHAnsi" w:cstheme="minorHAnsi"/>
          <w:color w:val="000000"/>
          <w:sz w:val="22"/>
          <w:szCs w:val="22"/>
        </w:rPr>
        <w:t>,</w:t>
      </w:r>
      <w:r>
        <w:rPr>
          <w:rFonts w:asciiTheme="minorHAnsi" w:hAnsiTheme="minorHAnsi" w:cstheme="minorHAnsi"/>
          <w:color w:val="000000"/>
          <w:sz w:val="22"/>
          <w:szCs w:val="22"/>
        </w:rPr>
        <w:t xml:space="preserve"> in terms of SOGIE</w:t>
      </w:r>
      <w:r w:rsidR="003F1F22">
        <w:rPr>
          <w:rFonts w:asciiTheme="minorHAnsi" w:hAnsiTheme="minorHAnsi" w:cstheme="minorHAnsi"/>
          <w:color w:val="000000"/>
          <w:sz w:val="22"/>
          <w:szCs w:val="22"/>
        </w:rPr>
        <w:t>.</w:t>
      </w:r>
    </w:p>
    <w:p w14:paraId="39AE0878" w14:textId="5EEC34B0" w:rsidR="007F4158" w:rsidRDefault="007F4158" w:rsidP="00197E39">
      <w:pPr>
        <w:pStyle w:val="Normal1"/>
        <w:shd w:val="clear" w:color="auto" w:fill="FFFFFF"/>
        <w:spacing w:before="120" w:after="120"/>
        <w:rPr>
          <w:rFonts w:asciiTheme="minorHAnsi" w:hAnsiTheme="minorHAnsi" w:cstheme="minorHAnsi"/>
          <w:color w:val="000000"/>
        </w:rPr>
      </w:pPr>
    </w:p>
    <w:sectPr w:rsidR="007F4158" w:rsidSect="006A044A">
      <w:footerReference w:type="default" r:id="rId11"/>
      <w:pgSz w:w="12240" w:h="15840"/>
      <w:pgMar w:top="99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5684" w16cex:dateUtc="2021-06-01T20:59:00Z"/>
  <w16cex:commentExtensible w16cex:durableId="246156F4" w16cex:dateUtc="2021-06-01T21:01:00Z"/>
  <w16cex:commentExtensible w16cex:durableId="24615864" w16cex:dateUtc="2021-06-01T21:07:00Z"/>
  <w16cex:commentExtensible w16cex:durableId="246158CC" w16cex:dateUtc="2021-06-01T2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EDB83" w14:textId="77777777" w:rsidR="005A5912" w:rsidRDefault="005A5912" w:rsidP="007C76C1">
      <w:pPr>
        <w:spacing w:after="0" w:line="240" w:lineRule="auto"/>
      </w:pPr>
      <w:r>
        <w:separator/>
      </w:r>
    </w:p>
  </w:endnote>
  <w:endnote w:type="continuationSeparator" w:id="0">
    <w:p w14:paraId="6754F3F5" w14:textId="77777777" w:rsidR="005A5912" w:rsidRDefault="005A5912" w:rsidP="007C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2A3B" w14:textId="77777777" w:rsidR="00AA28D5" w:rsidRDefault="00AA28D5" w:rsidP="00B74D12">
    <w:pPr>
      <w:pStyle w:val="Footer"/>
      <w:jc w:val="center"/>
    </w:pPr>
    <w:r>
      <w:rPr>
        <w:rFonts w:cstheme="minorHAnsi"/>
        <w:noProof/>
        <w:lang w:val="en-GB" w:eastAsia="en-GB"/>
      </w:rPr>
      <w:drawing>
        <wp:inline distT="0" distB="0" distL="0" distR="0" wp14:anchorId="6E62616C" wp14:editId="4F405D00">
          <wp:extent cx="855345" cy="807826"/>
          <wp:effectExtent l="0" t="0" r="1905" b="0"/>
          <wp:docPr id="1" name="Picture 1" descr="WIS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S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380" cy="817303"/>
                  </a:xfrm>
                  <a:prstGeom prst="rect">
                    <a:avLst/>
                  </a:prstGeom>
                  <a:noFill/>
                  <a:ln>
                    <a:noFill/>
                  </a:ln>
                </pic:spPr>
              </pic:pic>
            </a:graphicData>
          </a:graphic>
        </wp:inline>
      </w:drawing>
    </w:r>
  </w:p>
  <w:p w14:paraId="1107D7B4" w14:textId="77777777" w:rsidR="00AA28D5" w:rsidRDefault="00AA28D5" w:rsidP="00B74D12">
    <w:pPr>
      <w:pStyle w:val="Footer"/>
      <w:jc w:val="center"/>
    </w:pPr>
    <w:r>
      <w:t>Women’s Initiatives Supporting Group (WISG)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59FD" w14:textId="77777777" w:rsidR="005A5912" w:rsidRDefault="005A5912" w:rsidP="007C76C1">
      <w:pPr>
        <w:spacing w:after="0" w:line="240" w:lineRule="auto"/>
      </w:pPr>
      <w:r>
        <w:separator/>
      </w:r>
    </w:p>
  </w:footnote>
  <w:footnote w:type="continuationSeparator" w:id="0">
    <w:p w14:paraId="4F2B6102" w14:textId="77777777" w:rsidR="005A5912" w:rsidRDefault="005A5912" w:rsidP="007C76C1">
      <w:pPr>
        <w:spacing w:after="0" w:line="240" w:lineRule="auto"/>
      </w:pPr>
      <w:r>
        <w:continuationSeparator/>
      </w:r>
    </w:p>
  </w:footnote>
  <w:footnote w:id="1">
    <w:p w14:paraId="733CB113" w14:textId="77777777" w:rsidR="00AA28D5" w:rsidRPr="00F65C3D" w:rsidRDefault="00AA28D5" w:rsidP="00F65C3D">
      <w:pPr>
        <w:pStyle w:val="FootnoteText"/>
        <w:jc w:val="left"/>
        <w:rPr>
          <w:rFonts w:asciiTheme="minorHAnsi" w:hAnsiTheme="minorHAnsi" w:cstheme="minorHAnsi"/>
          <w:lang w:val="ka-GE"/>
        </w:rPr>
      </w:pPr>
      <w:r w:rsidRPr="00F65C3D">
        <w:rPr>
          <w:rStyle w:val="FootnoteReference"/>
          <w:rFonts w:asciiTheme="minorHAnsi" w:hAnsiTheme="minorHAnsi" w:cstheme="minorHAnsi"/>
        </w:rPr>
        <w:footnoteRef/>
      </w:r>
      <w:r w:rsidRPr="00F65C3D">
        <w:rPr>
          <w:rFonts w:asciiTheme="minorHAnsi" w:hAnsiTheme="minorHAnsi" w:cstheme="minorHAnsi"/>
        </w:rPr>
        <w:t xml:space="preserve"> Report available online at: </w:t>
      </w:r>
      <w:hyperlink r:id="rId1" w:history="1">
        <w:r w:rsidRPr="00F65C3D">
          <w:rPr>
            <w:rStyle w:val="Hyperlink"/>
            <w:rFonts w:asciiTheme="minorHAnsi" w:hAnsiTheme="minorHAnsi" w:cstheme="minorHAnsi"/>
          </w:rPr>
          <w:t>https://undocs.org/en/A/HRC/41/45/ADD.1?fbclid=IwAR1uGxuJ6lMh0KqfYO9D1vUNMQv4SWO0LSiwgZcH7UQCeSdylM71tmToyZo</w:t>
        </w:r>
      </w:hyperlink>
      <w:r w:rsidRPr="00F65C3D">
        <w:rPr>
          <w:rFonts w:asciiTheme="minorHAnsi" w:hAnsiTheme="minorHAnsi" w:cstheme="minorHAnsi"/>
        </w:rPr>
        <w:t xml:space="preserve"> §31.</w:t>
      </w:r>
    </w:p>
  </w:footnote>
  <w:footnote w:id="2">
    <w:p w14:paraId="7A620B34"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Ibid.§90. </w:t>
      </w:r>
    </w:p>
  </w:footnote>
  <w:footnote w:id="3">
    <w:p w14:paraId="1E54B9E9"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Concluding observations on the combined fourth and fifth periodic reports of Georgia**, CEDAW/C/GEO/CO/4-5*,§34(e).</w:t>
      </w:r>
    </w:p>
  </w:footnote>
  <w:footnote w:id="4">
    <w:p w14:paraId="336CE867"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w:t>
      </w:r>
      <w:r w:rsidRPr="00F65C3D">
        <w:rPr>
          <w:rFonts w:asciiTheme="minorHAnsi" w:hAnsiTheme="minorHAnsi" w:cstheme="minorHAnsi"/>
          <w:color w:val="000000"/>
        </w:rPr>
        <w:t> Jalagania, L. Social Exclusion of LGBTQ Group in Georgia, Social Justice Center, 2020.</w:t>
      </w:r>
    </w:p>
  </w:footnote>
  <w:footnote w:id="5">
    <w:p w14:paraId="741C7934" w14:textId="77777777" w:rsidR="00AA28D5" w:rsidRPr="00F65C3D" w:rsidRDefault="00AA28D5" w:rsidP="00F65C3D">
      <w:pPr>
        <w:pStyle w:val="FootnoteText"/>
        <w:jc w:val="left"/>
        <w:rPr>
          <w:rFonts w:asciiTheme="minorHAnsi" w:hAnsiTheme="minorHAnsi" w:cstheme="minorHAnsi"/>
          <w:lang w:val="ka-GE"/>
        </w:rPr>
      </w:pPr>
      <w:r w:rsidRPr="00F65C3D">
        <w:rPr>
          <w:rStyle w:val="FootnoteReference"/>
          <w:rFonts w:asciiTheme="minorHAnsi" w:hAnsiTheme="minorHAnsi" w:cstheme="minorHAnsi"/>
        </w:rPr>
        <w:footnoteRef/>
      </w:r>
      <w:r w:rsidRPr="00F65C3D">
        <w:rPr>
          <w:rFonts w:asciiTheme="minorHAnsi" w:hAnsiTheme="minorHAnsi" w:cstheme="minorHAnsi"/>
        </w:rPr>
        <w:t xml:space="preserve"> Aghdgomelashvili E., From Prejudice to Equality: LGBT persons in Georgia (part II): LGBTI persons in Georgia, WISG, 2018.</w:t>
      </w:r>
    </w:p>
  </w:footnote>
  <w:footnote w:id="6">
    <w:p w14:paraId="0362AC2B"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Supra Note2, §99.</w:t>
      </w:r>
    </w:p>
  </w:footnote>
  <w:footnote w:id="7">
    <w:p w14:paraId="7B738CDD"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Supra Note6.</w:t>
      </w:r>
    </w:p>
  </w:footnote>
  <w:footnote w:id="8">
    <w:p w14:paraId="1AEFF0AD"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Ibid.</w:t>
      </w:r>
    </w:p>
  </w:footnote>
  <w:footnote w:id="9">
    <w:p w14:paraId="01F0D007"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The law of Georgia on VaW and/or Elimination of DV, Protection and support of victims of violence, art.4. </w:t>
      </w:r>
    </w:p>
  </w:footnote>
  <w:footnote w:id="10">
    <w:p w14:paraId="0E695258" w14:textId="2712783D"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Tbilisi City Court do</w:t>
      </w:r>
      <w:r w:rsidR="00E318F1">
        <w:rPr>
          <w:rFonts w:asciiTheme="minorHAnsi" w:hAnsiTheme="minorHAnsi" w:cstheme="minorHAnsi"/>
        </w:rPr>
        <w:t>es not considered the claim of t</w:t>
      </w:r>
      <w:r w:rsidRPr="00F65C3D">
        <w:rPr>
          <w:rFonts w:asciiTheme="minorHAnsi" w:hAnsiTheme="minorHAnsi" w:cstheme="minorHAnsi"/>
        </w:rPr>
        <w:t>rans woman who requested protective order Case of NGO SAPARI: №3/605-18. 5/02/2018.</w:t>
      </w:r>
    </w:p>
  </w:footnote>
  <w:footnote w:id="11">
    <w:p w14:paraId="7988BD7A"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Correspondences from MIA(8 20 02084485) and PO(№13/48281): 17 and 15 coordinators for 2020. </w:t>
      </w:r>
    </w:p>
  </w:footnote>
  <w:footnote w:id="12">
    <w:p w14:paraId="0DD9FB6B"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Supra Note2, §90.</w:t>
      </w:r>
    </w:p>
  </w:footnote>
  <w:footnote w:id="13">
    <w:p w14:paraId="7E8EE25A"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Established degrading practice has been illustrated in 2021, while the </w:t>
      </w:r>
      <w:hyperlink r:id="rId2" w:history="1">
        <w:r w:rsidRPr="00F65C3D">
          <w:rPr>
            <w:rStyle w:val="Hyperlink"/>
            <w:rFonts w:asciiTheme="minorHAnsi" w:hAnsiTheme="minorHAnsi" w:cstheme="minorHAnsi"/>
          </w:rPr>
          <w:t>gender of applicant has been changed</w:t>
        </w:r>
      </w:hyperlink>
      <w:r w:rsidRPr="00F65C3D">
        <w:rPr>
          <w:rFonts w:asciiTheme="minorHAnsi" w:hAnsiTheme="minorHAnsi" w:cstheme="minorHAnsi"/>
        </w:rPr>
        <w:t>.</w:t>
      </w:r>
    </w:p>
  </w:footnote>
  <w:footnote w:id="14">
    <w:p w14:paraId="4A8E9686"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Available online at: </w:t>
      </w:r>
      <w:hyperlink r:id="rId3" w:history="1">
        <w:r w:rsidRPr="00F65C3D">
          <w:rPr>
            <w:rFonts w:asciiTheme="minorHAnsi" w:hAnsiTheme="minorHAnsi" w:cstheme="minorHAnsi"/>
          </w:rPr>
          <w:t>http://www.ombudsman.ge/uploads/other/5/5321.pdf</w:t>
        </w:r>
      </w:hyperlink>
      <w:r w:rsidRPr="00F65C3D">
        <w:rPr>
          <w:rFonts w:asciiTheme="minorHAnsi" w:hAnsiTheme="minorHAnsi" w:cstheme="minorHAnsi"/>
        </w:rPr>
        <w:t xml:space="preserve"> </w:t>
      </w:r>
    </w:p>
  </w:footnote>
  <w:footnote w:id="15">
    <w:p w14:paraId="5B316806" w14:textId="77777777" w:rsidR="00AA28D5" w:rsidRPr="00F65C3D" w:rsidRDefault="00AA28D5" w:rsidP="00F65C3D">
      <w:pPr>
        <w:pStyle w:val="Normal1"/>
        <w:pBdr>
          <w:top w:val="nil"/>
          <w:left w:val="nil"/>
          <w:bottom w:val="nil"/>
          <w:right w:val="nil"/>
          <w:between w:val="nil"/>
        </w:pBdr>
        <w:spacing w:after="0" w:line="240" w:lineRule="auto"/>
        <w:jc w:val="left"/>
        <w:rPr>
          <w:rFonts w:asciiTheme="minorHAnsi" w:hAnsiTheme="minorHAnsi" w:cstheme="minorHAnsi"/>
          <w:sz w:val="20"/>
          <w:szCs w:val="20"/>
        </w:rPr>
      </w:pPr>
      <w:r w:rsidRPr="00F65C3D">
        <w:rPr>
          <w:rFonts w:asciiTheme="minorHAnsi" w:hAnsiTheme="minorHAnsi" w:cstheme="minorHAnsi"/>
          <w:sz w:val="20"/>
          <w:szCs w:val="20"/>
          <w:vertAlign w:val="superscript"/>
        </w:rPr>
        <w:footnoteRef/>
      </w:r>
      <w:r w:rsidRPr="00F65C3D">
        <w:rPr>
          <w:rFonts w:asciiTheme="minorHAnsi" w:hAnsiTheme="minorHAnsi" w:cstheme="minorHAnsi"/>
          <w:sz w:val="20"/>
          <w:szCs w:val="20"/>
        </w:rPr>
        <w:t xml:space="preserve"> Supra Note6.</w:t>
      </w:r>
    </w:p>
  </w:footnote>
  <w:footnote w:id="16">
    <w:p w14:paraId="117083C0"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Ibid.</w:t>
      </w:r>
    </w:p>
  </w:footnote>
  <w:footnote w:id="17">
    <w:p w14:paraId="247B20DD"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Supra Note2, §76.</w:t>
      </w:r>
    </w:p>
  </w:footnote>
  <w:footnote w:id="18">
    <w:p w14:paraId="22A87609" w14:textId="77777777" w:rsidR="00AA28D5" w:rsidRPr="00F65C3D" w:rsidRDefault="00AA28D5" w:rsidP="00F65C3D">
      <w:pPr>
        <w:pStyle w:val="Normal1"/>
        <w:pBdr>
          <w:top w:val="nil"/>
          <w:left w:val="nil"/>
          <w:bottom w:val="nil"/>
          <w:right w:val="nil"/>
          <w:between w:val="nil"/>
        </w:pBdr>
        <w:spacing w:after="0" w:line="240" w:lineRule="auto"/>
        <w:jc w:val="left"/>
        <w:rPr>
          <w:rFonts w:asciiTheme="minorHAnsi" w:hAnsiTheme="minorHAnsi" w:cstheme="minorHAnsi"/>
          <w:sz w:val="20"/>
          <w:szCs w:val="20"/>
        </w:rPr>
      </w:pPr>
      <w:r w:rsidRPr="00F65C3D">
        <w:rPr>
          <w:rFonts w:asciiTheme="minorHAnsi" w:hAnsiTheme="minorHAnsi" w:cstheme="minorHAnsi"/>
          <w:sz w:val="20"/>
          <w:szCs w:val="20"/>
          <w:vertAlign w:val="superscript"/>
        </w:rPr>
        <w:footnoteRef/>
      </w:r>
      <w:r>
        <w:rPr>
          <w:rFonts w:asciiTheme="minorHAnsi" w:hAnsiTheme="minorHAnsi" w:cstheme="minorHAnsi"/>
          <w:sz w:val="20"/>
          <w:szCs w:val="20"/>
        </w:rPr>
        <w:t xml:space="preserve"> </w:t>
      </w:r>
      <w:r w:rsidRPr="00F65C3D">
        <w:rPr>
          <w:rFonts w:asciiTheme="minorHAnsi" w:hAnsiTheme="minorHAnsi" w:cstheme="minorHAnsi"/>
          <w:sz w:val="20"/>
          <w:szCs w:val="20"/>
        </w:rPr>
        <w:t xml:space="preserve">Serebriakova L., Study of Knowledge, Practice and Attitudes of Medical Staff towards LGBTI patients, 2015. </w:t>
      </w:r>
    </w:p>
  </w:footnote>
  <w:footnote w:id="19">
    <w:p w14:paraId="33C4F024"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w:t>
      </w:r>
      <w:r>
        <w:rPr>
          <w:rFonts w:asciiTheme="minorHAnsi" w:hAnsiTheme="minorHAnsi" w:cstheme="minorHAnsi"/>
        </w:rPr>
        <w:t xml:space="preserve">Available online at: </w:t>
      </w:r>
      <w:hyperlink r:id="rId4" w:history="1">
        <w:r w:rsidRPr="00F65C3D">
          <w:rPr>
            <w:rStyle w:val="Hyperlink"/>
            <w:rFonts w:asciiTheme="minorHAnsi" w:hAnsiTheme="minorHAnsi" w:cstheme="minorHAnsi"/>
          </w:rPr>
          <w:t>https://wisg.org/ka/news/detail/287/sakhalkho-damtsvelma-transi-adamianebis-jandatsvis-sakitkhebze-zogadi-tsinadadeba-gamostsa</w:t>
        </w:r>
      </w:hyperlink>
      <w:r w:rsidRPr="00F65C3D">
        <w:rPr>
          <w:rFonts w:asciiTheme="minorHAnsi" w:hAnsiTheme="minorHAnsi" w:cstheme="minorHAnsi"/>
        </w:rPr>
        <w:t xml:space="preserve"> </w:t>
      </w:r>
    </w:p>
  </w:footnote>
  <w:footnote w:id="20">
    <w:p w14:paraId="253D69C0"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Supra Note2, §72-73.</w:t>
      </w:r>
    </w:p>
  </w:footnote>
  <w:footnote w:id="21">
    <w:p w14:paraId="400EA7F7" w14:textId="77777777" w:rsidR="00AA28D5" w:rsidRPr="00F65C3D" w:rsidRDefault="00AA28D5" w:rsidP="00F65C3D">
      <w:pPr>
        <w:pStyle w:val="FootnoteText"/>
        <w:jc w:val="left"/>
        <w:rPr>
          <w:rFonts w:asciiTheme="minorHAnsi" w:hAnsiTheme="minorHAnsi" w:cstheme="minorHAnsi"/>
        </w:rPr>
      </w:pPr>
      <w:r w:rsidRPr="00F65C3D">
        <w:rPr>
          <w:rStyle w:val="FootnoteReference"/>
          <w:rFonts w:asciiTheme="minorHAnsi" w:hAnsiTheme="minorHAnsi" w:cstheme="minorHAnsi"/>
        </w:rPr>
        <w:footnoteRef/>
      </w:r>
      <w:r w:rsidRPr="00F65C3D">
        <w:rPr>
          <w:rFonts w:asciiTheme="minorHAnsi" w:hAnsiTheme="minorHAnsi" w:cstheme="minorHAnsi"/>
        </w:rPr>
        <w:t xml:space="preserve"> Supra Note6.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ECC"/>
    <w:multiLevelType w:val="hybridMultilevel"/>
    <w:tmpl w:val="A4749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169F"/>
    <w:multiLevelType w:val="hybridMultilevel"/>
    <w:tmpl w:val="031E0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1579E"/>
    <w:multiLevelType w:val="hybridMultilevel"/>
    <w:tmpl w:val="1902A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31200"/>
    <w:multiLevelType w:val="hybridMultilevel"/>
    <w:tmpl w:val="935CDD84"/>
    <w:lvl w:ilvl="0" w:tplc="4C96A02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56499"/>
    <w:multiLevelType w:val="multilevel"/>
    <w:tmpl w:val="A4387A66"/>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5" w15:restartNumberingAfterBreak="0">
    <w:nsid w:val="3D43768A"/>
    <w:multiLevelType w:val="hybridMultilevel"/>
    <w:tmpl w:val="CA4E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E7B0F"/>
    <w:multiLevelType w:val="hybridMultilevel"/>
    <w:tmpl w:val="8FF65CB8"/>
    <w:lvl w:ilvl="0" w:tplc="4C96A02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86062"/>
    <w:multiLevelType w:val="hybridMultilevel"/>
    <w:tmpl w:val="BF7A3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874CB"/>
    <w:multiLevelType w:val="hybridMultilevel"/>
    <w:tmpl w:val="E7BA902A"/>
    <w:lvl w:ilvl="0" w:tplc="4C96A02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219F7"/>
    <w:multiLevelType w:val="hybridMultilevel"/>
    <w:tmpl w:val="AB624F92"/>
    <w:lvl w:ilvl="0" w:tplc="EC46F8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E5A05"/>
    <w:multiLevelType w:val="hybridMultilevel"/>
    <w:tmpl w:val="FC72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150E9"/>
    <w:multiLevelType w:val="hybridMultilevel"/>
    <w:tmpl w:val="6E0E843C"/>
    <w:lvl w:ilvl="0" w:tplc="0809000F">
      <w:start w:val="1"/>
      <w:numFmt w:val="decimal"/>
      <w:lvlText w:val="%1."/>
      <w:lvlJc w:val="left"/>
      <w:pPr>
        <w:ind w:left="1987" w:hanging="360"/>
      </w:p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2" w15:restartNumberingAfterBreak="0">
    <w:nsid w:val="724C3067"/>
    <w:multiLevelType w:val="multilevel"/>
    <w:tmpl w:val="4678BE4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B30AFF"/>
    <w:multiLevelType w:val="hybridMultilevel"/>
    <w:tmpl w:val="F6CC7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3627D"/>
    <w:multiLevelType w:val="hybridMultilevel"/>
    <w:tmpl w:val="D77A0F44"/>
    <w:lvl w:ilvl="0" w:tplc="1DD27DF2">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9"/>
  </w:num>
  <w:num w:numId="5">
    <w:abstractNumId w:val="8"/>
  </w:num>
  <w:num w:numId="6">
    <w:abstractNumId w:val="3"/>
  </w:num>
  <w:num w:numId="7">
    <w:abstractNumId w:val="14"/>
  </w:num>
  <w:num w:numId="8">
    <w:abstractNumId w:val="0"/>
  </w:num>
  <w:num w:numId="9">
    <w:abstractNumId w:val="2"/>
  </w:num>
  <w:num w:numId="10">
    <w:abstractNumId w:val="1"/>
  </w:num>
  <w:num w:numId="11">
    <w:abstractNumId w:val="10"/>
  </w:num>
  <w:num w:numId="12">
    <w:abstractNumId w:val="13"/>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6"/>
    <w:rsid w:val="0004022C"/>
    <w:rsid w:val="0005730F"/>
    <w:rsid w:val="000641C0"/>
    <w:rsid w:val="00076F3B"/>
    <w:rsid w:val="00092875"/>
    <w:rsid w:val="000B0309"/>
    <w:rsid w:val="00122EA8"/>
    <w:rsid w:val="0012653C"/>
    <w:rsid w:val="00180229"/>
    <w:rsid w:val="00197E39"/>
    <w:rsid w:val="001A0887"/>
    <w:rsid w:val="001F6B79"/>
    <w:rsid w:val="00214150"/>
    <w:rsid w:val="00237E71"/>
    <w:rsid w:val="00251F8A"/>
    <w:rsid w:val="002767A7"/>
    <w:rsid w:val="00295D9B"/>
    <w:rsid w:val="00295E33"/>
    <w:rsid w:val="002B1238"/>
    <w:rsid w:val="002C3DE2"/>
    <w:rsid w:val="00321940"/>
    <w:rsid w:val="00347968"/>
    <w:rsid w:val="00361795"/>
    <w:rsid w:val="00396B56"/>
    <w:rsid w:val="003A18C2"/>
    <w:rsid w:val="003B0432"/>
    <w:rsid w:val="003C5589"/>
    <w:rsid w:val="003F1F22"/>
    <w:rsid w:val="00410DD4"/>
    <w:rsid w:val="00414E5B"/>
    <w:rsid w:val="00416D2C"/>
    <w:rsid w:val="00417F3A"/>
    <w:rsid w:val="00432B8B"/>
    <w:rsid w:val="0044354A"/>
    <w:rsid w:val="00476469"/>
    <w:rsid w:val="004B073C"/>
    <w:rsid w:val="004C430E"/>
    <w:rsid w:val="004F2360"/>
    <w:rsid w:val="00501BB2"/>
    <w:rsid w:val="00504D69"/>
    <w:rsid w:val="00515CAA"/>
    <w:rsid w:val="00516857"/>
    <w:rsid w:val="00543E2E"/>
    <w:rsid w:val="005A5912"/>
    <w:rsid w:val="005B625F"/>
    <w:rsid w:val="005B692F"/>
    <w:rsid w:val="005E1943"/>
    <w:rsid w:val="00636E8D"/>
    <w:rsid w:val="00647CC2"/>
    <w:rsid w:val="0065695E"/>
    <w:rsid w:val="00667E31"/>
    <w:rsid w:val="006855C9"/>
    <w:rsid w:val="006913A4"/>
    <w:rsid w:val="006A044A"/>
    <w:rsid w:val="006A634E"/>
    <w:rsid w:val="006A6B19"/>
    <w:rsid w:val="006B1A26"/>
    <w:rsid w:val="006D5E38"/>
    <w:rsid w:val="006F25B7"/>
    <w:rsid w:val="006F3627"/>
    <w:rsid w:val="00700BC5"/>
    <w:rsid w:val="0070315D"/>
    <w:rsid w:val="00755C99"/>
    <w:rsid w:val="00764BAF"/>
    <w:rsid w:val="00766968"/>
    <w:rsid w:val="00782757"/>
    <w:rsid w:val="007A59E2"/>
    <w:rsid w:val="007B721E"/>
    <w:rsid w:val="007C76C1"/>
    <w:rsid w:val="007D1C5F"/>
    <w:rsid w:val="007D3D72"/>
    <w:rsid w:val="007D67B0"/>
    <w:rsid w:val="007F4158"/>
    <w:rsid w:val="007F4A94"/>
    <w:rsid w:val="00801F84"/>
    <w:rsid w:val="008056C9"/>
    <w:rsid w:val="00814462"/>
    <w:rsid w:val="008157F4"/>
    <w:rsid w:val="008730A8"/>
    <w:rsid w:val="008759E0"/>
    <w:rsid w:val="00881AD2"/>
    <w:rsid w:val="00882E66"/>
    <w:rsid w:val="008B3705"/>
    <w:rsid w:val="008C1F9E"/>
    <w:rsid w:val="00921ADF"/>
    <w:rsid w:val="009505AD"/>
    <w:rsid w:val="0097142F"/>
    <w:rsid w:val="00977A54"/>
    <w:rsid w:val="00980486"/>
    <w:rsid w:val="009B5D12"/>
    <w:rsid w:val="009F3B97"/>
    <w:rsid w:val="009F4EF3"/>
    <w:rsid w:val="00A045D6"/>
    <w:rsid w:val="00A06BEC"/>
    <w:rsid w:val="00A24177"/>
    <w:rsid w:val="00A46E6D"/>
    <w:rsid w:val="00A544ED"/>
    <w:rsid w:val="00A60F3D"/>
    <w:rsid w:val="00A67EB2"/>
    <w:rsid w:val="00AA240B"/>
    <w:rsid w:val="00AA28D5"/>
    <w:rsid w:val="00AD457E"/>
    <w:rsid w:val="00B05F34"/>
    <w:rsid w:val="00B4200F"/>
    <w:rsid w:val="00B57051"/>
    <w:rsid w:val="00B57E82"/>
    <w:rsid w:val="00B74D12"/>
    <w:rsid w:val="00B801AE"/>
    <w:rsid w:val="00BC3CE1"/>
    <w:rsid w:val="00C059A8"/>
    <w:rsid w:val="00C10EC7"/>
    <w:rsid w:val="00C3276E"/>
    <w:rsid w:val="00C37C5D"/>
    <w:rsid w:val="00C53B94"/>
    <w:rsid w:val="00CA2CD9"/>
    <w:rsid w:val="00CE75D6"/>
    <w:rsid w:val="00D01499"/>
    <w:rsid w:val="00D06AFB"/>
    <w:rsid w:val="00D22A5D"/>
    <w:rsid w:val="00D414A8"/>
    <w:rsid w:val="00D66453"/>
    <w:rsid w:val="00D71320"/>
    <w:rsid w:val="00D72510"/>
    <w:rsid w:val="00D72ED1"/>
    <w:rsid w:val="00D94F20"/>
    <w:rsid w:val="00DA145B"/>
    <w:rsid w:val="00DB2DE0"/>
    <w:rsid w:val="00DD620E"/>
    <w:rsid w:val="00DE1498"/>
    <w:rsid w:val="00DF2E97"/>
    <w:rsid w:val="00E318F1"/>
    <w:rsid w:val="00E42FE0"/>
    <w:rsid w:val="00E5077D"/>
    <w:rsid w:val="00E548A7"/>
    <w:rsid w:val="00E567DF"/>
    <w:rsid w:val="00E752FF"/>
    <w:rsid w:val="00E841A7"/>
    <w:rsid w:val="00E90BB3"/>
    <w:rsid w:val="00EC529F"/>
    <w:rsid w:val="00EF39B3"/>
    <w:rsid w:val="00EF4C17"/>
    <w:rsid w:val="00EF5A56"/>
    <w:rsid w:val="00F123BC"/>
    <w:rsid w:val="00F27A39"/>
    <w:rsid w:val="00F327EC"/>
    <w:rsid w:val="00F3491F"/>
    <w:rsid w:val="00F43133"/>
    <w:rsid w:val="00F46CD5"/>
    <w:rsid w:val="00F57ECB"/>
    <w:rsid w:val="00F60A6D"/>
    <w:rsid w:val="00F65C3D"/>
    <w:rsid w:val="00F7440F"/>
    <w:rsid w:val="00F75FD5"/>
    <w:rsid w:val="00F87D9E"/>
    <w:rsid w:val="00FA7D0E"/>
    <w:rsid w:val="00FE0635"/>
    <w:rsid w:val="00FE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004"/>
  <w15:docId w15:val="{4135F862-6A93-420B-BA3F-8ACE0F7A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5C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12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4F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1F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15CA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15CAA"/>
    <w:rPr>
      <w:color w:val="0000FF"/>
      <w:u w:val="single"/>
    </w:rPr>
  </w:style>
  <w:style w:type="paragraph" w:customStyle="1" w:styleId="Normal1">
    <w:name w:val="Normal1"/>
    <w:rsid w:val="007C76C1"/>
    <w:pPr>
      <w:spacing w:after="200" w:line="276" w:lineRule="auto"/>
      <w:jc w:val="both"/>
    </w:pPr>
    <w:rPr>
      <w:rFonts w:ascii="Calibri" w:eastAsia="Calibri" w:hAnsi="Calibri" w:cs="Calibri"/>
    </w:rPr>
  </w:style>
  <w:style w:type="paragraph" w:styleId="FootnoteText">
    <w:name w:val="footnote text"/>
    <w:aliases w:val="footnotes,Footnote Text Char2 Char,Footnote Text Char Char1 Char,Footnote Text Char2 Char Char Char,Footnote Text Char1 Char Char Char Char,Footnote Text Char Char Char Char Char Char,Char,FA Fu,Char Char Char,Char Char Char Char Char"/>
    <w:basedOn w:val="Normal"/>
    <w:link w:val="FootnoteTextChar"/>
    <w:uiPriority w:val="99"/>
    <w:unhideWhenUsed/>
    <w:qFormat/>
    <w:rsid w:val="007C76C1"/>
    <w:pPr>
      <w:spacing w:after="0" w:line="240" w:lineRule="auto"/>
      <w:jc w:val="both"/>
    </w:pPr>
    <w:rPr>
      <w:rFonts w:ascii="Calibri" w:eastAsia="Calibri" w:hAnsi="Calibri" w:cs="Calibri"/>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Char Char,FA Fu Char"/>
    <w:basedOn w:val="DefaultParagraphFont"/>
    <w:link w:val="FootnoteText"/>
    <w:uiPriority w:val="99"/>
    <w:rsid w:val="007C76C1"/>
    <w:rPr>
      <w:rFonts w:ascii="Calibri" w:eastAsia="Calibri" w:hAnsi="Calibri" w:cs="Calibri"/>
      <w:sz w:val="20"/>
      <w:szCs w:val="20"/>
    </w:rPr>
  </w:style>
  <w:style w:type="character" w:styleId="FootnoteReference">
    <w:name w:val="footnote reference"/>
    <w:aliases w:val=" BVI fnr,BVI fnr, BVI fnr Car Car,BVI fnr Car, BVI fnr Car Car Car Car, BVI fnr Car Car Car Car Char, BVI fnr Char1,BVI fnr Char1, BVI fnr Car Car Char1,BVI fnr Car Char1, BVI fnr Car Car Car Car Char Char, BVI fnr Char Char Char"/>
    <w:basedOn w:val="DefaultParagraphFont"/>
    <w:link w:val="Char2"/>
    <w:uiPriority w:val="99"/>
    <w:unhideWhenUsed/>
    <w:qFormat/>
    <w:rsid w:val="007C76C1"/>
    <w:rPr>
      <w:vertAlign w:val="superscript"/>
    </w:rPr>
  </w:style>
  <w:style w:type="paragraph" w:customStyle="1" w:styleId="Char2">
    <w:name w:val="Char2"/>
    <w:basedOn w:val="Normal"/>
    <w:link w:val="FootnoteReference"/>
    <w:uiPriority w:val="99"/>
    <w:rsid w:val="007C76C1"/>
    <w:pPr>
      <w:spacing w:line="240" w:lineRule="exact"/>
    </w:pPr>
    <w:rPr>
      <w:vertAlign w:val="superscript"/>
    </w:rPr>
  </w:style>
  <w:style w:type="paragraph" w:customStyle="1" w:styleId="H23">
    <w:name w:val="_ H_2/3"/>
    <w:basedOn w:val="Normal"/>
    <w:next w:val="Normal"/>
    <w:rsid w:val="006913A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hanging="1267"/>
      <w:outlineLvl w:val="1"/>
    </w:pPr>
    <w:rPr>
      <w:rFonts w:ascii="Times New Roman" w:eastAsia="Calibri" w:hAnsi="Times New Roman" w:cs="Times New Roman"/>
      <w:b/>
      <w:spacing w:val="2"/>
      <w:w w:val="103"/>
      <w:kern w:val="14"/>
      <w:sz w:val="20"/>
      <w:szCs w:val="20"/>
      <w:lang w:val="en-GB"/>
    </w:rPr>
  </w:style>
  <w:style w:type="paragraph" w:customStyle="1" w:styleId="SingleTxt">
    <w:name w:val="__Single Txt"/>
    <w:basedOn w:val="Normal"/>
    <w:rsid w:val="006913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cs="Times New Roman"/>
      <w:spacing w:val="4"/>
      <w:w w:val="103"/>
      <w:kern w:val="14"/>
      <w:sz w:val="20"/>
      <w:szCs w:val="20"/>
      <w:lang w:val="en-GB"/>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s"/>
    <w:basedOn w:val="Normal"/>
    <w:link w:val="ListParagraphChar"/>
    <w:uiPriority w:val="34"/>
    <w:qFormat/>
    <w:rsid w:val="00636E8D"/>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qFormat/>
    <w:locked/>
    <w:rsid w:val="00636E8D"/>
  </w:style>
  <w:style w:type="paragraph" w:styleId="HTMLPreformatted">
    <w:name w:val="HTML Preformatted"/>
    <w:basedOn w:val="Normal"/>
    <w:link w:val="HTMLPreformattedChar"/>
    <w:uiPriority w:val="99"/>
    <w:semiHidden/>
    <w:unhideWhenUsed/>
    <w:rsid w:val="0063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6E8D"/>
    <w:rPr>
      <w:rFonts w:ascii="Courier New" w:eastAsia="Times New Roman" w:hAnsi="Courier New" w:cs="Courier New"/>
      <w:sz w:val="20"/>
      <w:szCs w:val="20"/>
    </w:rPr>
  </w:style>
  <w:style w:type="character" w:customStyle="1" w:styleId="y2iqfc">
    <w:name w:val="y2iqfc"/>
    <w:basedOn w:val="DefaultParagraphFont"/>
    <w:rsid w:val="00636E8D"/>
  </w:style>
  <w:style w:type="paragraph" w:styleId="EndnoteText">
    <w:name w:val="endnote text"/>
    <w:basedOn w:val="Normal"/>
    <w:link w:val="EndnoteTextChar"/>
    <w:uiPriority w:val="99"/>
    <w:semiHidden/>
    <w:unhideWhenUsed/>
    <w:rsid w:val="00237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7E71"/>
    <w:rPr>
      <w:sz w:val="20"/>
      <w:szCs w:val="20"/>
    </w:rPr>
  </w:style>
  <w:style w:type="character" w:styleId="EndnoteReference">
    <w:name w:val="endnote reference"/>
    <w:aliases w:val="1_G"/>
    <w:basedOn w:val="DefaultParagraphFont"/>
    <w:unhideWhenUsed/>
    <w:rsid w:val="00237E71"/>
    <w:rPr>
      <w:vertAlign w:val="superscript"/>
    </w:rPr>
  </w:style>
  <w:style w:type="paragraph" w:customStyle="1" w:styleId="body">
    <w:name w:val="body"/>
    <w:basedOn w:val="Normal"/>
    <w:link w:val="body0"/>
    <w:qFormat/>
    <w:rsid w:val="00A544ED"/>
    <w:pPr>
      <w:spacing w:after="120" w:line="240" w:lineRule="auto"/>
      <w:jc w:val="both"/>
    </w:pPr>
    <w:rPr>
      <w:rFonts w:ascii="Sylfaen" w:eastAsia="Calibri" w:hAnsi="Sylfaen" w:cs="Times New Roman"/>
      <w:sz w:val="24"/>
      <w:szCs w:val="24"/>
      <w:shd w:val="clear" w:color="auto" w:fill="FFFFFF"/>
      <w:lang w:val="ka-GE" w:eastAsia="x-none"/>
    </w:rPr>
  </w:style>
  <w:style w:type="paragraph" w:customStyle="1" w:styleId="a">
    <w:name w:val="სქოლიო ქ"/>
    <w:basedOn w:val="NormalWeb"/>
    <w:qFormat/>
    <w:rsid w:val="00A544ED"/>
    <w:pPr>
      <w:shd w:val="clear" w:color="auto" w:fill="FFFFFF"/>
      <w:spacing w:before="0" w:beforeAutospacing="0" w:after="0" w:afterAutospacing="0"/>
    </w:pPr>
    <w:rPr>
      <w:rFonts w:ascii="Sylfaen" w:hAnsi="Sylfaen" w:cs="Sylfaen"/>
      <w:bCs/>
      <w:sz w:val="18"/>
      <w:szCs w:val="18"/>
    </w:rPr>
  </w:style>
  <w:style w:type="paragraph" w:customStyle="1" w:styleId="NoSpacing1">
    <w:name w:val="No Spacing1"/>
    <w:aliases w:val="boddy1"/>
    <w:basedOn w:val="Normal"/>
    <w:link w:val="NoSpacingChar"/>
    <w:uiPriority w:val="1"/>
    <w:qFormat/>
    <w:rsid w:val="00A544ED"/>
    <w:pPr>
      <w:spacing w:after="60" w:line="240" w:lineRule="auto"/>
      <w:jc w:val="both"/>
    </w:pPr>
    <w:rPr>
      <w:rFonts w:ascii="Calibri" w:eastAsia="Times New Roman" w:hAnsi="Calibri" w:cs="Times New Roman"/>
      <w:sz w:val="20"/>
      <w:szCs w:val="20"/>
      <w:lang w:val="x-none" w:eastAsia="x-none"/>
    </w:rPr>
  </w:style>
  <w:style w:type="character" w:customStyle="1" w:styleId="NoSpacingChar">
    <w:name w:val="No Spacing Char"/>
    <w:aliases w:val="boddy1 Char"/>
    <w:link w:val="NoSpacing1"/>
    <w:uiPriority w:val="1"/>
    <w:rsid w:val="00A544ED"/>
    <w:rPr>
      <w:rFonts w:ascii="Calibri" w:eastAsia="Times New Roman" w:hAnsi="Calibri" w:cs="Times New Roman"/>
      <w:sz w:val="20"/>
      <w:szCs w:val="20"/>
      <w:lang w:val="x-none" w:eastAsia="x-none"/>
    </w:rPr>
  </w:style>
  <w:style w:type="character" w:customStyle="1" w:styleId="body0">
    <w:name w:val="body Знак"/>
    <w:link w:val="body"/>
    <w:rsid w:val="00A544ED"/>
    <w:rPr>
      <w:rFonts w:ascii="Sylfaen" w:eastAsia="Calibri" w:hAnsi="Sylfaen" w:cs="Times New Roman"/>
      <w:sz w:val="24"/>
      <w:szCs w:val="24"/>
      <w:lang w:val="ka-GE" w:eastAsia="x-none"/>
    </w:rPr>
  </w:style>
  <w:style w:type="paragraph" w:customStyle="1" w:styleId="bheader">
    <w:name w:val="bheader"/>
    <w:basedOn w:val="Normal"/>
    <w:rsid w:val="00A544ED"/>
    <w:pPr>
      <w:spacing w:before="100" w:beforeAutospacing="1" w:after="100" w:afterAutospacing="1" w:line="240" w:lineRule="auto"/>
    </w:pPr>
    <w:rPr>
      <w:rFonts w:ascii="Sylfaen" w:eastAsia="Arial Unicode MS" w:hAnsi="Sylfaen" w:cs="Arial Unicode MS"/>
      <w:b/>
      <w:bCs/>
      <w:color w:val="000000"/>
      <w:sz w:val="20"/>
      <w:szCs w:val="20"/>
    </w:rPr>
  </w:style>
  <w:style w:type="paragraph" w:styleId="Header">
    <w:name w:val="header"/>
    <w:basedOn w:val="Normal"/>
    <w:link w:val="HeaderChar"/>
    <w:uiPriority w:val="99"/>
    <w:unhideWhenUsed/>
    <w:rsid w:val="00B7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D12"/>
  </w:style>
  <w:style w:type="paragraph" w:styleId="Footer">
    <w:name w:val="footer"/>
    <w:basedOn w:val="Normal"/>
    <w:link w:val="FooterChar"/>
    <w:uiPriority w:val="99"/>
    <w:unhideWhenUsed/>
    <w:rsid w:val="00B7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D12"/>
  </w:style>
  <w:style w:type="character" w:customStyle="1" w:styleId="Heading2Char">
    <w:name w:val="Heading 2 Char"/>
    <w:basedOn w:val="DefaultParagraphFont"/>
    <w:link w:val="Heading2"/>
    <w:uiPriority w:val="9"/>
    <w:rsid w:val="00F123B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123B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F123BC"/>
    <w:pPr>
      <w:spacing w:after="100"/>
    </w:pPr>
  </w:style>
  <w:style w:type="paragraph" w:styleId="TOC2">
    <w:name w:val="toc 2"/>
    <w:basedOn w:val="Normal"/>
    <w:next w:val="Normal"/>
    <w:autoRedefine/>
    <w:uiPriority w:val="39"/>
    <w:unhideWhenUsed/>
    <w:rsid w:val="00F123BC"/>
    <w:pPr>
      <w:spacing w:after="100"/>
      <w:ind w:left="220"/>
    </w:pPr>
  </w:style>
  <w:style w:type="character" w:customStyle="1" w:styleId="Heading3Char">
    <w:name w:val="Heading 3 Char"/>
    <w:basedOn w:val="DefaultParagraphFont"/>
    <w:link w:val="Heading3"/>
    <w:uiPriority w:val="9"/>
    <w:rsid w:val="00D94F2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D72510"/>
    <w:pPr>
      <w:spacing w:after="100"/>
      <w:ind w:left="440"/>
    </w:pPr>
  </w:style>
  <w:style w:type="paragraph" w:styleId="PlainText">
    <w:name w:val="Plain Text"/>
    <w:basedOn w:val="Normal"/>
    <w:link w:val="PlainTextChar"/>
    <w:uiPriority w:val="99"/>
    <w:semiHidden/>
    <w:unhideWhenUsed/>
    <w:rsid w:val="00647C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7CC2"/>
    <w:rPr>
      <w:rFonts w:ascii="Calibri" w:hAnsi="Calibri"/>
      <w:szCs w:val="21"/>
    </w:rPr>
  </w:style>
  <w:style w:type="character" w:styleId="CommentReference">
    <w:name w:val="annotation reference"/>
    <w:basedOn w:val="DefaultParagraphFont"/>
    <w:uiPriority w:val="99"/>
    <w:semiHidden/>
    <w:unhideWhenUsed/>
    <w:rsid w:val="00C10EC7"/>
    <w:rPr>
      <w:sz w:val="16"/>
      <w:szCs w:val="16"/>
    </w:rPr>
  </w:style>
  <w:style w:type="paragraph" w:styleId="CommentText">
    <w:name w:val="annotation text"/>
    <w:basedOn w:val="Normal"/>
    <w:link w:val="CommentTextChar"/>
    <w:uiPriority w:val="99"/>
    <w:semiHidden/>
    <w:unhideWhenUsed/>
    <w:rsid w:val="00C10EC7"/>
    <w:pPr>
      <w:spacing w:line="240" w:lineRule="auto"/>
    </w:pPr>
    <w:rPr>
      <w:sz w:val="20"/>
      <w:szCs w:val="20"/>
    </w:rPr>
  </w:style>
  <w:style w:type="character" w:customStyle="1" w:styleId="CommentTextChar">
    <w:name w:val="Comment Text Char"/>
    <w:basedOn w:val="DefaultParagraphFont"/>
    <w:link w:val="CommentText"/>
    <w:uiPriority w:val="99"/>
    <w:semiHidden/>
    <w:rsid w:val="00C10EC7"/>
    <w:rPr>
      <w:sz w:val="20"/>
      <w:szCs w:val="20"/>
    </w:rPr>
  </w:style>
  <w:style w:type="paragraph" w:styleId="CommentSubject">
    <w:name w:val="annotation subject"/>
    <w:basedOn w:val="CommentText"/>
    <w:next w:val="CommentText"/>
    <w:link w:val="CommentSubjectChar"/>
    <w:uiPriority w:val="99"/>
    <w:semiHidden/>
    <w:unhideWhenUsed/>
    <w:rsid w:val="00C10EC7"/>
    <w:rPr>
      <w:b/>
      <w:bCs/>
    </w:rPr>
  </w:style>
  <w:style w:type="character" w:customStyle="1" w:styleId="CommentSubjectChar">
    <w:name w:val="Comment Subject Char"/>
    <w:basedOn w:val="CommentTextChar"/>
    <w:link w:val="CommentSubject"/>
    <w:uiPriority w:val="99"/>
    <w:semiHidden/>
    <w:rsid w:val="00C10EC7"/>
    <w:rPr>
      <w:b/>
      <w:bCs/>
      <w:sz w:val="20"/>
      <w:szCs w:val="20"/>
    </w:rPr>
  </w:style>
  <w:style w:type="paragraph" w:styleId="BalloonText">
    <w:name w:val="Balloon Text"/>
    <w:basedOn w:val="Normal"/>
    <w:link w:val="BalloonTextChar"/>
    <w:uiPriority w:val="99"/>
    <w:semiHidden/>
    <w:unhideWhenUsed/>
    <w:rsid w:val="00C10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8136">
      <w:bodyDiv w:val="1"/>
      <w:marLeft w:val="0"/>
      <w:marRight w:val="0"/>
      <w:marTop w:val="0"/>
      <w:marBottom w:val="0"/>
      <w:divBdr>
        <w:top w:val="none" w:sz="0" w:space="0" w:color="auto"/>
        <w:left w:val="none" w:sz="0" w:space="0" w:color="auto"/>
        <w:bottom w:val="none" w:sz="0" w:space="0" w:color="auto"/>
        <w:right w:val="none" w:sz="0" w:space="0" w:color="auto"/>
      </w:divBdr>
    </w:div>
    <w:div w:id="244917897">
      <w:bodyDiv w:val="1"/>
      <w:marLeft w:val="0"/>
      <w:marRight w:val="0"/>
      <w:marTop w:val="0"/>
      <w:marBottom w:val="0"/>
      <w:divBdr>
        <w:top w:val="none" w:sz="0" w:space="0" w:color="auto"/>
        <w:left w:val="none" w:sz="0" w:space="0" w:color="auto"/>
        <w:bottom w:val="none" w:sz="0" w:space="0" w:color="auto"/>
        <w:right w:val="none" w:sz="0" w:space="0" w:color="auto"/>
      </w:divBdr>
    </w:div>
    <w:div w:id="310403844">
      <w:bodyDiv w:val="1"/>
      <w:marLeft w:val="0"/>
      <w:marRight w:val="0"/>
      <w:marTop w:val="0"/>
      <w:marBottom w:val="0"/>
      <w:divBdr>
        <w:top w:val="none" w:sz="0" w:space="0" w:color="auto"/>
        <w:left w:val="none" w:sz="0" w:space="0" w:color="auto"/>
        <w:bottom w:val="none" w:sz="0" w:space="0" w:color="auto"/>
        <w:right w:val="none" w:sz="0" w:space="0" w:color="auto"/>
      </w:divBdr>
    </w:div>
    <w:div w:id="545725828">
      <w:bodyDiv w:val="1"/>
      <w:marLeft w:val="0"/>
      <w:marRight w:val="0"/>
      <w:marTop w:val="0"/>
      <w:marBottom w:val="0"/>
      <w:divBdr>
        <w:top w:val="none" w:sz="0" w:space="0" w:color="auto"/>
        <w:left w:val="none" w:sz="0" w:space="0" w:color="auto"/>
        <w:bottom w:val="none" w:sz="0" w:space="0" w:color="auto"/>
        <w:right w:val="none" w:sz="0" w:space="0" w:color="auto"/>
      </w:divBdr>
    </w:div>
    <w:div w:id="870384540">
      <w:bodyDiv w:val="1"/>
      <w:marLeft w:val="0"/>
      <w:marRight w:val="0"/>
      <w:marTop w:val="0"/>
      <w:marBottom w:val="0"/>
      <w:divBdr>
        <w:top w:val="none" w:sz="0" w:space="0" w:color="auto"/>
        <w:left w:val="none" w:sz="0" w:space="0" w:color="auto"/>
        <w:bottom w:val="none" w:sz="0" w:space="0" w:color="auto"/>
        <w:right w:val="none" w:sz="0" w:space="0" w:color="auto"/>
      </w:divBdr>
    </w:div>
    <w:div w:id="987512621">
      <w:bodyDiv w:val="1"/>
      <w:marLeft w:val="0"/>
      <w:marRight w:val="0"/>
      <w:marTop w:val="0"/>
      <w:marBottom w:val="0"/>
      <w:divBdr>
        <w:top w:val="none" w:sz="0" w:space="0" w:color="auto"/>
        <w:left w:val="none" w:sz="0" w:space="0" w:color="auto"/>
        <w:bottom w:val="none" w:sz="0" w:space="0" w:color="auto"/>
        <w:right w:val="none" w:sz="0" w:space="0" w:color="auto"/>
      </w:divBdr>
    </w:div>
    <w:div w:id="1115947441">
      <w:bodyDiv w:val="1"/>
      <w:marLeft w:val="0"/>
      <w:marRight w:val="0"/>
      <w:marTop w:val="0"/>
      <w:marBottom w:val="0"/>
      <w:divBdr>
        <w:top w:val="none" w:sz="0" w:space="0" w:color="auto"/>
        <w:left w:val="none" w:sz="0" w:space="0" w:color="auto"/>
        <w:bottom w:val="none" w:sz="0" w:space="0" w:color="auto"/>
        <w:right w:val="none" w:sz="0" w:space="0" w:color="auto"/>
      </w:divBdr>
    </w:div>
    <w:div w:id="1237279606">
      <w:bodyDiv w:val="1"/>
      <w:marLeft w:val="0"/>
      <w:marRight w:val="0"/>
      <w:marTop w:val="0"/>
      <w:marBottom w:val="0"/>
      <w:divBdr>
        <w:top w:val="none" w:sz="0" w:space="0" w:color="auto"/>
        <w:left w:val="none" w:sz="0" w:space="0" w:color="auto"/>
        <w:bottom w:val="none" w:sz="0" w:space="0" w:color="auto"/>
        <w:right w:val="none" w:sz="0" w:space="0" w:color="auto"/>
      </w:divBdr>
    </w:div>
    <w:div w:id="1371107407">
      <w:bodyDiv w:val="1"/>
      <w:marLeft w:val="0"/>
      <w:marRight w:val="0"/>
      <w:marTop w:val="0"/>
      <w:marBottom w:val="0"/>
      <w:divBdr>
        <w:top w:val="none" w:sz="0" w:space="0" w:color="auto"/>
        <w:left w:val="none" w:sz="0" w:space="0" w:color="auto"/>
        <w:bottom w:val="none" w:sz="0" w:space="0" w:color="auto"/>
        <w:right w:val="none" w:sz="0" w:space="0" w:color="auto"/>
      </w:divBdr>
    </w:div>
    <w:div w:id="1382948823">
      <w:bodyDiv w:val="1"/>
      <w:marLeft w:val="0"/>
      <w:marRight w:val="0"/>
      <w:marTop w:val="0"/>
      <w:marBottom w:val="0"/>
      <w:divBdr>
        <w:top w:val="none" w:sz="0" w:space="0" w:color="auto"/>
        <w:left w:val="none" w:sz="0" w:space="0" w:color="auto"/>
        <w:bottom w:val="none" w:sz="0" w:space="0" w:color="auto"/>
        <w:right w:val="none" w:sz="0" w:space="0" w:color="auto"/>
      </w:divBdr>
    </w:div>
    <w:div w:id="1400664745">
      <w:bodyDiv w:val="1"/>
      <w:marLeft w:val="0"/>
      <w:marRight w:val="0"/>
      <w:marTop w:val="0"/>
      <w:marBottom w:val="0"/>
      <w:divBdr>
        <w:top w:val="none" w:sz="0" w:space="0" w:color="auto"/>
        <w:left w:val="none" w:sz="0" w:space="0" w:color="auto"/>
        <w:bottom w:val="none" w:sz="0" w:space="0" w:color="auto"/>
        <w:right w:val="none" w:sz="0" w:space="0" w:color="auto"/>
      </w:divBdr>
    </w:div>
    <w:div w:id="1783912048">
      <w:bodyDiv w:val="1"/>
      <w:marLeft w:val="0"/>
      <w:marRight w:val="0"/>
      <w:marTop w:val="0"/>
      <w:marBottom w:val="0"/>
      <w:divBdr>
        <w:top w:val="none" w:sz="0" w:space="0" w:color="auto"/>
        <w:left w:val="none" w:sz="0" w:space="0" w:color="auto"/>
        <w:bottom w:val="none" w:sz="0" w:space="0" w:color="auto"/>
        <w:right w:val="none" w:sz="0" w:space="0" w:color="auto"/>
      </w:divBdr>
    </w:div>
    <w:div w:id="1864514207">
      <w:bodyDiv w:val="1"/>
      <w:marLeft w:val="0"/>
      <w:marRight w:val="0"/>
      <w:marTop w:val="0"/>
      <w:marBottom w:val="0"/>
      <w:divBdr>
        <w:top w:val="none" w:sz="0" w:space="0" w:color="auto"/>
        <w:left w:val="none" w:sz="0" w:space="0" w:color="auto"/>
        <w:bottom w:val="none" w:sz="0" w:space="0" w:color="auto"/>
        <w:right w:val="none" w:sz="0" w:space="0" w:color="auto"/>
      </w:divBdr>
    </w:div>
    <w:div w:id="19772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sg.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wisg@wis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e/uploads/other/5/5321.pdf" TargetMode="External"/><Relationship Id="rId2" Type="http://schemas.openxmlformats.org/officeDocument/2006/relationships/hyperlink" Target="https://wisg.org/en/news/detail/324/%E1%83%A1%E1%83%90%E1%83%A5%E1%83%90%E1%83%A0%E1%83%97%E1%83%95%E1%83%94%E1%83%9A%E1%83%9D%E1%83%A8%E1%83%98-%E1%83%9E%E1%83%98%E1%83%A0%E1%83%95%E1%83%94%E1%83%9A%E1%83%90%E1%83%93-%E1%83%A2%E1%83%A0%E1%83%90%E1%83%9C%E1%83%A1%E1%83%98-%E1%83%90%E1%83%93%E1%83%90%E1%83%9B%E1%83%98%E1%83%90%E1%83%9C%E1%83%98%E1%83%A1-%E1%83%92%E1%83%94%E1%83%9C%E1%83%93%E1%83%94%E1%83%A0%E1%83%98-%E1%83%A1%E1%83%90%E1%83%9B%E1%83%90%E1%83%A0%E1%83%97%E1%83%9A%E1%83%94%E1%83%91%E1%83%A0%E1%83%98%E1%83%95%E1%83%90%E1%83%93-%E1%83%90%E1%83%A6%E1%83%98%E1%83%90%E1%83%A0%E1%83%94%E1%83%A1" TargetMode="External"/><Relationship Id="rId1" Type="http://schemas.openxmlformats.org/officeDocument/2006/relationships/hyperlink" Target="https://undocs.org/en/A/HRC/41/45/ADD.1?fbclid=IwAR1uGxuJ6lMh0KqfYO9D1vUNMQv4SWO0LSiwgZcH7UQCeSdylM71tmToyZo" TargetMode="External"/><Relationship Id="rId4" Type="http://schemas.openxmlformats.org/officeDocument/2006/relationships/hyperlink" Target="https://wisg.org/ka/news/detail/287/sakhalkho-damtsvelma-transi-adamianebis-jandatsvis-sakitkhebze-zogadi-tsinadadeba-gamos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9603A-C039-4B48-BBDC-A018E01F0B91}">
  <ds:schemaRefs>
    <ds:schemaRef ds:uri="http://schemas.openxmlformats.org/officeDocument/2006/bibliography"/>
  </ds:schemaRefs>
</ds:datastoreItem>
</file>

<file path=customXml/itemProps2.xml><?xml version="1.0" encoding="utf-8"?>
<ds:datastoreItem xmlns:ds="http://schemas.openxmlformats.org/officeDocument/2006/customXml" ds:itemID="{14B70180-3082-442C-8C17-4E49891A9DBE}"/>
</file>

<file path=customXml/itemProps3.xml><?xml version="1.0" encoding="utf-8"?>
<ds:datastoreItem xmlns:ds="http://schemas.openxmlformats.org/officeDocument/2006/customXml" ds:itemID="{7CD0E26D-5E5A-4BD6-9171-DDFC5B450E6E}"/>
</file>

<file path=customXml/itemProps4.xml><?xml version="1.0" encoding="utf-8"?>
<ds:datastoreItem xmlns:ds="http://schemas.openxmlformats.org/officeDocument/2006/customXml" ds:itemID="{9C256477-981B-4287-BAEF-9941623208F4}"/>
</file>

<file path=docProps/app.xml><?xml version="1.0" encoding="utf-8"?>
<Properties xmlns="http://schemas.openxmlformats.org/officeDocument/2006/extended-properties" xmlns:vt="http://schemas.openxmlformats.org/officeDocument/2006/docPropsVTypes">
  <Template>Normal.dotm</Template>
  <TotalTime>2</TotalTime>
  <Pages>19</Pages>
  <Words>3328</Words>
  <Characters>18972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Gurgenidze [WISG]</dc:creator>
  <cp:keywords/>
  <dc:description/>
  <cp:lastModifiedBy>OUKO Robert</cp:lastModifiedBy>
  <cp:revision>2</cp:revision>
  <cp:lastPrinted>2021-06-03T08:51:00Z</cp:lastPrinted>
  <dcterms:created xsi:type="dcterms:W3CDTF">2021-06-07T14:17:00Z</dcterms:created>
  <dcterms:modified xsi:type="dcterms:W3CDTF">2021-06-07T14:17:00Z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