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21226" w14:textId="77777777" w:rsidR="00C05D9B" w:rsidRPr="004B1E4E" w:rsidRDefault="00C05D9B" w:rsidP="00626C39">
      <w:pPr>
        <w:rPr>
          <w:color w:val="auto"/>
          <w:sz w:val="24"/>
          <w:szCs w:val="24"/>
        </w:rPr>
      </w:pPr>
      <w:bookmarkStart w:id="0" w:name="_GoBack"/>
      <w:bookmarkEnd w:id="0"/>
    </w:p>
    <w:p w14:paraId="455F10C6" w14:textId="77777777" w:rsidR="005403E3" w:rsidRPr="004B1E4E" w:rsidRDefault="005403E3" w:rsidP="00626C39">
      <w:pPr>
        <w:rPr>
          <w:color w:val="auto"/>
          <w:sz w:val="24"/>
          <w:szCs w:val="24"/>
        </w:rPr>
      </w:pPr>
    </w:p>
    <w:p w14:paraId="6B135504" w14:textId="77777777" w:rsidR="005403E3" w:rsidRPr="004B1E4E" w:rsidRDefault="005403E3" w:rsidP="00626C39">
      <w:pPr>
        <w:rPr>
          <w:color w:val="auto"/>
          <w:sz w:val="24"/>
          <w:szCs w:val="24"/>
        </w:rPr>
      </w:pPr>
    </w:p>
    <w:p w14:paraId="5FB17988" w14:textId="2F56D242" w:rsidR="00266AA3" w:rsidRDefault="009B4B66" w:rsidP="004B1E4E">
      <w:pPr>
        <w:jc w:val="center"/>
        <w:rPr>
          <w:b/>
          <w:sz w:val="24"/>
          <w:szCs w:val="24"/>
        </w:rPr>
      </w:pPr>
      <w:r>
        <w:rPr>
          <w:b/>
          <w:sz w:val="24"/>
          <w:szCs w:val="24"/>
        </w:rPr>
        <w:t>The Russian Federation</w:t>
      </w:r>
      <w:r w:rsidR="004B1E4E" w:rsidRPr="004B1E4E">
        <w:rPr>
          <w:b/>
          <w:sz w:val="24"/>
          <w:szCs w:val="24"/>
        </w:rPr>
        <w:t xml:space="preserve">’s Compliance with </w:t>
      </w:r>
      <w:r>
        <w:rPr>
          <w:b/>
          <w:sz w:val="24"/>
          <w:szCs w:val="24"/>
        </w:rPr>
        <w:t>the Convention Against Torture</w:t>
      </w:r>
    </w:p>
    <w:p w14:paraId="369032A5" w14:textId="53F6F47D" w:rsidR="004B1E4E" w:rsidRPr="004B1E4E" w:rsidRDefault="00266AA3" w:rsidP="004B1E4E">
      <w:pPr>
        <w:jc w:val="center"/>
        <w:rPr>
          <w:b/>
          <w:sz w:val="24"/>
          <w:szCs w:val="24"/>
        </w:rPr>
      </w:pPr>
      <w:r>
        <w:rPr>
          <w:b/>
          <w:sz w:val="24"/>
          <w:szCs w:val="24"/>
        </w:rPr>
        <w:t xml:space="preserve">Suggested List of Issues </w:t>
      </w:r>
      <w:r w:rsidR="006B3424">
        <w:rPr>
          <w:b/>
          <w:sz w:val="24"/>
          <w:szCs w:val="24"/>
        </w:rPr>
        <w:t xml:space="preserve">Prior to Reporting </w:t>
      </w:r>
      <w:r>
        <w:rPr>
          <w:b/>
          <w:sz w:val="24"/>
          <w:szCs w:val="24"/>
        </w:rPr>
        <w:t xml:space="preserve">Relating to </w:t>
      </w:r>
      <w:r w:rsidR="009B4B66">
        <w:rPr>
          <w:b/>
          <w:sz w:val="24"/>
          <w:szCs w:val="24"/>
        </w:rPr>
        <w:t>Sexual Orientation and Gender Identity and Expression</w:t>
      </w:r>
    </w:p>
    <w:p w14:paraId="54F3AE6B" w14:textId="77777777" w:rsidR="004B1E4E" w:rsidRPr="004B1E4E" w:rsidRDefault="004B1E4E" w:rsidP="004B1E4E">
      <w:pPr>
        <w:jc w:val="center"/>
        <w:rPr>
          <w:sz w:val="24"/>
          <w:szCs w:val="24"/>
        </w:rPr>
      </w:pPr>
    </w:p>
    <w:p w14:paraId="23772DD8" w14:textId="77777777" w:rsidR="004B1E4E" w:rsidRPr="00D25C36" w:rsidRDefault="004B1E4E" w:rsidP="004B1E4E">
      <w:pPr>
        <w:jc w:val="center"/>
        <w:rPr>
          <w:b/>
          <w:sz w:val="24"/>
          <w:szCs w:val="24"/>
        </w:rPr>
      </w:pPr>
      <w:r w:rsidRPr="00D25C36">
        <w:rPr>
          <w:b/>
          <w:sz w:val="24"/>
          <w:szCs w:val="24"/>
        </w:rPr>
        <w:t xml:space="preserve">Submitted by </w:t>
      </w:r>
      <w:r w:rsidR="00AA7FCB" w:rsidRPr="00D25C36">
        <w:rPr>
          <w:b/>
          <w:sz w:val="24"/>
          <w:szCs w:val="24"/>
        </w:rPr>
        <w:t>T</w:t>
      </w:r>
      <w:r w:rsidRPr="00D25C36">
        <w:rPr>
          <w:b/>
          <w:sz w:val="24"/>
          <w:szCs w:val="24"/>
        </w:rPr>
        <w:t>he Advocates for Human Rights</w:t>
      </w:r>
    </w:p>
    <w:p w14:paraId="2E266B52" w14:textId="77777777" w:rsidR="004B1E4E" w:rsidRPr="004B1E4E" w:rsidRDefault="004B1E4E" w:rsidP="004B1E4E">
      <w:pPr>
        <w:jc w:val="center"/>
        <w:rPr>
          <w:sz w:val="24"/>
          <w:szCs w:val="24"/>
        </w:rPr>
      </w:pPr>
      <w:r w:rsidRPr="004B1E4E">
        <w:rPr>
          <w:sz w:val="24"/>
          <w:szCs w:val="24"/>
        </w:rPr>
        <w:t>a non-governmental organization in special consultative status with ECOSOC</w:t>
      </w:r>
      <w:r w:rsidR="00624A10">
        <w:rPr>
          <w:sz w:val="24"/>
          <w:szCs w:val="24"/>
        </w:rPr>
        <w:t xml:space="preserve"> since 1996</w:t>
      </w:r>
    </w:p>
    <w:p w14:paraId="12EFF6F1" w14:textId="77777777" w:rsidR="004B1E4E" w:rsidRPr="004B1E4E" w:rsidRDefault="004B1E4E" w:rsidP="004B1E4E">
      <w:pPr>
        <w:jc w:val="center"/>
        <w:rPr>
          <w:sz w:val="24"/>
          <w:szCs w:val="24"/>
        </w:rPr>
      </w:pPr>
    </w:p>
    <w:p w14:paraId="1AE14056" w14:textId="22BF9563" w:rsidR="004B1E4E" w:rsidRPr="000C380B" w:rsidRDefault="00B327F9" w:rsidP="004B1E4E">
      <w:pPr>
        <w:jc w:val="center"/>
        <w:rPr>
          <w:b/>
          <w:sz w:val="24"/>
          <w:szCs w:val="24"/>
        </w:rPr>
      </w:pPr>
      <w:r>
        <w:rPr>
          <w:b/>
          <w:sz w:val="24"/>
          <w:szCs w:val="24"/>
        </w:rPr>
        <w:t xml:space="preserve">70th </w:t>
      </w:r>
      <w:r w:rsidR="004B1E4E" w:rsidRPr="000C380B">
        <w:rPr>
          <w:b/>
          <w:sz w:val="24"/>
          <w:szCs w:val="24"/>
        </w:rPr>
        <w:t xml:space="preserve">Session of the </w:t>
      </w:r>
      <w:r>
        <w:rPr>
          <w:b/>
          <w:sz w:val="24"/>
          <w:szCs w:val="24"/>
        </w:rPr>
        <w:t>Committee Against Torture</w:t>
      </w:r>
      <w:r w:rsidR="00266AA3" w:rsidRPr="000C380B">
        <w:rPr>
          <w:b/>
          <w:sz w:val="24"/>
          <w:szCs w:val="24"/>
        </w:rPr>
        <w:t xml:space="preserve"> (Pre-Sessional Working Group)</w:t>
      </w:r>
    </w:p>
    <w:p w14:paraId="4E6DF357" w14:textId="4A6B709A" w:rsidR="004B1E4E" w:rsidRPr="000C380B" w:rsidRDefault="00B327F9" w:rsidP="004B1E4E">
      <w:pPr>
        <w:jc w:val="center"/>
        <w:rPr>
          <w:b/>
          <w:sz w:val="24"/>
          <w:szCs w:val="24"/>
        </w:rPr>
      </w:pPr>
      <w:r>
        <w:rPr>
          <w:b/>
          <w:sz w:val="24"/>
          <w:szCs w:val="24"/>
        </w:rPr>
        <w:t>26 April</w:t>
      </w:r>
      <w:r w:rsidR="004B1E4E" w:rsidRPr="000C380B">
        <w:rPr>
          <w:b/>
          <w:sz w:val="24"/>
          <w:szCs w:val="24"/>
        </w:rPr>
        <w:t>–</w:t>
      </w:r>
      <w:r>
        <w:rPr>
          <w:b/>
          <w:sz w:val="24"/>
          <w:szCs w:val="24"/>
        </w:rPr>
        <w:t>21 May 2021</w:t>
      </w:r>
    </w:p>
    <w:p w14:paraId="6B1D311C" w14:textId="77777777" w:rsidR="001565F9" w:rsidRPr="00277642" w:rsidRDefault="001565F9" w:rsidP="005132BB">
      <w:pPr>
        <w:rPr>
          <w:sz w:val="24"/>
          <w:szCs w:val="24"/>
          <w:lang w:val="en-GB"/>
        </w:rPr>
      </w:pPr>
    </w:p>
    <w:p w14:paraId="59F1FD93" w14:textId="2F58EF8F" w:rsidR="005132BB" w:rsidRPr="000C380B" w:rsidRDefault="000C380B" w:rsidP="000C380B">
      <w:pPr>
        <w:jc w:val="center"/>
        <w:rPr>
          <w:b/>
          <w:color w:val="auto"/>
          <w:sz w:val="24"/>
          <w:szCs w:val="24"/>
        </w:rPr>
      </w:pPr>
      <w:r w:rsidRPr="000C380B">
        <w:rPr>
          <w:b/>
          <w:color w:val="auto"/>
          <w:sz w:val="24"/>
          <w:szCs w:val="24"/>
        </w:rPr>
        <w:t xml:space="preserve">Submitted </w:t>
      </w:r>
      <w:r w:rsidR="005B598F">
        <w:rPr>
          <w:b/>
          <w:color w:val="auto"/>
          <w:sz w:val="24"/>
          <w:szCs w:val="24"/>
        </w:rPr>
        <w:t>25</w:t>
      </w:r>
      <w:r w:rsidRPr="000C380B">
        <w:rPr>
          <w:b/>
          <w:color w:val="auto"/>
          <w:sz w:val="24"/>
          <w:szCs w:val="24"/>
        </w:rPr>
        <w:t xml:space="preserve"> </w:t>
      </w:r>
      <w:r w:rsidR="005B598F">
        <w:rPr>
          <w:b/>
          <w:color w:val="auto"/>
          <w:sz w:val="24"/>
          <w:szCs w:val="24"/>
        </w:rPr>
        <w:t>January 2021</w:t>
      </w:r>
    </w:p>
    <w:p w14:paraId="3399DABA" w14:textId="77777777" w:rsidR="000C380B" w:rsidRPr="004B1E4E" w:rsidRDefault="000C380B" w:rsidP="00596B08">
      <w:pPr>
        <w:jc w:val="both"/>
        <w:rPr>
          <w:color w:val="auto"/>
          <w:sz w:val="24"/>
          <w:szCs w:val="24"/>
        </w:rPr>
      </w:pPr>
    </w:p>
    <w:p w14:paraId="3068E1BF" w14:textId="59C437D1" w:rsidR="006B2C93" w:rsidRDefault="004B1E4E" w:rsidP="006B2C93">
      <w:pPr>
        <w:jc w:val="both"/>
        <w:rPr>
          <w:sz w:val="24"/>
          <w:szCs w:val="24"/>
        </w:rPr>
      </w:pPr>
      <w:r w:rsidRPr="004B1E4E">
        <w:rPr>
          <w:b/>
          <w:sz w:val="24"/>
          <w:szCs w:val="24"/>
        </w:rPr>
        <w:t xml:space="preserve">The Advocates for Human Rights </w:t>
      </w:r>
      <w:r w:rsidRPr="004B1E4E">
        <w:rPr>
          <w:sz w:val="24"/>
          <w:szCs w:val="24"/>
        </w:rPr>
        <w:t>(The Advocates) is a volunteer-based non</w:t>
      </w:r>
      <w:r w:rsidR="00266AA3">
        <w:rPr>
          <w:sz w:val="24"/>
          <w:szCs w:val="24"/>
        </w:rPr>
        <w:t>-</w:t>
      </w:r>
      <w:r w:rsidRPr="004B1E4E">
        <w:rPr>
          <w:sz w:val="24"/>
          <w:szCs w:val="24"/>
        </w:rPr>
        <w:t xml:space="preserve">governmental organization committed to the impartial promotion and protection of international human rights standards and the rule of law. Established in 1983, The Advocates conducts a range of programs to promote human rights in the United States and around the world, </w:t>
      </w:r>
      <w:r w:rsidRPr="00277642">
        <w:rPr>
          <w:sz w:val="24"/>
          <w:szCs w:val="24"/>
          <w:lang w:val="en-GB"/>
        </w:rPr>
        <w:t>including</w:t>
      </w:r>
      <w:r w:rsidRPr="004B1E4E">
        <w:rPr>
          <w:sz w:val="24"/>
          <w:szCs w:val="24"/>
        </w:rPr>
        <w:t xml:space="preserve"> monitoring and fact finding, direct legal representation, education and training, and publications. </w:t>
      </w:r>
    </w:p>
    <w:p w14:paraId="07B5EB9E" w14:textId="0A3A7A7D" w:rsidR="008214B4" w:rsidRDefault="008214B4" w:rsidP="008214B4">
      <w:pPr>
        <w:jc w:val="both"/>
        <w:rPr>
          <w:sz w:val="24"/>
          <w:szCs w:val="24"/>
        </w:rPr>
      </w:pPr>
    </w:p>
    <w:p w14:paraId="691CD0E1" w14:textId="77777777" w:rsidR="008214B4" w:rsidRPr="00AE35EF" w:rsidRDefault="008214B4" w:rsidP="00AA281D">
      <w:pPr>
        <w:jc w:val="both"/>
        <w:rPr>
          <w:sz w:val="24"/>
          <w:szCs w:val="24"/>
        </w:rPr>
      </w:pPr>
    </w:p>
    <w:p w14:paraId="118648B1" w14:textId="77777777" w:rsidR="00AA281D" w:rsidRPr="00CC65F5" w:rsidRDefault="00AA281D" w:rsidP="00596B08">
      <w:pPr>
        <w:jc w:val="both"/>
        <w:rPr>
          <w:b/>
          <w:bCs/>
          <w:sz w:val="24"/>
          <w:szCs w:val="24"/>
        </w:rPr>
      </w:pPr>
    </w:p>
    <w:p w14:paraId="679F78ED" w14:textId="77777777" w:rsidR="004B1E4E" w:rsidRPr="00CC65F5" w:rsidRDefault="004B1E4E" w:rsidP="00626C39">
      <w:pPr>
        <w:rPr>
          <w:b/>
          <w:bCs/>
          <w:color w:val="auto"/>
          <w:sz w:val="24"/>
          <w:szCs w:val="24"/>
        </w:rPr>
      </w:pPr>
    </w:p>
    <w:p w14:paraId="6BEF1900" w14:textId="77777777" w:rsidR="004B1E4E" w:rsidRPr="004B1E4E" w:rsidRDefault="004B1E4E" w:rsidP="004B1E4E">
      <w:pPr>
        <w:jc w:val="center"/>
        <w:rPr>
          <w:b/>
          <w:caps/>
          <w:color w:val="auto"/>
          <w:sz w:val="24"/>
          <w:szCs w:val="24"/>
        </w:rPr>
      </w:pPr>
      <w:r>
        <w:rPr>
          <w:color w:val="auto"/>
          <w:sz w:val="24"/>
          <w:szCs w:val="24"/>
        </w:rPr>
        <w:br w:type="page"/>
      </w:r>
      <w:r w:rsidRPr="004B1E4E">
        <w:rPr>
          <w:b/>
          <w:caps/>
          <w:color w:val="auto"/>
          <w:sz w:val="24"/>
          <w:szCs w:val="24"/>
        </w:rPr>
        <w:lastRenderedPageBreak/>
        <w:t>Executive Summary</w:t>
      </w:r>
    </w:p>
    <w:p w14:paraId="4E9F0D56" w14:textId="77777777" w:rsidR="004B1E4E" w:rsidRDefault="004B1E4E" w:rsidP="00626C39">
      <w:pPr>
        <w:rPr>
          <w:color w:val="auto"/>
          <w:sz w:val="24"/>
          <w:szCs w:val="24"/>
        </w:rPr>
      </w:pPr>
    </w:p>
    <w:p w14:paraId="46CF6B4B" w14:textId="444CDD73" w:rsidR="004B1E4E" w:rsidRDefault="00B72B5D" w:rsidP="00974E48">
      <w:pPr>
        <w:numPr>
          <w:ilvl w:val="0"/>
          <w:numId w:val="7"/>
        </w:numPr>
        <w:spacing w:after="120"/>
        <w:ind w:left="360"/>
        <w:jc w:val="both"/>
        <w:rPr>
          <w:color w:val="auto"/>
          <w:sz w:val="24"/>
          <w:szCs w:val="24"/>
        </w:rPr>
      </w:pPr>
      <w:r>
        <w:rPr>
          <w:color w:val="auto"/>
          <w:sz w:val="24"/>
          <w:szCs w:val="24"/>
        </w:rPr>
        <w:t xml:space="preserve">The Russian Federation </w:t>
      </w:r>
      <w:r w:rsidR="00415313">
        <w:rPr>
          <w:color w:val="auto"/>
          <w:sz w:val="24"/>
          <w:szCs w:val="24"/>
        </w:rPr>
        <w:t>has failed to uphold its obligations under the Convention against Torture with respect to lesbian, gay, bisexual, transgender, and intersex (LGBTI) persons</w:t>
      </w:r>
      <w:r w:rsidR="005D7533">
        <w:rPr>
          <w:color w:val="auto"/>
          <w:sz w:val="24"/>
          <w:szCs w:val="24"/>
        </w:rPr>
        <w:t xml:space="preserve">. </w:t>
      </w:r>
      <w:r w:rsidR="004469DD">
        <w:rPr>
          <w:color w:val="auto"/>
          <w:sz w:val="24"/>
          <w:szCs w:val="24"/>
        </w:rPr>
        <w:t xml:space="preserve">Among other issues of concern, authorities in detention facilities fail to comply with Nelson Mandela Rule 7(a), </w:t>
      </w:r>
      <w:r w:rsidR="005F37C9">
        <w:rPr>
          <w:color w:val="auto"/>
          <w:sz w:val="24"/>
          <w:szCs w:val="24"/>
        </w:rPr>
        <w:t xml:space="preserve">which requires detaining authorities to gather “[p]recise information enabling determination of </w:t>
      </w:r>
      <w:r w:rsidR="0023349E">
        <w:rPr>
          <w:color w:val="auto"/>
          <w:sz w:val="24"/>
          <w:szCs w:val="24"/>
        </w:rPr>
        <w:t xml:space="preserve">[the prisoner’s] unique identity, respecting his or her self-perceived gender.” Moreover, authorities fail to consult with transgender detainees to </w:t>
      </w:r>
      <w:r w:rsidR="00CA4C26">
        <w:rPr>
          <w:color w:val="auto"/>
          <w:sz w:val="24"/>
          <w:szCs w:val="24"/>
        </w:rPr>
        <w:t xml:space="preserve">make housing decisions </w:t>
      </w:r>
      <w:r w:rsidR="00230A91">
        <w:rPr>
          <w:color w:val="auto"/>
          <w:sz w:val="24"/>
          <w:szCs w:val="24"/>
        </w:rPr>
        <w:t>that include a thorough risk assessment</w:t>
      </w:r>
      <w:r w:rsidR="006C140D">
        <w:rPr>
          <w:color w:val="auto"/>
          <w:sz w:val="24"/>
          <w:szCs w:val="24"/>
        </w:rPr>
        <w:t xml:space="preserve"> to minimize the danger of torture and ill-treatment by other detainees and by </w:t>
      </w:r>
      <w:r w:rsidR="001A44FC">
        <w:rPr>
          <w:color w:val="auto"/>
          <w:sz w:val="24"/>
          <w:szCs w:val="24"/>
        </w:rPr>
        <w:t xml:space="preserve">detention facility staff. Instead, transgender detainees are often subjected to solitary confinement or are housed </w:t>
      </w:r>
      <w:r w:rsidR="002317F0">
        <w:rPr>
          <w:color w:val="auto"/>
          <w:sz w:val="24"/>
          <w:szCs w:val="24"/>
        </w:rPr>
        <w:t>in sex-segregated facilities that increase the risk of torture or ill-treatment.</w:t>
      </w:r>
    </w:p>
    <w:p w14:paraId="53D85C38" w14:textId="373DE5A2" w:rsidR="00E7111A" w:rsidRDefault="00E7111A" w:rsidP="00974E48">
      <w:pPr>
        <w:numPr>
          <w:ilvl w:val="0"/>
          <w:numId w:val="7"/>
        </w:numPr>
        <w:spacing w:after="120"/>
        <w:ind w:left="360"/>
        <w:jc w:val="both"/>
        <w:rPr>
          <w:color w:val="auto"/>
          <w:sz w:val="24"/>
          <w:szCs w:val="24"/>
        </w:rPr>
      </w:pPr>
      <w:r>
        <w:rPr>
          <w:color w:val="auto"/>
          <w:sz w:val="24"/>
          <w:szCs w:val="24"/>
        </w:rPr>
        <w:t xml:space="preserve">Moreover, law enforcement personnel subject LGBTI sex workers to </w:t>
      </w:r>
      <w:r w:rsidR="00041E87">
        <w:rPr>
          <w:color w:val="auto"/>
          <w:sz w:val="24"/>
          <w:szCs w:val="24"/>
        </w:rPr>
        <w:t xml:space="preserve">violence, harassment, arbitrary arrest, and unlawful detention. </w:t>
      </w:r>
      <w:r w:rsidR="00352014">
        <w:rPr>
          <w:color w:val="auto"/>
          <w:sz w:val="24"/>
          <w:szCs w:val="24"/>
        </w:rPr>
        <w:t xml:space="preserve">In particular, </w:t>
      </w:r>
      <w:r w:rsidR="006D0EBA">
        <w:rPr>
          <w:color w:val="auto"/>
          <w:sz w:val="24"/>
          <w:szCs w:val="24"/>
        </w:rPr>
        <w:t xml:space="preserve">authorities subject </w:t>
      </w:r>
      <w:r w:rsidR="00352014">
        <w:rPr>
          <w:color w:val="auto"/>
          <w:sz w:val="24"/>
          <w:szCs w:val="24"/>
        </w:rPr>
        <w:t xml:space="preserve">transgender sex workers endure </w:t>
      </w:r>
      <w:r w:rsidR="006D0EBA">
        <w:rPr>
          <w:color w:val="auto"/>
          <w:sz w:val="24"/>
          <w:szCs w:val="24"/>
        </w:rPr>
        <w:t xml:space="preserve">insults, humiliation, and intimidation </w:t>
      </w:r>
      <w:r w:rsidR="00830571">
        <w:rPr>
          <w:color w:val="auto"/>
          <w:sz w:val="24"/>
          <w:szCs w:val="24"/>
        </w:rPr>
        <w:t>during arbitrary detention. LGBTI Russians report extremely low levels of trust in law enforcement.</w:t>
      </w:r>
    </w:p>
    <w:p w14:paraId="1E53E7ED" w14:textId="0DD5D695" w:rsidR="008F2F99" w:rsidRDefault="00C02804" w:rsidP="008F2F99">
      <w:pPr>
        <w:spacing w:after="120"/>
        <w:jc w:val="center"/>
        <w:rPr>
          <w:b/>
          <w:color w:val="auto"/>
          <w:sz w:val="24"/>
          <w:szCs w:val="24"/>
        </w:rPr>
      </w:pPr>
      <w:r>
        <w:rPr>
          <w:b/>
          <w:color w:val="auto"/>
          <w:sz w:val="24"/>
          <w:szCs w:val="24"/>
        </w:rPr>
        <w:t>The Russian Federation</w:t>
      </w:r>
      <w:r w:rsidR="008F2F99" w:rsidRPr="008F2F99">
        <w:rPr>
          <w:b/>
          <w:color w:val="auto"/>
          <w:sz w:val="24"/>
          <w:szCs w:val="24"/>
        </w:rPr>
        <w:t xml:space="preserve"> fails to uphold its obligations under the </w:t>
      </w:r>
      <w:r>
        <w:rPr>
          <w:b/>
          <w:color w:val="auto"/>
          <w:sz w:val="24"/>
          <w:szCs w:val="24"/>
        </w:rPr>
        <w:t>Convention against Torture</w:t>
      </w:r>
    </w:p>
    <w:p w14:paraId="40DCD4D0" w14:textId="1196C79C" w:rsidR="004B1E4E" w:rsidRDefault="00B8317B" w:rsidP="00E114C5">
      <w:pPr>
        <w:keepNext/>
        <w:numPr>
          <w:ilvl w:val="0"/>
          <w:numId w:val="8"/>
        </w:numPr>
        <w:spacing w:before="240" w:after="120"/>
        <w:ind w:left="720" w:hanging="360"/>
        <w:rPr>
          <w:b/>
          <w:color w:val="auto"/>
          <w:sz w:val="24"/>
          <w:szCs w:val="24"/>
        </w:rPr>
      </w:pPr>
      <w:r>
        <w:rPr>
          <w:b/>
          <w:color w:val="auto"/>
          <w:sz w:val="24"/>
          <w:szCs w:val="24"/>
        </w:rPr>
        <w:t>T</w:t>
      </w:r>
      <w:r w:rsidR="00721639">
        <w:rPr>
          <w:b/>
          <w:color w:val="auto"/>
          <w:sz w:val="24"/>
          <w:szCs w:val="24"/>
        </w:rPr>
        <w:t xml:space="preserve">ransgender people are particularly vulnerable to </w:t>
      </w:r>
      <w:r>
        <w:rPr>
          <w:b/>
          <w:color w:val="auto"/>
          <w:sz w:val="24"/>
          <w:szCs w:val="24"/>
        </w:rPr>
        <w:t xml:space="preserve">torture and ill-treatment </w:t>
      </w:r>
      <w:r w:rsidR="00721639">
        <w:rPr>
          <w:b/>
          <w:color w:val="auto"/>
          <w:sz w:val="24"/>
          <w:szCs w:val="24"/>
        </w:rPr>
        <w:t>in institutionalized settings.</w:t>
      </w:r>
    </w:p>
    <w:p w14:paraId="2D78D99C" w14:textId="7A854E33" w:rsidR="00F1127E" w:rsidRDefault="00F1127E" w:rsidP="00974E48">
      <w:pPr>
        <w:numPr>
          <w:ilvl w:val="0"/>
          <w:numId w:val="7"/>
        </w:numPr>
        <w:spacing w:after="120"/>
        <w:ind w:left="360"/>
        <w:jc w:val="both"/>
        <w:rPr>
          <w:color w:val="auto"/>
          <w:sz w:val="24"/>
          <w:szCs w:val="24"/>
        </w:rPr>
      </w:pPr>
      <w:r>
        <w:rPr>
          <w:color w:val="auto"/>
          <w:sz w:val="24"/>
          <w:szCs w:val="24"/>
        </w:rPr>
        <w:t>The Committee, in its 2018 Concluding Observations, expressed concern “at consistent reports that lesbian, gay, bisexual, transgender and intersex persons are subjected to violence because of their sexual orientation or gender identity, including physical attacks and other ill-treatment.</w:t>
      </w:r>
      <w:r w:rsidR="00926CA1">
        <w:rPr>
          <w:color w:val="auto"/>
          <w:sz w:val="24"/>
          <w:szCs w:val="24"/>
        </w:rPr>
        <w:t>”</w:t>
      </w:r>
      <w:r w:rsidR="00926CA1">
        <w:rPr>
          <w:rStyle w:val="FootnoteReference"/>
          <w:color w:val="auto"/>
          <w:sz w:val="24"/>
          <w:szCs w:val="24"/>
        </w:rPr>
        <w:footnoteReference w:id="1"/>
      </w:r>
      <w:r w:rsidR="00926CA1">
        <w:rPr>
          <w:color w:val="auto"/>
          <w:sz w:val="24"/>
          <w:szCs w:val="24"/>
        </w:rPr>
        <w:t xml:space="preserve"> The Committee recommended</w:t>
      </w:r>
      <w:r w:rsidR="005E7880">
        <w:rPr>
          <w:color w:val="auto"/>
          <w:sz w:val="24"/>
          <w:szCs w:val="24"/>
        </w:rPr>
        <w:t xml:space="preserve"> that the Russian Federation “[e]nsure that those responsible for violent attacks and hate crimes </w:t>
      </w:r>
      <w:r w:rsidR="005E7880">
        <w:rPr>
          <w:color w:val="auto"/>
          <w:sz w:val="24"/>
          <w:szCs w:val="24"/>
        </w:rPr>
        <w:lastRenderedPageBreak/>
        <w:t>against persons on the basis of their sexual orientation or gender identity . . . are charged, investigated, prosecuted</w:t>
      </w:r>
      <w:r w:rsidR="00472252">
        <w:rPr>
          <w:color w:val="auto"/>
          <w:sz w:val="24"/>
          <w:szCs w:val="24"/>
        </w:rPr>
        <w:t xml:space="preserve"> and, if found responsible, punished; [and] . . . [p]rovide training to law enforcement officials and the judiciary on detecting and combating hate-motivated crimes, including those motivated by sexual orientation or gender identity.”</w:t>
      </w:r>
      <w:r w:rsidR="00472252">
        <w:rPr>
          <w:rStyle w:val="FootnoteReference"/>
          <w:color w:val="auto"/>
          <w:sz w:val="24"/>
          <w:szCs w:val="24"/>
        </w:rPr>
        <w:footnoteReference w:id="2"/>
      </w:r>
      <w:r w:rsidR="004F7895">
        <w:rPr>
          <w:color w:val="auto"/>
          <w:sz w:val="24"/>
          <w:szCs w:val="24"/>
        </w:rPr>
        <w:t xml:space="preserve"> The Committee also recommended that the Russian Federation “[b]ring the conditions of detention into line with international standards, including the United Nations Standard Minimum Rules for the Treatment of Prisoners (the Nelson Mandela Rules).”</w:t>
      </w:r>
      <w:r w:rsidR="004F7895">
        <w:rPr>
          <w:rStyle w:val="FootnoteReference"/>
          <w:color w:val="auto"/>
          <w:sz w:val="24"/>
          <w:szCs w:val="24"/>
        </w:rPr>
        <w:footnoteReference w:id="3"/>
      </w:r>
    </w:p>
    <w:p w14:paraId="0561FB8D" w14:textId="0DC6AF6A" w:rsidR="004E5AC8" w:rsidRDefault="00A575F9" w:rsidP="00974E48">
      <w:pPr>
        <w:numPr>
          <w:ilvl w:val="0"/>
          <w:numId w:val="7"/>
        </w:numPr>
        <w:spacing w:after="120"/>
        <w:ind w:left="360"/>
        <w:jc w:val="both"/>
        <w:rPr>
          <w:color w:val="auto"/>
          <w:sz w:val="24"/>
          <w:szCs w:val="24"/>
        </w:rPr>
      </w:pPr>
      <w:r>
        <w:rPr>
          <w:color w:val="auto"/>
          <w:sz w:val="24"/>
          <w:szCs w:val="24"/>
        </w:rPr>
        <w:t xml:space="preserve">Russian law does not provide any protection for </w:t>
      </w:r>
      <w:r w:rsidR="00EA431C">
        <w:rPr>
          <w:color w:val="auto"/>
          <w:sz w:val="24"/>
          <w:szCs w:val="24"/>
        </w:rPr>
        <w:t>transgender persons who are incarcerated.</w:t>
      </w:r>
      <w:r w:rsidR="003255FD">
        <w:rPr>
          <w:color w:val="auto"/>
          <w:sz w:val="24"/>
          <w:szCs w:val="24"/>
        </w:rPr>
        <w:t xml:space="preserve"> Transgender persons are particularly vulnerable to abuse in these institutionalized settings.</w:t>
      </w:r>
      <w:r w:rsidR="005A26A9">
        <w:rPr>
          <w:color w:val="auto"/>
          <w:sz w:val="24"/>
          <w:szCs w:val="24"/>
        </w:rPr>
        <w:t xml:space="preserve"> Transgender </w:t>
      </w:r>
      <w:r w:rsidR="00AC18C1">
        <w:rPr>
          <w:color w:val="auto"/>
          <w:sz w:val="24"/>
          <w:szCs w:val="24"/>
        </w:rPr>
        <w:t xml:space="preserve">people </w:t>
      </w:r>
      <w:r w:rsidR="005A26A9">
        <w:rPr>
          <w:color w:val="auto"/>
          <w:sz w:val="24"/>
          <w:szCs w:val="24"/>
        </w:rPr>
        <w:t>are more likely than other LGBT</w:t>
      </w:r>
      <w:r w:rsidR="00415313">
        <w:rPr>
          <w:color w:val="auto"/>
          <w:sz w:val="24"/>
          <w:szCs w:val="24"/>
        </w:rPr>
        <w:t>I</w:t>
      </w:r>
      <w:r w:rsidR="005A26A9">
        <w:rPr>
          <w:color w:val="auto"/>
          <w:sz w:val="24"/>
          <w:szCs w:val="24"/>
        </w:rPr>
        <w:t xml:space="preserve"> persons to </w:t>
      </w:r>
      <w:r w:rsidR="00AC18C1">
        <w:rPr>
          <w:color w:val="auto"/>
          <w:sz w:val="24"/>
          <w:szCs w:val="24"/>
        </w:rPr>
        <w:t>report experiencing physical, psychological, and sexual violence.</w:t>
      </w:r>
      <w:r w:rsidR="00AC18C1">
        <w:rPr>
          <w:rStyle w:val="FootnoteReference"/>
          <w:color w:val="auto"/>
          <w:sz w:val="24"/>
          <w:szCs w:val="24"/>
        </w:rPr>
        <w:footnoteReference w:id="4"/>
      </w:r>
    </w:p>
    <w:p w14:paraId="2F9E9402" w14:textId="63E37496" w:rsidR="00E00721" w:rsidRDefault="00DB5C91" w:rsidP="00E00721">
      <w:pPr>
        <w:numPr>
          <w:ilvl w:val="0"/>
          <w:numId w:val="7"/>
        </w:numPr>
        <w:spacing w:after="120"/>
        <w:ind w:left="360"/>
        <w:jc w:val="both"/>
        <w:rPr>
          <w:color w:val="auto"/>
          <w:sz w:val="24"/>
          <w:szCs w:val="24"/>
        </w:rPr>
      </w:pPr>
      <w:r>
        <w:rPr>
          <w:color w:val="auto"/>
          <w:sz w:val="24"/>
          <w:szCs w:val="24"/>
        </w:rPr>
        <w:t>In early 2020, one non-governmental organization took up the case of a transgender woman</w:t>
      </w:r>
      <w:r w:rsidR="00135634">
        <w:rPr>
          <w:color w:val="auto"/>
          <w:sz w:val="24"/>
          <w:szCs w:val="24"/>
        </w:rPr>
        <w:t>. Russian authorities arrested her in late November 2019</w:t>
      </w:r>
      <w:r w:rsidR="00B84E4D">
        <w:rPr>
          <w:color w:val="auto"/>
          <w:sz w:val="24"/>
          <w:szCs w:val="24"/>
        </w:rPr>
        <w:t xml:space="preserve"> on charges of distributing pornography.</w:t>
      </w:r>
      <w:r w:rsidR="00B07034">
        <w:rPr>
          <w:color w:val="auto"/>
          <w:sz w:val="24"/>
          <w:szCs w:val="24"/>
        </w:rPr>
        <w:t xml:space="preserve"> The offense carries a maximum penalty of ten years’ imprisonment.</w:t>
      </w:r>
      <w:r w:rsidR="00B84E4D">
        <w:rPr>
          <w:color w:val="auto"/>
          <w:sz w:val="24"/>
          <w:szCs w:val="24"/>
        </w:rPr>
        <w:t xml:space="preserve"> </w:t>
      </w:r>
      <w:r w:rsidR="00B07034">
        <w:rPr>
          <w:color w:val="auto"/>
          <w:sz w:val="24"/>
          <w:szCs w:val="24"/>
        </w:rPr>
        <w:t xml:space="preserve">Authorities </w:t>
      </w:r>
      <w:r w:rsidR="00B84E4D">
        <w:rPr>
          <w:color w:val="auto"/>
          <w:sz w:val="24"/>
          <w:szCs w:val="24"/>
        </w:rPr>
        <w:t xml:space="preserve">kept </w:t>
      </w:r>
      <w:r w:rsidR="00B07034">
        <w:rPr>
          <w:color w:val="auto"/>
          <w:sz w:val="24"/>
          <w:szCs w:val="24"/>
        </w:rPr>
        <w:t xml:space="preserve">the transgender woman </w:t>
      </w:r>
      <w:r w:rsidR="00B84E4D">
        <w:rPr>
          <w:color w:val="auto"/>
          <w:sz w:val="24"/>
          <w:szCs w:val="24"/>
        </w:rPr>
        <w:t>in solitary confinement for approximately two months.</w:t>
      </w:r>
      <w:r w:rsidR="00914F58">
        <w:rPr>
          <w:rStyle w:val="FootnoteReference"/>
          <w:color w:val="auto"/>
          <w:sz w:val="24"/>
          <w:szCs w:val="24"/>
        </w:rPr>
        <w:footnoteReference w:id="5"/>
      </w:r>
      <w:r w:rsidR="00B84E4D">
        <w:rPr>
          <w:color w:val="auto"/>
          <w:sz w:val="24"/>
          <w:szCs w:val="24"/>
        </w:rPr>
        <w:t xml:space="preserve"> </w:t>
      </w:r>
    </w:p>
    <w:p w14:paraId="582BBDAB" w14:textId="62E3FCF8" w:rsidR="00E00721" w:rsidRDefault="00E00721" w:rsidP="00E00721">
      <w:pPr>
        <w:numPr>
          <w:ilvl w:val="0"/>
          <w:numId w:val="7"/>
        </w:numPr>
        <w:spacing w:after="120"/>
        <w:ind w:left="360"/>
        <w:jc w:val="both"/>
        <w:rPr>
          <w:color w:val="auto"/>
          <w:sz w:val="24"/>
          <w:szCs w:val="24"/>
        </w:rPr>
      </w:pPr>
      <w:r>
        <w:rPr>
          <w:color w:val="auto"/>
          <w:sz w:val="24"/>
          <w:szCs w:val="24"/>
        </w:rPr>
        <w:t xml:space="preserve">On 3 June 2020, the court dismissed all of the defendant’s arguments and convicted </w:t>
      </w:r>
      <w:r w:rsidR="00FC33A8">
        <w:rPr>
          <w:color w:val="auto"/>
          <w:sz w:val="24"/>
          <w:szCs w:val="24"/>
        </w:rPr>
        <w:t xml:space="preserve">the woman. The court imposed a fine of 50,000 rubles and </w:t>
      </w:r>
      <w:r w:rsidR="00E14257">
        <w:rPr>
          <w:color w:val="auto"/>
          <w:sz w:val="24"/>
          <w:szCs w:val="24"/>
        </w:rPr>
        <w:t>additional wage garnishments for two years.</w:t>
      </w:r>
      <w:r w:rsidR="003D32FF">
        <w:rPr>
          <w:rStyle w:val="FootnoteReference"/>
          <w:color w:val="auto"/>
          <w:sz w:val="24"/>
          <w:szCs w:val="24"/>
        </w:rPr>
        <w:footnoteReference w:id="6"/>
      </w:r>
      <w:r w:rsidR="00E14257">
        <w:rPr>
          <w:color w:val="auto"/>
          <w:sz w:val="24"/>
          <w:szCs w:val="24"/>
        </w:rPr>
        <w:t xml:space="preserve"> </w:t>
      </w:r>
    </w:p>
    <w:p w14:paraId="047523F5" w14:textId="290BFE57" w:rsidR="00E14257" w:rsidRDefault="00E14257" w:rsidP="00E00721">
      <w:pPr>
        <w:numPr>
          <w:ilvl w:val="0"/>
          <w:numId w:val="7"/>
        </w:numPr>
        <w:spacing w:after="120"/>
        <w:ind w:left="360"/>
        <w:jc w:val="both"/>
        <w:rPr>
          <w:color w:val="auto"/>
          <w:sz w:val="24"/>
          <w:szCs w:val="24"/>
        </w:rPr>
      </w:pPr>
      <w:r>
        <w:rPr>
          <w:color w:val="auto"/>
          <w:sz w:val="24"/>
          <w:szCs w:val="24"/>
        </w:rPr>
        <w:lastRenderedPageBreak/>
        <w:t xml:space="preserve">The non-governmental organization reports that </w:t>
      </w:r>
      <w:r w:rsidR="005B001F">
        <w:rPr>
          <w:color w:val="auto"/>
          <w:sz w:val="24"/>
          <w:szCs w:val="24"/>
        </w:rPr>
        <w:t xml:space="preserve">for the woman to serve a term in prison would have been tantamount to a death sentence. The organization was greatly relieved that the court did not </w:t>
      </w:r>
      <w:r w:rsidR="00914F58">
        <w:rPr>
          <w:color w:val="auto"/>
          <w:sz w:val="24"/>
          <w:szCs w:val="24"/>
        </w:rPr>
        <w:t>sentence the woman to a prison term.</w:t>
      </w:r>
      <w:r w:rsidR="003D32FF">
        <w:rPr>
          <w:rStyle w:val="FootnoteReference"/>
          <w:color w:val="auto"/>
          <w:sz w:val="24"/>
          <w:szCs w:val="24"/>
        </w:rPr>
        <w:footnoteReference w:id="7"/>
      </w:r>
    </w:p>
    <w:p w14:paraId="4C2910F1" w14:textId="5A6E632A" w:rsidR="00D64A78" w:rsidRPr="00E00721" w:rsidRDefault="00D64A78" w:rsidP="00E00721">
      <w:pPr>
        <w:numPr>
          <w:ilvl w:val="0"/>
          <w:numId w:val="7"/>
        </w:numPr>
        <w:spacing w:after="120"/>
        <w:ind w:left="360"/>
        <w:jc w:val="both"/>
        <w:rPr>
          <w:color w:val="auto"/>
          <w:sz w:val="24"/>
          <w:szCs w:val="24"/>
        </w:rPr>
      </w:pPr>
      <w:r>
        <w:rPr>
          <w:color w:val="auto"/>
          <w:sz w:val="24"/>
          <w:szCs w:val="24"/>
        </w:rPr>
        <w:t xml:space="preserve">Another transgender woman was sentenced to </w:t>
      </w:r>
      <w:r w:rsidR="00450068">
        <w:rPr>
          <w:color w:val="auto"/>
          <w:sz w:val="24"/>
          <w:szCs w:val="24"/>
        </w:rPr>
        <w:t>three years in prison in 2019 on trumped up pornography charges.</w:t>
      </w:r>
      <w:r w:rsidR="00450068">
        <w:rPr>
          <w:rStyle w:val="FootnoteReference"/>
          <w:color w:val="auto"/>
          <w:sz w:val="24"/>
          <w:szCs w:val="24"/>
        </w:rPr>
        <w:footnoteReference w:id="8"/>
      </w:r>
      <w:r w:rsidR="00C26200">
        <w:rPr>
          <w:color w:val="auto"/>
          <w:sz w:val="24"/>
          <w:szCs w:val="24"/>
        </w:rPr>
        <w:t xml:space="preserve"> She was forced to serve her sentence in a men’s penal colony</w:t>
      </w:r>
      <w:r w:rsidR="002371AF">
        <w:rPr>
          <w:color w:val="auto"/>
          <w:sz w:val="24"/>
          <w:szCs w:val="24"/>
        </w:rPr>
        <w:t>, and according to Human Rights Watch, this incarceration leaves her “extremely vulnerable to abuse by both male detainees and guards.”</w:t>
      </w:r>
      <w:r w:rsidR="002371AF">
        <w:rPr>
          <w:rStyle w:val="FootnoteReference"/>
          <w:color w:val="auto"/>
          <w:sz w:val="24"/>
          <w:szCs w:val="24"/>
        </w:rPr>
        <w:footnoteReference w:id="9"/>
      </w:r>
      <w:r w:rsidR="00863B04">
        <w:rPr>
          <w:color w:val="auto"/>
          <w:sz w:val="24"/>
          <w:szCs w:val="24"/>
        </w:rPr>
        <w:t xml:space="preserve"> A Russian court subsequently overturned her conviction</w:t>
      </w:r>
      <w:r w:rsidR="00AE7D41">
        <w:rPr>
          <w:color w:val="auto"/>
          <w:sz w:val="24"/>
          <w:szCs w:val="24"/>
        </w:rPr>
        <w:t xml:space="preserve">, but she is likely to face a retrial </w:t>
      </w:r>
      <w:r w:rsidR="00520E8C">
        <w:rPr>
          <w:color w:val="auto"/>
          <w:sz w:val="24"/>
          <w:szCs w:val="24"/>
        </w:rPr>
        <w:t>before</w:t>
      </w:r>
      <w:r w:rsidR="00AE7D41">
        <w:rPr>
          <w:color w:val="auto"/>
          <w:sz w:val="24"/>
          <w:szCs w:val="24"/>
        </w:rPr>
        <w:t xml:space="preserve"> a different judge.</w:t>
      </w:r>
      <w:r w:rsidR="00AE7D41">
        <w:rPr>
          <w:rStyle w:val="FootnoteReference"/>
          <w:color w:val="auto"/>
          <w:sz w:val="24"/>
          <w:szCs w:val="24"/>
        </w:rPr>
        <w:footnoteReference w:id="10"/>
      </w:r>
    </w:p>
    <w:p w14:paraId="1A29D09F" w14:textId="7E87F174" w:rsidR="00EA0EEB" w:rsidRDefault="00EA0EEB" w:rsidP="00974E48">
      <w:pPr>
        <w:numPr>
          <w:ilvl w:val="0"/>
          <w:numId w:val="7"/>
        </w:numPr>
        <w:spacing w:after="120"/>
        <w:ind w:left="360"/>
        <w:jc w:val="both"/>
        <w:rPr>
          <w:color w:val="auto"/>
          <w:sz w:val="24"/>
          <w:szCs w:val="24"/>
        </w:rPr>
      </w:pPr>
      <w:r w:rsidRPr="00F811E7">
        <w:rPr>
          <w:b/>
          <w:color w:val="auto"/>
          <w:sz w:val="24"/>
          <w:szCs w:val="24"/>
        </w:rPr>
        <w:t>Suggested questions</w:t>
      </w:r>
      <w:r w:rsidR="00524166">
        <w:rPr>
          <w:color w:val="auto"/>
          <w:sz w:val="24"/>
          <w:szCs w:val="24"/>
        </w:rPr>
        <w:t xml:space="preserve"> relating to </w:t>
      </w:r>
      <w:r w:rsidR="00162A4E">
        <w:rPr>
          <w:color w:val="auto"/>
          <w:sz w:val="24"/>
          <w:szCs w:val="24"/>
        </w:rPr>
        <w:t xml:space="preserve">incarceration of </w:t>
      </w:r>
      <w:r w:rsidR="00341196">
        <w:rPr>
          <w:color w:val="auto"/>
          <w:sz w:val="24"/>
          <w:szCs w:val="24"/>
        </w:rPr>
        <w:t>transgender</w:t>
      </w:r>
      <w:r w:rsidR="00162A4E">
        <w:rPr>
          <w:color w:val="auto"/>
          <w:sz w:val="24"/>
          <w:szCs w:val="24"/>
        </w:rPr>
        <w:t xml:space="preserve"> persons</w:t>
      </w:r>
      <w:r>
        <w:rPr>
          <w:color w:val="auto"/>
          <w:sz w:val="24"/>
          <w:szCs w:val="24"/>
        </w:rPr>
        <w:t>:</w:t>
      </w:r>
    </w:p>
    <w:p w14:paraId="51351A16" w14:textId="0DB08515" w:rsidR="000C380B" w:rsidRPr="000C380B" w:rsidRDefault="009073A3" w:rsidP="00974E48">
      <w:pPr>
        <w:numPr>
          <w:ilvl w:val="1"/>
          <w:numId w:val="7"/>
        </w:numPr>
        <w:jc w:val="both"/>
        <w:rPr>
          <w:color w:val="auto"/>
          <w:sz w:val="24"/>
          <w:szCs w:val="24"/>
        </w:rPr>
      </w:pPr>
      <w:r>
        <w:rPr>
          <w:color w:val="auto"/>
          <w:sz w:val="24"/>
          <w:szCs w:val="24"/>
        </w:rPr>
        <w:t xml:space="preserve">How do authorities determine </w:t>
      </w:r>
      <w:r w:rsidR="00034D1E">
        <w:rPr>
          <w:color w:val="auto"/>
          <w:sz w:val="24"/>
          <w:szCs w:val="24"/>
        </w:rPr>
        <w:t>placement of transgender persons in sex-segregated jails and prisons?</w:t>
      </w:r>
      <w:r w:rsidR="00FD1654">
        <w:rPr>
          <w:color w:val="auto"/>
          <w:sz w:val="24"/>
          <w:szCs w:val="24"/>
        </w:rPr>
        <w:t xml:space="preserve"> What procedures are in place to ensure compliance with Nelson Mandela Rule 7</w:t>
      </w:r>
      <w:r w:rsidR="007A7199">
        <w:rPr>
          <w:color w:val="auto"/>
          <w:sz w:val="24"/>
          <w:szCs w:val="24"/>
        </w:rPr>
        <w:t>(a)</w:t>
      </w:r>
      <w:r w:rsidR="00FD1654">
        <w:rPr>
          <w:color w:val="auto"/>
          <w:sz w:val="24"/>
          <w:szCs w:val="24"/>
        </w:rPr>
        <w:t xml:space="preserve"> </w:t>
      </w:r>
      <w:r w:rsidR="008B493C">
        <w:rPr>
          <w:color w:val="auto"/>
          <w:sz w:val="24"/>
          <w:szCs w:val="24"/>
        </w:rPr>
        <w:t xml:space="preserve">and to ensure that authorities consult with transgender detainees to </w:t>
      </w:r>
      <w:r w:rsidR="00FB75CA">
        <w:rPr>
          <w:color w:val="auto"/>
          <w:sz w:val="24"/>
          <w:szCs w:val="24"/>
        </w:rPr>
        <w:t>place the detainee in an</w:t>
      </w:r>
      <w:r w:rsidR="008B493C">
        <w:rPr>
          <w:color w:val="auto"/>
          <w:sz w:val="24"/>
          <w:szCs w:val="24"/>
        </w:rPr>
        <w:t xml:space="preserve"> incarceral setting that will reduce the risk of torture or ill-treatment</w:t>
      </w:r>
      <w:r w:rsidR="00FB75CA">
        <w:rPr>
          <w:color w:val="auto"/>
          <w:sz w:val="24"/>
          <w:szCs w:val="24"/>
        </w:rPr>
        <w:t xml:space="preserve">, without resorting to </w:t>
      </w:r>
      <w:r w:rsidR="00BD1A89">
        <w:rPr>
          <w:color w:val="auto"/>
          <w:sz w:val="24"/>
          <w:szCs w:val="24"/>
        </w:rPr>
        <w:t xml:space="preserve">administrative segregation </w:t>
      </w:r>
      <w:r w:rsidR="00AD6EA9">
        <w:rPr>
          <w:color w:val="auto"/>
          <w:sz w:val="24"/>
          <w:szCs w:val="24"/>
        </w:rPr>
        <w:t xml:space="preserve">or solitary confinement </w:t>
      </w:r>
      <w:r w:rsidR="00BD1A89">
        <w:rPr>
          <w:color w:val="auto"/>
          <w:sz w:val="24"/>
          <w:szCs w:val="24"/>
        </w:rPr>
        <w:t xml:space="preserve">in violation of </w:t>
      </w:r>
      <w:r w:rsidR="00AD6EA9">
        <w:rPr>
          <w:color w:val="auto"/>
          <w:sz w:val="24"/>
          <w:szCs w:val="24"/>
        </w:rPr>
        <w:t>Rule</w:t>
      </w:r>
      <w:r w:rsidR="007E37F3">
        <w:rPr>
          <w:color w:val="auto"/>
          <w:sz w:val="24"/>
          <w:szCs w:val="24"/>
        </w:rPr>
        <w:t>s</w:t>
      </w:r>
      <w:r w:rsidR="00AD6EA9">
        <w:rPr>
          <w:color w:val="auto"/>
          <w:sz w:val="24"/>
          <w:szCs w:val="24"/>
        </w:rPr>
        <w:t xml:space="preserve"> 43</w:t>
      </w:r>
      <w:r w:rsidR="007E37F3">
        <w:rPr>
          <w:color w:val="auto"/>
          <w:sz w:val="24"/>
          <w:szCs w:val="24"/>
        </w:rPr>
        <w:t>-45</w:t>
      </w:r>
      <w:r w:rsidR="00442D3A">
        <w:rPr>
          <w:color w:val="auto"/>
          <w:sz w:val="24"/>
          <w:szCs w:val="24"/>
        </w:rPr>
        <w:t>?</w:t>
      </w:r>
    </w:p>
    <w:p w14:paraId="7D368BEA" w14:textId="51A43972" w:rsidR="00EA0EEB" w:rsidRDefault="00034D1E" w:rsidP="00974E48">
      <w:pPr>
        <w:numPr>
          <w:ilvl w:val="1"/>
          <w:numId w:val="7"/>
        </w:numPr>
        <w:jc w:val="both"/>
        <w:rPr>
          <w:color w:val="auto"/>
          <w:sz w:val="24"/>
          <w:szCs w:val="24"/>
        </w:rPr>
      </w:pPr>
      <w:r>
        <w:rPr>
          <w:color w:val="auto"/>
          <w:sz w:val="24"/>
          <w:szCs w:val="24"/>
        </w:rPr>
        <w:t>What measures are in place to ensure the safety and security of transgender persons who are incarcerated?</w:t>
      </w:r>
    </w:p>
    <w:p w14:paraId="243CACF2" w14:textId="41429675" w:rsidR="00751C7E" w:rsidRPr="000C380B" w:rsidRDefault="00D2120A" w:rsidP="00974E48">
      <w:pPr>
        <w:numPr>
          <w:ilvl w:val="1"/>
          <w:numId w:val="7"/>
        </w:numPr>
        <w:jc w:val="both"/>
        <w:rPr>
          <w:color w:val="auto"/>
          <w:sz w:val="24"/>
          <w:szCs w:val="24"/>
        </w:rPr>
      </w:pPr>
      <w:r>
        <w:rPr>
          <w:color w:val="auto"/>
          <w:sz w:val="24"/>
          <w:szCs w:val="24"/>
        </w:rPr>
        <w:t xml:space="preserve">Please provide disaggregated statistics about complaints brought by people in detention alleging torture or ill-treatment, both at the hands of detention </w:t>
      </w:r>
      <w:r>
        <w:rPr>
          <w:color w:val="auto"/>
          <w:sz w:val="24"/>
          <w:szCs w:val="24"/>
        </w:rPr>
        <w:lastRenderedPageBreak/>
        <w:t>staff and at the hands of other detained persons</w:t>
      </w:r>
      <w:r w:rsidR="00C42ADA">
        <w:rPr>
          <w:color w:val="auto"/>
          <w:sz w:val="24"/>
          <w:szCs w:val="24"/>
        </w:rPr>
        <w:t>, and the response to each case</w:t>
      </w:r>
      <w:r>
        <w:rPr>
          <w:color w:val="auto"/>
          <w:sz w:val="24"/>
          <w:szCs w:val="24"/>
        </w:rPr>
        <w:t xml:space="preserve">. </w:t>
      </w:r>
      <w:r w:rsidR="00C42ADA">
        <w:rPr>
          <w:color w:val="auto"/>
          <w:sz w:val="24"/>
          <w:szCs w:val="24"/>
        </w:rPr>
        <w:t>Please include disaggregation for sex and gender identity.</w:t>
      </w:r>
    </w:p>
    <w:p w14:paraId="30A28C9D" w14:textId="63111B61" w:rsidR="004B1E4E" w:rsidRPr="004B1E4E" w:rsidRDefault="00505197" w:rsidP="00E114C5">
      <w:pPr>
        <w:keepNext/>
        <w:numPr>
          <w:ilvl w:val="0"/>
          <w:numId w:val="8"/>
        </w:numPr>
        <w:spacing w:before="240" w:after="120"/>
        <w:ind w:left="720" w:hanging="360"/>
        <w:rPr>
          <w:b/>
          <w:color w:val="auto"/>
          <w:sz w:val="24"/>
          <w:szCs w:val="24"/>
        </w:rPr>
      </w:pPr>
      <w:r>
        <w:rPr>
          <w:b/>
          <w:color w:val="auto"/>
          <w:sz w:val="24"/>
          <w:szCs w:val="24"/>
        </w:rPr>
        <w:t>The Russian Federation has failed to meet its obligations under the Convention with respect to</w:t>
      </w:r>
      <w:r w:rsidR="00045904">
        <w:rPr>
          <w:b/>
          <w:color w:val="auto"/>
          <w:sz w:val="24"/>
          <w:szCs w:val="24"/>
        </w:rPr>
        <w:t xml:space="preserve"> LGBT</w:t>
      </w:r>
      <w:r>
        <w:rPr>
          <w:b/>
          <w:color w:val="auto"/>
          <w:sz w:val="24"/>
          <w:szCs w:val="24"/>
        </w:rPr>
        <w:t xml:space="preserve"> sex workers</w:t>
      </w:r>
      <w:r w:rsidR="00CA73D4">
        <w:rPr>
          <w:b/>
          <w:color w:val="auto"/>
          <w:sz w:val="24"/>
          <w:szCs w:val="24"/>
        </w:rPr>
        <w:t>.</w:t>
      </w:r>
    </w:p>
    <w:p w14:paraId="0E2D33AA" w14:textId="5C50E4E8" w:rsidR="003C0F72" w:rsidRPr="003C0F72" w:rsidRDefault="003C0F72" w:rsidP="003C0F72">
      <w:pPr>
        <w:numPr>
          <w:ilvl w:val="0"/>
          <w:numId w:val="7"/>
        </w:numPr>
        <w:spacing w:after="120"/>
        <w:ind w:left="360"/>
        <w:jc w:val="both"/>
        <w:rPr>
          <w:color w:val="auto"/>
          <w:sz w:val="24"/>
          <w:szCs w:val="24"/>
        </w:rPr>
      </w:pPr>
      <w:r>
        <w:rPr>
          <w:color w:val="auto"/>
          <w:sz w:val="24"/>
          <w:szCs w:val="24"/>
        </w:rPr>
        <w:t>The Committee, in its 2018 Concluding Observations, expressed concern “at consistent reports that, in practice, fundamental legal safeguards against torture for detained persons often do not apply from the very outset of the deprivation of liberty and sometimes are not respected at all.”</w:t>
      </w:r>
      <w:r>
        <w:rPr>
          <w:rStyle w:val="FootnoteReference"/>
          <w:color w:val="auto"/>
          <w:sz w:val="24"/>
          <w:szCs w:val="24"/>
        </w:rPr>
        <w:footnoteReference w:id="11"/>
      </w:r>
      <w:r>
        <w:rPr>
          <w:color w:val="auto"/>
          <w:sz w:val="24"/>
          <w:szCs w:val="24"/>
        </w:rPr>
        <w:t xml:space="preserve"> The Committee recommended that the Russian Federation ensure that “[a]ll detained persons are able, in practice, to have prompt access to a qualified independent lawyer or free legal aid, if necessary, especially during police interrogations; . . . [and] to challenge, at any time during the detention, the legality or necessity of the detention before a magistrate who can order the detainee’s immediate release and to receive a decision without delay.”</w:t>
      </w:r>
      <w:r>
        <w:rPr>
          <w:rStyle w:val="FootnoteReference"/>
          <w:color w:val="auto"/>
          <w:sz w:val="24"/>
          <w:szCs w:val="24"/>
        </w:rPr>
        <w:footnoteReference w:id="12"/>
      </w:r>
      <w:r w:rsidR="00475955">
        <w:rPr>
          <w:color w:val="auto"/>
          <w:sz w:val="24"/>
          <w:szCs w:val="24"/>
        </w:rPr>
        <w:t xml:space="preserve"> The Committee also expressed concern that</w:t>
      </w:r>
      <w:r w:rsidR="00DB6C3F">
        <w:rPr>
          <w:color w:val="auto"/>
          <w:sz w:val="24"/>
          <w:szCs w:val="24"/>
        </w:rPr>
        <w:t>,</w:t>
      </w:r>
      <w:r w:rsidR="00475955">
        <w:rPr>
          <w:color w:val="auto"/>
          <w:sz w:val="24"/>
          <w:szCs w:val="24"/>
        </w:rPr>
        <w:t xml:space="preserve"> </w:t>
      </w:r>
      <w:r w:rsidR="00DB6C3F">
        <w:rPr>
          <w:color w:val="auto"/>
          <w:sz w:val="24"/>
          <w:szCs w:val="24"/>
        </w:rPr>
        <w:t>“in practice detained persons do not have adequate access to an effective, safe and independent complaint mechanism and that those alleging torture face reprisals and area often counter-charged with making false accusations, resulting in additional prison time.”</w:t>
      </w:r>
      <w:r w:rsidR="005A5B05">
        <w:rPr>
          <w:rStyle w:val="FootnoteReference"/>
          <w:color w:val="auto"/>
          <w:sz w:val="24"/>
          <w:szCs w:val="24"/>
        </w:rPr>
        <w:footnoteReference w:id="13"/>
      </w:r>
      <w:r w:rsidR="005A5B05">
        <w:rPr>
          <w:color w:val="auto"/>
          <w:sz w:val="24"/>
          <w:szCs w:val="24"/>
        </w:rPr>
        <w:t xml:space="preserve"> The Committee recommended that the Russian Federation “ensure that all persons, particularly those deprived of their liberty, have adequate access to an independent complaint mechanism through which they can transmit confidential </w:t>
      </w:r>
      <w:r w:rsidR="00421AAE">
        <w:rPr>
          <w:color w:val="auto"/>
          <w:sz w:val="24"/>
          <w:szCs w:val="24"/>
        </w:rPr>
        <w:t>allegations of torture or ill-treatment to an independent investigative authority.”</w:t>
      </w:r>
      <w:r w:rsidR="00421AAE">
        <w:rPr>
          <w:rStyle w:val="FootnoteReference"/>
          <w:color w:val="auto"/>
          <w:sz w:val="24"/>
          <w:szCs w:val="24"/>
        </w:rPr>
        <w:footnoteReference w:id="14"/>
      </w:r>
    </w:p>
    <w:p w14:paraId="6F94974B" w14:textId="22A7C4EC" w:rsidR="00162A4E" w:rsidRDefault="007C4ACC" w:rsidP="00974E48">
      <w:pPr>
        <w:numPr>
          <w:ilvl w:val="0"/>
          <w:numId w:val="7"/>
        </w:numPr>
        <w:spacing w:after="120"/>
        <w:ind w:left="360"/>
        <w:jc w:val="both"/>
        <w:rPr>
          <w:color w:val="auto"/>
          <w:sz w:val="24"/>
          <w:szCs w:val="24"/>
        </w:rPr>
      </w:pPr>
      <w:r>
        <w:rPr>
          <w:color w:val="auto"/>
          <w:sz w:val="24"/>
          <w:szCs w:val="24"/>
        </w:rPr>
        <w:lastRenderedPageBreak/>
        <w:t>S</w:t>
      </w:r>
      <w:r w:rsidR="00162A4E">
        <w:rPr>
          <w:color w:val="auto"/>
          <w:sz w:val="24"/>
          <w:szCs w:val="24"/>
        </w:rPr>
        <w:t>ex work</w:t>
      </w:r>
      <w:r w:rsidR="00EE77DA">
        <w:rPr>
          <w:color w:val="auto"/>
          <w:sz w:val="24"/>
          <w:szCs w:val="24"/>
        </w:rPr>
        <w:t xml:space="preserve"> </w:t>
      </w:r>
      <w:r>
        <w:rPr>
          <w:color w:val="auto"/>
          <w:sz w:val="24"/>
          <w:szCs w:val="24"/>
        </w:rPr>
        <w:t>is unlawful in Russia both under criminal law and as a</w:t>
      </w:r>
      <w:r w:rsidR="00EE77DA">
        <w:rPr>
          <w:color w:val="auto"/>
          <w:sz w:val="24"/>
          <w:szCs w:val="24"/>
        </w:rPr>
        <w:t>n administrative offense</w:t>
      </w:r>
      <w:r w:rsidR="00162A4E">
        <w:rPr>
          <w:color w:val="auto"/>
          <w:sz w:val="24"/>
          <w:szCs w:val="24"/>
        </w:rPr>
        <w:t>.</w:t>
      </w:r>
      <w:r>
        <w:rPr>
          <w:rStyle w:val="FootnoteReference"/>
          <w:color w:val="auto"/>
          <w:sz w:val="24"/>
          <w:szCs w:val="24"/>
        </w:rPr>
        <w:footnoteReference w:id="15"/>
      </w:r>
      <w:r w:rsidR="00162A4E">
        <w:rPr>
          <w:color w:val="auto"/>
          <w:sz w:val="24"/>
          <w:szCs w:val="24"/>
        </w:rPr>
        <w:t xml:space="preserve"> As a result</w:t>
      </w:r>
      <w:r w:rsidR="00370A5F">
        <w:rPr>
          <w:color w:val="auto"/>
          <w:sz w:val="24"/>
          <w:szCs w:val="24"/>
        </w:rPr>
        <w:t>, sex workers, including LGBT</w:t>
      </w:r>
      <w:r w:rsidR="00E7111A">
        <w:rPr>
          <w:color w:val="auto"/>
          <w:sz w:val="24"/>
          <w:szCs w:val="24"/>
        </w:rPr>
        <w:t>I</w:t>
      </w:r>
      <w:r w:rsidR="00370A5F">
        <w:rPr>
          <w:color w:val="auto"/>
          <w:sz w:val="24"/>
          <w:szCs w:val="24"/>
        </w:rPr>
        <w:t xml:space="preserve"> sex workers, face torture and cruel, inhuman, and degrading treatment.</w:t>
      </w:r>
      <w:r w:rsidR="00E2324B">
        <w:rPr>
          <w:rStyle w:val="FootnoteReference"/>
          <w:color w:val="auto"/>
          <w:sz w:val="24"/>
          <w:szCs w:val="24"/>
        </w:rPr>
        <w:footnoteReference w:id="16"/>
      </w:r>
    </w:p>
    <w:p w14:paraId="648BCB81" w14:textId="3CE9F4A3" w:rsidR="006739E9" w:rsidRDefault="006739E9" w:rsidP="00974E48">
      <w:pPr>
        <w:numPr>
          <w:ilvl w:val="0"/>
          <w:numId w:val="7"/>
        </w:numPr>
        <w:spacing w:after="120"/>
        <w:ind w:left="360"/>
        <w:jc w:val="both"/>
        <w:rPr>
          <w:color w:val="auto"/>
          <w:sz w:val="24"/>
          <w:szCs w:val="24"/>
        </w:rPr>
      </w:pPr>
      <w:r>
        <w:rPr>
          <w:color w:val="auto"/>
          <w:sz w:val="24"/>
          <w:szCs w:val="24"/>
        </w:rPr>
        <w:t xml:space="preserve">Law enforcement officers use the criminalization of sex work as a pretext for subjecting alleged sex workers to </w:t>
      </w:r>
      <w:r w:rsidR="00F04865">
        <w:rPr>
          <w:color w:val="auto"/>
          <w:sz w:val="24"/>
          <w:szCs w:val="24"/>
        </w:rPr>
        <w:t xml:space="preserve">physical and sexual abuse. One non-governmental organization reported that in 2020, several </w:t>
      </w:r>
      <w:r w:rsidR="003D592D">
        <w:rPr>
          <w:color w:val="auto"/>
          <w:sz w:val="24"/>
          <w:szCs w:val="24"/>
        </w:rPr>
        <w:t xml:space="preserve">transgender sex workers had reported to the organization </w:t>
      </w:r>
      <w:r w:rsidR="00953DA0">
        <w:rPr>
          <w:color w:val="auto"/>
          <w:sz w:val="24"/>
          <w:szCs w:val="24"/>
        </w:rPr>
        <w:t>that they had been attacked by police officers. The officers unlawfully broke into the sex workers’ dwellings. The officers then used threats and physical violence to extort money from the sex workers.</w:t>
      </w:r>
      <w:r w:rsidR="00AF40F9">
        <w:rPr>
          <w:color w:val="auto"/>
          <w:sz w:val="24"/>
          <w:szCs w:val="24"/>
        </w:rPr>
        <w:t xml:space="preserve"> One sex worker paid the police officers who broke into her home out of fear that if she did not, the officers would plant drugs on her and thereby frame her for a drug-related offense.</w:t>
      </w:r>
      <w:r w:rsidR="00C112E2">
        <w:rPr>
          <w:rStyle w:val="FootnoteReference"/>
          <w:color w:val="auto"/>
          <w:sz w:val="24"/>
          <w:szCs w:val="24"/>
        </w:rPr>
        <w:footnoteReference w:id="17"/>
      </w:r>
    </w:p>
    <w:p w14:paraId="09211FAE" w14:textId="77777777" w:rsidR="000E6AD1" w:rsidRDefault="005B416F" w:rsidP="00974E48">
      <w:pPr>
        <w:numPr>
          <w:ilvl w:val="0"/>
          <w:numId w:val="7"/>
        </w:numPr>
        <w:spacing w:after="120"/>
        <w:ind w:left="360"/>
        <w:jc w:val="both"/>
        <w:rPr>
          <w:color w:val="auto"/>
          <w:sz w:val="24"/>
          <w:szCs w:val="24"/>
        </w:rPr>
      </w:pPr>
      <w:r>
        <w:rPr>
          <w:color w:val="auto"/>
          <w:sz w:val="24"/>
          <w:szCs w:val="24"/>
        </w:rPr>
        <w:t>These arbitrary arrests of transgender sex workers often result in prolonged unlawful detention at police stations. Law enforcement officers at the detention facilities subject the sex workers to insults, humiliation, and intimidation</w:t>
      </w:r>
      <w:r w:rsidR="00E420B4">
        <w:rPr>
          <w:color w:val="auto"/>
          <w:sz w:val="24"/>
          <w:szCs w:val="24"/>
        </w:rPr>
        <w:t>, unlawfully detaining them for hours.</w:t>
      </w:r>
      <w:r w:rsidR="00C112E2">
        <w:rPr>
          <w:rStyle w:val="FootnoteReference"/>
          <w:color w:val="auto"/>
          <w:sz w:val="24"/>
          <w:szCs w:val="24"/>
        </w:rPr>
        <w:footnoteReference w:id="18"/>
      </w:r>
      <w:r w:rsidR="00A32F3D">
        <w:rPr>
          <w:color w:val="auto"/>
          <w:sz w:val="24"/>
          <w:szCs w:val="24"/>
        </w:rPr>
        <w:t xml:space="preserve"> </w:t>
      </w:r>
    </w:p>
    <w:p w14:paraId="24E7E1CE" w14:textId="44018391" w:rsidR="005B416F" w:rsidRDefault="00A32F3D" w:rsidP="00974E48">
      <w:pPr>
        <w:numPr>
          <w:ilvl w:val="0"/>
          <w:numId w:val="7"/>
        </w:numPr>
        <w:spacing w:after="120"/>
        <w:ind w:left="360"/>
        <w:jc w:val="both"/>
        <w:rPr>
          <w:color w:val="auto"/>
          <w:sz w:val="24"/>
          <w:szCs w:val="24"/>
        </w:rPr>
      </w:pPr>
      <w:r>
        <w:rPr>
          <w:color w:val="auto"/>
          <w:sz w:val="24"/>
          <w:szCs w:val="24"/>
        </w:rPr>
        <w:t xml:space="preserve">In a survey of more than </w:t>
      </w:r>
      <w:r w:rsidR="00D45D5A">
        <w:rPr>
          <w:color w:val="auto"/>
          <w:sz w:val="24"/>
          <w:szCs w:val="24"/>
        </w:rPr>
        <w:t>6,700 LGBTI persons</w:t>
      </w:r>
      <w:r w:rsidR="000E6AD1">
        <w:rPr>
          <w:color w:val="auto"/>
          <w:sz w:val="24"/>
          <w:szCs w:val="24"/>
        </w:rPr>
        <w:t xml:space="preserve"> in late 2019 and early 2020</w:t>
      </w:r>
      <w:r w:rsidR="00D45D5A">
        <w:rPr>
          <w:color w:val="auto"/>
          <w:sz w:val="24"/>
          <w:szCs w:val="24"/>
        </w:rPr>
        <w:t xml:space="preserve">, the Russian LGBT Network found that </w:t>
      </w:r>
      <w:r w:rsidR="00843248">
        <w:rPr>
          <w:color w:val="auto"/>
          <w:sz w:val="24"/>
          <w:szCs w:val="24"/>
        </w:rPr>
        <w:t>3% of transgender women and 3.5% of transgender men reported being unlawfully detained.</w:t>
      </w:r>
      <w:r w:rsidR="00843248">
        <w:rPr>
          <w:rStyle w:val="FootnoteReference"/>
          <w:color w:val="auto"/>
          <w:sz w:val="24"/>
          <w:szCs w:val="24"/>
        </w:rPr>
        <w:footnoteReference w:id="19"/>
      </w:r>
      <w:r w:rsidR="007D4CAC">
        <w:rPr>
          <w:color w:val="auto"/>
          <w:sz w:val="24"/>
          <w:szCs w:val="24"/>
        </w:rPr>
        <w:t xml:space="preserve"> For minors, the </w:t>
      </w:r>
      <w:r w:rsidR="0073647B">
        <w:rPr>
          <w:color w:val="auto"/>
          <w:sz w:val="24"/>
          <w:szCs w:val="24"/>
        </w:rPr>
        <w:t xml:space="preserve">results were even higher: </w:t>
      </w:r>
      <w:r w:rsidR="0073647B">
        <w:rPr>
          <w:color w:val="auto"/>
          <w:sz w:val="24"/>
          <w:szCs w:val="24"/>
        </w:rPr>
        <w:lastRenderedPageBreak/>
        <w:t>3.8% of transgender girls and 4% of transgender boys reported being unlawfully detained.</w:t>
      </w:r>
      <w:r w:rsidR="0073647B">
        <w:rPr>
          <w:rStyle w:val="FootnoteReference"/>
          <w:color w:val="auto"/>
          <w:sz w:val="24"/>
          <w:szCs w:val="24"/>
        </w:rPr>
        <w:footnoteReference w:id="20"/>
      </w:r>
      <w:r w:rsidR="0073647B">
        <w:rPr>
          <w:color w:val="auto"/>
          <w:sz w:val="24"/>
          <w:szCs w:val="24"/>
        </w:rPr>
        <w:t xml:space="preserve"> </w:t>
      </w:r>
      <w:r w:rsidR="00E139CA">
        <w:rPr>
          <w:color w:val="auto"/>
          <w:sz w:val="24"/>
          <w:szCs w:val="24"/>
        </w:rPr>
        <w:t xml:space="preserve">Not surprisingly, </w:t>
      </w:r>
      <w:r w:rsidR="008E6084">
        <w:rPr>
          <w:color w:val="auto"/>
          <w:sz w:val="24"/>
          <w:szCs w:val="24"/>
        </w:rPr>
        <w:t xml:space="preserve">73.3% of respondents reported that they </w:t>
      </w:r>
      <w:r w:rsidR="00B706F7">
        <w:rPr>
          <w:color w:val="auto"/>
          <w:sz w:val="24"/>
          <w:szCs w:val="24"/>
        </w:rPr>
        <w:t>did not or generally did not trust the police.</w:t>
      </w:r>
      <w:r w:rsidR="00B706F7">
        <w:rPr>
          <w:rStyle w:val="FootnoteReference"/>
          <w:color w:val="auto"/>
          <w:sz w:val="24"/>
          <w:szCs w:val="24"/>
        </w:rPr>
        <w:footnoteReference w:id="21"/>
      </w:r>
    </w:p>
    <w:p w14:paraId="73EB81EF" w14:textId="2D6EEFA7" w:rsidR="00974E48" w:rsidRDefault="00974E48" w:rsidP="00974E48">
      <w:pPr>
        <w:numPr>
          <w:ilvl w:val="0"/>
          <w:numId w:val="7"/>
        </w:numPr>
        <w:spacing w:after="120"/>
        <w:ind w:left="360"/>
        <w:jc w:val="both"/>
        <w:rPr>
          <w:color w:val="auto"/>
          <w:sz w:val="24"/>
          <w:szCs w:val="24"/>
        </w:rPr>
      </w:pPr>
      <w:r w:rsidRPr="00F811E7">
        <w:rPr>
          <w:b/>
          <w:color w:val="auto"/>
          <w:sz w:val="24"/>
          <w:szCs w:val="24"/>
        </w:rPr>
        <w:t>Suggested questions</w:t>
      </w:r>
      <w:r>
        <w:rPr>
          <w:color w:val="auto"/>
          <w:sz w:val="24"/>
          <w:szCs w:val="24"/>
        </w:rPr>
        <w:t xml:space="preserve"> relating to </w:t>
      </w:r>
      <w:r w:rsidR="00E420B4">
        <w:rPr>
          <w:color w:val="auto"/>
          <w:sz w:val="24"/>
          <w:szCs w:val="24"/>
        </w:rPr>
        <w:t>sex workers:</w:t>
      </w:r>
    </w:p>
    <w:p w14:paraId="7D4F8CA5" w14:textId="2285904A" w:rsidR="006C2A08" w:rsidRDefault="00CB5582" w:rsidP="00974E48">
      <w:pPr>
        <w:numPr>
          <w:ilvl w:val="1"/>
          <w:numId w:val="7"/>
        </w:numPr>
        <w:jc w:val="both"/>
        <w:rPr>
          <w:color w:val="auto"/>
          <w:sz w:val="24"/>
          <w:szCs w:val="24"/>
        </w:rPr>
      </w:pPr>
      <w:r>
        <w:rPr>
          <w:color w:val="auto"/>
          <w:sz w:val="24"/>
          <w:szCs w:val="24"/>
        </w:rPr>
        <w:t xml:space="preserve">What policies and procedures are in place to </w:t>
      </w:r>
      <w:r w:rsidR="00145293">
        <w:rPr>
          <w:color w:val="auto"/>
          <w:sz w:val="24"/>
          <w:szCs w:val="24"/>
        </w:rPr>
        <w:t>hold law enforcement officers accountable for violence</w:t>
      </w:r>
      <w:r w:rsidR="00EB4658">
        <w:rPr>
          <w:color w:val="auto"/>
          <w:sz w:val="24"/>
          <w:szCs w:val="24"/>
        </w:rPr>
        <w:t xml:space="preserve"> directed toward, as well as </w:t>
      </w:r>
      <w:r w:rsidR="00145293">
        <w:rPr>
          <w:color w:val="auto"/>
          <w:sz w:val="24"/>
          <w:szCs w:val="24"/>
        </w:rPr>
        <w:t xml:space="preserve">extortion, arbitrary arrests, and unlawful detention of LGBT </w:t>
      </w:r>
      <w:r w:rsidR="00063B8C">
        <w:rPr>
          <w:color w:val="auto"/>
          <w:sz w:val="24"/>
          <w:szCs w:val="24"/>
        </w:rPr>
        <w:t>persons, including</w:t>
      </w:r>
      <w:r w:rsidR="00C07C40">
        <w:rPr>
          <w:color w:val="auto"/>
          <w:sz w:val="24"/>
          <w:szCs w:val="24"/>
        </w:rPr>
        <w:t xml:space="preserve"> sex workers</w:t>
      </w:r>
      <w:r w:rsidR="00145293">
        <w:rPr>
          <w:color w:val="auto"/>
          <w:sz w:val="24"/>
          <w:szCs w:val="24"/>
        </w:rPr>
        <w:t>?</w:t>
      </w:r>
      <w:r w:rsidR="00DC0C45">
        <w:rPr>
          <w:color w:val="auto"/>
          <w:sz w:val="24"/>
          <w:szCs w:val="24"/>
        </w:rPr>
        <w:t xml:space="preserve"> How many such complaints have authorities received? What </w:t>
      </w:r>
      <w:r w:rsidR="00C07C40">
        <w:rPr>
          <w:color w:val="auto"/>
          <w:sz w:val="24"/>
          <w:szCs w:val="24"/>
        </w:rPr>
        <w:t>has been the response to each case?</w:t>
      </w:r>
    </w:p>
    <w:p w14:paraId="359E385B" w14:textId="605AC5D9" w:rsidR="00C07C40" w:rsidRDefault="00C07C40" w:rsidP="00974E48">
      <w:pPr>
        <w:numPr>
          <w:ilvl w:val="1"/>
          <w:numId w:val="7"/>
        </w:numPr>
        <w:jc w:val="both"/>
        <w:rPr>
          <w:color w:val="auto"/>
          <w:sz w:val="24"/>
          <w:szCs w:val="24"/>
        </w:rPr>
      </w:pPr>
      <w:r>
        <w:rPr>
          <w:color w:val="auto"/>
          <w:sz w:val="24"/>
          <w:szCs w:val="24"/>
        </w:rPr>
        <w:t>What remedies are available to LGBT persons, including sex workers, who are subjected to violence, threats, arbitrary arrest, and unlawful detention at the hands of law enforcement?</w:t>
      </w:r>
    </w:p>
    <w:p w14:paraId="441FEEC1" w14:textId="0E29F9AA" w:rsidR="00F51AFD" w:rsidRPr="00B72B5D" w:rsidRDefault="00A22916" w:rsidP="00D63903">
      <w:pPr>
        <w:numPr>
          <w:ilvl w:val="1"/>
          <w:numId w:val="7"/>
        </w:numPr>
        <w:spacing w:after="120"/>
        <w:jc w:val="both"/>
        <w:rPr>
          <w:color w:val="auto"/>
          <w:sz w:val="24"/>
          <w:szCs w:val="24"/>
        </w:rPr>
      </w:pPr>
      <w:r w:rsidRPr="00B72B5D">
        <w:rPr>
          <w:color w:val="auto"/>
          <w:sz w:val="24"/>
          <w:szCs w:val="24"/>
        </w:rPr>
        <w:t>What measures have authorities taken to build trust in law enforcement among members of the LGBT community?</w:t>
      </w:r>
    </w:p>
    <w:sectPr w:rsidR="00F51AFD" w:rsidRPr="00B72B5D" w:rsidSect="004B1E4E">
      <w:headerReference w:type="default" r:id="rId12"/>
      <w:footerReference w:type="default" r:id="rId13"/>
      <w:headerReference w:type="first" r:id="rId14"/>
      <w:footerReference w:type="first" r:id="rId15"/>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B2C5F" w14:textId="77777777" w:rsidR="00B82C2D" w:rsidRDefault="00B82C2D">
      <w:r>
        <w:separator/>
      </w:r>
    </w:p>
  </w:endnote>
  <w:endnote w:type="continuationSeparator" w:id="0">
    <w:p w14:paraId="6705EA03" w14:textId="77777777" w:rsidR="00B82C2D" w:rsidRDefault="00B8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7F32" w14:textId="708971D7" w:rsidR="00804604" w:rsidRDefault="00804604">
    <w:pPr>
      <w:pStyle w:val="Footer"/>
      <w:jc w:val="center"/>
    </w:pPr>
    <w:r>
      <w:fldChar w:fldCharType="begin"/>
    </w:r>
    <w:r>
      <w:instrText xml:space="preserve"> PAGE   \* MERGEFORMAT </w:instrText>
    </w:r>
    <w:r>
      <w:fldChar w:fldCharType="separate"/>
    </w:r>
    <w:r w:rsidR="00277642">
      <w:rPr>
        <w:noProof/>
      </w:rPr>
      <w:t>5</w:t>
    </w:r>
    <w:r>
      <w:rPr>
        <w:noProof/>
      </w:rPr>
      <w:fldChar w:fldCharType="end"/>
    </w:r>
  </w:p>
  <w:p w14:paraId="1066A677" w14:textId="77777777" w:rsidR="00804604" w:rsidRPr="00C26130" w:rsidRDefault="00804604" w:rsidP="00C26130">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063BC" w14:textId="34F39768" w:rsidR="00804604" w:rsidRPr="000F3447" w:rsidRDefault="0056409D" w:rsidP="000F3447">
    <w:pPr>
      <w:widowControl w:val="0"/>
      <w:jc w:val="center"/>
      <w:rPr>
        <w:color w:val="333333"/>
        <w:lang w:val="en"/>
      </w:rPr>
    </w:pPr>
    <w:r w:rsidRPr="000F3447">
      <w:rPr>
        <w:noProof/>
        <w:color w:val="800080"/>
        <w:lang w:val="en-GB" w:eastAsia="en-GB"/>
      </w:rPr>
      <mc:AlternateContent>
        <mc:Choice Requires="wps">
          <w:drawing>
            <wp:anchor distT="0" distB="0" distL="114300" distR="114300" simplePos="0" relativeHeight="251658240" behindDoc="0" locked="0" layoutInCell="1" allowOverlap="1" wp14:anchorId="7DD8AF1B" wp14:editId="70CAF3B0">
              <wp:simplePos x="0" y="0"/>
              <wp:positionH relativeFrom="column">
                <wp:posOffset>-356235</wp:posOffset>
              </wp:positionH>
              <wp:positionV relativeFrom="paragraph">
                <wp:posOffset>132715</wp:posOffset>
              </wp:positionV>
              <wp:extent cx="6649720" cy="0"/>
              <wp:effectExtent l="5715" t="8890" r="12065" b="1016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9720"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E78C39" id="Line 2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10.45pt" to="495.5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" strokecolor="#333"/>
          </w:pict>
        </mc:Fallback>
      </mc:AlternateContent>
    </w:r>
  </w:p>
  <w:p w14:paraId="388F098A" w14:textId="77777777" w:rsidR="00804604" w:rsidRPr="000F3447" w:rsidRDefault="00804604" w:rsidP="000F3447">
    <w:pPr>
      <w:widowControl w:val="0"/>
      <w:jc w:val="center"/>
      <w:rPr>
        <w:i/>
        <w:iCs/>
        <w:color w:val="542344"/>
        <w:lang w:val="en"/>
      </w:rPr>
    </w:pPr>
    <w:r w:rsidRPr="000F3447">
      <w:rPr>
        <w:color w:val="333333"/>
        <w:lang w:val="en"/>
      </w:rPr>
      <w:t>330 Second Avenue South • Suite 800 • Minneapo</w:t>
    </w:r>
    <w:r w:rsidR="000C380B" w:rsidRPr="000F3447">
      <w:rPr>
        <w:color w:val="333333"/>
        <w:lang w:val="en"/>
      </w:rPr>
      <w:t xml:space="preserve">lis, MN </w:t>
    </w:r>
    <w:r w:rsidRPr="000F3447">
      <w:rPr>
        <w:color w:val="333333"/>
        <w:lang w:val="en"/>
      </w:rPr>
      <w:t>55401</w:t>
    </w:r>
    <w:r w:rsidR="000C380B" w:rsidRPr="000F3447">
      <w:rPr>
        <w:color w:val="333333"/>
        <w:lang w:val="en"/>
      </w:rPr>
      <w:t xml:space="preserve"> </w:t>
    </w:r>
    <w:r w:rsidRPr="000F3447">
      <w:rPr>
        <w:color w:val="333333"/>
        <w:lang w:val="en"/>
      </w:rPr>
      <w:t>• USA</w:t>
    </w:r>
  </w:p>
  <w:p w14:paraId="626DB405" w14:textId="77777777" w:rsidR="00804604" w:rsidRPr="000F3447" w:rsidRDefault="00804604" w:rsidP="000F3447">
    <w:pPr>
      <w:widowControl w:val="0"/>
      <w:jc w:val="center"/>
      <w:rPr>
        <w:color w:val="333333"/>
        <w:lang w:val="en"/>
      </w:rPr>
    </w:pPr>
    <w:r w:rsidRPr="000F3447">
      <w:rPr>
        <w:color w:val="333333"/>
        <w:lang w:val="en"/>
      </w:rPr>
      <w:t>Tel</w:t>
    </w:r>
    <w:r w:rsidR="000F3447">
      <w:rPr>
        <w:color w:val="333333"/>
        <w:lang w:val="en"/>
      </w:rPr>
      <w:t xml:space="preserve">: </w:t>
    </w:r>
    <w:r w:rsidR="0009644E" w:rsidRPr="000F3447">
      <w:rPr>
        <w:color w:val="333333"/>
        <w:lang w:val="en"/>
      </w:rPr>
      <w:t>612-341-</w:t>
    </w:r>
    <w:r w:rsidR="00AD0AA1" w:rsidRPr="000F3447">
      <w:rPr>
        <w:color w:val="333333"/>
        <w:lang w:val="en"/>
      </w:rPr>
      <w:t>3302</w:t>
    </w:r>
    <w:r w:rsidRPr="000F3447">
      <w:rPr>
        <w:color w:val="333333"/>
        <w:lang w:val="en"/>
      </w:rPr>
      <w:t xml:space="preserve"> •</w:t>
    </w:r>
    <w:r w:rsidR="0009644E" w:rsidRPr="000F3447">
      <w:rPr>
        <w:color w:val="333333"/>
        <w:lang w:val="en"/>
      </w:rPr>
      <w:t xml:space="preserve"> Fax:  612-341-</w:t>
    </w:r>
    <w:r w:rsidRPr="000F3447">
      <w:rPr>
        <w:color w:val="333333"/>
        <w:lang w:val="en"/>
      </w:rPr>
      <w:t>2971 •</w:t>
    </w:r>
    <w:r w:rsidR="00AD0AA1" w:rsidRPr="000F3447">
      <w:rPr>
        <w:color w:val="333333"/>
        <w:lang w:val="en"/>
      </w:rPr>
      <w:t xml:space="preserve"> Email: hrights@advrights.org</w:t>
    </w:r>
    <w:r w:rsidRPr="000F3447">
      <w:rPr>
        <w:color w:val="333333"/>
        <w:lang w:val="en"/>
      </w:rPr>
      <w:t xml:space="preserve"> •</w:t>
    </w:r>
    <w:r w:rsidR="000F3447" w:rsidRPr="000F3447">
      <w:rPr>
        <w:color w:val="333333"/>
        <w:lang w:val="en"/>
      </w:rPr>
      <w:t xml:space="preserve"> </w:t>
    </w:r>
    <w:r w:rsidR="0009644E" w:rsidRPr="000F3447">
      <w:rPr>
        <w:color w:val="333333"/>
        <w:lang w:val="en"/>
      </w:rPr>
      <w:t>www.TheAdvocatesForHumanR</w:t>
    </w:r>
    <w:r w:rsidRPr="000F3447">
      <w:rPr>
        <w:color w:val="333333"/>
        <w:lang w:val="en"/>
      </w:rPr>
      <w:t>ights.org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18318" w14:textId="77777777" w:rsidR="00B82C2D" w:rsidRDefault="00B82C2D">
      <w:r>
        <w:separator/>
      </w:r>
    </w:p>
  </w:footnote>
  <w:footnote w:type="continuationSeparator" w:id="0">
    <w:p w14:paraId="7B2D9203" w14:textId="77777777" w:rsidR="00B82C2D" w:rsidRDefault="00B82C2D">
      <w:r>
        <w:continuationSeparator/>
      </w:r>
    </w:p>
  </w:footnote>
  <w:footnote w:id="1">
    <w:p w14:paraId="311E9FBA" w14:textId="518543B7" w:rsidR="00926CA1" w:rsidRDefault="00926CA1">
      <w:pPr>
        <w:pStyle w:val="FootnoteText"/>
      </w:pPr>
      <w:r>
        <w:rPr>
          <w:rStyle w:val="FootnoteReference"/>
        </w:rPr>
        <w:footnoteRef/>
      </w:r>
      <w:r>
        <w:t xml:space="preserve"> Committee against Torture, </w:t>
      </w:r>
      <w:r>
        <w:rPr>
          <w:i/>
          <w:iCs/>
        </w:rPr>
        <w:t>Concluding Observations on the sixth periodic report of the Russian Federation</w:t>
      </w:r>
      <w:r>
        <w:t>, UN Doc. No. CAT/C/RUS/CO/6, 28 Aug. 2018, ¶ 32.</w:t>
      </w:r>
    </w:p>
  </w:footnote>
  <w:footnote w:id="2">
    <w:p w14:paraId="7187231E" w14:textId="3B1734A3" w:rsidR="00472252" w:rsidRDefault="00472252">
      <w:pPr>
        <w:pStyle w:val="FootnoteText"/>
      </w:pPr>
      <w:r>
        <w:rPr>
          <w:rStyle w:val="FootnoteReference"/>
        </w:rPr>
        <w:footnoteRef/>
      </w:r>
      <w:r>
        <w:t xml:space="preserve"> Id. ¶ </w:t>
      </w:r>
      <w:r w:rsidR="0084162C">
        <w:t xml:space="preserve">33(a), (c). </w:t>
      </w:r>
    </w:p>
  </w:footnote>
  <w:footnote w:id="3">
    <w:p w14:paraId="6715F99B" w14:textId="1E41B3AA" w:rsidR="004F7895" w:rsidRDefault="004F7895">
      <w:pPr>
        <w:pStyle w:val="FootnoteText"/>
      </w:pPr>
      <w:r>
        <w:rPr>
          <w:rStyle w:val="FootnoteReference"/>
        </w:rPr>
        <w:footnoteRef/>
      </w:r>
      <w:r>
        <w:t xml:space="preserve"> Id. ¶ </w:t>
      </w:r>
      <w:r w:rsidR="001A7DA1">
        <w:t>39(a).</w:t>
      </w:r>
    </w:p>
  </w:footnote>
  <w:footnote w:id="4">
    <w:p w14:paraId="3994C072" w14:textId="5AC913A0" w:rsidR="00AC18C1" w:rsidRDefault="00AC18C1">
      <w:pPr>
        <w:pStyle w:val="FootnoteText"/>
      </w:pPr>
      <w:r>
        <w:rPr>
          <w:rStyle w:val="FootnoteReference"/>
        </w:rPr>
        <w:footnoteRef/>
      </w:r>
      <w:r>
        <w:t xml:space="preserve"> </w:t>
      </w:r>
      <w:r w:rsidR="00610553">
        <w:t>Daniil Zhaivoronok &amp; Kseniya Kamarina,</w:t>
      </w:r>
      <w:r w:rsidR="00641530">
        <w:t xml:space="preserve"> Russian LGBT Network,</w:t>
      </w:r>
      <w:r w:rsidR="00610553">
        <w:t xml:space="preserve"> </w:t>
      </w:r>
      <w:r w:rsidR="009B32D8">
        <w:t>Report: Quantitative data monitoring discrimination against LGBTI+ People (2020)</w:t>
      </w:r>
      <w:r w:rsidR="00641530">
        <w:t xml:space="preserve">, fig. 6, available at </w:t>
      </w:r>
      <w:r w:rsidR="00641530" w:rsidRPr="00641530">
        <w:t>https://lgbtnet.org/upload/iblock/c29/kolichestvennoe_issledovanie._monitoring_2019_0.pdf</w:t>
      </w:r>
      <w:r w:rsidR="00843248">
        <w:t>.</w:t>
      </w:r>
    </w:p>
  </w:footnote>
  <w:footnote w:id="5">
    <w:p w14:paraId="27FC9B1A" w14:textId="6C50629C" w:rsidR="00914F58" w:rsidRDefault="00914F58">
      <w:pPr>
        <w:pStyle w:val="FootnoteText"/>
      </w:pPr>
      <w:r>
        <w:rPr>
          <w:rStyle w:val="FootnoteReference"/>
        </w:rPr>
        <w:footnoteRef/>
      </w:r>
      <w:r>
        <w:t xml:space="preserve"> Correspondence with The Advocates for Human Rights, </w:t>
      </w:r>
      <w:r w:rsidR="003D32FF">
        <w:t xml:space="preserve">25 Jan. 2021, </w:t>
      </w:r>
      <w:r>
        <w:t xml:space="preserve">email on file with </w:t>
      </w:r>
      <w:r w:rsidR="003D32FF">
        <w:t>The Advocates for Human Rights.</w:t>
      </w:r>
    </w:p>
  </w:footnote>
  <w:footnote w:id="6">
    <w:p w14:paraId="5F6CB180" w14:textId="48315A90" w:rsidR="003D32FF" w:rsidRDefault="003D32FF">
      <w:pPr>
        <w:pStyle w:val="FootnoteText"/>
      </w:pPr>
      <w:r>
        <w:rPr>
          <w:rStyle w:val="FootnoteReference"/>
        </w:rPr>
        <w:footnoteRef/>
      </w:r>
      <w:r>
        <w:t xml:space="preserve"> Ibid.</w:t>
      </w:r>
    </w:p>
  </w:footnote>
  <w:footnote w:id="7">
    <w:p w14:paraId="6A08C387" w14:textId="350FB3C7" w:rsidR="003D32FF" w:rsidRDefault="003D32FF">
      <w:pPr>
        <w:pStyle w:val="FootnoteText"/>
      </w:pPr>
      <w:r>
        <w:rPr>
          <w:rStyle w:val="FootnoteReference"/>
        </w:rPr>
        <w:footnoteRef/>
      </w:r>
      <w:r>
        <w:t xml:space="preserve"> Ibid.</w:t>
      </w:r>
    </w:p>
  </w:footnote>
  <w:footnote w:id="8">
    <w:p w14:paraId="79657AB0" w14:textId="719437E0" w:rsidR="00450068" w:rsidRPr="00450068" w:rsidRDefault="00450068">
      <w:pPr>
        <w:pStyle w:val="FootnoteText"/>
      </w:pPr>
      <w:r>
        <w:rPr>
          <w:rStyle w:val="FootnoteReference"/>
        </w:rPr>
        <w:footnoteRef/>
      </w:r>
      <w:r>
        <w:t xml:space="preserve"> Nicola Habersetzer, </w:t>
      </w:r>
      <w:r>
        <w:rPr>
          <w:i/>
          <w:iCs/>
        </w:rPr>
        <w:t>Russian Trans Woman Sentenced to Three Years in Men’s Prison on Bogus Pornography Charges</w:t>
      </w:r>
      <w:r>
        <w:t xml:space="preserve">, Human Rights Watch, 6 Dec. 2019, </w:t>
      </w:r>
      <w:r w:rsidR="00C26200" w:rsidRPr="00C26200">
        <w:t>https://www.hrw.org/news/2019/12/06/russian-trans-woman-sentenced-three-years-mens-prison-bogus-pornography-charges#</w:t>
      </w:r>
      <w:r w:rsidR="00C26200">
        <w:t>.</w:t>
      </w:r>
    </w:p>
  </w:footnote>
  <w:footnote w:id="9">
    <w:p w14:paraId="0B45269A" w14:textId="70B761B0" w:rsidR="002371AF" w:rsidRDefault="002371AF">
      <w:pPr>
        <w:pStyle w:val="FootnoteText"/>
      </w:pPr>
      <w:r>
        <w:rPr>
          <w:rStyle w:val="FootnoteReference"/>
        </w:rPr>
        <w:footnoteRef/>
      </w:r>
      <w:r>
        <w:t xml:space="preserve"> Ibid. </w:t>
      </w:r>
    </w:p>
  </w:footnote>
  <w:footnote w:id="10">
    <w:p w14:paraId="74FF1842" w14:textId="193FA034" w:rsidR="00AE7D41" w:rsidRPr="00AE7D41" w:rsidRDefault="00AE7D41">
      <w:pPr>
        <w:pStyle w:val="FootnoteText"/>
      </w:pPr>
      <w:r>
        <w:rPr>
          <w:rStyle w:val="FootnoteReference"/>
        </w:rPr>
        <w:footnoteRef/>
      </w:r>
      <w:r>
        <w:t xml:space="preserve"> Alexandra Odynova, </w:t>
      </w:r>
      <w:r>
        <w:rPr>
          <w:i/>
          <w:iCs/>
        </w:rPr>
        <w:t>Russia court overturns transgender woman’s child “pornography” conviction</w:t>
      </w:r>
      <w:r>
        <w:t xml:space="preserve">, CBS News, Jan. 23, 2020, </w:t>
      </w:r>
      <w:r w:rsidR="008D2483" w:rsidRPr="008D2483">
        <w:t>https://www.cbsnews.com/news/russia-court-overturns-transgender-woman-child-pornography-conviction-orders-retrial-today-2020-01-23/</w:t>
      </w:r>
      <w:r w:rsidR="008D2483">
        <w:t>.</w:t>
      </w:r>
    </w:p>
  </w:footnote>
  <w:footnote w:id="11">
    <w:p w14:paraId="2F3F198C" w14:textId="77777777" w:rsidR="003C0F72" w:rsidRPr="00B72A2D" w:rsidRDefault="003C0F72" w:rsidP="003C0F72">
      <w:pPr>
        <w:pStyle w:val="FootnoteText"/>
      </w:pPr>
      <w:r>
        <w:rPr>
          <w:rStyle w:val="FootnoteReference"/>
        </w:rPr>
        <w:footnoteRef/>
      </w:r>
      <w:r>
        <w:t xml:space="preserve"> Committee against Torture, </w:t>
      </w:r>
      <w:r>
        <w:rPr>
          <w:i/>
          <w:iCs/>
        </w:rPr>
        <w:t>Concluding Observations on the sixth periodic report of the Russian Federation</w:t>
      </w:r>
      <w:r>
        <w:t>, UN Doc. No. CAT/C/RUS/CO/6, 28 Aug. 2018, ¶ 10.</w:t>
      </w:r>
    </w:p>
  </w:footnote>
  <w:footnote w:id="12">
    <w:p w14:paraId="22C3EB33" w14:textId="77777777" w:rsidR="003C0F72" w:rsidRDefault="003C0F72" w:rsidP="003C0F72">
      <w:pPr>
        <w:pStyle w:val="FootnoteText"/>
      </w:pPr>
      <w:r>
        <w:rPr>
          <w:rStyle w:val="FootnoteReference"/>
        </w:rPr>
        <w:footnoteRef/>
      </w:r>
      <w:r>
        <w:t xml:space="preserve"> Id. ¶ 11(a).</w:t>
      </w:r>
    </w:p>
  </w:footnote>
  <w:footnote w:id="13">
    <w:p w14:paraId="6944A1BF" w14:textId="722C5570" w:rsidR="005A5B05" w:rsidRDefault="005A5B05">
      <w:pPr>
        <w:pStyle w:val="FootnoteText"/>
      </w:pPr>
      <w:r>
        <w:rPr>
          <w:rStyle w:val="FootnoteReference"/>
        </w:rPr>
        <w:footnoteRef/>
      </w:r>
      <w:r>
        <w:t xml:space="preserve"> Id. ¶ 26.</w:t>
      </w:r>
    </w:p>
  </w:footnote>
  <w:footnote w:id="14">
    <w:p w14:paraId="266A71AC" w14:textId="28D37084" w:rsidR="00421AAE" w:rsidRDefault="00421AAE">
      <w:pPr>
        <w:pStyle w:val="FootnoteText"/>
      </w:pPr>
      <w:r>
        <w:rPr>
          <w:rStyle w:val="FootnoteReference"/>
        </w:rPr>
        <w:footnoteRef/>
      </w:r>
      <w:r>
        <w:t xml:space="preserve"> Id. ¶ 27.</w:t>
      </w:r>
    </w:p>
  </w:footnote>
  <w:footnote w:id="15">
    <w:p w14:paraId="05EDE399" w14:textId="66FDB596" w:rsidR="007C4ACC" w:rsidRPr="007C4ACC" w:rsidRDefault="007C4ACC">
      <w:pPr>
        <w:pStyle w:val="FootnoteText"/>
      </w:pPr>
      <w:r>
        <w:rPr>
          <w:rStyle w:val="FootnoteReference"/>
        </w:rPr>
        <w:footnoteRef/>
      </w:r>
      <w:r>
        <w:t xml:space="preserve"> Ed Holt, </w:t>
      </w:r>
      <w:r>
        <w:rPr>
          <w:i/>
          <w:iCs/>
        </w:rPr>
        <w:t>Ensuring Russia’s Sex Workers’ Rights Essential for Wider Gender Equality</w:t>
      </w:r>
      <w:r>
        <w:t xml:space="preserve">, Inter Press Service News Agency, </w:t>
      </w:r>
      <w:r w:rsidR="00104AE1">
        <w:t xml:space="preserve">27 Apr. 2020, available at </w:t>
      </w:r>
      <w:r w:rsidR="00104AE1" w:rsidRPr="00104AE1">
        <w:t>http://www.ipsnews.net/2020/04/ensuring-russias-sex-workers-rights-essential-wider-gender-equality/</w:t>
      </w:r>
      <w:r w:rsidR="00104AE1">
        <w:t>.</w:t>
      </w:r>
    </w:p>
  </w:footnote>
  <w:footnote w:id="16">
    <w:p w14:paraId="13A51C47" w14:textId="30DE65ED" w:rsidR="00E2324B" w:rsidRPr="00592B36" w:rsidRDefault="00E2324B">
      <w:pPr>
        <w:pStyle w:val="FootnoteText"/>
      </w:pPr>
      <w:r>
        <w:rPr>
          <w:rStyle w:val="FootnoteReference"/>
        </w:rPr>
        <w:footnoteRef/>
      </w:r>
      <w:r>
        <w:t xml:space="preserve"> </w:t>
      </w:r>
      <w:r w:rsidR="00592B36">
        <w:t xml:space="preserve">Nina Nazarova, </w:t>
      </w:r>
      <w:r w:rsidR="00592B36">
        <w:rPr>
          <w:i/>
          <w:iCs/>
        </w:rPr>
        <w:t>S det’mi i bez vrednykh privychek. Kak v Rossii zhivut seks-rabotnitsy i kto im pomogaet</w:t>
      </w:r>
      <w:r w:rsidR="00592B36">
        <w:t>, BBC</w:t>
      </w:r>
      <w:r w:rsidR="00856B2C">
        <w:t xml:space="preserve">, 8 Feb. 2019, available at </w:t>
      </w:r>
      <w:r w:rsidR="00856B2C" w:rsidRPr="00856B2C">
        <w:t>https://www.bbc.com/russian/features-47164892</w:t>
      </w:r>
      <w:r w:rsidR="00856B2C">
        <w:t xml:space="preserve">. </w:t>
      </w:r>
    </w:p>
  </w:footnote>
  <w:footnote w:id="17">
    <w:p w14:paraId="1A77115B" w14:textId="77777777" w:rsidR="00C112E2" w:rsidRDefault="00C112E2" w:rsidP="00C112E2">
      <w:pPr>
        <w:pStyle w:val="FootnoteText"/>
      </w:pPr>
      <w:r>
        <w:rPr>
          <w:rStyle w:val="FootnoteReference"/>
        </w:rPr>
        <w:footnoteRef/>
      </w:r>
      <w:r>
        <w:t xml:space="preserve"> Correspondence with The Advocates for Human Rights, 25 Jan. 2021, email on file with The Advocates for Human Rights.</w:t>
      </w:r>
    </w:p>
  </w:footnote>
  <w:footnote w:id="18">
    <w:p w14:paraId="185A30E0" w14:textId="3C8CA973" w:rsidR="00C112E2" w:rsidRDefault="00C112E2">
      <w:pPr>
        <w:pStyle w:val="FootnoteText"/>
      </w:pPr>
      <w:r>
        <w:rPr>
          <w:rStyle w:val="FootnoteReference"/>
        </w:rPr>
        <w:footnoteRef/>
      </w:r>
      <w:r>
        <w:t xml:space="preserve"> Ibid.</w:t>
      </w:r>
    </w:p>
  </w:footnote>
  <w:footnote w:id="19">
    <w:p w14:paraId="50657C2F" w14:textId="5AF8E3E9" w:rsidR="00843248" w:rsidRDefault="00843248">
      <w:pPr>
        <w:pStyle w:val="FootnoteText"/>
      </w:pPr>
      <w:r>
        <w:rPr>
          <w:rStyle w:val="FootnoteReference"/>
        </w:rPr>
        <w:footnoteRef/>
      </w:r>
      <w:r>
        <w:t xml:space="preserve"> Daniil Zhaivoronok &amp; Kseniya Kamarina, Russian LGBT Network, Report: Quantitative data monitoring discrimination against LGBTI+ People (2020), table 4, available at </w:t>
      </w:r>
      <w:r w:rsidRPr="00641530">
        <w:t>https://lgbtnet.org/upload/iblock/c29/kolichestvennoe_issledovanie._monitoring_2019_0.pdf</w:t>
      </w:r>
      <w:r>
        <w:t>.</w:t>
      </w:r>
    </w:p>
  </w:footnote>
  <w:footnote w:id="20">
    <w:p w14:paraId="30F62F21" w14:textId="1D285A4D" w:rsidR="0073647B" w:rsidRDefault="0073647B">
      <w:pPr>
        <w:pStyle w:val="FootnoteText"/>
      </w:pPr>
      <w:r>
        <w:rPr>
          <w:rStyle w:val="FootnoteReference"/>
        </w:rPr>
        <w:footnoteRef/>
      </w:r>
      <w:r>
        <w:t xml:space="preserve"> I</w:t>
      </w:r>
      <w:r w:rsidR="006E569A">
        <w:t>bid.</w:t>
      </w:r>
    </w:p>
  </w:footnote>
  <w:footnote w:id="21">
    <w:p w14:paraId="4F020478" w14:textId="7C238C55" w:rsidR="00B706F7" w:rsidRDefault="00B706F7">
      <w:pPr>
        <w:pStyle w:val="FootnoteText"/>
      </w:pPr>
      <w:r>
        <w:rPr>
          <w:rStyle w:val="FootnoteReference"/>
        </w:rPr>
        <w:footnoteRef/>
      </w:r>
      <w:r>
        <w:t xml:space="preserve"> Id., fig. 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EB9C4" w14:textId="77777777" w:rsidR="00804604" w:rsidRDefault="00804604" w:rsidP="00C26130">
    <w:pPr>
      <w:pStyle w:val="Header"/>
      <w:tabs>
        <w:tab w:val="left" w:pos="270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4A61E" w14:textId="34F5DE6D" w:rsidR="00804604" w:rsidRDefault="0056409D">
    <w:pPr>
      <w:pStyle w:val="Header"/>
    </w:pPr>
    <w:r>
      <w:rPr>
        <w:noProof/>
        <w:lang w:val="en-GB" w:eastAsia="en-GB"/>
      </w:rPr>
      <w:drawing>
        <wp:anchor distT="0" distB="0" distL="114300" distR="114300" simplePos="0" relativeHeight="251657216" behindDoc="1" locked="0" layoutInCell="1" allowOverlap="1" wp14:anchorId="5D6B70F1" wp14:editId="4D5AF1AA">
          <wp:simplePos x="0" y="0"/>
          <wp:positionH relativeFrom="column">
            <wp:posOffset>1829435</wp:posOffset>
          </wp:positionH>
          <wp:positionV relativeFrom="paragraph">
            <wp:posOffset>-84455</wp:posOffset>
          </wp:positionV>
          <wp:extent cx="2308225" cy="884555"/>
          <wp:effectExtent l="0" t="0" r="0" b="0"/>
          <wp:wrapTight wrapText="bothSides">
            <wp:wrapPolygon edited="0">
              <wp:start x="0" y="0"/>
              <wp:lineTo x="0" y="20933"/>
              <wp:lineTo x="21392" y="20933"/>
              <wp:lineTo x="2139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225" cy="884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E5838"/>
    <w:multiLevelType w:val="hybridMultilevel"/>
    <w:tmpl w:val="11FAF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61781"/>
    <w:multiLevelType w:val="hybridMultilevel"/>
    <w:tmpl w:val="73DE869C"/>
    <w:lvl w:ilvl="0" w:tplc="D8CEED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C2376"/>
    <w:multiLevelType w:val="hybridMultilevel"/>
    <w:tmpl w:val="991C3848"/>
    <w:lvl w:ilvl="0" w:tplc="9670D4BC">
      <w:start w:val="1"/>
      <w:numFmt w:val="decimal"/>
      <w:lvlText w:val="%1."/>
      <w:lvlJc w:val="left"/>
      <w:pPr>
        <w:tabs>
          <w:tab w:val="num" w:pos="720"/>
        </w:tabs>
        <w:ind w:left="720" w:hanging="360"/>
      </w:pPr>
      <w:rPr>
        <w:b w:val="0"/>
      </w:rPr>
    </w:lvl>
    <w:lvl w:ilvl="1" w:tplc="109A5DFE">
      <w:start w:val="1"/>
      <w:numFmt w:val="decimal"/>
      <w:lvlText w:val="%2."/>
      <w:lvlJc w:val="left"/>
      <w:pPr>
        <w:tabs>
          <w:tab w:val="num" w:pos="1440"/>
        </w:tabs>
        <w:ind w:left="1440" w:hanging="360"/>
      </w:pPr>
    </w:lvl>
    <w:lvl w:ilvl="2" w:tplc="4A260800">
      <w:start w:val="1"/>
      <w:numFmt w:val="decimal"/>
      <w:lvlText w:val="%3."/>
      <w:lvlJc w:val="left"/>
      <w:pPr>
        <w:tabs>
          <w:tab w:val="num" w:pos="2160"/>
        </w:tabs>
        <w:ind w:left="2160" w:hanging="360"/>
      </w:pPr>
    </w:lvl>
    <w:lvl w:ilvl="3" w:tplc="52223D66">
      <w:start w:val="1"/>
      <w:numFmt w:val="decimal"/>
      <w:lvlText w:val="%4."/>
      <w:lvlJc w:val="left"/>
      <w:pPr>
        <w:tabs>
          <w:tab w:val="num" w:pos="2880"/>
        </w:tabs>
        <w:ind w:left="2880" w:hanging="360"/>
      </w:pPr>
    </w:lvl>
    <w:lvl w:ilvl="4" w:tplc="D0A6172E">
      <w:start w:val="1"/>
      <w:numFmt w:val="decimal"/>
      <w:lvlText w:val="%5."/>
      <w:lvlJc w:val="left"/>
      <w:pPr>
        <w:tabs>
          <w:tab w:val="num" w:pos="3600"/>
        </w:tabs>
        <w:ind w:left="3600" w:hanging="360"/>
      </w:pPr>
    </w:lvl>
    <w:lvl w:ilvl="5" w:tplc="B8564790">
      <w:start w:val="1"/>
      <w:numFmt w:val="decimal"/>
      <w:lvlText w:val="%6."/>
      <w:lvlJc w:val="left"/>
      <w:pPr>
        <w:tabs>
          <w:tab w:val="num" w:pos="4320"/>
        </w:tabs>
        <w:ind w:left="4320" w:hanging="360"/>
      </w:pPr>
    </w:lvl>
    <w:lvl w:ilvl="6" w:tplc="F154A354">
      <w:start w:val="1"/>
      <w:numFmt w:val="decimal"/>
      <w:lvlText w:val="%7."/>
      <w:lvlJc w:val="left"/>
      <w:pPr>
        <w:tabs>
          <w:tab w:val="num" w:pos="5040"/>
        </w:tabs>
        <w:ind w:left="5040" w:hanging="360"/>
      </w:pPr>
    </w:lvl>
    <w:lvl w:ilvl="7" w:tplc="3CC00626">
      <w:start w:val="1"/>
      <w:numFmt w:val="decimal"/>
      <w:lvlText w:val="%8."/>
      <w:lvlJc w:val="left"/>
      <w:pPr>
        <w:tabs>
          <w:tab w:val="num" w:pos="5760"/>
        </w:tabs>
        <w:ind w:left="5760" w:hanging="360"/>
      </w:pPr>
    </w:lvl>
    <w:lvl w:ilvl="8" w:tplc="5008A68C">
      <w:start w:val="1"/>
      <w:numFmt w:val="decimal"/>
      <w:lvlText w:val="%9."/>
      <w:lvlJc w:val="left"/>
      <w:pPr>
        <w:tabs>
          <w:tab w:val="num" w:pos="6480"/>
        </w:tabs>
        <w:ind w:left="6480" w:hanging="360"/>
      </w:pPr>
    </w:lvl>
  </w:abstractNum>
  <w:abstractNum w:abstractNumId="3" w15:restartNumberingAfterBreak="0">
    <w:nsid w:val="1D5153BE"/>
    <w:multiLevelType w:val="hybridMultilevel"/>
    <w:tmpl w:val="208856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073C0"/>
    <w:multiLevelType w:val="hybridMultilevel"/>
    <w:tmpl w:val="BE6A5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A41173"/>
    <w:multiLevelType w:val="hybridMultilevel"/>
    <w:tmpl w:val="55727C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5A46C4"/>
    <w:multiLevelType w:val="hybridMultilevel"/>
    <w:tmpl w:val="467A1396"/>
    <w:lvl w:ilvl="0" w:tplc="228E1F4E">
      <w:start w:val="255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B41C3D"/>
    <w:multiLevelType w:val="hybridMultilevel"/>
    <w:tmpl w:val="087A7B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67D1B3D"/>
    <w:multiLevelType w:val="hybridMultilevel"/>
    <w:tmpl w:val="73DE869C"/>
    <w:lvl w:ilvl="0" w:tplc="D8CEED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1C9"/>
    <w:rsid w:val="00030F59"/>
    <w:rsid w:val="000342B6"/>
    <w:rsid w:val="00034D1E"/>
    <w:rsid w:val="00041E87"/>
    <w:rsid w:val="00045904"/>
    <w:rsid w:val="00046377"/>
    <w:rsid w:val="00056CF5"/>
    <w:rsid w:val="00063B8C"/>
    <w:rsid w:val="000734A4"/>
    <w:rsid w:val="0008238F"/>
    <w:rsid w:val="00085935"/>
    <w:rsid w:val="000910FC"/>
    <w:rsid w:val="0009644E"/>
    <w:rsid w:val="000A1F17"/>
    <w:rsid w:val="000A66B8"/>
    <w:rsid w:val="000B042D"/>
    <w:rsid w:val="000B4DB3"/>
    <w:rsid w:val="000C380B"/>
    <w:rsid w:val="000C6340"/>
    <w:rsid w:val="000E1DDC"/>
    <w:rsid w:val="000E6AD1"/>
    <w:rsid w:val="000F1E67"/>
    <w:rsid w:val="000F3447"/>
    <w:rsid w:val="000F56E0"/>
    <w:rsid w:val="001008D1"/>
    <w:rsid w:val="00104AE1"/>
    <w:rsid w:val="00111994"/>
    <w:rsid w:val="001215B4"/>
    <w:rsid w:val="00135634"/>
    <w:rsid w:val="00136514"/>
    <w:rsid w:val="00143423"/>
    <w:rsid w:val="00145293"/>
    <w:rsid w:val="00147EA4"/>
    <w:rsid w:val="001565F9"/>
    <w:rsid w:val="00160BDA"/>
    <w:rsid w:val="00162A4E"/>
    <w:rsid w:val="00172ACF"/>
    <w:rsid w:val="00181B2A"/>
    <w:rsid w:val="0018642B"/>
    <w:rsid w:val="001A44FC"/>
    <w:rsid w:val="001A59C1"/>
    <w:rsid w:val="001A5ED5"/>
    <w:rsid w:val="001A7AF4"/>
    <w:rsid w:val="001A7DA1"/>
    <w:rsid w:val="001B1AC4"/>
    <w:rsid w:val="001B27D7"/>
    <w:rsid w:val="001B46C2"/>
    <w:rsid w:val="001B5E1E"/>
    <w:rsid w:val="001B799A"/>
    <w:rsid w:val="001C42EB"/>
    <w:rsid w:val="001D4D68"/>
    <w:rsid w:val="00220D48"/>
    <w:rsid w:val="00230A91"/>
    <w:rsid w:val="002317F0"/>
    <w:rsid w:val="0023349E"/>
    <w:rsid w:val="002371AF"/>
    <w:rsid w:val="00237C8C"/>
    <w:rsid w:val="00242F64"/>
    <w:rsid w:val="002439A3"/>
    <w:rsid w:val="00243E14"/>
    <w:rsid w:val="00255789"/>
    <w:rsid w:val="00266AA3"/>
    <w:rsid w:val="00272519"/>
    <w:rsid w:val="002734D9"/>
    <w:rsid w:val="00277642"/>
    <w:rsid w:val="00282223"/>
    <w:rsid w:val="00291BE8"/>
    <w:rsid w:val="002A0797"/>
    <w:rsid w:val="002A4838"/>
    <w:rsid w:val="002C57BC"/>
    <w:rsid w:val="002D36C6"/>
    <w:rsid w:val="002E34EA"/>
    <w:rsid w:val="00315C53"/>
    <w:rsid w:val="00322CB1"/>
    <w:rsid w:val="003255FD"/>
    <w:rsid w:val="003369A6"/>
    <w:rsid w:val="00340484"/>
    <w:rsid w:val="00341196"/>
    <w:rsid w:val="00344140"/>
    <w:rsid w:val="00344556"/>
    <w:rsid w:val="00345B90"/>
    <w:rsid w:val="00346FD8"/>
    <w:rsid w:val="00352014"/>
    <w:rsid w:val="0035378E"/>
    <w:rsid w:val="0035424D"/>
    <w:rsid w:val="00370A5F"/>
    <w:rsid w:val="00390AC3"/>
    <w:rsid w:val="003937C6"/>
    <w:rsid w:val="003A0BC2"/>
    <w:rsid w:val="003A1D3E"/>
    <w:rsid w:val="003A6F6D"/>
    <w:rsid w:val="003C0F72"/>
    <w:rsid w:val="003C1E49"/>
    <w:rsid w:val="003C60FE"/>
    <w:rsid w:val="003D32FF"/>
    <w:rsid w:val="003D592D"/>
    <w:rsid w:val="00415313"/>
    <w:rsid w:val="00417CE5"/>
    <w:rsid w:val="00421AAE"/>
    <w:rsid w:val="00430A63"/>
    <w:rsid w:val="00442D3A"/>
    <w:rsid w:val="004469DD"/>
    <w:rsid w:val="00450068"/>
    <w:rsid w:val="00450118"/>
    <w:rsid w:val="00450405"/>
    <w:rsid w:val="00453314"/>
    <w:rsid w:val="00472252"/>
    <w:rsid w:val="00475955"/>
    <w:rsid w:val="00476CC4"/>
    <w:rsid w:val="004866AE"/>
    <w:rsid w:val="004A17D9"/>
    <w:rsid w:val="004A5B01"/>
    <w:rsid w:val="004A7D93"/>
    <w:rsid w:val="004A7FF9"/>
    <w:rsid w:val="004B1E4E"/>
    <w:rsid w:val="004B4CAF"/>
    <w:rsid w:val="004B73AF"/>
    <w:rsid w:val="004D2568"/>
    <w:rsid w:val="004D3EE9"/>
    <w:rsid w:val="004E5AC8"/>
    <w:rsid w:val="004E7176"/>
    <w:rsid w:val="004E783D"/>
    <w:rsid w:val="004F2465"/>
    <w:rsid w:val="004F34E5"/>
    <w:rsid w:val="004F7895"/>
    <w:rsid w:val="00505197"/>
    <w:rsid w:val="005132BB"/>
    <w:rsid w:val="00520E8C"/>
    <w:rsid w:val="00524166"/>
    <w:rsid w:val="00524C18"/>
    <w:rsid w:val="005336C2"/>
    <w:rsid w:val="00534C5B"/>
    <w:rsid w:val="005403E3"/>
    <w:rsid w:val="005544C6"/>
    <w:rsid w:val="0055461C"/>
    <w:rsid w:val="0056409D"/>
    <w:rsid w:val="00571EF6"/>
    <w:rsid w:val="00592B36"/>
    <w:rsid w:val="00596B08"/>
    <w:rsid w:val="0059754B"/>
    <w:rsid w:val="005A26A9"/>
    <w:rsid w:val="005A5B05"/>
    <w:rsid w:val="005B001F"/>
    <w:rsid w:val="005B0C1B"/>
    <w:rsid w:val="005B416F"/>
    <w:rsid w:val="005B598F"/>
    <w:rsid w:val="005C183B"/>
    <w:rsid w:val="005C58B6"/>
    <w:rsid w:val="005C5BF7"/>
    <w:rsid w:val="005D4EE6"/>
    <w:rsid w:val="005D7533"/>
    <w:rsid w:val="005E7880"/>
    <w:rsid w:val="005F2A19"/>
    <w:rsid w:val="005F37C9"/>
    <w:rsid w:val="0060568A"/>
    <w:rsid w:val="00610553"/>
    <w:rsid w:val="0061778F"/>
    <w:rsid w:val="00624A10"/>
    <w:rsid w:val="00626C39"/>
    <w:rsid w:val="00641530"/>
    <w:rsid w:val="00643D7A"/>
    <w:rsid w:val="00646D29"/>
    <w:rsid w:val="0066318F"/>
    <w:rsid w:val="006739E9"/>
    <w:rsid w:val="006927DD"/>
    <w:rsid w:val="006B2C93"/>
    <w:rsid w:val="006B3424"/>
    <w:rsid w:val="006B7B89"/>
    <w:rsid w:val="006C140D"/>
    <w:rsid w:val="006C2A08"/>
    <w:rsid w:val="006D0EBA"/>
    <w:rsid w:val="006D39C4"/>
    <w:rsid w:val="006E22FB"/>
    <w:rsid w:val="006E4EB8"/>
    <w:rsid w:val="006E569A"/>
    <w:rsid w:val="006E7D5B"/>
    <w:rsid w:val="006F582F"/>
    <w:rsid w:val="007143B8"/>
    <w:rsid w:val="00717321"/>
    <w:rsid w:val="00721639"/>
    <w:rsid w:val="007316AA"/>
    <w:rsid w:val="0073647B"/>
    <w:rsid w:val="00741B9C"/>
    <w:rsid w:val="00751C7E"/>
    <w:rsid w:val="00757A1C"/>
    <w:rsid w:val="007637D8"/>
    <w:rsid w:val="00765EBC"/>
    <w:rsid w:val="0077231B"/>
    <w:rsid w:val="00774643"/>
    <w:rsid w:val="007838DE"/>
    <w:rsid w:val="007A7199"/>
    <w:rsid w:val="007B7E0E"/>
    <w:rsid w:val="007C4387"/>
    <w:rsid w:val="007C4ACC"/>
    <w:rsid w:val="007D2FB7"/>
    <w:rsid w:val="007D4CAC"/>
    <w:rsid w:val="007E37F3"/>
    <w:rsid w:val="007E79C4"/>
    <w:rsid w:val="007F23A8"/>
    <w:rsid w:val="00804604"/>
    <w:rsid w:val="0081221D"/>
    <w:rsid w:val="008214B4"/>
    <w:rsid w:val="00826961"/>
    <w:rsid w:val="00830571"/>
    <w:rsid w:val="00836428"/>
    <w:rsid w:val="0084162C"/>
    <w:rsid w:val="00843248"/>
    <w:rsid w:val="00847C78"/>
    <w:rsid w:val="00852B97"/>
    <w:rsid w:val="00856B2C"/>
    <w:rsid w:val="00863B04"/>
    <w:rsid w:val="00870521"/>
    <w:rsid w:val="0087642D"/>
    <w:rsid w:val="008856D7"/>
    <w:rsid w:val="0089523C"/>
    <w:rsid w:val="008B493C"/>
    <w:rsid w:val="008C3B9B"/>
    <w:rsid w:val="008C7B1F"/>
    <w:rsid w:val="008C7B63"/>
    <w:rsid w:val="008D2483"/>
    <w:rsid w:val="008E6084"/>
    <w:rsid w:val="008F0BDD"/>
    <w:rsid w:val="008F20E3"/>
    <w:rsid w:val="008F2F99"/>
    <w:rsid w:val="008F6084"/>
    <w:rsid w:val="009057C8"/>
    <w:rsid w:val="009073A3"/>
    <w:rsid w:val="00914F58"/>
    <w:rsid w:val="00926CA1"/>
    <w:rsid w:val="0093193B"/>
    <w:rsid w:val="00947170"/>
    <w:rsid w:val="00947B3D"/>
    <w:rsid w:val="00953DA0"/>
    <w:rsid w:val="00956E94"/>
    <w:rsid w:val="009627A1"/>
    <w:rsid w:val="009712FE"/>
    <w:rsid w:val="00974E48"/>
    <w:rsid w:val="009875AD"/>
    <w:rsid w:val="009924AF"/>
    <w:rsid w:val="00996A22"/>
    <w:rsid w:val="009A7F71"/>
    <w:rsid w:val="009B32D8"/>
    <w:rsid w:val="009B4B66"/>
    <w:rsid w:val="009B51D7"/>
    <w:rsid w:val="009D3BEA"/>
    <w:rsid w:val="009D5161"/>
    <w:rsid w:val="009E4D16"/>
    <w:rsid w:val="009F12E2"/>
    <w:rsid w:val="009F3358"/>
    <w:rsid w:val="009F478B"/>
    <w:rsid w:val="009F69C1"/>
    <w:rsid w:val="00A22916"/>
    <w:rsid w:val="00A32F3D"/>
    <w:rsid w:val="00A40EE1"/>
    <w:rsid w:val="00A423ED"/>
    <w:rsid w:val="00A536F3"/>
    <w:rsid w:val="00A575F9"/>
    <w:rsid w:val="00A91D08"/>
    <w:rsid w:val="00A9475E"/>
    <w:rsid w:val="00AA281D"/>
    <w:rsid w:val="00AA6318"/>
    <w:rsid w:val="00AA7FCB"/>
    <w:rsid w:val="00AB59AE"/>
    <w:rsid w:val="00AB5BD9"/>
    <w:rsid w:val="00AC18C1"/>
    <w:rsid w:val="00AD0AA1"/>
    <w:rsid w:val="00AD6EA9"/>
    <w:rsid w:val="00AE07A3"/>
    <w:rsid w:val="00AE372A"/>
    <w:rsid w:val="00AE7D41"/>
    <w:rsid w:val="00AF40F9"/>
    <w:rsid w:val="00B07034"/>
    <w:rsid w:val="00B275A9"/>
    <w:rsid w:val="00B327F9"/>
    <w:rsid w:val="00B40DBF"/>
    <w:rsid w:val="00B44231"/>
    <w:rsid w:val="00B457C4"/>
    <w:rsid w:val="00B54060"/>
    <w:rsid w:val="00B706F7"/>
    <w:rsid w:val="00B71178"/>
    <w:rsid w:val="00B72A2D"/>
    <w:rsid w:val="00B72B5D"/>
    <w:rsid w:val="00B82C2D"/>
    <w:rsid w:val="00B8317B"/>
    <w:rsid w:val="00B84E4D"/>
    <w:rsid w:val="00B85693"/>
    <w:rsid w:val="00B914A2"/>
    <w:rsid w:val="00B9541E"/>
    <w:rsid w:val="00BA4CDE"/>
    <w:rsid w:val="00BB0488"/>
    <w:rsid w:val="00BB3ED5"/>
    <w:rsid w:val="00BB4AB9"/>
    <w:rsid w:val="00BC07C0"/>
    <w:rsid w:val="00BD1A89"/>
    <w:rsid w:val="00BD3CFF"/>
    <w:rsid w:val="00BE59BD"/>
    <w:rsid w:val="00BE7278"/>
    <w:rsid w:val="00C0174A"/>
    <w:rsid w:val="00C02804"/>
    <w:rsid w:val="00C058BC"/>
    <w:rsid w:val="00C05D9B"/>
    <w:rsid w:val="00C07C40"/>
    <w:rsid w:val="00C112E2"/>
    <w:rsid w:val="00C26130"/>
    <w:rsid w:val="00C26200"/>
    <w:rsid w:val="00C315B6"/>
    <w:rsid w:val="00C376F3"/>
    <w:rsid w:val="00C4132F"/>
    <w:rsid w:val="00C42ADA"/>
    <w:rsid w:val="00C463D2"/>
    <w:rsid w:val="00C62A44"/>
    <w:rsid w:val="00C75F57"/>
    <w:rsid w:val="00C80A39"/>
    <w:rsid w:val="00C81936"/>
    <w:rsid w:val="00C84C4C"/>
    <w:rsid w:val="00CA4C26"/>
    <w:rsid w:val="00CA73D4"/>
    <w:rsid w:val="00CA7D78"/>
    <w:rsid w:val="00CB5582"/>
    <w:rsid w:val="00CB631F"/>
    <w:rsid w:val="00CC5314"/>
    <w:rsid w:val="00CC65F5"/>
    <w:rsid w:val="00D0019C"/>
    <w:rsid w:val="00D17F80"/>
    <w:rsid w:val="00D2120A"/>
    <w:rsid w:val="00D22D12"/>
    <w:rsid w:val="00D25C36"/>
    <w:rsid w:val="00D3182B"/>
    <w:rsid w:val="00D45D5A"/>
    <w:rsid w:val="00D52AD6"/>
    <w:rsid w:val="00D64A78"/>
    <w:rsid w:val="00D73432"/>
    <w:rsid w:val="00D861C1"/>
    <w:rsid w:val="00D86901"/>
    <w:rsid w:val="00D92835"/>
    <w:rsid w:val="00D94424"/>
    <w:rsid w:val="00DA6DB6"/>
    <w:rsid w:val="00DB5C91"/>
    <w:rsid w:val="00DB6C3F"/>
    <w:rsid w:val="00DB78EB"/>
    <w:rsid w:val="00DC0C45"/>
    <w:rsid w:val="00DC41C9"/>
    <w:rsid w:val="00DC4790"/>
    <w:rsid w:val="00DC5473"/>
    <w:rsid w:val="00DD2F76"/>
    <w:rsid w:val="00DE6FE8"/>
    <w:rsid w:val="00E00721"/>
    <w:rsid w:val="00E114C5"/>
    <w:rsid w:val="00E139CA"/>
    <w:rsid w:val="00E13D93"/>
    <w:rsid w:val="00E14257"/>
    <w:rsid w:val="00E15266"/>
    <w:rsid w:val="00E162F5"/>
    <w:rsid w:val="00E2324B"/>
    <w:rsid w:val="00E3230E"/>
    <w:rsid w:val="00E35775"/>
    <w:rsid w:val="00E37BF1"/>
    <w:rsid w:val="00E420B4"/>
    <w:rsid w:val="00E63AA4"/>
    <w:rsid w:val="00E7111A"/>
    <w:rsid w:val="00E826D1"/>
    <w:rsid w:val="00E95CF7"/>
    <w:rsid w:val="00EA0EEB"/>
    <w:rsid w:val="00EA431C"/>
    <w:rsid w:val="00EB4658"/>
    <w:rsid w:val="00ED2DCC"/>
    <w:rsid w:val="00EE77DA"/>
    <w:rsid w:val="00EF2BE5"/>
    <w:rsid w:val="00F042FA"/>
    <w:rsid w:val="00F04865"/>
    <w:rsid w:val="00F1127E"/>
    <w:rsid w:val="00F22813"/>
    <w:rsid w:val="00F2442A"/>
    <w:rsid w:val="00F51AFD"/>
    <w:rsid w:val="00F612FF"/>
    <w:rsid w:val="00F63754"/>
    <w:rsid w:val="00F6493F"/>
    <w:rsid w:val="00F75663"/>
    <w:rsid w:val="00F811E7"/>
    <w:rsid w:val="00F9056C"/>
    <w:rsid w:val="00FA2944"/>
    <w:rsid w:val="00FB4891"/>
    <w:rsid w:val="00FB75CA"/>
    <w:rsid w:val="00FC33A8"/>
    <w:rsid w:val="00FC686F"/>
    <w:rsid w:val="00FC7FBE"/>
    <w:rsid w:val="00FD1654"/>
    <w:rsid w:val="00FE0378"/>
    <w:rsid w:val="00FE2347"/>
    <w:rsid w:val="00FF4F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D94135"/>
  <w15:chartTrackingRefBased/>
  <w15:docId w15:val="{EF630A57-40BE-4F0D-BFC6-20457A0D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1C9"/>
    <w:rPr>
      <w:color w:val="000000"/>
      <w:kern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41C9"/>
    <w:pPr>
      <w:tabs>
        <w:tab w:val="center" w:pos="4320"/>
        <w:tab w:val="right" w:pos="8640"/>
      </w:tabs>
    </w:pPr>
  </w:style>
  <w:style w:type="paragraph" w:styleId="Footer">
    <w:name w:val="footer"/>
    <w:basedOn w:val="Normal"/>
    <w:link w:val="FooterChar"/>
    <w:uiPriority w:val="99"/>
    <w:rsid w:val="00DC41C9"/>
    <w:pPr>
      <w:tabs>
        <w:tab w:val="center" w:pos="4320"/>
        <w:tab w:val="right" w:pos="8640"/>
      </w:tabs>
    </w:pPr>
  </w:style>
  <w:style w:type="paragraph" w:styleId="BodyText">
    <w:name w:val="Body Text"/>
    <w:aliases w:val="bt"/>
    <w:basedOn w:val="Normal"/>
    <w:rsid w:val="004F34E5"/>
    <w:rPr>
      <w:color w:val="auto"/>
      <w:kern w:val="0"/>
      <w:sz w:val="24"/>
    </w:rPr>
  </w:style>
  <w:style w:type="character" w:styleId="Hyperlink">
    <w:name w:val="Hyperlink"/>
    <w:uiPriority w:val="99"/>
    <w:rsid w:val="004F34E5"/>
    <w:rPr>
      <w:color w:val="0000FF"/>
      <w:u w:val="single"/>
    </w:rPr>
  </w:style>
  <w:style w:type="paragraph" w:styleId="BalloonText">
    <w:name w:val="Balloon Text"/>
    <w:basedOn w:val="Normal"/>
    <w:semiHidden/>
    <w:rsid w:val="00136514"/>
    <w:rPr>
      <w:rFonts w:ascii="Tahoma" w:hAnsi="Tahoma" w:cs="Tahoma"/>
      <w:sz w:val="16"/>
      <w:szCs w:val="16"/>
    </w:rPr>
  </w:style>
  <w:style w:type="character" w:customStyle="1" w:styleId="cthomas">
    <w:name w:val="cthomas"/>
    <w:semiHidden/>
    <w:rsid w:val="002E34EA"/>
    <w:rPr>
      <w:rFonts w:ascii="Arial" w:hAnsi="Arial" w:cs="Arial"/>
      <w:color w:val="auto"/>
      <w:sz w:val="20"/>
      <w:szCs w:val="20"/>
    </w:rPr>
  </w:style>
  <w:style w:type="paragraph" w:styleId="NormalWeb">
    <w:name w:val="Normal (Web)"/>
    <w:basedOn w:val="Normal"/>
    <w:rsid w:val="002C57BC"/>
    <w:pPr>
      <w:spacing w:before="100" w:beforeAutospacing="1" w:after="100" w:afterAutospacing="1"/>
    </w:pPr>
    <w:rPr>
      <w:color w:val="auto"/>
      <w:kern w:val="0"/>
      <w:sz w:val="24"/>
      <w:szCs w:val="24"/>
    </w:rPr>
  </w:style>
  <w:style w:type="character" w:customStyle="1" w:styleId="apple-converted-space">
    <w:name w:val="apple-converted-space"/>
    <w:basedOn w:val="DefaultParagraphFont"/>
    <w:rsid w:val="002C57BC"/>
  </w:style>
  <w:style w:type="character" w:styleId="Strong">
    <w:name w:val="Strong"/>
    <w:qFormat/>
    <w:rsid w:val="002C57BC"/>
    <w:rPr>
      <w:b/>
      <w:bCs/>
    </w:rPr>
  </w:style>
  <w:style w:type="character" w:styleId="Emphasis">
    <w:name w:val="Emphasis"/>
    <w:uiPriority w:val="20"/>
    <w:qFormat/>
    <w:rsid w:val="002C57BC"/>
    <w:rPr>
      <w:i/>
      <w:iCs/>
    </w:rPr>
  </w:style>
  <w:style w:type="paragraph" w:styleId="BodyText2">
    <w:name w:val="Body Text 2"/>
    <w:basedOn w:val="Normal"/>
    <w:rsid w:val="007143B8"/>
    <w:pPr>
      <w:spacing w:after="120" w:line="480" w:lineRule="auto"/>
    </w:pPr>
  </w:style>
  <w:style w:type="paragraph" w:styleId="ListParagraph">
    <w:name w:val="List Paragraph"/>
    <w:basedOn w:val="Normal"/>
    <w:uiPriority w:val="99"/>
    <w:qFormat/>
    <w:rsid w:val="004D3EE9"/>
    <w:pPr>
      <w:spacing w:after="200" w:line="276" w:lineRule="auto"/>
      <w:ind w:left="720"/>
      <w:contextualSpacing/>
    </w:pPr>
    <w:rPr>
      <w:rFonts w:ascii="Calibri" w:eastAsia="Calibri" w:hAnsi="Calibri"/>
      <w:color w:val="auto"/>
      <w:kern w:val="0"/>
      <w:sz w:val="22"/>
      <w:szCs w:val="22"/>
    </w:rPr>
  </w:style>
  <w:style w:type="character" w:customStyle="1" w:styleId="FooterChar">
    <w:name w:val="Footer Char"/>
    <w:link w:val="Footer"/>
    <w:uiPriority w:val="99"/>
    <w:rsid w:val="004B1E4E"/>
    <w:rPr>
      <w:color w:val="000000"/>
      <w:kern w:val="28"/>
    </w:rPr>
  </w:style>
  <w:style w:type="paragraph" w:styleId="FootnoteText">
    <w:name w:val="footnote text"/>
    <w:basedOn w:val="Normal"/>
    <w:link w:val="FootnoteTextChar"/>
    <w:rsid w:val="00D17F80"/>
  </w:style>
  <w:style w:type="character" w:customStyle="1" w:styleId="FootnoteTextChar">
    <w:name w:val="Footnote Text Char"/>
    <w:link w:val="FootnoteText"/>
    <w:rsid w:val="00D17F80"/>
    <w:rPr>
      <w:color w:val="000000"/>
      <w:kern w:val="28"/>
    </w:rPr>
  </w:style>
  <w:style w:type="character" w:styleId="FootnoteReference">
    <w:name w:val="footnote reference"/>
    <w:rsid w:val="00D17F80"/>
    <w:rPr>
      <w:vertAlign w:val="superscript"/>
    </w:rPr>
  </w:style>
  <w:style w:type="character" w:styleId="CommentReference">
    <w:name w:val="annotation reference"/>
    <w:rsid w:val="00596B08"/>
    <w:rPr>
      <w:sz w:val="16"/>
      <w:szCs w:val="16"/>
    </w:rPr>
  </w:style>
  <w:style w:type="paragraph" w:styleId="CommentText">
    <w:name w:val="annotation text"/>
    <w:basedOn w:val="Normal"/>
    <w:link w:val="CommentTextChar"/>
    <w:rsid w:val="00596B08"/>
  </w:style>
  <w:style w:type="character" w:customStyle="1" w:styleId="CommentTextChar">
    <w:name w:val="Comment Text Char"/>
    <w:link w:val="CommentText"/>
    <w:rsid w:val="00596B08"/>
    <w:rPr>
      <w:color w:val="000000"/>
      <w:kern w:val="28"/>
    </w:rPr>
  </w:style>
  <w:style w:type="paragraph" w:styleId="CommentSubject">
    <w:name w:val="annotation subject"/>
    <w:basedOn w:val="CommentText"/>
    <w:next w:val="CommentText"/>
    <w:link w:val="CommentSubjectChar"/>
    <w:rsid w:val="00596B08"/>
    <w:rPr>
      <w:b/>
      <w:bCs/>
    </w:rPr>
  </w:style>
  <w:style w:type="character" w:customStyle="1" w:styleId="CommentSubjectChar">
    <w:name w:val="Comment Subject Char"/>
    <w:link w:val="CommentSubject"/>
    <w:rsid w:val="00596B08"/>
    <w:rPr>
      <w:b/>
      <w:bCs/>
      <w:color w:val="000000"/>
      <w:kern w:val="28"/>
    </w:rPr>
  </w:style>
  <w:style w:type="character" w:customStyle="1" w:styleId="UnresolvedMention">
    <w:name w:val="Unresolved Mention"/>
    <w:basedOn w:val="DefaultParagraphFont"/>
    <w:uiPriority w:val="99"/>
    <w:semiHidden/>
    <w:unhideWhenUsed/>
    <w:rsid w:val="00856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504726">
      <w:bodyDiv w:val="1"/>
      <w:marLeft w:val="0"/>
      <w:marRight w:val="0"/>
      <w:marTop w:val="0"/>
      <w:marBottom w:val="0"/>
      <w:divBdr>
        <w:top w:val="none" w:sz="0" w:space="0" w:color="auto"/>
        <w:left w:val="none" w:sz="0" w:space="0" w:color="auto"/>
        <w:bottom w:val="none" w:sz="0" w:space="0" w:color="auto"/>
        <w:right w:val="none" w:sz="0" w:space="0" w:color="auto"/>
      </w:divBdr>
    </w:div>
    <w:div w:id="1312754747">
      <w:bodyDiv w:val="1"/>
      <w:marLeft w:val="0"/>
      <w:marRight w:val="0"/>
      <w:marTop w:val="0"/>
      <w:marBottom w:val="0"/>
      <w:divBdr>
        <w:top w:val="none" w:sz="0" w:space="0" w:color="auto"/>
        <w:left w:val="none" w:sz="0" w:space="0" w:color="auto"/>
        <w:bottom w:val="none" w:sz="0" w:space="0" w:color="auto"/>
        <w:right w:val="none" w:sz="0" w:space="0" w:color="auto"/>
      </w:divBdr>
    </w:div>
    <w:div w:id="1624798998">
      <w:bodyDiv w:val="1"/>
      <w:marLeft w:val="0"/>
      <w:marRight w:val="0"/>
      <w:marTop w:val="0"/>
      <w:marBottom w:val="0"/>
      <w:divBdr>
        <w:top w:val="none" w:sz="0" w:space="0" w:color="auto"/>
        <w:left w:val="none" w:sz="0" w:space="0" w:color="auto"/>
        <w:bottom w:val="none" w:sz="0" w:space="0" w:color="auto"/>
        <w:right w:val="none" w:sz="0" w:space="0" w:color="auto"/>
      </w:divBdr>
    </w:div>
    <w:div w:id="19274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D947CCDB8AC94983EB05E0C9A30A06" ma:contentTypeVersion="0" ma:contentTypeDescription="Create a new document." ma:contentTypeScope="" ma:versionID="441850fd795aa32ff01c675ec6550cc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2F4E0-9F43-4B18-A775-3CF103CF272D}"/>
</file>

<file path=customXml/itemProps2.xml><?xml version="1.0" encoding="utf-8"?>
<ds:datastoreItem xmlns:ds="http://schemas.openxmlformats.org/officeDocument/2006/customXml" ds:itemID="{25B9741F-FFB8-4DB5-9FBE-D0F6AF415118}">
  <ds:schemaRefs>
    <ds:schemaRef ds:uri="e968d4b9-9f0d-4b6f-81c6-222446f6098e"/>
    <ds:schemaRef ds:uri="http://purl.org/dc/terms/"/>
    <ds:schemaRef ds:uri="http://schemas.openxmlformats.org/package/2006/metadata/core-properties"/>
    <ds:schemaRef ds:uri="http://schemas.microsoft.com/office/2006/documentManagement/types"/>
    <ds:schemaRef ds:uri="42df7cb3-2fea-4ba3-b9bf-21660104d6dd"/>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008FE1F-3AA1-4336-BAA7-BD39AE85E6AC}">
  <ds:schemaRefs>
    <ds:schemaRef ds:uri="http://schemas.microsoft.com/office/2006/metadata/longProperties"/>
  </ds:schemaRefs>
</ds:datastoreItem>
</file>

<file path=customXml/itemProps4.xml><?xml version="1.0" encoding="utf-8"?>
<ds:datastoreItem xmlns:ds="http://schemas.openxmlformats.org/officeDocument/2006/customXml" ds:itemID="{B956FD59-1F3E-498E-9C77-7CE2896498A0}">
  <ds:schemaRefs>
    <ds:schemaRef ds:uri="http://schemas.microsoft.com/sharepoint/v3/contenttype/forms"/>
  </ds:schemaRefs>
</ds:datastoreItem>
</file>

<file path=customXml/itemProps5.xml><?xml version="1.0" encoding="utf-8"?>
<ds:datastoreItem xmlns:ds="http://schemas.openxmlformats.org/officeDocument/2006/customXml" ds:itemID="{3D6BEEB3-13AC-404D-8AD5-B6F0F0E5A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1393</Words>
  <Characters>8069</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lpstr>
    </vt:vector>
  </TitlesOfParts>
  <Company>Minnesota Advocates for Human Rights</Company>
  <LinksUpToDate>false</LinksUpToDate>
  <CharactersWithSpaces>9444</CharactersWithSpaces>
  <SharedDoc>false</SharedDoc>
  <HLinks>
    <vt:vector size="6" baseType="variant">
      <vt:variant>
        <vt:i4>6160469</vt:i4>
      </vt:variant>
      <vt:variant>
        <vt:i4>0</vt:i4>
      </vt:variant>
      <vt:variant>
        <vt:i4>0</vt:i4>
      </vt:variant>
      <vt:variant>
        <vt:i4>5</vt:i4>
      </vt:variant>
      <vt:variant>
        <vt:lpwstr>https://www.state.gov/wp-content/uploads/2020/03/RUSSIA-2019-HUMAN-RIGHTS-REPORT.pdf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Sarah Herder</dc:creator>
  <cp:keywords/>
  <cp:lastModifiedBy>LEOZ INVERNÓN Javier</cp:lastModifiedBy>
  <cp:revision>2</cp:revision>
  <cp:lastPrinted>2011-09-16T18:52:00Z</cp:lastPrinted>
  <dcterms:created xsi:type="dcterms:W3CDTF">2021-01-26T11:17:00Z</dcterms:created>
  <dcterms:modified xsi:type="dcterms:W3CDTF">2021-01-26T11:17:00Z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189600.000000000</vt:lpwstr>
  </property>
  <property fmtid="{D5CDD505-2E9C-101B-9397-08002B2CF9AE}" pid="4" name="display_urn:schemas-microsoft-com:office:office#Author">
    <vt:lpwstr>BUILTIN\Administrators</vt:lpwstr>
  </property>
  <property fmtid="{D5CDD505-2E9C-101B-9397-08002B2CF9AE}" pid="5" name="display_urn:schemas-microsoft-com:office:office#SharedWithUsers">
    <vt:lpwstr>Amy Bergquist</vt:lpwstr>
  </property>
  <property fmtid="{D5CDD505-2E9C-101B-9397-08002B2CF9AE}" pid="6" name="SharedWithUsers">
    <vt:lpwstr>51;#Amy Bergquist</vt:lpwstr>
  </property>
  <property fmtid="{D5CDD505-2E9C-101B-9397-08002B2CF9AE}" pid="7" name="ContentTypeId">
    <vt:lpwstr>0x01010067D947CCDB8AC94983EB05E0C9A30A06</vt:lpwstr>
  </property>
</Properties>
</file>