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02AA1C" w14:textId="688B27DB" w:rsidR="00531C6E" w:rsidRPr="00BA6ECE" w:rsidRDefault="00425658" w:rsidP="002648E9">
      <w:pPr>
        <w:pStyle w:val="a0"/>
        <w:spacing w:line="276" w:lineRule="auto"/>
        <w:jc w:val="both"/>
        <w:rPr>
          <w:rStyle w:val="a2"/>
          <w:rFonts w:ascii="Times New Roman" w:hAnsi="Times New Roman" w:cs="Times New Roman"/>
          <w:b/>
          <w:bCs/>
          <w:color w:val="000000" w:themeColor="text1"/>
        </w:rPr>
      </w:pPr>
      <w:bookmarkStart w:id="0" w:name="_Hlk59028251"/>
      <w:bookmarkStart w:id="1" w:name="_GoBack"/>
      <w:bookmarkEnd w:id="1"/>
      <w:r w:rsidRPr="00BA6ECE">
        <w:rPr>
          <w:rStyle w:val="a2"/>
          <w:rFonts w:ascii="Times New Roman" w:hAnsi="Times New Roman" w:cs="Times New Roman"/>
          <w:b/>
          <w:bCs/>
          <w:color w:val="000000" w:themeColor="text1"/>
        </w:rPr>
        <w:t>China Human Rights Lawyers Concern Group’s Submission to the UN Committee on Economic, Social and Cultural Rights on Recommendation of the List of Issues to be Considered for China’s Third Periodic Review</w:t>
      </w:r>
    </w:p>
    <w:p w14:paraId="3D84FDBC" w14:textId="77777777" w:rsidR="00790DFF" w:rsidRPr="00342BBD" w:rsidRDefault="00790DFF" w:rsidP="002648E9">
      <w:pPr>
        <w:pStyle w:val="a0"/>
        <w:spacing w:line="276" w:lineRule="auto"/>
        <w:jc w:val="both"/>
        <w:rPr>
          <w:rStyle w:val="a2"/>
          <w:rFonts w:ascii="Times New Roman" w:eastAsia="Times New Roman" w:hAnsi="Times New Roman" w:cs="Times New Roman"/>
          <w:b/>
          <w:bCs/>
          <w:color w:val="000000" w:themeColor="text1"/>
          <w:lang w:val="en-AU"/>
        </w:rPr>
      </w:pPr>
    </w:p>
    <w:p w14:paraId="6D552410" w14:textId="40062270" w:rsidR="00052A07" w:rsidRPr="00BA6ECE" w:rsidRDefault="00052A07" w:rsidP="002648E9">
      <w:pPr>
        <w:pStyle w:val="a0"/>
        <w:spacing w:line="276" w:lineRule="auto"/>
        <w:jc w:val="both"/>
        <w:rPr>
          <w:rStyle w:val="a2"/>
          <w:rFonts w:ascii="Times New Roman" w:hAnsi="Times New Roman" w:cs="Times New Roman"/>
          <w:bCs/>
          <w:color w:val="000000" w:themeColor="text1"/>
        </w:rPr>
      </w:pPr>
      <w:r w:rsidRPr="00BA6ECE">
        <w:rPr>
          <w:rStyle w:val="a2"/>
          <w:rFonts w:ascii="Times New Roman" w:hAnsi="Times New Roman" w:cs="Times New Roman"/>
          <w:bCs/>
          <w:color w:val="000000" w:themeColor="text1"/>
        </w:rPr>
        <w:t>The r</w:t>
      </w:r>
      <w:r w:rsidR="001B7E36" w:rsidRPr="00BA6ECE">
        <w:rPr>
          <w:rStyle w:val="a2"/>
          <w:rFonts w:ascii="Times New Roman" w:hAnsi="Times New Roman" w:cs="Times New Roman"/>
          <w:bCs/>
          <w:color w:val="000000" w:themeColor="text1"/>
        </w:rPr>
        <w:t xml:space="preserve">ole of </w:t>
      </w:r>
      <w:r w:rsidRPr="00BA6ECE">
        <w:rPr>
          <w:rStyle w:val="a2"/>
          <w:rFonts w:ascii="Times New Roman" w:hAnsi="Times New Roman" w:cs="Times New Roman"/>
          <w:bCs/>
          <w:color w:val="000000" w:themeColor="text1"/>
        </w:rPr>
        <w:t xml:space="preserve">a </w:t>
      </w:r>
      <w:r w:rsidR="001B7E36" w:rsidRPr="00BA6ECE">
        <w:rPr>
          <w:rStyle w:val="a2"/>
          <w:rFonts w:ascii="Times New Roman" w:hAnsi="Times New Roman" w:cs="Times New Roman"/>
          <w:bCs/>
          <w:color w:val="000000" w:themeColor="text1"/>
        </w:rPr>
        <w:t xml:space="preserve">judiciary and administration bodies in safeguarding </w:t>
      </w:r>
      <w:r w:rsidRPr="00BA6ECE">
        <w:rPr>
          <w:rStyle w:val="a2"/>
          <w:rFonts w:ascii="Times New Roman" w:hAnsi="Times New Roman" w:cs="Times New Roman"/>
          <w:bCs/>
          <w:color w:val="000000" w:themeColor="text1"/>
        </w:rPr>
        <w:t>Covenant rights is upheld when that judiciary is independent, informed, resourced, non-biased and empowered.</w:t>
      </w:r>
      <w:r w:rsidRPr="00BA6ECE">
        <w:rPr>
          <w:rStyle w:val="a2"/>
          <w:rFonts w:ascii="Times New Roman" w:hAnsi="Times New Roman" w:cs="Times New Roman"/>
          <w:b/>
          <w:bCs/>
          <w:color w:val="000000" w:themeColor="text1"/>
        </w:rPr>
        <w:t xml:space="preserve"> </w:t>
      </w:r>
      <w:r w:rsidRPr="00BA6ECE">
        <w:rPr>
          <w:rStyle w:val="a2"/>
          <w:rFonts w:ascii="Times New Roman" w:hAnsi="Times New Roman" w:cs="Times New Roman"/>
          <w:bCs/>
          <w:color w:val="000000" w:themeColor="text1"/>
        </w:rPr>
        <w:t xml:space="preserve">In order that the Committee can fully assess the ability for Covenant rights to be protected in law and defended in courts, the China Human Rights Lawyers Concern Group has prepared the following questions. </w:t>
      </w:r>
    </w:p>
    <w:p w14:paraId="1E7DE01B" w14:textId="77777777" w:rsidR="00052A07" w:rsidRPr="00BA6ECE" w:rsidRDefault="00052A07" w:rsidP="002648E9">
      <w:pPr>
        <w:pStyle w:val="a0"/>
        <w:spacing w:line="276" w:lineRule="auto"/>
        <w:jc w:val="both"/>
        <w:rPr>
          <w:rStyle w:val="a2"/>
          <w:rFonts w:ascii="Times New Roman" w:hAnsi="Times New Roman" w:cs="Times New Roman"/>
          <w:bCs/>
          <w:color w:val="000000" w:themeColor="text1"/>
        </w:rPr>
      </w:pPr>
    </w:p>
    <w:p w14:paraId="2E3C035C" w14:textId="7FA2AA3C" w:rsidR="00531C6E" w:rsidRPr="00BA6ECE" w:rsidRDefault="001869AE" w:rsidP="002648E9">
      <w:pPr>
        <w:pStyle w:val="a0"/>
        <w:spacing w:line="276" w:lineRule="auto"/>
        <w:jc w:val="both"/>
        <w:rPr>
          <w:rStyle w:val="a2"/>
          <w:rFonts w:ascii="Times New Roman" w:hAnsi="Times New Roman" w:cs="Times New Roman"/>
          <w:b/>
          <w:color w:val="000000" w:themeColor="text1"/>
          <w:lang w:val="en-AU"/>
        </w:rPr>
      </w:pPr>
      <w:r w:rsidRPr="00BA6ECE">
        <w:rPr>
          <w:rStyle w:val="a2"/>
          <w:rFonts w:ascii="Times New Roman" w:hAnsi="Times New Roman" w:cs="Times New Roman"/>
          <w:bCs/>
          <w:color w:val="000000" w:themeColor="text1"/>
        </w:rPr>
        <w:t xml:space="preserve">I. </w:t>
      </w:r>
      <w:r w:rsidR="00052A07" w:rsidRPr="00BA6ECE">
        <w:rPr>
          <w:rStyle w:val="a2"/>
          <w:rFonts w:ascii="Times New Roman" w:hAnsi="Times New Roman" w:cs="Times New Roman"/>
          <w:b/>
          <w:color w:val="000000" w:themeColor="text1"/>
          <w:lang w:val="en-AU"/>
        </w:rPr>
        <w:t xml:space="preserve">Upholding an environment of </w:t>
      </w:r>
      <w:r w:rsidRPr="00BA6ECE">
        <w:rPr>
          <w:rStyle w:val="a2"/>
          <w:rFonts w:ascii="Times New Roman" w:hAnsi="Times New Roman" w:cs="Times New Roman"/>
          <w:b/>
          <w:color w:val="000000" w:themeColor="text1"/>
          <w:lang w:val="en-AU"/>
        </w:rPr>
        <w:t xml:space="preserve">respect for </w:t>
      </w:r>
      <w:r w:rsidR="00052A07" w:rsidRPr="00BA6ECE">
        <w:rPr>
          <w:rStyle w:val="a2"/>
          <w:rFonts w:ascii="Times New Roman" w:hAnsi="Times New Roman" w:cs="Times New Roman"/>
          <w:b/>
          <w:color w:val="000000" w:themeColor="text1"/>
          <w:lang w:val="en-AU"/>
        </w:rPr>
        <w:t>rule of law, including respect for international human rights law</w:t>
      </w:r>
    </w:p>
    <w:p w14:paraId="4B4775C6" w14:textId="77777777" w:rsidR="00052A07" w:rsidRPr="00BA6ECE" w:rsidRDefault="00052A07" w:rsidP="002648E9">
      <w:pPr>
        <w:pStyle w:val="a0"/>
        <w:spacing w:line="276" w:lineRule="auto"/>
        <w:jc w:val="both"/>
        <w:rPr>
          <w:rStyle w:val="a2"/>
          <w:rFonts w:ascii="Times New Roman" w:hAnsi="Times New Roman" w:cs="Times New Roman"/>
          <w:b/>
          <w:color w:val="000000" w:themeColor="text1"/>
          <w:lang w:val="en-AU"/>
        </w:rPr>
      </w:pPr>
    </w:p>
    <w:p w14:paraId="3D577006" w14:textId="69494174" w:rsidR="00531C6E" w:rsidRPr="00BA6ECE" w:rsidRDefault="00052A07" w:rsidP="002648E9">
      <w:pPr>
        <w:pStyle w:val="a0"/>
        <w:spacing w:line="276" w:lineRule="auto"/>
        <w:jc w:val="both"/>
        <w:rPr>
          <w:rStyle w:val="a2"/>
          <w:rFonts w:ascii="Times New Roman" w:eastAsia="Times New Roman" w:hAnsi="Times New Roman" w:cs="Times New Roman"/>
          <w:color w:val="000000" w:themeColor="text1"/>
        </w:rPr>
      </w:pPr>
      <w:r w:rsidRPr="00BA6ECE">
        <w:rPr>
          <w:rStyle w:val="a2"/>
          <w:rFonts w:ascii="Times New Roman" w:hAnsi="Times New Roman" w:cs="Times New Roman"/>
          <w:color w:val="000000" w:themeColor="text1"/>
          <w:lang w:val="en-AU"/>
        </w:rPr>
        <w:t>This section responds to para</w:t>
      </w:r>
      <w:r w:rsidR="001F3CB5" w:rsidRPr="00BA6ECE">
        <w:rPr>
          <w:rStyle w:val="a2"/>
          <w:rFonts w:ascii="Times New Roman" w:hAnsi="Times New Roman" w:cs="Times New Roman"/>
          <w:color w:val="000000" w:themeColor="text1"/>
          <w:lang w:val="en-AU"/>
        </w:rPr>
        <w:t>graphs</w:t>
      </w:r>
      <w:r w:rsidRPr="00BA6ECE">
        <w:rPr>
          <w:rStyle w:val="a2"/>
          <w:rFonts w:ascii="Times New Roman" w:hAnsi="Times New Roman" w:cs="Times New Roman"/>
          <w:color w:val="000000" w:themeColor="text1"/>
          <w:lang w:val="en-AU"/>
        </w:rPr>
        <w:t xml:space="preserve"> 16-18 </w:t>
      </w:r>
      <w:r w:rsidR="00EE0E80" w:rsidRPr="00BA6ECE">
        <w:rPr>
          <w:rStyle w:val="a2"/>
          <w:rFonts w:ascii="Times New Roman" w:hAnsi="Times New Roman" w:cs="Times New Roman"/>
          <w:color w:val="000000" w:themeColor="text1"/>
          <w:lang w:val="en-AU"/>
        </w:rPr>
        <w:t xml:space="preserve">and paragraph 31 </w:t>
      </w:r>
      <w:r w:rsidRPr="00BA6ECE">
        <w:rPr>
          <w:rStyle w:val="a2"/>
          <w:rFonts w:ascii="Times New Roman" w:hAnsi="Times New Roman" w:cs="Times New Roman"/>
          <w:color w:val="000000" w:themeColor="text1"/>
          <w:lang w:val="en-AU"/>
        </w:rPr>
        <w:t>of the State Party report (2019</w:t>
      </w:r>
      <w:r w:rsidR="001869AE" w:rsidRPr="00BA6ECE">
        <w:rPr>
          <w:rStyle w:val="a2"/>
          <w:rFonts w:ascii="Times New Roman" w:hAnsi="Times New Roman" w:cs="Times New Roman"/>
          <w:color w:val="000000" w:themeColor="text1"/>
          <w:lang w:val="en-AU"/>
        </w:rPr>
        <w:t>) and</w:t>
      </w:r>
      <w:r w:rsidRPr="00BA6ECE">
        <w:rPr>
          <w:rStyle w:val="a2"/>
          <w:rFonts w:ascii="Times New Roman" w:hAnsi="Times New Roman" w:cs="Times New Roman"/>
          <w:color w:val="000000" w:themeColor="text1"/>
          <w:lang w:val="en-AU"/>
        </w:rPr>
        <w:t xml:space="preserve"> follows up on concerns expressed by the Committee in its 2014 Concluding Observations, para</w:t>
      </w:r>
      <w:r w:rsidR="001F3CB5" w:rsidRPr="00BA6ECE">
        <w:rPr>
          <w:rStyle w:val="a2"/>
          <w:rFonts w:ascii="Times New Roman" w:hAnsi="Times New Roman" w:cs="Times New Roman"/>
          <w:color w:val="000000" w:themeColor="text1"/>
          <w:lang w:val="en-AU"/>
        </w:rPr>
        <w:t>graph</w:t>
      </w:r>
      <w:r w:rsidRPr="00BA6ECE">
        <w:rPr>
          <w:rStyle w:val="a2"/>
          <w:rFonts w:ascii="Times New Roman" w:hAnsi="Times New Roman" w:cs="Times New Roman"/>
          <w:color w:val="000000" w:themeColor="text1"/>
          <w:lang w:val="en-AU"/>
        </w:rPr>
        <w:t>s 9-10</w:t>
      </w:r>
      <w:r w:rsidR="00EE0E80" w:rsidRPr="00BA6ECE">
        <w:rPr>
          <w:rStyle w:val="a2"/>
          <w:rFonts w:ascii="Times New Roman" w:hAnsi="Times New Roman" w:cs="Times New Roman"/>
          <w:color w:val="000000" w:themeColor="text1"/>
          <w:lang w:val="en-AU"/>
        </w:rPr>
        <w:t xml:space="preserve"> and paragraph 38</w:t>
      </w:r>
      <w:r w:rsidRPr="00BA6ECE">
        <w:rPr>
          <w:rStyle w:val="a2"/>
          <w:rFonts w:ascii="Times New Roman" w:hAnsi="Times New Roman" w:cs="Times New Roman"/>
          <w:color w:val="000000" w:themeColor="text1"/>
          <w:lang w:val="en-AU"/>
        </w:rPr>
        <w:t xml:space="preserve">. </w:t>
      </w:r>
      <w:r w:rsidR="001869AE" w:rsidRPr="00BA6ECE">
        <w:rPr>
          <w:rStyle w:val="a2"/>
          <w:rFonts w:ascii="Times New Roman" w:hAnsi="Times New Roman" w:cs="Times New Roman"/>
          <w:color w:val="000000" w:themeColor="text1"/>
          <w:lang w:val="en-AU"/>
        </w:rPr>
        <w:t xml:space="preserve">It also largely raises </w:t>
      </w:r>
      <w:r w:rsidR="00EE0E80" w:rsidRPr="00BA6ECE">
        <w:rPr>
          <w:rStyle w:val="a2"/>
          <w:rFonts w:ascii="Times New Roman" w:hAnsi="Times New Roman" w:cs="Times New Roman"/>
          <w:color w:val="000000" w:themeColor="text1"/>
          <w:lang w:val="en-AU"/>
        </w:rPr>
        <w:t xml:space="preserve">issues </w:t>
      </w:r>
      <w:r w:rsidR="001869AE" w:rsidRPr="00BA6ECE">
        <w:rPr>
          <w:rStyle w:val="a2"/>
          <w:rFonts w:ascii="Times New Roman" w:hAnsi="Times New Roman" w:cs="Times New Roman"/>
          <w:color w:val="000000" w:themeColor="text1"/>
          <w:lang w:val="en-AU"/>
        </w:rPr>
        <w:t>relevant to ICESCR Article 2, and the discussion under General Comment No. 9</w:t>
      </w:r>
      <w:r w:rsidR="001F3CB5" w:rsidRPr="00BA6ECE">
        <w:rPr>
          <w:rStyle w:val="a2"/>
          <w:rFonts w:ascii="Times New Roman" w:hAnsi="Times New Roman" w:cs="Times New Roman"/>
          <w:color w:val="000000" w:themeColor="text1"/>
          <w:lang w:val="en-AU"/>
        </w:rPr>
        <w:t xml:space="preserve"> on domestic application of the Covenant</w:t>
      </w:r>
      <w:r w:rsidR="00EE0E80" w:rsidRPr="00BA6ECE">
        <w:rPr>
          <w:rStyle w:val="a2"/>
          <w:rFonts w:ascii="Times New Roman" w:hAnsi="Times New Roman" w:cs="Times New Roman"/>
          <w:color w:val="000000" w:themeColor="text1"/>
          <w:lang w:val="en-AU"/>
        </w:rPr>
        <w:t xml:space="preserve"> and the Committee’s statement on Human Rights Defenders (</w:t>
      </w:r>
      <w:hyperlink r:id="rId7" w:history="1">
        <w:r w:rsidR="00EE0E80" w:rsidRPr="00BA6ECE">
          <w:rPr>
            <w:rStyle w:val="Hyperlink"/>
            <w:rFonts w:ascii="Times New Roman" w:hAnsi="Times New Roman" w:cs="Times New Roman"/>
          </w:rPr>
          <w:t>E/C.12/2016/2</w:t>
        </w:r>
      </w:hyperlink>
      <w:r w:rsidR="00EE0E80" w:rsidRPr="00BA6ECE">
        <w:rPr>
          <w:rFonts w:ascii="Times New Roman" w:hAnsi="Times New Roman" w:cs="Times New Roman"/>
          <w:color w:val="000000" w:themeColor="text1"/>
        </w:rPr>
        <w:t>)</w:t>
      </w:r>
      <w:r w:rsidR="001869AE" w:rsidRPr="00BA6ECE">
        <w:rPr>
          <w:rStyle w:val="a2"/>
          <w:rFonts w:ascii="Times New Roman" w:hAnsi="Times New Roman" w:cs="Times New Roman"/>
          <w:color w:val="000000" w:themeColor="text1"/>
          <w:lang w:val="en-AU"/>
        </w:rPr>
        <w:t xml:space="preserve">. </w:t>
      </w:r>
    </w:p>
    <w:p w14:paraId="4244D195" w14:textId="77777777" w:rsidR="00531C6E" w:rsidRPr="00BA6ECE" w:rsidRDefault="00531C6E" w:rsidP="002648E9">
      <w:pPr>
        <w:spacing w:line="276" w:lineRule="auto"/>
        <w:jc w:val="both"/>
        <w:rPr>
          <w:rStyle w:val="a2"/>
          <w:rFonts w:eastAsia="Times New Roman"/>
          <w:color w:val="000000" w:themeColor="text1"/>
        </w:rPr>
      </w:pPr>
    </w:p>
    <w:p w14:paraId="65291259" w14:textId="75B59DED" w:rsidR="00531C6E" w:rsidRPr="00BA6ECE" w:rsidRDefault="00CD6074" w:rsidP="002648E9">
      <w:pPr>
        <w:pStyle w:val="ListParagraph"/>
        <w:numPr>
          <w:ilvl w:val="0"/>
          <w:numId w:val="2"/>
        </w:numPr>
        <w:spacing w:line="276" w:lineRule="auto"/>
        <w:jc w:val="both"/>
        <w:rPr>
          <w:rFonts w:ascii="Times New Roman" w:hAnsi="Times New Roman" w:cs="Times New Roman"/>
          <w:color w:val="000000" w:themeColor="text1"/>
        </w:rPr>
      </w:pPr>
      <w:r w:rsidRPr="00BA6ECE">
        <w:rPr>
          <w:rStyle w:val="a2"/>
          <w:rFonts w:ascii="Times New Roman" w:hAnsi="Times New Roman" w:cs="Times New Roman"/>
          <w:color w:val="000000" w:themeColor="text1"/>
        </w:rPr>
        <w:t xml:space="preserve">Please provide further details on the role that the courts play in </w:t>
      </w:r>
      <w:r w:rsidR="000C5233" w:rsidRPr="00BA6ECE">
        <w:rPr>
          <w:rStyle w:val="a2"/>
          <w:rFonts w:ascii="Times New Roman" w:hAnsi="Times New Roman" w:cs="Times New Roman"/>
          <w:color w:val="000000" w:themeColor="text1"/>
        </w:rPr>
        <w:t xml:space="preserve">upholding </w:t>
      </w:r>
      <w:r w:rsidRPr="00BA6ECE">
        <w:rPr>
          <w:rStyle w:val="a2"/>
          <w:rFonts w:ascii="Times New Roman" w:hAnsi="Times New Roman" w:cs="Times New Roman"/>
          <w:color w:val="000000" w:themeColor="text1"/>
        </w:rPr>
        <w:t>international human rights frameworks, including United Nations human rights framework, as valid grounds of litigation. Please provide details and statistics on how the courts cite these international human rights standards in judgements.</w:t>
      </w:r>
    </w:p>
    <w:p w14:paraId="73B1DCA3" w14:textId="77777777" w:rsidR="00531C6E" w:rsidRPr="00BA6ECE" w:rsidRDefault="00CD6074" w:rsidP="002648E9">
      <w:pPr>
        <w:pStyle w:val="a0"/>
        <w:spacing w:line="276" w:lineRule="auto"/>
        <w:jc w:val="both"/>
        <w:rPr>
          <w:rStyle w:val="a2"/>
          <w:rFonts w:ascii="Times New Roman" w:eastAsia="Times New Roman" w:hAnsi="Times New Roman" w:cs="Times New Roman"/>
          <w:color w:val="000000" w:themeColor="text1"/>
        </w:rPr>
      </w:pPr>
      <w:r w:rsidRPr="00BA6ECE">
        <w:rPr>
          <w:rStyle w:val="a2"/>
          <w:rFonts w:ascii="Times New Roman" w:hAnsi="Times New Roman" w:cs="Times New Roman"/>
          <w:color w:val="000000" w:themeColor="text1"/>
        </w:rPr>
        <w:t xml:space="preserve"> </w:t>
      </w:r>
    </w:p>
    <w:p w14:paraId="57945ACB" w14:textId="35D21508" w:rsidR="001869AE" w:rsidRPr="00BA6ECE" w:rsidRDefault="00CD6074" w:rsidP="002648E9">
      <w:pPr>
        <w:pStyle w:val="ListParagraph"/>
        <w:numPr>
          <w:ilvl w:val="0"/>
          <w:numId w:val="2"/>
        </w:numPr>
        <w:spacing w:line="276" w:lineRule="auto"/>
        <w:jc w:val="both"/>
        <w:rPr>
          <w:rStyle w:val="a2"/>
          <w:rFonts w:ascii="Times New Roman" w:hAnsi="Times New Roman" w:cs="Times New Roman"/>
          <w:color w:val="000000" w:themeColor="text1"/>
        </w:rPr>
      </w:pPr>
      <w:r w:rsidRPr="00BA6ECE">
        <w:rPr>
          <w:rStyle w:val="a2"/>
          <w:rFonts w:ascii="Times New Roman" w:hAnsi="Times New Roman" w:cs="Times New Roman"/>
          <w:color w:val="000000" w:themeColor="text1"/>
        </w:rPr>
        <w:t xml:space="preserve">Please provide details and statistics on training programmes that judges receive </w:t>
      </w:r>
      <w:r w:rsidR="009350FF" w:rsidRPr="00BA6ECE">
        <w:rPr>
          <w:rStyle w:val="a2"/>
          <w:rFonts w:ascii="Times New Roman" w:hAnsi="Times New Roman" w:cs="Times New Roman"/>
          <w:color w:val="000000" w:themeColor="text1"/>
        </w:rPr>
        <w:t xml:space="preserve">since 2014 </w:t>
      </w:r>
      <w:r w:rsidRPr="00BA6ECE">
        <w:rPr>
          <w:rStyle w:val="a2"/>
          <w:rFonts w:ascii="Times New Roman" w:hAnsi="Times New Roman" w:cs="Times New Roman"/>
          <w:color w:val="000000" w:themeColor="text1"/>
        </w:rPr>
        <w:t xml:space="preserve">in understanding and comprehending international human rights frameworks, including United Nations </w:t>
      </w:r>
      <w:r w:rsidR="00052A07" w:rsidRPr="00BA6ECE">
        <w:rPr>
          <w:rStyle w:val="a2"/>
          <w:rFonts w:ascii="Times New Roman" w:hAnsi="Times New Roman" w:cs="Times New Roman"/>
          <w:color w:val="000000" w:themeColor="text1"/>
        </w:rPr>
        <w:t>h</w:t>
      </w:r>
      <w:r w:rsidRPr="00BA6ECE">
        <w:rPr>
          <w:rStyle w:val="a2"/>
          <w:rFonts w:ascii="Times New Roman" w:hAnsi="Times New Roman" w:cs="Times New Roman"/>
          <w:color w:val="000000" w:themeColor="text1"/>
        </w:rPr>
        <w:t xml:space="preserve">uman </w:t>
      </w:r>
      <w:r w:rsidR="00052A07" w:rsidRPr="00BA6ECE">
        <w:rPr>
          <w:rStyle w:val="a2"/>
          <w:rFonts w:ascii="Times New Roman" w:hAnsi="Times New Roman" w:cs="Times New Roman"/>
          <w:color w:val="000000" w:themeColor="text1"/>
        </w:rPr>
        <w:t>r</w:t>
      </w:r>
      <w:r w:rsidRPr="00BA6ECE">
        <w:rPr>
          <w:rStyle w:val="a2"/>
          <w:rFonts w:ascii="Times New Roman" w:hAnsi="Times New Roman" w:cs="Times New Roman"/>
          <w:color w:val="000000" w:themeColor="text1"/>
        </w:rPr>
        <w:t>ights framework.</w:t>
      </w:r>
    </w:p>
    <w:p w14:paraId="57285A1A" w14:textId="77777777" w:rsidR="001869AE" w:rsidRPr="00BA6ECE" w:rsidRDefault="001869AE" w:rsidP="002648E9">
      <w:pPr>
        <w:pStyle w:val="ListParagraph"/>
        <w:spacing w:line="276" w:lineRule="auto"/>
        <w:jc w:val="both"/>
        <w:rPr>
          <w:rStyle w:val="a2"/>
          <w:rFonts w:ascii="Times New Roman" w:hAnsi="Times New Roman" w:cs="Times New Roman"/>
          <w:color w:val="000000" w:themeColor="text1"/>
        </w:rPr>
      </w:pPr>
    </w:p>
    <w:p w14:paraId="47002EFD" w14:textId="69D30569" w:rsidR="001869AE" w:rsidRPr="00BA6ECE" w:rsidRDefault="001869AE" w:rsidP="002648E9">
      <w:pPr>
        <w:pStyle w:val="ListParagraph"/>
        <w:numPr>
          <w:ilvl w:val="0"/>
          <w:numId w:val="2"/>
        </w:numPr>
        <w:spacing w:line="276" w:lineRule="auto"/>
        <w:jc w:val="both"/>
        <w:rPr>
          <w:rStyle w:val="a2"/>
          <w:rFonts w:ascii="Times New Roman" w:hAnsi="Times New Roman" w:cs="Times New Roman"/>
          <w:color w:val="000000" w:themeColor="text1"/>
        </w:rPr>
      </w:pPr>
      <w:r w:rsidRPr="00BA6ECE">
        <w:rPr>
          <w:rStyle w:val="a2"/>
          <w:rFonts w:ascii="Times New Roman" w:hAnsi="Times New Roman" w:cs="Times New Roman"/>
          <w:color w:val="000000" w:themeColor="text1"/>
        </w:rPr>
        <w:t>Please provide general details on what training programmes the State provides to lawyers’</w:t>
      </w:r>
      <w:r w:rsidR="00EE0E80" w:rsidRPr="00BA6ECE">
        <w:rPr>
          <w:rStyle w:val="a2"/>
          <w:rFonts w:ascii="Times New Roman" w:hAnsi="Times New Roman" w:cs="Times New Roman"/>
          <w:color w:val="000000" w:themeColor="text1"/>
        </w:rPr>
        <w:t xml:space="preserve"> </w:t>
      </w:r>
      <w:r w:rsidRPr="00BA6ECE">
        <w:rPr>
          <w:rStyle w:val="a2"/>
          <w:rFonts w:ascii="Times New Roman" w:hAnsi="Times New Roman" w:cs="Times New Roman"/>
          <w:color w:val="000000" w:themeColor="text1"/>
        </w:rPr>
        <w:t xml:space="preserve">associations and prosecutors on enhancing their understanding of international human rights standards, and on the extent to which the United Nations human rights framework, including the Universal Declaration of Human Rights and the human rights treaties to which China is a State party, is covered.  </w:t>
      </w:r>
    </w:p>
    <w:p w14:paraId="4F7CFE6F" w14:textId="77777777" w:rsidR="00BA6ECE" w:rsidRPr="00BA6ECE" w:rsidRDefault="00BA6ECE" w:rsidP="00BA6ECE">
      <w:pPr>
        <w:pStyle w:val="ListParagraph"/>
        <w:rPr>
          <w:rStyle w:val="a2"/>
          <w:rFonts w:ascii="Times New Roman" w:hAnsi="Times New Roman" w:cs="Times New Roman"/>
          <w:color w:val="000000" w:themeColor="text1"/>
        </w:rPr>
      </w:pPr>
    </w:p>
    <w:p w14:paraId="611B5475" w14:textId="77777777" w:rsidR="00BA6ECE" w:rsidRPr="00BA6ECE" w:rsidRDefault="001869AE" w:rsidP="00BA6ECE">
      <w:pPr>
        <w:pStyle w:val="ListParagraph"/>
        <w:numPr>
          <w:ilvl w:val="0"/>
          <w:numId w:val="2"/>
        </w:numPr>
        <w:spacing w:line="276" w:lineRule="auto"/>
        <w:jc w:val="both"/>
        <w:rPr>
          <w:rStyle w:val="a2"/>
          <w:rFonts w:ascii="Times New Roman" w:hAnsi="Times New Roman" w:cs="Times New Roman"/>
          <w:color w:val="000000" w:themeColor="text1"/>
        </w:rPr>
      </w:pPr>
      <w:r w:rsidRPr="00BA6ECE">
        <w:rPr>
          <w:rStyle w:val="a2"/>
          <w:rFonts w:ascii="Times New Roman" w:hAnsi="Times New Roman" w:cs="Times New Roman"/>
          <w:color w:val="000000" w:themeColor="text1"/>
        </w:rPr>
        <w:t xml:space="preserve">Please provide further details on the amount of funds spent nationally on legal education in empowering Chinese lawyers, including public prosecutors, to adopt international human rights frameworks, including United Nations human rights framework. </w:t>
      </w:r>
    </w:p>
    <w:p w14:paraId="708408CF" w14:textId="77777777" w:rsidR="00BA6ECE" w:rsidRPr="00BA6ECE" w:rsidRDefault="00BA6ECE" w:rsidP="00BA6ECE">
      <w:pPr>
        <w:pStyle w:val="ListParagraph"/>
        <w:rPr>
          <w:rStyle w:val="a2"/>
          <w:rFonts w:ascii="Times New Roman" w:hAnsi="Times New Roman" w:cs="Times New Roman"/>
          <w:color w:val="000000" w:themeColor="text1"/>
        </w:rPr>
      </w:pPr>
    </w:p>
    <w:p w14:paraId="564EF758" w14:textId="32CC4261" w:rsidR="001869AE" w:rsidRPr="00BA6ECE" w:rsidRDefault="001869AE" w:rsidP="00BA6ECE">
      <w:pPr>
        <w:pStyle w:val="ListParagraph"/>
        <w:numPr>
          <w:ilvl w:val="0"/>
          <w:numId w:val="2"/>
        </w:numPr>
        <w:spacing w:line="276" w:lineRule="auto"/>
        <w:jc w:val="both"/>
        <w:rPr>
          <w:rFonts w:ascii="Times New Roman" w:hAnsi="Times New Roman" w:cs="Times New Roman"/>
          <w:color w:val="000000" w:themeColor="text1"/>
        </w:rPr>
      </w:pPr>
      <w:r w:rsidRPr="00BA6ECE">
        <w:rPr>
          <w:rStyle w:val="a2"/>
          <w:rFonts w:ascii="Times New Roman" w:hAnsi="Times New Roman" w:cs="Times New Roman"/>
          <w:color w:val="000000" w:themeColor="text1"/>
        </w:rPr>
        <w:t xml:space="preserve">Please provide further details on the number of successful cases, since the last review, where international human rights frameworks, including United Nation’s human rights framework, were invoked to challenge decisions or measures, including administrative, civil and criminal measures, against Chinese activists and lawyers. </w:t>
      </w:r>
    </w:p>
    <w:p w14:paraId="06DCAC0F" w14:textId="77777777" w:rsidR="001869AE" w:rsidRPr="00BA6ECE" w:rsidRDefault="001869AE" w:rsidP="002648E9">
      <w:pPr>
        <w:pStyle w:val="a0"/>
        <w:spacing w:line="276" w:lineRule="auto"/>
        <w:jc w:val="both"/>
        <w:rPr>
          <w:rFonts w:ascii="Times New Roman" w:hAnsi="Times New Roman" w:cs="Times New Roman"/>
          <w:color w:val="000000" w:themeColor="text1"/>
        </w:rPr>
      </w:pPr>
    </w:p>
    <w:p w14:paraId="246720B2" w14:textId="2CED5D6F" w:rsidR="00531C6E" w:rsidRPr="00BA6ECE" w:rsidRDefault="001F3CB5" w:rsidP="002648E9">
      <w:pPr>
        <w:pStyle w:val="a0"/>
        <w:spacing w:line="276" w:lineRule="auto"/>
        <w:jc w:val="both"/>
        <w:rPr>
          <w:rStyle w:val="a2"/>
          <w:rFonts w:ascii="Times New Roman" w:hAnsi="Times New Roman" w:cs="Times New Roman"/>
          <w:b/>
          <w:bCs/>
          <w:color w:val="000000" w:themeColor="text1"/>
        </w:rPr>
      </w:pPr>
      <w:r w:rsidRPr="00BA6ECE">
        <w:rPr>
          <w:rStyle w:val="a2"/>
          <w:rFonts w:ascii="Times New Roman" w:hAnsi="Times New Roman" w:cs="Times New Roman"/>
          <w:b/>
          <w:bCs/>
          <w:color w:val="000000" w:themeColor="text1"/>
        </w:rPr>
        <w:lastRenderedPageBreak/>
        <w:t xml:space="preserve">II. </w:t>
      </w:r>
      <w:r w:rsidR="001B7E36" w:rsidRPr="00BA6ECE">
        <w:rPr>
          <w:rStyle w:val="a2"/>
          <w:rFonts w:ascii="Times New Roman" w:hAnsi="Times New Roman" w:cs="Times New Roman"/>
          <w:b/>
          <w:bCs/>
          <w:color w:val="000000" w:themeColor="text1"/>
        </w:rPr>
        <w:t xml:space="preserve">Protection of </w:t>
      </w:r>
      <w:r w:rsidRPr="00BA6ECE">
        <w:rPr>
          <w:rStyle w:val="a2"/>
          <w:rFonts w:ascii="Times New Roman" w:hAnsi="Times New Roman" w:cs="Times New Roman"/>
          <w:b/>
          <w:bCs/>
          <w:color w:val="000000" w:themeColor="text1"/>
        </w:rPr>
        <w:t>the right to work for</w:t>
      </w:r>
      <w:r w:rsidR="001B7E36" w:rsidRPr="00BA6ECE">
        <w:rPr>
          <w:rStyle w:val="a2"/>
          <w:rFonts w:ascii="Times New Roman" w:hAnsi="Times New Roman" w:cs="Times New Roman"/>
          <w:b/>
          <w:bCs/>
          <w:color w:val="000000" w:themeColor="text1"/>
        </w:rPr>
        <w:t xml:space="preserve"> </w:t>
      </w:r>
      <w:r w:rsidR="00CD6074" w:rsidRPr="00BA6ECE">
        <w:rPr>
          <w:rStyle w:val="a2"/>
          <w:rFonts w:ascii="Times New Roman" w:hAnsi="Times New Roman" w:cs="Times New Roman"/>
          <w:b/>
          <w:bCs/>
          <w:color w:val="000000" w:themeColor="text1"/>
        </w:rPr>
        <w:t>lawyers</w:t>
      </w:r>
      <w:r w:rsidRPr="00BA6ECE">
        <w:rPr>
          <w:rStyle w:val="a2"/>
          <w:rFonts w:ascii="Times New Roman" w:hAnsi="Times New Roman" w:cs="Times New Roman"/>
          <w:b/>
          <w:bCs/>
          <w:color w:val="000000" w:themeColor="text1"/>
        </w:rPr>
        <w:t xml:space="preserve"> who take human rights cases</w:t>
      </w:r>
      <w:r w:rsidR="00CD6074" w:rsidRPr="00BA6ECE">
        <w:rPr>
          <w:rStyle w:val="a2"/>
          <w:rFonts w:ascii="Times New Roman" w:hAnsi="Times New Roman" w:cs="Times New Roman"/>
          <w:b/>
          <w:bCs/>
          <w:color w:val="000000" w:themeColor="text1"/>
        </w:rPr>
        <w:t xml:space="preserve"> </w:t>
      </w:r>
    </w:p>
    <w:p w14:paraId="3E949E55" w14:textId="45260A69" w:rsidR="001F3CB5" w:rsidRPr="00BA6ECE" w:rsidRDefault="001F3CB5" w:rsidP="002648E9">
      <w:pPr>
        <w:pStyle w:val="a0"/>
        <w:spacing w:line="276" w:lineRule="auto"/>
        <w:jc w:val="both"/>
        <w:rPr>
          <w:rStyle w:val="a2"/>
          <w:rFonts w:ascii="Times New Roman" w:eastAsia="Times New Roman" w:hAnsi="Times New Roman" w:cs="Times New Roman"/>
          <w:bCs/>
          <w:color w:val="000000" w:themeColor="text1"/>
        </w:rPr>
      </w:pPr>
    </w:p>
    <w:p w14:paraId="5F6A46F8" w14:textId="11935DA3" w:rsidR="001F3CB5" w:rsidRPr="00BA6ECE" w:rsidRDefault="001F3CB5" w:rsidP="002648E9">
      <w:pPr>
        <w:pStyle w:val="a0"/>
        <w:spacing w:line="276" w:lineRule="auto"/>
        <w:jc w:val="both"/>
        <w:rPr>
          <w:rFonts w:ascii="Times New Roman" w:hAnsi="Times New Roman" w:cs="Times New Roman"/>
          <w:color w:val="000000" w:themeColor="text1"/>
        </w:rPr>
      </w:pPr>
      <w:r w:rsidRPr="00BA6ECE">
        <w:rPr>
          <w:rStyle w:val="a2"/>
          <w:rFonts w:ascii="Times New Roman" w:eastAsia="Times New Roman" w:hAnsi="Times New Roman" w:cs="Times New Roman"/>
          <w:bCs/>
          <w:color w:val="000000" w:themeColor="text1"/>
        </w:rPr>
        <w:t>This section further builds on the information provided by the State party in is periodic report, namely paragraph 17, and corresponds to Article 2.2 and Article 6.1 of the Covenant. It also build</w:t>
      </w:r>
      <w:r w:rsidR="0004701B" w:rsidRPr="00BA6ECE">
        <w:rPr>
          <w:rStyle w:val="a2"/>
          <w:rFonts w:ascii="Times New Roman" w:eastAsia="Times New Roman" w:hAnsi="Times New Roman" w:cs="Times New Roman"/>
          <w:bCs/>
          <w:color w:val="000000" w:themeColor="text1"/>
        </w:rPr>
        <w:t>s</w:t>
      </w:r>
      <w:r w:rsidRPr="00BA6ECE">
        <w:rPr>
          <w:rStyle w:val="a2"/>
          <w:rFonts w:ascii="Times New Roman" w:eastAsia="Times New Roman" w:hAnsi="Times New Roman" w:cs="Times New Roman"/>
          <w:bCs/>
          <w:color w:val="000000" w:themeColor="text1"/>
        </w:rPr>
        <w:t xml:space="preserve"> on relevant elements of General Comment No. 18 on the right to work, namely its assertion that ‘t</w:t>
      </w:r>
      <w:r w:rsidRPr="00BA6ECE">
        <w:rPr>
          <w:rFonts w:ascii="Times New Roman" w:hAnsi="Times New Roman" w:cs="Times New Roman"/>
          <w:color w:val="000000" w:themeColor="text1"/>
        </w:rPr>
        <w:t>he right to work, as guaranteed in the ICESCR, affirms the obligation of States parties to assure individuals their right to freely chosen or accepted work, including the right not to be deprived of work unfairly…. [which definition] emphasiz[es] the importance of work for personal development as well as for social and economic inclusion’</w:t>
      </w:r>
      <w:r w:rsidRPr="00BA6ECE">
        <w:rPr>
          <w:rStyle w:val="a2"/>
          <w:rFonts w:ascii="Times New Roman" w:eastAsia="Times New Roman" w:hAnsi="Times New Roman" w:cs="Times New Roman"/>
          <w:bCs/>
          <w:color w:val="000000" w:themeColor="text1"/>
          <w:lang w:val="en-AU"/>
        </w:rPr>
        <w:t xml:space="preserve"> (paragraph 4).</w:t>
      </w:r>
      <w:r w:rsidRPr="00BA6ECE">
        <w:rPr>
          <w:rStyle w:val="a2"/>
          <w:rFonts w:ascii="Times New Roman" w:eastAsia="Times New Roman" w:hAnsi="Times New Roman" w:cs="Times New Roman"/>
          <w:bCs/>
          <w:color w:val="000000" w:themeColor="text1"/>
        </w:rPr>
        <w:t xml:space="preserve">  The General Comment continues, noting in paragraph 19 that ‘</w:t>
      </w:r>
      <w:r w:rsidRPr="00BA6ECE">
        <w:rPr>
          <w:rFonts w:ascii="Times New Roman" w:hAnsi="Times New Roman" w:cs="Times New Roman"/>
          <w:color w:val="000000" w:themeColor="text1"/>
        </w:rPr>
        <w:t>States parties have immediate obligations in relation to the right to work, such as the obligation to “guarantee” that it will be exercised “without discrimination of any kind” (art. 2, para. 2)’.</w:t>
      </w:r>
    </w:p>
    <w:p w14:paraId="7E3C1BC3" w14:textId="6302002C" w:rsidR="0004701B" w:rsidRPr="00BA6ECE" w:rsidRDefault="0004701B" w:rsidP="002648E9">
      <w:pPr>
        <w:pStyle w:val="a0"/>
        <w:spacing w:line="276" w:lineRule="auto"/>
        <w:jc w:val="both"/>
        <w:rPr>
          <w:rStyle w:val="a2"/>
          <w:rFonts w:ascii="Times New Roman" w:eastAsia="Times New Roman" w:hAnsi="Times New Roman" w:cs="Times New Roman"/>
          <w:bCs/>
          <w:color w:val="000000" w:themeColor="text1"/>
        </w:rPr>
      </w:pPr>
    </w:p>
    <w:p w14:paraId="3A1C0869" w14:textId="5FE14735" w:rsidR="0004701B" w:rsidRPr="00BA6ECE" w:rsidRDefault="0004701B" w:rsidP="002648E9">
      <w:pPr>
        <w:pStyle w:val="a0"/>
        <w:spacing w:line="276" w:lineRule="auto"/>
        <w:jc w:val="both"/>
        <w:rPr>
          <w:rStyle w:val="a2"/>
          <w:rFonts w:ascii="Times New Roman" w:eastAsia="Times New Roman" w:hAnsi="Times New Roman" w:cs="Times New Roman"/>
          <w:bCs/>
          <w:color w:val="000000" w:themeColor="text1"/>
        </w:rPr>
      </w:pPr>
      <w:r w:rsidRPr="00BA6ECE">
        <w:rPr>
          <w:rStyle w:val="a2"/>
          <w:rFonts w:ascii="Times New Roman" w:eastAsia="Times New Roman" w:hAnsi="Times New Roman" w:cs="Times New Roman"/>
          <w:bCs/>
          <w:color w:val="000000" w:themeColor="text1"/>
        </w:rPr>
        <w:t>Between 2016 and 2018, the Chinese government adopted or amended two administrative regulations, the</w:t>
      </w:r>
      <w:r w:rsidRPr="00BA6ECE">
        <w:rPr>
          <w:rStyle w:val="a2"/>
          <w:rFonts w:ascii="Times New Roman" w:eastAsia="Times New Roman" w:hAnsi="Times New Roman" w:cs="Times New Roman"/>
          <w:bCs/>
          <w:i/>
          <w:color w:val="000000" w:themeColor="text1"/>
        </w:rPr>
        <w:t xml:space="preserve"> Administrative Measures for the Practice of Law by Lawyers</w:t>
      </w:r>
      <w:r w:rsidRPr="00BA6ECE">
        <w:rPr>
          <w:rStyle w:val="a2"/>
          <w:rFonts w:ascii="Times New Roman" w:eastAsia="Times New Roman" w:hAnsi="Times New Roman" w:cs="Times New Roman"/>
          <w:bCs/>
          <w:color w:val="000000" w:themeColor="text1"/>
        </w:rPr>
        <w:t xml:space="preserve"> and the </w:t>
      </w:r>
      <w:r w:rsidRPr="00BA6ECE">
        <w:rPr>
          <w:rStyle w:val="a2"/>
          <w:rFonts w:ascii="Times New Roman" w:eastAsia="Times New Roman" w:hAnsi="Times New Roman" w:cs="Times New Roman"/>
          <w:bCs/>
          <w:i/>
          <w:color w:val="000000" w:themeColor="text1"/>
        </w:rPr>
        <w:t>Measures on the Administration of Law Firms</w:t>
      </w:r>
      <w:r w:rsidRPr="00BA6ECE">
        <w:rPr>
          <w:rStyle w:val="a2"/>
          <w:rFonts w:ascii="Times New Roman" w:eastAsia="Times New Roman" w:hAnsi="Times New Roman" w:cs="Times New Roman"/>
          <w:bCs/>
          <w:color w:val="000000" w:themeColor="text1"/>
        </w:rPr>
        <w:t xml:space="preserve">. As outlined in </w:t>
      </w:r>
      <w:hyperlink r:id="rId8" w:history="1">
        <w:r w:rsidRPr="00BA6ECE">
          <w:rPr>
            <w:rStyle w:val="a2"/>
            <w:rFonts w:ascii="Times New Roman" w:eastAsia="Times New Roman" w:hAnsi="Times New Roman" w:cs="Times New Roman"/>
            <w:bCs/>
            <w:color w:val="000000" w:themeColor="text1"/>
          </w:rPr>
          <w:t>a</w:t>
        </w:r>
        <w:r w:rsidRPr="00BA6ECE">
          <w:rPr>
            <w:rStyle w:val="Hyperlink"/>
            <w:rFonts w:ascii="Times New Roman" w:eastAsia="Times New Roman" w:hAnsi="Times New Roman" w:cs="Times New Roman"/>
            <w:bCs/>
            <w:color w:val="000000" w:themeColor="text1"/>
            <w:lang w:val="en-US"/>
          </w:rPr>
          <w:t xml:space="preserve"> joint submission to the UN Special Procedures</w:t>
        </w:r>
      </w:hyperlink>
      <w:r w:rsidRPr="00BA6ECE">
        <w:rPr>
          <w:rStyle w:val="a2"/>
          <w:rFonts w:ascii="Times New Roman" w:eastAsia="Times New Roman" w:hAnsi="Times New Roman" w:cs="Times New Roman"/>
          <w:bCs/>
          <w:color w:val="000000" w:themeColor="text1"/>
        </w:rPr>
        <w:t>, the two measures violate international human rights standards. The report further include</w:t>
      </w:r>
      <w:r w:rsidR="00CE596C" w:rsidRPr="00BA6ECE">
        <w:rPr>
          <w:rStyle w:val="a2"/>
          <w:rFonts w:ascii="Times New Roman" w:eastAsia="Times New Roman" w:hAnsi="Times New Roman" w:cs="Times New Roman"/>
          <w:bCs/>
          <w:color w:val="000000" w:themeColor="text1"/>
        </w:rPr>
        <w:t>s</w:t>
      </w:r>
      <w:r w:rsidRPr="00BA6ECE">
        <w:rPr>
          <w:rStyle w:val="a2"/>
          <w:rFonts w:ascii="Times New Roman" w:eastAsia="Times New Roman" w:hAnsi="Times New Roman" w:cs="Times New Roman"/>
          <w:bCs/>
          <w:color w:val="000000" w:themeColor="text1"/>
        </w:rPr>
        <w:t xml:space="preserve"> case examples of lawyers who, due to the exercise of their rights to freedom of assembly, association and expression, as well as their professional rights as lawyers, have been concretely and negatively impacted by the two measures and the repressive environment for lawyers created by the government. </w:t>
      </w:r>
    </w:p>
    <w:p w14:paraId="7C803F82" w14:textId="77777777" w:rsidR="0004701B" w:rsidRPr="00BA6ECE" w:rsidRDefault="0004701B" w:rsidP="002648E9">
      <w:pPr>
        <w:pStyle w:val="a0"/>
        <w:spacing w:line="276" w:lineRule="auto"/>
        <w:jc w:val="both"/>
        <w:rPr>
          <w:rStyle w:val="a2"/>
          <w:rFonts w:ascii="Times New Roman" w:eastAsia="Times New Roman" w:hAnsi="Times New Roman" w:cs="Times New Roman"/>
          <w:bCs/>
          <w:color w:val="000000" w:themeColor="text1"/>
        </w:rPr>
      </w:pPr>
    </w:p>
    <w:p w14:paraId="1E795C0E" w14:textId="607B7D3C" w:rsidR="0004701B" w:rsidRPr="00BA6ECE" w:rsidRDefault="0004701B" w:rsidP="002648E9">
      <w:pPr>
        <w:pStyle w:val="a0"/>
        <w:spacing w:line="276" w:lineRule="auto"/>
        <w:jc w:val="both"/>
        <w:rPr>
          <w:rStyle w:val="a2"/>
          <w:rFonts w:ascii="Times New Roman" w:eastAsia="Times New Roman" w:hAnsi="Times New Roman" w:cs="Times New Roman"/>
          <w:bCs/>
          <w:color w:val="000000" w:themeColor="text1"/>
        </w:rPr>
      </w:pPr>
      <w:r w:rsidRPr="00BA6ECE">
        <w:rPr>
          <w:rStyle w:val="a2"/>
          <w:rFonts w:ascii="Times New Roman" w:eastAsia="Times New Roman" w:hAnsi="Times New Roman" w:cs="Times New Roman"/>
          <w:bCs/>
          <w:color w:val="000000" w:themeColor="text1"/>
        </w:rPr>
        <w:t>From January 2017 to December 2019, at least 34 rights lawyers and three law firms have been penalised either by having their license suspended, cancelled or revoked by the judicial bureau. This compares to 20 cases over the period 2004-2014 and 9 cases over the period 2014-2016. It is clear that these administrative measures are part of an increasingly repressive political environment that harasses and punishes human rights lawyers, through blocking their right to work on the basis of the exercise of their rights and their efforts to protect the rights of others, including their economic, social and cultural rights.</w:t>
      </w:r>
    </w:p>
    <w:p w14:paraId="52D5F1BF" w14:textId="77777777" w:rsidR="001F3CB5" w:rsidRPr="00BA6ECE" w:rsidRDefault="001F3CB5" w:rsidP="002648E9">
      <w:pPr>
        <w:pStyle w:val="a0"/>
        <w:spacing w:line="276" w:lineRule="auto"/>
        <w:jc w:val="both"/>
        <w:rPr>
          <w:rStyle w:val="a2"/>
          <w:rFonts w:ascii="Times New Roman" w:eastAsia="Times New Roman" w:hAnsi="Times New Roman" w:cs="Times New Roman"/>
          <w:bCs/>
          <w:color w:val="000000" w:themeColor="text1"/>
        </w:rPr>
      </w:pPr>
    </w:p>
    <w:p w14:paraId="09AD0990" w14:textId="1DA48ED4" w:rsidR="00425658" w:rsidRPr="00BA6ECE" w:rsidRDefault="001F3CB5" w:rsidP="002648E9">
      <w:pPr>
        <w:pStyle w:val="ListParagraph"/>
        <w:numPr>
          <w:ilvl w:val="0"/>
          <w:numId w:val="4"/>
        </w:numPr>
        <w:spacing w:line="276" w:lineRule="auto"/>
        <w:jc w:val="both"/>
        <w:rPr>
          <w:rStyle w:val="a2"/>
          <w:rFonts w:ascii="Times New Roman" w:hAnsi="Times New Roman" w:cs="Times New Roman"/>
          <w:color w:val="000000" w:themeColor="text1"/>
        </w:rPr>
      </w:pPr>
      <w:r w:rsidRPr="00BA6ECE">
        <w:rPr>
          <w:rStyle w:val="a2"/>
          <w:rFonts w:ascii="Times New Roman" w:hAnsi="Times New Roman" w:cs="Times New Roman"/>
          <w:color w:val="000000" w:themeColor="text1"/>
        </w:rPr>
        <w:t>P</w:t>
      </w:r>
      <w:r w:rsidR="00425658" w:rsidRPr="00BA6ECE">
        <w:rPr>
          <w:rStyle w:val="a2"/>
          <w:rFonts w:ascii="Times New Roman" w:hAnsi="Times New Roman" w:cs="Times New Roman"/>
          <w:color w:val="000000" w:themeColor="text1"/>
        </w:rPr>
        <w:t>lease provide statistics on lawyers whose licenses are suspended and / or revoked and lawyers who have been disbarred since the last review in 201</w:t>
      </w:r>
      <w:r w:rsidRPr="00BA6ECE">
        <w:rPr>
          <w:rStyle w:val="a2"/>
          <w:rFonts w:ascii="Times New Roman" w:hAnsi="Times New Roman" w:cs="Times New Roman"/>
          <w:color w:val="000000" w:themeColor="text1"/>
        </w:rPr>
        <w:t>4</w:t>
      </w:r>
      <w:r w:rsidR="00425658" w:rsidRPr="00BA6ECE">
        <w:rPr>
          <w:rStyle w:val="a2"/>
          <w:rFonts w:ascii="Times New Roman" w:hAnsi="Times New Roman" w:cs="Times New Roman"/>
          <w:color w:val="000000" w:themeColor="text1"/>
        </w:rPr>
        <w:t>, disaggregated by sex, age</w:t>
      </w:r>
      <w:r w:rsidRPr="00BA6ECE">
        <w:rPr>
          <w:rStyle w:val="a2"/>
          <w:rFonts w:ascii="Times New Roman" w:hAnsi="Times New Roman" w:cs="Times New Roman"/>
          <w:color w:val="000000" w:themeColor="text1"/>
        </w:rPr>
        <w:t xml:space="preserve">, </w:t>
      </w:r>
      <w:r w:rsidR="00425658" w:rsidRPr="00BA6ECE">
        <w:rPr>
          <w:rStyle w:val="a2"/>
          <w:rFonts w:ascii="Times New Roman" w:hAnsi="Times New Roman" w:cs="Times New Roman"/>
          <w:color w:val="000000" w:themeColor="text1"/>
        </w:rPr>
        <w:t>region</w:t>
      </w:r>
      <w:r w:rsidRPr="00BA6ECE">
        <w:rPr>
          <w:rStyle w:val="a2"/>
          <w:rFonts w:ascii="Times New Roman" w:hAnsi="Times New Roman" w:cs="Times New Roman"/>
          <w:color w:val="000000" w:themeColor="text1"/>
        </w:rPr>
        <w:t xml:space="preserve"> and reason for disbarment</w:t>
      </w:r>
      <w:r w:rsidR="00EE0E80" w:rsidRPr="00BA6ECE">
        <w:rPr>
          <w:rStyle w:val="a2"/>
          <w:rFonts w:ascii="Times New Roman" w:hAnsi="Times New Roman" w:cs="Times New Roman"/>
          <w:color w:val="000000" w:themeColor="text1"/>
        </w:rPr>
        <w:t>.</w:t>
      </w:r>
      <w:bookmarkEnd w:id="0"/>
    </w:p>
    <w:p w14:paraId="4D080F64" w14:textId="77777777" w:rsidR="001E0957" w:rsidRPr="00BA6ECE" w:rsidRDefault="001E0957" w:rsidP="002648E9">
      <w:pPr>
        <w:pStyle w:val="ListParagraph"/>
        <w:spacing w:line="276" w:lineRule="auto"/>
        <w:jc w:val="both"/>
        <w:rPr>
          <w:rStyle w:val="a2"/>
          <w:rFonts w:ascii="Times New Roman" w:hAnsi="Times New Roman" w:cs="Times New Roman"/>
          <w:color w:val="000000" w:themeColor="text1"/>
        </w:rPr>
      </w:pPr>
    </w:p>
    <w:p w14:paraId="235E254E" w14:textId="1A08BF9B" w:rsidR="00531C6E" w:rsidRPr="00BA6ECE" w:rsidRDefault="00CD6074" w:rsidP="002648E9">
      <w:pPr>
        <w:pStyle w:val="ListParagraph"/>
        <w:numPr>
          <w:ilvl w:val="0"/>
          <w:numId w:val="4"/>
        </w:numPr>
        <w:spacing w:line="276" w:lineRule="auto"/>
        <w:jc w:val="both"/>
        <w:rPr>
          <w:rFonts w:ascii="Times New Roman" w:hAnsi="Times New Roman" w:cs="Times New Roman"/>
          <w:color w:val="000000" w:themeColor="text1"/>
        </w:rPr>
      </w:pPr>
      <w:r w:rsidRPr="00BA6ECE">
        <w:rPr>
          <w:rStyle w:val="a2"/>
          <w:rFonts w:ascii="Times New Roman" w:hAnsi="Times New Roman" w:cs="Times New Roman"/>
          <w:color w:val="000000" w:themeColor="text1"/>
        </w:rPr>
        <w:t xml:space="preserve">Please provide details and statistics on the </w:t>
      </w:r>
      <w:r w:rsidR="001F3CB5" w:rsidRPr="00BA6ECE">
        <w:rPr>
          <w:rStyle w:val="a2"/>
          <w:rFonts w:ascii="Times New Roman" w:hAnsi="Times New Roman" w:cs="Times New Roman"/>
          <w:color w:val="000000" w:themeColor="text1"/>
        </w:rPr>
        <w:t>‘</w:t>
      </w:r>
      <w:r w:rsidRPr="00BA6ECE">
        <w:rPr>
          <w:rStyle w:val="a2"/>
          <w:rFonts w:ascii="Times New Roman" w:hAnsi="Times New Roman" w:cs="Times New Roman"/>
          <w:color w:val="000000" w:themeColor="text1"/>
        </w:rPr>
        <w:t>compulsory measures</w:t>
      </w:r>
      <w:r w:rsidR="001F3CB5" w:rsidRPr="00BA6ECE">
        <w:rPr>
          <w:rStyle w:val="a2"/>
          <w:rFonts w:ascii="Times New Roman" w:hAnsi="Times New Roman" w:cs="Times New Roman"/>
          <w:color w:val="000000" w:themeColor="text1"/>
        </w:rPr>
        <w:t>’</w:t>
      </w:r>
      <w:r w:rsidRPr="00BA6ECE">
        <w:rPr>
          <w:rStyle w:val="a2"/>
          <w:rFonts w:ascii="Times New Roman" w:hAnsi="Times New Roman" w:cs="Times New Roman"/>
          <w:color w:val="000000" w:themeColor="text1"/>
        </w:rPr>
        <w:t xml:space="preserve"> imposed on lawyers, including the number of the lawyers subjected to administrative punishment and </w:t>
      </w:r>
      <w:r w:rsidR="001F3CB5" w:rsidRPr="00BA6ECE">
        <w:rPr>
          <w:rStyle w:val="a2"/>
          <w:rFonts w:ascii="Times New Roman" w:hAnsi="Times New Roman" w:cs="Times New Roman"/>
          <w:color w:val="000000" w:themeColor="text1"/>
        </w:rPr>
        <w:t>‘</w:t>
      </w:r>
      <w:r w:rsidRPr="00BA6ECE">
        <w:rPr>
          <w:rStyle w:val="a2"/>
          <w:rFonts w:ascii="Times New Roman" w:hAnsi="Times New Roman" w:cs="Times New Roman"/>
          <w:color w:val="000000" w:themeColor="text1"/>
        </w:rPr>
        <w:t>criminal compulsory measures</w:t>
      </w:r>
      <w:r w:rsidR="001F3CB5" w:rsidRPr="00BA6ECE">
        <w:rPr>
          <w:rStyle w:val="a2"/>
          <w:rFonts w:ascii="Times New Roman" w:hAnsi="Times New Roman" w:cs="Times New Roman"/>
          <w:color w:val="000000" w:themeColor="text1"/>
        </w:rPr>
        <w:t>’</w:t>
      </w:r>
      <w:r w:rsidRPr="00BA6ECE">
        <w:rPr>
          <w:rStyle w:val="a2"/>
          <w:rFonts w:ascii="Times New Roman" w:hAnsi="Times New Roman" w:cs="Times New Roman"/>
          <w:color w:val="000000" w:themeColor="text1"/>
        </w:rPr>
        <w:t>, since the last review.</w:t>
      </w:r>
    </w:p>
    <w:p w14:paraId="6DC9F69A" w14:textId="77777777" w:rsidR="00531C6E" w:rsidRPr="00BA6ECE" w:rsidRDefault="00531C6E" w:rsidP="002648E9">
      <w:pPr>
        <w:pStyle w:val="ListParagraph"/>
        <w:spacing w:line="276" w:lineRule="auto"/>
        <w:jc w:val="both"/>
        <w:rPr>
          <w:rStyle w:val="a2"/>
          <w:rFonts w:ascii="Times New Roman" w:eastAsia="Times New Roman" w:hAnsi="Times New Roman" w:cs="Times New Roman"/>
          <w:color w:val="000000" w:themeColor="text1"/>
        </w:rPr>
      </w:pPr>
    </w:p>
    <w:p w14:paraId="780666E8" w14:textId="40210F14" w:rsidR="00531C6E" w:rsidRPr="00BA6ECE" w:rsidRDefault="00CD6074" w:rsidP="002648E9">
      <w:pPr>
        <w:pStyle w:val="ListParagraph"/>
        <w:numPr>
          <w:ilvl w:val="0"/>
          <w:numId w:val="4"/>
        </w:numPr>
        <w:spacing w:line="276" w:lineRule="auto"/>
        <w:jc w:val="both"/>
        <w:rPr>
          <w:rFonts w:ascii="Times New Roman" w:hAnsi="Times New Roman" w:cs="Times New Roman"/>
          <w:color w:val="000000" w:themeColor="text1"/>
        </w:rPr>
      </w:pPr>
      <w:r w:rsidRPr="00BA6ECE">
        <w:rPr>
          <w:rStyle w:val="a2"/>
          <w:rFonts w:ascii="Times New Roman" w:hAnsi="Times New Roman" w:cs="Times New Roman"/>
          <w:color w:val="000000" w:themeColor="text1"/>
        </w:rPr>
        <w:t xml:space="preserve">Please clarify the </w:t>
      </w:r>
      <w:r w:rsidR="00EE0E80" w:rsidRPr="00BA6ECE">
        <w:rPr>
          <w:rStyle w:val="a2"/>
          <w:rFonts w:ascii="Times New Roman" w:hAnsi="Times New Roman" w:cs="Times New Roman"/>
          <w:color w:val="000000" w:themeColor="text1"/>
        </w:rPr>
        <w:t>means by which the State Party</w:t>
      </w:r>
      <w:r w:rsidRPr="00BA6ECE">
        <w:rPr>
          <w:rStyle w:val="a2"/>
          <w:rFonts w:ascii="Times New Roman" w:hAnsi="Times New Roman" w:cs="Times New Roman"/>
          <w:color w:val="000000" w:themeColor="text1"/>
        </w:rPr>
        <w:t xml:space="preserve"> </w:t>
      </w:r>
      <w:r w:rsidR="0004701B" w:rsidRPr="00BA6ECE">
        <w:rPr>
          <w:rStyle w:val="a2"/>
          <w:rFonts w:ascii="Times New Roman" w:hAnsi="Times New Roman" w:cs="Times New Roman"/>
          <w:color w:val="000000" w:themeColor="text1"/>
        </w:rPr>
        <w:t>‘</w:t>
      </w:r>
      <w:r w:rsidRPr="00BA6ECE">
        <w:rPr>
          <w:rStyle w:val="a2"/>
          <w:rFonts w:ascii="Times New Roman" w:hAnsi="Times New Roman" w:cs="Times New Roman"/>
          <w:color w:val="000000" w:themeColor="text1"/>
        </w:rPr>
        <w:t>very few lawyers</w:t>
      </w:r>
      <w:r w:rsidR="0004701B" w:rsidRPr="00BA6ECE">
        <w:rPr>
          <w:rStyle w:val="a2"/>
          <w:rFonts w:ascii="Times New Roman" w:hAnsi="Times New Roman" w:cs="Times New Roman"/>
          <w:color w:val="000000" w:themeColor="text1"/>
        </w:rPr>
        <w:t>’</w:t>
      </w:r>
      <w:r w:rsidRPr="00BA6ECE">
        <w:rPr>
          <w:rStyle w:val="a2"/>
          <w:rFonts w:ascii="Times New Roman" w:hAnsi="Times New Roman" w:cs="Times New Roman"/>
          <w:color w:val="000000" w:themeColor="text1"/>
        </w:rPr>
        <w:t xml:space="preserve"> who have </w:t>
      </w:r>
      <w:r w:rsidR="0004701B" w:rsidRPr="00BA6ECE">
        <w:rPr>
          <w:rStyle w:val="a2"/>
          <w:rFonts w:ascii="Times New Roman" w:hAnsi="Times New Roman" w:cs="Times New Roman"/>
          <w:color w:val="000000" w:themeColor="text1"/>
        </w:rPr>
        <w:t>‘</w:t>
      </w:r>
      <w:r w:rsidRPr="00BA6ECE">
        <w:rPr>
          <w:rStyle w:val="a2"/>
          <w:rFonts w:ascii="Times New Roman" w:hAnsi="Times New Roman" w:cs="Times New Roman"/>
          <w:color w:val="000000" w:themeColor="text1"/>
        </w:rPr>
        <w:t>violated professional ethics and professional discipline or on suspicion of involvement in criminality</w:t>
      </w:r>
      <w:r w:rsidR="0004701B" w:rsidRPr="00BA6ECE">
        <w:rPr>
          <w:rStyle w:val="a2"/>
          <w:rFonts w:ascii="Times New Roman" w:hAnsi="Times New Roman" w:cs="Times New Roman"/>
          <w:color w:val="000000" w:themeColor="text1"/>
        </w:rPr>
        <w:t>,’</w:t>
      </w:r>
      <w:r w:rsidRPr="00BA6ECE">
        <w:rPr>
          <w:rStyle w:val="a2"/>
          <w:rFonts w:ascii="Times New Roman" w:hAnsi="Times New Roman" w:cs="Times New Roman"/>
          <w:color w:val="000000" w:themeColor="text1"/>
        </w:rPr>
        <w:t xml:space="preserve"> </w:t>
      </w:r>
      <w:r w:rsidR="0004701B" w:rsidRPr="00BA6ECE">
        <w:rPr>
          <w:rStyle w:val="a2"/>
          <w:rFonts w:ascii="Times New Roman" w:hAnsi="Times New Roman" w:cs="Times New Roman"/>
          <w:color w:val="000000" w:themeColor="text1"/>
        </w:rPr>
        <w:t xml:space="preserve">as stated </w:t>
      </w:r>
      <w:r w:rsidRPr="00BA6ECE">
        <w:rPr>
          <w:rStyle w:val="a2"/>
          <w:rFonts w:ascii="Times New Roman" w:hAnsi="Times New Roman" w:cs="Times New Roman"/>
          <w:color w:val="000000" w:themeColor="text1"/>
        </w:rPr>
        <w:t>in paragraph 31 of the State Party’s report.</w:t>
      </w:r>
    </w:p>
    <w:p w14:paraId="28A6C0F4" w14:textId="77777777" w:rsidR="00531C6E" w:rsidRPr="00BA6ECE" w:rsidRDefault="00531C6E" w:rsidP="002648E9">
      <w:pPr>
        <w:pStyle w:val="a0"/>
        <w:spacing w:line="276" w:lineRule="auto"/>
        <w:jc w:val="both"/>
        <w:rPr>
          <w:rStyle w:val="a2"/>
          <w:rFonts w:ascii="Times New Roman" w:eastAsia="Times New Roman" w:hAnsi="Times New Roman" w:cs="Times New Roman"/>
          <w:color w:val="000000" w:themeColor="text1"/>
        </w:rPr>
      </w:pPr>
    </w:p>
    <w:p w14:paraId="20450F0F" w14:textId="0A867B1A" w:rsidR="00531C6E" w:rsidRPr="00BA6ECE" w:rsidRDefault="00CD6074" w:rsidP="002648E9">
      <w:pPr>
        <w:pStyle w:val="ListParagraph"/>
        <w:numPr>
          <w:ilvl w:val="0"/>
          <w:numId w:val="4"/>
        </w:numPr>
        <w:spacing w:line="276" w:lineRule="auto"/>
        <w:jc w:val="both"/>
        <w:rPr>
          <w:rFonts w:ascii="Times New Roman" w:hAnsi="Times New Roman" w:cs="Times New Roman"/>
          <w:color w:val="000000" w:themeColor="text1"/>
        </w:rPr>
      </w:pPr>
      <w:r w:rsidRPr="00BA6ECE">
        <w:rPr>
          <w:rStyle w:val="a2"/>
          <w:rFonts w:ascii="Times New Roman" w:hAnsi="Times New Roman" w:cs="Times New Roman"/>
          <w:color w:val="000000" w:themeColor="text1"/>
        </w:rPr>
        <w:lastRenderedPageBreak/>
        <w:t>Please provide information on any delay on payments in wages, pensions and benefits for lawyers in State-owned enterprises, and on any measures taken by the Government to rectify the situation.</w:t>
      </w:r>
    </w:p>
    <w:p w14:paraId="145F71B1" w14:textId="77777777" w:rsidR="00531C6E" w:rsidRPr="00BA6ECE" w:rsidRDefault="00531C6E" w:rsidP="002648E9">
      <w:pPr>
        <w:pStyle w:val="a0"/>
        <w:spacing w:line="276" w:lineRule="auto"/>
        <w:jc w:val="both"/>
        <w:rPr>
          <w:rStyle w:val="a2"/>
          <w:rFonts w:ascii="Times New Roman" w:eastAsia="Times New Roman" w:hAnsi="Times New Roman" w:cs="Times New Roman"/>
          <w:color w:val="000000" w:themeColor="text1"/>
        </w:rPr>
      </w:pPr>
    </w:p>
    <w:p w14:paraId="2C995278" w14:textId="24FBC501" w:rsidR="00531C6E" w:rsidRPr="00BA6ECE" w:rsidRDefault="00CD6074" w:rsidP="002648E9">
      <w:pPr>
        <w:pStyle w:val="ListParagraph"/>
        <w:numPr>
          <w:ilvl w:val="0"/>
          <w:numId w:val="4"/>
        </w:numPr>
        <w:spacing w:line="276" w:lineRule="auto"/>
        <w:jc w:val="both"/>
        <w:rPr>
          <w:rFonts w:ascii="Times New Roman" w:hAnsi="Times New Roman" w:cs="Times New Roman"/>
          <w:color w:val="000000" w:themeColor="text1"/>
        </w:rPr>
      </w:pPr>
      <w:r w:rsidRPr="00BA6ECE">
        <w:rPr>
          <w:rStyle w:val="a2"/>
          <w:rFonts w:ascii="Times New Roman" w:hAnsi="Times New Roman" w:cs="Times New Roman"/>
          <w:color w:val="000000" w:themeColor="text1"/>
        </w:rPr>
        <w:t xml:space="preserve">Please provide further information on the standard </w:t>
      </w:r>
      <w:r w:rsidR="004C5956" w:rsidRPr="00BA6ECE">
        <w:rPr>
          <w:rStyle w:val="a2"/>
          <w:rFonts w:ascii="Times New Roman" w:hAnsi="Times New Roman" w:cs="Times New Roman"/>
          <w:color w:val="000000" w:themeColor="text1"/>
        </w:rPr>
        <w:t xml:space="preserve">and criteria </w:t>
      </w:r>
      <w:r w:rsidRPr="00BA6ECE">
        <w:rPr>
          <w:rStyle w:val="a2"/>
          <w:rFonts w:ascii="Times New Roman" w:hAnsi="Times New Roman" w:cs="Times New Roman"/>
          <w:color w:val="000000" w:themeColor="text1"/>
        </w:rPr>
        <w:t xml:space="preserve">of the regulatory framework i.e. the annual review system, </w:t>
      </w:r>
      <w:r w:rsidR="004C5956" w:rsidRPr="00BA6ECE">
        <w:rPr>
          <w:rStyle w:val="a2"/>
          <w:rFonts w:ascii="Times New Roman" w:hAnsi="Times New Roman" w:cs="Times New Roman"/>
          <w:color w:val="000000" w:themeColor="text1"/>
        </w:rPr>
        <w:t xml:space="preserve">and the number of cases of </w:t>
      </w:r>
      <w:r w:rsidRPr="00BA6ECE">
        <w:rPr>
          <w:rStyle w:val="a2"/>
          <w:rFonts w:ascii="Times New Roman" w:hAnsi="Times New Roman" w:cs="Times New Roman"/>
          <w:color w:val="000000" w:themeColor="text1"/>
        </w:rPr>
        <w:t>disqualification or revocation of legal practicing certificates. According to CHRLCG’s information,</w:t>
      </w:r>
      <w:r w:rsidR="00FD3E4A" w:rsidRPr="00BA6ECE">
        <w:rPr>
          <w:rStyle w:val="a2"/>
          <w:rFonts w:ascii="Times New Roman" w:hAnsi="Times New Roman" w:cs="Times New Roman"/>
          <w:color w:val="000000" w:themeColor="text1"/>
        </w:rPr>
        <w:t xml:space="preserve"> more than </w:t>
      </w:r>
      <w:r w:rsidR="000A0A81" w:rsidRPr="00BA6ECE">
        <w:rPr>
          <w:rStyle w:val="a2"/>
          <w:rFonts w:ascii="Times New Roman" w:hAnsi="Times New Roman" w:cs="Times New Roman"/>
          <w:color w:val="000000" w:themeColor="text1"/>
        </w:rPr>
        <w:t>4</w:t>
      </w:r>
      <w:r w:rsidR="00FD3E4A" w:rsidRPr="00BA6ECE">
        <w:rPr>
          <w:rStyle w:val="a2"/>
          <w:rFonts w:ascii="Times New Roman" w:hAnsi="Times New Roman" w:cs="Times New Roman"/>
          <w:color w:val="000000" w:themeColor="text1"/>
        </w:rPr>
        <w:t>0</w:t>
      </w:r>
      <w:r w:rsidRPr="00BA6ECE">
        <w:rPr>
          <w:rStyle w:val="a2"/>
          <w:rFonts w:ascii="Times New Roman" w:hAnsi="Times New Roman" w:cs="Times New Roman"/>
          <w:color w:val="000000" w:themeColor="text1"/>
        </w:rPr>
        <w:t xml:space="preserve"> lawyers </w:t>
      </w:r>
      <w:r w:rsidR="00FD3E4A" w:rsidRPr="00BA6ECE">
        <w:rPr>
          <w:rStyle w:val="a2"/>
          <w:rFonts w:ascii="Times New Roman" w:hAnsi="Times New Roman" w:cs="Times New Roman"/>
          <w:color w:val="000000" w:themeColor="text1"/>
        </w:rPr>
        <w:t>had their legal practicing certificates</w:t>
      </w:r>
      <w:r w:rsidRPr="00BA6ECE">
        <w:rPr>
          <w:rStyle w:val="a2"/>
          <w:rFonts w:ascii="Times New Roman" w:hAnsi="Times New Roman" w:cs="Times New Roman"/>
          <w:color w:val="000000" w:themeColor="text1"/>
        </w:rPr>
        <w:t xml:space="preserve"> suspended </w:t>
      </w:r>
      <w:r w:rsidR="00FD3E4A" w:rsidRPr="00BA6ECE">
        <w:rPr>
          <w:rStyle w:val="a2"/>
          <w:rFonts w:ascii="Times New Roman" w:hAnsi="Times New Roman" w:cs="Times New Roman"/>
          <w:color w:val="000000" w:themeColor="text1"/>
        </w:rPr>
        <w:t xml:space="preserve">or </w:t>
      </w:r>
      <w:r w:rsidRPr="00BA6ECE">
        <w:rPr>
          <w:rStyle w:val="a2"/>
          <w:rFonts w:ascii="Times New Roman" w:hAnsi="Times New Roman" w:cs="Times New Roman"/>
          <w:color w:val="000000" w:themeColor="text1"/>
        </w:rPr>
        <w:t>revoked due to their human rights work</w:t>
      </w:r>
      <w:r w:rsidR="000A0A81" w:rsidRPr="00BA6ECE">
        <w:rPr>
          <w:rStyle w:val="a2"/>
          <w:rFonts w:ascii="Times New Roman" w:hAnsi="Times New Roman" w:cs="Times New Roman"/>
          <w:color w:val="000000" w:themeColor="text1"/>
        </w:rPr>
        <w:t xml:space="preserve"> in the last 5 years</w:t>
      </w:r>
      <w:r w:rsidRPr="00BA6ECE">
        <w:rPr>
          <w:rStyle w:val="a2"/>
          <w:rFonts w:ascii="Times New Roman" w:hAnsi="Times New Roman" w:cs="Times New Roman"/>
          <w:color w:val="000000" w:themeColor="text1"/>
        </w:rPr>
        <w:t>.</w:t>
      </w:r>
    </w:p>
    <w:p w14:paraId="10FD7DCB" w14:textId="77777777" w:rsidR="00531C6E" w:rsidRPr="00BA6ECE" w:rsidRDefault="00531C6E" w:rsidP="002648E9">
      <w:pPr>
        <w:pStyle w:val="ListParagraph"/>
        <w:spacing w:line="276" w:lineRule="auto"/>
        <w:jc w:val="both"/>
        <w:rPr>
          <w:rStyle w:val="a2"/>
          <w:rFonts w:ascii="Times New Roman" w:eastAsia="Times New Roman" w:hAnsi="Times New Roman" w:cs="Times New Roman"/>
          <w:color w:val="000000" w:themeColor="text1"/>
        </w:rPr>
      </w:pPr>
    </w:p>
    <w:p w14:paraId="67CF9110" w14:textId="642D540F" w:rsidR="00531C6E" w:rsidRPr="00BA6ECE" w:rsidRDefault="00CD6074" w:rsidP="002648E9">
      <w:pPr>
        <w:pStyle w:val="ListParagraph"/>
        <w:numPr>
          <w:ilvl w:val="0"/>
          <w:numId w:val="4"/>
        </w:numPr>
        <w:spacing w:line="276" w:lineRule="auto"/>
        <w:jc w:val="both"/>
        <w:rPr>
          <w:rFonts w:ascii="Times New Roman" w:hAnsi="Times New Roman" w:cs="Times New Roman"/>
          <w:color w:val="000000" w:themeColor="text1"/>
        </w:rPr>
      </w:pPr>
      <w:r w:rsidRPr="00BA6ECE">
        <w:rPr>
          <w:rStyle w:val="a2"/>
          <w:rFonts w:ascii="Times New Roman" w:hAnsi="Times New Roman" w:cs="Times New Roman"/>
          <w:color w:val="000000" w:themeColor="text1"/>
        </w:rPr>
        <w:t>Please provide statistics on the number of lawyers subjected to revocation of legal practicing certificates and specify the reasons for their revocation since the last review.</w:t>
      </w:r>
    </w:p>
    <w:p w14:paraId="20FCF51F" w14:textId="77777777" w:rsidR="00531C6E" w:rsidRPr="00BA6ECE" w:rsidRDefault="00531C6E" w:rsidP="002648E9">
      <w:pPr>
        <w:pStyle w:val="ListParagraph"/>
        <w:spacing w:line="276" w:lineRule="auto"/>
        <w:jc w:val="both"/>
        <w:rPr>
          <w:rStyle w:val="a2"/>
          <w:rFonts w:ascii="Times New Roman" w:eastAsia="Times New Roman" w:hAnsi="Times New Roman" w:cs="Times New Roman"/>
          <w:color w:val="000000" w:themeColor="text1"/>
        </w:rPr>
      </w:pPr>
    </w:p>
    <w:p w14:paraId="235465BA" w14:textId="77777777" w:rsidR="00531C6E" w:rsidRPr="00BA6ECE" w:rsidRDefault="00CD6074" w:rsidP="002648E9">
      <w:pPr>
        <w:pStyle w:val="ListParagraph"/>
        <w:numPr>
          <w:ilvl w:val="0"/>
          <w:numId w:val="4"/>
        </w:numPr>
        <w:spacing w:line="276" w:lineRule="auto"/>
        <w:jc w:val="both"/>
        <w:rPr>
          <w:rFonts w:ascii="Times New Roman" w:hAnsi="Times New Roman" w:cs="Times New Roman"/>
          <w:color w:val="000000" w:themeColor="text1"/>
        </w:rPr>
      </w:pPr>
      <w:r w:rsidRPr="00BA6ECE">
        <w:rPr>
          <w:rStyle w:val="a2"/>
          <w:rFonts w:ascii="Times New Roman" w:hAnsi="Times New Roman" w:cs="Times New Roman"/>
          <w:color w:val="000000" w:themeColor="text1"/>
        </w:rPr>
        <w:t>Please provide details as to the mechanism allowed for lawyers to challenge the decision of revocation of his / her legal practicing certificates.</w:t>
      </w:r>
    </w:p>
    <w:p w14:paraId="77CF64A3" w14:textId="77777777" w:rsidR="00531C6E" w:rsidRPr="00BA6ECE" w:rsidRDefault="00531C6E" w:rsidP="002648E9">
      <w:pPr>
        <w:pStyle w:val="ListParagraph"/>
        <w:spacing w:line="276" w:lineRule="auto"/>
        <w:jc w:val="both"/>
        <w:rPr>
          <w:rStyle w:val="a2"/>
          <w:rFonts w:ascii="Times New Roman" w:eastAsia="Times New Roman" w:hAnsi="Times New Roman" w:cs="Times New Roman"/>
          <w:color w:val="000000" w:themeColor="text1"/>
        </w:rPr>
      </w:pPr>
    </w:p>
    <w:p w14:paraId="0EE9A21D" w14:textId="77777777" w:rsidR="00EE0E80" w:rsidRPr="00BA6ECE" w:rsidRDefault="00CD6074" w:rsidP="002648E9">
      <w:pPr>
        <w:pStyle w:val="ListParagraph"/>
        <w:numPr>
          <w:ilvl w:val="0"/>
          <w:numId w:val="4"/>
        </w:numPr>
        <w:spacing w:line="276" w:lineRule="auto"/>
        <w:jc w:val="both"/>
        <w:rPr>
          <w:rStyle w:val="a2"/>
          <w:rFonts w:ascii="Times New Roman" w:hAnsi="Times New Roman" w:cs="Times New Roman"/>
          <w:color w:val="000000" w:themeColor="text1"/>
        </w:rPr>
      </w:pPr>
      <w:r w:rsidRPr="00BA6ECE">
        <w:rPr>
          <w:rStyle w:val="a2"/>
          <w:rFonts w:ascii="Times New Roman" w:hAnsi="Times New Roman" w:cs="Times New Roman"/>
          <w:color w:val="000000" w:themeColor="text1"/>
        </w:rPr>
        <w:t xml:space="preserve">Please provide information on steps taken to ensure that human rights lawyers can fully exercise their right to legally represent their clients and take part in various stages of legal procedures, including meeting their clients, as well as preparing their defence freely and without the State’s interference or threats. </w:t>
      </w:r>
    </w:p>
    <w:p w14:paraId="0B526D43" w14:textId="77777777" w:rsidR="00EE0E80" w:rsidRPr="00BA6ECE" w:rsidRDefault="00EE0E80" w:rsidP="002648E9">
      <w:pPr>
        <w:pStyle w:val="ListParagraph"/>
        <w:spacing w:line="276" w:lineRule="auto"/>
        <w:jc w:val="both"/>
        <w:rPr>
          <w:rStyle w:val="a2"/>
          <w:rFonts w:ascii="Times New Roman" w:hAnsi="Times New Roman" w:cs="Times New Roman"/>
          <w:color w:val="000000" w:themeColor="text1"/>
        </w:rPr>
      </w:pPr>
    </w:p>
    <w:p w14:paraId="416D5627" w14:textId="77777777" w:rsidR="001E0957" w:rsidRPr="00BA6ECE" w:rsidRDefault="00CD6074" w:rsidP="002648E9">
      <w:pPr>
        <w:pStyle w:val="ListParagraph"/>
        <w:spacing w:line="276" w:lineRule="auto"/>
        <w:jc w:val="both"/>
        <w:rPr>
          <w:rStyle w:val="a2"/>
          <w:rFonts w:ascii="Times New Roman" w:hAnsi="Times New Roman" w:cs="Times New Roman"/>
          <w:color w:val="000000" w:themeColor="text1"/>
          <w:lang w:val="en-AU"/>
        </w:rPr>
      </w:pPr>
      <w:r w:rsidRPr="00BA6ECE">
        <w:rPr>
          <w:rStyle w:val="a2"/>
          <w:rFonts w:ascii="Times New Roman" w:hAnsi="Times New Roman" w:cs="Times New Roman"/>
          <w:color w:val="000000" w:themeColor="text1"/>
        </w:rPr>
        <w:t xml:space="preserve">According to CHRLG’s information, </w:t>
      </w:r>
      <w:r w:rsidR="00357A10" w:rsidRPr="00BA6ECE">
        <w:rPr>
          <w:rStyle w:val="a2"/>
          <w:rFonts w:ascii="Times New Roman" w:hAnsi="Times New Roman" w:cs="Times New Roman"/>
          <w:color w:val="000000" w:themeColor="text1"/>
        </w:rPr>
        <w:t>there are multiple cases where human rights lawyers who are detained cannot meet their defenc</w:t>
      </w:r>
      <w:r w:rsidR="00EE0E80" w:rsidRPr="00BA6ECE">
        <w:rPr>
          <w:rStyle w:val="a2"/>
          <w:rFonts w:ascii="Times New Roman" w:hAnsi="Times New Roman" w:cs="Times New Roman"/>
          <w:color w:val="000000" w:themeColor="text1"/>
        </w:rPr>
        <w:t>e</w:t>
      </w:r>
      <w:r w:rsidR="00357A10" w:rsidRPr="00BA6ECE">
        <w:rPr>
          <w:rStyle w:val="a2"/>
          <w:rFonts w:ascii="Times New Roman" w:hAnsi="Times New Roman" w:cs="Times New Roman"/>
          <w:color w:val="000000" w:themeColor="text1"/>
        </w:rPr>
        <w:t xml:space="preserve"> lawyers accordingly, including but not limited to the cases of Gao Zhisheng</w:t>
      </w:r>
      <w:r w:rsidR="0004701B" w:rsidRPr="00BA6ECE">
        <w:rPr>
          <w:rStyle w:val="a2"/>
          <w:rFonts w:ascii="Times New Roman" w:hAnsi="Times New Roman" w:cs="Times New Roman"/>
          <w:color w:val="000000" w:themeColor="text1"/>
        </w:rPr>
        <w:t xml:space="preserve"> (see JUA CHN 8/2017 and 5/2020)</w:t>
      </w:r>
      <w:r w:rsidR="00357A10" w:rsidRPr="00BA6ECE">
        <w:rPr>
          <w:rStyle w:val="a2"/>
          <w:rFonts w:ascii="Times New Roman" w:hAnsi="Times New Roman" w:cs="Times New Roman"/>
          <w:color w:val="000000" w:themeColor="text1"/>
        </w:rPr>
        <w:t xml:space="preserve"> and Jiang Tian</w:t>
      </w:r>
      <w:r w:rsidR="00357A10" w:rsidRPr="00BA6ECE">
        <w:rPr>
          <w:rStyle w:val="a2"/>
          <w:rFonts w:ascii="Times New Roman" w:hAnsi="Times New Roman" w:cs="Times New Roman"/>
          <w:color w:val="000000" w:themeColor="text1"/>
          <w:lang w:val="en-AU"/>
        </w:rPr>
        <w:t>yong</w:t>
      </w:r>
      <w:r w:rsidR="0004701B" w:rsidRPr="00BA6ECE">
        <w:rPr>
          <w:rStyle w:val="a2"/>
          <w:rFonts w:ascii="Times New Roman" w:hAnsi="Times New Roman" w:cs="Times New Roman"/>
          <w:color w:val="000000" w:themeColor="text1"/>
          <w:lang w:val="en-AU"/>
        </w:rPr>
        <w:t xml:space="preserve"> (see JUA</w:t>
      </w:r>
      <w:r w:rsidR="00EE0E80" w:rsidRPr="00BA6ECE">
        <w:rPr>
          <w:rStyle w:val="a2"/>
          <w:rFonts w:ascii="Times New Roman" w:hAnsi="Times New Roman" w:cs="Times New Roman"/>
          <w:color w:val="000000" w:themeColor="text1"/>
          <w:lang w:val="en-AU"/>
        </w:rPr>
        <w:t xml:space="preserve"> CHN 13/2016, 3/2017, and 9/2019)</w:t>
      </w:r>
      <w:r w:rsidR="00357A10" w:rsidRPr="00BA6ECE">
        <w:rPr>
          <w:rStyle w:val="a2"/>
          <w:rFonts w:ascii="Times New Roman" w:hAnsi="Times New Roman" w:cs="Times New Roman"/>
          <w:color w:val="000000" w:themeColor="text1"/>
          <w:lang w:val="en-AU"/>
        </w:rPr>
        <w:t>.</w:t>
      </w:r>
    </w:p>
    <w:p w14:paraId="62F93996" w14:textId="77777777" w:rsidR="001E0957" w:rsidRPr="00BA6ECE" w:rsidRDefault="001E0957" w:rsidP="002648E9">
      <w:pPr>
        <w:pStyle w:val="ListParagraph"/>
        <w:spacing w:line="276" w:lineRule="auto"/>
        <w:jc w:val="both"/>
        <w:rPr>
          <w:rStyle w:val="a2"/>
          <w:rFonts w:ascii="Times New Roman" w:hAnsi="Times New Roman" w:cs="Times New Roman"/>
          <w:color w:val="000000" w:themeColor="text1"/>
          <w:lang w:val="en-AU"/>
        </w:rPr>
      </w:pPr>
    </w:p>
    <w:p w14:paraId="5B79C7F9" w14:textId="38F16809" w:rsidR="00531C6E" w:rsidRPr="00BA6ECE" w:rsidRDefault="001E0957" w:rsidP="002648E9">
      <w:pPr>
        <w:pStyle w:val="ListParagraph"/>
        <w:numPr>
          <w:ilvl w:val="0"/>
          <w:numId w:val="4"/>
        </w:numPr>
        <w:spacing w:line="276" w:lineRule="auto"/>
        <w:jc w:val="both"/>
        <w:rPr>
          <w:rStyle w:val="a2"/>
          <w:rFonts w:ascii="Times New Roman" w:hAnsi="Times New Roman" w:cs="Times New Roman"/>
          <w:color w:val="000000" w:themeColor="text1"/>
        </w:rPr>
      </w:pPr>
      <w:r w:rsidRPr="00BA6ECE">
        <w:rPr>
          <w:rStyle w:val="a2"/>
          <w:rFonts w:ascii="Times New Roman" w:hAnsi="Times New Roman" w:cs="Times New Roman"/>
          <w:color w:val="000000" w:themeColor="text1"/>
        </w:rPr>
        <w:t>Please provide further details and statistics on the relationship between Chinese government organs (e.g., the Ministry of Justice, the Supreme People’s Procuratorate) and the All China Lawyers Association and clarify how conflicts of interest are handled with respect to executive committee members who are high-ranking Chinese Communist Party members.</w:t>
      </w:r>
      <w:r w:rsidR="00357A10" w:rsidRPr="00BA6ECE">
        <w:rPr>
          <w:rStyle w:val="a2"/>
          <w:rFonts w:ascii="Times New Roman" w:hAnsi="Times New Roman" w:cs="Times New Roman"/>
          <w:color w:val="000000" w:themeColor="text1"/>
          <w:lang w:val="en-AU"/>
        </w:rPr>
        <w:t xml:space="preserve"> </w:t>
      </w:r>
    </w:p>
    <w:p w14:paraId="2030F9D6" w14:textId="4B3E17A1" w:rsidR="001E0957" w:rsidRPr="00BA6ECE" w:rsidRDefault="001E0957" w:rsidP="002648E9">
      <w:pPr>
        <w:spacing w:line="276" w:lineRule="auto"/>
        <w:jc w:val="both"/>
        <w:rPr>
          <w:rStyle w:val="a2"/>
          <w:color w:val="000000" w:themeColor="text1"/>
        </w:rPr>
      </w:pPr>
    </w:p>
    <w:p w14:paraId="281D46DE" w14:textId="77C3C2AE" w:rsidR="00F51D38" w:rsidRPr="00BA6ECE" w:rsidRDefault="00F51D38" w:rsidP="002648E9">
      <w:pPr>
        <w:spacing w:line="276" w:lineRule="auto"/>
        <w:jc w:val="both"/>
        <w:rPr>
          <w:rStyle w:val="a2"/>
          <w:b/>
          <w:bCs/>
          <w:color w:val="000000" w:themeColor="text1"/>
        </w:rPr>
      </w:pPr>
      <w:r w:rsidRPr="00BA6ECE">
        <w:rPr>
          <w:rStyle w:val="a2"/>
          <w:b/>
          <w:bCs/>
          <w:color w:val="000000" w:themeColor="text1"/>
        </w:rPr>
        <w:t xml:space="preserve">III. </w:t>
      </w:r>
      <w:r w:rsidR="002648E9" w:rsidRPr="00BA6ECE">
        <w:rPr>
          <w:rStyle w:val="a2"/>
          <w:b/>
          <w:bCs/>
          <w:color w:val="000000" w:themeColor="text1"/>
        </w:rPr>
        <w:t>Administrative detention which hinders human rights defenders’ and lawyers’ right to work</w:t>
      </w:r>
    </w:p>
    <w:p w14:paraId="55EF2D63" w14:textId="643E75E7" w:rsidR="00F51D38" w:rsidRPr="00BA6ECE" w:rsidRDefault="00F51D38" w:rsidP="002648E9">
      <w:pPr>
        <w:spacing w:line="276" w:lineRule="auto"/>
        <w:jc w:val="both"/>
        <w:rPr>
          <w:rStyle w:val="a2"/>
          <w:color w:val="000000" w:themeColor="text1"/>
          <w:lang w:val="en-AU" w:eastAsia="zh-TW"/>
        </w:rPr>
      </w:pPr>
    </w:p>
    <w:p w14:paraId="5C56F496" w14:textId="27281B09" w:rsidR="00D715B5" w:rsidRPr="00BA6ECE" w:rsidRDefault="00D715B5" w:rsidP="002648E9">
      <w:pPr>
        <w:spacing w:line="276" w:lineRule="auto"/>
        <w:jc w:val="both"/>
        <w:rPr>
          <w:rStyle w:val="a2"/>
          <w:color w:val="000000" w:themeColor="text1"/>
        </w:rPr>
      </w:pPr>
      <w:r w:rsidRPr="00BA6ECE">
        <w:rPr>
          <w:rStyle w:val="a2"/>
          <w:color w:val="000000" w:themeColor="text1"/>
        </w:rPr>
        <w:t xml:space="preserve">This section responds to paragraph 30 of the periodic State Party report </w:t>
      </w:r>
      <w:r w:rsidR="00982AF0" w:rsidRPr="00BA6ECE">
        <w:rPr>
          <w:rStyle w:val="a2"/>
          <w:color w:val="000000" w:themeColor="text1"/>
        </w:rPr>
        <w:t>(</w:t>
      </w:r>
      <w:r w:rsidRPr="00BA6ECE">
        <w:rPr>
          <w:rStyle w:val="a2"/>
          <w:color w:val="000000" w:themeColor="text1"/>
        </w:rPr>
        <w:t>2019</w:t>
      </w:r>
      <w:r w:rsidR="00982AF0" w:rsidRPr="00BA6ECE">
        <w:rPr>
          <w:rStyle w:val="a2"/>
          <w:color w:val="000000" w:themeColor="text1"/>
        </w:rPr>
        <w:t>)</w:t>
      </w:r>
      <w:r w:rsidR="00F51D38" w:rsidRPr="00BA6ECE">
        <w:rPr>
          <w:rStyle w:val="a2"/>
          <w:color w:val="000000" w:themeColor="text1"/>
        </w:rPr>
        <w:t>,</w:t>
      </w:r>
      <w:r w:rsidRPr="00BA6ECE">
        <w:rPr>
          <w:rStyle w:val="a2"/>
          <w:color w:val="000000" w:themeColor="text1"/>
        </w:rPr>
        <w:t xml:space="preserve"> and </w:t>
      </w:r>
      <w:r w:rsidRPr="00BA6ECE">
        <w:rPr>
          <w:rStyle w:val="a2"/>
          <w:color w:val="000000" w:themeColor="text1"/>
          <w:lang w:val="en-AU"/>
        </w:rPr>
        <w:t>follows up on concerns expressed by the Committee in its 2014 Concluding Observations, paragraph 38</w:t>
      </w:r>
      <w:r w:rsidRPr="00BA6ECE">
        <w:rPr>
          <w:rStyle w:val="a2"/>
          <w:color w:val="000000" w:themeColor="text1"/>
        </w:rPr>
        <w:t>. These sections refer to reports of instances where labour and human rights activists, and</w:t>
      </w:r>
      <w:r w:rsidR="00F51D38" w:rsidRPr="00BA6ECE">
        <w:rPr>
          <w:rStyle w:val="a2"/>
          <w:color w:val="000000" w:themeColor="text1"/>
        </w:rPr>
        <w:t xml:space="preserve"> </w:t>
      </w:r>
      <w:r w:rsidRPr="00BA6ECE">
        <w:rPr>
          <w:rStyle w:val="a2"/>
          <w:color w:val="000000" w:themeColor="text1"/>
        </w:rPr>
        <w:t>their lawyers, have been victims of repression and reprisals when taking up cases</w:t>
      </w:r>
      <w:r w:rsidR="002648E9" w:rsidRPr="00BA6ECE">
        <w:rPr>
          <w:rStyle w:val="a2"/>
          <w:color w:val="000000" w:themeColor="text1"/>
        </w:rPr>
        <w:t xml:space="preserve"> </w:t>
      </w:r>
      <w:r w:rsidRPr="00BA6ECE">
        <w:rPr>
          <w:rStyle w:val="a2"/>
          <w:color w:val="000000" w:themeColor="text1"/>
        </w:rPr>
        <w:t xml:space="preserve">of violations of economic, social and cultural rights. </w:t>
      </w:r>
      <w:r w:rsidR="00F51D38" w:rsidRPr="00BA6ECE">
        <w:rPr>
          <w:rStyle w:val="a2"/>
          <w:color w:val="000000" w:themeColor="text1"/>
        </w:rPr>
        <w:t>This section is also written with reference to Article 6 Section</w:t>
      </w:r>
      <w:r w:rsidR="002648E9" w:rsidRPr="00BA6ECE">
        <w:rPr>
          <w:rStyle w:val="a2"/>
          <w:color w:val="000000" w:themeColor="text1"/>
        </w:rPr>
        <w:t xml:space="preserve"> </w:t>
      </w:r>
      <w:r w:rsidR="00F51D38" w:rsidRPr="00BA6ECE">
        <w:rPr>
          <w:rStyle w:val="a2"/>
          <w:color w:val="000000" w:themeColor="text1"/>
        </w:rPr>
        <w:t xml:space="preserve">1 of the Covenant, which states that </w:t>
      </w:r>
      <w:r w:rsidR="002648E9" w:rsidRPr="00BA6ECE">
        <w:rPr>
          <w:rStyle w:val="a2"/>
          <w:color w:val="000000" w:themeColor="text1"/>
        </w:rPr>
        <w:t>‘</w:t>
      </w:r>
      <w:r w:rsidR="00F51D38" w:rsidRPr="00BA6ECE">
        <w:rPr>
          <w:rStyle w:val="a2"/>
          <w:color w:val="000000" w:themeColor="text1"/>
        </w:rPr>
        <w:t>the States Parties to the present Covenant recognize the right to work, which includes the right of everyone to the opportunity to gain his living by work which he freely chooses or accepts, and will take appropriate steps to safeguard this right</w:t>
      </w:r>
      <w:r w:rsidR="002648E9" w:rsidRPr="00BA6ECE">
        <w:rPr>
          <w:rStyle w:val="a2"/>
          <w:color w:val="000000" w:themeColor="text1"/>
        </w:rPr>
        <w:t xml:space="preserve">’. </w:t>
      </w:r>
    </w:p>
    <w:p w14:paraId="160BDA34" w14:textId="515B0D31" w:rsidR="00F51D38" w:rsidRPr="00BA6ECE" w:rsidRDefault="00D715B5" w:rsidP="002648E9">
      <w:pPr>
        <w:spacing w:line="276" w:lineRule="auto"/>
        <w:jc w:val="both"/>
        <w:rPr>
          <w:rStyle w:val="a2"/>
          <w:color w:val="000000" w:themeColor="text1"/>
        </w:rPr>
      </w:pPr>
      <w:r w:rsidRPr="00BA6ECE">
        <w:rPr>
          <w:rStyle w:val="a2"/>
          <w:color w:val="000000" w:themeColor="text1"/>
        </w:rPr>
        <w:lastRenderedPageBreak/>
        <w:t>Recent years have shown that many human rights lawyers in China are subject to a</w:t>
      </w:r>
      <w:r w:rsidR="00F51D38" w:rsidRPr="00BA6ECE">
        <w:rPr>
          <w:rStyle w:val="a2"/>
          <w:color w:val="000000" w:themeColor="text1"/>
        </w:rPr>
        <w:t xml:space="preserve"> </w:t>
      </w:r>
      <w:r w:rsidR="00913E95" w:rsidRPr="00BA6ECE">
        <w:rPr>
          <w:rStyle w:val="a2"/>
          <w:color w:val="000000" w:themeColor="text1"/>
        </w:rPr>
        <w:t>Residential Surveillance at Designated Location (“RSDL”)</w:t>
      </w:r>
      <w:r w:rsidR="00F51D38" w:rsidRPr="00BA6ECE">
        <w:rPr>
          <w:rStyle w:val="a2"/>
          <w:color w:val="000000" w:themeColor="text1"/>
        </w:rPr>
        <w:t>, which is said to</w:t>
      </w:r>
      <w:r w:rsidR="00913E95" w:rsidRPr="00BA6ECE">
        <w:rPr>
          <w:rStyle w:val="a2"/>
          <w:color w:val="000000" w:themeColor="text1"/>
        </w:rPr>
        <w:t xml:space="preserve"> consist of placing individuals under incommunicado detention for investigation for prolonged periods without disclosing their whereabouts amount to secret detention and is a form of enforced disappearance (</w:t>
      </w:r>
      <w:hyperlink r:id="rId9" w:history="1">
        <w:r w:rsidR="00913E95" w:rsidRPr="00BA6ECE">
          <w:rPr>
            <w:rStyle w:val="Hyperlink"/>
          </w:rPr>
          <w:t>A/HRC/36/39</w:t>
        </w:r>
      </w:hyperlink>
      <w:r w:rsidR="00913E95" w:rsidRPr="00BA6ECE">
        <w:rPr>
          <w:rStyle w:val="a2"/>
          <w:color w:val="000000" w:themeColor="text1"/>
        </w:rPr>
        <w:t xml:space="preserve">, para. 71 and </w:t>
      </w:r>
      <w:hyperlink r:id="rId10" w:history="1">
        <w:r w:rsidR="00913E95" w:rsidRPr="00BA6ECE">
          <w:rPr>
            <w:rStyle w:val="Hyperlink"/>
          </w:rPr>
          <w:t>A/HRC/19/58/rev.1</w:t>
        </w:r>
      </w:hyperlink>
      <w:r w:rsidR="00913E95" w:rsidRPr="00BA6ECE">
        <w:rPr>
          <w:rStyle w:val="a2"/>
          <w:color w:val="000000" w:themeColor="text1"/>
        </w:rPr>
        <w:t xml:space="preserve"> pages 36 37).</w:t>
      </w:r>
      <w:r w:rsidR="002648E9" w:rsidRPr="00BA6ECE">
        <w:rPr>
          <w:rStyle w:val="a2"/>
          <w:color w:val="000000" w:themeColor="text1"/>
        </w:rPr>
        <w:t xml:space="preserve"> </w:t>
      </w:r>
      <w:r w:rsidR="00F51D38" w:rsidRPr="00BA6ECE">
        <w:rPr>
          <w:rStyle w:val="a2"/>
          <w:color w:val="000000" w:themeColor="text1"/>
        </w:rPr>
        <w:t>Recent examples of rights lawyers being placed in incommunicado detention like RSDL include but not limited to lawyer Gao Zhisheng (</w:t>
      </w:r>
      <w:hyperlink r:id="rId11" w:history="1">
        <w:r w:rsidR="00F51D38" w:rsidRPr="00BA6ECE">
          <w:rPr>
            <w:rStyle w:val="Hyperlink"/>
            <w:color w:val="000000" w:themeColor="text1"/>
          </w:rPr>
          <w:t>UA CHN 5/2020</w:t>
        </w:r>
      </w:hyperlink>
      <w:r w:rsidR="00F51D38" w:rsidRPr="00BA6ECE">
        <w:rPr>
          <w:rStyle w:val="a2"/>
          <w:color w:val="000000" w:themeColor="text1"/>
        </w:rPr>
        <w:t xml:space="preserve">), who is identified as a lawyer and human rights defenders with fate and whereabouts currently remain unknown, and lawyer Chang Weiping, who is a human rights defender and lawyer with whereabouts currently also remain unknown </w:t>
      </w:r>
      <w:hyperlink r:id="rId12" w:history="1">
        <w:r w:rsidR="00F51D38" w:rsidRPr="00BA6ECE">
          <w:rPr>
            <w:rStyle w:val="Hyperlink"/>
            <w:color w:val="000000" w:themeColor="text1"/>
          </w:rPr>
          <w:t>as identified by the United Nations Special Rapporteur on the Situation of Human Rights Defender, Ms. Mary Lawler</w:t>
        </w:r>
      </w:hyperlink>
      <w:r w:rsidR="00F51D38" w:rsidRPr="00BA6ECE">
        <w:rPr>
          <w:rStyle w:val="a2"/>
          <w:color w:val="000000" w:themeColor="text1"/>
        </w:rPr>
        <w:t xml:space="preserve">.  </w:t>
      </w:r>
    </w:p>
    <w:p w14:paraId="38BC6F92" w14:textId="77777777" w:rsidR="0004701B" w:rsidRPr="00BA6ECE" w:rsidRDefault="0004701B" w:rsidP="002648E9">
      <w:pPr>
        <w:pStyle w:val="ListParagraph"/>
        <w:spacing w:line="276" w:lineRule="auto"/>
        <w:jc w:val="both"/>
        <w:rPr>
          <w:rStyle w:val="a2"/>
          <w:rFonts w:ascii="Times New Roman" w:hAnsi="Times New Roman" w:cs="Times New Roman"/>
          <w:color w:val="000000" w:themeColor="text1"/>
        </w:rPr>
      </w:pPr>
    </w:p>
    <w:p w14:paraId="69F98ED8" w14:textId="6DE255B5" w:rsidR="00531C6E" w:rsidRPr="00BA6ECE" w:rsidRDefault="00CD6074" w:rsidP="002648E9">
      <w:pPr>
        <w:pStyle w:val="ListParagraph"/>
        <w:numPr>
          <w:ilvl w:val="0"/>
          <w:numId w:val="6"/>
        </w:numPr>
        <w:spacing w:line="276" w:lineRule="auto"/>
        <w:jc w:val="both"/>
        <w:rPr>
          <w:rFonts w:ascii="Times New Roman" w:hAnsi="Times New Roman" w:cs="Times New Roman"/>
          <w:color w:val="000000" w:themeColor="text1"/>
        </w:rPr>
      </w:pPr>
      <w:r w:rsidRPr="00BA6ECE">
        <w:rPr>
          <w:rStyle w:val="a2"/>
          <w:rFonts w:ascii="Times New Roman" w:hAnsi="Times New Roman" w:cs="Times New Roman"/>
          <w:color w:val="000000" w:themeColor="text1"/>
        </w:rPr>
        <w:t>Please provide further information on the number of RSDL</w:t>
      </w:r>
      <w:r w:rsidR="002648E9" w:rsidRPr="00BA6ECE">
        <w:rPr>
          <w:rStyle w:val="a2"/>
          <w:rFonts w:ascii="Times New Roman" w:hAnsi="Times New Roman" w:cs="Times New Roman"/>
          <w:color w:val="000000" w:themeColor="text1"/>
        </w:rPr>
        <w:t xml:space="preserve"> </w:t>
      </w:r>
      <w:r w:rsidRPr="00BA6ECE">
        <w:rPr>
          <w:rStyle w:val="a2"/>
          <w:rFonts w:ascii="Times New Roman" w:hAnsi="Times New Roman" w:cs="Times New Roman"/>
          <w:color w:val="000000" w:themeColor="text1"/>
        </w:rPr>
        <w:t>exercising on lawyers that have taken place and their durations and please describe how these RSDL have been carried out since the last review.</w:t>
      </w:r>
    </w:p>
    <w:p w14:paraId="25E9EA2F" w14:textId="77777777" w:rsidR="00531C6E" w:rsidRPr="00BA6ECE" w:rsidRDefault="00531C6E" w:rsidP="002648E9">
      <w:pPr>
        <w:pStyle w:val="a0"/>
        <w:spacing w:line="276" w:lineRule="auto"/>
        <w:jc w:val="both"/>
        <w:rPr>
          <w:rStyle w:val="a2"/>
          <w:rFonts w:ascii="Times New Roman" w:eastAsia="Times New Roman" w:hAnsi="Times New Roman" w:cs="Times New Roman"/>
          <w:color w:val="000000" w:themeColor="text1"/>
        </w:rPr>
      </w:pPr>
    </w:p>
    <w:p w14:paraId="19C9CE44" w14:textId="77777777" w:rsidR="00531C6E" w:rsidRPr="00BA6ECE" w:rsidRDefault="00CD6074" w:rsidP="002648E9">
      <w:pPr>
        <w:pStyle w:val="ListParagraph"/>
        <w:numPr>
          <w:ilvl w:val="0"/>
          <w:numId w:val="6"/>
        </w:numPr>
        <w:spacing w:line="276" w:lineRule="auto"/>
        <w:jc w:val="both"/>
        <w:rPr>
          <w:rFonts w:ascii="Times New Roman" w:hAnsi="Times New Roman" w:cs="Times New Roman"/>
          <w:color w:val="000000" w:themeColor="text1"/>
        </w:rPr>
      </w:pPr>
      <w:r w:rsidRPr="00BA6ECE">
        <w:rPr>
          <w:rStyle w:val="a2"/>
          <w:rFonts w:ascii="Times New Roman" w:hAnsi="Times New Roman" w:cs="Times New Roman"/>
          <w:color w:val="000000" w:themeColor="text1"/>
        </w:rPr>
        <w:t xml:space="preserve">Please provide details as to the mechanism allowed for lawyers to challenge the decision of being placed under RSDL. </w:t>
      </w:r>
    </w:p>
    <w:p w14:paraId="6DFABB3A" w14:textId="77777777" w:rsidR="00531C6E" w:rsidRPr="00BA6ECE" w:rsidRDefault="00531C6E" w:rsidP="002648E9">
      <w:pPr>
        <w:pStyle w:val="ListParagraph"/>
        <w:spacing w:line="276" w:lineRule="auto"/>
        <w:jc w:val="both"/>
        <w:rPr>
          <w:rStyle w:val="a2"/>
          <w:rFonts w:ascii="Times New Roman" w:eastAsia="Times New Roman" w:hAnsi="Times New Roman" w:cs="Times New Roman"/>
          <w:color w:val="000000" w:themeColor="text1"/>
        </w:rPr>
      </w:pPr>
    </w:p>
    <w:p w14:paraId="46ED8692" w14:textId="535CF5CA" w:rsidR="00531C6E" w:rsidRPr="00BA6ECE" w:rsidRDefault="00CD6074" w:rsidP="002648E9">
      <w:pPr>
        <w:pStyle w:val="ListParagraph"/>
        <w:numPr>
          <w:ilvl w:val="0"/>
          <w:numId w:val="6"/>
        </w:numPr>
        <w:spacing w:line="276" w:lineRule="auto"/>
        <w:jc w:val="both"/>
        <w:rPr>
          <w:rFonts w:ascii="Times New Roman" w:hAnsi="Times New Roman" w:cs="Times New Roman"/>
          <w:color w:val="000000" w:themeColor="text1"/>
        </w:rPr>
      </w:pPr>
      <w:r w:rsidRPr="00BA6ECE">
        <w:rPr>
          <w:rStyle w:val="a2"/>
          <w:rFonts w:ascii="Times New Roman" w:hAnsi="Times New Roman" w:cs="Times New Roman"/>
          <w:color w:val="000000" w:themeColor="text1"/>
        </w:rPr>
        <w:t>If challenge is made to the Public Security Bureau, please provide details as to the mechanism of placing a challenge against the decision of RSDL, particularly as to whether an opportunity of oral and written submission by the detainee is allowed. Please provide statistics as to the number of successful cases in overruling the decisions of RSDL pursuant to challenge made to the Public Security Bureau since the last review.</w:t>
      </w:r>
    </w:p>
    <w:p w14:paraId="21507B76" w14:textId="77777777" w:rsidR="00531C6E" w:rsidRPr="00BA6ECE" w:rsidRDefault="00531C6E" w:rsidP="002648E9">
      <w:pPr>
        <w:pStyle w:val="ListParagraph"/>
        <w:spacing w:line="276" w:lineRule="auto"/>
        <w:jc w:val="both"/>
        <w:rPr>
          <w:rStyle w:val="a2"/>
          <w:rFonts w:ascii="Times New Roman" w:eastAsia="Times New Roman" w:hAnsi="Times New Roman" w:cs="Times New Roman"/>
          <w:color w:val="000000" w:themeColor="text1"/>
        </w:rPr>
      </w:pPr>
    </w:p>
    <w:p w14:paraId="547A976B" w14:textId="1D95D8DB" w:rsidR="00531C6E" w:rsidRPr="00BA6ECE" w:rsidRDefault="00CD6074" w:rsidP="002648E9">
      <w:pPr>
        <w:pStyle w:val="ListParagraph"/>
        <w:numPr>
          <w:ilvl w:val="0"/>
          <w:numId w:val="6"/>
        </w:numPr>
        <w:spacing w:line="276" w:lineRule="auto"/>
        <w:jc w:val="both"/>
        <w:rPr>
          <w:rStyle w:val="a2"/>
          <w:rFonts w:ascii="Times New Roman" w:eastAsia="Times New Roman" w:hAnsi="Times New Roman" w:cs="Times New Roman"/>
          <w:color w:val="000000" w:themeColor="text1"/>
        </w:rPr>
      </w:pPr>
      <w:r w:rsidRPr="00BA6ECE">
        <w:rPr>
          <w:rStyle w:val="a2"/>
          <w:rFonts w:ascii="Times New Roman" w:hAnsi="Times New Roman" w:cs="Times New Roman"/>
          <w:color w:val="000000" w:themeColor="text1"/>
        </w:rPr>
        <w:t>If challenge is made to the courts, please provide details as to the mechanism of placing a challenge against the decision of RSDL, particularly as to whether an opportunity of oral and written submission by the detainee is allowed. Please also provide details as to whether there can be lawyers representing prospective detainees of RSDL and the statistics as to the number of cases making such challenges against the decision of RSDL, and the number of cases of successful challenges since the last review.</w:t>
      </w:r>
      <w:r w:rsidRPr="00BA6ECE">
        <w:rPr>
          <w:rStyle w:val="a2"/>
          <w:rFonts w:ascii="Times New Roman" w:eastAsia="Times New Roman" w:hAnsi="Times New Roman" w:cs="Times New Roman"/>
          <w:color w:val="000000" w:themeColor="text1"/>
        </w:rPr>
        <w:br/>
      </w:r>
    </w:p>
    <w:p w14:paraId="15432C13" w14:textId="0C6785EB" w:rsidR="00EE0E80" w:rsidRPr="00BA6ECE" w:rsidRDefault="00CD6074" w:rsidP="002648E9">
      <w:pPr>
        <w:pStyle w:val="ListParagraph"/>
        <w:numPr>
          <w:ilvl w:val="0"/>
          <w:numId w:val="6"/>
        </w:numPr>
        <w:spacing w:line="276" w:lineRule="auto"/>
        <w:jc w:val="both"/>
        <w:rPr>
          <w:rFonts w:ascii="Times New Roman" w:eastAsia="Times New Roman" w:hAnsi="Times New Roman" w:cs="Times New Roman"/>
          <w:color w:val="000000" w:themeColor="text1"/>
        </w:rPr>
      </w:pPr>
      <w:r w:rsidRPr="00BA6ECE">
        <w:rPr>
          <w:rStyle w:val="a2"/>
          <w:rFonts w:ascii="Times New Roman" w:hAnsi="Times New Roman" w:cs="Times New Roman"/>
          <w:color w:val="000000" w:themeColor="text1"/>
        </w:rPr>
        <w:t xml:space="preserve">Please provide details as to the mechanism </w:t>
      </w:r>
      <w:r w:rsidR="00425658" w:rsidRPr="00BA6ECE">
        <w:rPr>
          <w:rStyle w:val="a2"/>
          <w:rFonts w:ascii="Times New Roman" w:hAnsi="Times New Roman" w:cs="Times New Roman"/>
          <w:color w:val="000000" w:themeColor="text1"/>
        </w:rPr>
        <w:t xml:space="preserve">that </w:t>
      </w:r>
      <w:r w:rsidR="00EE0E80" w:rsidRPr="00BA6ECE">
        <w:rPr>
          <w:rStyle w:val="a2"/>
          <w:rFonts w:ascii="Times New Roman" w:hAnsi="Times New Roman" w:cs="Times New Roman"/>
          <w:color w:val="000000" w:themeColor="text1"/>
        </w:rPr>
        <w:t>t</w:t>
      </w:r>
      <w:r w:rsidR="00425658" w:rsidRPr="00BA6ECE">
        <w:rPr>
          <w:rStyle w:val="a2"/>
          <w:rFonts w:ascii="Times New Roman" w:hAnsi="Times New Roman" w:cs="Times New Roman"/>
          <w:color w:val="000000" w:themeColor="text1"/>
        </w:rPr>
        <w:t xml:space="preserve">he Ministry of Justice has </w:t>
      </w:r>
      <w:r w:rsidR="00EE0E80" w:rsidRPr="00BA6ECE">
        <w:rPr>
          <w:rStyle w:val="a2"/>
          <w:rFonts w:ascii="Times New Roman" w:hAnsi="Times New Roman" w:cs="Times New Roman"/>
          <w:color w:val="000000" w:themeColor="text1"/>
        </w:rPr>
        <w:t xml:space="preserve">put in place </w:t>
      </w:r>
      <w:r w:rsidR="00425658" w:rsidRPr="00BA6ECE">
        <w:rPr>
          <w:rStyle w:val="a2"/>
          <w:rFonts w:ascii="Times New Roman" w:hAnsi="Times New Roman" w:cs="Times New Roman"/>
          <w:color w:val="000000" w:themeColor="text1"/>
        </w:rPr>
        <w:t>to protect lawyers’ rights, including protection from facing criminal compulsory measures for carrying out their legitimate duties as lawyers to represent their clients.</w:t>
      </w:r>
      <w:r w:rsidRPr="00BA6ECE">
        <w:rPr>
          <w:rStyle w:val="a2"/>
          <w:rFonts w:ascii="Times New Roman" w:hAnsi="Times New Roman" w:cs="Times New Roman"/>
          <w:color w:val="000000" w:themeColor="text1"/>
        </w:rPr>
        <w:t xml:space="preserve"> </w:t>
      </w:r>
    </w:p>
    <w:p w14:paraId="5DA12F63" w14:textId="77777777" w:rsidR="00EE0E80" w:rsidRPr="00BA6ECE" w:rsidRDefault="00EE0E80" w:rsidP="002648E9">
      <w:pPr>
        <w:jc w:val="both"/>
        <w:rPr>
          <w:color w:val="000000" w:themeColor="text1"/>
        </w:rPr>
      </w:pPr>
    </w:p>
    <w:p w14:paraId="297730D5" w14:textId="77777777" w:rsidR="00EE0E80" w:rsidRPr="00BA6ECE" w:rsidRDefault="00EE0E80" w:rsidP="002648E9">
      <w:pPr>
        <w:jc w:val="both"/>
        <w:rPr>
          <w:color w:val="000000" w:themeColor="text1"/>
        </w:rPr>
      </w:pPr>
    </w:p>
    <w:p w14:paraId="774EB40E" w14:textId="77777777" w:rsidR="00EE0E80" w:rsidRPr="00BA6ECE" w:rsidRDefault="00EE0E80" w:rsidP="002648E9">
      <w:pPr>
        <w:jc w:val="both"/>
        <w:rPr>
          <w:color w:val="000000" w:themeColor="text1"/>
        </w:rPr>
      </w:pPr>
    </w:p>
    <w:p w14:paraId="6D77C640" w14:textId="215E7174" w:rsidR="00EE0E80" w:rsidRPr="00BA6ECE" w:rsidRDefault="00EE0E80" w:rsidP="002648E9">
      <w:pPr>
        <w:jc w:val="both"/>
        <w:rPr>
          <w:color w:val="000000" w:themeColor="text1"/>
          <w:lang w:eastAsia="zh-TW"/>
        </w:rPr>
      </w:pPr>
    </w:p>
    <w:p w14:paraId="3F332610" w14:textId="77777777" w:rsidR="00531C6E" w:rsidRPr="00BA6ECE" w:rsidRDefault="00531C6E" w:rsidP="002648E9">
      <w:pPr>
        <w:jc w:val="both"/>
        <w:rPr>
          <w:color w:val="000000" w:themeColor="text1"/>
        </w:rPr>
      </w:pPr>
    </w:p>
    <w:sectPr w:rsidR="00531C6E" w:rsidRPr="00BA6ECE">
      <w:footerReference w:type="even" r:id="rId13"/>
      <w:footerReference w:type="default" r:id="rId14"/>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2F9EC4" w14:textId="77777777" w:rsidR="008C1E5A" w:rsidRDefault="008C1E5A">
      <w:r>
        <w:separator/>
      </w:r>
    </w:p>
  </w:endnote>
  <w:endnote w:type="continuationSeparator" w:id="0">
    <w:p w14:paraId="2A4E6A60" w14:textId="77777777" w:rsidR="008C1E5A" w:rsidRDefault="008C1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ヒラギノ角ゴ ProN W3">
    <w:altName w:val="Malgun Gothic Semilight"/>
    <w:charset w:val="80"/>
    <w:family w:val="swiss"/>
    <w:pitch w:val="variable"/>
    <w:sig w:usb0="00000000" w:usb1="7AC7FFFF" w:usb2="00000012" w:usb3="00000000" w:csb0="0002000D" w:csb1="00000000"/>
  </w:font>
  <w:font w:name="Calibri">
    <w:panose1 w:val="020F0502020204030204"/>
    <w:charset w:val="00"/>
    <w:family w:val="swiss"/>
    <w:pitch w:val="variable"/>
    <w:sig w:usb0="E0002EFF" w:usb1="C000247B" w:usb2="00000009" w:usb3="00000000" w:csb0="000001FF" w:csb1="00000000"/>
  </w:font>
  <w:font w:name="ヒラギノ角ゴ ProN W6">
    <w:altName w:val="MS Gothic"/>
    <w:charset w:val="80"/>
    <w:family w:val="swiss"/>
    <w:pitch w:val="variable"/>
    <w:sig w:usb0="00000000"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541874806"/>
      <w:docPartObj>
        <w:docPartGallery w:val="Page Numbers (Bottom of Page)"/>
        <w:docPartUnique/>
      </w:docPartObj>
    </w:sdtPr>
    <w:sdtEndPr>
      <w:rPr>
        <w:rStyle w:val="PageNumber"/>
      </w:rPr>
    </w:sdtEndPr>
    <w:sdtContent>
      <w:p w14:paraId="48AFC6AA" w14:textId="378453EC" w:rsidR="005D637F" w:rsidRDefault="005D637F" w:rsidP="0076302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7B227DB" w14:textId="77777777" w:rsidR="005D637F" w:rsidRDefault="005D63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sz w:val="20"/>
        <w:szCs w:val="20"/>
      </w:rPr>
      <w:id w:val="-279032858"/>
      <w:docPartObj>
        <w:docPartGallery w:val="Page Numbers (Bottom of Page)"/>
        <w:docPartUnique/>
      </w:docPartObj>
    </w:sdtPr>
    <w:sdtEndPr>
      <w:rPr>
        <w:rStyle w:val="PageNumber"/>
      </w:rPr>
    </w:sdtEndPr>
    <w:sdtContent>
      <w:p w14:paraId="64B13B3E" w14:textId="4064D1F9" w:rsidR="005D637F" w:rsidRPr="005D637F" w:rsidRDefault="005D637F" w:rsidP="00763022">
        <w:pPr>
          <w:pStyle w:val="Footer"/>
          <w:framePr w:wrap="none" w:vAnchor="text" w:hAnchor="margin" w:xAlign="center" w:y="1"/>
          <w:rPr>
            <w:rStyle w:val="PageNumber"/>
            <w:sz w:val="20"/>
            <w:szCs w:val="20"/>
          </w:rPr>
        </w:pPr>
        <w:r w:rsidRPr="005D637F">
          <w:rPr>
            <w:rStyle w:val="PageNumber"/>
            <w:sz w:val="20"/>
            <w:szCs w:val="20"/>
          </w:rPr>
          <w:fldChar w:fldCharType="begin"/>
        </w:r>
        <w:r w:rsidRPr="005D637F">
          <w:rPr>
            <w:rStyle w:val="PageNumber"/>
            <w:sz w:val="20"/>
            <w:szCs w:val="20"/>
          </w:rPr>
          <w:instrText xml:space="preserve"> PAGE </w:instrText>
        </w:r>
        <w:r w:rsidRPr="005D637F">
          <w:rPr>
            <w:rStyle w:val="PageNumber"/>
            <w:sz w:val="20"/>
            <w:szCs w:val="20"/>
          </w:rPr>
          <w:fldChar w:fldCharType="separate"/>
        </w:r>
        <w:r w:rsidR="00161B00">
          <w:rPr>
            <w:rStyle w:val="PageNumber"/>
            <w:noProof/>
            <w:sz w:val="20"/>
            <w:szCs w:val="20"/>
          </w:rPr>
          <w:t>1</w:t>
        </w:r>
        <w:r w:rsidRPr="005D637F">
          <w:rPr>
            <w:rStyle w:val="PageNumber"/>
            <w:sz w:val="20"/>
            <w:szCs w:val="20"/>
          </w:rPr>
          <w:fldChar w:fldCharType="end"/>
        </w:r>
      </w:p>
    </w:sdtContent>
  </w:sdt>
  <w:p w14:paraId="5F4B5C17" w14:textId="77777777" w:rsidR="00531C6E" w:rsidRPr="005D637F" w:rsidRDefault="00531C6E">
    <w:pPr>
      <w:pStyle w:val="a"/>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A03812" w14:textId="77777777" w:rsidR="008C1E5A" w:rsidRDefault="008C1E5A">
      <w:r>
        <w:separator/>
      </w:r>
    </w:p>
  </w:footnote>
  <w:footnote w:type="continuationSeparator" w:id="0">
    <w:p w14:paraId="47F7EB8C" w14:textId="77777777" w:rsidR="008C1E5A" w:rsidRDefault="008C1E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D27EC2"/>
    <w:multiLevelType w:val="hybridMultilevel"/>
    <w:tmpl w:val="48FAF2EE"/>
    <w:styleLink w:val="1"/>
    <w:lvl w:ilvl="0" w:tplc="5F3C148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A488C9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77E95E2">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7372602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674562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DA213C0">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FCC0123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066550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A908ABE">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E794B88"/>
    <w:multiLevelType w:val="hybridMultilevel"/>
    <w:tmpl w:val="D6A8AB74"/>
    <w:numStyleLink w:val="2"/>
  </w:abstractNum>
  <w:abstractNum w:abstractNumId="2" w15:restartNumberingAfterBreak="0">
    <w:nsid w:val="1F175FEE"/>
    <w:multiLevelType w:val="hybridMultilevel"/>
    <w:tmpl w:val="D6A8AB74"/>
    <w:lvl w:ilvl="0" w:tplc="C3E0EA1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824F2A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39E8A9E">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548E47D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148330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A7E8594">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079AFA0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D74C7C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4B6084A">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2B051B0B"/>
    <w:multiLevelType w:val="hybridMultilevel"/>
    <w:tmpl w:val="48FAF2EE"/>
    <w:numStyleLink w:val="1"/>
  </w:abstractNum>
  <w:abstractNum w:abstractNumId="4" w15:restartNumberingAfterBreak="0">
    <w:nsid w:val="34CA66E3"/>
    <w:multiLevelType w:val="hybridMultilevel"/>
    <w:tmpl w:val="D6A8AB74"/>
    <w:styleLink w:val="2"/>
    <w:lvl w:ilvl="0" w:tplc="15525A68">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B4AFF9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14E2E7A">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8D68585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3484C0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20EBE86">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AAE22CB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614059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8BA1658">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60A60401"/>
    <w:multiLevelType w:val="hybridMultilevel"/>
    <w:tmpl w:val="D6A8AB74"/>
    <w:lvl w:ilvl="0" w:tplc="830A775A">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E28BCE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1161740">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5F5A615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65695D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A3207CE">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A7420F8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8AA343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C0E6082">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3"/>
  </w:num>
  <w:num w:numId="3">
    <w:abstractNumId w:val="4"/>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C6E"/>
    <w:rsid w:val="00013F55"/>
    <w:rsid w:val="0004701B"/>
    <w:rsid w:val="00052A07"/>
    <w:rsid w:val="000A0A81"/>
    <w:rsid w:val="000C5233"/>
    <w:rsid w:val="00102E71"/>
    <w:rsid w:val="00161B00"/>
    <w:rsid w:val="001869AE"/>
    <w:rsid w:val="001B7E36"/>
    <w:rsid w:val="001E0957"/>
    <w:rsid w:val="001F3CB5"/>
    <w:rsid w:val="002648E9"/>
    <w:rsid w:val="00342BBD"/>
    <w:rsid w:val="00357A10"/>
    <w:rsid w:val="00425658"/>
    <w:rsid w:val="004608E2"/>
    <w:rsid w:val="004C5956"/>
    <w:rsid w:val="004F748C"/>
    <w:rsid w:val="00531C6E"/>
    <w:rsid w:val="00564FD3"/>
    <w:rsid w:val="005D637F"/>
    <w:rsid w:val="005E2F11"/>
    <w:rsid w:val="00604C07"/>
    <w:rsid w:val="006B4DB7"/>
    <w:rsid w:val="00790DFF"/>
    <w:rsid w:val="007F74AC"/>
    <w:rsid w:val="00871286"/>
    <w:rsid w:val="008A4FB6"/>
    <w:rsid w:val="008C1E5A"/>
    <w:rsid w:val="00913E95"/>
    <w:rsid w:val="009350FF"/>
    <w:rsid w:val="00982AF0"/>
    <w:rsid w:val="00997D6C"/>
    <w:rsid w:val="00A40640"/>
    <w:rsid w:val="00AA214A"/>
    <w:rsid w:val="00B553FD"/>
    <w:rsid w:val="00B62EB7"/>
    <w:rsid w:val="00BA6ECE"/>
    <w:rsid w:val="00C629C9"/>
    <w:rsid w:val="00CB0BD1"/>
    <w:rsid w:val="00CD29DE"/>
    <w:rsid w:val="00CD6074"/>
    <w:rsid w:val="00CE596C"/>
    <w:rsid w:val="00D715B5"/>
    <w:rsid w:val="00D82B59"/>
    <w:rsid w:val="00E8424E"/>
    <w:rsid w:val="00EE0E80"/>
    <w:rsid w:val="00F51D38"/>
    <w:rsid w:val="00FD3E4A"/>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32B32"/>
  <w15:docId w15:val="{7B1B8E6C-B2E7-784B-8543-FEF04E512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AU" w:eastAsia="zh-TW"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a">
    <w:name w:val="ヘッダとフッタ"/>
    <w:pPr>
      <w:tabs>
        <w:tab w:val="right" w:pos="9020"/>
      </w:tabs>
    </w:pPr>
    <w:rPr>
      <w:rFonts w:ascii="ヒラギノ角ゴ ProN W3" w:hAnsi="ヒラギノ角ゴ ProN W3" w:cs="Arial Unicode MS"/>
      <w:color w:val="000000"/>
      <w:sz w:val="24"/>
      <w:szCs w:val="24"/>
      <w14:textOutline w14:w="0" w14:cap="flat" w14:cmpd="sng" w14:algn="ctr">
        <w14:noFill/>
        <w14:prstDash w14:val="solid"/>
        <w14:bevel/>
      </w14:textOutline>
    </w:rPr>
  </w:style>
  <w:style w:type="paragraph" w:customStyle="1" w:styleId="a0">
    <w:name w:val="本文"/>
    <w:rPr>
      <w:rFonts w:ascii="Calibri" w:hAnsi="Calibri" w:cs="Arial Unicode MS"/>
      <w:color w:val="000000"/>
      <w:sz w:val="24"/>
      <w:szCs w:val="24"/>
      <w:u w:color="000000"/>
      <w14:textOutline w14:w="0" w14:cap="flat" w14:cmpd="sng" w14:algn="ctr">
        <w14:noFill/>
        <w14:prstDash w14:val="solid"/>
        <w14:bevel/>
      </w14:textOutline>
    </w:rPr>
  </w:style>
  <w:style w:type="paragraph" w:customStyle="1" w:styleId="a1">
    <w:name w:val="デフォルト"/>
    <w:pPr>
      <w:spacing w:before="160"/>
    </w:pPr>
    <w:rPr>
      <w:rFonts w:ascii="ヒラギノ角ゴ ProN W3" w:hAnsi="ヒラギノ角ゴ ProN W3" w:cs="Arial Unicode MS"/>
      <w:color w:val="000000"/>
      <w:sz w:val="24"/>
      <w:szCs w:val="24"/>
      <w14:textOutline w14:w="0" w14:cap="flat" w14:cmpd="sng" w14:algn="ctr">
        <w14:noFill/>
        <w14:prstDash w14:val="solid"/>
        <w14:bevel/>
      </w14:textOutline>
    </w:rPr>
  </w:style>
  <w:style w:type="character" w:customStyle="1" w:styleId="a2">
    <w:name w:val="なし"/>
    <w:rPr>
      <w:lang w:val="en-US"/>
    </w:rPr>
  </w:style>
  <w:style w:type="paragraph" w:customStyle="1" w:styleId="H23G">
    <w:name w:val="_ H_2/3_G"/>
    <w:next w:val="a0"/>
    <w:pPr>
      <w:keepNext/>
      <w:keepLines/>
      <w:tabs>
        <w:tab w:val="right" w:pos="851"/>
      </w:tabs>
      <w:suppressAutoHyphens/>
      <w:spacing w:before="240" w:after="120" w:line="240" w:lineRule="exact"/>
      <w:ind w:left="1134" w:right="1134" w:hanging="1134"/>
    </w:pPr>
    <w:rPr>
      <w:rFonts w:eastAsia="Times New Roman"/>
      <w:b/>
      <w:bCs/>
      <w:color w:val="000000"/>
      <w:u w:color="000000"/>
      <w:lang w:val="en-US"/>
    </w:rPr>
  </w:style>
  <w:style w:type="paragraph" w:styleId="ListParagraph">
    <w:name w:val="List Paragraph"/>
    <w:pPr>
      <w:ind w:left="720"/>
    </w:pPr>
    <w:rPr>
      <w:rFonts w:ascii="Calibri" w:hAnsi="Calibri" w:cs="Arial Unicode MS"/>
      <w:color w:val="000000"/>
      <w:sz w:val="24"/>
      <w:szCs w:val="24"/>
      <w:u w:color="000000"/>
      <w:lang w:val="en-US"/>
    </w:rPr>
  </w:style>
  <w:style w:type="numbering" w:customStyle="1" w:styleId="1">
    <w:name w:val="読み込まれたスタイル1"/>
    <w:pPr>
      <w:numPr>
        <w:numId w:val="1"/>
      </w:numPr>
    </w:pPr>
  </w:style>
  <w:style w:type="numbering" w:customStyle="1" w:styleId="2">
    <w:name w:val="読み込まれたスタイル2"/>
    <w:pPr>
      <w:numPr>
        <w:numId w:val="3"/>
      </w:numPr>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en-US" w:eastAsia="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425658"/>
    <w:rPr>
      <w:sz w:val="18"/>
      <w:szCs w:val="18"/>
    </w:rPr>
  </w:style>
  <w:style w:type="character" w:customStyle="1" w:styleId="BalloonTextChar">
    <w:name w:val="Balloon Text Char"/>
    <w:basedOn w:val="DefaultParagraphFont"/>
    <w:link w:val="BalloonText"/>
    <w:uiPriority w:val="99"/>
    <w:semiHidden/>
    <w:rsid w:val="00425658"/>
    <w:rPr>
      <w:sz w:val="18"/>
      <w:szCs w:val="18"/>
      <w:lang w:val="en-US" w:eastAsia="en-US"/>
    </w:rPr>
  </w:style>
  <w:style w:type="paragraph" w:styleId="CommentSubject">
    <w:name w:val="annotation subject"/>
    <w:basedOn w:val="CommentText"/>
    <w:next w:val="CommentText"/>
    <w:link w:val="CommentSubjectChar"/>
    <w:uiPriority w:val="99"/>
    <w:semiHidden/>
    <w:unhideWhenUsed/>
    <w:rsid w:val="00D82B59"/>
    <w:rPr>
      <w:b/>
      <w:bCs/>
    </w:rPr>
  </w:style>
  <w:style w:type="character" w:customStyle="1" w:styleId="CommentSubjectChar">
    <w:name w:val="Comment Subject Char"/>
    <w:basedOn w:val="CommentTextChar"/>
    <w:link w:val="CommentSubject"/>
    <w:uiPriority w:val="99"/>
    <w:semiHidden/>
    <w:rsid w:val="00D82B59"/>
    <w:rPr>
      <w:b/>
      <w:bCs/>
      <w:lang w:val="en-US" w:eastAsia="en-US"/>
    </w:rPr>
  </w:style>
  <w:style w:type="character" w:customStyle="1" w:styleId="UnresolvedMention">
    <w:name w:val="Unresolved Mention"/>
    <w:basedOn w:val="DefaultParagraphFont"/>
    <w:uiPriority w:val="99"/>
    <w:semiHidden/>
    <w:unhideWhenUsed/>
    <w:rsid w:val="0004701B"/>
    <w:rPr>
      <w:color w:val="605E5C"/>
      <w:shd w:val="clear" w:color="auto" w:fill="E1DFDD"/>
    </w:rPr>
  </w:style>
  <w:style w:type="paragraph" w:styleId="Revision">
    <w:name w:val="Revision"/>
    <w:hidden/>
    <w:uiPriority w:val="99"/>
    <w:semiHidden/>
    <w:rsid w:val="005E2F11"/>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styleId="Footer">
    <w:name w:val="footer"/>
    <w:basedOn w:val="Normal"/>
    <w:link w:val="FooterChar"/>
    <w:uiPriority w:val="99"/>
    <w:unhideWhenUsed/>
    <w:rsid w:val="005D637F"/>
    <w:pPr>
      <w:tabs>
        <w:tab w:val="center" w:pos="4513"/>
        <w:tab w:val="right" w:pos="9026"/>
      </w:tabs>
    </w:pPr>
  </w:style>
  <w:style w:type="character" w:customStyle="1" w:styleId="FooterChar">
    <w:name w:val="Footer Char"/>
    <w:basedOn w:val="DefaultParagraphFont"/>
    <w:link w:val="Footer"/>
    <w:uiPriority w:val="99"/>
    <w:rsid w:val="005D637F"/>
    <w:rPr>
      <w:sz w:val="24"/>
      <w:szCs w:val="24"/>
      <w:lang w:val="en-US" w:eastAsia="en-US"/>
    </w:rPr>
  </w:style>
  <w:style w:type="character" w:styleId="PageNumber">
    <w:name w:val="page number"/>
    <w:basedOn w:val="DefaultParagraphFont"/>
    <w:uiPriority w:val="99"/>
    <w:semiHidden/>
    <w:unhideWhenUsed/>
    <w:rsid w:val="005D637F"/>
  </w:style>
  <w:style w:type="paragraph" w:styleId="Header">
    <w:name w:val="header"/>
    <w:basedOn w:val="Normal"/>
    <w:link w:val="HeaderChar"/>
    <w:uiPriority w:val="99"/>
    <w:unhideWhenUsed/>
    <w:rsid w:val="005D637F"/>
    <w:pPr>
      <w:tabs>
        <w:tab w:val="center" w:pos="4513"/>
        <w:tab w:val="right" w:pos="9026"/>
      </w:tabs>
    </w:pPr>
  </w:style>
  <w:style w:type="character" w:customStyle="1" w:styleId="HeaderChar">
    <w:name w:val="Header Char"/>
    <w:basedOn w:val="DefaultParagraphFont"/>
    <w:link w:val="Header"/>
    <w:uiPriority w:val="99"/>
    <w:rsid w:val="005D637F"/>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nchrd.org/2019/05/joint-analysis-of-admin-measures-for-lawyers-and-law-firms/" TargetMode="External"/><Relationship Id="rId13" Type="http://schemas.openxmlformats.org/officeDocument/2006/relationships/footer" Target="footer1.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undocs.org/en/E/C.12/2016/2" TargetMode="External"/><Relationship Id="rId12" Type="http://schemas.openxmlformats.org/officeDocument/2006/relationships/hyperlink" Target="https://www.protecting-defenders.org/en/news/press-release-china-shock-continued-crackdown-human-rights-defenders-and-lawyers" TargetMode="Externa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pcommreports.ohchr.org/TMResultsBase/DownLoadPublicCommunicationFile?gId=25100"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undocs.org/A/HRC/19/58/Rev.1" TargetMode="Externa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https://undocs.org/en/A/HRC/36/39"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ヒラギノ角ゴ ProN W6"/>
        <a:ea typeface="ヒラギノ角ゴ ProN W6"/>
        <a:cs typeface="ヒラギノ角ゴ ProN W6"/>
      </a:majorFont>
      <a:minorFont>
        <a:latin typeface="ヒラギノ角ゴ ProN W3"/>
        <a:ea typeface="ヒラギノ角ゴ ProN W3"/>
        <a:cs typeface="ヒラギノ角ゴ ProN W3"/>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446AB3680AD04583FFC0D2A3BEC2EA" ma:contentTypeVersion="0" ma:contentTypeDescription="Create a new document." ma:contentTypeScope="" ma:versionID="605d714aae7fb165c45759dfa1df7b8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88FA93D-95A1-43C1-A844-B940C20DA7AB}"/>
</file>

<file path=customXml/itemProps2.xml><?xml version="1.0" encoding="utf-8"?>
<ds:datastoreItem xmlns:ds="http://schemas.openxmlformats.org/officeDocument/2006/customXml" ds:itemID="{D9FD1B23-3372-4347-AECF-228314C3A97F}"/>
</file>

<file path=customXml/itemProps3.xml><?xml version="1.0" encoding="utf-8"?>
<ds:datastoreItem xmlns:ds="http://schemas.openxmlformats.org/officeDocument/2006/customXml" ds:itemID="{F11804D1-A510-4D85-BC9D-3139071A25C2}"/>
</file>

<file path=docProps/app.xml><?xml version="1.0" encoding="utf-8"?>
<Properties xmlns="http://schemas.openxmlformats.org/officeDocument/2006/extended-properties" xmlns:vt="http://schemas.openxmlformats.org/officeDocument/2006/docPropsVTypes">
  <Template>Normal.dotm</Template>
  <TotalTime>0</TotalTime>
  <Pages>4</Pages>
  <Words>1685</Words>
  <Characters>9608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REYNAUD Céline</dc:creator>
  <cp:lastModifiedBy>REYNAUD Céline</cp:lastModifiedBy>
  <cp:revision>2</cp:revision>
  <dcterms:created xsi:type="dcterms:W3CDTF">2020-12-23T07:41:00Z</dcterms:created>
  <dcterms:modified xsi:type="dcterms:W3CDTF">2020-12-23T07:41:00Z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0x010100B5446AB3680AD04583FFC0D2A3BEC2EA</vt:lpwstr>
  </property>
</Properties>
</file>