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99293" w14:textId="77777777" w:rsidR="008658CC" w:rsidRPr="001261DC" w:rsidRDefault="008658CC" w:rsidP="008658CC">
      <w:pPr>
        <w:rPr>
          <w:rFonts w:ascii="MetaPro-Norm" w:hAnsi="MetaPro-Norm"/>
          <w:color w:val="000000" w:themeColor="text1"/>
          <w:sz w:val="24"/>
          <w:szCs w:val="24"/>
        </w:rPr>
      </w:pPr>
      <w:bookmarkStart w:id="0" w:name="_GoBack"/>
      <w:bookmarkEnd w:id="0"/>
      <w:r w:rsidRPr="001261DC">
        <w:rPr>
          <w:rFonts w:ascii="MetaPro-Norm" w:hAnsi="MetaPro-Norm"/>
          <w:b/>
          <w:noProof/>
          <w:color w:val="000000" w:themeColor="text1"/>
          <w:sz w:val="24"/>
          <w:szCs w:val="24"/>
        </w:rPr>
        <w:drawing>
          <wp:anchor distT="0" distB="0" distL="114300" distR="114300" simplePos="0" relativeHeight="251659264" behindDoc="1" locked="0" layoutInCell="1" allowOverlap="1" wp14:anchorId="052EC9CF" wp14:editId="6F00C7CA">
            <wp:simplePos x="0" y="0"/>
            <wp:positionH relativeFrom="margin">
              <wp:posOffset>2194560</wp:posOffset>
            </wp:positionH>
            <wp:positionV relativeFrom="paragraph">
              <wp:posOffset>0</wp:posOffset>
            </wp:positionV>
            <wp:extent cx="975360" cy="975360"/>
            <wp:effectExtent l="0" t="0" r="0" b="0"/>
            <wp:wrapTight wrapText="bothSides">
              <wp:wrapPolygon edited="0">
                <wp:start x="0" y="0"/>
                <wp:lineTo x="0" y="21094"/>
                <wp:lineTo x="21094" y="21094"/>
                <wp:lineTo x="21094" y="0"/>
                <wp:lineTo x="0" y="0"/>
              </wp:wrapPolygon>
            </wp:wrapTight>
            <wp:docPr id="1" name="Picture 1" descr="HR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RW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90BC3" w14:textId="77777777" w:rsidR="008658CC" w:rsidRPr="001261DC" w:rsidRDefault="008658CC" w:rsidP="008658CC">
      <w:pPr>
        <w:rPr>
          <w:rFonts w:ascii="MetaPro-Norm" w:hAnsi="MetaPro-Norm"/>
          <w:color w:val="000000" w:themeColor="text1"/>
          <w:sz w:val="24"/>
          <w:szCs w:val="24"/>
        </w:rPr>
      </w:pPr>
    </w:p>
    <w:p w14:paraId="1EA50312" w14:textId="77777777" w:rsidR="008658CC" w:rsidRPr="001261DC" w:rsidRDefault="008658CC" w:rsidP="008658CC">
      <w:pPr>
        <w:rPr>
          <w:rFonts w:ascii="MetaPro-Norm" w:hAnsi="MetaPro-Norm"/>
          <w:color w:val="000000" w:themeColor="text1"/>
          <w:sz w:val="24"/>
          <w:szCs w:val="24"/>
        </w:rPr>
      </w:pPr>
    </w:p>
    <w:p w14:paraId="3B738B1A" w14:textId="77777777" w:rsidR="008658CC" w:rsidRPr="001261DC" w:rsidRDefault="008658CC" w:rsidP="008658CC">
      <w:pPr>
        <w:rPr>
          <w:rFonts w:ascii="MetaPro-Norm" w:hAnsi="MetaPro-Norm"/>
          <w:color w:val="000000" w:themeColor="text1"/>
          <w:sz w:val="24"/>
          <w:szCs w:val="24"/>
        </w:rPr>
      </w:pPr>
    </w:p>
    <w:p w14:paraId="5AAC3BCF" w14:textId="77777777" w:rsidR="008658CC" w:rsidRPr="001261DC" w:rsidRDefault="008658CC" w:rsidP="008658CC">
      <w:pPr>
        <w:rPr>
          <w:rFonts w:ascii="MetaPro-Norm" w:hAnsi="MetaPro-Norm"/>
          <w:color w:val="000000" w:themeColor="text1"/>
          <w:sz w:val="24"/>
          <w:szCs w:val="24"/>
        </w:rPr>
      </w:pPr>
    </w:p>
    <w:p w14:paraId="20E2996B" w14:textId="77777777" w:rsidR="00CF5ECF" w:rsidRDefault="00CF5ECF" w:rsidP="008658CC">
      <w:pPr>
        <w:jc w:val="center"/>
        <w:rPr>
          <w:b/>
          <w:lang w:val="en-US"/>
        </w:rPr>
      </w:pPr>
    </w:p>
    <w:p w14:paraId="3C3FE16F" w14:textId="6F9C66FB" w:rsidR="00EE3284" w:rsidRPr="00CA4020" w:rsidRDefault="00EE3284" w:rsidP="008658CC">
      <w:pPr>
        <w:jc w:val="center"/>
        <w:rPr>
          <w:b/>
          <w:lang w:val="en-US"/>
        </w:rPr>
      </w:pPr>
      <w:r w:rsidRPr="00CA4020">
        <w:rPr>
          <w:b/>
          <w:lang w:val="en-US"/>
        </w:rPr>
        <w:t xml:space="preserve">Submission </w:t>
      </w:r>
      <w:r w:rsidR="00CF5ECF" w:rsidRPr="00CA4020">
        <w:rPr>
          <w:b/>
          <w:lang w:val="en-US"/>
        </w:rPr>
        <w:t xml:space="preserve">on Tajikistan </w:t>
      </w:r>
      <w:r w:rsidRPr="00CA4020">
        <w:rPr>
          <w:b/>
          <w:lang w:val="en-US"/>
        </w:rPr>
        <w:t xml:space="preserve">by Human Rights Watch </w:t>
      </w:r>
      <w:r w:rsidRPr="00CA4020">
        <w:rPr>
          <w:b/>
          <w:lang w:val="en-US"/>
        </w:rPr>
        <w:br/>
        <w:t>to the</w:t>
      </w:r>
      <w:r w:rsidRPr="00CA4020" w:rsidDel="00EE3284">
        <w:rPr>
          <w:b/>
          <w:lang w:val="en-US"/>
        </w:rPr>
        <w:t xml:space="preserve"> </w:t>
      </w:r>
      <w:r w:rsidR="008658CC" w:rsidRPr="00CA4020">
        <w:rPr>
          <w:b/>
          <w:lang w:val="en-US"/>
        </w:rPr>
        <w:t xml:space="preserve">Committee on Economic, Social and Cultural Rights </w:t>
      </w:r>
    </w:p>
    <w:p w14:paraId="1C7F6C76" w14:textId="796AE702" w:rsidR="008658CC" w:rsidRPr="00CA4020" w:rsidRDefault="00EE3284" w:rsidP="008658CC">
      <w:pPr>
        <w:jc w:val="center"/>
        <w:rPr>
          <w:b/>
          <w:lang w:val="en-US"/>
        </w:rPr>
      </w:pPr>
      <w:r w:rsidRPr="00CA4020">
        <w:rPr>
          <w:b/>
          <w:lang w:val="en-US"/>
        </w:rPr>
        <w:t xml:space="preserve">in </w:t>
      </w:r>
      <w:r w:rsidR="00CA4020">
        <w:rPr>
          <w:b/>
          <w:lang w:val="en-US"/>
        </w:rPr>
        <w:t>A</w:t>
      </w:r>
      <w:r w:rsidRPr="00CA4020">
        <w:rPr>
          <w:b/>
          <w:lang w:val="en-US"/>
        </w:rPr>
        <w:t xml:space="preserve">dvance of </w:t>
      </w:r>
      <w:r w:rsidR="00CF5ECF" w:rsidRPr="00CA4020">
        <w:rPr>
          <w:b/>
          <w:lang w:val="en-US"/>
        </w:rPr>
        <w:t>the 67</w:t>
      </w:r>
      <w:r w:rsidR="00CF5ECF" w:rsidRPr="00CA4020">
        <w:rPr>
          <w:b/>
          <w:vertAlign w:val="superscript"/>
          <w:lang w:val="en-US"/>
        </w:rPr>
        <w:t>th</w:t>
      </w:r>
      <w:r w:rsidR="00CF5ECF" w:rsidRPr="00CA4020">
        <w:rPr>
          <w:b/>
          <w:lang w:val="en-US"/>
        </w:rPr>
        <w:t xml:space="preserve"> </w:t>
      </w:r>
      <w:r w:rsidR="00CA4020">
        <w:rPr>
          <w:b/>
          <w:lang w:val="en-US"/>
        </w:rPr>
        <w:t>S</w:t>
      </w:r>
      <w:r w:rsidR="00CF5ECF" w:rsidRPr="00CA4020">
        <w:rPr>
          <w:b/>
          <w:lang w:val="en-US"/>
        </w:rPr>
        <w:t>ession of the Pre-Sessional Working Group</w:t>
      </w:r>
    </w:p>
    <w:p w14:paraId="77E9770C" w14:textId="7FA3E6B5" w:rsidR="00EE3284" w:rsidRPr="00CA4020" w:rsidRDefault="00EE3284" w:rsidP="008658CC">
      <w:pPr>
        <w:jc w:val="center"/>
        <w:rPr>
          <w:b/>
          <w:lang w:val="en-US"/>
        </w:rPr>
      </w:pPr>
      <w:r w:rsidRPr="00CA4020">
        <w:rPr>
          <w:b/>
          <w:lang w:val="en-US"/>
        </w:rPr>
        <w:t>August 2020</w:t>
      </w:r>
    </w:p>
    <w:p w14:paraId="5F70B2CC" w14:textId="77777777" w:rsidR="008658CC" w:rsidRPr="00CA4020" w:rsidRDefault="008658CC" w:rsidP="00CA4020">
      <w:pPr>
        <w:rPr>
          <w:rFonts w:ascii="MetaPro-Norm" w:hAnsi="MetaPro-Norm"/>
          <w:b/>
          <w:iCs/>
          <w:color w:val="000000" w:themeColor="text1"/>
        </w:rPr>
      </w:pPr>
    </w:p>
    <w:p w14:paraId="01882457" w14:textId="7D7490F4" w:rsidR="008658CC" w:rsidRPr="00CA4020" w:rsidRDefault="003B6816" w:rsidP="003878B2">
      <w:pPr>
        <w:jc w:val="both"/>
        <w:rPr>
          <w:rFonts w:ascii="MetaPro-Norm" w:hAnsi="MetaPro-Norm"/>
          <w:color w:val="000000" w:themeColor="text1"/>
        </w:rPr>
      </w:pPr>
      <w:r w:rsidRPr="00CA4020">
        <w:rPr>
          <w:rFonts w:ascii="MetaPro-Norm" w:hAnsi="MetaPro-Norm"/>
          <w:color w:val="000000" w:themeColor="text1"/>
        </w:rPr>
        <w:t xml:space="preserve">Human Rights Watch welcomes the opportunity to contribute to the List of Issues in preparation for the fourth periodic review of the government of </w:t>
      </w:r>
      <w:r w:rsidR="008658CC" w:rsidRPr="00CA4020">
        <w:rPr>
          <w:rFonts w:ascii="MetaPro-Norm" w:hAnsi="MetaPro-Norm"/>
          <w:color w:val="000000" w:themeColor="text1"/>
        </w:rPr>
        <w:t>Tajikistan</w:t>
      </w:r>
      <w:r w:rsidRPr="00CA4020">
        <w:rPr>
          <w:rFonts w:ascii="MetaPro-Norm" w:hAnsi="MetaPro-Norm"/>
          <w:color w:val="000000" w:themeColor="text1"/>
        </w:rPr>
        <w:t>’s compliance with</w:t>
      </w:r>
      <w:r w:rsidR="008658CC" w:rsidRPr="00CA4020">
        <w:rPr>
          <w:rFonts w:ascii="MetaPro-Norm" w:hAnsi="MetaPro-Norm"/>
          <w:color w:val="000000" w:themeColor="text1"/>
        </w:rPr>
        <w:t xml:space="preserve"> the International Covenant on Economic, Social and Cultural Rights</w:t>
      </w:r>
      <w:r w:rsidRPr="00CA4020">
        <w:rPr>
          <w:rFonts w:ascii="MetaPro-Norm" w:hAnsi="MetaPro-Norm"/>
          <w:color w:val="000000" w:themeColor="text1"/>
        </w:rPr>
        <w:t xml:space="preserve"> (CESCR)</w:t>
      </w:r>
      <w:r w:rsidR="008658CC" w:rsidRPr="00CA4020">
        <w:rPr>
          <w:rFonts w:ascii="MetaPro-Norm" w:hAnsi="MetaPro-Norm"/>
          <w:color w:val="000000" w:themeColor="text1"/>
        </w:rPr>
        <w:t xml:space="preserve">. It focuses on </w:t>
      </w:r>
      <w:r w:rsidR="003D5166" w:rsidRPr="00CA4020">
        <w:rPr>
          <w:rFonts w:ascii="MetaPro-Norm" w:hAnsi="MetaPro-Norm"/>
          <w:color w:val="000000" w:themeColor="text1"/>
        </w:rPr>
        <w:t xml:space="preserve">domestic violence </w:t>
      </w:r>
      <w:r w:rsidR="008658CC" w:rsidRPr="00CA4020">
        <w:rPr>
          <w:rFonts w:ascii="MetaPro-Norm" w:hAnsi="MetaPro-Norm"/>
          <w:color w:val="000000" w:themeColor="text1"/>
        </w:rPr>
        <w:t>and the protection of students, teachers, and schools during armed conflict.</w:t>
      </w:r>
      <w:r w:rsidRPr="00CA4020">
        <w:rPr>
          <w:rFonts w:ascii="MetaPro-Norm" w:hAnsi="MetaPro-Norm"/>
          <w:color w:val="000000" w:themeColor="text1"/>
        </w:rPr>
        <w:t xml:space="preserve"> </w:t>
      </w:r>
    </w:p>
    <w:p w14:paraId="07828A54" w14:textId="360174E9" w:rsidR="003B6816" w:rsidRPr="00CA4020" w:rsidRDefault="003B6816" w:rsidP="008658CC">
      <w:pPr>
        <w:rPr>
          <w:rFonts w:ascii="MetaPro-Norm" w:hAnsi="MetaPro-Norm"/>
          <w:color w:val="000000" w:themeColor="text1"/>
        </w:rPr>
      </w:pPr>
    </w:p>
    <w:p w14:paraId="70EED18E" w14:textId="059129C2" w:rsidR="003B6816" w:rsidRPr="00CA4020" w:rsidRDefault="00BC3674" w:rsidP="008658CC">
      <w:pPr>
        <w:rPr>
          <w:rFonts w:ascii="MetaPro-Norm" w:hAnsi="MetaPro-Norm"/>
          <w:b/>
          <w:bCs/>
          <w:color w:val="000000" w:themeColor="text1"/>
        </w:rPr>
      </w:pPr>
      <w:r w:rsidRPr="00CA4020">
        <w:rPr>
          <w:rFonts w:ascii="MetaPro-Norm" w:hAnsi="MetaPro-Norm"/>
          <w:b/>
          <w:bCs/>
          <w:color w:val="000000" w:themeColor="text1"/>
        </w:rPr>
        <w:t>Introduction</w:t>
      </w:r>
    </w:p>
    <w:p w14:paraId="1CD33FE3" w14:textId="23772140" w:rsidR="003B6816" w:rsidRPr="00CA4020" w:rsidRDefault="003B6816" w:rsidP="008658CC">
      <w:pPr>
        <w:rPr>
          <w:rFonts w:ascii="MetaPro-Norm" w:hAnsi="MetaPro-Norm"/>
          <w:color w:val="000000" w:themeColor="text1"/>
        </w:rPr>
      </w:pPr>
    </w:p>
    <w:p w14:paraId="165FD5C7" w14:textId="206B559A" w:rsidR="003B6816" w:rsidRPr="00CA4020" w:rsidRDefault="003B6816" w:rsidP="003878B2">
      <w:pPr>
        <w:jc w:val="both"/>
        <w:rPr>
          <w:rFonts w:ascii="MetaPro-Norm" w:hAnsi="MetaPro-Norm"/>
          <w:color w:val="000000" w:themeColor="text1"/>
        </w:rPr>
      </w:pPr>
      <w:r w:rsidRPr="00CA4020">
        <w:rPr>
          <w:rFonts w:ascii="MetaPro-Norm" w:hAnsi="MetaPro-Norm"/>
          <w:color w:val="000000" w:themeColor="text1"/>
        </w:rPr>
        <w:t xml:space="preserve">Tajikistan’s human rights record continues to deteriorate amid an ongoing crackdown on freedom of expression and the political opposition, as well as the targeting of independent lawyers, journalists, and even the family members of opposition activists abroad. Authorities’ use of torture to obtain confessions remains a serious concern. The government continues to block various websites </w:t>
      </w:r>
      <w:r w:rsidR="00FE6E6E" w:rsidRPr="00CA4020">
        <w:rPr>
          <w:rFonts w:ascii="MetaPro-Norm" w:hAnsi="MetaPro-Norm"/>
          <w:color w:val="000000" w:themeColor="text1"/>
        </w:rPr>
        <w:t xml:space="preserve">that host </w:t>
      </w:r>
      <w:r w:rsidRPr="00CA4020">
        <w:rPr>
          <w:rFonts w:ascii="MetaPro-Norm" w:hAnsi="MetaPro-Norm"/>
          <w:color w:val="000000" w:themeColor="text1"/>
        </w:rPr>
        <w:t xml:space="preserve">information critical of the government, subject human rights groups to harassment, including a law requiring nongovernmental organizations (NGOs) to register all sources of funding from foreign sources, restricts media freedoms, and has enforced serious restrictions on religious practice. Lesbian, gays, bisexual, and transgender </w:t>
      </w:r>
      <w:r w:rsidR="00CA4020">
        <w:rPr>
          <w:rFonts w:ascii="MetaPro-Norm" w:hAnsi="MetaPro-Norm"/>
          <w:color w:val="000000" w:themeColor="text1"/>
        </w:rPr>
        <w:t xml:space="preserve">(LGBT) </w:t>
      </w:r>
      <w:r w:rsidRPr="00CA4020">
        <w:rPr>
          <w:rFonts w:ascii="MetaPro-Norm" w:hAnsi="MetaPro-Norm"/>
          <w:color w:val="000000" w:themeColor="text1"/>
        </w:rPr>
        <w:t>people are subjected to wide-ranging discrimination and homophobia. Domestic violence against women continues to be a serious problem, despite the adoption of a law on domestic violence in 2013 that provide</w:t>
      </w:r>
      <w:r w:rsidR="009E6099" w:rsidRPr="00CA4020">
        <w:rPr>
          <w:rFonts w:ascii="MetaPro-Norm" w:hAnsi="MetaPro-Norm"/>
          <w:color w:val="000000" w:themeColor="text1"/>
        </w:rPr>
        <w:t>s</w:t>
      </w:r>
      <w:r w:rsidRPr="00CA4020">
        <w:rPr>
          <w:rFonts w:ascii="MetaPro-Norm" w:hAnsi="MetaPro-Norm"/>
          <w:color w:val="000000" w:themeColor="text1"/>
        </w:rPr>
        <w:t xml:space="preserve"> some human rights protections.</w:t>
      </w:r>
    </w:p>
    <w:p w14:paraId="60F47F07" w14:textId="46E1C9ED" w:rsidR="008658CC" w:rsidRPr="00CA4020" w:rsidRDefault="003B6816" w:rsidP="008658CC">
      <w:pPr>
        <w:rPr>
          <w:rFonts w:ascii="MetaPro-Norm" w:hAnsi="MetaPro-Norm"/>
          <w:color w:val="000000" w:themeColor="text1"/>
        </w:rPr>
      </w:pPr>
      <w:r w:rsidRPr="00CA4020">
        <w:rPr>
          <w:rFonts w:ascii="MetaPro-Norm" w:hAnsi="MetaPro-Norm"/>
          <w:color w:val="000000" w:themeColor="text1"/>
        </w:rPr>
        <w:t xml:space="preserve"> </w:t>
      </w:r>
    </w:p>
    <w:p w14:paraId="33B91686" w14:textId="5C6991A1" w:rsidR="008658CC" w:rsidRPr="00CA4020" w:rsidRDefault="008658CC" w:rsidP="008658CC">
      <w:pPr>
        <w:rPr>
          <w:rFonts w:ascii="MetaPro-Norm" w:hAnsi="MetaPro-Norm"/>
          <w:b/>
          <w:bCs/>
          <w:color w:val="000000" w:themeColor="text1"/>
        </w:rPr>
      </w:pPr>
      <w:r w:rsidRPr="00CA4020">
        <w:rPr>
          <w:rFonts w:ascii="MetaPro-Norm" w:hAnsi="MetaPro-Norm"/>
          <w:b/>
          <w:bCs/>
          <w:color w:val="000000" w:themeColor="text1"/>
        </w:rPr>
        <w:t>Domestic Violence (</w:t>
      </w:r>
      <w:r w:rsidR="00A327C2" w:rsidRPr="00CA4020">
        <w:rPr>
          <w:rFonts w:ascii="MetaPro-Norm" w:hAnsi="MetaPro-Norm"/>
          <w:b/>
          <w:bCs/>
          <w:color w:val="000000" w:themeColor="text1"/>
        </w:rPr>
        <w:t>A</w:t>
      </w:r>
      <w:r w:rsidRPr="00CA4020">
        <w:rPr>
          <w:rFonts w:ascii="MetaPro-Norm" w:hAnsi="MetaPro-Norm"/>
          <w:b/>
          <w:bCs/>
          <w:color w:val="000000" w:themeColor="text1"/>
        </w:rPr>
        <w:t>rt</w:t>
      </w:r>
      <w:r w:rsidR="00CA4020">
        <w:rPr>
          <w:rFonts w:ascii="MetaPro-Norm" w:hAnsi="MetaPro-Norm"/>
          <w:b/>
          <w:bCs/>
          <w:color w:val="000000" w:themeColor="text1"/>
        </w:rPr>
        <w:t>s.</w:t>
      </w:r>
      <w:r w:rsidRPr="00CA4020">
        <w:rPr>
          <w:rFonts w:ascii="MetaPro-Norm" w:hAnsi="MetaPro-Norm"/>
          <w:b/>
          <w:bCs/>
          <w:color w:val="000000" w:themeColor="text1"/>
        </w:rPr>
        <w:t xml:space="preserve"> </w:t>
      </w:r>
      <w:r w:rsidR="00A327C2" w:rsidRPr="00CA4020">
        <w:rPr>
          <w:rFonts w:ascii="MetaPro-Norm" w:hAnsi="MetaPro-Norm"/>
          <w:b/>
          <w:bCs/>
          <w:color w:val="000000" w:themeColor="text1"/>
        </w:rPr>
        <w:t xml:space="preserve">2, </w:t>
      </w:r>
      <w:r w:rsidR="00ED73BE" w:rsidRPr="00CA4020">
        <w:rPr>
          <w:rFonts w:ascii="MetaPro-Norm" w:hAnsi="MetaPro-Norm"/>
          <w:b/>
          <w:bCs/>
          <w:color w:val="000000" w:themeColor="text1"/>
        </w:rPr>
        <w:t xml:space="preserve">3, </w:t>
      </w:r>
      <w:r w:rsidR="00E53A9A" w:rsidRPr="00CA4020">
        <w:rPr>
          <w:rFonts w:ascii="MetaPro-Norm" w:hAnsi="MetaPro-Norm"/>
          <w:b/>
          <w:bCs/>
          <w:color w:val="000000" w:themeColor="text1"/>
        </w:rPr>
        <w:t xml:space="preserve">9, </w:t>
      </w:r>
      <w:r w:rsidR="006A5B94" w:rsidRPr="00CA4020">
        <w:rPr>
          <w:rFonts w:ascii="MetaPro-Norm" w:hAnsi="MetaPro-Norm"/>
          <w:b/>
          <w:bCs/>
          <w:color w:val="000000" w:themeColor="text1"/>
        </w:rPr>
        <w:t xml:space="preserve">10, </w:t>
      </w:r>
      <w:r w:rsidR="00A54A2F" w:rsidRPr="00CA4020">
        <w:rPr>
          <w:rFonts w:ascii="MetaPro-Norm" w:hAnsi="MetaPro-Norm"/>
          <w:b/>
          <w:bCs/>
          <w:color w:val="000000" w:themeColor="text1"/>
        </w:rPr>
        <w:t>11</w:t>
      </w:r>
      <w:r w:rsidR="00E53A9A" w:rsidRPr="00CA4020">
        <w:rPr>
          <w:rFonts w:ascii="MetaPro-Norm" w:hAnsi="MetaPro-Norm"/>
          <w:b/>
          <w:bCs/>
          <w:color w:val="000000" w:themeColor="text1"/>
        </w:rPr>
        <w:t>,</w:t>
      </w:r>
      <w:r w:rsidR="00AE17E2" w:rsidRPr="00CA4020">
        <w:rPr>
          <w:rFonts w:ascii="MetaPro-Norm" w:hAnsi="MetaPro-Norm"/>
          <w:b/>
          <w:bCs/>
          <w:color w:val="000000" w:themeColor="text1"/>
        </w:rPr>
        <w:t xml:space="preserve"> and 12</w:t>
      </w:r>
      <w:r w:rsidRPr="00CA4020">
        <w:rPr>
          <w:rFonts w:ascii="MetaPro-Norm" w:hAnsi="MetaPro-Norm"/>
          <w:b/>
          <w:bCs/>
          <w:color w:val="000000" w:themeColor="text1"/>
        </w:rPr>
        <w:t>)</w:t>
      </w:r>
    </w:p>
    <w:p w14:paraId="0271D938" w14:textId="77777777" w:rsidR="008658CC" w:rsidRPr="00CA4020" w:rsidRDefault="008658CC" w:rsidP="008658CC">
      <w:pPr>
        <w:rPr>
          <w:rFonts w:ascii="MetaPro-Norm" w:hAnsi="MetaPro-Norm"/>
          <w:color w:val="000000" w:themeColor="text1"/>
        </w:rPr>
      </w:pPr>
    </w:p>
    <w:p w14:paraId="2568393D" w14:textId="4061D9BB" w:rsidR="008D6789" w:rsidRPr="00CA4020" w:rsidRDefault="00EE3284" w:rsidP="003878B2">
      <w:pPr>
        <w:jc w:val="both"/>
        <w:rPr>
          <w:rFonts w:ascii="MetaPro-Norm" w:hAnsi="MetaPro-Norm"/>
          <w:color w:val="000000" w:themeColor="text1"/>
        </w:rPr>
      </w:pPr>
      <w:r w:rsidRPr="00CA4020">
        <w:rPr>
          <w:rFonts w:ascii="MetaPro-Norm" w:hAnsi="MetaPro-Norm"/>
          <w:color w:val="000000" w:themeColor="text1"/>
        </w:rPr>
        <w:t>This s</w:t>
      </w:r>
      <w:r w:rsidR="00B82519" w:rsidRPr="00CA4020">
        <w:rPr>
          <w:rFonts w:ascii="MetaPro-Norm" w:hAnsi="MetaPro-Norm"/>
          <w:color w:val="000000" w:themeColor="text1"/>
        </w:rPr>
        <w:t>ection</w:t>
      </w:r>
      <w:r w:rsidRPr="00CA4020">
        <w:rPr>
          <w:rFonts w:ascii="MetaPro-Norm" w:hAnsi="MetaPro-Norm"/>
          <w:color w:val="000000" w:themeColor="text1"/>
        </w:rPr>
        <w:t xml:space="preserve"> focuse</w:t>
      </w:r>
      <w:r w:rsidR="00FA280B" w:rsidRPr="00CA4020">
        <w:rPr>
          <w:rFonts w:ascii="MetaPro-Norm" w:hAnsi="MetaPro-Norm"/>
          <w:color w:val="000000" w:themeColor="text1"/>
        </w:rPr>
        <w:t>s</w:t>
      </w:r>
      <w:r w:rsidRPr="00CA4020">
        <w:rPr>
          <w:rFonts w:ascii="MetaPro-Norm" w:hAnsi="MetaPro-Norm"/>
          <w:color w:val="000000" w:themeColor="text1"/>
        </w:rPr>
        <w:t xml:space="preserve"> on findings </w:t>
      </w:r>
      <w:r w:rsidR="001B382C" w:rsidRPr="00CA4020">
        <w:rPr>
          <w:rFonts w:ascii="MetaPro-Norm" w:hAnsi="MetaPro-Norm"/>
          <w:color w:val="000000" w:themeColor="text1"/>
        </w:rPr>
        <w:t xml:space="preserve">of </w:t>
      </w:r>
      <w:r w:rsidR="001D562B" w:rsidRPr="00CA4020">
        <w:rPr>
          <w:rFonts w:ascii="MetaPro-Norm" w:hAnsi="MetaPro-Norm"/>
          <w:color w:val="000000" w:themeColor="text1"/>
        </w:rPr>
        <w:t xml:space="preserve">research conducted </w:t>
      </w:r>
      <w:r w:rsidR="00BB3558" w:rsidRPr="00CA4020">
        <w:rPr>
          <w:rFonts w:ascii="MetaPro-Norm" w:hAnsi="MetaPro-Norm"/>
          <w:color w:val="000000" w:themeColor="text1"/>
        </w:rPr>
        <w:t>by Human Rights Watch</w:t>
      </w:r>
      <w:r w:rsidR="001B382C" w:rsidRPr="00CA4020">
        <w:rPr>
          <w:rFonts w:ascii="MetaPro-Norm" w:hAnsi="MetaPro-Norm"/>
          <w:color w:val="000000" w:themeColor="text1"/>
        </w:rPr>
        <w:t xml:space="preserve"> between </w:t>
      </w:r>
      <w:r w:rsidR="003878B2" w:rsidRPr="00CA4020">
        <w:rPr>
          <w:rFonts w:ascii="MetaPro-Norm" w:hAnsi="MetaPro-Norm"/>
          <w:color w:val="000000" w:themeColor="text1"/>
        </w:rPr>
        <w:t xml:space="preserve">July and August </w:t>
      </w:r>
      <w:r w:rsidR="001D562B" w:rsidRPr="00CA4020">
        <w:rPr>
          <w:rFonts w:ascii="MetaPro-Norm" w:hAnsi="MetaPro-Norm"/>
          <w:color w:val="000000" w:themeColor="text1"/>
        </w:rPr>
        <w:t>2015</w:t>
      </w:r>
      <w:r w:rsidR="001B382C" w:rsidRPr="00CA4020">
        <w:rPr>
          <w:rFonts w:ascii="MetaPro-Norm" w:hAnsi="MetaPro-Norm"/>
          <w:color w:val="000000" w:themeColor="text1"/>
        </w:rPr>
        <w:t xml:space="preserve"> and </w:t>
      </w:r>
      <w:r w:rsidR="001D562B" w:rsidRPr="00CA4020">
        <w:rPr>
          <w:rFonts w:ascii="MetaPro-Norm" w:hAnsi="MetaPro-Norm"/>
          <w:color w:val="000000" w:themeColor="text1"/>
        </w:rPr>
        <w:t xml:space="preserve">July and September 2016, and follow-up </w:t>
      </w:r>
      <w:r w:rsidR="001D1224" w:rsidRPr="00CA4020">
        <w:rPr>
          <w:rFonts w:ascii="MetaPro-Norm" w:hAnsi="MetaPro-Norm"/>
          <w:color w:val="000000" w:themeColor="text1"/>
        </w:rPr>
        <w:t>research</w:t>
      </w:r>
      <w:r w:rsidR="001D562B" w:rsidRPr="00CA4020">
        <w:rPr>
          <w:rFonts w:ascii="MetaPro-Norm" w:hAnsi="MetaPro-Norm"/>
          <w:color w:val="000000" w:themeColor="text1"/>
        </w:rPr>
        <w:t xml:space="preserve"> between August 2018 and </w:t>
      </w:r>
      <w:r w:rsidR="005D1EE1" w:rsidRPr="00CA4020">
        <w:rPr>
          <w:rFonts w:ascii="MetaPro-Norm" w:hAnsi="MetaPro-Norm"/>
          <w:color w:val="000000" w:themeColor="text1"/>
        </w:rPr>
        <w:t xml:space="preserve">July </w:t>
      </w:r>
      <w:r w:rsidR="001D562B" w:rsidRPr="00CA4020">
        <w:rPr>
          <w:rFonts w:ascii="MetaPro-Norm" w:hAnsi="MetaPro-Norm"/>
          <w:color w:val="000000" w:themeColor="text1"/>
        </w:rPr>
        <w:t>2019</w:t>
      </w:r>
      <w:r w:rsidR="001D562B" w:rsidRPr="00CA4020" w:rsidDel="00EE3284">
        <w:rPr>
          <w:rFonts w:ascii="MetaPro-Norm" w:hAnsi="MetaPro-Norm"/>
          <w:color w:val="000000" w:themeColor="text1"/>
        </w:rPr>
        <w:t xml:space="preserve"> </w:t>
      </w:r>
      <w:r w:rsidR="0080358A" w:rsidRPr="00CA4020">
        <w:rPr>
          <w:rFonts w:ascii="MetaPro-Norm" w:hAnsi="MetaPro-Norm"/>
          <w:color w:val="000000" w:themeColor="text1"/>
        </w:rPr>
        <w:t>on domestic violence in Tajikistan</w:t>
      </w:r>
      <w:r w:rsidRPr="00CA4020">
        <w:rPr>
          <w:rFonts w:ascii="MetaPro-Norm" w:hAnsi="MetaPro-Norm"/>
          <w:color w:val="000000" w:themeColor="text1"/>
        </w:rPr>
        <w:t xml:space="preserve"> </w:t>
      </w:r>
      <w:r w:rsidR="008A1E4B" w:rsidRPr="00CA4020">
        <w:rPr>
          <w:rFonts w:ascii="MetaPro-Norm" w:hAnsi="MetaPro-Norm"/>
          <w:color w:val="000000" w:themeColor="text1"/>
        </w:rPr>
        <w:t xml:space="preserve">and </w:t>
      </w:r>
      <w:r w:rsidRPr="00CA4020">
        <w:rPr>
          <w:rFonts w:ascii="MetaPro-Norm" w:hAnsi="MetaPro-Norm"/>
          <w:color w:val="000000" w:themeColor="text1"/>
        </w:rPr>
        <w:t>published</w:t>
      </w:r>
      <w:r w:rsidR="00E30FA1" w:rsidRPr="00CA4020">
        <w:rPr>
          <w:rFonts w:ascii="MetaPro-Norm" w:hAnsi="MetaPro-Norm"/>
          <w:color w:val="000000" w:themeColor="text1"/>
        </w:rPr>
        <w:t xml:space="preserve"> </w:t>
      </w:r>
      <w:r w:rsidRPr="00CA4020">
        <w:rPr>
          <w:rFonts w:ascii="MetaPro-Norm" w:hAnsi="MetaPro-Norm"/>
          <w:color w:val="000000" w:themeColor="text1"/>
        </w:rPr>
        <w:t>in September 2019.</w:t>
      </w:r>
      <w:r w:rsidR="00D87D89" w:rsidRPr="00CA4020">
        <w:rPr>
          <w:rStyle w:val="FootnoteReference"/>
          <w:rFonts w:ascii="MetaPro-Norm" w:hAnsi="MetaPro-Norm"/>
          <w:color w:val="000000" w:themeColor="text1"/>
        </w:rPr>
        <w:footnoteReference w:id="1"/>
      </w:r>
      <w:r w:rsidR="0080358A" w:rsidRPr="00CA4020">
        <w:rPr>
          <w:rFonts w:ascii="MetaPro-Norm" w:hAnsi="MetaPro-Norm"/>
          <w:color w:val="000000" w:themeColor="text1"/>
        </w:rPr>
        <w:t xml:space="preserve"> </w:t>
      </w:r>
    </w:p>
    <w:p w14:paraId="147F72B6" w14:textId="77777777" w:rsidR="00681D69" w:rsidRPr="00CA4020" w:rsidRDefault="00681D69" w:rsidP="008658CC">
      <w:pPr>
        <w:rPr>
          <w:rFonts w:ascii="MetaPro-Norm" w:hAnsi="MetaPro-Norm"/>
          <w:color w:val="000000" w:themeColor="text1"/>
        </w:rPr>
      </w:pPr>
    </w:p>
    <w:p w14:paraId="75ABDF0C" w14:textId="51921573" w:rsidR="008658CC" w:rsidRPr="00CA4020" w:rsidRDefault="008658CC" w:rsidP="005C44F6">
      <w:pPr>
        <w:jc w:val="both"/>
        <w:rPr>
          <w:rFonts w:ascii="MetaPro-Norm" w:hAnsi="MetaPro-Norm"/>
          <w:color w:val="000000" w:themeColor="text1"/>
        </w:rPr>
      </w:pPr>
      <w:r w:rsidRPr="00CA4020">
        <w:rPr>
          <w:rFonts w:ascii="MetaPro-Norm" w:hAnsi="MetaPro-Norm"/>
          <w:color w:val="000000" w:themeColor="text1"/>
        </w:rPr>
        <w:t xml:space="preserve">The precise number of women </w:t>
      </w:r>
      <w:r w:rsidR="00FE6E6E" w:rsidRPr="00CA4020">
        <w:rPr>
          <w:rFonts w:ascii="MetaPro-Norm" w:hAnsi="MetaPro-Norm"/>
          <w:color w:val="000000" w:themeColor="text1"/>
        </w:rPr>
        <w:t xml:space="preserve">in Tajikistan </w:t>
      </w:r>
      <w:r w:rsidRPr="00CA4020">
        <w:rPr>
          <w:rFonts w:ascii="MetaPro-Norm" w:hAnsi="MetaPro-Norm"/>
          <w:color w:val="000000" w:themeColor="text1"/>
        </w:rPr>
        <w:t xml:space="preserve">who experience violence at the hands of a </w:t>
      </w:r>
      <w:r w:rsidR="00724C35" w:rsidRPr="00CA4020">
        <w:rPr>
          <w:rFonts w:ascii="MetaPro-Norm" w:hAnsi="MetaPro-Norm"/>
          <w:color w:val="000000" w:themeColor="text1"/>
        </w:rPr>
        <w:t xml:space="preserve">spouse or </w:t>
      </w:r>
      <w:r w:rsidRPr="00CA4020">
        <w:rPr>
          <w:rFonts w:ascii="MetaPro-Norm" w:hAnsi="MetaPro-Norm"/>
          <w:color w:val="000000" w:themeColor="text1"/>
        </w:rPr>
        <w:t xml:space="preserve">partner </w:t>
      </w:r>
      <w:r w:rsidR="001B382C" w:rsidRPr="00CA4020">
        <w:rPr>
          <w:rFonts w:ascii="MetaPro-Norm" w:hAnsi="MetaPro-Norm"/>
          <w:color w:val="000000" w:themeColor="text1"/>
        </w:rPr>
        <w:t xml:space="preserve">or </w:t>
      </w:r>
      <w:r w:rsidR="00C94AE5" w:rsidRPr="00CA4020">
        <w:rPr>
          <w:rFonts w:ascii="MetaPro-Norm" w:hAnsi="MetaPro-Norm"/>
          <w:color w:val="000000" w:themeColor="text1"/>
        </w:rPr>
        <w:t>their relatives, including mothers-in-law</w:t>
      </w:r>
      <w:r w:rsidR="00BC3674" w:rsidRPr="00CA4020">
        <w:rPr>
          <w:rFonts w:ascii="MetaPro-Norm" w:hAnsi="MetaPro-Norm"/>
          <w:color w:val="000000" w:themeColor="text1"/>
        </w:rPr>
        <w:t>,</w:t>
      </w:r>
      <w:r w:rsidR="00C94AE5" w:rsidRPr="00CA4020">
        <w:rPr>
          <w:rFonts w:ascii="MetaPro-Norm" w:hAnsi="MetaPro-Norm"/>
          <w:color w:val="000000" w:themeColor="text1"/>
        </w:rPr>
        <w:t xml:space="preserve"> </w:t>
      </w:r>
      <w:r w:rsidRPr="00CA4020">
        <w:rPr>
          <w:rFonts w:ascii="MetaPro-Norm" w:hAnsi="MetaPro-Norm"/>
          <w:color w:val="000000" w:themeColor="text1"/>
        </w:rPr>
        <w:t>is</w:t>
      </w:r>
      <w:r w:rsidR="00D516B2" w:rsidRPr="00CA4020">
        <w:rPr>
          <w:rFonts w:ascii="MetaPro-Norm" w:hAnsi="MetaPro-Norm"/>
          <w:color w:val="000000" w:themeColor="text1"/>
        </w:rPr>
        <w:t xml:space="preserve"> </w:t>
      </w:r>
      <w:r w:rsidRPr="00CA4020">
        <w:rPr>
          <w:rFonts w:ascii="MetaPro-Norm" w:hAnsi="MetaPro-Norm"/>
          <w:color w:val="000000" w:themeColor="text1"/>
        </w:rPr>
        <w:t>unknown as the government does not systematically monitor the issue</w:t>
      </w:r>
      <w:r w:rsidR="00EC4D12" w:rsidRPr="00CA4020">
        <w:rPr>
          <w:rFonts w:ascii="MetaPro-Norm" w:hAnsi="MetaPro-Norm"/>
          <w:color w:val="000000" w:themeColor="text1"/>
        </w:rPr>
        <w:t xml:space="preserve"> and does not collect relevant </w:t>
      </w:r>
      <w:r w:rsidR="006A622F" w:rsidRPr="00CA4020">
        <w:rPr>
          <w:rFonts w:ascii="MetaPro-Norm" w:hAnsi="MetaPro-Norm"/>
          <w:color w:val="000000" w:themeColor="text1"/>
        </w:rPr>
        <w:t>data and statistics</w:t>
      </w:r>
      <w:r w:rsidRPr="00CA4020">
        <w:rPr>
          <w:rFonts w:ascii="MetaPro-Norm" w:hAnsi="MetaPro-Norm"/>
          <w:color w:val="000000" w:themeColor="text1"/>
        </w:rPr>
        <w:t>. But experts,</w:t>
      </w:r>
      <w:r w:rsidR="00D516B2" w:rsidRPr="00CA4020">
        <w:rPr>
          <w:rFonts w:ascii="MetaPro-Norm" w:hAnsi="MetaPro-Norm"/>
          <w:color w:val="000000" w:themeColor="text1"/>
        </w:rPr>
        <w:t xml:space="preserve"> </w:t>
      </w:r>
      <w:r w:rsidRPr="00CA4020">
        <w:rPr>
          <w:rFonts w:ascii="MetaPro-Norm" w:hAnsi="MetaPro-Norm"/>
          <w:color w:val="000000" w:themeColor="text1"/>
        </w:rPr>
        <w:t>including sociologists, government officials, international researchers, lawyers, and</w:t>
      </w:r>
      <w:r w:rsidR="00D516B2" w:rsidRPr="00CA4020">
        <w:rPr>
          <w:rFonts w:ascii="MetaPro-Norm" w:hAnsi="MetaPro-Norm"/>
          <w:color w:val="000000" w:themeColor="text1"/>
        </w:rPr>
        <w:t xml:space="preserve"> </w:t>
      </w:r>
      <w:r w:rsidRPr="00CA4020">
        <w:rPr>
          <w:rFonts w:ascii="MetaPro-Norm" w:hAnsi="MetaPro-Norm"/>
          <w:color w:val="000000" w:themeColor="text1"/>
        </w:rPr>
        <w:t xml:space="preserve">service providers with whom Human Rights Watch spoke in various regions of Tajikistan report that </w:t>
      </w:r>
      <w:r w:rsidR="005C0BBD" w:rsidRPr="00CA4020">
        <w:rPr>
          <w:rFonts w:ascii="MetaPro-Norm" w:hAnsi="MetaPro-Norm"/>
          <w:color w:val="000000" w:themeColor="text1"/>
        </w:rPr>
        <w:t>family violence</w:t>
      </w:r>
      <w:r w:rsidRPr="00CA4020">
        <w:rPr>
          <w:rFonts w:ascii="MetaPro-Norm" w:hAnsi="MetaPro-Norm"/>
          <w:color w:val="000000" w:themeColor="text1"/>
        </w:rPr>
        <w:t xml:space="preserve"> </w:t>
      </w:r>
      <w:r w:rsidR="00EC69B4" w:rsidRPr="00CA4020">
        <w:rPr>
          <w:rFonts w:ascii="MetaPro-Norm" w:hAnsi="MetaPro-Norm"/>
          <w:color w:val="000000" w:themeColor="text1"/>
        </w:rPr>
        <w:t xml:space="preserve">is widespread and </w:t>
      </w:r>
      <w:r w:rsidRPr="00CA4020">
        <w:rPr>
          <w:rFonts w:ascii="MetaPro-Norm" w:hAnsi="MetaPro-Norm"/>
          <w:color w:val="000000" w:themeColor="text1"/>
        </w:rPr>
        <w:t>remains pervasive in Tajik society, often taking on severe forms and even including murder and incitement to suicide.</w:t>
      </w:r>
    </w:p>
    <w:p w14:paraId="6C4DC6B9" w14:textId="77777777" w:rsidR="005C44F6" w:rsidRPr="00CA4020" w:rsidRDefault="005C44F6" w:rsidP="005C44F6">
      <w:pPr>
        <w:jc w:val="both"/>
        <w:rPr>
          <w:rFonts w:ascii="MetaPro-Norm" w:hAnsi="MetaPro-Norm"/>
          <w:color w:val="000000" w:themeColor="text1"/>
        </w:rPr>
      </w:pPr>
    </w:p>
    <w:p w14:paraId="2C62E07F" w14:textId="5FD29A72" w:rsidR="00283557" w:rsidRPr="00811928" w:rsidRDefault="00283557" w:rsidP="008658CC">
      <w:pPr>
        <w:rPr>
          <w:rFonts w:ascii="MetaPro-Norm" w:hAnsi="MetaPro-Norm"/>
          <w:i/>
          <w:iCs/>
          <w:color w:val="000000" w:themeColor="text1"/>
        </w:rPr>
      </w:pPr>
      <w:r w:rsidRPr="00CA4020">
        <w:rPr>
          <w:rFonts w:ascii="MetaPro-Norm" w:hAnsi="MetaPro-Norm"/>
          <w:i/>
          <w:iCs/>
          <w:color w:val="000000" w:themeColor="text1"/>
        </w:rPr>
        <w:t xml:space="preserve">Family Violence Law </w:t>
      </w:r>
    </w:p>
    <w:p w14:paraId="5EE6C41E" w14:textId="2BBE2F3D" w:rsidR="008658CC" w:rsidRPr="00CA4020" w:rsidRDefault="008658CC" w:rsidP="003878B2">
      <w:pPr>
        <w:jc w:val="both"/>
        <w:rPr>
          <w:rFonts w:ascii="MetaPro-Norm" w:hAnsi="MetaPro-Norm"/>
          <w:color w:val="000000" w:themeColor="text1"/>
        </w:rPr>
      </w:pPr>
      <w:r w:rsidRPr="00CA4020">
        <w:rPr>
          <w:rFonts w:ascii="MetaPro-Norm" w:hAnsi="MetaPro-Norm"/>
          <w:color w:val="000000" w:themeColor="text1"/>
        </w:rPr>
        <w:t xml:space="preserve">In 2013, following a 10-year advocacy effort by civil society groups, Tajikistan passed its first ever law addressing domestic violence, the Law on the Prevention of Violence in the Family (hereinafter Family Violence Law), which, while making key advances in the protection of women, left critical gaps. The Family Violence Law does not recognize domestic violence as a crime, providing only for administrative liability. The law </w:t>
      </w:r>
      <w:r w:rsidR="001B382C" w:rsidRPr="00CA4020">
        <w:rPr>
          <w:rFonts w:ascii="MetaPro-Norm" w:hAnsi="MetaPro-Norm"/>
          <w:color w:val="000000" w:themeColor="text1"/>
        </w:rPr>
        <w:t xml:space="preserve">does not </w:t>
      </w:r>
      <w:r w:rsidRPr="00CA4020">
        <w:rPr>
          <w:rFonts w:ascii="MetaPro-Norm" w:hAnsi="MetaPro-Norm"/>
          <w:color w:val="000000" w:themeColor="text1"/>
        </w:rPr>
        <w:t>criminalize domestic violence</w:t>
      </w:r>
      <w:r w:rsidR="00C34737" w:rsidRPr="00CA4020">
        <w:rPr>
          <w:rFonts w:ascii="MetaPro-Norm" w:hAnsi="MetaPro-Norm"/>
          <w:color w:val="000000" w:themeColor="text1"/>
        </w:rPr>
        <w:t xml:space="preserve"> as a standalone offence</w:t>
      </w:r>
      <w:r w:rsidRPr="00CA4020">
        <w:rPr>
          <w:rFonts w:ascii="MetaPro-Norm" w:hAnsi="MetaPro-Norm"/>
          <w:color w:val="000000" w:themeColor="text1"/>
        </w:rPr>
        <w:t xml:space="preserve">. Victims seeking </w:t>
      </w:r>
      <w:r w:rsidRPr="00CA4020">
        <w:rPr>
          <w:rFonts w:ascii="MetaPro-Norm" w:hAnsi="MetaPro-Norm"/>
          <w:color w:val="000000" w:themeColor="text1"/>
        </w:rPr>
        <w:lastRenderedPageBreak/>
        <w:t>prosecution and punishment of the abuser must bring claims under articles of the Tajik Criminal Code that govern assault and similar acts involving force or violence. The law</w:t>
      </w:r>
      <w:r w:rsidR="00031043" w:rsidRPr="00CA4020">
        <w:rPr>
          <w:rFonts w:ascii="MetaPro-Norm" w:hAnsi="MetaPro-Norm"/>
          <w:color w:val="000000" w:themeColor="text1"/>
        </w:rPr>
        <w:t xml:space="preserve"> </w:t>
      </w:r>
      <w:r w:rsidRPr="00CA4020">
        <w:rPr>
          <w:rFonts w:ascii="MetaPro-Norm" w:hAnsi="MetaPro-Norm"/>
          <w:color w:val="000000" w:themeColor="text1"/>
        </w:rPr>
        <w:t>does not define the term “family” and, according to the interpretation of several expert</w:t>
      </w:r>
      <w:r w:rsidR="00031043" w:rsidRPr="00CA4020">
        <w:rPr>
          <w:rFonts w:ascii="MetaPro-Norm" w:hAnsi="MetaPro-Norm"/>
          <w:color w:val="000000" w:themeColor="text1"/>
        </w:rPr>
        <w:t xml:space="preserve"> </w:t>
      </w:r>
      <w:r w:rsidRPr="00CA4020">
        <w:rPr>
          <w:rFonts w:ascii="MetaPro-Norm" w:hAnsi="MetaPro-Norm"/>
          <w:color w:val="000000" w:themeColor="text1"/>
        </w:rPr>
        <w:t>and women’s rights lawyers, leaves women who are divorced or in polygamous, child, or</w:t>
      </w:r>
      <w:r w:rsidR="00031043" w:rsidRPr="00CA4020">
        <w:rPr>
          <w:rFonts w:ascii="MetaPro-Norm" w:hAnsi="MetaPro-Norm"/>
          <w:color w:val="000000" w:themeColor="text1"/>
        </w:rPr>
        <w:t xml:space="preserve"> </w:t>
      </w:r>
      <w:r w:rsidRPr="00CA4020">
        <w:rPr>
          <w:rFonts w:ascii="MetaPro-Norm" w:hAnsi="MetaPro-Norm"/>
          <w:color w:val="000000" w:themeColor="text1"/>
        </w:rPr>
        <w:t>unregistered marriages unprotected.</w:t>
      </w:r>
    </w:p>
    <w:p w14:paraId="53C8A892" w14:textId="53F7D084" w:rsidR="0080358A" w:rsidRPr="00CA4020" w:rsidRDefault="0080358A" w:rsidP="008658CC">
      <w:pPr>
        <w:rPr>
          <w:rFonts w:ascii="MetaPro-Norm" w:hAnsi="MetaPro-Norm"/>
          <w:color w:val="000000" w:themeColor="text1"/>
        </w:rPr>
      </w:pPr>
    </w:p>
    <w:p w14:paraId="65072BDF" w14:textId="11ED50CD" w:rsidR="0080358A" w:rsidRPr="00CA4020" w:rsidRDefault="0080358A" w:rsidP="003878B2">
      <w:pPr>
        <w:jc w:val="both"/>
        <w:rPr>
          <w:rFonts w:ascii="MetaPro-Norm" w:hAnsi="MetaPro-Norm"/>
          <w:color w:val="000000" w:themeColor="text1"/>
        </w:rPr>
      </w:pPr>
      <w:r w:rsidRPr="00CA4020">
        <w:rPr>
          <w:rFonts w:ascii="MetaPro-Norm" w:hAnsi="MetaPro-Norm"/>
          <w:color w:val="000000" w:themeColor="text1"/>
        </w:rPr>
        <w:t>The CEDAW Committee has detailed these and other critical shortcomings of the Law and the overall state response to domestic violence in its reviews. While praising Tajikistan for its adoption of the law, the CEDAW Committee also outlined several areas of concern in 2013 including women’s lack of awareness of their rights, which particularly affects women in rural and remote areas.</w:t>
      </w:r>
      <w:r w:rsidRPr="00CA4020">
        <w:rPr>
          <w:rStyle w:val="FootnoteReference"/>
          <w:rFonts w:ascii="MetaPro-Norm" w:hAnsi="MetaPro-Norm"/>
          <w:color w:val="000000" w:themeColor="text1"/>
        </w:rPr>
        <w:footnoteReference w:id="2"/>
      </w:r>
      <w:r w:rsidRPr="00CA4020">
        <w:rPr>
          <w:rFonts w:ascii="MetaPro-Norm" w:hAnsi="MetaPro-Norm"/>
          <w:color w:val="000000" w:themeColor="text1"/>
        </w:rPr>
        <w:t xml:space="preserve"> </w:t>
      </w:r>
      <w:r w:rsidRPr="00CA4020">
        <w:rPr>
          <w:rFonts w:ascii="MetaPro-Norm" w:hAnsi="MetaPro-Norm"/>
        </w:rPr>
        <w:t xml:space="preserve"> </w:t>
      </w:r>
      <w:r w:rsidRPr="00CA4020">
        <w:rPr>
          <w:rFonts w:ascii="MetaPro-Norm" w:hAnsi="MetaPro-Norm"/>
          <w:color w:val="000000" w:themeColor="text1"/>
        </w:rPr>
        <w:t xml:space="preserve">The </w:t>
      </w:r>
      <w:r w:rsidR="00B5672D">
        <w:rPr>
          <w:rFonts w:ascii="MetaPro-Norm" w:hAnsi="MetaPro-Norm"/>
          <w:color w:val="000000" w:themeColor="text1"/>
        </w:rPr>
        <w:t>c</w:t>
      </w:r>
      <w:r w:rsidRPr="00CA4020">
        <w:rPr>
          <w:rFonts w:ascii="MetaPro-Norm" w:hAnsi="MetaPro-Norm"/>
          <w:color w:val="000000" w:themeColor="text1"/>
        </w:rPr>
        <w:t>ommittee stated its concern that “[t]here is no comprehensive strategy to combat all forms of gender-based violence against women and girls,” and called out the “systemic</w:t>
      </w:r>
      <w:r w:rsidRPr="00CA4020">
        <w:rPr>
          <w:rFonts w:ascii="MetaPro-Norm" w:hAnsi="MetaPro-Norm"/>
        </w:rPr>
        <w:t xml:space="preserve"> </w:t>
      </w:r>
      <w:r w:rsidRPr="00CA4020">
        <w:rPr>
          <w:rFonts w:ascii="MetaPro-Norm" w:hAnsi="MetaPro-Norm"/>
          <w:color w:val="000000" w:themeColor="text1"/>
        </w:rPr>
        <w:t>impunity for perpetrators of gender-based violence against women, as illustrated by the</w:t>
      </w:r>
      <w:r w:rsidR="0086642E" w:rsidRPr="00CA4020">
        <w:rPr>
          <w:rFonts w:ascii="MetaPro-Norm" w:hAnsi="MetaPro-Norm"/>
          <w:color w:val="000000" w:themeColor="text1"/>
        </w:rPr>
        <w:t xml:space="preserve"> </w:t>
      </w:r>
      <w:r w:rsidRPr="00CA4020">
        <w:rPr>
          <w:rFonts w:ascii="MetaPro-Norm" w:hAnsi="MetaPro-Norm"/>
          <w:color w:val="000000" w:themeColor="text1"/>
        </w:rPr>
        <w:t xml:space="preserve">low number of prosecutions and convictions, the reports of police complicity, the focus on reconciliation and the failure to protect the confidentiality of victims.” It further </w:t>
      </w:r>
      <w:r w:rsidR="0086642E" w:rsidRPr="00CA4020">
        <w:rPr>
          <w:rFonts w:ascii="MetaPro-Norm" w:hAnsi="MetaPro-Norm"/>
          <w:color w:val="000000" w:themeColor="text1"/>
        </w:rPr>
        <w:t xml:space="preserve">noted its concern towards </w:t>
      </w:r>
      <w:r w:rsidRPr="00CA4020">
        <w:rPr>
          <w:rFonts w:ascii="MetaPro-Norm" w:hAnsi="MetaPro-Norm"/>
          <w:color w:val="000000" w:themeColor="text1"/>
        </w:rPr>
        <w:t>the “inadequate support services for women and girls who are victims of gender-based violence,” the lack of “systematic monitoring of cases of gender-based violence… and…</w:t>
      </w:r>
      <w:r w:rsidR="002C4862">
        <w:rPr>
          <w:rFonts w:ascii="MetaPro-Norm" w:hAnsi="MetaPro-Norm"/>
          <w:color w:val="000000" w:themeColor="text1"/>
        </w:rPr>
        <w:t xml:space="preserve"> </w:t>
      </w:r>
      <w:r w:rsidRPr="00CA4020">
        <w:rPr>
          <w:rFonts w:ascii="MetaPro-Norm" w:hAnsi="MetaPro-Norm"/>
          <w:color w:val="000000" w:themeColor="text1"/>
        </w:rPr>
        <w:t>statistical data on such cases.”</w:t>
      </w:r>
      <w:r w:rsidRPr="00CA4020">
        <w:rPr>
          <w:rStyle w:val="FootnoteReference"/>
          <w:rFonts w:ascii="MetaPro-Norm" w:hAnsi="MetaPro-Norm"/>
          <w:color w:val="000000" w:themeColor="text1"/>
        </w:rPr>
        <w:footnoteReference w:id="3"/>
      </w:r>
    </w:p>
    <w:p w14:paraId="1747693C" w14:textId="299CEC14" w:rsidR="00031043" w:rsidRPr="00CA4020" w:rsidRDefault="00031043" w:rsidP="008658CC">
      <w:pPr>
        <w:rPr>
          <w:rFonts w:ascii="MetaPro-Norm" w:hAnsi="MetaPro-Norm"/>
          <w:color w:val="000000" w:themeColor="text1"/>
        </w:rPr>
      </w:pPr>
    </w:p>
    <w:p w14:paraId="04198779" w14:textId="3D6F24F0" w:rsidR="00031043" w:rsidRPr="00CA4020" w:rsidRDefault="00024C88" w:rsidP="003878B2">
      <w:pPr>
        <w:jc w:val="both"/>
        <w:rPr>
          <w:rFonts w:ascii="MetaPro-Norm" w:hAnsi="MetaPro-Norm"/>
          <w:color w:val="000000" w:themeColor="text1"/>
        </w:rPr>
      </w:pPr>
      <w:r w:rsidRPr="00CA4020">
        <w:rPr>
          <w:rFonts w:ascii="MetaPro-Norm" w:hAnsi="MetaPro-Norm"/>
          <w:color w:val="000000" w:themeColor="text1"/>
        </w:rPr>
        <w:t>The</w:t>
      </w:r>
      <w:r w:rsidR="00031043" w:rsidRPr="00CA4020">
        <w:rPr>
          <w:rFonts w:ascii="MetaPro-Norm" w:hAnsi="MetaPro-Norm"/>
          <w:color w:val="000000" w:themeColor="text1"/>
        </w:rPr>
        <w:t xml:space="preserve"> Family Violence Law recognizes the rights of victims to legal,</w:t>
      </w:r>
      <w:r w:rsidRPr="00CA4020">
        <w:rPr>
          <w:rFonts w:ascii="MetaPro-Norm" w:hAnsi="MetaPro-Norm"/>
          <w:color w:val="000000" w:themeColor="text1"/>
        </w:rPr>
        <w:t xml:space="preserve"> </w:t>
      </w:r>
      <w:r w:rsidR="00031043" w:rsidRPr="00CA4020">
        <w:rPr>
          <w:rFonts w:ascii="MetaPro-Norm" w:hAnsi="MetaPro-Norm"/>
          <w:color w:val="000000" w:themeColor="text1"/>
        </w:rPr>
        <w:t>medical, and psychosocial assistance and individual remedies, including registering a</w:t>
      </w:r>
      <w:r w:rsidR="0086642E" w:rsidRPr="00CA4020">
        <w:rPr>
          <w:rFonts w:ascii="MetaPro-Norm" w:hAnsi="MetaPro-Norm"/>
          <w:color w:val="000000" w:themeColor="text1"/>
        </w:rPr>
        <w:t xml:space="preserve"> </w:t>
      </w:r>
      <w:r w:rsidR="00031043" w:rsidRPr="00CA4020">
        <w:rPr>
          <w:rFonts w:ascii="MetaPro-Norm" w:hAnsi="MetaPro-Norm"/>
          <w:color w:val="000000" w:themeColor="text1"/>
        </w:rPr>
        <w:t>case of violence and obtaining protection orders. Furthermore, service providers and civil society activists say that the law’s adoption has raised public awareness about the problem, and that it could be transformative if fully implemented across the country. The government has also worked, with support from international donors and</w:t>
      </w:r>
      <w:r w:rsidR="0086642E" w:rsidRPr="00CA4020">
        <w:rPr>
          <w:rFonts w:ascii="MetaPro-Norm" w:hAnsi="MetaPro-Norm"/>
          <w:color w:val="000000" w:themeColor="text1"/>
        </w:rPr>
        <w:t xml:space="preserve"> </w:t>
      </w:r>
      <w:r w:rsidR="00031043" w:rsidRPr="00CA4020">
        <w:rPr>
          <w:rFonts w:ascii="MetaPro-Norm" w:hAnsi="MetaPro-Norm"/>
          <w:color w:val="000000" w:themeColor="text1"/>
        </w:rPr>
        <w:t>NGOs, to establish Gender-Sensitive Police Units in</w:t>
      </w:r>
      <w:r w:rsidR="0086642E" w:rsidRPr="00CA4020">
        <w:rPr>
          <w:rFonts w:ascii="MetaPro-Norm" w:hAnsi="MetaPro-Norm"/>
          <w:color w:val="000000" w:themeColor="text1"/>
        </w:rPr>
        <w:t xml:space="preserve"> </w:t>
      </w:r>
      <w:r w:rsidR="00031043" w:rsidRPr="00CA4020">
        <w:rPr>
          <w:rFonts w:ascii="MetaPro-Norm" w:hAnsi="MetaPro-Norm"/>
          <w:color w:val="000000" w:themeColor="text1"/>
        </w:rPr>
        <w:t>police stations and Victim Support Rooms in hospitals, designed to make these</w:t>
      </w:r>
      <w:r w:rsidR="0086642E" w:rsidRPr="00CA4020">
        <w:rPr>
          <w:rFonts w:ascii="MetaPro-Norm" w:hAnsi="MetaPro-Norm"/>
          <w:color w:val="000000" w:themeColor="text1"/>
        </w:rPr>
        <w:t xml:space="preserve"> </w:t>
      </w:r>
      <w:r w:rsidR="00031043" w:rsidRPr="00CA4020">
        <w:rPr>
          <w:rFonts w:ascii="MetaPro-Norm" w:hAnsi="MetaPro-Norm"/>
          <w:color w:val="000000" w:themeColor="text1"/>
        </w:rPr>
        <w:t>institutions more accessible to and supportive of victims of family violence.</w:t>
      </w:r>
    </w:p>
    <w:p w14:paraId="07928BBC" w14:textId="77777777" w:rsidR="00031043" w:rsidRPr="00CA4020" w:rsidRDefault="00031043" w:rsidP="00031043">
      <w:pPr>
        <w:rPr>
          <w:rFonts w:ascii="MetaPro-Norm" w:hAnsi="MetaPro-Norm"/>
          <w:color w:val="000000" w:themeColor="text1"/>
        </w:rPr>
      </w:pPr>
    </w:p>
    <w:p w14:paraId="0649EAF0" w14:textId="7F55D127" w:rsidR="005A356C" w:rsidRPr="00CA4020" w:rsidRDefault="00506D3C" w:rsidP="003878B2">
      <w:pPr>
        <w:jc w:val="both"/>
        <w:rPr>
          <w:rFonts w:ascii="MetaPro-Norm" w:eastAsia="SimSun" w:hAnsi="MetaPro-Norm" w:cs="Times New Roman"/>
          <w:bCs/>
          <w:lang w:val="en-US" w:eastAsia="zh-CN"/>
        </w:rPr>
      </w:pPr>
      <w:r w:rsidRPr="00CA4020">
        <w:rPr>
          <w:rFonts w:ascii="MetaPro-Norm" w:eastAsia="SimSun" w:hAnsi="MetaPro-Norm" w:cs="Times New Roman"/>
          <w:bCs/>
          <w:lang w:val="en-US" w:eastAsia="zh-CN"/>
        </w:rPr>
        <w:t xml:space="preserve">However, </w:t>
      </w:r>
      <w:r w:rsidR="00031043" w:rsidRPr="00CA4020">
        <w:rPr>
          <w:rFonts w:ascii="MetaPro-Norm" w:eastAsia="SimSun" w:hAnsi="MetaPro-Norm" w:cs="Times New Roman"/>
          <w:bCs/>
          <w:lang w:val="en-US" w:eastAsia="zh-CN"/>
        </w:rPr>
        <w:t>the Family Violence Law has not been adequately</w:t>
      </w:r>
      <w:r w:rsidRPr="00CA4020">
        <w:rPr>
          <w:rFonts w:ascii="MetaPro-Norm" w:eastAsia="SimSun" w:hAnsi="MetaPro-Norm" w:cs="Times New Roman"/>
          <w:bCs/>
          <w:lang w:val="en-US" w:eastAsia="zh-CN"/>
        </w:rPr>
        <w:t xml:space="preserve"> </w:t>
      </w:r>
      <w:r w:rsidR="00031043" w:rsidRPr="00CA4020">
        <w:rPr>
          <w:rFonts w:ascii="MetaPro-Norm" w:eastAsia="SimSun" w:hAnsi="MetaPro-Norm" w:cs="Times New Roman"/>
          <w:bCs/>
          <w:lang w:val="en-US" w:eastAsia="zh-CN"/>
        </w:rPr>
        <w:t xml:space="preserve">implemented. </w:t>
      </w:r>
      <w:r w:rsidR="005A356C" w:rsidRPr="00CA4020">
        <w:rPr>
          <w:rFonts w:ascii="MetaPro-Norm" w:eastAsia="SimSun" w:hAnsi="MetaPro-Norm" w:cs="Times New Roman"/>
          <w:bCs/>
          <w:lang w:val="en-US" w:eastAsia="zh-CN"/>
        </w:rPr>
        <w:t xml:space="preserve">Implementation of the law is hampered by a lack of clear instructions, understanding of the law, and </w:t>
      </w:r>
      <w:r w:rsidR="00EA7158" w:rsidRPr="00CA4020">
        <w:rPr>
          <w:rFonts w:ascii="MetaPro-Norm" w:eastAsia="SimSun" w:hAnsi="MetaPro-Norm" w:cs="Times New Roman"/>
          <w:bCs/>
          <w:lang w:val="en-US" w:eastAsia="zh-CN"/>
        </w:rPr>
        <w:t xml:space="preserve">lack of funding and </w:t>
      </w:r>
      <w:r w:rsidR="005A356C" w:rsidRPr="00CA4020">
        <w:rPr>
          <w:rFonts w:ascii="MetaPro-Norm" w:eastAsia="SimSun" w:hAnsi="MetaPro-Norm" w:cs="Times New Roman"/>
          <w:bCs/>
          <w:lang w:val="en-US" w:eastAsia="zh-CN"/>
        </w:rPr>
        <w:t xml:space="preserve">budget allocation for government agencies to fulfill their obligations to implement the law. </w:t>
      </w:r>
    </w:p>
    <w:p w14:paraId="76C8B163" w14:textId="0C4A1A67" w:rsidR="00031043" w:rsidRPr="00CA4020" w:rsidRDefault="00031043" w:rsidP="00031043">
      <w:pPr>
        <w:rPr>
          <w:rFonts w:ascii="MetaPro-Norm" w:eastAsia="SimSun" w:hAnsi="MetaPro-Norm" w:cs="Times New Roman"/>
          <w:bCs/>
          <w:lang w:val="en-US" w:eastAsia="zh-CN"/>
        </w:rPr>
      </w:pPr>
    </w:p>
    <w:p w14:paraId="11E3A994" w14:textId="0072E7EB" w:rsidR="00031043" w:rsidRPr="00CA4020" w:rsidRDefault="00031043" w:rsidP="003878B2">
      <w:pPr>
        <w:jc w:val="both"/>
        <w:rPr>
          <w:rFonts w:ascii="MetaPro-Norm" w:eastAsia="SimSun" w:hAnsi="MetaPro-Norm" w:cs="Times New Roman"/>
          <w:bCs/>
          <w:lang w:val="en-US" w:eastAsia="zh-CN"/>
        </w:rPr>
      </w:pPr>
      <w:r w:rsidRPr="00CA4020">
        <w:rPr>
          <w:rFonts w:ascii="MetaPro-Norm" w:eastAsia="SimSun" w:hAnsi="MetaPro-Norm" w:cs="Times New Roman"/>
          <w:bCs/>
          <w:lang w:val="en-US" w:eastAsia="zh-CN"/>
        </w:rPr>
        <w:t xml:space="preserve">The law aims to make it easier for victims of family violence to get protection orders and services. </w:t>
      </w:r>
      <w:r w:rsidR="00E907D5" w:rsidRPr="00CA4020">
        <w:rPr>
          <w:rFonts w:ascii="MetaPro-Norm" w:eastAsia="SimSun" w:hAnsi="MetaPro-Norm" w:cs="Times New Roman"/>
          <w:bCs/>
          <w:lang w:val="en-US" w:eastAsia="zh-CN"/>
        </w:rPr>
        <w:t>Our</w:t>
      </w:r>
      <w:r w:rsidR="00616AC6" w:rsidRPr="00CA4020">
        <w:rPr>
          <w:rFonts w:ascii="MetaPro-Norm" w:eastAsia="SimSun" w:hAnsi="MetaPro-Norm" w:cs="Times New Roman"/>
          <w:bCs/>
          <w:lang w:val="en-US" w:eastAsia="zh-CN"/>
        </w:rPr>
        <w:t xml:space="preserve"> research</w:t>
      </w:r>
      <w:r w:rsidR="00E907D5" w:rsidRPr="00CA4020">
        <w:rPr>
          <w:rFonts w:ascii="MetaPro-Norm" w:eastAsia="SimSun" w:hAnsi="MetaPro-Norm" w:cs="Times New Roman"/>
          <w:bCs/>
          <w:lang w:val="en-US" w:eastAsia="zh-CN"/>
        </w:rPr>
        <w:t xml:space="preserve"> documented that</w:t>
      </w:r>
      <w:r w:rsidR="00616AC6" w:rsidRPr="00CA4020">
        <w:rPr>
          <w:rFonts w:ascii="MetaPro-Norm" w:eastAsia="SimSun" w:hAnsi="MetaPro-Norm" w:cs="Times New Roman"/>
          <w:bCs/>
          <w:lang w:val="en-US" w:eastAsia="zh-CN"/>
        </w:rPr>
        <w:t xml:space="preserve"> </w:t>
      </w:r>
      <w:r w:rsidR="00285165" w:rsidRPr="00CA4020">
        <w:rPr>
          <w:rFonts w:ascii="MetaPro-Norm" w:eastAsia="SimSun" w:hAnsi="MetaPro-Norm" w:cs="Times New Roman"/>
          <w:bCs/>
          <w:lang w:val="en-US" w:eastAsia="zh-CN"/>
        </w:rPr>
        <w:t>law enforcement officials</w:t>
      </w:r>
      <w:r w:rsidR="0042225F" w:rsidRPr="00CA4020">
        <w:rPr>
          <w:rFonts w:ascii="MetaPro-Norm" w:eastAsia="SimSun" w:hAnsi="MetaPro-Norm" w:cs="Times New Roman"/>
          <w:bCs/>
          <w:lang w:val="en-US" w:eastAsia="zh-CN"/>
        </w:rPr>
        <w:t xml:space="preserve"> routinely refuse to take </w:t>
      </w:r>
      <w:r w:rsidRPr="00CA4020">
        <w:rPr>
          <w:rFonts w:ascii="MetaPro-Norm" w:eastAsia="SimSun" w:hAnsi="MetaPro-Norm" w:cs="Times New Roman"/>
          <w:bCs/>
          <w:lang w:val="en-US" w:eastAsia="zh-CN"/>
        </w:rPr>
        <w:t xml:space="preserve">family violence seriously. They often refuse to pursue investigations, issue protection orders, or arrest people who commit domestic violence, even in cases where the violence is severe, including attempted murder, serious physical harm, and repeated </w:t>
      </w:r>
      <w:r w:rsidR="00370BFE" w:rsidRPr="00CA4020">
        <w:rPr>
          <w:rFonts w:ascii="MetaPro-Norm" w:eastAsia="SimSun" w:hAnsi="MetaPro-Norm" w:cs="Times New Roman"/>
          <w:bCs/>
          <w:lang w:val="en-US" w:eastAsia="zh-CN"/>
        </w:rPr>
        <w:t xml:space="preserve">marital </w:t>
      </w:r>
      <w:r w:rsidRPr="00CA4020">
        <w:rPr>
          <w:rFonts w:ascii="MetaPro-Norm" w:eastAsia="SimSun" w:hAnsi="MetaPro-Norm" w:cs="Times New Roman"/>
          <w:bCs/>
          <w:lang w:val="en-US" w:eastAsia="zh-CN"/>
        </w:rPr>
        <w:t xml:space="preserve">rape. </w:t>
      </w:r>
      <w:r w:rsidR="00B12DC9" w:rsidRPr="00CA4020">
        <w:rPr>
          <w:rFonts w:ascii="MetaPro-Norm" w:eastAsia="SimSun" w:hAnsi="MetaPro-Norm" w:cs="Times New Roman"/>
          <w:bCs/>
          <w:lang w:val="en-US" w:eastAsia="zh-CN"/>
        </w:rPr>
        <w:t xml:space="preserve"> Lawyers and activists who help survivors file complaints said that, based on their</w:t>
      </w:r>
      <w:r w:rsidR="00E2149F" w:rsidRPr="00CA4020">
        <w:rPr>
          <w:rFonts w:ascii="MetaPro-Norm" w:eastAsia="SimSun" w:hAnsi="MetaPro-Norm" w:cs="Times New Roman"/>
          <w:bCs/>
          <w:lang w:val="en-US" w:eastAsia="zh-CN"/>
        </w:rPr>
        <w:t xml:space="preserve"> </w:t>
      </w:r>
      <w:r w:rsidR="00B12DC9" w:rsidRPr="00CA4020">
        <w:rPr>
          <w:rFonts w:ascii="MetaPro-Norm" w:eastAsia="SimSun" w:hAnsi="MetaPro-Norm" w:cs="Times New Roman"/>
          <w:bCs/>
          <w:lang w:val="en-US" w:eastAsia="zh-CN"/>
        </w:rPr>
        <w:t>experience, once police are involved in a case, they almost always try to resolve it solely through couples counseling or mediation, aiming to get the abuser to promise future good behavior.</w:t>
      </w:r>
      <w:r w:rsidR="00434B41" w:rsidRPr="00CA4020">
        <w:rPr>
          <w:rStyle w:val="FootnoteReference"/>
          <w:rFonts w:ascii="MetaPro-Norm" w:eastAsia="SimSun" w:hAnsi="MetaPro-Norm" w:cs="Times New Roman"/>
          <w:bCs/>
          <w:lang w:val="en-US" w:eastAsia="zh-CN"/>
        </w:rPr>
        <w:footnoteReference w:id="4"/>
      </w:r>
      <w:r w:rsidR="00B12DC9" w:rsidRPr="00CA4020">
        <w:rPr>
          <w:rFonts w:ascii="MetaPro-Norm" w:eastAsia="SimSun" w:hAnsi="MetaPro-Norm" w:cs="Times New Roman"/>
          <w:bCs/>
          <w:lang w:val="en-US" w:eastAsia="zh-CN"/>
        </w:rPr>
        <w:t xml:space="preserve"> </w:t>
      </w:r>
      <w:r w:rsidR="00370BFE" w:rsidRPr="00CA4020">
        <w:rPr>
          <w:rFonts w:ascii="MetaPro-Norm" w:eastAsia="SimSun" w:hAnsi="MetaPro-Norm" w:cs="Times New Roman"/>
          <w:bCs/>
          <w:lang w:val="en-US" w:eastAsia="zh-CN"/>
        </w:rPr>
        <w:t>The</w:t>
      </w:r>
      <w:r w:rsidR="007538D6" w:rsidRPr="00CA4020">
        <w:rPr>
          <w:rFonts w:ascii="MetaPro-Norm" w:eastAsia="SimSun" w:hAnsi="MetaPro-Norm" w:cs="Times New Roman"/>
          <w:bCs/>
          <w:lang w:val="en-US" w:eastAsia="zh-CN"/>
        </w:rPr>
        <w:t>y</w:t>
      </w:r>
      <w:r w:rsidR="00370BFE" w:rsidRPr="00CA4020">
        <w:rPr>
          <w:rFonts w:ascii="MetaPro-Norm" w:eastAsia="SimSun" w:hAnsi="MetaPro-Norm" w:cs="Times New Roman"/>
          <w:bCs/>
          <w:lang w:val="en-US" w:eastAsia="zh-CN"/>
        </w:rPr>
        <w:t xml:space="preserve"> also said that</w:t>
      </w:r>
      <w:r w:rsidR="00B12DC9" w:rsidRPr="00CA4020">
        <w:rPr>
          <w:rFonts w:ascii="MetaPro-Norm" w:eastAsia="SimSun" w:hAnsi="MetaPro-Norm" w:cs="Times New Roman"/>
          <w:bCs/>
          <w:lang w:val="en-US" w:eastAsia="zh-CN"/>
        </w:rPr>
        <w:t xml:space="preserve"> the police</w:t>
      </w:r>
      <w:r w:rsidR="00370BFE" w:rsidRPr="00CA4020">
        <w:rPr>
          <w:rFonts w:ascii="MetaPro-Norm" w:eastAsia="SimSun" w:hAnsi="MetaPro-Norm" w:cs="Times New Roman"/>
          <w:bCs/>
          <w:lang w:val="en-US" w:eastAsia="zh-CN"/>
        </w:rPr>
        <w:t xml:space="preserve"> often</w:t>
      </w:r>
      <w:r w:rsidR="00B12DC9" w:rsidRPr="00CA4020">
        <w:rPr>
          <w:rFonts w:ascii="MetaPro-Norm" w:eastAsia="SimSun" w:hAnsi="MetaPro-Norm" w:cs="Times New Roman"/>
          <w:bCs/>
          <w:lang w:val="en-US" w:eastAsia="zh-CN"/>
        </w:rPr>
        <w:t xml:space="preserve"> fail to </w:t>
      </w:r>
      <w:r w:rsidR="00370BFE" w:rsidRPr="00CA4020">
        <w:rPr>
          <w:rFonts w:ascii="MetaPro-Norm" w:eastAsia="SimSun" w:hAnsi="MetaPro-Norm" w:cs="Times New Roman"/>
          <w:bCs/>
          <w:lang w:val="en-US" w:eastAsia="zh-CN"/>
        </w:rPr>
        <w:t>inform</w:t>
      </w:r>
      <w:r w:rsidR="00B12DC9" w:rsidRPr="00CA4020">
        <w:rPr>
          <w:rFonts w:ascii="MetaPro-Norm" w:eastAsia="SimSun" w:hAnsi="MetaPro-Norm" w:cs="Times New Roman"/>
          <w:bCs/>
          <w:lang w:val="en-US" w:eastAsia="zh-CN"/>
        </w:rPr>
        <w:t xml:space="preserve"> survivors about the</w:t>
      </w:r>
      <w:r w:rsidR="00CC3D66" w:rsidRPr="00CA4020">
        <w:rPr>
          <w:rFonts w:ascii="MetaPro-Norm" w:eastAsia="SimSun" w:hAnsi="MetaPro-Norm" w:cs="Times New Roman"/>
          <w:bCs/>
          <w:lang w:val="en-US" w:eastAsia="zh-CN"/>
        </w:rPr>
        <w:t>ir right to a</w:t>
      </w:r>
      <w:r w:rsidR="00B12DC9" w:rsidRPr="00CA4020">
        <w:rPr>
          <w:rFonts w:ascii="MetaPro-Norm" w:eastAsia="SimSun" w:hAnsi="MetaPro-Norm" w:cs="Times New Roman"/>
          <w:bCs/>
          <w:lang w:val="en-US" w:eastAsia="zh-CN"/>
        </w:rPr>
        <w:t xml:space="preserve"> family protection order or filing a criminal complaint.</w:t>
      </w:r>
    </w:p>
    <w:p w14:paraId="10F1F183" w14:textId="6C8DC460" w:rsidR="00031043" w:rsidRPr="00CA4020" w:rsidRDefault="00031043" w:rsidP="008658CC">
      <w:pPr>
        <w:rPr>
          <w:rFonts w:ascii="MetaPro-Norm" w:eastAsia="SimSun" w:hAnsi="MetaPro-Norm" w:cs="Times New Roman"/>
          <w:b/>
          <w:i/>
          <w:iCs/>
          <w:lang w:val="en-US" w:eastAsia="zh-CN"/>
        </w:rPr>
      </w:pPr>
    </w:p>
    <w:p w14:paraId="24AEF445" w14:textId="5E6FB88B" w:rsidR="00FC325D" w:rsidRPr="00CA4020" w:rsidRDefault="00FC325D" w:rsidP="00D516B2">
      <w:pPr>
        <w:rPr>
          <w:rFonts w:ascii="MetaPro-Norm" w:eastAsia="SimSun" w:hAnsi="MetaPro-Norm" w:cs="Times New Roman"/>
          <w:bCs/>
          <w:i/>
          <w:iCs/>
          <w:lang w:val="en-US" w:eastAsia="zh-CN"/>
        </w:rPr>
      </w:pPr>
      <w:r w:rsidRPr="00CA4020">
        <w:rPr>
          <w:rFonts w:ascii="MetaPro-Norm" w:eastAsia="SimSun" w:hAnsi="MetaPro-Norm" w:cs="Times New Roman"/>
          <w:bCs/>
          <w:i/>
          <w:iCs/>
          <w:lang w:val="en-US" w:eastAsia="zh-CN"/>
        </w:rPr>
        <w:t xml:space="preserve">Barriers to Services, Protection, and Justice </w:t>
      </w:r>
    </w:p>
    <w:p w14:paraId="35F28656" w14:textId="2B28A6C1" w:rsidR="00D516B2" w:rsidRPr="00CA4020" w:rsidRDefault="00FE6E6E" w:rsidP="003878B2">
      <w:pPr>
        <w:jc w:val="both"/>
        <w:rPr>
          <w:rFonts w:ascii="MetaPro-Norm" w:eastAsia="SimSun" w:hAnsi="MetaPro-Norm" w:cs="Times New Roman"/>
          <w:bCs/>
          <w:lang w:val="en-US" w:eastAsia="zh-CN"/>
        </w:rPr>
      </w:pPr>
      <w:r w:rsidRPr="00CA4020">
        <w:rPr>
          <w:rFonts w:ascii="MetaPro-Norm" w:eastAsia="SimSun" w:hAnsi="MetaPro-Norm" w:cs="Times New Roman"/>
          <w:bCs/>
          <w:lang w:val="en-US" w:eastAsia="zh-CN"/>
        </w:rPr>
        <w:t>Domestic Violence s</w:t>
      </w:r>
      <w:r w:rsidR="00D516B2" w:rsidRPr="00CA4020">
        <w:rPr>
          <w:rFonts w:ascii="MetaPro-Norm" w:eastAsia="SimSun" w:hAnsi="MetaPro-Norm" w:cs="Times New Roman"/>
          <w:bCs/>
          <w:lang w:val="en-US" w:eastAsia="zh-CN"/>
        </w:rPr>
        <w:t>urvivors, service</w:t>
      </w:r>
      <w:r w:rsidR="00283557" w:rsidRPr="00CA4020">
        <w:rPr>
          <w:rFonts w:ascii="MetaPro-Norm" w:eastAsia="SimSun" w:hAnsi="MetaPro-Norm" w:cs="Times New Roman"/>
          <w:bCs/>
          <w:lang w:val="en-US" w:eastAsia="zh-CN"/>
        </w:rPr>
        <w:t xml:space="preserve"> </w:t>
      </w:r>
      <w:r w:rsidR="00D516B2" w:rsidRPr="00CA4020">
        <w:rPr>
          <w:rFonts w:ascii="MetaPro-Norm" w:eastAsia="SimSun" w:hAnsi="MetaPro-Norm" w:cs="Times New Roman"/>
          <w:bCs/>
          <w:lang w:val="en-US" w:eastAsia="zh-CN"/>
        </w:rPr>
        <w:t>providers, and other advocates interviewed by Human Rights Watch described a range of barriers</w:t>
      </w:r>
      <w:r w:rsidRPr="00CA4020">
        <w:rPr>
          <w:rFonts w:ascii="MetaPro-Norm" w:eastAsia="SimSun" w:hAnsi="MetaPro-Norm" w:cs="Times New Roman"/>
          <w:bCs/>
          <w:lang w:val="en-US" w:eastAsia="zh-CN"/>
        </w:rPr>
        <w:t xml:space="preserve"> to seeking services, protection, and justice</w:t>
      </w:r>
      <w:r w:rsidR="00D516B2" w:rsidRPr="00CA4020">
        <w:rPr>
          <w:rFonts w:ascii="MetaPro-Norm" w:eastAsia="SimSun" w:hAnsi="MetaPro-Norm" w:cs="Times New Roman"/>
          <w:bCs/>
          <w:lang w:val="en-US" w:eastAsia="zh-CN"/>
        </w:rPr>
        <w:t>, including lack of information, unavailability of quality services, insufficient</w:t>
      </w:r>
      <w:r w:rsidR="00283557" w:rsidRPr="00CA4020">
        <w:rPr>
          <w:rFonts w:ascii="MetaPro-Norm" w:eastAsia="SimSun" w:hAnsi="MetaPro-Norm" w:cs="Times New Roman"/>
          <w:bCs/>
          <w:lang w:val="en-US" w:eastAsia="zh-CN"/>
        </w:rPr>
        <w:t xml:space="preserve"> </w:t>
      </w:r>
      <w:r w:rsidR="00D516B2" w:rsidRPr="00CA4020">
        <w:rPr>
          <w:rFonts w:ascii="MetaPro-Norm" w:eastAsia="SimSun" w:hAnsi="MetaPro-Norm" w:cs="Times New Roman"/>
          <w:bCs/>
          <w:lang w:val="en-US" w:eastAsia="zh-CN"/>
        </w:rPr>
        <w:t>government presence, a shortage of shelters</w:t>
      </w:r>
      <w:r w:rsidR="00BE558F" w:rsidRPr="00CA4020">
        <w:rPr>
          <w:rFonts w:ascii="MetaPro-Norm" w:eastAsia="SimSun" w:hAnsi="MetaPro-Norm" w:cs="Times New Roman"/>
          <w:bCs/>
          <w:lang w:val="en-US" w:eastAsia="zh-CN"/>
        </w:rPr>
        <w:t>,</w:t>
      </w:r>
      <w:r w:rsidR="00D516B2" w:rsidRPr="00CA4020">
        <w:rPr>
          <w:rFonts w:ascii="MetaPro-Norm" w:eastAsia="SimSun" w:hAnsi="MetaPro-Norm" w:cs="Times New Roman"/>
          <w:bCs/>
          <w:lang w:val="en-US" w:eastAsia="zh-CN"/>
        </w:rPr>
        <w:t xml:space="preserve"> and lack of legal representation. Survivors also described police failings</w:t>
      </w:r>
      <w:r w:rsidR="001D19A9" w:rsidRPr="00CA4020">
        <w:rPr>
          <w:rFonts w:ascii="MetaPro-Norm" w:eastAsia="SimSun" w:hAnsi="MetaPro-Norm" w:cs="Times New Roman"/>
          <w:bCs/>
          <w:lang w:val="en-US" w:eastAsia="zh-CN"/>
        </w:rPr>
        <w:t xml:space="preserve"> and</w:t>
      </w:r>
      <w:r w:rsidR="00616AC6" w:rsidRPr="00CA4020">
        <w:rPr>
          <w:rFonts w:ascii="MetaPro-Norm" w:eastAsia="SimSun" w:hAnsi="MetaPro-Norm" w:cs="Times New Roman"/>
          <w:bCs/>
          <w:lang w:val="en-US" w:eastAsia="zh-CN"/>
        </w:rPr>
        <w:t xml:space="preserve"> negligence</w:t>
      </w:r>
      <w:r w:rsidR="00D516B2" w:rsidRPr="00CA4020">
        <w:rPr>
          <w:rFonts w:ascii="MetaPro-Norm" w:eastAsia="SimSun" w:hAnsi="MetaPro-Norm" w:cs="Times New Roman"/>
          <w:bCs/>
          <w:lang w:val="en-US" w:eastAsia="zh-CN"/>
        </w:rPr>
        <w:t xml:space="preserve"> </w:t>
      </w:r>
      <w:r w:rsidR="001D19A9" w:rsidRPr="00CA4020">
        <w:rPr>
          <w:rFonts w:ascii="MetaPro-Norm" w:eastAsia="SimSun" w:hAnsi="MetaPro-Norm" w:cs="Times New Roman"/>
          <w:bCs/>
          <w:lang w:val="en-US" w:eastAsia="zh-CN"/>
        </w:rPr>
        <w:t xml:space="preserve">to address </w:t>
      </w:r>
      <w:r w:rsidR="00810DCC" w:rsidRPr="00CA4020">
        <w:rPr>
          <w:rFonts w:ascii="MetaPro-Norm" w:eastAsia="SimSun" w:hAnsi="MetaPro-Norm" w:cs="Times New Roman"/>
          <w:bCs/>
          <w:lang w:val="en-US" w:eastAsia="zh-CN"/>
        </w:rPr>
        <w:t xml:space="preserve">and respond to </w:t>
      </w:r>
      <w:r w:rsidR="001D19A9" w:rsidRPr="00CA4020">
        <w:rPr>
          <w:rFonts w:ascii="MetaPro-Norm" w:eastAsia="SimSun" w:hAnsi="MetaPro-Norm" w:cs="Times New Roman"/>
          <w:bCs/>
          <w:lang w:val="en-US" w:eastAsia="zh-CN"/>
        </w:rPr>
        <w:t xml:space="preserve">family abuse </w:t>
      </w:r>
      <w:r w:rsidR="00D516B2" w:rsidRPr="00CA4020">
        <w:rPr>
          <w:rFonts w:ascii="MetaPro-Norm" w:eastAsia="SimSun" w:hAnsi="MetaPro-Norm" w:cs="Times New Roman"/>
          <w:bCs/>
          <w:lang w:val="en-US" w:eastAsia="zh-CN"/>
        </w:rPr>
        <w:t xml:space="preserve">and </w:t>
      </w:r>
      <w:r w:rsidR="00D816C8" w:rsidRPr="00CA4020">
        <w:rPr>
          <w:rFonts w:ascii="MetaPro-Norm" w:eastAsia="SimSun" w:hAnsi="MetaPro-Norm" w:cs="Times New Roman"/>
          <w:bCs/>
          <w:lang w:val="en-US" w:eastAsia="zh-CN"/>
        </w:rPr>
        <w:t xml:space="preserve">in some cases </w:t>
      </w:r>
      <w:r w:rsidR="00D516B2" w:rsidRPr="00CA4020">
        <w:rPr>
          <w:rFonts w:ascii="MetaPro-Norm" w:eastAsia="SimSun" w:hAnsi="MetaPro-Norm" w:cs="Times New Roman"/>
          <w:bCs/>
          <w:lang w:val="en-US" w:eastAsia="zh-CN"/>
        </w:rPr>
        <w:t xml:space="preserve">complicity in domestic violence. </w:t>
      </w:r>
      <w:r w:rsidR="008C38E6" w:rsidRPr="00CA4020">
        <w:rPr>
          <w:rFonts w:ascii="MetaPro-Norm" w:eastAsia="SimSun" w:hAnsi="MetaPro-Norm" w:cs="Times New Roman"/>
          <w:bCs/>
          <w:lang w:val="en-US" w:eastAsia="zh-CN"/>
        </w:rPr>
        <w:t xml:space="preserve"> Economic dependence on abuser</w:t>
      </w:r>
      <w:r w:rsidR="00C90093" w:rsidRPr="00CA4020">
        <w:rPr>
          <w:rFonts w:ascii="MetaPro-Norm" w:eastAsia="SimSun" w:hAnsi="MetaPro-Norm" w:cs="Times New Roman"/>
          <w:bCs/>
          <w:lang w:val="en-US" w:eastAsia="zh-CN"/>
        </w:rPr>
        <w:t>s</w:t>
      </w:r>
      <w:r w:rsidR="000C631E" w:rsidRPr="00CA4020">
        <w:rPr>
          <w:rFonts w:ascii="MetaPro-Norm" w:eastAsia="SimSun" w:hAnsi="MetaPro-Norm" w:cs="Times New Roman"/>
          <w:bCs/>
          <w:lang w:val="en-US" w:eastAsia="zh-CN"/>
        </w:rPr>
        <w:t xml:space="preserve"> also prevents </w:t>
      </w:r>
      <w:r w:rsidR="00C90093" w:rsidRPr="00CA4020">
        <w:rPr>
          <w:rFonts w:ascii="MetaPro-Norm" w:eastAsia="SimSun" w:hAnsi="MetaPro-Norm" w:cs="Times New Roman"/>
          <w:bCs/>
          <w:lang w:val="en-US" w:eastAsia="zh-CN"/>
        </w:rPr>
        <w:t xml:space="preserve">many </w:t>
      </w:r>
      <w:r w:rsidR="000C631E" w:rsidRPr="00CA4020">
        <w:rPr>
          <w:rFonts w:ascii="MetaPro-Norm" w:eastAsia="SimSun" w:hAnsi="MetaPro-Norm" w:cs="Times New Roman"/>
          <w:bCs/>
          <w:lang w:val="en-US" w:eastAsia="zh-CN"/>
        </w:rPr>
        <w:t xml:space="preserve">women from reporting family abuse </w:t>
      </w:r>
      <w:r w:rsidR="00C90093" w:rsidRPr="00CA4020">
        <w:rPr>
          <w:rFonts w:ascii="MetaPro-Norm" w:eastAsia="SimSun" w:hAnsi="MetaPro-Norm" w:cs="Times New Roman"/>
          <w:bCs/>
          <w:lang w:val="en-US" w:eastAsia="zh-CN"/>
        </w:rPr>
        <w:t>and seeking help.</w:t>
      </w:r>
    </w:p>
    <w:p w14:paraId="2283102E" w14:textId="77777777" w:rsidR="000C2190" w:rsidRPr="00CA4020" w:rsidRDefault="000C2190" w:rsidP="00D516B2">
      <w:pPr>
        <w:rPr>
          <w:rFonts w:ascii="MetaPro-Norm" w:eastAsia="SimSun" w:hAnsi="MetaPro-Norm" w:cs="Times New Roman"/>
          <w:bCs/>
          <w:i/>
          <w:iCs/>
          <w:lang w:val="en-US" w:eastAsia="zh-CN"/>
        </w:rPr>
      </w:pPr>
    </w:p>
    <w:p w14:paraId="057BEE62" w14:textId="7A347EFE" w:rsidR="00935E6E" w:rsidRPr="00897C40" w:rsidRDefault="000C2190" w:rsidP="00D516B2">
      <w:pPr>
        <w:rPr>
          <w:rFonts w:ascii="MetaPro-Norm" w:eastAsia="SimSun" w:hAnsi="MetaPro-Norm" w:cs="Times New Roman"/>
          <w:bCs/>
          <w:i/>
          <w:iCs/>
          <w:lang w:val="en-US" w:eastAsia="zh-CN"/>
        </w:rPr>
      </w:pPr>
      <w:r w:rsidRPr="00CA4020">
        <w:rPr>
          <w:rFonts w:ascii="MetaPro-Norm" w:eastAsia="SimSun" w:hAnsi="MetaPro-Norm" w:cs="Times New Roman"/>
          <w:bCs/>
          <w:i/>
          <w:iCs/>
          <w:lang w:val="en-US" w:eastAsia="zh-CN"/>
        </w:rPr>
        <w:lastRenderedPageBreak/>
        <w:t>Lack of Information and Awareness</w:t>
      </w:r>
    </w:p>
    <w:p w14:paraId="20B58196" w14:textId="6605A92A" w:rsidR="006D2A8C" w:rsidRPr="00CA4020" w:rsidRDefault="00FE6E6E" w:rsidP="003878B2">
      <w:pPr>
        <w:jc w:val="both"/>
        <w:rPr>
          <w:rFonts w:ascii="MetaPro-Norm" w:eastAsia="SimSun" w:hAnsi="MetaPro-Norm" w:cs="Times New Roman"/>
          <w:bCs/>
          <w:lang w:val="en-US" w:eastAsia="zh-CN"/>
        </w:rPr>
      </w:pPr>
      <w:r w:rsidRPr="00CA4020">
        <w:rPr>
          <w:rFonts w:ascii="MetaPro-Norm" w:eastAsia="SimSun" w:hAnsi="MetaPro-Norm" w:cs="Times New Roman"/>
          <w:bCs/>
          <w:lang w:val="en-US" w:eastAsia="zh-CN"/>
        </w:rPr>
        <w:t xml:space="preserve">While some Human Rights Watch interviewees stated that </w:t>
      </w:r>
      <w:r w:rsidR="006D2A8C" w:rsidRPr="00CA4020">
        <w:rPr>
          <w:rFonts w:ascii="MetaPro-Norm" w:eastAsia="SimSun" w:hAnsi="MetaPro-Norm" w:cs="Times New Roman"/>
          <w:bCs/>
          <w:lang w:val="en-US" w:eastAsia="zh-CN"/>
        </w:rPr>
        <w:t>awareness</w:t>
      </w:r>
      <w:r w:rsidRPr="00CA4020">
        <w:rPr>
          <w:rFonts w:ascii="MetaPro-Norm" w:eastAsia="SimSun" w:hAnsi="MetaPro-Norm" w:cs="Times New Roman"/>
          <w:bCs/>
          <w:lang w:val="en-US" w:eastAsia="zh-CN"/>
        </w:rPr>
        <w:t xml:space="preserve"> of the law</w:t>
      </w:r>
      <w:r w:rsidR="005946AD" w:rsidRPr="00CA4020">
        <w:rPr>
          <w:rFonts w:ascii="MetaPro-Norm" w:eastAsia="SimSun" w:hAnsi="MetaPro-Norm" w:cs="Times New Roman"/>
          <w:bCs/>
          <w:lang w:val="en-US" w:eastAsia="zh-CN"/>
        </w:rPr>
        <w:t>s</w:t>
      </w:r>
      <w:r w:rsidRPr="00CA4020">
        <w:rPr>
          <w:rFonts w:ascii="MetaPro-Norm" w:eastAsia="SimSun" w:hAnsi="MetaPro-Norm" w:cs="Times New Roman"/>
          <w:bCs/>
          <w:lang w:val="en-US" w:eastAsia="zh-CN"/>
        </w:rPr>
        <w:t xml:space="preserve"> against domestic violence</w:t>
      </w:r>
      <w:r w:rsidR="006D2A8C" w:rsidRPr="00CA4020">
        <w:rPr>
          <w:rFonts w:ascii="MetaPro-Norm" w:eastAsia="SimSun" w:hAnsi="MetaPro-Norm" w:cs="Times New Roman"/>
          <w:bCs/>
          <w:lang w:val="en-US" w:eastAsia="zh-CN"/>
        </w:rPr>
        <w:t xml:space="preserve"> is growing, in part because of the publicity surrounding the law’s adoption, many </w:t>
      </w:r>
      <w:r w:rsidRPr="00CA4020">
        <w:rPr>
          <w:rFonts w:ascii="MetaPro-Norm" w:eastAsia="SimSun" w:hAnsi="MetaPro-Norm" w:cs="Times New Roman"/>
          <w:bCs/>
          <w:lang w:val="en-US" w:eastAsia="zh-CN"/>
        </w:rPr>
        <w:t xml:space="preserve">said </w:t>
      </w:r>
      <w:r w:rsidR="006D2A8C" w:rsidRPr="00CA4020">
        <w:rPr>
          <w:rFonts w:ascii="MetaPro-Norm" w:eastAsia="SimSun" w:hAnsi="MetaPro-Norm" w:cs="Times New Roman"/>
          <w:bCs/>
          <w:lang w:val="en-US" w:eastAsia="zh-CN"/>
        </w:rPr>
        <w:t xml:space="preserve">that the government </w:t>
      </w:r>
      <w:r w:rsidRPr="00CA4020">
        <w:rPr>
          <w:rFonts w:ascii="MetaPro-Norm" w:eastAsia="SimSun" w:hAnsi="MetaPro-Norm" w:cs="Times New Roman"/>
          <w:bCs/>
          <w:lang w:val="en-US" w:eastAsia="zh-CN"/>
        </w:rPr>
        <w:t>needs to</w:t>
      </w:r>
      <w:r w:rsidR="006D2A8C" w:rsidRPr="00CA4020">
        <w:rPr>
          <w:rFonts w:ascii="MetaPro-Norm" w:eastAsia="SimSun" w:hAnsi="MetaPro-Norm" w:cs="Times New Roman"/>
          <w:bCs/>
          <w:lang w:val="en-US" w:eastAsia="zh-CN"/>
        </w:rPr>
        <w:t xml:space="preserve"> put far more effort into raising awareness and providing information. Lack of awareness of women’s rights and persisting patriarchal norms are chief among the impediments to women reporting violence and hinder effective implementation of the Family Violence Law.</w:t>
      </w:r>
    </w:p>
    <w:p w14:paraId="7C298DC0" w14:textId="77777777" w:rsidR="000B36F9" w:rsidRPr="00CA4020" w:rsidRDefault="000B36F9" w:rsidP="003878B2">
      <w:pPr>
        <w:jc w:val="both"/>
        <w:rPr>
          <w:rFonts w:ascii="MetaPro-Norm" w:eastAsia="SimSun" w:hAnsi="MetaPro-Norm" w:cs="Times New Roman"/>
          <w:bCs/>
          <w:lang w:val="en-US" w:eastAsia="zh-CN"/>
        </w:rPr>
      </w:pPr>
    </w:p>
    <w:p w14:paraId="458557A2" w14:textId="3DC7370E" w:rsidR="000C2190" w:rsidRPr="00CA4020" w:rsidRDefault="000B36F9" w:rsidP="003878B2">
      <w:pPr>
        <w:jc w:val="both"/>
        <w:rPr>
          <w:rFonts w:ascii="MetaPro-Norm" w:eastAsia="SimSun" w:hAnsi="MetaPro-Norm" w:cs="Times New Roman"/>
          <w:bCs/>
          <w:lang w:val="en-US" w:eastAsia="zh-CN"/>
        </w:rPr>
      </w:pPr>
      <w:r w:rsidRPr="00CA4020">
        <w:rPr>
          <w:rFonts w:ascii="MetaPro-Norm" w:eastAsia="SimSun" w:hAnsi="MetaPro-Norm" w:cs="Times New Roman"/>
          <w:bCs/>
          <w:lang w:val="en-US" w:eastAsia="zh-CN"/>
        </w:rPr>
        <w:t>Service providers echoed what some survivors told Human Rights Watch: that the Family Violence Law is not welcomed or well understood by large segments of the population, including among some government officials tasked with implementing it.</w:t>
      </w:r>
      <w:r w:rsidR="00C402FD" w:rsidRPr="00CA4020">
        <w:rPr>
          <w:rStyle w:val="FootnoteReference"/>
          <w:rFonts w:ascii="MetaPro-Norm" w:eastAsia="SimSun" w:hAnsi="MetaPro-Norm" w:cs="Times New Roman"/>
          <w:bCs/>
          <w:lang w:val="en-US" w:eastAsia="zh-CN"/>
        </w:rPr>
        <w:footnoteReference w:id="5"/>
      </w:r>
      <w:r w:rsidRPr="00CA4020">
        <w:rPr>
          <w:rFonts w:ascii="MetaPro-Norm" w:eastAsia="SimSun" w:hAnsi="MetaPro-Norm" w:cs="Times New Roman"/>
          <w:bCs/>
          <w:lang w:val="en-US" w:eastAsia="zh-CN"/>
        </w:rPr>
        <w:t xml:space="preserve"> </w:t>
      </w:r>
      <w:r w:rsidR="00FE6E6E" w:rsidRPr="00CA4020">
        <w:rPr>
          <w:rFonts w:ascii="MetaPro-Norm" w:eastAsia="SimSun" w:hAnsi="MetaPro-Norm" w:cs="Times New Roman"/>
          <w:bCs/>
          <w:lang w:val="en-US" w:eastAsia="zh-CN"/>
        </w:rPr>
        <w:t xml:space="preserve"> </w:t>
      </w:r>
      <w:r w:rsidRPr="00CA4020">
        <w:rPr>
          <w:rFonts w:ascii="MetaPro-Norm" w:eastAsia="SimSun" w:hAnsi="MetaPro-Norm" w:cs="Times New Roman"/>
          <w:bCs/>
          <w:lang w:val="en-US" w:eastAsia="zh-CN"/>
        </w:rPr>
        <w:t>The male</w:t>
      </w:r>
      <w:r w:rsidR="0038098A" w:rsidRPr="00CA4020">
        <w:rPr>
          <w:rFonts w:ascii="MetaPro-Norm" w:eastAsia="SimSun" w:hAnsi="MetaPro-Norm" w:cs="Times New Roman"/>
          <w:bCs/>
          <w:lang w:val="en-US" w:eastAsia="zh-CN"/>
        </w:rPr>
        <w:t xml:space="preserve"> </w:t>
      </w:r>
      <w:r w:rsidRPr="00CA4020">
        <w:rPr>
          <w:rFonts w:ascii="MetaPro-Norm" w:eastAsia="SimSun" w:hAnsi="MetaPro-Norm" w:cs="Times New Roman"/>
          <w:bCs/>
          <w:lang w:val="en-US" w:eastAsia="zh-CN"/>
        </w:rPr>
        <w:t>dominant culture prevents women, particularly those who live in remote areas, from accessing information about the Family Violence Law, much less reporting the violence they are experiencing</w:t>
      </w:r>
      <w:r w:rsidR="00C402FD" w:rsidRPr="00CA4020">
        <w:rPr>
          <w:rFonts w:ascii="MetaPro-Norm" w:eastAsia="SimSun" w:hAnsi="MetaPro-Norm" w:cs="Times New Roman"/>
          <w:bCs/>
          <w:lang w:val="en-US" w:eastAsia="zh-CN"/>
        </w:rPr>
        <w:t>.</w:t>
      </w:r>
      <w:r w:rsidR="00C402FD" w:rsidRPr="00CA4020">
        <w:rPr>
          <w:rStyle w:val="FootnoteReference"/>
          <w:rFonts w:ascii="MetaPro-Norm" w:eastAsia="SimSun" w:hAnsi="MetaPro-Norm" w:cs="Times New Roman"/>
          <w:bCs/>
          <w:lang w:val="en-US" w:eastAsia="zh-CN"/>
        </w:rPr>
        <w:footnoteReference w:id="6"/>
      </w:r>
    </w:p>
    <w:p w14:paraId="3250F040" w14:textId="661D9147" w:rsidR="00046D5E" w:rsidRPr="00CA4020" w:rsidRDefault="00046D5E" w:rsidP="00D516B2">
      <w:pPr>
        <w:rPr>
          <w:rFonts w:ascii="MetaPro-Norm" w:eastAsia="SimSun" w:hAnsi="MetaPro-Norm" w:cs="Times New Roman"/>
          <w:bCs/>
          <w:lang w:val="en-US" w:eastAsia="zh-CN"/>
        </w:rPr>
      </w:pPr>
    </w:p>
    <w:p w14:paraId="175B3C51" w14:textId="4B9C75AA" w:rsidR="00046D5E" w:rsidRPr="00CA4020" w:rsidRDefault="003F7D08" w:rsidP="003878B2">
      <w:pPr>
        <w:jc w:val="both"/>
        <w:rPr>
          <w:rFonts w:ascii="MetaPro-Norm" w:eastAsia="SimSun" w:hAnsi="MetaPro-Norm" w:cs="Times New Roman"/>
          <w:bCs/>
          <w:lang w:val="en-US" w:eastAsia="zh-CN"/>
        </w:rPr>
      </w:pPr>
      <w:r w:rsidRPr="00CA4020">
        <w:rPr>
          <w:rFonts w:ascii="MetaPro-Norm" w:eastAsia="SimSun" w:hAnsi="MetaPro-Norm" w:cs="Times New Roman"/>
          <w:bCs/>
          <w:lang w:val="en-US" w:eastAsia="zh-CN"/>
        </w:rPr>
        <w:t>E</w:t>
      </w:r>
      <w:r w:rsidR="00046D5E" w:rsidRPr="00CA4020">
        <w:rPr>
          <w:rFonts w:ascii="MetaPro-Norm" w:eastAsia="SimSun" w:hAnsi="MetaPro-Norm" w:cs="Times New Roman"/>
          <w:bCs/>
          <w:lang w:val="en-US" w:eastAsia="zh-CN"/>
        </w:rPr>
        <w:t>xperts and survivors of domestic abuse told Human Rights Watch that even where services for survivors do exist, people are often unaware of the available resources.</w:t>
      </w:r>
      <w:r w:rsidR="00046D5E" w:rsidRPr="00CA4020">
        <w:rPr>
          <w:rFonts w:eastAsia="SimSun" w:cs="Times New Roman"/>
          <w:bCs/>
          <w:vertAlign w:val="superscript"/>
          <w:lang w:val="en-US" w:eastAsia="zh-CN"/>
        </w:rPr>
        <w:footnoteReference w:id="7"/>
      </w:r>
      <w:r w:rsidR="00046D5E" w:rsidRPr="00CA4020">
        <w:rPr>
          <w:rFonts w:ascii="MetaPro-Norm" w:eastAsia="SimSun" w:hAnsi="MetaPro-Norm" w:cs="Times New Roman"/>
          <w:bCs/>
          <w:vertAlign w:val="superscript"/>
          <w:lang w:val="en-US" w:eastAsia="zh-CN"/>
        </w:rPr>
        <w:t xml:space="preserve"> </w:t>
      </w:r>
      <w:r w:rsidR="00046D5E" w:rsidRPr="00CA4020">
        <w:rPr>
          <w:rFonts w:ascii="MetaPro-Norm" w:eastAsia="SimSun" w:hAnsi="MetaPro-Norm" w:cs="Times New Roman"/>
          <w:bCs/>
          <w:lang w:val="en-US" w:eastAsia="zh-CN"/>
        </w:rPr>
        <w:t xml:space="preserve"> Several survivors said they </w:t>
      </w:r>
      <w:r w:rsidR="00EC63B9" w:rsidRPr="00CA4020">
        <w:rPr>
          <w:rFonts w:ascii="MetaPro-Norm" w:eastAsia="SimSun" w:hAnsi="MetaPro-Norm" w:cs="Times New Roman"/>
          <w:bCs/>
          <w:lang w:val="en-US" w:eastAsia="zh-CN"/>
        </w:rPr>
        <w:t>reached</w:t>
      </w:r>
      <w:r w:rsidR="00046D5E" w:rsidRPr="00CA4020">
        <w:rPr>
          <w:rFonts w:ascii="MetaPro-Norm" w:eastAsia="SimSun" w:hAnsi="MetaPro-Norm" w:cs="Times New Roman"/>
          <w:bCs/>
          <w:lang w:val="en-US" w:eastAsia="zh-CN"/>
        </w:rPr>
        <w:t xml:space="preserve"> help through chance encounters, through </w:t>
      </w:r>
      <w:r w:rsidR="00EC63B9" w:rsidRPr="00CA4020">
        <w:rPr>
          <w:rFonts w:ascii="MetaPro-Norm" w:eastAsia="SimSun" w:hAnsi="MetaPro-Norm" w:cs="Times New Roman"/>
          <w:bCs/>
          <w:lang w:val="en-US" w:eastAsia="zh-CN"/>
        </w:rPr>
        <w:t xml:space="preserve">coincidence, luck, or the kindness of strangers. </w:t>
      </w:r>
    </w:p>
    <w:p w14:paraId="6CEE08D6" w14:textId="77777777" w:rsidR="000C2190" w:rsidRPr="00CA4020" w:rsidRDefault="000C2190" w:rsidP="00D516B2">
      <w:pPr>
        <w:rPr>
          <w:rFonts w:ascii="MetaPro-Norm" w:eastAsia="SimSun" w:hAnsi="MetaPro-Norm" w:cs="Times New Roman"/>
          <w:bCs/>
          <w:lang w:val="en-US" w:eastAsia="zh-CN"/>
        </w:rPr>
      </w:pPr>
    </w:p>
    <w:p w14:paraId="428BFE73" w14:textId="1088ABFB" w:rsidR="00050541" w:rsidRPr="00555904" w:rsidRDefault="001655ED" w:rsidP="00D516B2">
      <w:pPr>
        <w:rPr>
          <w:rFonts w:ascii="MetaPro-Norm" w:eastAsia="SimSun" w:hAnsi="MetaPro-Norm" w:cs="Times New Roman"/>
          <w:bCs/>
          <w:i/>
          <w:iCs/>
          <w:lang w:val="en-US" w:eastAsia="zh-CN"/>
        </w:rPr>
      </w:pPr>
      <w:r w:rsidRPr="00CA4020">
        <w:rPr>
          <w:rFonts w:ascii="MetaPro-Norm" w:eastAsia="SimSun" w:hAnsi="MetaPro-Norm" w:cs="Times New Roman"/>
          <w:bCs/>
          <w:i/>
          <w:iCs/>
          <w:lang w:val="en-US" w:eastAsia="zh-CN"/>
        </w:rPr>
        <w:t>Shortage of</w:t>
      </w:r>
      <w:r w:rsidR="00172E29" w:rsidRPr="00CA4020">
        <w:rPr>
          <w:rFonts w:ascii="MetaPro-Norm" w:eastAsia="SimSun" w:hAnsi="MetaPro-Norm" w:cs="Times New Roman"/>
          <w:bCs/>
          <w:i/>
          <w:iCs/>
          <w:lang w:val="en-US" w:eastAsia="zh-CN"/>
        </w:rPr>
        <w:t xml:space="preserve"> </w:t>
      </w:r>
      <w:r w:rsidR="00935E6E" w:rsidRPr="00CA4020">
        <w:rPr>
          <w:rFonts w:ascii="MetaPro-Norm" w:eastAsia="SimSun" w:hAnsi="MetaPro-Norm" w:cs="Times New Roman"/>
          <w:bCs/>
          <w:i/>
          <w:iCs/>
          <w:lang w:val="en-US" w:eastAsia="zh-CN"/>
        </w:rPr>
        <w:t>Shelters</w:t>
      </w:r>
      <w:r w:rsidR="008F37D8" w:rsidRPr="00CA4020">
        <w:rPr>
          <w:rFonts w:ascii="MetaPro-Norm" w:eastAsia="SimSun" w:hAnsi="MetaPro-Norm" w:cs="Times New Roman"/>
          <w:bCs/>
          <w:i/>
          <w:iCs/>
          <w:lang w:val="en-US" w:eastAsia="zh-CN"/>
        </w:rPr>
        <w:t>,</w:t>
      </w:r>
      <w:r w:rsidR="00935E6E" w:rsidRPr="00CA4020">
        <w:rPr>
          <w:rFonts w:ascii="MetaPro-Norm" w:eastAsia="SimSun" w:hAnsi="MetaPro-Norm" w:cs="Times New Roman"/>
          <w:bCs/>
          <w:i/>
          <w:iCs/>
          <w:lang w:val="en-US" w:eastAsia="zh-CN"/>
        </w:rPr>
        <w:t xml:space="preserve"> </w:t>
      </w:r>
      <w:r w:rsidR="00172E29" w:rsidRPr="00CA4020">
        <w:rPr>
          <w:rFonts w:ascii="MetaPro-Norm" w:eastAsia="SimSun" w:hAnsi="MetaPro-Norm" w:cs="Times New Roman"/>
          <w:bCs/>
          <w:i/>
          <w:iCs/>
          <w:lang w:val="en-US" w:eastAsia="zh-CN"/>
        </w:rPr>
        <w:t xml:space="preserve">Inadequate </w:t>
      </w:r>
      <w:r w:rsidR="001415CF" w:rsidRPr="00CA4020">
        <w:rPr>
          <w:rFonts w:ascii="MetaPro-Norm" w:eastAsia="SimSun" w:hAnsi="MetaPro-Norm" w:cs="Times New Roman"/>
          <w:bCs/>
          <w:i/>
          <w:iCs/>
          <w:lang w:val="en-US" w:eastAsia="zh-CN"/>
        </w:rPr>
        <w:t>Services</w:t>
      </w:r>
    </w:p>
    <w:p w14:paraId="05FD2378" w14:textId="5E6817AC" w:rsidR="00050541" w:rsidRPr="00CA4020" w:rsidRDefault="00FE6E6E" w:rsidP="003878B2">
      <w:pPr>
        <w:jc w:val="both"/>
        <w:rPr>
          <w:rFonts w:ascii="MetaPro-Norm" w:eastAsia="SimSun" w:hAnsi="MetaPro-Norm" w:cs="Times New Roman"/>
          <w:bCs/>
          <w:lang w:val="en-US" w:eastAsia="zh-CN"/>
        </w:rPr>
      </w:pPr>
      <w:r w:rsidRPr="00CA4020">
        <w:rPr>
          <w:rFonts w:ascii="MetaPro-Norm" w:eastAsia="SimSun" w:hAnsi="MetaPro-Norm" w:cs="Times New Roman"/>
          <w:bCs/>
          <w:lang w:val="en-US" w:eastAsia="zh-CN"/>
        </w:rPr>
        <w:t>Human Rights Watch found</w:t>
      </w:r>
      <w:r w:rsidR="00D72A6C" w:rsidRPr="00CA4020">
        <w:rPr>
          <w:rFonts w:ascii="MetaPro-Norm" w:eastAsia="SimSun" w:hAnsi="MetaPro-Norm" w:cs="Times New Roman"/>
          <w:bCs/>
          <w:lang w:val="en-US" w:eastAsia="zh-CN"/>
        </w:rPr>
        <w:t xml:space="preserve"> a critical lack of shelters and other services where survivors of domestic violence can seek accommodation and protection in an emergency.</w:t>
      </w:r>
      <w:r w:rsidR="00D72A6C" w:rsidRPr="00CA4020">
        <w:rPr>
          <w:rFonts w:ascii="MetaPro-Norm" w:hAnsi="MetaPro-Norm"/>
        </w:rPr>
        <w:t xml:space="preserve"> </w:t>
      </w:r>
      <w:r w:rsidR="00D72A6C" w:rsidRPr="00CA4020">
        <w:rPr>
          <w:rFonts w:ascii="MetaPro-Norm" w:eastAsia="SimSun" w:hAnsi="MetaPro-Norm" w:cs="Times New Roman"/>
          <w:bCs/>
          <w:lang w:val="en-US" w:eastAsia="zh-CN"/>
        </w:rPr>
        <w:t>In Tajikistan, there are no government-operated shelters, and the government does not fund, regulate, or monitor private shelters or track capacity or usage.</w:t>
      </w:r>
      <w:r w:rsidR="00D72A6C" w:rsidRPr="00CA4020">
        <w:rPr>
          <w:rStyle w:val="FootnoteReference"/>
          <w:rFonts w:ascii="MetaPro-Norm" w:eastAsia="SimSun" w:hAnsi="MetaPro-Norm" w:cs="Times New Roman"/>
          <w:bCs/>
          <w:lang w:val="en-US" w:eastAsia="zh-CN"/>
        </w:rPr>
        <w:footnoteReference w:id="8"/>
      </w:r>
      <w:r w:rsidR="00181EE4" w:rsidRPr="00CA4020">
        <w:rPr>
          <w:rFonts w:ascii="MetaPro-Norm" w:eastAsia="SimSun" w:hAnsi="MetaPro-Norm" w:cs="Times New Roman"/>
          <w:bCs/>
          <w:lang w:val="en-US" w:eastAsia="zh-CN"/>
        </w:rPr>
        <w:t xml:space="preserve"> </w:t>
      </w:r>
      <w:r w:rsidR="005966A6" w:rsidRPr="00CA4020">
        <w:rPr>
          <w:rFonts w:ascii="MetaPro-Norm" w:eastAsia="SimSun" w:hAnsi="MetaPro-Norm" w:cs="Times New Roman"/>
          <w:bCs/>
          <w:lang w:val="en-US" w:eastAsia="zh-CN"/>
        </w:rPr>
        <w:t xml:space="preserve">There are a limited number of privately run shelters </w:t>
      </w:r>
      <w:r w:rsidR="00172E29" w:rsidRPr="00CA4020">
        <w:rPr>
          <w:rFonts w:ascii="MetaPro-Norm" w:eastAsia="SimSun" w:hAnsi="MetaPro-Norm" w:cs="Times New Roman"/>
          <w:bCs/>
          <w:lang w:val="en-US" w:eastAsia="zh-CN"/>
        </w:rPr>
        <w:t>in Tajikistan</w:t>
      </w:r>
      <w:r w:rsidR="00793139" w:rsidRPr="00CA4020">
        <w:rPr>
          <w:rFonts w:ascii="MetaPro-Norm" w:eastAsia="SimSun" w:hAnsi="MetaPro-Norm" w:cs="Times New Roman"/>
          <w:bCs/>
          <w:lang w:val="en-US" w:eastAsia="zh-CN"/>
        </w:rPr>
        <w:t xml:space="preserve"> and i</w:t>
      </w:r>
      <w:r w:rsidR="005A3F8C" w:rsidRPr="00CA4020">
        <w:rPr>
          <w:rFonts w:ascii="MetaPro-Norm" w:eastAsia="SimSun" w:hAnsi="MetaPro-Norm" w:cs="Times New Roman"/>
          <w:bCs/>
          <w:lang w:val="en-US" w:eastAsia="zh-CN"/>
        </w:rPr>
        <w:t xml:space="preserve">n some cases survivors said </w:t>
      </w:r>
      <w:r w:rsidR="008D3748" w:rsidRPr="00CA4020">
        <w:rPr>
          <w:rFonts w:ascii="MetaPro-Norm" w:eastAsia="SimSun" w:hAnsi="MetaPro-Norm" w:cs="Times New Roman"/>
          <w:bCs/>
          <w:lang w:val="en-US" w:eastAsia="zh-CN"/>
        </w:rPr>
        <w:t>t</w:t>
      </w:r>
      <w:r w:rsidR="005A3F8C" w:rsidRPr="00CA4020">
        <w:rPr>
          <w:rFonts w:ascii="MetaPro-Norm" w:eastAsia="SimSun" w:hAnsi="MetaPro-Norm" w:cs="Times New Roman"/>
          <w:bCs/>
          <w:lang w:val="en-US" w:eastAsia="zh-CN"/>
        </w:rPr>
        <w:t>hey</w:t>
      </w:r>
      <w:r w:rsidR="008D3748" w:rsidRPr="00CA4020">
        <w:rPr>
          <w:rFonts w:ascii="MetaPro-Norm" w:eastAsia="SimSun" w:hAnsi="MetaPro-Norm" w:cs="Times New Roman"/>
          <w:bCs/>
          <w:lang w:val="en-US" w:eastAsia="zh-CN"/>
        </w:rPr>
        <w:t xml:space="preserve"> </w:t>
      </w:r>
      <w:r w:rsidR="0013111C" w:rsidRPr="00CA4020">
        <w:rPr>
          <w:rFonts w:ascii="MetaPro-Norm" w:eastAsia="SimSun" w:hAnsi="MetaPro-Norm" w:cs="Times New Roman"/>
          <w:bCs/>
          <w:lang w:val="en-US" w:eastAsia="zh-CN"/>
        </w:rPr>
        <w:t>only accommodate short-term stays</w:t>
      </w:r>
      <w:r w:rsidR="00FC15BF">
        <w:rPr>
          <w:rFonts w:ascii="MetaPro-Norm" w:eastAsia="SimSun" w:hAnsi="MetaPro-Norm" w:cs="Times New Roman"/>
          <w:bCs/>
          <w:lang w:val="en-US" w:eastAsia="zh-CN"/>
        </w:rPr>
        <w:t>,</w:t>
      </w:r>
      <w:r w:rsidR="0013111C" w:rsidRPr="00CA4020">
        <w:rPr>
          <w:rFonts w:ascii="MetaPro-Norm" w:eastAsia="SimSun" w:hAnsi="MetaPro-Norm" w:cs="Times New Roman"/>
          <w:bCs/>
          <w:lang w:val="en-US" w:eastAsia="zh-CN"/>
        </w:rPr>
        <w:t xml:space="preserve"> </w:t>
      </w:r>
      <w:r w:rsidRPr="00CA4020">
        <w:rPr>
          <w:rFonts w:ascii="MetaPro-Norm" w:eastAsia="SimSun" w:hAnsi="MetaPro-Norm" w:cs="Times New Roman"/>
          <w:bCs/>
          <w:lang w:val="en-US" w:eastAsia="zh-CN"/>
        </w:rPr>
        <w:t>which</w:t>
      </w:r>
      <w:r w:rsidR="005A3F8C" w:rsidRPr="00CA4020">
        <w:rPr>
          <w:rFonts w:ascii="MetaPro-Norm" w:eastAsia="SimSun" w:hAnsi="MetaPro-Norm" w:cs="Times New Roman"/>
          <w:bCs/>
          <w:lang w:val="en-US" w:eastAsia="zh-CN"/>
        </w:rPr>
        <w:t xml:space="preserve"> </w:t>
      </w:r>
      <w:r w:rsidR="002A0F23" w:rsidRPr="00CA4020">
        <w:rPr>
          <w:rFonts w:ascii="MetaPro-Norm" w:eastAsia="SimSun" w:hAnsi="MetaPro-Norm" w:cs="Times New Roman"/>
          <w:bCs/>
          <w:lang w:val="en-US" w:eastAsia="zh-CN"/>
        </w:rPr>
        <w:t>do</w:t>
      </w:r>
      <w:r w:rsidR="005A3F8C" w:rsidRPr="00CA4020">
        <w:rPr>
          <w:rFonts w:ascii="MetaPro-Norm" w:eastAsia="SimSun" w:hAnsi="MetaPro-Norm" w:cs="Times New Roman"/>
          <w:bCs/>
          <w:lang w:val="en-US" w:eastAsia="zh-CN"/>
        </w:rPr>
        <w:t xml:space="preserve"> </w:t>
      </w:r>
      <w:r w:rsidR="002A0F23" w:rsidRPr="00CA4020">
        <w:rPr>
          <w:rFonts w:ascii="MetaPro-Norm" w:eastAsia="SimSun" w:hAnsi="MetaPro-Norm" w:cs="Times New Roman"/>
          <w:bCs/>
          <w:lang w:val="en-US" w:eastAsia="zh-CN"/>
        </w:rPr>
        <w:t>not</w:t>
      </w:r>
      <w:r w:rsidR="0013111C" w:rsidRPr="00CA4020">
        <w:rPr>
          <w:rFonts w:ascii="MetaPro-Norm" w:eastAsia="SimSun" w:hAnsi="MetaPro-Norm" w:cs="Times New Roman"/>
          <w:bCs/>
          <w:lang w:val="en-US" w:eastAsia="zh-CN"/>
        </w:rPr>
        <w:t xml:space="preserve"> </w:t>
      </w:r>
      <w:r w:rsidR="000F3F11" w:rsidRPr="00CA4020">
        <w:rPr>
          <w:rFonts w:ascii="MetaPro-Norm" w:eastAsia="SimSun" w:hAnsi="MetaPro-Norm" w:cs="Times New Roman"/>
          <w:bCs/>
          <w:lang w:val="en-US" w:eastAsia="zh-CN"/>
        </w:rPr>
        <w:t xml:space="preserve">provide </w:t>
      </w:r>
      <w:r w:rsidR="0013111C" w:rsidRPr="00CA4020">
        <w:rPr>
          <w:rFonts w:ascii="MetaPro-Norm" w:eastAsia="SimSun" w:hAnsi="MetaPro-Norm" w:cs="Times New Roman"/>
          <w:bCs/>
          <w:lang w:val="en-US" w:eastAsia="zh-CN"/>
        </w:rPr>
        <w:t>sufficient protection.</w:t>
      </w:r>
    </w:p>
    <w:p w14:paraId="33CC038F" w14:textId="77777777" w:rsidR="00BE5B87" w:rsidRPr="00CA4020" w:rsidRDefault="00BE5B87" w:rsidP="00050541">
      <w:pPr>
        <w:rPr>
          <w:rFonts w:ascii="MetaPro-Norm" w:eastAsia="SimSun" w:hAnsi="MetaPro-Norm" w:cs="Times New Roman"/>
          <w:bCs/>
          <w:lang w:val="en-US" w:eastAsia="zh-CN"/>
        </w:rPr>
      </w:pPr>
    </w:p>
    <w:p w14:paraId="1050804B" w14:textId="52AC0364" w:rsidR="003179DA" w:rsidRPr="00CA4020" w:rsidRDefault="00BE5B87" w:rsidP="003878B2">
      <w:pPr>
        <w:jc w:val="both"/>
        <w:rPr>
          <w:rFonts w:ascii="MetaPro-Norm" w:eastAsia="SimSun" w:hAnsi="MetaPro-Norm" w:cs="Times New Roman"/>
          <w:bCs/>
          <w:lang w:val="en-US" w:eastAsia="zh-CN"/>
        </w:rPr>
      </w:pPr>
      <w:r w:rsidRPr="00CA4020">
        <w:rPr>
          <w:rFonts w:ascii="MetaPro-Norm" w:eastAsia="SimSun" w:hAnsi="MetaPro-Norm" w:cs="Times New Roman"/>
          <w:bCs/>
          <w:lang w:val="en-US" w:eastAsia="zh-CN"/>
        </w:rPr>
        <w:t>Service providers, lawyers, and activists underlined the urgent need for the Tajik</w:t>
      </w:r>
      <w:r w:rsidR="00E2149F" w:rsidRPr="00CA4020">
        <w:rPr>
          <w:rFonts w:ascii="MetaPro-Norm" w:eastAsia="SimSun" w:hAnsi="MetaPro-Norm" w:cs="Times New Roman"/>
          <w:bCs/>
          <w:lang w:val="en-US" w:eastAsia="zh-CN"/>
        </w:rPr>
        <w:t xml:space="preserve"> </w:t>
      </w:r>
      <w:r w:rsidRPr="00CA4020">
        <w:rPr>
          <w:rFonts w:ascii="MetaPro-Norm" w:eastAsia="SimSun" w:hAnsi="MetaPro-Norm" w:cs="Times New Roman"/>
          <w:bCs/>
          <w:lang w:val="en-US" w:eastAsia="zh-CN"/>
        </w:rPr>
        <w:t xml:space="preserve">government to establish and fund </w:t>
      </w:r>
      <w:r w:rsidR="003179DA" w:rsidRPr="00CA4020">
        <w:rPr>
          <w:rFonts w:ascii="MetaPro-Norm" w:eastAsia="SimSun" w:hAnsi="MetaPro-Norm" w:cs="Times New Roman"/>
          <w:bCs/>
          <w:lang w:val="en-US" w:eastAsia="zh-CN"/>
        </w:rPr>
        <w:t xml:space="preserve">long-term shelters </w:t>
      </w:r>
      <w:r w:rsidR="00793139" w:rsidRPr="00CA4020">
        <w:rPr>
          <w:rFonts w:ascii="MetaPro-Norm" w:eastAsia="SimSun" w:hAnsi="MetaPro-Norm" w:cs="Times New Roman"/>
          <w:bCs/>
          <w:lang w:val="en-US" w:eastAsia="zh-CN"/>
        </w:rPr>
        <w:t xml:space="preserve">accessible </w:t>
      </w:r>
      <w:r w:rsidR="003179DA" w:rsidRPr="00CA4020">
        <w:rPr>
          <w:rFonts w:ascii="MetaPro-Norm" w:eastAsia="SimSun" w:hAnsi="MetaPro-Norm" w:cs="Times New Roman"/>
          <w:bCs/>
          <w:lang w:val="en-US" w:eastAsia="zh-CN"/>
        </w:rPr>
        <w:t xml:space="preserve">to </w:t>
      </w:r>
      <w:r w:rsidR="000E5279" w:rsidRPr="00CA4020">
        <w:rPr>
          <w:rFonts w:ascii="MetaPro-Norm" w:eastAsia="SimSun" w:hAnsi="MetaPro-Norm" w:cs="Times New Roman"/>
          <w:bCs/>
          <w:lang w:val="en-US" w:eastAsia="zh-CN"/>
        </w:rPr>
        <w:t>v</w:t>
      </w:r>
      <w:r w:rsidR="001B382C" w:rsidRPr="00CA4020">
        <w:rPr>
          <w:rFonts w:ascii="MetaPro-Norm" w:eastAsia="SimSun" w:hAnsi="MetaPro-Norm" w:cs="Times New Roman"/>
          <w:bCs/>
          <w:lang w:val="en-US" w:eastAsia="zh-CN"/>
        </w:rPr>
        <w:t>ictims</w:t>
      </w:r>
      <w:r w:rsidR="000E5279" w:rsidRPr="00CA4020">
        <w:rPr>
          <w:rFonts w:ascii="MetaPro-Norm" w:eastAsia="SimSun" w:hAnsi="MetaPro-Norm" w:cs="Times New Roman"/>
          <w:bCs/>
          <w:lang w:val="en-US" w:eastAsia="zh-CN"/>
        </w:rPr>
        <w:t xml:space="preserve"> of </w:t>
      </w:r>
      <w:r w:rsidR="00793139" w:rsidRPr="00CA4020">
        <w:rPr>
          <w:rFonts w:ascii="MetaPro-Norm" w:eastAsia="SimSun" w:hAnsi="MetaPro-Norm" w:cs="Times New Roman"/>
          <w:bCs/>
          <w:lang w:val="en-US" w:eastAsia="zh-CN"/>
        </w:rPr>
        <w:t>domestic violence</w:t>
      </w:r>
      <w:r w:rsidR="003179DA" w:rsidRPr="00CA4020">
        <w:rPr>
          <w:rFonts w:ascii="MetaPro-Norm" w:eastAsia="SimSun" w:hAnsi="MetaPro-Norm" w:cs="Times New Roman"/>
          <w:bCs/>
          <w:lang w:val="en-US" w:eastAsia="zh-CN"/>
        </w:rPr>
        <w:t xml:space="preserve"> </w:t>
      </w:r>
      <w:r w:rsidRPr="00CA4020">
        <w:rPr>
          <w:rFonts w:ascii="MetaPro-Norm" w:eastAsia="SimSun" w:hAnsi="MetaPro-Norm" w:cs="Times New Roman"/>
          <w:bCs/>
          <w:lang w:val="en-US" w:eastAsia="zh-CN"/>
        </w:rPr>
        <w:t>across the country</w:t>
      </w:r>
      <w:r w:rsidR="003179DA" w:rsidRPr="00CA4020">
        <w:rPr>
          <w:rFonts w:ascii="MetaPro-Norm" w:eastAsia="SimSun" w:hAnsi="MetaPro-Norm" w:cs="Times New Roman"/>
          <w:bCs/>
          <w:lang w:val="en-US" w:eastAsia="zh-CN"/>
        </w:rPr>
        <w:t xml:space="preserve">. The government should also consider making available socially affordable permanent housing for vulnerable segments of the population and reserve certain numbers of units for </w:t>
      </w:r>
      <w:r w:rsidR="000E5279" w:rsidRPr="00CA4020">
        <w:rPr>
          <w:rFonts w:ascii="MetaPro-Norm" w:eastAsia="SimSun" w:hAnsi="MetaPro-Norm" w:cs="Times New Roman"/>
          <w:bCs/>
          <w:lang w:val="en-US" w:eastAsia="zh-CN"/>
        </w:rPr>
        <w:t>women subjected to family abuse</w:t>
      </w:r>
      <w:r w:rsidR="003179DA" w:rsidRPr="00CA4020">
        <w:rPr>
          <w:rFonts w:ascii="MetaPro-Norm" w:eastAsia="SimSun" w:hAnsi="MetaPro-Norm" w:cs="Times New Roman"/>
          <w:bCs/>
          <w:lang w:val="en-US" w:eastAsia="zh-CN"/>
        </w:rPr>
        <w:t>.</w:t>
      </w:r>
    </w:p>
    <w:p w14:paraId="402EE3DC" w14:textId="77777777" w:rsidR="003179DA" w:rsidRPr="00CA4020" w:rsidRDefault="003179DA" w:rsidP="003878B2">
      <w:pPr>
        <w:jc w:val="both"/>
        <w:rPr>
          <w:rFonts w:ascii="MetaPro-Norm" w:eastAsia="SimSun" w:hAnsi="MetaPro-Norm" w:cs="Times New Roman"/>
          <w:bCs/>
          <w:lang w:val="en-US" w:eastAsia="zh-CN"/>
        </w:rPr>
      </w:pPr>
    </w:p>
    <w:p w14:paraId="71958C5D" w14:textId="6EE5598C" w:rsidR="00711EAF" w:rsidRPr="00CA4020" w:rsidRDefault="00711EAF" w:rsidP="003878B2">
      <w:pPr>
        <w:jc w:val="both"/>
        <w:rPr>
          <w:rFonts w:ascii="MetaPro-Norm" w:eastAsia="SimSun" w:hAnsi="MetaPro-Norm" w:cs="Times New Roman"/>
          <w:bCs/>
          <w:lang w:val="en-US" w:eastAsia="zh-CN"/>
        </w:rPr>
      </w:pPr>
      <w:r w:rsidRPr="00CA4020">
        <w:rPr>
          <w:rFonts w:ascii="MetaPro-Norm" w:eastAsia="SimSun" w:hAnsi="MetaPro-Norm" w:cs="Times New Roman"/>
          <w:bCs/>
          <w:lang w:val="en-US" w:eastAsia="zh-CN"/>
        </w:rPr>
        <w:t xml:space="preserve">Authorities should also ensure that the services provided </w:t>
      </w:r>
      <w:r w:rsidR="00C15FCB" w:rsidRPr="00CA4020">
        <w:rPr>
          <w:rFonts w:ascii="MetaPro-Norm" w:eastAsia="SimSun" w:hAnsi="MetaPro-Norm" w:cs="Times New Roman"/>
          <w:bCs/>
          <w:lang w:val="en-US" w:eastAsia="zh-CN"/>
        </w:rPr>
        <w:t>through</w:t>
      </w:r>
      <w:r w:rsidRPr="00CA4020">
        <w:rPr>
          <w:rFonts w:ascii="MetaPro-Norm" w:eastAsia="SimSun" w:hAnsi="MetaPro-Norm" w:cs="Times New Roman"/>
          <w:bCs/>
          <w:lang w:val="en-US" w:eastAsia="zh-CN"/>
        </w:rPr>
        <w:t xml:space="preserve"> shelters and organizations tasked with implementing the Family Violence Law are comprehensive, </w:t>
      </w:r>
      <w:r w:rsidR="00E9670E" w:rsidRPr="00CA4020">
        <w:rPr>
          <w:rFonts w:ascii="MetaPro-Norm" w:eastAsia="SimSun" w:hAnsi="MetaPro-Norm" w:cs="Times New Roman"/>
          <w:bCs/>
          <w:lang w:val="en-US" w:eastAsia="zh-CN"/>
        </w:rPr>
        <w:t>appropriate,</w:t>
      </w:r>
      <w:r w:rsidRPr="00CA4020">
        <w:rPr>
          <w:rFonts w:ascii="MetaPro-Norm" w:eastAsia="SimSun" w:hAnsi="MetaPro-Norm" w:cs="Times New Roman"/>
          <w:bCs/>
          <w:lang w:val="en-US" w:eastAsia="zh-CN"/>
        </w:rPr>
        <w:t xml:space="preserve"> and </w:t>
      </w:r>
      <w:r w:rsidR="00332BC4" w:rsidRPr="00CA4020">
        <w:rPr>
          <w:rFonts w:ascii="MetaPro-Norm" w:eastAsia="SimSun" w:hAnsi="MetaPro-Norm" w:cs="Times New Roman"/>
          <w:bCs/>
          <w:lang w:val="en-US" w:eastAsia="zh-CN"/>
        </w:rPr>
        <w:t>based on a</w:t>
      </w:r>
      <w:r w:rsidRPr="00CA4020">
        <w:rPr>
          <w:rFonts w:ascii="MetaPro-Norm" w:eastAsia="SimSun" w:hAnsi="MetaPro-Norm" w:cs="Times New Roman"/>
          <w:bCs/>
          <w:lang w:val="en-US" w:eastAsia="zh-CN"/>
        </w:rPr>
        <w:t xml:space="preserve"> victim</w:t>
      </w:r>
      <w:r w:rsidR="00F75106">
        <w:rPr>
          <w:rFonts w:ascii="MetaPro-Norm" w:eastAsia="SimSun" w:hAnsi="MetaPro-Norm" w:cs="Times New Roman"/>
          <w:bCs/>
          <w:lang w:val="en-US" w:eastAsia="zh-CN"/>
        </w:rPr>
        <w:t>-</w:t>
      </w:r>
      <w:r w:rsidRPr="00CA4020">
        <w:rPr>
          <w:rFonts w:ascii="MetaPro-Norm" w:eastAsia="SimSun" w:hAnsi="MetaPro-Norm" w:cs="Times New Roman"/>
          <w:bCs/>
          <w:lang w:val="en-US" w:eastAsia="zh-CN"/>
        </w:rPr>
        <w:t xml:space="preserve">focused approach. </w:t>
      </w:r>
      <w:r w:rsidR="00C15FCB" w:rsidRPr="00CA4020">
        <w:rPr>
          <w:rFonts w:ascii="MetaPro-Norm" w:eastAsia="SimSun" w:hAnsi="MetaPro-Norm" w:cs="Times New Roman"/>
          <w:bCs/>
          <w:lang w:val="en-US" w:eastAsia="zh-CN"/>
        </w:rPr>
        <w:t xml:space="preserve">Our research </w:t>
      </w:r>
      <w:r w:rsidR="00CC1A2F" w:rsidRPr="00CA4020">
        <w:rPr>
          <w:rFonts w:ascii="MetaPro-Norm" w:eastAsia="SimSun" w:hAnsi="MetaPro-Norm" w:cs="Times New Roman"/>
          <w:bCs/>
          <w:lang w:val="en-US" w:eastAsia="zh-CN"/>
        </w:rPr>
        <w:t>documented that often staff at</w:t>
      </w:r>
      <w:r w:rsidRPr="00CA4020">
        <w:rPr>
          <w:rFonts w:ascii="MetaPro-Norm" w:eastAsia="SimSun" w:hAnsi="MetaPro-Norm" w:cs="Times New Roman"/>
          <w:bCs/>
          <w:lang w:val="en-US" w:eastAsia="zh-CN"/>
        </w:rPr>
        <w:t xml:space="preserve"> </w:t>
      </w:r>
      <w:r w:rsidR="00CC1A2F" w:rsidRPr="00CA4020">
        <w:rPr>
          <w:rFonts w:ascii="MetaPro-Norm" w:eastAsia="SimSun" w:hAnsi="MetaPro-Norm" w:cs="Times New Roman"/>
          <w:bCs/>
          <w:lang w:val="en-US" w:eastAsia="zh-CN"/>
        </w:rPr>
        <w:t>shelters a</w:t>
      </w:r>
      <w:r w:rsidR="00326E7E" w:rsidRPr="00CA4020">
        <w:rPr>
          <w:rFonts w:ascii="MetaPro-Norm" w:eastAsia="SimSun" w:hAnsi="MetaPro-Norm" w:cs="Times New Roman"/>
          <w:bCs/>
          <w:lang w:val="en-US" w:eastAsia="zh-CN"/>
        </w:rPr>
        <w:t>nd organizations</w:t>
      </w:r>
      <w:r w:rsidR="00CC1A2F" w:rsidRPr="00CA4020">
        <w:rPr>
          <w:rFonts w:ascii="MetaPro-Norm" w:eastAsia="SimSun" w:hAnsi="MetaPro-Norm" w:cs="Times New Roman"/>
          <w:bCs/>
          <w:lang w:val="en-US" w:eastAsia="zh-CN"/>
        </w:rPr>
        <w:t xml:space="preserve"> may reinforce the idea that women should remain silent about domestic abuse</w:t>
      </w:r>
      <w:r w:rsidRPr="00CA4020">
        <w:rPr>
          <w:rFonts w:ascii="MetaPro-Norm" w:eastAsia="SimSun" w:hAnsi="MetaPro-Norm" w:cs="Times New Roman"/>
          <w:bCs/>
          <w:lang w:val="en-US" w:eastAsia="zh-CN"/>
        </w:rPr>
        <w:t xml:space="preserve"> and</w:t>
      </w:r>
      <w:r w:rsidR="00CC1A2F" w:rsidRPr="00CA4020">
        <w:rPr>
          <w:rFonts w:ascii="MetaPro-Norm" w:eastAsia="SimSun" w:hAnsi="MetaPro-Norm" w:cs="Times New Roman"/>
          <w:bCs/>
          <w:lang w:val="en-US" w:eastAsia="zh-CN"/>
        </w:rPr>
        <w:t xml:space="preserve"> advise </w:t>
      </w:r>
      <w:r w:rsidRPr="00CA4020">
        <w:rPr>
          <w:rFonts w:ascii="MetaPro-Norm" w:eastAsia="SimSun" w:hAnsi="MetaPro-Norm" w:cs="Times New Roman"/>
          <w:bCs/>
          <w:lang w:val="en-US" w:eastAsia="zh-CN"/>
        </w:rPr>
        <w:t>them</w:t>
      </w:r>
      <w:r w:rsidR="00CC1A2F" w:rsidRPr="00CA4020">
        <w:rPr>
          <w:rFonts w:ascii="MetaPro-Norm" w:eastAsia="SimSun" w:hAnsi="MetaPro-Norm" w:cs="Times New Roman"/>
          <w:bCs/>
          <w:lang w:val="en-US" w:eastAsia="zh-CN"/>
        </w:rPr>
        <w:t xml:space="preserve"> not to take their cases to the police.</w:t>
      </w:r>
      <w:r w:rsidR="00312ECF" w:rsidRPr="00CA4020">
        <w:rPr>
          <w:rFonts w:ascii="MetaPro-Norm" w:eastAsia="SimSun" w:hAnsi="MetaPro-Norm" w:cs="Times New Roman"/>
          <w:bCs/>
          <w:lang w:val="en-US" w:eastAsia="zh-CN"/>
        </w:rPr>
        <w:t xml:space="preserve"> </w:t>
      </w:r>
      <w:r w:rsidRPr="00CA4020">
        <w:rPr>
          <w:rFonts w:ascii="MetaPro-Norm" w:eastAsia="SimSun" w:hAnsi="MetaPro-Norm" w:cs="Times New Roman"/>
          <w:bCs/>
          <w:lang w:val="en-US" w:eastAsia="zh-CN"/>
        </w:rPr>
        <w:t xml:space="preserve">Several </w:t>
      </w:r>
      <w:r w:rsidR="00E9670E" w:rsidRPr="00CA4020">
        <w:rPr>
          <w:rFonts w:ascii="MetaPro-Norm" w:eastAsia="SimSun" w:hAnsi="MetaPro-Norm" w:cs="Times New Roman"/>
          <w:bCs/>
          <w:lang w:val="en-US" w:eastAsia="zh-CN"/>
        </w:rPr>
        <w:t>staff</w:t>
      </w:r>
      <w:r w:rsidR="00795217" w:rsidRPr="00CA4020">
        <w:rPr>
          <w:rFonts w:ascii="MetaPro-Norm" w:eastAsia="SimSun" w:hAnsi="MetaPro-Norm" w:cs="Times New Roman"/>
          <w:bCs/>
          <w:lang w:val="en-US" w:eastAsia="zh-CN"/>
        </w:rPr>
        <w:t xml:space="preserve"> </w:t>
      </w:r>
      <w:r w:rsidRPr="00CA4020">
        <w:rPr>
          <w:rFonts w:ascii="MetaPro-Norm" w:eastAsia="SimSun" w:hAnsi="MetaPro-Norm" w:cs="Times New Roman"/>
          <w:bCs/>
          <w:lang w:val="en-US" w:eastAsia="zh-CN"/>
        </w:rPr>
        <w:t>emphasized that they believed their role was to reconcile husbands and wives in cases of abuse and to do whatever possible to preserve the family unit and actively discourage divorce.</w:t>
      </w:r>
      <w:r w:rsidR="00312ECF" w:rsidRPr="00CA4020">
        <w:rPr>
          <w:rStyle w:val="FootnoteReference"/>
        </w:rPr>
        <w:footnoteReference w:id="9"/>
      </w:r>
      <w:r w:rsidR="00C65EDD" w:rsidRPr="00CA4020">
        <w:rPr>
          <w:rFonts w:ascii="MetaPro-Norm" w:eastAsia="SimSun" w:hAnsi="MetaPro-Norm" w:cs="Times New Roman"/>
          <w:bCs/>
          <w:lang w:val="en-US" w:eastAsia="zh-CN"/>
        </w:rPr>
        <w:t xml:space="preserve"> Focus on reconciliation can </w:t>
      </w:r>
      <w:r w:rsidR="00326E7E" w:rsidRPr="00CA4020">
        <w:rPr>
          <w:rFonts w:ascii="MetaPro-Norm" w:eastAsia="SimSun" w:hAnsi="MetaPro-Norm" w:cs="Times New Roman"/>
          <w:bCs/>
          <w:lang w:val="en-US" w:eastAsia="zh-CN"/>
        </w:rPr>
        <w:t xml:space="preserve">seriously </w:t>
      </w:r>
      <w:r w:rsidR="00C65EDD" w:rsidRPr="00CA4020">
        <w:rPr>
          <w:rFonts w:ascii="MetaPro-Norm" w:eastAsia="SimSun" w:hAnsi="MetaPro-Norm" w:cs="Times New Roman"/>
          <w:bCs/>
          <w:lang w:val="en-US" w:eastAsia="zh-CN"/>
        </w:rPr>
        <w:t>undermine the rights, and the safety, of women</w:t>
      </w:r>
      <w:r w:rsidR="001415CF" w:rsidRPr="00CA4020">
        <w:rPr>
          <w:rFonts w:ascii="MetaPro-Norm" w:eastAsia="SimSun" w:hAnsi="MetaPro-Norm" w:cs="Times New Roman"/>
          <w:bCs/>
          <w:lang w:val="en-US" w:eastAsia="zh-CN"/>
        </w:rPr>
        <w:t xml:space="preserve"> who face family abuse.</w:t>
      </w:r>
    </w:p>
    <w:p w14:paraId="5CCB583D" w14:textId="0004F3C1" w:rsidR="00D32732" w:rsidRPr="00CA4020" w:rsidRDefault="00D32732" w:rsidP="003878B2">
      <w:pPr>
        <w:jc w:val="both"/>
        <w:rPr>
          <w:rFonts w:ascii="MetaPro-Norm" w:eastAsia="SimSun" w:hAnsi="MetaPro-Norm" w:cs="Times New Roman"/>
          <w:bCs/>
          <w:lang w:val="en-US" w:eastAsia="zh-CN"/>
        </w:rPr>
      </w:pPr>
    </w:p>
    <w:p w14:paraId="5907F38D" w14:textId="6D5F90C4" w:rsidR="00D32732" w:rsidRPr="00CA4020" w:rsidRDefault="00D32732" w:rsidP="003878B2">
      <w:pPr>
        <w:jc w:val="both"/>
        <w:rPr>
          <w:rFonts w:ascii="MetaPro-Norm" w:eastAsia="SimSun" w:hAnsi="MetaPro-Norm" w:cs="Times New Roman"/>
          <w:bCs/>
          <w:lang w:val="en-US" w:eastAsia="zh-CN"/>
        </w:rPr>
      </w:pPr>
      <w:r w:rsidRPr="00CA4020">
        <w:rPr>
          <w:rFonts w:ascii="MetaPro-Norm" w:eastAsia="SimSun" w:hAnsi="MetaPro-Norm" w:cs="Times New Roman"/>
          <w:bCs/>
          <w:lang w:val="en-US" w:eastAsia="zh-CN"/>
        </w:rPr>
        <w:t>There is no</w:t>
      </w:r>
      <w:r w:rsidR="000031B0" w:rsidRPr="00CA4020">
        <w:rPr>
          <w:rFonts w:ascii="MetaPro-Norm" w:eastAsia="SimSun" w:hAnsi="MetaPro-Norm" w:cs="Times New Roman"/>
          <w:bCs/>
          <w:lang w:val="en-US" w:eastAsia="zh-CN"/>
        </w:rPr>
        <w:t xml:space="preserve"> skilled </w:t>
      </w:r>
      <w:r w:rsidR="00A64933" w:rsidRPr="00CA4020">
        <w:rPr>
          <w:rFonts w:ascii="MetaPro-Norm" w:eastAsia="SimSun" w:hAnsi="MetaPro-Norm" w:cs="Times New Roman"/>
          <w:bCs/>
          <w:lang w:val="en-US" w:eastAsia="zh-CN"/>
        </w:rPr>
        <w:t xml:space="preserve">and professional </w:t>
      </w:r>
      <w:r w:rsidRPr="00CA4020">
        <w:rPr>
          <w:rFonts w:ascii="MetaPro-Norm" w:eastAsia="SimSun" w:hAnsi="MetaPro-Norm" w:cs="Times New Roman"/>
          <w:bCs/>
          <w:lang w:val="en-US" w:eastAsia="zh-CN"/>
        </w:rPr>
        <w:t xml:space="preserve">psychological counseling available for victims of domestic violence. </w:t>
      </w:r>
      <w:r w:rsidR="00FF4EBA" w:rsidRPr="00CA4020">
        <w:rPr>
          <w:rFonts w:ascii="MetaPro-Norm" w:eastAsia="SimSun" w:hAnsi="MetaPro-Norm" w:cs="Times New Roman"/>
          <w:bCs/>
          <w:lang w:val="en-US" w:eastAsia="zh-CN"/>
        </w:rPr>
        <w:t xml:space="preserve">Human Rights Watch was told that </w:t>
      </w:r>
      <w:r w:rsidR="000031B0" w:rsidRPr="00CA4020">
        <w:rPr>
          <w:rFonts w:ascii="MetaPro-Norm" w:eastAsia="SimSun" w:hAnsi="MetaPro-Norm" w:cs="Times New Roman"/>
          <w:bCs/>
          <w:lang w:val="en-US" w:eastAsia="zh-CN"/>
        </w:rPr>
        <w:t xml:space="preserve">‘counseling’ provided by the staff at women’s resource centers and shelters </w:t>
      </w:r>
      <w:r w:rsidR="00A64933" w:rsidRPr="00CA4020">
        <w:rPr>
          <w:rFonts w:ascii="MetaPro-Norm" w:eastAsia="SimSun" w:hAnsi="MetaPro-Norm" w:cs="Times New Roman"/>
          <w:bCs/>
          <w:lang w:val="en-US" w:eastAsia="zh-CN"/>
        </w:rPr>
        <w:t>is</w:t>
      </w:r>
      <w:r w:rsidR="000031B0" w:rsidRPr="00CA4020">
        <w:rPr>
          <w:rFonts w:ascii="MetaPro-Norm" w:eastAsia="SimSun" w:hAnsi="MetaPro-Norm" w:cs="Times New Roman"/>
          <w:bCs/>
          <w:lang w:val="en-US" w:eastAsia="zh-CN"/>
        </w:rPr>
        <w:t xml:space="preserve"> primarily aimed at reconciliation and not designed to support women in their own self-determination</w:t>
      </w:r>
      <w:r w:rsidR="00A64933" w:rsidRPr="00CA4020">
        <w:rPr>
          <w:rFonts w:ascii="MetaPro-Norm" w:eastAsia="SimSun" w:hAnsi="MetaPro-Norm" w:cs="Times New Roman"/>
          <w:bCs/>
          <w:lang w:val="en-US" w:eastAsia="zh-CN"/>
        </w:rPr>
        <w:t>. The government should ensure access to psychosocial support by qualified counselors for women both in and outside of shelters with a focus on meeting women’s needs and</w:t>
      </w:r>
      <w:r w:rsidR="008C38E6" w:rsidRPr="00CA4020">
        <w:rPr>
          <w:rFonts w:ascii="MetaPro-Norm" w:eastAsia="SimSun" w:hAnsi="MetaPro-Norm" w:cs="Times New Roman"/>
          <w:bCs/>
          <w:lang w:val="en-US" w:eastAsia="zh-CN"/>
        </w:rPr>
        <w:t xml:space="preserve"> ensuring their</w:t>
      </w:r>
      <w:r w:rsidR="00A64933" w:rsidRPr="00CA4020">
        <w:rPr>
          <w:rFonts w:ascii="MetaPro-Norm" w:eastAsia="SimSun" w:hAnsi="MetaPro-Norm" w:cs="Times New Roman"/>
          <w:bCs/>
          <w:lang w:val="en-US" w:eastAsia="zh-CN"/>
        </w:rPr>
        <w:t xml:space="preserve"> well-being.</w:t>
      </w:r>
    </w:p>
    <w:p w14:paraId="05C2ED76" w14:textId="77777777" w:rsidR="00514E1D" w:rsidRPr="00CA4020" w:rsidRDefault="00514E1D" w:rsidP="00BE5B87">
      <w:pPr>
        <w:rPr>
          <w:rFonts w:ascii="MetaPro-Norm" w:eastAsia="SimSun" w:hAnsi="MetaPro-Norm" w:cs="Times New Roman"/>
          <w:bCs/>
          <w:lang w:val="en-US" w:eastAsia="zh-CN"/>
        </w:rPr>
      </w:pPr>
    </w:p>
    <w:p w14:paraId="1091268C" w14:textId="54F43B8D" w:rsidR="00E9670E" w:rsidRPr="00CA4020" w:rsidRDefault="00E9670E" w:rsidP="00BE5B87">
      <w:pPr>
        <w:rPr>
          <w:rFonts w:ascii="MetaPro-Norm" w:eastAsia="SimSun" w:hAnsi="MetaPro-Norm" w:cs="Times New Roman"/>
          <w:bCs/>
          <w:i/>
          <w:iCs/>
          <w:lang w:val="en-US" w:eastAsia="zh-CN"/>
        </w:rPr>
      </w:pPr>
      <w:r w:rsidRPr="00CA4020">
        <w:rPr>
          <w:rFonts w:ascii="MetaPro-Norm" w:eastAsia="SimSun" w:hAnsi="MetaPro-Norm" w:cs="Times New Roman"/>
          <w:bCs/>
          <w:i/>
          <w:iCs/>
          <w:lang w:val="en-US" w:eastAsia="zh-CN"/>
        </w:rPr>
        <w:t>Access to Justice</w:t>
      </w:r>
    </w:p>
    <w:p w14:paraId="322217F3" w14:textId="2649BE99" w:rsidR="002660AB" w:rsidRPr="00CA4020" w:rsidRDefault="002660AB" w:rsidP="003878B2">
      <w:pPr>
        <w:jc w:val="both"/>
        <w:rPr>
          <w:rFonts w:ascii="MetaPro-Norm" w:eastAsia="SimSun" w:hAnsi="MetaPro-Norm" w:cs="Times New Roman"/>
          <w:bCs/>
          <w:lang w:val="en-US" w:eastAsia="zh-CN"/>
        </w:rPr>
      </w:pPr>
      <w:r w:rsidRPr="00CA4020">
        <w:rPr>
          <w:rFonts w:ascii="MetaPro-Norm" w:eastAsia="SimSun" w:hAnsi="MetaPro-Norm" w:cs="Times New Roman"/>
          <w:bCs/>
          <w:lang w:val="en-US" w:eastAsia="zh-CN"/>
        </w:rPr>
        <w:t>There are few lawyers in Tajikistan and access to free legal aid</w:t>
      </w:r>
      <w:r w:rsidR="00D929FC" w:rsidRPr="00CA4020">
        <w:rPr>
          <w:rFonts w:ascii="MetaPro-Norm" w:eastAsia="SimSun" w:hAnsi="MetaPro-Norm" w:cs="Times New Roman"/>
          <w:bCs/>
          <w:lang w:val="en-US" w:eastAsia="zh-CN"/>
        </w:rPr>
        <w:t xml:space="preserve"> is limited</w:t>
      </w:r>
      <w:r w:rsidRPr="00CA4020">
        <w:rPr>
          <w:rFonts w:ascii="MetaPro-Norm" w:eastAsia="SimSun" w:hAnsi="MetaPro-Norm" w:cs="Times New Roman"/>
          <w:bCs/>
          <w:lang w:val="en-US" w:eastAsia="zh-CN"/>
        </w:rPr>
        <w:t xml:space="preserve">. Following </w:t>
      </w:r>
      <w:r w:rsidR="00622718" w:rsidRPr="00CA4020">
        <w:rPr>
          <w:rFonts w:ascii="MetaPro-Norm" w:eastAsia="SimSun" w:hAnsi="MetaPro-Norm" w:cs="Times New Roman"/>
          <w:bCs/>
          <w:lang w:val="en-US" w:eastAsia="zh-CN"/>
        </w:rPr>
        <w:t xml:space="preserve">2015 </w:t>
      </w:r>
      <w:r w:rsidRPr="00CA4020">
        <w:rPr>
          <w:rFonts w:ascii="MetaPro-Norm" w:eastAsia="SimSun" w:hAnsi="MetaPro-Norm" w:cs="Times New Roman"/>
          <w:bCs/>
          <w:lang w:val="en-US" w:eastAsia="zh-CN"/>
        </w:rPr>
        <w:t xml:space="preserve">legislative amendments to the law on lawyers, the independence of Tajikistan’s legal profession was </w:t>
      </w:r>
      <w:r w:rsidR="00622718" w:rsidRPr="00CA4020">
        <w:rPr>
          <w:rFonts w:ascii="MetaPro-Norm" w:eastAsia="SimSun" w:hAnsi="MetaPro-Norm" w:cs="Times New Roman"/>
          <w:bCs/>
          <w:lang w:val="en-US" w:eastAsia="zh-CN"/>
        </w:rPr>
        <w:t>restricted,</w:t>
      </w:r>
      <w:r w:rsidRPr="00CA4020">
        <w:rPr>
          <w:rFonts w:ascii="MetaPro-Norm" w:eastAsia="SimSun" w:hAnsi="MetaPro-Norm" w:cs="Times New Roman"/>
          <w:bCs/>
          <w:lang w:val="en-US" w:eastAsia="zh-CN"/>
        </w:rPr>
        <w:t xml:space="preserve"> and a number of lawyers were deprived of their legal licenses or excluded in other ways from practicing law. Following the passage of the new law, fewer than 500 are able to practice law for a population of nearly nine million, a ratio of approximately one lawyer per 18,000 inhabitants.</w:t>
      </w:r>
      <w:r w:rsidR="008F2CBC" w:rsidRPr="00CA4020">
        <w:rPr>
          <w:rStyle w:val="FootnoteReference"/>
          <w:rFonts w:ascii="MetaPro-Norm" w:eastAsia="SimSun" w:hAnsi="MetaPro-Norm" w:cs="Times New Roman"/>
          <w:bCs/>
          <w:lang w:val="en-US" w:eastAsia="zh-CN"/>
        </w:rPr>
        <w:footnoteReference w:id="10"/>
      </w:r>
      <w:r w:rsidR="00D929FC" w:rsidRPr="00CA4020">
        <w:rPr>
          <w:rFonts w:ascii="MetaPro-Norm" w:eastAsia="SimSun" w:hAnsi="MetaPro-Norm" w:cs="Times New Roman"/>
          <w:bCs/>
          <w:lang w:val="en-US" w:eastAsia="zh-CN"/>
        </w:rPr>
        <w:t xml:space="preserve"> </w:t>
      </w:r>
    </w:p>
    <w:p w14:paraId="11FECE2F" w14:textId="77777777" w:rsidR="00D929FC" w:rsidRPr="00CA4020" w:rsidRDefault="00D929FC" w:rsidP="003878B2">
      <w:pPr>
        <w:jc w:val="both"/>
        <w:rPr>
          <w:rFonts w:ascii="MetaPro-Norm" w:eastAsia="SimSun" w:hAnsi="MetaPro-Norm" w:cs="Times New Roman"/>
          <w:bCs/>
          <w:lang w:val="en-US" w:eastAsia="zh-CN"/>
        </w:rPr>
      </w:pPr>
    </w:p>
    <w:p w14:paraId="60FD92E7" w14:textId="1B8625C3" w:rsidR="002660AB" w:rsidRPr="00CA4020" w:rsidRDefault="002660AB" w:rsidP="003878B2">
      <w:pPr>
        <w:jc w:val="both"/>
        <w:rPr>
          <w:rFonts w:ascii="MetaPro-Norm" w:eastAsia="SimSun" w:hAnsi="MetaPro-Norm" w:cs="Times New Roman"/>
          <w:bCs/>
          <w:lang w:val="en-US" w:eastAsia="zh-CN"/>
        </w:rPr>
      </w:pPr>
      <w:r w:rsidRPr="00CA4020">
        <w:rPr>
          <w:rFonts w:ascii="MetaPro-Norm" w:eastAsia="SimSun" w:hAnsi="MetaPro-Norm" w:cs="Times New Roman"/>
          <w:bCs/>
          <w:lang w:val="en-US" w:eastAsia="zh-CN"/>
        </w:rPr>
        <w:t xml:space="preserve">Without </w:t>
      </w:r>
      <w:r w:rsidR="00D929FC" w:rsidRPr="00CA4020">
        <w:rPr>
          <w:rFonts w:ascii="MetaPro-Norm" w:eastAsia="SimSun" w:hAnsi="MetaPro-Norm" w:cs="Times New Roman"/>
          <w:bCs/>
          <w:lang w:val="en-US" w:eastAsia="zh-CN"/>
        </w:rPr>
        <w:t xml:space="preserve">adequate </w:t>
      </w:r>
      <w:r w:rsidRPr="00CA4020">
        <w:rPr>
          <w:rFonts w:ascii="MetaPro-Norm" w:eastAsia="SimSun" w:hAnsi="MetaPro-Norm" w:cs="Times New Roman"/>
          <w:bCs/>
          <w:lang w:val="en-US" w:eastAsia="zh-CN"/>
        </w:rPr>
        <w:t xml:space="preserve">legal assistance, survivors </w:t>
      </w:r>
      <w:r w:rsidR="00871E78" w:rsidRPr="00CA4020">
        <w:rPr>
          <w:rFonts w:ascii="MetaPro-Norm" w:eastAsia="SimSun" w:hAnsi="MetaPro-Norm" w:cs="Times New Roman"/>
          <w:bCs/>
          <w:lang w:val="en-US" w:eastAsia="zh-CN"/>
        </w:rPr>
        <w:t xml:space="preserve">of domestic violence </w:t>
      </w:r>
      <w:r w:rsidRPr="00CA4020">
        <w:rPr>
          <w:rFonts w:ascii="MetaPro-Norm" w:eastAsia="SimSun" w:hAnsi="MetaPro-Norm" w:cs="Times New Roman"/>
          <w:bCs/>
          <w:lang w:val="en-US" w:eastAsia="zh-CN"/>
        </w:rPr>
        <w:t>may be in the dark about the status of protection order applications and investigations and prosecutions. Survivors also often need legal assistance with civil matters</w:t>
      </w:r>
      <w:r w:rsidR="00871E78" w:rsidRPr="00CA4020">
        <w:rPr>
          <w:rFonts w:ascii="MetaPro-Norm" w:eastAsia="SimSun" w:hAnsi="MetaPro-Norm" w:cs="Times New Roman"/>
          <w:bCs/>
          <w:lang w:val="en-US" w:eastAsia="zh-CN"/>
        </w:rPr>
        <w:t>, such as child custody and child support payments,</w:t>
      </w:r>
      <w:r w:rsidRPr="00CA4020">
        <w:rPr>
          <w:rFonts w:ascii="MetaPro-Norm" w:eastAsia="SimSun" w:hAnsi="MetaPro-Norm" w:cs="Times New Roman"/>
          <w:bCs/>
          <w:lang w:val="en-US" w:eastAsia="zh-CN"/>
        </w:rPr>
        <w:t xml:space="preserve"> should they decide to leave </w:t>
      </w:r>
      <w:r w:rsidR="00871E78" w:rsidRPr="00CA4020">
        <w:rPr>
          <w:rFonts w:ascii="MetaPro-Norm" w:eastAsia="SimSun" w:hAnsi="MetaPro-Norm" w:cs="Times New Roman"/>
          <w:bCs/>
          <w:lang w:val="en-US" w:eastAsia="zh-CN"/>
        </w:rPr>
        <w:t xml:space="preserve">or divorce </w:t>
      </w:r>
      <w:r w:rsidRPr="00CA4020">
        <w:rPr>
          <w:rFonts w:ascii="MetaPro-Norm" w:eastAsia="SimSun" w:hAnsi="MetaPro-Norm" w:cs="Times New Roman"/>
          <w:bCs/>
          <w:lang w:val="en-US" w:eastAsia="zh-CN"/>
        </w:rPr>
        <w:t>the abusive partner.</w:t>
      </w:r>
    </w:p>
    <w:p w14:paraId="518DAC8C" w14:textId="77777777" w:rsidR="00D929FC" w:rsidRPr="00CA4020" w:rsidRDefault="00D929FC" w:rsidP="003878B2">
      <w:pPr>
        <w:jc w:val="both"/>
        <w:rPr>
          <w:rFonts w:ascii="MetaPro-Norm" w:eastAsia="SimSun" w:hAnsi="MetaPro-Norm" w:cs="Times New Roman"/>
          <w:bCs/>
          <w:lang w:val="en-US" w:eastAsia="zh-CN"/>
        </w:rPr>
      </w:pPr>
    </w:p>
    <w:p w14:paraId="7AF988A6" w14:textId="37AF780C" w:rsidR="002660AB" w:rsidRPr="00CA4020" w:rsidRDefault="00EC4D12" w:rsidP="003878B2">
      <w:pPr>
        <w:jc w:val="both"/>
        <w:rPr>
          <w:rFonts w:ascii="Georgia" w:eastAsia="Times New Roman" w:hAnsi="Georgia" w:cs="Times New Roman"/>
          <w:color w:val="444444"/>
          <w:lang w:val="en-US" w:eastAsia="en-US"/>
        </w:rPr>
      </w:pPr>
      <w:r w:rsidRPr="00CA4020">
        <w:rPr>
          <w:rFonts w:ascii="MetaPro-Norm" w:eastAsia="SimSun" w:hAnsi="MetaPro-Norm" w:cs="Times New Roman"/>
          <w:bCs/>
          <w:lang w:val="en-US" w:eastAsia="zh-CN"/>
        </w:rPr>
        <w:t>Our research has documented</w:t>
      </w:r>
      <w:r w:rsidR="002660AB" w:rsidRPr="00CA4020">
        <w:rPr>
          <w:rFonts w:ascii="MetaPro-Norm" w:eastAsia="SimSun" w:hAnsi="MetaPro-Norm" w:cs="Times New Roman"/>
          <w:bCs/>
          <w:lang w:val="en-US" w:eastAsia="zh-CN"/>
        </w:rPr>
        <w:t xml:space="preserve"> the stark difference in the experiences of survivors of domestic violence who gained timely access to qualified legal representation and those who were left to navigate law enforcement bodies and courts on their own. In the few cases examined by Human Rights Watch where perpetrators of domestic violence have faced some measure of legal consequences, lawyers were involved in representing the survivor</w:t>
      </w:r>
      <w:r w:rsidR="002660AB" w:rsidRPr="00CA4020">
        <w:rPr>
          <w:rFonts w:ascii="Georgia" w:eastAsia="Times New Roman" w:hAnsi="Georgia" w:cs="Times New Roman"/>
          <w:color w:val="444444"/>
          <w:lang w:val="en-US" w:eastAsia="en-US"/>
        </w:rPr>
        <w:t>.</w:t>
      </w:r>
    </w:p>
    <w:p w14:paraId="4A772F69" w14:textId="77777777" w:rsidR="002660AB" w:rsidRPr="00CA4020" w:rsidRDefault="002660AB" w:rsidP="00BE5B87">
      <w:pPr>
        <w:rPr>
          <w:rFonts w:ascii="MetaPro-Norm" w:eastAsia="SimSun" w:hAnsi="MetaPro-Norm" w:cs="Times New Roman"/>
          <w:bCs/>
          <w:i/>
          <w:iCs/>
          <w:lang w:val="en-US" w:eastAsia="zh-CN"/>
        </w:rPr>
      </w:pPr>
    </w:p>
    <w:p w14:paraId="58786A0E" w14:textId="10C4D2D2" w:rsidR="0057248C" w:rsidRPr="00692C81" w:rsidRDefault="00514E1D" w:rsidP="00031043">
      <w:pPr>
        <w:rPr>
          <w:rFonts w:ascii="MetaPro-Norm" w:eastAsia="SimSun" w:hAnsi="MetaPro-Norm" w:cs="Times New Roman"/>
          <w:bCs/>
          <w:i/>
          <w:iCs/>
          <w:lang w:val="en-US" w:eastAsia="zh-CN"/>
        </w:rPr>
      </w:pPr>
      <w:r w:rsidRPr="00CA4020">
        <w:rPr>
          <w:rFonts w:ascii="MetaPro-Norm" w:eastAsia="SimSun" w:hAnsi="MetaPro-Norm" w:cs="Times New Roman"/>
          <w:bCs/>
          <w:i/>
          <w:iCs/>
          <w:lang w:val="en-US" w:eastAsia="zh-CN"/>
        </w:rPr>
        <w:t>Economic Dependence on Abusers</w:t>
      </w:r>
    </w:p>
    <w:p w14:paraId="233EBA9F" w14:textId="62D9AF5F" w:rsidR="00514E1D" w:rsidRPr="00CA4020" w:rsidRDefault="008C7DA4" w:rsidP="003878B2">
      <w:pPr>
        <w:jc w:val="both"/>
        <w:rPr>
          <w:rFonts w:ascii="MetaPro-Norm" w:eastAsia="SimSun" w:hAnsi="MetaPro-Norm" w:cs="Times New Roman"/>
          <w:bCs/>
          <w:lang w:val="en-US" w:eastAsia="zh-CN"/>
        </w:rPr>
      </w:pPr>
      <w:r w:rsidRPr="00CA4020">
        <w:rPr>
          <w:rFonts w:ascii="MetaPro-Norm" w:eastAsia="SimSun" w:hAnsi="MetaPro-Norm" w:cs="Times New Roman"/>
          <w:bCs/>
          <w:lang w:val="en-US" w:eastAsia="zh-CN"/>
        </w:rPr>
        <w:t>Economic dependence keeps many survivors of family violence</w:t>
      </w:r>
      <w:r w:rsidR="00DC2664" w:rsidRPr="00CA4020">
        <w:rPr>
          <w:rFonts w:ascii="MetaPro-Norm" w:eastAsia="SimSun" w:hAnsi="MetaPro-Norm" w:cs="Times New Roman"/>
          <w:bCs/>
          <w:lang w:val="en-US" w:eastAsia="zh-CN"/>
        </w:rPr>
        <w:t xml:space="preserve"> </w:t>
      </w:r>
      <w:r w:rsidRPr="00CA4020">
        <w:rPr>
          <w:rFonts w:ascii="MetaPro-Norm" w:eastAsia="SimSun" w:hAnsi="MetaPro-Norm" w:cs="Times New Roman"/>
          <w:bCs/>
          <w:lang w:val="en-US" w:eastAsia="zh-CN"/>
        </w:rPr>
        <w:t>trapped in relationships with their abusers</w:t>
      </w:r>
      <w:r w:rsidR="008E4977" w:rsidRPr="00CA4020">
        <w:rPr>
          <w:rFonts w:ascii="MetaPro-Norm" w:eastAsia="SimSun" w:hAnsi="MetaPro-Norm" w:cs="Times New Roman"/>
          <w:bCs/>
          <w:lang w:val="en-US" w:eastAsia="zh-CN"/>
        </w:rPr>
        <w:t xml:space="preserve">. </w:t>
      </w:r>
      <w:r w:rsidR="00DC2664" w:rsidRPr="00CA4020">
        <w:rPr>
          <w:rFonts w:ascii="MetaPro-Norm" w:eastAsia="SimSun" w:hAnsi="MetaPro-Norm" w:cs="Times New Roman"/>
          <w:bCs/>
          <w:lang w:val="en-US" w:eastAsia="zh-CN"/>
        </w:rPr>
        <w:t xml:space="preserve">Many women have no means of supporting themselves or their children without relying on their abusers. </w:t>
      </w:r>
      <w:r w:rsidRPr="00CA4020">
        <w:rPr>
          <w:rFonts w:ascii="MetaPro-Norm" w:eastAsia="SimSun" w:hAnsi="MetaPro-Norm" w:cs="Times New Roman"/>
          <w:bCs/>
          <w:lang w:val="en-US" w:eastAsia="zh-CN"/>
        </w:rPr>
        <w:t>In Tajikistan, there is no safety net for</w:t>
      </w:r>
      <w:r w:rsidR="00B01B97" w:rsidRPr="00CA4020">
        <w:rPr>
          <w:rFonts w:ascii="MetaPro-Norm" w:eastAsia="SimSun" w:hAnsi="MetaPro-Norm" w:cs="Times New Roman"/>
          <w:bCs/>
          <w:lang w:val="en-US" w:eastAsia="zh-CN"/>
        </w:rPr>
        <w:t xml:space="preserve"> </w:t>
      </w:r>
      <w:r w:rsidRPr="00CA4020">
        <w:rPr>
          <w:rFonts w:ascii="MetaPro-Norm" w:eastAsia="SimSun" w:hAnsi="MetaPro-Norm" w:cs="Times New Roman"/>
          <w:bCs/>
          <w:lang w:val="en-US" w:eastAsia="zh-CN"/>
        </w:rPr>
        <w:t>survivors of domestic violence who need financial support.</w:t>
      </w:r>
    </w:p>
    <w:p w14:paraId="12493E13" w14:textId="01697CF8" w:rsidR="00E03569" w:rsidRPr="00CA4020" w:rsidRDefault="00E03569" w:rsidP="003878B2">
      <w:pPr>
        <w:jc w:val="both"/>
        <w:rPr>
          <w:rFonts w:ascii="MetaPro-Norm" w:eastAsia="SimSun" w:hAnsi="MetaPro-Norm" w:cs="Times New Roman"/>
          <w:bCs/>
          <w:lang w:val="en-US" w:eastAsia="zh-CN"/>
        </w:rPr>
      </w:pPr>
    </w:p>
    <w:p w14:paraId="46EBF449" w14:textId="085BF69F" w:rsidR="001C13DE" w:rsidRPr="00CA4020" w:rsidRDefault="001C13DE" w:rsidP="003878B2">
      <w:pPr>
        <w:jc w:val="both"/>
        <w:rPr>
          <w:rFonts w:ascii="MetaPro-Norm" w:eastAsia="SimSun" w:hAnsi="MetaPro-Norm" w:cs="Times New Roman"/>
          <w:bCs/>
          <w:lang w:val="en-US" w:eastAsia="zh-CN"/>
        </w:rPr>
      </w:pPr>
      <w:r w:rsidRPr="00CA4020">
        <w:rPr>
          <w:rFonts w:ascii="MetaPro-Norm" w:eastAsia="SimSun" w:hAnsi="MetaPro-Norm" w:cs="Times New Roman"/>
          <w:bCs/>
          <w:lang w:val="en-US" w:eastAsia="zh-CN"/>
        </w:rPr>
        <w:t>Mehrangiz M., who has three children, only appealed to the police after her husband had raped and beat her so hard with a shovel that it caused internal bleeding. But rather than pressing for his arrest, she agreed to undergo mediation at a women’s resource center. He was a seasonal migrant in Russia and the breadwinner of the family. He ended up paying a fine, and the criminal charges were dropped, she said. Mehrangiz told Human Rights Watch that she was too financially dependent on him to pursue any other option</w:t>
      </w:r>
      <w:bookmarkStart w:id="1" w:name="_ftnref163"/>
      <w:r w:rsidRPr="00CA4020">
        <w:rPr>
          <w:rFonts w:ascii="MetaPro-Norm" w:eastAsia="SimSun" w:hAnsi="MetaPro-Norm" w:cs="Times New Roman"/>
          <w:bCs/>
          <w:lang w:val="en-US" w:eastAsia="zh-CN"/>
        </w:rPr>
        <w:t>.</w:t>
      </w:r>
      <w:bookmarkEnd w:id="1"/>
      <w:r w:rsidR="00C27C89" w:rsidRPr="00CA4020">
        <w:rPr>
          <w:rStyle w:val="FootnoteReference"/>
          <w:rFonts w:ascii="MetaPro-Norm" w:eastAsia="SimSun" w:hAnsi="MetaPro-Norm" w:cs="Times New Roman"/>
          <w:bCs/>
          <w:lang w:val="en-US" w:eastAsia="zh-CN"/>
        </w:rPr>
        <w:footnoteReference w:id="11"/>
      </w:r>
    </w:p>
    <w:p w14:paraId="716BFAC5" w14:textId="77777777" w:rsidR="00C27C89" w:rsidRPr="00CA4020" w:rsidRDefault="00C27C89" w:rsidP="003878B2">
      <w:pPr>
        <w:jc w:val="both"/>
        <w:rPr>
          <w:rFonts w:ascii="MetaPro-Norm" w:eastAsia="SimSun" w:hAnsi="MetaPro-Norm" w:cs="Times New Roman"/>
          <w:bCs/>
          <w:lang w:val="en-US" w:eastAsia="zh-CN"/>
        </w:rPr>
      </w:pPr>
    </w:p>
    <w:p w14:paraId="22568FC3" w14:textId="52A6CC25" w:rsidR="00C02B0A" w:rsidRPr="00CA4020" w:rsidRDefault="00C02B0A" w:rsidP="003878B2">
      <w:pPr>
        <w:jc w:val="both"/>
        <w:rPr>
          <w:rFonts w:ascii="MetaPro-Norm" w:eastAsia="SimSun" w:hAnsi="MetaPro-Norm" w:cs="Times New Roman"/>
          <w:bCs/>
          <w:lang w:val="en-US" w:eastAsia="zh-CN"/>
        </w:rPr>
      </w:pPr>
      <w:r w:rsidRPr="00CA4020">
        <w:rPr>
          <w:rFonts w:ascii="MetaPro-Norm" w:eastAsia="SimSun" w:hAnsi="MetaPro-Norm" w:cs="Times New Roman"/>
          <w:bCs/>
          <w:lang w:val="en-US" w:eastAsia="zh-CN"/>
        </w:rPr>
        <w:t>Several women said that because their husbands and parents strongly discourage them from taking up any employment outside the home, they are unequipped to find work if they leave their abusive husbands.</w:t>
      </w:r>
    </w:p>
    <w:p w14:paraId="5979DACF" w14:textId="77777777" w:rsidR="001C13DE" w:rsidRPr="00CA4020" w:rsidRDefault="001C13DE" w:rsidP="00031043">
      <w:pPr>
        <w:rPr>
          <w:rFonts w:ascii="MetaPro-Norm" w:eastAsia="SimSun" w:hAnsi="MetaPro-Norm" w:cs="Times New Roman"/>
          <w:bCs/>
          <w:lang w:val="en-US" w:eastAsia="zh-CN"/>
        </w:rPr>
      </w:pPr>
    </w:p>
    <w:p w14:paraId="0CBFEEBE" w14:textId="77777777" w:rsidR="003541C5" w:rsidRDefault="003541C5" w:rsidP="00E2149F">
      <w:pPr>
        <w:rPr>
          <w:rFonts w:ascii="MetaPro-Norm" w:hAnsi="MetaPro-Norm"/>
          <w:b/>
          <w:bCs/>
          <w:iCs/>
        </w:rPr>
      </w:pPr>
    </w:p>
    <w:p w14:paraId="58DD3B95" w14:textId="77777777" w:rsidR="003541C5" w:rsidRDefault="003541C5" w:rsidP="00E2149F">
      <w:pPr>
        <w:rPr>
          <w:rFonts w:ascii="MetaPro-Norm" w:hAnsi="MetaPro-Norm"/>
          <w:b/>
          <w:bCs/>
          <w:iCs/>
        </w:rPr>
      </w:pPr>
    </w:p>
    <w:p w14:paraId="6AB3F953" w14:textId="77777777" w:rsidR="003541C5" w:rsidRDefault="003541C5" w:rsidP="00E2149F">
      <w:pPr>
        <w:rPr>
          <w:rFonts w:ascii="MetaPro-Norm" w:hAnsi="MetaPro-Norm"/>
          <w:b/>
          <w:bCs/>
          <w:iCs/>
        </w:rPr>
      </w:pPr>
    </w:p>
    <w:p w14:paraId="006F8188" w14:textId="583E579D" w:rsidR="00E2149F" w:rsidRPr="00FE1FB3" w:rsidRDefault="00E2149F" w:rsidP="00E2149F">
      <w:pPr>
        <w:rPr>
          <w:rFonts w:ascii="MetaPro-Norm" w:hAnsi="MetaPro-Norm"/>
          <w:b/>
          <w:bCs/>
          <w:iCs/>
        </w:rPr>
      </w:pPr>
      <w:r w:rsidRPr="00FE1FB3">
        <w:rPr>
          <w:rFonts w:ascii="MetaPro-Norm" w:hAnsi="MetaPro-Norm"/>
          <w:b/>
          <w:bCs/>
          <w:iCs/>
        </w:rPr>
        <w:t xml:space="preserve">We encourage the </w:t>
      </w:r>
      <w:r w:rsidR="00C86D32">
        <w:rPr>
          <w:rFonts w:ascii="MetaPro-Norm" w:hAnsi="MetaPro-Norm"/>
          <w:b/>
          <w:bCs/>
          <w:iCs/>
        </w:rPr>
        <w:t>c</w:t>
      </w:r>
      <w:r w:rsidRPr="00FE1FB3">
        <w:rPr>
          <w:rFonts w:ascii="MetaPro-Norm" w:hAnsi="MetaPro-Norm"/>
          <w:b/>
          <w:bCs/>
          <w:iCs/>
        </w:rPr>
        <w:t>ommittee to pose the following questions</w:t>
      </w:r>
      <w:r w:rsidRPr="00FE1FB3">
        <w:rPr>
          <w:rFonts w:ascii="MetaPro-Norm" w:hAnsi="MetaPro-Norm"/>
          <w:b/>
          <w:bCs/>
          <w:iCs/>
          <w:color w:val="000000" w:themeColor="text1"/>
        </w:rPr>
        <w:t xml:space="preserve"> to the government: </w:t>
      </w:r>
    </w:p>
    <w:p w14:paraId="1C4B85A4" w14:textId="38BCDA14" w:rsidR="00FF4EBA" w:rsidRPr="00CA4020" w:rsidRDefault="00FF4EBA" w:rsidP="008B3F46">
      <w:pPr>
        <w:spacing w:before="120"/>
        <w:rPr>
          <w:rFonts w:ascii="MetaPro-Norm" w:hAnsi="MetaPro-Norm"/>
          <w:i/>
          <w:iCs/>
        </w:rPr>
      </w:pPr>
      <w:r w:rsidRPr="00CA4020">
        <w:rPr>
          <w:rFonts w:ascii="MetaPro-Norm" w:hAnsi="MetaPro-Norm" w:cstheme="minorBidi"/>
          <w:iCs/>
          <w:lang w:val="en-US" w:eastAsia="en-US"/>
        </w:rPr>
        <w:t xml:space="preserve">What concrete </w:t>
      </w:r>
      <w:r w:rsidRPr="00CA4020">
        <w:rPr>
          <w:rFonts w:ascii="MetaPro-Norm" w:hAnsi="MetaPro-Norm" w:cstheme="minorBidi"/>
          <w:iCs/>
          <w:lang w:eastAsia="en-US"/>
        </w:rPr>
        <w:t>steps has the government taken to</w:t>
      </w:r>
      <w:r w:rsidR="007854A0">
        <w:rPr>
          <w:rFonts w:ascii="MetaPro-Norm" w:hAnsi="MetaPro-Norm" w:cstheme="minorBidi"/>
          <w:iCs/>
          <w:lang w:eastAsia="en-US"/>
        </w:rPr>
        <w:t>:</w:t>
      </w:r>
    </w:p>
    <w:p w14:paraId="1EF944DA" w14:textId="2C86996E" w:rsidR="00146848" w:rsidRPr="00CA4020" w:rsidRDefault="00C876ED" w:rsidP="005C44F6">
      <w:pPr>
        <w:numPr>
          <w:ilvl w:val="0"/>
          <w:numId w:val="6"/>
        </w:numPr>
        <w:spacing w:before="120"/>
        <w:jc w:val="both"/>
        <w:rPr>
          <w:rFonts w:ascii="MetaPro-Norm" w:hAnsi="MetaPro-Norm" w:cstheme="minorBidi"/>
          <w:iCs/>
          <w:lang w:eastAsia="en-US"/>
        </w:rPr>
      </w:pPr>
      <w:r>
        <w:rPr>
          <w:rFonts w:ascii="MetaPro-Norm" w:hAnsi="MetaPro-Norm" w:cstheme="minorBidi"/>
          <w:iCs/>
          <w:lang w:eastAsia="en-US"/>
        </w:rPr>
        <w:t>E</w:t>
      </w:r>
      <w:r w:rsidR="00146848" w:rsidRPr="00CA4020">
        <w:rPr>
          <w:rFonts w:ascii="MetaPro-Norm" w:hAnsi="MetaPro-Norm" w:cstheme="minorBidi"/>
          <w:iCs/>
          <w:lang w:eastAsia="en-US"/>
        </w:rPr>
        <w:t>nforce and monitor the Family Violence Law and the state program for the prevention of domestic violence for the period 2014–2023</w:t>
      </w:r>
      <w:r w:rsidR="00FF4EBA" w:rsidRPr="00CA4020">
        <w:rPr>
          <w:rFonts w:ascii="MetaPro-Norm" w:hAnsi="MetaPro-Norm" w:cstheme="minorBidi"/>
          <w:iCs/>
          <w:lang w:eastAsia="en-US"/>
        </w:rPr>
        <w:t>?</w:t>
      </w:r>
    </w:p>
    <w:p w14:paraId="5BD32135" w14:textId="063BF790" w:rsidR="00146848" w:rsidRPr="00CA4020" w:rsidRDefault="00C876ED" w:rsidP="003878B2">
      <w:pPr>
        <w:numPr>
          <w:ilvl w:val="0"/>
          <w:numId w:val="6"/>
        </w:numPr>
        <w:jc w:val="both"/>
        <w:rPr>
          <w:rFonts w:ascii="MetaPro-Norm" w:hAnsi="MetaPro-Norm" w:cstheme="minorBidi"/>
          <w:iCs/>
          <w:lang w:eastAsia="en-US"/>
        </w:rPr>
      </w:pPr>
      <w:r>
        <w:rPr>
          <w:rFonts w:ascii="MetaPro-Norm" w:hAnsi="MetaPro-Norm" w:cstheme="minorBidi"/>
          <w:iCs/>
          <w:lang w:val="en-US" w:eastAsia="en-US"/>
        </w:rPr>
        <w:t>E</w:t>
      </w:r>
      <w:r w:rsidR="00146848" w:rsidRPr="00CA4020">
        <w:rPr>
          <w:rFonts w:ascii="MetaPro-Norm" w:hAnsi="MetaPro-Norm" w:cstheme="minorBidi"/>
          <w:iCs/>
          <w:lang w:eastAsia="en-US"/>
        </w:rPr>
        <w:t xml:space="preserve">nsure that law enforcement officers consistently register </w:t>
      </w:r>
      <w:r w:rsidR="00FF4EBA" w:rsidRPr="00CA4020">
        <w:rPr>
          <w:rFonts w:ascii="MetaPro-Norm" w:hAnsi="MetaPro-Norm" w:cstheme="minorBidi"/>
          <w:iCs/>
          <w:lang w:eastAsia="en-US"/>
        </w:rPr>
        <w:t xml:space="preserve">and investigate </w:t>
      </w:r>
      <w:r w:rsidR="00146848" w:rsidRPr="00CA4020">
        <w:rPr>
          <w:rFonts w:ascii="MetaPro-Norm" w:hAnsi="MetaPro-Norm" w:cstheme="minorBidi"/>
          <w:iCs/>
          <w:lang w:eastAsia="en-US"/>
        </w:rPr>
        <w:t>domestic violence complaints, that perpetrators are prosecuted</w:t>
      </w:r>
      <w:r w:rsidR="00B8634C" w:rsidRPr="00CA4020">
        <w:rPr>
          <w:rFonts w:ascii="MetaPro-Norm" w:hAnsi="MetaPro-Norm" w:cstheme="minorBidi"/>
          <w:iCs/>
          <w:lang w:val="en-US" w:eastAsia="en-US"/>
        </w:rPr>
        <w:t xml:space="preserve"> and held accountable</w:t>
      </w:r>
      <w:r w:rsidR="00146848" w:rsidRPr="00CA4020">
        <w:rPr>
          <w:rFonts w:ascii="MetaPro-Norm" w:hAnsi="MetaPro-Norm" w:cstheme="minorBidi"/>
          <w:iCs/>
          <w:lang w:eastAsia="en-US"/>
        </w:rPr>
        <w:t xml:space="preserve">, and that victims have </w:t>
      </w:r>
      <w:r w:rsidR="00EF3C19" w:rsidRPr="00CA4020">
        <w:rPr>
          <w:rFonts w:ascii="MetaPro-Norm" w:hAnsi="MetaPro-Norm" w:cstheme="minorBidi"/>
          <w:iCs/>
          <w:lang w:val="en-US" w:eastAsia="en-US"/>
        </w:rPr>
        <w:t>streamline</w:t>
      </w:r>
      <w:r>
        <w:rPr>
          <w:rFonts w:ascii="MetaPro-Norm" w:hAnsi="MetaPro-Norm" w:cstheme="minorBidi"/>
          <w:iCs/>
          <w:lang w:val="en-US" w:eastAsia="en-US"/>
        </w:rPr>
        <w:t>d</w:t>
      </w:r>
      <w:r w:rsidR="00EF3C19" w:rsidRPr="00CA4020">
        <w:rPr>
          <w:rFonts w:ascii="MetaPro-Norm" w:hAnsi="MetaPro-Norm" w:cstheme="minorBidi"/>
          <w:iCs/>
          <w:lang w:val="en-US" w:eastAsia="en-US"/>
        </w:rPr>
        <w:t xml:space="preserve"> </w:t>
      </w:r>
      <w:r w:rsidR="00146848" w:rsidRPr="00CA4020">
        <w:rPr>
          <w:rFonts w:ascii="MetaPro-Norm" w:hAnsi="MetaPro-Norm" w:cstheme="minorBidi"/>
          <w:iCs/>
          <w:lang w:eastAsia="en-US"/>
        </w:rPr>
        <w:t xml:space="preserve">access </w:t>
      </w:r>
      <w:r w:rsidR="00EF3C19" w:rsidRPr="00CA4020">
        <w:rPr>
          <w:rFonts w:ascii="MetaPro-Norm" w:hAnsi="MetaPro-Norm" w:cstheme="minorBidi"/>
          <w:iCs/>
          <w:lang w:val="en-US" w:eastAsia="en-US"/>
        </w:rPr>
        <w:t xml:space="preserve">to services and protection and </w:t>
      </w:r>
      <w:r w:rsidR="00146848" w:rsidRPr="00CA4020">
        <w:rPr>
          <w:rFonts w:ascii="MetaPro-Norm" w:hAnsi="MetaPro-Norm" w:cstheme="minorBidi"/>
          <w:iCs/>
          <w:lang w:eastAsia="en-US"/>
        </w:rPr>
        <w:t>to effective remedies, including compensation</w:t>
      </w:r>
      <w:r w:rsidR="00FF4EBA" w:rsidRPr="00CA4020">
        <w:rPr>
          <w:rFonts w:ascii="MetaPro-Norm" w:hAnsi="MetaPro-Norm" w:cstheme="minorBidi"/>
          <w:iCs/>
          <w:lang w:eastAsia="en-US"/>
        </w:rPr>
        <w:t>?</w:t>
      </w:r>
    </w:p>
    <w:p w14:paraId="4DADC911" w14:textId="52A58894" w:rsidR="00146848" w:rsidRPr="00CA4020" w:rsidRDefault="003337C2" w:rsidP="003878B2">
      <w:pPr>
        <w:numPr>
          <w:ilvl w:val="0"/>
          <w:numId w:val="6"/>
        </w:numPr>
        <w:jc w:val="both"/>
        <w:rPr>
          <w:rFonts w:ascii="MetaPro-Norm" w:hAnsi="MetaPro-Norm" w:cstheme="minorBidi"/>
          <w:iCs/>
          <w:lang w:eastAsia="en-US"/>
        </w:rPr>
      </w:pPr>
      <w:r>
        <w:rPr>
          <w:rFonts w:ascii="MetaPro-Norm" w:hAnsi="MetaPro-Norm" w:cstheme="minorBidi"/>
          <w:iCs/>
          <w:lang w:val="en-US" w:eastAsia="en-US"/>
        </w:rPr>
        <w:t>P</w:t>
      </w:r>
      <w:r w:rsidR="00146848" w:rsidRPr="00CA4020">
        <w:rPr>
          <w:rFonts w:ascii="MetaPro-Norm" w:hAnsi="MetaPro-Norm" w:cstheme="minorBidi"/>
          <w:iCs/>
          <w:lang w:eastAsia="en-US"/>
        </w:rPr>
        <w:t xml:space="preserve">rovide targeted, mandatory capacity-building activities </w:t>
      </w:r>
      <w:r w:rsidR="00EF3C19" w:rsidRPr="00CA4020">
        <w:rPr>
          <w:rFonts w:ascii="MetaPro-Norm" w:hAnsi="MetaPro-Norm" w:cstheme="minorBidi"/>
          <w:iCs/>
          <w:lang w:val="en-US" w:eastAsia="en-US"/>
        </w:rPr>
        <w:t xml:space="preserve">and trainings </w:t>
      </w:r>
      <w:r w:rsidR="00146848" w:rsidRPr="00CA4020">
        <w:rPr>
          <w:rFonts w:ascii="MetaPro-Norm" w:hAnsi="MetaPro-Norm" w:cstheme="minorBidi"/>
          <w:iCs/>
          <w:lang w:eastAsia="en-US"/>
        </w:rPr>
        <w:t>on the prevention and identification of, and the response to, all forms of gender-based violence, including domestic violence, for law enforcement and judicial officials, health and social workers, and other professionals who deal with gender-based violence and interact with victims, including in rural areas;</w:t>
      </w:r>
    </w:p>
    <w:p w14:paraId="1F0770B6" w14:textId="3CE82C3B" w:rsidR="00146848" w:rsidRPr="00CA4020" w:rsidRDefault="003337C2" w:rsidP="003878B2">
      <w:pPr>
        <w:numPr>
          <w:ilvl w:val="0"/>
          <w:numId w:val="6"/>
        </w:numPr>
        <w:jc w:val="both"/>
        <w:rPr>
          <w:rFonts w:ascii="MetaPro-Norm" w:hAnsi="MetaPro-Norm" w:cstheme="minorBidi"/>
          <w:iCs/>
          <w:lang w:eastAsia="en-US"/>
        </w:rPr>
      </w:pPr>
      <w:r>
        <w:rPr>
          <w:rFonts w:ascii="MetaPro-Norm" w:hAnsi="MetaPro-Norm" w:cstheme="minorBidi"/>
          <w:iCs/>
          <w:lang w:eastAsia="en-US"/>
        </w:rPr>
        <w:t>R</w:t>
      </w:r>
      <w:r w:rsidR="00146848" w:rsidRPr="00CA4020">
        <w:rPr>
          <w:rFonts w:ascii="MetaPro-Norm" w:hAnsi="MetaPro-Norm" w:cstheme="minorBidi"/>
          <w:iCs/>
          <w:lang w:eastAsia="en-US"/>
        </w:rPr>
        <w:t>aise public awareness of all forms of gender-based violence, of available services, how to access them, and of appropriate action by the authorities, including the police and domestic courts, and monitor such activities and assess their impact</w:t>
      </w:r>
      <w:r w:rsidR="00FF4EBA" w:rsidRPr="00CA4020">
        <w:rPr>
          <w:rFonts w:ascii="MetaPro-Norm" w:hAnsi="MetaPro-Norm" w:cstheme="minorBidi"/>
          <w:iCs/>
          <w:lang w:eastAsia="en-US"/>
        </w:rPr>
        <w:t>?</w:t>
      </w:r>
    </w:p>
    <w:p w14:paraId="7B7BC04B" w14:textId="4CB46689" w:rsidR="00146848" w:rsidRPr="00CA4020" w:rsidRDefault="003337C2" w:rsidP="003878B2">
      <w:pPr>
        <w:numPr>
          <w:ilvl w:val="0"/>
          <w:numId w:val="6"/>
        </w:numPr>
        <w:jc w:val="both"/>
        <w:rPr>
          <w:rFonts w:ascii="MetaPro-Norm" w:hAnsi="MetaPro-Norm" w:cstheme="minorBidi"/>
          <w:iCs/>
          <w:lang w:eastAsia="en-US"/>
        </w:rPr>
      </w:pPr>
      <w:r>
        <w:rPr>
          <w:rFonts w:ascii="MetaPro-Norm" w:hAnsi="MetaPro-Norm" w:cstheme="minorBidi"/>
          <w:iCs/>
          <w:lang w:eastAsia="en-US"/>
        </w:rPr>
        <w:t>I</w:t>
      </w:r>
      <w:r w:rsidR="00146848" w:rsidRPr="00CA4020">
        <w:rPr>
          <w:rFonts w:ascii="MetaPro-Norm" w:hAnsi="MetaPro-Norm" w:cstheme="minorBidi"/>
          <w:iCs/>
          <w:lang w:eastAsia="en-US"/>
        </w:rPr>
        <w:t>mplement legislation prohibiting religious marriages without a state registration certificate</w:t>
      </w:r>
      <w:r w:rsidR="00FF4EBA" w:rsidRPr="00CA4020">
        <w:rPr>
          <w:rFonts w:ascii="MetaPro-Norm" w:hAnsi="MetaPro-Norm" w:cstheme="minorBidi"/>
          <w:iCs/>
          <w:lang w:eastAsia="en-US"/>
        </w:rPr>
        <w:t>?</w:t>
      </w:r>
      <w:r w:rsidR="00146848" w:rsidRPr="00CA4020">
        <w:rPr>
          <w:rFonts w:ascii="MetaPro-Norm" w:hAnsi="MetaPro-Norm" w:cstheme="minorBidi"/>
          <w:iCs/>
          <w:lang w:eastAsia="en-US"/>
        </w:rPr>
        <w:t xml:space="preserve"> </w:t>
      </w:r>
      <w:r w:rsidR="00FF4EBA" w:rsidRPr="00CA4020">
        <w:rPr>
          <w:rFonts w:ascii="MetaPro-Norm" w:hAnsi="MetaPro-Norm" w:cstheme="minorBidi"/>
          <w:iCs/>
          <w:lang w:eastAsia="en-US"/>
        </w:rPr>
        <w:t xml:space="preserve">We have called on the government to provide </w:t>
      </w:r>
      <w:r w:rsidR="00146848" w:rsidRPr="00CA4020">
        <w:rPr>
          <w:rFonts w:ascii="MetaPro-Norm" w:hAnsi="MetaPro-Norm" w:cstheme="minorBidi"/>
          <w:iCs/>
          <w:lang w:eastAsia="en-US"/>
        </w:rPr>
        <w:t xml:space="preserve">penalties for religious officials who perform marriages without such a certificate, </w:t>
      </w:r>
      <w:r w:rsidR="00FF4EBA" w:rsidRPr="00CA4020">
        <w:rPr>
          <w:rFonts w:ascii="MetaPro-Norm" w:hAnsi="MetaPro-Norm" w:cstheme="minorBidi"/>
          <w:iCs/>
          <w:lang w:eastAsia="en-US"/>
        </w:rPr>
        <w:t xml:space="preserve">to require </w:t>
      </w:r>
      <w:r w:rsidR="00146848" w:rsidRPr="00CA4020">
        <w:rPr>
          <w:rFonts w:ascii="MetaPro-Norm" w:hAnsi="MetaPro-Norm" w:cstheme="minorBidi"/>
          <w:iCs/>
          <w:lang w:eastAsia="en-US"/>
        </w:rPr>
        <w:t xml:space="preserve">verification of age and express consent, in private, of both parties, </w:t>
      </w:r>
      <w:r w:rsidR="00FF4EBA" w:rsidRPr="00CA4020">
        <w:rPr>
          <w:rFonts w:ascii="MetaPro-Norm" w:hAnsi="MetaPro-Norm" w:cstheme="minorBidi"/>
          <w:iCs/>
          <w:lang w:eastAsia="en-US"/>
        </w:rPr>
        <w:t>and</w:t>
      </w:r>
      <w:r w:rsidR="00146848" w:rsidRPr="00CA4020">
        <w:rPr>
          <w:rFonts w:ascii="MetaPro-Norm" w:hAnsi="MetaPro-Norm" w:cstheme="minorBidi"/>
          <w:iCs/>
          <w:lang w:eastAsia="en-US"/>
        </w:rPr>
        <w:t xml:space="preserve"> that neither party is currently married, and </w:t>
      </w:r>
      <w:r w:rsidR="00FF4EBA" w:rsidRPr="00CA4020">
        <w:rPr>
          <w:rFonts w:ascii="MetaPro-Norm" w:hAnsi="MetaPro-Norm" w:cstheme="minorBidi"/>
          <w:iCs/>
          <w:lang w:eastAsia="en-US"/>
        </w:rPr>
        <w:t xml:space="preserve">to </w:t>
      </w:r>
      <w:r w:rsidR="00146848" w:rsidRPr="00CA4020">
        <w:rPr>
          <w:rFonts w:ascii="MetaPro-Norm" w:hAnsi="MetaPro-Norm" w:cstheme="minorBidi"/>
          <w:iCs/>
          <w:lang w:eastAsia="en-US"/>
        </w:rPr>
        <w:t xml:space="preserve">urge religious groups and leaders to adhere to </w:t>
      </w:r>
      <w:r w:rsidR="00FF4EBA" w:rsidRPr="00CA4020">
        <w:rPr>
          <w:rFonts w:ascii="MetaPro-Norm" w:hAnsi="MetaPro-Norm" w:cstheme="minorBidi"/>
          <w:iCs/>
          <w:lang w:eastAsia="en-US"/>
        </w:rPr>
        <w:t>such requirements</w:t>
      </w:r>
      <w:r w:rsidR="00146848" w:rsidRPr="00CA4020">
        <w:rPr>
          <w:rFonts w:ascii="MetaPro-Norm" w:hAnsi="MetaPro-Norm" w:cstheme="minorBidi"/>
          <w:iCs/>
          <w:lang w:val="en-US" w:eastAsia="en-US"/>
        </w:rPr>
        <w:t>.</w:t>
      </w:r>
    </w:p>
    <w:p w14:paraId="68A6D2DE" w14:textId="77777777" w:rsidR="0057248C" w:rsidRPr="00CA4020" w:rsidRDefault="0057248C" w:rsidP="0057248C">
      <w:pPr>
        <w:ind w:left="720"/>
        <w:rPr>
          <w:rFonts w:ascii="MetaPro-Norm" w:eastAsia="SimSun" w:hAnsi="MetaPro-Norm" w:cs="Times New Roman"/>
          <w:lang w:val="en-US" w:eastAsia="zh-CN"/>
        </w:rPr>
      </w:pPr>
    </w:p>
    <w:p w14:paraId="62F48E1A" w14:textId="7E415916" w:rsidR="0057248C" w:rsidRPr="00C86D32" w:rsidRDefault="0057248C" w:rsidP="0057248C">
      <w:pPr>
        <w:rPr>
          <w:rFonts w:ascii="MetaPro-Norm" w:hAnsi="MetaPro-Norm"/>
          <w:b/>
          <w:bCs/>
        </w:rPr>
      </w:pPr>
      <w:r w:rsidRPr="00C86D32">
        <w:rPr>
          <w:rFonts w:ascii="MetaPro-Norm" w:hAnsi="MetaPro-Norm"/>
          <w:b/>
          <w:bCs/>
        </w:rPr>
        <w:t xml:space="preserve">We encourage the </w:t>
      </w:r>
      <w:r w:rsidR="00C86D32">
        <w:rPr>
          <w:rFonts w:ascii="MetaPro-Norm" w:hAnsi="MetaPro-Norm"/>
          <w:b/>
          <w:bCs/>
        </w:rPr>
        <w:t>c</w:t>
      </w:r>
      <w:r w:rsidRPr="00C86D32">
        <w:rPr>
          <w:rFonts w:ascii="MetaPro-Norm" w:hAnsi="MetaPro-Norm"/>
          <w:b/>
          <w:bCs/>
        </w:rPr>
        <w:t>ommittee to make the following recommendations to the government:</w:t>
      </w:r>
    </w:p>
    <w:p w14:paraId="6A34FC23" w14:textId="0BDB4277" w:rsidR="0057248C" w:rsidRPr="00CA4020" w:rsidRDefault="0057248C" w:rsidP="0057248C">
      <w:pPr>
        <w:rPr>
          <w:rFonts w:ascii="MetaPro-Norm" w:hAnsi="MetaPro-Norm"/>
        </w:rPr>
      </w:pPr>
    </w:p>
    <w:p w14:paraId="7B0F22AF" w14:textId="40678BDB" w:rsidR="00146848" w:rsidRPr="00CA4020" w:rsidRDefault="00146848" w:rsidP="003D6C77">
      <w:pPr>
        <w:numPr>
          <w:ilvl w:val="0"/>
          <w:numId w:val="6"/>
        </w:numPr>
        <w:rPr>
          <w:rFonts w:ascii="MetaPro-Norm" w:hAnsi="MetaPro-Norm"/>
        </w:rPr>
      </w:pPr>
      <w:r w:rsidRPr="00CA4020">
        <w:rPr>
          <w:rFonts w:ascii="MetaPro-Norm" w:hAnsi="MetaPro-Norm"/>
        </w:rPr>
        <w:t xml:space="preserve">Adopt or amend legislation to criminalize all forms of gender-based violence, including domestic violence, marital rape, and sexual assault within and outside marriage and exempt those who have been convicted of these violent crimes from benefitting from </w:t>
      </w:r>
      <w:r w:rsidR="00C86D32" w:rsidRPr="00CA4020">
        <w:rPr>
          <w:rFonts w:ascii="MetaPro-Norm" w:hAnsi="MetaPro-Norm"/>
        </w:rPr>
        <w:t>amnesties</w:t>
      </w:r>
      <w:r w:rsidR="00C86D32">
        <w:rPr>
          <w:rFonts w:ascii="MetaPro-Norm" w:hAnsi="MetaPro-Norm"/>
        </w:rPr>
        <w:t>;</w:t>
      </w:r>
    </w:p>
    <w:p w14:paraId="72AB58BF" w14:textId="292314EA" w:rsidR="00146848" w:rsidRPr="00CA4020" w:rsidRDefault="00146848" w:rsidP="003D6C77">
      <w:pPr>
        <w:numPr>
          <w:ilvl w:val="0"/>
          <w:numId w:val="6"/>
        </w:numPr>
        <w:rPr>
          <w:rFonts w:ascii="MetaPro-Norm" w:hAnsi="MetaPro-Norm"/>
        </w:rPr>
      </w:pPr>
      <w:r w:rsidRPr="00CA4020">
        <w:rPr>
          <w:rFonts w:ascii="MetaPro-Norm" w:hAnsi="MetaPro-Norm"/>
        </w:rPr>
        <w:t>Publish</w:t>
      </w:r>
      <w:r w:rsidR="00EB66D7" w:rsidRPr="00CA4020">
        <w:rPr>
          <w:rFonts w:ascii="MetaPro-Norm" w:hAnsi="MetaPro-Norm"/>
          <w:lang w:val="en-US"/>
        </w:rPr>
        <w:t xml:space="preserve"> comprehensive</w:t>
      </w:r>
      <w:r w:rsidR="00EB66D7" w:rsidRPr="00CA4020">
        <w:t xml:space="preserve"> </w:t>
      </w:r>
      <w:r w:rsidRPr="00CA4020">
        <w:rPr>
          <w:rFonts w:ascii="MetaPro-Norm" w:hAnsi="MetaPro-Norm"/>
        </w:rPr>
        <w:t>guidelines on implementation of the Family Violence Law that clearly define the roles and responsibilities of, and improve coordination between, government agencies responsible for implementing the Family Violence Law, such as the Committee on Women and the Family, the Ministries of Health, Justice and Internal Affairs, and the referral system for victims;</w:t>
      </w:r>
    </w:p>
    <w:p w14:paraId="54CFCAE2" w14:textId="41E6275B" w:rsidR="00146848" w:rsidRPr="00CA4020" w:rsidRDefault="00146848" w:rsidP="003D6C77">
      <w:pPr>
        <w:numPr>
          <w:ilvl w:val="0"/>
          <w:numId w:val="6"/>
        </w:numPr>
        <w:rPr>
          <w:rFonts w:ascii="MetaPro-Norm" w:hAnsi="MetaPro-Norm"/>
        </w:rPr>
      </w:pPr>
      <w:r w:rsidRPr="00CA4020">
        <w:rPr>
          <w:rFonts w:ascii="MetaPro-Norm" w:hAnsi="MetaPro-Norm"/>
          <w:lang w:val="en-US"/>
        </w:rPr>
        <w:t xml:space="preserve">Ensure </w:t>
      </w:r>
      <w:r w:rsidRPr="00CA4020">
        <w:rPr>
          <w:rFonts w:ascii="MetaPro-Norm" w:hAnsi="MetaPro-Norm"/>
        </w:rPr>
        <w:t>the Committee on Women and the Family and the Ministries of Health, Justice and Internal Affairs have dedicated resources to implement the Family Violence Law</w:t>
      </w:r>
      <w:r w:rsidR="0057720B" w:rsidRPr="00CA4020">
        <w:rPr>
          <w:rFonts w:ascii="MetaPro-Norm" w:hAnsi="MetaPro-Norm"/>
          <w:lang w:val="en-US"/>
        </w:rPr>
        <w:t>;</w:t>
      </w:r>
    </w:p>
    <w:p w14:paraId="21C00B86" w14:textId="2CF69637" w:rsidR="00146848" w:rsidRPr="00CA4020" w:rsidRDefault="00146848" w:rsidP="003D6C77">
      <w:pPr>
        <w:numPr>
          <w:ilvl w:val="0"/>
          <w:numId w:val="6"/>
        </w:numPr>
        <w:rPr>
          <w:rFonts w:ascii="MetaPro-Norm" w:hAnsi="MetaPro-Norm"/>
        </w:rPr>
      </w:pPr>
      <w:r w:rsidRPr="00CA4020">
        <w:rPr>
          <w:rFonts w:ascii="MetaPro-Norm" w:hAnsi="MetaPro-Norm"/>
        </w:rPr>
        <w:t>Adopt pro-arrest and pro-prosecution policies towards perpetrators of domestic abuse in line with the 2014 recommendations by the UN Office on Drugs and Crime;</w:t>
      </w:r>
    </w:p>
    <w:p w14:paraId="5347DC09" w14:textId="15DA0FDC" w:rsidR="00146848" w:rsidRPr="00CA4020" w:rsidRDefault="00146848" w:rsidP="003D6C77">
      <w:pPr>
        <w:numPr>
          <w:ilvl w:val="0"/>
          <w:numId w:val="6"/>
        </w:numPr>
        <w:rPr>
          <w:rFonts w:ascii="MetaPro-Norm" w:hAnsi="MetaPro-Norm"/>
        </w:rPr>
      </w:pPr>
      <w:r w:rsidRPr="00CA4020">
        <w:rPr>
          <w:rFonts w:ascii="MetaPro-Norm" w:hAnsi="MetaPro-Norm"/>
          <w:lang w:val="en-US"/>
        </w:rPr>
        <w:t>E</w:t>
      </w:r>
      <w:r w:rsidRPr="00CA4020">
        <w:rPr>
          <w:rFonts w:ascii="MetaPro-Norm" w:hAnsi="MetaPro-Norm"/>
        </w:rPr>
        <w:t>nsur</w:t>
      </w:r>
      <w:r w:rsidRPr="00CA4020">
        <w:rPr>
          <w:rFonts w:ascii="MetaPro-Norm" w:hAnsi="MetaPro-Norm"/>
          <w:lang w:val="en-US"/>
        </w:rPr>
        <w:t xml:space="preserve">e </w:t>
      </w:r>
      <w:r w:rsidRPr="00CA4020">
        <w:rPr>
          <w:rFonts w:ascii="MetaPro-Norm" w:hAnsi="MetaPro-Norm"/>
        </w:rPr>
        <w:t>effective access to free legal aid, including for court representation, as well as medical, psychological and psychosocial assistance, shelter, rehabilitation and reintegration programs, for all women and girls who are victims of domestic violence, including in rural areas;</w:t>
      </w:r>
    </w:p>
    <w:p w14:paraId="2035E040" w14:textId="51C83619" w:rsidR="00146848" w:rsidRPr="00CA4020" w:rsidRDefault="00146848" w:rsidP="003D6C77">
      <w:pPr>
        <w:numPr>
          <w:ilvl w:val="0"/>
          <w:numId w:val="6"/>
        </w:numPr>
        <w:rPr>
          <w:rFonts w:ascii="MetaPro-Norm" w:hAnsi="MetaPro-Norm"/>
        </w:rPr>
      </w:pPr>
      <w:r w:rsidRPr="00CA4020">
        <w:rPr>
          <w:rFonts w:ascii="MetaPro-Norm" w:hAnsi="MetaPro-Norm"/>
        </w:rPr>
        <w:t>Collect and publish data on cases of all forms of violence against women and girls disaggregated by type of violence, perpetrator, age and ethnicity of the victim, and on the number of complaints received, investigations carried out, prosecutions conducted and sentences imposed on perpetrators; and on the number of victims who have received such assistance, disaggregated by age, ethnicity, and geographical area;</w:t>
      </w:r>
    </w:p>
    <w:p w14:paraId="74D8B17C" w14:textId="30B32818" w:rsidR="00146848" w:rsidRPr="00CA4020" w:rsidRDefault="00146848" w:rsidP="005C44F6">
      <w:pPr>
        <w:numPr>
          <w:ilvl w:val="0"/>
          <w:numId w:val="6"/>
        </w:numPr>
        <w:rPr>
          <w:rFonts w:ascii="MetaPro-Norm" w:hAnsi="MetaPro-Norm"/>
        </w:rPr>
      </w:pPr>
      <w:r w:rsidRPr="00CA4020">
        <w:rPr>
          <w:rFonts w:ascii="MetaPro-Norm" w:hAnsi="MetaPro-Norm"/>
        </w:rPr>
        <w:t xml:space="preserve">Amend existing legislation to provide that courts have discretion to rule that the </w:t>
      </w:r>
      <w:r w:rsidRPr="00CA4020">
        <w:rPr>
          <w:rFonts w:ascii="MetaPro-Norm" w:hAnsi="MetaPro-Norm"/>
          <w:i/>
          <w:iCs/>
        </w:rPr>
        <w:t>Vselenie</w:t>
      </w:r>
      <w:r w:rsidRPr="00CA4020">
        <w:rPr>
          <w:rFonts w:ascii="MetaPro-Norm" w:hAnsi="MetaPro-Norm"/>
        </w:rPr>
        <w:t xml:space="preserve"> remedy, </w:t>
      </w:r>
      <w:r w:rsidR="00F3711D" w:rsidRPr="00CA4020">
        <w:rPr>
          <w:rFonts w:ascii="MetaPro-Norm" w:hAnsi="MetaPro-Norm"/>
        </w:rPr>
        <w:t xml:space="preserve">under which courts grant </w:t>
      </w:r>
      <w:r w:rsidRPr="00CA4020">
        <w:rPr>
          <w:rFonts w:ascii="MetaPro-Norm" w:hAnsi="MetaPro-Norm"/>
        </w:rPr>
        <w:t xml:space="preserve">a woman </w:t>
      </w:r>
      <w:r w:rsidR="00F3711D" w:rsidRPr="00CA4020">
        <w:rPr>
          <w:rFonts w:ascii="MetaPro-Norm" w:hAnsi="MetaPro-Norm"/>
        </w:rPr>
        <w:t>a claim to live</w:t>
      </w:r>
      <w:r w:rsidRPr="00CA4020">
        <w:rPr>
          <w:rFonts w:ascii="MetaPro-Norm" w:hAnsi="MetaPro-Norm"/>
        </w:rPr>
        <w:t xml:space="preserve"> in the home of her former in-laws, </w:t>
      </w:r>
      <w:r w:rsidR="00F3711D" w:rsidRPr="00CA4020">
        <w:rPr>
          <w:rFonts w:ascii="MetaPro-Norm" w:hAnsi="MetaPro-Norm"/>
        </w:rPr>
        <w:t xml:space="preserve">does not have to be applied in cases where the woman is a survivor of domestic violence </w:t>
      </w:r>
      <w:r w:rsidRPr="00CA4020">
        <w:rPr>
          <w:rFonts w:ascii="MetaPro-Norm" w:hAnsi="MetaPro-Norm"/>
        </w:rPr>
        <w:t>and that will allow her to live in rented accommodation where the rent will be covered by the perpetrator</w:t>
      </w:r>
      <w:r w:rsidR="001D4905" w:rsidRPr="00CA4020">
        <w:rPr>
          <w:rFonts w:ascii="MetaPro-Norm" w:hAnsi="MetaPro-Norm"/>
          <w:lang w:val="en-US"/>
        </w:rPr>
        <w:t xml:space="preserve"> or the state</w:t>
      </w:r>
      <w:r w:rsidRPr="00CA4020">
        <w:rPr>
          <w:rFonts w:ascii="MetaPro-Norm" w:hAnsi="MetaPro-Norm"/>
        </w:rPr>
        <w:t>;</w:t>
      </w:r>
    </w:p>
    <w:p w14:paraId="6D35A64D" w14:textId="12688D55" w:rsidR="00146848" w:rsidRPr="00CA4020" w:rsidRDefault="0057720B" w:rsidP="003D6C77">
      <w:pPr>
        <w:numPr>
          <w:ilvl w:val="0"/>
          <w:numId w:val="6"/>
        </w:numPr>
        <w:rPr>
          <w:rFonts w:ascii="MetaPro-Norm" w:hAnsi="MetaPro-Norm"/>
        </w:rPr>
      </w:pPr>
      <w:r w:rsidRPr="00CA4020">
        <w:rPr>
          <w:rFonts w:ascii="MetaPro-Norm" w:hAnsi="MetaPro-Norm"/>
          <w:lang w:val="en-US"/>
        </w:rPr>
        <w:t>Establish</w:t>
      </w:r>
      <w:r w:rsidR="00146848" w:rsidRPr="00CA4020">
        <w:rPr>
          <w:rFonts w:ascii="MetaPro-Norm" w:hAnsi="MetaPro-Norm"/>
        </w:rPr>
        <w:t xml:space="preserve"> state-funded shelters for victims of domestic violence</w:t>
      </w:r>
      <w:r w:rsidRPr="00CA4020">
        <w:rPr>
          <w:rFonts w:ascii="MetaPro-Norm" w:hAnsi="MetaPro-Norm"/>
          <w:lang w:val="en-US"/>
        </w:rPr>
        <w:t xml:space="preserve"> across the country</w:t>
      </w:r>
      <w:r w:rsidR="00146848" w:rsidRPr="00CA4020">
        <w:rPr>
          <w:rFonts w:ascii="MetaPro-Norm" w:hAnsi="MetaPro-Norm"/>
        </w:rPr>
        <w:t>, especially in rural areas, and where possible ensure that such shelters are run in cooperation with NGOs;</w:t>
      </w:r>
    </w:p>
    <w:p w14:paraId="4C5DA5B6" w14:textId="26C8DF52" w:rsidR="00146848" w:rsidRPr="00CA4020" w:rsidRDefault="00146848" w:rsidP="003D6C77">
      <w:pPr>
        <w:numPr>
          <w:ilvl w:val="0"/>
          <w:numId w:val="6"/>
        </w:numPr>
        <w:rPr>
          <w:rFonts w:ascii="MetaPro-Norm" w:hAnsi="MetaPro-Norm"/>
        </w:rPr>
      </w:pPr>
      <w:r w:rsidRPr="00CA4020">
        <w:rPr>
          <w:rFonts w:ascii="MetaPro-Norm" w:hAnsi="MetaPro-Norm"/>
        </w:rPr>
        <w:t>Provide access to state-funded social housing to protect particularly vulnerable people, including survivors of domestic violence;</w:t>
      </w:r>
    </w:p>
    <w:p w14:paraId="3FAB1CDF" w14:textId="47CB4C5D" w:rsidR="00146848" w:rsidRPr="00CA4020" w:rsidRDefault="00146848" w:rsidP="00146848">
      <w:pPr>
        <w:numPr>
          <w:ilvl w:val="0"/>
          <w:numId w:val="6"/>
        </w:numPr>
        <w:rPr>
          <w:rFonts w:ascii="MetaPro-Norm" w:hAnsi="MetaPro-Norm"/>
        </w:rPr>
      </w:pPr>
      <w:r w:rsidRPr="00CA4020">
        <w:rPr>
          <w:rFonts w:ascii="MetaPro-Norm" w:hAnsi="MetaPro-Norm"/>
        </w:rPr>
        <w:t>Ratify the Council of Europe (CoE) Convention on Preventing and Combatting Violence against Women and Domestic Violence</w:t>
      </w:r>
      <w:r w:rsidR="00F3711D" w:rsidRPr="00CA4020">
        <w:rPr>
          <w:rFonts w:ascii="MetaPro-Norm" w:hAnsi="MetaPro-Norm"/>
        </w:rPr>
        <w:t>, which is open for ratification by non-CoE member states</w:t>
      </w:r>
      <w:r w:rsidRPr="00CA4020">
        <w:rPr>
          <w:rFonts w:ascii="MetaPro-Norm" w:hAnsi="MetaPro-Norm"/>
        </w:rPr>
        <w:t>.</w:t>
      </w:r>
    </w:p>
    <w:p w14:paraId="01FB6D90" w14:textId="77777777" w:rsidR="00031043" w:rsidRPr="00CA4020" w:rsidRDefault="00031043" w:rsidP="008658CC">
      <w:pPr>
        <w:rPr>
          <w:rFonts w:ascii="MetaPro-Norm" w:eastAsia="SimSun" w:hAnsi="MetaPro-Norm" w:cs="Times New Roman"/>
          <w:b/>
          <w:lang w:val="en-US" w:eastAsia="zh-CN"/>
        </w:rPr>
      </w:pPr>
    </w:p>
    <w:p w14:paraId="259CCFA8" w14:textId="7B739608" w:rsidR="008658CC" w:rsidRPr="00CA4020" w:rsidRDefault="008658CC" w:rsidP="008658CC">
      <w:pPr>
        <w:rPr>
          <w:rFonts w:ascii="MetaPro-Norm" w:hAnsi="MetaPro-Norm"/>
          <w:b/>
          <w:bCs/>
          <w:color w:val="000000" w:themeColor="text1"/>
        </w:rPr>
      </w:pPr>
      <w:r w:rsidRPr="00CA4020">
        <w:rPr>
          <w:rFonts w:ascii="MetaPro-Norm" w:hAnsi="MetaPro-Norm"/>
          <w:b/>
          <w:bCs/>
          <w:color w:val="000000" w:themeColor="text1"/>
        </w:rPr>
        <w:t>Protection of Education During Armed Conflict (art</w:t>
      </w:r>
      <w:r w:rsidR="00902E1E">
        <w:rPr>
          <w:rFonts w:ascii="MetaPro-Norm" w:hAnsi="MetaPro-Norm"/>
          <w:b/>
          <w:bCs/>
          <w:color w:val="000000" w:themeColor="text1"/>
        </w:rPr>
        <w:t>.</w:t>
      </w:r>
      <w:r w:rsidRPr="00CA4020">
        <w:rPr>
          <w:rFonts w:ascii="MetaPro-Norm" w:hAnsi="MetaPro-Norm"/>
          <w:b/>
          <w:bCs/>
          <w:color w:val="000000" w:themeColor="text1"/>
        </w:rPr>
        <w:t xml:space="preserve"> 13)</w:t>
      </w:r>
    </w:p>
    <w:p w14:paraId="46335D02" w14:textId="77777777" w:rsidR="00454F4C" w:rsidRPr="00CA4020" w:rsidRDefault="00454F4C" w:rsidP="008658CC">
      <w:pPr>
        <w:rPr>
          <w:rFonts w:ascii="MetaPro-Norm" w:hAnsi="MetaPro-Norm"/>
          <w:b/>
          <w:bCs/>
          <w:i/>
          <w:iCs/>
          <w:color w:val="000000" w:themeColor="text1"/>
        </w:rPr>
      </w:pPr>
    </w:p>
    <w:p w14:paraId="516FDEE7" w14:textId="33036B41" w:rsidR="00F049FA" w:rsidRPr="00CA4020" w:rsidRDefault="00D27093" w:rsidP="008658CC">
      <w:pPr>
        <w:rPr>
          <w:rFonts w:ascii="MetaPro-Norm" w:hAnsi="MetaPro-Norm"/>
          <w:color w:val="000000" w:themeColor="text1"/>
        </w:rPr>
      </w:pPr>
      <w:r w:rsidRPr="00CA4020">
        <w:rPr>
          <w:rFonts w:ascii="MetaPro-Norm" w:hAnsi="MetaPro-Norm"/>
          <w:color w:val="000000" w:themeColor="text1"/>
        </w:rPr>
        <w:t>Tajikistan shares a</w:t>
      </w:r>
      <w:r w:rsidR="00322A5B" w:rsidRPr="00CA4020">
        <w:rPr>
          <w:rFonts w:ascii="MetaPro-Norm" w:hAnsi="MetaPro-Norm"/>
          <w:color w:val="000000" w:themeColor="text1"/>
        </w:rPr>
        <w:t xml:space="preserve"> border with </w:t>
      </w:r>
      <w:r w:rsidR="00AC0D59" w:rsidRPr="00CA4020">
        <w:rPr>
          <w:rFonts w:ascii="MetaPro-Norm" w:hAnsi="MetaPro-Norm"/>
          <w:color w:val="000000" w:themeColor="text1"/>
        </w:rPr>
        <w:t>Afghanistan</w:t>
      </w:r>
      <w:r w:rsidR="00322A5B" w:rsidRPr="00CA4020">
        <w:rPr>
          <w:rFonts w:ascii="MetaPro-Norm" w:hAnsi="MetaPro-Norm"/>
          <w:color w:val="000000" w:themeColor="text1"/>
        </w:rPr>
        <w:t>,</w:t>
      </w:r>
      <w:r w:rsidR="00AC0D59" w:rsidRPr="00CA4020">
        <w:rPr>
          <w:rFonts w:ascii="MetaPro-Norm" w:hAnsi="MetaPro-Norm"/>
          <w:color w:val="000000" w:themeColor="text1"/>
        </w:rPr>
        <w:t xml:space="preserve"> where</w:t>
      </w:r>
      <w:r w:rsidR="00BE588E" w:rsidRPr="00CA4020">
        <w:rPr>
          <w:rFonts w:ascii="MetaPro-Norm" w:hAnsi="MetaPro-Norm"/>
          <w:color w:val="000000" w:themeColor="text1"/>
        </w:rPr>
        <w:t xml:space="preserve"> attacks on </w:t>
      </w:r>
      <w:r w:rsidR="00F049FA" w:rsidRPr="00CA4020">
        <w:rPr>
          <w:rFonts w:ascii="MetaPro-Norm" w:hAnsi="MetaPro-Norm"/>
          <w:color w:val="000000" w:themeColor="text1"/>
        </w:rPr>
        <w:t xml:space="preserve">students, teachers, and schools </w:t>
      </w:r>
      <w:r w:rsidR="007B0D2A" w:rsidRPr="00CA4020">
        <w:rPr>
          <w:rFonts w:ascii="MetaPro-Norm" w:hAnsi="MetaPro-Norm"/>
          <w:color w:val="000000" w:themeColor="text1"/>
        </w:rPr>
        <w:t xml:space="preserve">have </w:t>
      </w:r>
      <w:r w:rsidR="00BE588E" w:rsidRPr="00CA4020">
        <w:rPr>
          <w:rFonts w:ascii="MetaPro-Norm" w:hAnsi="MetaPro-Norm"/>
          <w:color w:val="000000" w:themeColor="text1"/>
        </w:rPr>
        <w:t>accelerated</w:t>
      </w:r>
      <w:r w:rsidR="00F049FA" w:rsidRPr="00CA4020">
        <w:rPr>
          <w:rFonts w:ascii="MetaPro-Norm" w:hAnsi="MetaPro-Norm"/>
          <w:color w:val="000000" w:themeColor="text1"/>
        </w:rPr>
        <w:t xml:space="preserve"> in recent years</w:t>
      </w:r>
      <w:r w:rsidR="007B0D2A" w:rsidRPr="00CA4020">
        <w:rPr>
          <w:rFonts w:ascii="MetaPro-Norm" w:hAnsi="MetaPro-Norm"/>
          <w:color w:val="000000" w:themeColor="text1"/>
        </w:rPr>
        <w:t>.</w:t>
      </w:r>
      <w:r w:rsidR="000264D5" w:rsidRPr="00CA4020">
        <w:rPr>
          <w:rStyle w:val="FootnoteReference"/>
          <w:rFonts w:ascii="MetaPro-Norm" w:hAnsi="MetaPro-Norm"/>
          <w:color w:val="000000" w:themeColor="text1"/>
        </w:rPr>
        <w:footnoteReference w:id="12"/>
      </w:r>
      <w:r w:rsidR="00BD2DE5" w:rsidRPr="00CA4020">
        <w:rPr>
          <w:rFonts w:ascii="MetaPro-Norm" w:hAnsi="MetaPro-Norm"/>
          <w:color w:val="000000" w:themeColor="text1"/>
        </w:rPr>
        <w:t xml:space="preserve"> In this context, </w:t>
      </w:r>
      <w:r w:rsidR="00353F7B" w:rsidRPr="00CA4020">
        <w:rPr>
          <w:rFonts w:ascii="MetaPro-Norm" w:hAnsi="MetaPro-Norm"/>
          <w:color w:val="000000" w:themeColor="text1"/>
        </w:rPr>
        <w:t xml:space="preserve">Tajikistan </w:t>
      </w:r>
      <w:r w:rsidR="00AC0D59" w:rsidRPr="00CA4020">
        <w:rPr>
          <w:rFonts w:ascii="MetaPro-Norm" w:hAnsi="MetaPro-Norm"/>
          <w:color w:val="000000" w:themeColor="text1"/>
        </w:rPr>
        <w:t xml:space="preserve">participated in the Third International Safe Schools Conference </w:t>
      </w:r>
      <w:r w:rsidR="004C43A0" w:rsidRPr="00CA4020">
        <w:rPr>
          <w:rFonts w:ascii="MetaPro-Norm" w:hAnsi="MetaPro-Norm"/>
          <w:color w:val="000000" w:themeColor="text1"/>
        </w:rPr>
        <w:t xml:space="preserve">held </w:t>
      </w:r>
      <w:r w:rsidR="00AC0D59" w:rsidRPr="00CA4020">
        <w:rPr>
          <w:rFonts w:ascii="MetaPro-Norm" w:hAnsi="MetaPro-Norm"/>
          <w:color w:val="000000" w:themeColor="text1"/>
        </w:rPr>
        <w:t xml:space="preserve">in </w:t>
      </w:r>
      <w:r w:rsidR="00E746EF" w:rsidRPr="00CA4020">
        <w:rPr>
          <w:rFonts w:ascii="MetaPro-Norm" w:hAnsi="MetaPro-Norm"/>
          <w:color w:val="000000" w:themeColor="text1"/>
        </w:rPr>
        <w:t>Spain</w:t>
      </w:r>
      <w:r w:rsidR="00AC0D59" w:rsidRPr="00CA4020">
        <w:rPr>
          <w:rFonts w:ascii="MetaPro-Norm" w:hAnsi="MetaPro-Norm"/>
          <w:color w:val="000000" w:themeColor="text1"/>
        </w:rPr>
        <w:t xml:space="preserve"> in May 2019</w:t>
      </w:r>
      <w:r w:rsidR="00BD2DE5" w:rsidRPr="00CA4020">
        <w:rPr>
          <w:rFonts w:ascii="MetaPro-Norm" w:hAnsi="MetaPro-Norm"/>
          <w:color w:val="000000" w:themeColor="text1"/>
        </w:rPr>
        <w:t>, which reviewed increasing global support for the Safe Schools Declaration and the implementation of its protections</w:t>
      </w:r>
      <w:r w:rsidR="00E746EF" w:rsidRPr="00CA4020">
        <w:rPr>
          <w:rFonts w:ascii="MetaPro-Norm" w:hAnsi="MetaPro-Norm"/>
          <w:color w:val="000000" w:themeColor="text1"/>
        </w:rPr>
        <w:t>.</w:t>
      </w:r>
      <w:r w:rsidR="00BD2DE5" w:rsidRPr="00CA4020">
        <w:rPr>
          <w:rFonts w:ascii="MetaPro-Norm" w:hAnsi="MetaPro-Norm"/>
          <w:color w:val="000000" w:themeColor="text1"/>
        </w:rPr>
        <w:t xml:space="preserve"> As of August 2020, 104 countries have endorsed the Safe Schools Declaration, including </w:t>
      </w:r>
      <w:r w:rsidR="00957BC4">
        <w:rPr>
          <w:rFonts w:ascii="MetaPro-Norm" w:hAnsi="MetaPro-Norm"/>
          <w:color w:val="000000" w:themeColor="text1"/>
        </w:rPr>
        <w:t>five</w:t>
      </w:r>
      <w:r w:rsidR="00F049FA" w:rsidRPr="00CA4020">
        <w:rPr>
          <w:rFonts w:ascii="MetaPro-Norm" w:hAnsi="MetaPro-Norm"/>
          <w:color w:val="000000" w:themeColor="text1"/>
        </w:rPr>
        <w:t xml:space="preserve"> of</w:t>
      </w:r>
      <w:r w:rsidR="00BD2DE5" w:rsidRPr="00CA4020">
        <w:rPr>
          <w:rFonts w:ascii="MetaPro-Norm" w:hAnsi="MetaPro-Norm"/>
          <w:color w:val="000000" w:themeColor="text1"/>
        </w:rPr>
        <w:t xml:space="preserve"> Tajikistan’s fellow </w:t>
      </w:r>
      <w:r w:rsidR="00F049FA" w:rsidRPr="00CA4020">
        <w:rPr>
          <w:rFonts w:ascii="MetaPro-Norm" w:hAnsi="MetaPro-Norm"/>
          <w:color w:val="000000" w:themeColor="text1"/>
        </w:rPr>
        <w:t xml:space="preserve">Commonwealth of Independent States </w:t>
      </w:r>
      <w:r w:rsidR="00BD2DE5" w:rsidRPr="00CA4020">
        <w:rPr>
          <w:rFonts w:ascii="MetaPro-Norm" w:hAnsi="MetaPro-Norm"/>
          <w:color w:val="000000" w:themeColor="text1"/>
        </w:rPr>
        <w:t xml:space="preserve">members, and </w:t>
      </w:r>
      <w:r w:rsidR="004E62E0" w:rsidRPr="00CA4020">
        <w:rPr>
          <w:rFonts w:ascii="MetaPro-Norm" w:hAnsi="MetaPro-Norm"/>
          <w:color w:val="000000" w:themeColor="text1"/>
        </w:rPr>
        <w:t>24</w:t>
      </w:r>
      <w:r w:rsidR="00BD2DE5" w:rsidRPr="00CA4020">
        <w:rPr>
          <w:rFonts w:ascii="MetaPro-Norm" w:hAnsi="MetaPro-Norm"/>
          <w:color w:val="000000" w:themeColor="text1"/>
        </w:rPr>
        <w:t xml:space="preserve"> fellow Organization of Islamic Cooperation members</w:t>
      </w:r>
      <w:r w:rsidR="00F049FA" w:rsidRPr="00CA4020">
        <w:rPr>
          <w:rFonts w:ascii="MetaPro-Norm" w:hAnsi="MetaPro-Norm"/>
          <w:color w:val="000000" w:themeColor="text1"/>
        </w:rPr>
        <w:t>.</w:t>
      </w:r>
      <w:r w:rsidR="00BD2DE5" w:rsidRPr="00CA4020">
        <w:rPr>
          <w:rFonts w:ascii="MetaPro-Norm" w:hAnsi="MetaPro-Norm"/>
          <w:color w:val="000000" w:themeColor="text1"/>
        </w:rPr>
        <w:t xml:space="preserve"> To date, Tajikistan is yet to endorse</w:t>
      </w:r>
      <w:r w:rsidR="00F3711D" w:rsidRPr="00CA4020">
        <w:rPr>
          <w:rFonts w:ascii="MetaPro-Norm" w:hAnsi="MetaPro-Norm"/>
          <w:color w:val="000000" w:themeColor="text1"/>
        </w:rPr>
        <w:t xml:space="preserve"> it</w:t>
      </w:r>
      <w:r w:rsidR="00BD2DE5" w:rsidRPr="00CA4020">
        <w:rPr>
          <w:rFonts w:ascii="MetaPro-Norm" w:hAnsi="MetaPro-Norm"/>
          <w:color w:val="000000" w:themeColor="text1"/>
        </w:rPr>
        <w:t>.</w:t>
      </w:r>
    </w:p>
    <w:p w14:paraId="18642425" w14:textId="77777777" w:rsidR="00F049FA" w:rsidRPr="00CA4020" w:rsidRDefault="00F049FA" w:rsidP="008658CC">
      <w:pPr>
        <w:rPr>
          <w:rFonts w:ascii="MetaPro-Norm" w:eastAsia="SimSun" w:hAnsi="MetaPro-Norm" w:cs="Times New Roman"/>
          <w:highlight w:val="yellow"/>
          <w:lang w:val="en-US" w:eastAsia="zh-CN"/>
        </w:rPr>
      </w:pPr>
    </w:p>
    <w:p w14:paraId="643A3F3F" w14:textId="46413543" w:rsidR="008658CC" w:rsidRPr="00166880" w:rsidRDefault="008658CC" w:rsidP="008658CC">
      <w:pPr>
        <w:rPr>
          <w:rFonts w:ascii="MetaPro-Norm" w:hAnsi="MetaPro-Norm"/>
          <w:b/>
          <w:bCs/>
          <w:iCs/>
          <w:color w:val="000000" w:themeColor="text1"/>
        </w:rPr>
      </w:pPr>
      <w:r w:rsidRPr="00166880">
        <w:rPr>
          <w:rFonts w:ascii="MetaPro-Norm" w:hAnsi="MetaPro-Norm"/>
          <w:b/>
          <w:bCs/>
          <w:iCs/>
        </w:rPr>
        <w:t>We encourage the Committee to pose the following question</w:t>
      </w:r>
      <w:r w:rsidRPr="00166880">
        <w:rPr>
          <w:rFonts w:ascii="MetaPro-Norm" w:hAnsi="MetaPro-Norm"/>
          <w:b/>
          <w:bCs/>
          <w:iCs/>
          <w:color w:val="000000" w:themeColor="text1"/>
        </w:rPr>
        <w:t xml:space="preserve"> to the government: </w:t>
      </w:r>
    </w:p>
    <w:p w14:paraId="4EA52002" w14:textId="77777777" w:rsidR="00166880" w:rsidRPr="00CA4020" w:rsidRDefault="00166880" w:rsidP="008658CC">
      <w:pPr>
        <w:rPr>
          <w:rFonts w:ascii="MetaPro-Norm" w:hAnsi="MetaPro-Norm"/>
          <w:i/>
        </w:rPr>
      </w:pPr>
    </w:p>
    <w:p w14:paraId="761FB75C" w14:textId="30EAB7FA" w:rsidR="008658CC" w:rsidRPr="00CA4020" w:rsidRDefault="008658CC" w:rsidP="00C13DD2">
      <w:pPr>
        <w:pStyle w:val="ListParagraph"/>
        <w:numPr>
          <w:ilvl w:val="0"/>
          <w:numId w:val="4"/>
        </w:numPr>
        <w:rPr>
          <w:rFonts w:ascii="MetaPro-Norm" w:hAnsi="MetaPro-Norm"/>
        </w:rPr>
      </w:pPr>
      <w:r w:rsidRPr="00CA4020">
        <w:rPr>
          <w:rFonts w:ascii="MetaPro-Norm" w:hAnsi="MetaPro-Norm"/>
        </w:rPr>
        <w:t xml:space="preserve">Are explicit protections for schools or universities from military use included in any policies, rules, or trainings for </w:t>
      </w:r>
      <w:r w:rsidR="00C13DD2" w:rsidRPr="00CA4020">
        <w:rPr>
          <w:rFonts w:ascii="MetaPro-Norm" w:hAnsi="MetaPro-Norm"/>
        </w:rPr>
        <w:t>Tajikistan</w:t>
      </w:r>
      <w:r w:rsidRPr="00CA4020">
        <w:rPr>
          <w:rFonts w:ascii="MetaPro-Norm" w:hAnsi="MetaPro-Norm"/>
        </w:rPr>
        <w:t xml:space="preserve">’s armed forces? </w:t>
      </w:r>
    </w:p>
    <w:p w14:paraId="39CA29F3" w14:textId="2FC9D04F" w:rsidR="008658CC" w:rsidRDefault="008658CC" w:rsidP="008658CC">
      <w:pPr>
        <w:rPr>
          <w:rFonts w:ascii="MetaPro-Norm" w:hAnsi="MetaPro-Norm"/>
          <w:b/>
          <w:bCs/>
        </w:rPr>
      </w:pPr>
      <w:r w:rsidRPr="00166880">
        <w:rPr>
          <w:rFonts w:ascii="MetaPro-Norm" w:hAnsi="MetaPro-Norm"/>
          <w:b/>
          <w:bCs/>
        </w:rPr>
        <w:t>We encourage the Committee to make the following recommendation to the government:</w:t>
      </w:r>
    </w:p>
    <w:p w14:paraId="6C492988" w14:textId="77777777" w:rsidR="00166880" w:rsidRPr="00166880" w:rsidRDefault="00166880" w:rsidP="008658CC">
      <w:pPr>
        <w:rPr>
          <w:rFonts w:ascii="MetaPro-Norm" w:hAnsi="MetaPro-Norm"/>
          <w:b/>
          <w:bCs/>
        </w:rPr>
      </w:pPr>
    </w:p>
    <w:p w14:paraId="1BB82DEA" w14:textId="3AB43735" w:rsidR="008658CC" w:rsidRPr="00CA4020" w:rsidRDefault="00C13DD2" w:rsidP="008658CC">
      <w:pPr>
        <w:pStyle w:val="ListParagraph"/>
        <w:numPr>
          <w:ilvl w:val="0"/>
          <w:numId w:val="3"/>
        </w:numPr>
        <w:rPr>
          <w:rFonts w:ascii="MetaPro-Norm" w:hAnsi="MetaPro-Norm"/>
          <w:iCs/>
        </w:rPr>
      </w:pPr>
      <w:r w:rsidRPr="00CA4020">
        <w:rPr>
          <w:rFonts w:ascii="MetaPro-Norm" w:eastAsia="SimSun" w:hAnsi="MetaPro-Norm" w:cs="Times New Roman"/>
          <w:lang w:eastAsia="zh-CN"/>
        </w:rPr>
        <w:t>Endorse</w:t>
      </w:r>
      <w:r w:rsidR="008658CC" w:rsidRPr="00CA4020">
        <w:rPr>
          <w:rFonts w:ascii="MetaPro-Norm" w:hAnsi="MetaPro-Norm"/>
          <w:iCs/>
        </w:rPr>
        <w:t xml:space="preserve"> the Safe Schools Declaration, thereby committing to use the </w:t>
      </w:r>
      <w:r w:rsidR="008658CC" w:rsidRPr="00CA4020">
        <w:rPr>
          <w:rFonts w:ascii="MetaPro-Norm" w:hAnsi="MetaPro-Norm"/>
          <w:i/>
        </w:rPr>
        <w:t>Guidelines for Protecting Schools and Universities from Military Use in Armed Conflict.</w:t>
      </w:r>
    </w:p>
    <w:p w14:paraId="5BF0D912" w14:textId="77777777" w:rsidR="0098659B" w:rsidRPr="00CA4020" w:rsidRDefault="0098659B">
      <w:pPr>
        <w:rPr>
          <w:rFonts w:ascii="MetaPro-Norm" w:hAnsi="MetaPro-Norm"/>
        </w:rPr>
      </w:pPr>
    </w:p>
    <w:sectPr w:rsidR="0098659B" w:rsidRPr="00CA402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AF7D5" w14:textId="77777777" w:rsidR="009F56AA" w:rsidRDefault="009F56AA" w:rsidP="008658CC">
      <w:r>
        <w:separator/>
      </w:r>
    </w:p>
  </w:endnote>
  <w:endnote w:type="continuationSeparator" w:id="0">
    <w:p w14:paraId="176BE59D" w14:textId="77777777" w:rsidR="009F56AA" w:rsidRDefault="009F56AA" w:rsidP="0086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Pro-Norm">
    <w:altName w:val="Calibri"/>
    <w:panose1 w:val="00000000000000000000"/>
    <w:charset w:val="00"/>
    <w:family w:val="swiss"/>
    <w:notTrueType/>
    <w:pitch w:val="variable"/>
    <w:sig w:usb0="A00002F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679684"/>
      <w:docPartObj>
        <w:docPartGallery w:val="Page Numbers (Bottom of Page)"/>
        <w:docPartUnique/>
      </w:docPartObj>
    </w:sdtPr>
    <w:sdtEndPr>
      <w:rPr>
        <w:noProof/>
      </w:rPr>
    </w:sdtEndPr>
    <w:sdtContent>
      <w:p w14:paraId="0A3E464E" w14:textId="00C15A56" w:rsidR="004877E8" w:rsidRDefault="00DC6998">
        <w:pPr>
          <w:pStyle w:val="Footer"/>
          <w:jc w:val="center"/>
        </w:pPr>
        <w:r>
          <w:fldChar w:fldCharType="begin"/>
        </w:r>
        <w:r>
          <w:instrText xml:space="preserve"> PAGE   \* MERGEFORMAT </w:instrText>
        </w:r>
        <w:r>
          <w:fldChar w:fldCharType="separate"/>
        </w:r>
        <w:r w:rsidR="00F06E5E">
          <w:rPr>
            <w:noProof/>
          </w:rPr>
          <w:t>1</w:t>
        </w:r>
        <w:r>
          <w:rPr>
            <w:noProof/>
          </w:rPr>
          <w:fldChar w:fldCharType="end"/>
        </w:r>
      </w:p>
    </w:sdtContent>
  </w:sdt>
  <w:p w14:paraId="121BC5AD" w14:textId="77777777" w:rsidR="004877E8" w:rsidRDefault="00F06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8FF64" w14:textId="77777777" w:rsidR="009F56AA" w:rsidRDefault="009F56AA" w:rsidP="008658CC">
      <w:r>
        <w:separator/>
      </w:r>
    </w:p>
  </w:footnote>
  <w:footnote w:type="continuationSeparator" w:id="0">
    <w:p w14:paraId="7CFC28F5" w14:textId="77777777" w:rsidR="009F56AA" w:rsidRDefault="009F56AA" w:rsidP="008658CC">
      <w:r>
        <w:continuationSeparator/>
      </w:r>
    </w:p>
  </w:footnote>
  <w:footnote w:id="1">
    <w:p w14:paraId="63AF0629" w14:textId="1AD33B7D" w:rsidR="00D87D89" w:rsidRPr="001261DC" w:rsidRDefault="00D87D89" w:rsidP="004544A5">
      <w:pPr>
        <w:pStyle w:val="FootnoteText"/>
        <w:rPr>
          <w:rFonts w:ascii="MetaPro-Norm" w:hAnsi="MetaPro-Norm"/>
          <w:sz w:val="16"/>
          <w:szCs w:val="16"/>
          <w:lang w:val="en-US"/>
        </w:rPr>
      </w:pPr>
      <w:r w:rsidRPr="001261DC">
        <w:rPr>
          <w:rStyle w:val="FootnoteReference"/>
          <w:rFonts w:ascii="MetaPro-Norm" w:hAnsi="MetaPro-Norm"/>
          <w:sz w:val="16"/>
          <w:szCs w:val="16"/>
        </w:rPr>
        <w:footnoteRef/>
      </w:r>
      <w:r w:rsidRPr="001261DC">
        <w:rPr>
          <w:rFonts w:ascii="MetaPro-Norm" w:hAnsi="MetaPro-Norm"/>
          <w:sz w:val="16"/>
          <w:szCs w:val="16"/>
        </w:rPr>
        <w:t xml:space="preserve"> </w:t>
      </w:r>
      <w:r w:rsidRPr="001261DC">
        <w:rPr>
          <w:rFonts w:ascii="MetaPro-Norm" w:hAnsi="MetaPro-Norm"/>
          <w:sz w:val="16"/>
          <w:szCs w:val="16"/>
          <w:lang w:val="en-US"/>
        </w:rPr>
        <w:t xml:space="preserve">Human Rights Watch, </w:t>
      </w:r>
      <w:r w:rsidR="004544A5" w:rsidRPr="001261DC">
        <w:rPr>
          <w:rFonts w:ascii="MetaPro-Norm" w:hAnsi="MetaPro-Norm"/>
          <w:i/>
          <w:iCs/>
          <w:sz w:val="16"/>
          <w:szCs w:val="16"/>
          <w:lang w:val="en-US"/>
        </w:rPr>
        <w:t>Violence with Every Step: Weak State Response to Domestic Violence in Tajikistan</w:t>
      </w:r>
      <w:r w:rsidR="003C213C" w:rsidRPr="001261DC">
        <w:rPr>
          <w:rFonts w:ascii="MetaPro-Norm" w:hAnsi="MetaPro-Norm"/>
          <w:i/>
          <w:iCs/>
          <w:sz w:val="16"/>
          <w:szCs w:val="16"/>
          <w:lang w:val="en-US"/>
        </w:rPr>
        <w:t xml:space="preserve">, </w:t>
      </w:r>
      <w:r w:rsidR="003C213C" w:rsidRPr="001261DC">
        <w:rPr>
          <w:rFonts w:ascii="MetaPro-Norm" w:hAnsi="MetaPro-Norm"/>
          <w:sz w:val="16"/>
          <w:szCs w:val="16"/>
          <w:lang w:val="en-US"/>
        </w:rPr>
        <w:t>(New York: Human Rights Watch, 2019)</w:t>
      </w:r>
      <w:r w:rsidR="00C13DD2" w:rsidRPr="001261DC">
        <w:rPr>
          <w:rFonts w:ascii="MetaPro-Norm" w:hAnsi="MetaPro-Norm"/>
          <w:sz w:val="16"/>
          <w:szCs w:val="16"/>
          <w:lang w:val="en-US"/>
        </w:rPr>
        <w:t xml:space="preserve"> </w:t>
      </w:r>
      <w:r w:rsidR="00983A74" w:rsidRPr="00983A74">
        <w:rPr>
          <w:rFonts w:ascii="MetaPro-Norm" w:hAnsi="MetaPro-Norm"/>
          <w:sz w:val="16"/>
          <w:szCs w:val="16"/>
        </w:rPr>
        <w:t>https://www.hrw.org/report/2019/09/19/violence-every-step/weak-state-response-domestic-violence-tajikistan</w:t>
      </w:r>
    </w:p>
  </w:footnote>
  <w:footnote w:id="2">
    <w:p w14:paraId="0EE0A094" w14:textId="2AD2F69D" w:rsidR="0080358A" w:rsidRPr="001261DC" w:rsidRDefault="0080358A">
      <w:pPr>
        <w:pStyle w:val="FootnoteText"/>
        <w:rPr>
          <w:rFonts w:ascii="MetaPro-Norm" w:hAnsi="MetaPro-Norm"/>
          <w:sz w:val="16"/>
          <w:szCs w:val="16"/>
          <w:lang w:val="en-US"/>
        </w:rPr>
      </w:pPr>
      <w:r w:rsidRPr="001261DC">
        <w:rPr>
          <w:rStyle w:val="FootnoteReference"/>
          <w:rFonts w:ascii="MetaPro-Norm" w:hAnsi="MetaPro-Norm"/>
          <w:sz w:val="16"/>
          <w:szCs w:val="16"/>
        </w:rPr>
        <w:footnoteRef/>
      </w:r>
      <w:r w:rsidRPr="001261DC">
        <w:rPr>
          <w:rFonts w:ascii="MetaPro-Norm" w:hAnsi="MetaPro-Norm"/>
          <w:sz w:val="16"/>
          <w:szCs w:val="16"/>
        </w:rPr>
        <w:t xml:space="preserve"> CEDAW, Concluding observations on the combined 4th and 5th periodic reports of Tajikistan, para. 7</w:t>
      </w:r>
      <w:r w:rsidR="0086642E">
        <w:rPr>
          <w:rFonts w:ascii="MetaPro-Norm" w:hAnsi="MetaPro-Norm"/>
          <w:sz w:val="16"/>
          <w:szCs w:val="16"/>
        </w:rPr>
        <w:t>, UN Doc. CEDAW/C/TJK/CO/4-5</w:t>
      </w:r>
      <w:r w:rsidRPr="001261DC">
        <w:rPr>
          <w:rFonts w:ascii="MetaPro-Norm" w:hAnsi="MetaPro-Norm"/>
          <w:sz w:val="16"/>
          <w:szCs w:val="16"/>
        </w:rPr>
        <w:t xml:space="preserve"> (Oct. 18, 2013).</w:t>
      </w:r>
    </w:p>
  </w:footnote>
  <w:footnote w:id="3">
    <w:p w14:paraId="1E411583" w14:textId="60B3D1B2" w:rsidR="0080358A" w:rsidRPr="001261DC" w:rsidRDefault="0080358A" w:rsidP="0080358A">
      <w:pPr>
        <w:pStyle w:val="FootnoteText"/>
        <w:rPr>
          <w:rFonts w:ascii="MetaPro-Norm" w:hAnsi="MetaPro-Norm"/>
          <w:sz w:val="16"/>
          <w:szCs w:val="16"/>
        </w:rPr>
      </w:pPr>
      <w:r w:rsidRPr="001261DC">
        <w:rPr>
          <w:rStyle w:val="FootnoteReference"/>
          <w:rFonts w:ascii="MetaPro-Norm" w:hAnsi="MetaPro-Norm"/>
          <w:sz w:val="16"/>
          <w:szCs w:val="16"/>
        </w:rPr>
        <w:footnoteRef/>
      </w:r>
      <w:r w:rsidRPr="001261DC">
        <w:rPr>
          <w:rFonts w:ascii="MetaPro-Norm" w:hAnsi="MetaPro-Norm"/>
          <w:sz w:val="16"/>
          <w:szCs w:val="16"/>
        </w:rPr>
        <w:t xml:space="preserve"> CEDAW, Concluding observations on the 6th periodic report of Tajikistan,</w:t>
      </w:r>
      <w:r w:rsidR="008972EF" w:rsidRPr="001261DC">
        <w:rPr>
          <w:rFonts w:ascii="MetaPro-Norm" w:hAnsi="MetaPro-Norm"/>
          <w:sz w:val="16"/>
          <w:szCs w:val="16"/>
        </w:rPr>
        <w:t xml:space="preserve"> </w:t>
      </w:r>
      <w:r w:rsidR="0086642E">
        <w:rPr>
          <w:rFonts w:ascii="MetaPro-Norm" w:hAnsi="MetaPro-Norm"/>
          <w:sz w:val="16"/>
          <w:szCs w:val="16"/>
        </w:rPr>
        <w:t>paras. 25(e)-(f), UN Doc. CEDAW/C/TJK/CO/6 (</w:t>
      </w:r>
      <w:r w:rsidRPr="001261DC">
        <w:rPr>
          <w:rFonts w:ascii="MetaPro-Norm" w:hAnsi="MetaPro-Norm"/>
          <w:sz w:val="16"/>
          <w:szCs w:val="16"/>
        </w:rPr>
        <w:t>(Nov. 14, 2018).</w:t>
      </w:r>
    </w:p>
  </w:footnote>
  <w:footnote w:id="4">
    <w:p w14:paraId="381A866D" w14:textId="5083A9D0" w:rsidR="00434B41" w:rsidRPr="001261DC" w:rsidRDefault="00434B41" w:rsidP="00434B41">
      <w:pPr>
        <w:pStyle w:val="FootnoteText"/>
        <w:rPr>
          <w:rFonts w:ascii="MetaPro-Norm" w:hAnsi="MetaPro-Norm"/>
          <w:sz w:val="16"/>
          <w:szCs w:val="16"/>
        </w:rPr>
      </w:pPr>
      <w:r w:rsidRPr="001261DC">
        <w:rPr>
          <w:rStyle w:val="FootnoteReference"/>
          <w:rFonts w:ascii="MetaPro-Norm" w:hAnsi="MetaPro-Norm"/>
          <w:sz w:val="16"/>
          <w:szCs w:val="16"/>
        </w:rPr>
        <w:footnoteRef/>
      </w:r>
      <w:r w:rsidRPr="001261DC">
        <w:rPr>
          <w:rFonts w:ascii="MetaPro-Norm" w:hAnsi="MetaPro-Norm"/>
          <w:sz w:val="16"/>
          <w:szCs w:val="16"/>
        </w:rPr>
        <w:t xml:space="preserve"> Human Rights Watch telephone interview with women’s rights lawyer, Dushanbe, December 17, 2018; Human Rights Watch telephone interview with NGO representative, Isfara, December 18, 2018.</w:t>
      </w:r>
    </w:p>
  </w:footnote>
  <w:footnote w:id="5">
    <w:p w14:paraId="6B577421" w14:textId="08037A2F" w:rsidR="00C402FD" w:rsidRPr="001261DC" w:rsidRDefault="00C402FD" w:rsidP="00C402FD">
      <w:pPr>
        <w:pStyle w:val="FootnoteText"/>
        <w:rPr>
          <w:rFonts w:ascii="MetaPro-Norm" w:hAnsi="MetaPro-Norm"/>
          <w:sz w:val="16"/>
          <w:szCs w:val="16"/>
        </w:rPr>
      </w:pPr>
      <w:r w:rsidRPr="001261DC">
        <w:rPr>
          <w:rStyle w:val="FootnoteReference"/>
          <w:rFonts w:ascii="MetaPro-Norm" w:hAnsi="MetaPro-Norm"/>
          <w:sz w:val="16"/>
          <w:szCs w:val="16"/>
        </w:rPr>
        <w:footnoteRef/>
      </w:r>
      <w:r w:rsidRPr="001261DC">
        <w:rPr>
          <w:rFonts w:ascii="MetaPro-Norm" w:hAnsi="MetaPro-Norm"/>
          <w:sz w:val="16"/>
          <w:szCs w:val="16"/>
        </w:rPr>
        <w:t xml:space="preserve"> Human Rights Watch phone interview with representative of women’s crisis center in </w:t>
      </w:r>
      <w:r w:rsidR="00207BFD" w:rsidRPr="001261DC">
        <w:rPr>
          <w:rFonts w:ascii="MetaPro-Norm" w:hAnsi="MetaPro-Norm"/>
          <w:sz w:val="16"/>
          <w:szCs w:val="16"/>
        </w:rPr>
        <w:t>south-eastern</w:t>
      </w:r>
      <w:r w:rsidRPr="001261DC">
        <w:rPr>
          <w:rFonts w:ascii="MetaPro-Norm" w:hAnsi="MetaPro-Norm"/>
          <w:sz w:val="16"/>
          <w:szCs w:val="16"/>
        </w:rPr>
        <w:t xml:space="preserve"> Tajikistan, September 28, 2018.</w:t>
      </w:r>
    </w:p>
  </w:footnote>
  <w:footnote w:id="6">
    <w:p w14:paraId="55DF2F3A" w14:textId="7253DFF3" w:rsidR="00C402FD" w:rsidRPr="001261DC" w:rsidRDefault="00C402FD" w:rsidP="00C402FD">
      <w:pPr>
        <w:pStyle w:val="FootnoteText"/>
        <w:rPr>
          <w:rFonts w:ascii="MetaPro-Norm" w:hAnsi="MetaPro-Norm"/>
          <w:sz w:val="16"/>
          <w:szCs w:val="16"/>
        </w:rPr>
      </w:pPr>
      <w:r w:rsidRPr="001261DC">
        <w:rPr>
          <w:rStyle w:val="FootnoteReference"/>
          <w:rFonts w:ascii="MetaPro-Norm" w:hAnsi="MetaPro-Norm"/>
          <w:sz w:val="16"/>
          <w:szCs w:val="16"/>
        </w:rPr>
        <w:footnoteRef/>
      </w:r>
      <w:r w:rsidRPr="001261DC">
        <w:rPr>
          <w:rFonts w:ascii="MetaPro-Norm" w:hAnsi="MetaPro-Norm"/>
          <w:sz w:val="16"/>
          <w:szCs w:val="16"/>
        </w:rPr>
        <w:t xml:space="preserve"> Human Rights Watch telephone interview with Shakarbek Niyatbekov, domestic violence expert, Swiss Agency for Development and Cooperation, July 18, 2019.</w:t>
      </w:r>
    </w:p>
  </w:footnote>
  <w:footnote w:id="7">
    <w:p w14:paraId="0AC964CF" w14:textId="57AF1F19" w:rsidR="00046D5E" w:rsidRPr="00CB522D" w:rsidRDefault="00046D5E">
      <w:pPr>
        <w:pStyle w:val="FootnoteText"/>
        <w:rPr>
          <w:rFonts w:ascii="MetaPro-Norm" w:hAnsi="MetaPro-Norm"/>
          <w:sz w:val="16"/>
          <w:szCs w:val="16"/>
        </w:rPr>
      </w:pPr>
      <w:r>
        <w:rPr>
          <w:rStyle w:val="FootnoteReference"/>
        </w:rPr>
        <w:footnoteRef/>
      </w:r>
      <w:r>
        <w:t xml:space="preserve"> </w:t>
      </w:r>
      <w:r w:rsidRPr="003D6C77">
        <w:rPr>
          <w:rFonts w:ascii="MetaPro-Norm" w:hAnsi="MetaPro-Norm"/>
          <w:sz w:val="16"/>
          <w:szCs w:val="16"/>
        </w:rPr>
        <w:t xml:space="preserve">Human Rights Watch phone interview with representative of women’s crisis center in </w:t>
      </w:r>
      <w:r w:rsidRPr="00046D5E">
        <w:rPr>
          <w:rFonts w:ascii="MetaPro-Norm" w:hAnsi="MetaPro-Norm"/>
          <w:sz w:val="16"/>
          <w:szCs w:val="16"/>
        </w:rPr>
        <w:t>south-eastern</w:t>
      </w:r>
      <w:r w:rsidRPr="003D6C77">
        <w:rPr>
          <w:rFonts w:ascii="MetaPro-Norm" w:hAnsi="MetaPro-Norm"/>
          <w:sz w:val="16"/>
          <w:szCs w:val="16"/>
        </w:rPr>
        <w:t xml:space="preserve"> Tajikistan, September 28, 2018; Human Rights Watch interview with Sayidali R., representative of women’s crisis center in northern Tajikistan, Dushanbe, July 22, 2015; Human Rights Watch interview with service provider Viktoriya V., July 20, 2015; Human Rights Watch telephone interview with Dushanbe NGO representative, Dushanbe, February 6, 2019.</w:t>
      </w:r>
    </w:p>
  </w:footnote>
  <w:footnote w:id="8">
    <w:p w14:paraId="6486A824" w14:textId="2A44CDD3" w:rsidR="00D72A6C" w:rsidRPr="001261DC" w:rsidRDefault="00D72A6C" w:rsidP="00D72A6C">
      <w:pPr>
        <w:pStyle w:val="FootnoteText"/>
        <w:rPr>
          <w:rFonts w:ascii="MetaPro-Norm" w:hAnsi="MetaPro-Norm"/>
          <w:sz w:val="16"/>
          <w:szCs w:val="16"/>
        </w:rPr>
      </w:pPr>
      <w:r w:rsidRPr="001261DC">
        <w:rPr>
          <w:rStyle w:val="FootnoteReference"/>
          <w:rFonts w:ascii="MetaPro-Norm" w:hAnsi="MetaPro-Norm"/>
          <w:sz w:val="16"/>
          <w:szCs w:val="16"/>
        </w:rPr>
        <w:footnoteRef/>
      </w:r>
      <w:r w:rsidRPr="001261DC">
        <w:rPr>
          <w:rFonts w:ascii="MetaPro-Norm" w:hAnsi="MetaPro-Norm"/>
          <w:sz w:val="16"/>
          <w:szCs w:val="16"/>
        </w:rPr>
        <w:t xml:space="preserve"> Human Rights Watch interview with international expert, name withheld, Dushanbe, July 19, 2015; Human Rights Watch telephone interview with OSCE official with OSCE Program Office Gender Unit, Dushanbe, March 26, 2019.</w:t>
      </w:r>
    </w:p>
  </w:footnote>
  <w:footnote w:id="9">
    <w:p w14:paraId="249B8CF5" w14:textId="6FADDC79" w:rsidR="00312ECF" w:rsidRPr="00312ECF" w:rsidRDefault="00312ECF">
      <w:pPr>
        <w:pStyle w:val="FootnoteText"/>
        <w:rPr>
          <w:lang w:val="en-US"/>
        </w:rPr>
      </w:pPr>
      <w:r>
        <w:rPr>
          <w:rStyle w:val="FootnoteReference"/>
        </w:rPr>
        <w:footnoteRef/>
      </w:r>
      <w:r>
        <w:t xml:space="preserve"> </w:t>
      </w:r>
      <w:r w:rsidRPr="00312ECF">
        <w:rPr>
          <w:rFonts w:ascii="MetaPro-Norm" w:hAnsi="MetaPro-Norm"/>
          <w:sz w:val="16"/>
          <w:szCs w:val="16"/>
        </w:rPr>
        <w:t>Human Rights Watch interviews with Hairinisso H., Marifsho M., Sangoh S., Sharifamoh Sh., in Bokhtar, Murghab, Levakant, Dushanbe, July 21, 22, and August 3, 2015.</w:t>
      </w:r>
    </w:p>
  </w:footnote>
  <w:footnote w:id="10">
    <w:p w14:paraId="05C9F3E7" w14:textId="2C0B1C5F" w:rsidR="008F2CBC" w:rsidRPr="008F2CBC" w:rsidRDefault="008F2CBC">
      <w:pPr>
        <w:pStyle w:val="FootnoteText"/>
      </w:pPr>
      <w:r>
        <w:rPr>
          <w:rStyle w:val="FootnoteReference"/>
        </w:rPr>
        <w:footnoteRef/>
      </w:r>
      <w:r>
        <w:t xml:space="preserve"> </w:t>
      </w:r>
      <w:r w:rsidRPr="008F2CBC">
        <w:rPr>
          <w:rFonts w:ascii="MetaPro-Norm" w:hAnsi="MetaPro-Norm"/>
          <w:sz w:val="16"/>
          <w:szCs w:val="16"/>
        </w:rPr>
        <w:t>“Tajikistan: Long Prison Terms for Rights Lawyers Serious Blow to Independence of Legal Profession,” October 6, 2016, https://www.hrw.org/news/2016/10/06/tajikistan-long-prison-terms-rights-lawyers (accessed August 14, 2019).</w:t>
      </w:r>
    </w:p>
  </w:footnote>
  <w:footnote w:id="11">
    <w:p w14:paraId="114A19A2" w14:textId="380A04A7" w:rsidR="00C27C89" w:rsidRPr="001C2476" w:rsidRDefault="00C27C89">
      <w:pPr>
        <w:pStyle w:val="FootnoteText"/>
        <w:rPr>
          <w:rFonts w:ascii="MetaPro-Norm" w:hAnsi="MetaPro-Norm"/>
          <w:sz w:val="16"/>
          <w:szCs w:val="16"/>
        </w:rPr>
      </w:pPr>
      <w:r>
        <w:rPr>
          <w:rStyle w:val="FootnoteReference"/>
        </w:rPr>
        <w:footnoteRef/>
      </w:r>
      <w:r>
        <w:t xml:space="preserve"> </w:t>
      </w:r>
      <w:r w:rsidRPr="001C2476">
        <w:rPr>
          <w:rFonts w:ascii="MetaPro-Norm" w:hAnsi="MetaPro-Norm"/>
          <w:sz w:val="16"/>
          <w:szCs w:val="16"/>
        </w:rPr>
        <w:t>Human Rights Watch telephone interview with Mehrangiz M., Shaartuz, February 11, 2019.</w:t>
      </w:r>
    </w:p>
  </w:footnote>
  <w:footnote w:id="12">
    <w:p w14:paraId="31022708" w14:textId="2167C72A" w:rsidR="000264D5" w:rsidRPr="001261DC" w:rsidRDefault="000264D5">
      <w:pPr>
        <w:pStyle w:val="FootnoteText"/>
        <w:rPr>
          <w:rFonts w:ascii="MetaPro-Norm" w:hAnsi="MetaPro-Norm"/>
          <w:sz w:val="16"/>
          <w:szCs w:val="16"/>
          <w:lang w:val="en-US"/>
        </w:rPr>
      </w:pPr>
      <w:r w:rsidRPr="001261DC">
        <w:rPr>
          <w:rStyle w:val="FootnoteReference"/>
          <w:rFonts w:ascii="MetaPro-Norm" w:hAnsi="MetaPro-Norm"/>
          <w:sz w:val="16"/>
          <w:szCs w:val="16"/>
        </w:rPr>
        <w:footnoteRef/>
      </w:r>
      <w:r w:rsidRPr="001261DC">
        <w:rPr>
          <w:rFonts w:ascii="MetaPro-Norm" w:hAnsi="MetaPro-Norm"/>
          <w:sz w:val="16"/>
          <w:szCs w:val="16"/>
        </w:rPr>
        <w:t xml:space="preserve"> </w:t>
      </w:r>
      <w:r w:rsidRPr="001261DC">
        <w:rPr>
          <w:rFonts w:ascii="MetaPro-Norm" w:hAnsi="MetaPro-Norm"/>
          <w:sz w:val="16"/>
          <w:szCs w:val="16"/>
          <w:lang w:val="en-US"/>
        </w:rPr>
        <w:t xml:space="preserve">Global Coalition to Protect Education from Attack, </w:t>
      </w:r>
      <w:r w:rsidRPr="001261DC">
        <w:rPr>
          <w:rFonts w:ascii="MetaPro-Norm" w:hAnsi="MetaPro-Norm"/>
          <w:i/>
          <w:iCs/>
          <w:sz w:val="16"/>
          <w:szCs w:val="16"/>
          <w:lang w:val="en-US"/>
        </w:rPr>
        <w:t xml:space="preserve">Education Under Attack: 2020, </w:t>
      </w:r>
      <w:r w:rsidR="003D5166" w:rsidRPr="001261DC">
        <w:rPr>
          <w:rFonts w:ascii="MetaPro-Norm" w:hAnsi="MetaPro-Norm"/>
          <w:sz w:val="16"/>
          <w:szCs w:val="16"/>
          <w:lang w:val="en-US"/>
        </w:rPr>
        <w:t xml:space="preserve">July 2020, </w:t>
      </w:r>
      <w:r w:rsidR="003D5166" w:rsidRPr="00330DE5">
        <w:rPr>
          <w:rFonts w:ascii="MetaPro-Norm" w:hAnsi="MetaPro-Norm"/>
          <w:sz w:val="16"/>
          <w:szCs w:val="16"/>
        </w:rPr>
        <w:t>https://protectingeducation.org/wp-content/uploads/eua_2020_full.pdf</w:t>
      </w:r>
      <w:r w:rsidR="00BE65BD" w:rsidRPr="001261DC">
        <w:rPr>
          <w:rFonts w:ascii="MetaPro-Norm" w:hAnsi="MetaPro-Norm"/>
          <w:sz w:val="16"/>
          <w:szCs w:val="16"/>
        </w:rPr>
        <w:t xml:space="preserve">, pg. 98.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B7381"/>
    <w:multiLevelType w:val="hybridMultilevel"/>
    <w:tmpl w:val="E20A5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E80E08"/>
    <w:multiLevelType w:val="hybridMultilevel"/>
    <w:tmpl w:val="F440D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7C6924"/>
    <w:multiLevelType w:val="hybridMultilevel"/>
    <w:tmpl w:val="89A87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134038"/>
    <w:multiLevelType w:val="hybridMultilevel"/>
    <w:tmpl w:val="86D0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EE7798"/>
    <w:multiLevelType w:val="hybridMultilevel"/>
    <w:tmpl w:val="90DE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A9730B"/>
    <w:multiLevelType w:val="hybridMultilevel"/>
    <w:tmpl w:val="567C2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8CC"/>
    <w:rsid w:val="000031B0"/>
    <w:rsid w:val="00011FE0"/>
    <w:rsid w:val="000140AF"/>
    <w:rsid w:val="00024C88"/>
    <w:rsid w:val="000264D5"/>
    <w:rsid w:val="00031043"/>
    <w:rsid w:val="00046D5E"/>
    <w:rsid w:val="00050541"/>
    <w:rsid w:val="000623DC"/>
    <w:rsid w:val="0006767F"/>
    <w:rsid w:val="000A3333"/>
    <w:rsid w:val="000B36F9"/>
    <w:rsid w:val="000C2190"/>
    <w:rsid w:val="000C631E"/>
    <w:rsid w:val="000E5279"/>
    <w:rsid w:val="000F3F11"/>
    <w:rsid w:val="00101F37"/>
    <w:rsid w:val="001261DC"/>
    <w:rsid w:val="0013111C"/>
    <w:rsid w:val="001415CF"/>
    <w:rsid w:val="00142D82"/>
    <w:rsid w:val="00146848"/>
    <w:rsid w:val="001655ED"/>
    <w:rsid w:val="00166880"/>
    <w:rsid w:val="00172E29"/>
    <w:rsid w:val="00181EE4"/>
    <w:rsid w:val="001B382C"/>
    <w:rsid w:val="001C13DE"/>
    <w:rsid w:val="001C2476"/>
    <w:rsid w:val="001D1224"/>
    <w:rsid w:val="001D19A9"/>
    <w:rsid w:val="001D4905"/>
    <w:rsid w:val="001D562B"/>
    <w:rsid w:val="001E1DB8"/>
    <w:rsid w:val="001F327E"/>
    <w:rsid w:val="00207BFD"/>
    <w:rsid w:val="00225041"/>
    <w:rsid w:val="002660AB"/>
    <w:rsid w:val="00280917"/>
    <w:rsid w:val="00283557"/>
    <w:rsid w:val="00285165"/>
    <w:rsid w:val="002A0F23"/>
    <w:rsid w:val="002A3BCD"/>
    <w:rsid w:val="002C3E32"/>
    <w:rsid w:val="002C4862"/>
    <w:rsid w:val="002F6D17"/>
    <w:rsid w:val="00312ECF"/>
    <w:rsid w:val="003179DA"/>
    <w:rsid w:val="00322A5B"/>
    <w:rsid w:val="00326E7E"/>
    <w:rsid w:val="00330DE5"/>
    <w:rsid w:val="00332BC4"/>
    <w:rsid w:val="003337C2"/>
    <w:rsid w:val="0034779B"/>
    <w:rsid w:val="00353F7B"/>
    <w:rsid w:val="003541C5"/>
    <w:rsid w:val="00363B70"/>
    <w:rsid w:val="00370BFE"/>
    <w:rsid w:val="0038098A"/>
    <w:rsid w:val="003878B2"/>
    <w:rsid w:val="003B6816"/>
    <w:rsid w:val="003C213C"/>
    <w:rsid w:val="003D5166"/>
    <w:rsid w:val="003D6C77"/>
    <w:rsid w:val="003F7D08"/>
    <w:rsid w:val="0042225F"/>
    <w:rsid w:val="00434B41"/>
    <w:rsid w:val="004514D7"/>
    <w:rsid w:val="004544A5"/>
    <w:rsid w:val="00454F4C"/>
    <w:rsid w:val="004B6F4F"/>
    <w:rsid w:val="004C43A0"/>
    <w:rsid w:val="004C6F28"/>
    <w:rsid w:val="004E1A3F"/>
    <w:rsid w:val="004E62E0"/>
    <w:rsid w:val="00506D3C"/>
    <w:rsid w:val="00514E1D"/>
    <w:rsid w:val="00555904"/>
    <w:rsid w:val="0057248C"/>
    <w:rsid w:val="0057720B"/>
    <w:rsid w:val="0059310B"/>
    <w:rsid w:val="005946AD"/>
    <w:rsid w:val="005966A6"/>
    <w:rsid w:val="005A356C"/>
    <w:rsid w:val="005A3F8C"/>
    <w:rsid w:val="005C0BBD"/>
    <w:rsid w:val="005C44F6"/>
    <w:rsid w:val="005C6D67"/>
    <w:rsid w:val="005D1EE1"/>
    <w:rsid w:val="00611B07"/>
    <w:rsid w:val="00616AC6"/>
    <w:rsid w:val="00622718"/>
    <w:rsid w:val="00633F12"/>
    <w:rsid w:val="00662FE1"/>
    <w:rsid w:val="00681D69"/>
    <w:rsid w:val="00692078"/>
    <w:rsid w:val="00692C81"/>
    <w:rsid w:val="006A1523"/>
    <w:rsid w:val="006A5B94"/>
    <w:rsid w:val="006A622F"/>
    <w:rsid w:val="006A74FD"/>
    <w:rsid w:val="006D2A8C"/>
    <w:rsid w:val="006F1D5B"/>
    <w:rsid w:val="00711EAF"/>
    <w:rsid w:val="00724C35"/>
    <w:rsid w:val="007538D6"/>
    <w:rsid w:val="00766486"/>
    <w:rsid w:val="0078159C"/>
    <w:rsid w:val="00782E10"/>
    <w:rsid w:val="007854A0"/>
    <w:rsid w:val="00793139"/>
    <w:rsid w:val="00795217"/>
    <w:rsid w:val="007B0D2A"/>
    <w:rsid w:val="007D330B"/>
    <w:rsid w:val="0080358A"/>
    <w:rsid w:val="00810DCC"/>
    <w:rsid w:val="00811928"/>
    <w:rsid w:val="008658CC"/>
    <w:rsid w:val="0086642E"/>
    <w:rsid w:val="00871E78"/>
    <w:rsid w:val="00890A6D"/>
    <w:rsid w:val="008972EF"/>
    <w:rsid w:val="00897C40"/>
    <w:rsid w:val="008A1E4B"/>
    <w:rsid w:val="008B3F46"/>
    <w:rsid w:val="008C38E6"/>
    <w:rsid w:val="008C7DA4"/>
    <w:rsid w:val="008D3748"/>
    <w:rsid w:val="008D6789"/>
    <w:rsid w:val="008E4977"/>
    <w:rsid w:val="008F2CBC"/>
    <w:rsid w:val="008F37D8"/>
    <w:rsid w:val="00902E1E"/>
    <w:rsid w:val="00907E9A"/>
    <w:rsid w:val="00935E6E"/>
    <w:rsid w:val="00957BC4"/>
    <w:rsid w:val="00983A74"/>
    <w:rsid w:val="0098659B"/>
    <w:rsid w:val="009E6099"/>
    <w:rsid w:val="009F56AA"/>
    <w:rsid w:val="00A246AE"/>
    <w:rsid w:val="00A327C2"/>
    <w:rsid w:val="00A54A2F"/>
    <w:rsid w:val="00A64933"/>
    <w:rsid w:val="00A85F23"/>
    <w:rsid w:val="00AB1A4E"/>
    <w:rsid w:val="00AB1B18"/>
    <w:rsid w:val="00AB357F"/>
    <w:rsid w:val="00AC0D59"/>
    <w:rsid w:val="00AE17E2"/>
    <w:rsid w:val="00B01B97"/>
    <w:rsid w:val="00B12DC9"/>
    <w:rsid w:val="00B43003"/>
    <w:rsid w:val="00B5672D"/>
    <w:rsid w:val="00B82519"/>
    <w:rsid w:val="00B8634C"/>
    <w:rsid w:val="00BB3558"/>
    <w:rsid w:val="00BC1177"/>
    <w:rsid w:val="00BC24BD"/>
    <w:rsid w:val="00BC3674"/>
    <w:rsid w:val="00BD2DE5"/>
    <w:rsid w:val="00BE558F"/>
    <w:rsid w:val="00BE588E"/>
    <w:rsid w:val="00BE5B87"/>
    <w:rsid w:val="00BE65BD"/>
    <w:rsid w:val="00BF259C"/>
    <w:rsid w:val="00C02B0A"/>
    <w:rsid w:val="00C13DD2"/>
    <w:rsid w:val="00C15FCB"/>
    <w:rsid w:val="00C27C89"/>
    <w:rsid w:val="00C34737"/>
    <w:rsid w:val="00C402FD"/>
    <w:rsid w:val="00C614F9"/>
    <w:rsid w:val="00C65EDD"/>
    <w:rsid w:val="00C86D32"/>
    <w:rsid w:val="00C876ED"/>
    <w:rsid w:val="00C90093"/>
    <w:rsid w:val="00C94AE5"/>
    <w:rsid w:val="00CA4020"/>
    <w:rsid w:val="00CB522D"/>
    <w:rsid w:val="00CC1A2F"/>
    <w:rsid w:val="00CC3D66"/>
    <w:rsid w:val="00CC48F1"/>
    <w:rsid w:val="00CF5ECF"/>
    <w:rsid w:val="00D159B6"/>
    <w:rsid w:val="00D27093"/>
    <w:rsid w:val="00D32732"/>
    <w:rsid w:val="00D4596A"/>
    <w:rsid w:val="00D47AC0"/>
    <w:rsid w:val="00D516B2"/>
    <w:rsid w:val="00D72A6C"/>
    <w:rsid w:val="00D816C8"/>
    <w:rsid w:val="00D87D89"/>
    <w:rsid w:val="00D929FC"/>
    <w:rsid w:val="00DC2664"/>
    <w:rsid w:val="00DC6998"/>
    <w:rsid w:val="00E034EF"/>
    <w:rsid w:val="00E03569"/>
    <w:rsid w:val="00E04D22"/>
    <w:rsid w:val="00E161B5"/>
    <w:rsid w:val="00E2149F"/>
    <w:rsid w:val="00E30FA1"/>
    <w:rsid w:val="00E37762"/>
    <w:rsid w:val="00E53A9A"/>
    <w:rsid w:val="00E53E22"/>
    <w:rsid w:val="00E7127D"/>
    <w:rsid w:val="00E746EF"/>
    <w:rsid w:val="00E8220F"/>
    <w:rsid w:val="00E87069"/>
    <w:rsid w:val="00E907D5"/>
    <w:rsid w:val="00E9670E"/>
    <w:rsid w:val="00EA15F5"/>
    <w:rsid w:val="00EA7158"/>
    <w:rsid w:val="00EA7FE0"/>
    <w:rsid w:val="00EB66D7"/>
    <w:rsid w:val="00EB6894"/>
    <w:rsid w:val="00EC4D12"/>
    <w:rsid w:val="00EC63B9"/>
    <w:rsid w:val="00EC6486"/>
    <w:rsid w:val="00EC69B4"/>
    <w:rsid w:val="00ED73BE"/>
    <w:rsid w:val="00EE3284"/>
    <w:rsid w:val="00EE4224"/>
    <w:rsid w:val="00EF3C19"/>
    <w:rsid w:val="00F049FA"/>
    <w:rsid w:val="00F06E5E"/>
    <w:rsid w:val="00F11001"/>
    <w:rsid w:val="00F11CDF"/>
    <w:rsid w:val="00F340C3"/>
    <w:rsid w:val="00F3711D"/>
    <w:rsid w:val="00F75106"/>
    <w:rsid w:val="00F9374F"/>
    <w:rsid w:val="00F96C54"/>
    <w:rsid w:val="00FA280B"/>
    <w:rsid w:val="00FA3DBD"/>
    <w:rsid w:val="00FC15BF"/>
    <w:rsid w:val="00FC17C2"/>
    <w:rsid w:val="00FC325D"/>
    <w:rsid w:val="00FE1FB3"/>
    <w:rsid w:val="00FE6E6E"/>
    <w:rsid w:val="00FF4E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B92BD"/>
  <w15:chartTrackingRefBased/>
  <w15:docId w15:val="{5B4DBCF4-9673-48A1-A2D9-6427A0B2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8C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8CC"/>
    <w:pPr>
      <w:spacing w:after="160" w:line="259" w:lineRule="auto"/>
      <w:ind w:left="720"/>
      <w:contextualSpacing/>
    </w:pPr>
    <w:rPr>
      <w:rFonts w:asciiTheme="minorHAnsi" w:hAnsiTheme="minorHAnsi" w:cstheme="minorBidi"/>
      <w:lang w:val="en-US" w:eastAsia="en-US"/>
    </w:rPr>
  </w:style>
  <w:style w:type="character" w:styleId="FootnoteReference">
    <w:name w:val="footnote reference"/>
    <w:basedOn w:val="DefaultParagraphFont"/>
    <w:uiPriority w:val="99"/>
    <w:semiHidden/>
    <w:unhideWhenUsed/>
    <w:rsid w:val="008658CC"/>
    <w:rPr>
      <w:vertAlign w:val="superscript"/>
    </w:rPr>
  </w:style>
  <w:style w:type="paragraph" w:styleId="FootnoteText">
    <w:name w:val="footnote text"/>
    <w:basedOn w:val="Normal"/>
    <w:link w:val="FootnoteTextChar"/>
    <w:uiPriority w:val="99"/>
    <w:unhideWhenUsed/>
    <w:rsid w:val="008658CC"/>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8658CC"/>
    <w:rPr>
      <w:sz w:val="20"/>
      <w:szCs w:val="20"/>
    </w:rPr>
  </w:style>
  <w:style w:type="paragraph" w:styleId="Footer">
    <w:name w:val="footer"/>
    <w:basedOn w:val="Normal"/>
    <w:link w:val="FooterChar"/>
    <w:uiPriority w:val="99"/>
    <w:unhideWhenUsed/>
    <w:rsid w:val="008658CC"/>
    <w:pPr>
      <w:tabs>
        <w:tab w:val="center" w:pos="4513"/>
        <w:tab w:val="right" w:pos="9026"/>
      </w:tabs>
    </w:pPr>
  </w:style>
  <w:style w:type="character" w:customStyle="1" w:styleId="FooterChar">
    <w:name w:val="Footer Char"/>
    <w:basedOn w:val="DefaultParagraphFont"/>
    <w:link w:val="Footer"/>
    <w:uiPriority w:val="99"/>
    <w:rsid w:val="008658CC"/>
    <w:rPr>
      <w:rFonts w:ascii="Calibri" w:hAnsi="Calibri" w:cs="Calibri"/>
      <w:lang w:eastAsia="en-GB"/>
    </w:rPr>
  </w:style>
  <w:style w:type="character" w:styleId="Hyperlink">
    <w:name w:val="Hyperlink"/>
    <w:rsid w:val="008658CC"/>
    <w:rPr>
      <w:color w:val="0000FF"/>
      <w:u w:val="single"/>
    </w:rPr>
  </w:style>
  <w:style w:type="character" w:customStyle="1" w:styleId="UnresolvedMention">
    <w:name w:val="Unresolved Mention"/>
    <w:basedOn w:val="DefaultParagraphFont"/>
    <w:uiPriority w:val="99"/>
    <w:semiHidden/>
    <w:unhideWhenUsed/>
    <w:rsid w:val="003D5166"/>
    <w:rPr>
      <w:color w:val="605E5C"/>
      <w:shd w:val="clear" w:color="auto" w:fill="E1DFDD"/>
    </w:rPr>
  </w:style>
  <w:style w:type="paragraph" w:styleId="BalloonText">
    <w:name w:val="Balloon Text"/>
    <w:basedOn w:val="Normal"/>
    <w:link w:val="BalloonTextChar"/>
    <w:uiPriority w:val="99"/>
    <w:semiHidden/>
    <w:unhideWhenUsed/>
    <w:rsid w:val="00F049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9FA"/>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E53E22"/>
    <w:rPr>
      <w:sz w:val="16"/>
      <w:szCs w:val="16"/>
    </w:rPr>
  </w:style>
  <w:style w:type="paragraph" w:styleId="CommentText">
    <w:name w:val="annotation text"/>
    <w:basedOn w:val="Normal"/>
    <w:link w:val="CommentTextChar"/>
    <w:uiPriority w:val="99"/>
    <w:semiHidden/>
    <w:unhideWhenUsed/>
    <w:rsid w:val="00E53E22"/>
    <w:rPr>
      <w:sz w:val="20"/>
      <w:szCs w:val="20"/>
    </w:rPr>
  </w:style>
  <w:style w:type="character" w:customStyle="1" w:styleId="CommentTextChar">
    <w:name w:val="Comment Text Char"/>
    <w:basedOn w:val="DefaultParagraphFont"/>
    <w:link w:val="CommentText"/>
    <w:uiPriority w:val="99"/>
    <w:semiHidden/>
    <w:rsid w:val="00E53E22"/>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E53E22"/>
    <w:rPr>
      <w:b/>
      <w:bCs/>
    </w:rPr>
  </w:style>
  <w:style w:type="character" w:customStyle="1" w:styleId="CommentSubjectChar">
    <w:name w:val="Comment Subject Char"/>
    <w:basedOn w:val="CommentTextChar"/>
    <w:link w:val="CommentSubject"/>
    <w:uiPriority w:val="99"/>
    <w:semiHidden/>
    <w:rsid w:val="00E53E22"/>
    <w:rPr>
      <w:rFonts w:ascii="Calibri" w:hAnsi="Calibri" w:cs="Calibri"/>
      <w:b/>
      <w:bCs/>
      <w:sz w:val="20"/>
      <w:szCs w:val="20"/>
      <w:lang w:eastAsia="en-GB"/>
    </w:rPr>
  </w:style>
  <w:style w:type="character" w:customStyle="1" w:styleId="tooltip-container">
    <w:name w:val="tooltip-container"/>
    <w:basedOn w:val="DefaultParagraphFont"/>
    <w:rsid w:val="00E03569"/>
  </w:style>
  <w:style w:type="paragraph" w:styleId="NormalWeb">
    <w:name w:val="Normal (Web)"/>
    <w:basedOn w:val="Normal"/>
    <w:uiPriority w:val="99"/>
    <w:semiHidden/>
    <w:unhideWhenUsed/>
    <w:rsid w:val="00D32732"/>
    <w:pPr>
      <w:spacing w:before="100" w:beforeAutospacing="1" w:after="100" w:afterAutospacing="1"/>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41054">
      <w:bodyDiv w:val="1"/>
      <w:marLeft w:val="0"/>
      <w:marRight w:val="0"/>
      <w:marTop w:val="0"/>
      <w:marBottom w:val="0"/>
      <w:divBdr>
        <w:top w:val="none" w:sz="0" w:space="0" w:color="auto"/>
        <w:left w:val="none" w:sz="0" w:space="0" w:color="auto"/>
        <w:bottom w:val="none" w:sz="0" w:space="0" w:color="auto"/>
        <w:right w:val="none" w:sz="0" w:space="0" w:color="auto"/>
      </w:divBdr>
    </w:div>
    <w:div w:id="996881635">
      <w:bodyDiv w:val="1"/>
      <w:marLeft w:val="0"/>
      <w:marRight w:val="0"/>
      <w:marTop w:val="0"/>
      <w:marBottom w:val="0"/>
      <w:divBdr>
        <w:top w:val="none" w:sz="0" w:space="0" w:color="auto"/>
        <w:left w:val="none" w:sz="0" w:space="0" w:color="auto"/>
        <w:bottom w:val="none" w:sz="0" w:space="0" w:color="auto"/>
        <w:right w:val="none" w:sz="0" w:space="0" w:color="auto"/>
      </w:divBdr>
    </w:div>
    <w:div w:id="1048795996">
      <w:bodyDiv w:val="1"/>
      <w:marLeft w:val="0"/>
      <w:marRight w:val="0"/>
      <w:marTop w:val="0"/>
      <w:marBottom w:val="0"/>
      <w:divBdr>
        <w:top w:val="none" w:sz="0" w:space="0" w:color="auto"/>
        <w:left w:val="none" w:sz="0" w:space="0" w:color="auto"/>
        <w:bottom w:val="none" w:sz="0" w:space="0" w:color="auto"/>
        <w:right w:val="none" w:sz="0" w:space="0" w:color="auto"/>
      </w:divBdr>
    </w:div>
    <w:div w:id="1175610624">
      <w:bodyDiv w:val="1"/>
      <w:marLeft w:val="0"/>
      <w:marRight w:val="0"/>
      <w:marTop w:val="0"/>
      <w:marBottom w:val="0"/>
      <w:divBdr>
        <w:top w:val="none" w:sz="0" w:space="0" w:color="auto"/>
        <w:left w:val="none" w:sz="0" w:space="0" w:color="auto"/>
        <w:bottom w:val="none" w:sz="0" w:space="0" w:color="auto"/>
        <w:right w:val="none" w:sz="0" w:space="0" w:color="auto"/>
      </w:divBdr>
    </w:div>
    <w:div w:id="183915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605d714aae7fb165c45759dfa1df7b8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E3DC6E-4DB2-400B-A7D8-28245F63E742}">
  <ds:schemaRefs>
    <ds:schemaRef ds:uri="http://schemas.openxmlformats.org/officeDocument/2006/bibliography"/>
  </ds:schemaRefs>
</ds:datastoreItem>
</file>

<file path=customXml/itemProps2.xml><?xml version="1.0" encoding="utf-8"?>
<ds:datastoreItem xmlns:ds="http://schemas.openxmlformats.org/officeDocument/2006/customXml" ds:itemID="{73054CA7-CA45-44D4-B698-3F3F23513E5B}"/>
</file>

<file path=customXml/itemProps3.xml><?xml version="1.0" encoding="utf-8"?>
<ds:datastoreItem xmlns:ds="http://schemas.openxmlformats.org/officeDocument/2006/customXml" ds:itemID="{432671B0-B40B-4A84-81DF-B383AEB88908}"/>
</file>

<file path=customXml/itemProps4.xml><?xml version="1.0" encoding="utf-8"?>
<ds:datastoreItem xmlns:ds="http://schemas.openxmlformats.org/officeDocument/2006/customXml" ds:itemID="{A369E6A8-A387-4D18-B274-4C08C4431675}"/>
</file>

<file path=docProps/app.xml><?xml version="1.0" encoding="utf-8"?>
<Properties xmlns="http://schemas.openxmlformats.org/officeDocument/2006/extended-properties" xmlns:vt="http://schemas.openxmlformats.org/officeDocument/2006/docPropsVTypes">
  <Template>Normal.dotm</Template>
  <TotalTime>0</TotalTime>
  <Pages>6</Pages>
  <Words>2709</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Pilishvili</dc:creator>
  <cp:keywords/>
  <dc:description/>
  <cp:lastModifiedBy>Tolaïni Sabine</cp:lastModifiedBy>
  <cp:revision>2</cp:revision>
  <dcterms:created xsi:type="dcterms:W3CDTF">2020-09-21T15:50:00Z</dcterms:created>
  <dcterms:modified xsi:type="dcterms:W3CDTF">2020-09-21T15:50:00Z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0x010100B5446AB3680AD04583FFC0D2A3BEC2EA</vt:lpwstr>
  </property>
</Properties>
</file>