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9AD0B" w14:textId="77777777" w:rsidR="00492296" w:rsidRPr="003072D3" w:rsidRDefault="00492296" w:rsidP="00727217">
      <w:pPr>
        <w:contextualSpacing/>
        <w:jc w:val="center"/>
        <w:rPr>
          <w:rFonts w:ascii="MetaPro-Norm" w:hAnsi="MetaPro-Norm"/>
          <w:color w:val="000000" w:themeColor="text1"/>
        </w:rPr>
      </w:pPr>
      <w:r w:rsidRPr="003072D3">
        <w:rPr>
          <w:rFonts w:ascii="MetaPro-Norm" w:hAnsi="MetaPro-Norm"/>
          <w:noProof/>
          <w:color w:val="000000" w:themeColor="text1"/>
        </w:rPr>
        <w:drawing>
          <wp:inline distT="0" distB="0" distL="0" distR="0" wp14:anchorId="2B67AD77" wp14:editId="4376799C">
            <wp:extent cx="1013460" cy="1013460"/>
            <wp:effectExtent l="0" t="0" r="0" b="0"/>
            <wp:docPr id="1" name="Picture 1" descr="HR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HRW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3460" cy="1013460"/>
                    </a:xfrm>
                    <a:prstGeom prst="rect">
                      <a:avLst/>
                    </a:prstGeom>
                    <a:noFill/>
                    <a:ln>
                      <a:noFill/>
                    </a:ln>
                  </pic:spPr>
                </pic:pic>
              </a:graphicData>
            </a:graphic>
          </wp:inline>
        </w:drawing>
      </w:r>
    </w:p>
    <w:p w14:paraId="3FA0377E" w14:textId="77777777" w:rsidR="00492296" w:rsidRPr="003072D3" w:rsidRDefault="00492296" w:rsidP="00727217">
      <w:pPr>
        <w:contextualSpacing/>
        <w:jc w:val="center"/>
        <w:rPr>
          <w:rFonts w:ascii="MetaPro-Norm" w:eastAsia="Calibri" w:hAnsi="MetaPro-Norm"/>
          <w:color w:val="000000" w:themeColor="text1"/>
        </w:rPr>
      </w:pPr>
    </w:p>
    <w:p w14:paraId="007DB4F8" w14:textId="78997B74" w:rsidR="00492296" w:rsidRPr="003072D3" w:rsidRDefault="00492296" w:rsidP="00727217">
      <w:pPr>
        <w:pStyle w:val="NoSpacing"/>
        <w:contextualSpacing/>
        <w:jc w:val="center"/>
        <w:rPr>
          <w:rFonts w:ascii="MetaPro-Norm" w:hAnsi="MetaPro-Norm"/>
          <w:b/>
          <w:color w:val="000000" w:themeColor="text1"/>
          <w:sz w:val="24"/>
          <w:szCs w:val="24"/>
        </w:rPr>
      </w:pPr>
      <w:r w:rsidRPr="003072D3">
        <w:rPr>
          <w:rFonts w:ascii="MetaPro-Norm" w:hAnsi="MetaPro-Norm"/>
          <w:b/>
          <w:color w:val="000000" w:themeColor="text1"/>
          <w:sz w:val="24"/>
          <w:szCs w:val="24"/>
        </w:rPr>
        <w:t xml:space="preserve">Human Rights Watch Submission to the </w:t>
      </w:r>
      <w:bookmarkStart w:id="0" w:name="_Hlk534376786"/>
      <w:r w:rsidRPr="003072D3">
        <w:rPr>
          <w:rFonts w:ascii="MetaPro-Norm" w:hAnsi="MetaPro-Norm"/>
          <w:b/>
          <w:color w:val="000000" w:themeColor="text1"/>
          <w:sz w:val="24"/>
          <w:szCs w:val="24"/>
        </w:rPr>
        <w:t xml:space="preserve">Committee </w:t>
      </w:r>
      <w:bookmarkEnd w:id="0"/>
      <w:r w:rsidRPr="003072D3">
        <w:rPr>
          <w:rFonts w:ascii="MetaPro-Norm" w:hAnsi="MetaPro-Norm"/>
          <w:b/>
          <w:color w:val="000000" w:themeColor="text1"/>
          <w:sz w:val="24"/>
          <w:szCs w:val="24"/>
        </w:rPr>
        <w:t>on the Elimination of Discrimination against Women</w:t>
      </w:r>
    </w:p>
    <w:p w14:paraId="7194398D" w14:textId="581CAF67" w:rsidR="00492296" w:rsidRPr="003072D3" w:rsidRDefault="00492296" w:rsidP="00727217">
      <w:pPr>
        <w:pStyle w:val="NoSpacing"/>
        <w:contextualSpacing/>
        <w:jc w:val="center"/>
        <w:rPr>
          <w:rFonts w:ascii="MetaPro-Norm" w:hAnsi="MetaPro-Norm"/>
          <w:b/>
          <w:sz w:val="24"/>
          <w:szCs w:val="24"/>
        </w:rPr>
      </w:pPr>
      <w:r w:rsidRPr="003072D3">
        <w:rPr>
          <w:rFonts w:ascii="MetaPro-Norm" w:hAnsi="MetaPro-Norm"/>
          <w:b/>
          <w:color w:val="000000" w:themeColor="text1"/>
          <w:sz w:val="24"/>
          <w:szCs w:val="24"/>
        </w:rPr>
        <w:t>Review of Indonesia</w:t>
      </w:r>
      <w:r w:rsidR="00304B8D">
        <w:rPr>
          <w:rFonts w:ascii="MetaPro-Norm" w:hAnsi="MetaPro-Norm"/>
          <w:b/>
          <w:color w:val="000000" w:themeColor="text1"/>
          <w:sz w:val="24"/>
          <w:szCs w:val="24"/>
        </w:rPr>
        <w:t xml:space="preserve"> - 78</w:t>
      </w:r>
      <w:r w:rsidR="00304B8D" w:rsidRPr="00772D79">
        <w:rPr>
          <w:rFonts w:ascii="MetaPro-Norm" w:hAnsi="MetaPro-Norm"/>
          <w:b/>
          <w:color w:val="000000" w:themeColor="text1"/>
          <w:sz w:val="24"/>
          <w:szCs w:val="24"/>
          <w:vertAlign w:val="superscript"/>
        </w:rPr>
        <w:t>th</w:t>
      </w:r>
      <w:r w:rsidR="00304B8D">
        <w:rPr>
          <w:rFonts w:ascii="MetaPro-Norm" w:hAnsi="MetaPro-Norm"/>
          <w:b/>
          <w:color w:val="000000" w:themeColor="text1"/>
          <w:sz w:val="24"/>
          <w:szCs w:val="24"/>
        </w:rPr>
        <w:t xml:space="preserve"> P</w:t>
      </w:r>
      <w:r w:rsidRPr="003072D3">
        <w:rPr>
          <w:rFonts w:ascii="MetaPro-Norm" w:hAnsi="MetaPro-Norm"/>
          <w:b/>
          <w:color w:val="000000" w:themeColor="text1"/>
          <w:sz w:val="24"/>
          <w:szCs w:val="24"/>
        </w:rPr>
        <w:t>re-</w:t>
      </w:r>
      <w:r w:rsidR="00304B8D">
        <w:rPr>
          <w:rFonts w:ascii="MetaPro-Norm" w:hAnsi="MetaPro-Norm"/>
          <w:b/>
          <w:color w:val="000000" w:themeColor="text1"/>
          <w:sz w:val="24"/>
          <w:szCs w:val="24"/>
        </w:rPr>
        <w:t>S</w:t>
      </w:r>
      <w:r w:rsidRPr="003072D3">
        <w:rPr>
          <w:rFonts w:ascii="MetaPro-Norm" w:hAnsi="MetaPro-Norm"/>
          <w:b/>
          <w:color w:val="000000" w:themeColor="text1"/>
          <w:sz w:val="24"/>
          <w:szCs w:val="24"/>
        </w:rPr>
        <w:t>essional Working Group</w:t>
      </w:r>
      <w:r w:rsidR="008C54FC">
        <w:rPr>
          <w:rFonts w:ascii="MetaPro-Norm" w:hAnsi="MetaPro-Norm"/>
          <w:b/>
          <w:color w:val="000000" w:themeColor="text1"/>
          <w:sz w:val="24"/>
          <w:szCs w:val="24"/>
        </w:rPr>
        <w:t xml:space="preserve">  </w:t>
      </w:r>
    </w:p>
    <w:p w14:paraId="5E70BD8C" w14:textId="2DAAF5E4" w:rsidR="00492296" w:rsidRPr="00772D79" w:rsidRDefault="00492296" w:rsidP="00727217">
      <w:pPr>
        <w:pStyle w:val="NoSpacing"/>
        <w:contextualSpacing/>
        <w:jc w:val="center"/>
        <w:rPr>
          <w:rFonts w:ascii="MetaPro-Norm" w:hAnsi="MetaPro-Norm"/>
          <w:b/>
          <w:i/>
          <w:iCs/>
          <w:color w:val="000000" w:themeColor="text1"/>
          <w:sz w:val="24"/>
          <w:szCs w:val="24"/>
        </w:rPr>
      </w:pPr>
      <w:r w:rsidRPr="00772D79">
        <w:rPr>
          <w:rFonts w:ascii="MetaPro-Norm" w:hAnsi="MetaPro-Norm"/>
          <w:b/>
          <w:i/>
          <w:iCs/>
          <w:color w:val="000000" w:themeColor="text1"/>
          <w:sz w:val="24"/>
          <w:szCs w:val="24"/>
        </w:rPr>
        <w:t>Jun</w:t>
      </w:r>
      <w:r w:rsidR="00F61C9D" w:rsidRPr="00772D79">
        <w:rPr>
          <w:rFonts w:ascii="MetaPro-Norm" w:hAnsi="MetaPro-Norm"/>
          <w:b/>
          <w:i/>
          <w:iCs/>
          <w:color w:val="000000" w:themeColor="text1"/>
          <w:sz w:val="24"/>
          <w:szCs w:val="24"/>
        </w:rPr>
        <w:t>e</w:t>
      </w:r>
      <w:r w:rsidRPr="00772D79">
        <w:rPr>
          <w:rFonts w:ascii="MetaPro-Norm" w:hAnsi="MetaPro-Norm"/>
          <w:b/>
          <w:i/>
          <w:iCs/>
          <w:color w:val="000000" w:themeColor="text1"/>
          <w:sz w:val="24"/>
          <w:szCs w:val="24"/>
        </w:rPr>
        <w:t xml:space="preserve"> 2020</w:t>
      </w:r>
    </w:p>
    <w:p w14:paraId="26249BD2" w14:textId="77777777" w:rsidR="00492296" w:rsidRPr="003072D3" w:rsidRDefault="00492296" w:rsidP="00772D79"/>
    <w:p w14:paraId="55758E24" w14:textId="439B42A0" w:rsidR="00204C4F" w:rsidRPr="003072D3" w:rsidRDefault="00492296" w:rsidP="00772D79">
      <w:pPr>
        <w:rPr>
          <w:rFonts w:ascii="MetaPro-Norm" w:hAnsi="MetaPro-Norm"/>
          <w:color w:val="000000" w:themeColor="text1"/>
          <w:shd w:val="clear" w:color="auto" w:fill="FFFFFF"/>
        </w:rPr>
      </w:pPr>
      <w:r w:rsidRPr="003072D3">
        <w:rPr>
          <w:rFonts w:ascii="MetaPro-Norm" w:hAnsi="MetaPro-Norm"/>
          <w:color w:val="000000" w:themeColor="text1"/>
          <w:shd w:val="clear" w:color="auto" w:fill="FFFFFF"/>
        </w:rPr>
        <w:t>We write in advance of the</w:t>
      </w:r>
      <w:r w:rsidRPr="003072D3">
        <w:rPr>
          <w:rFonts w:ascii="MetaPro-Norm" w:hAnsi="MetaPro-Norm"/>
          <w:color w:val="000000" w:themeColor="text1"/>
        </w:rPr>
        <w:t xml:space="preserve"> </w:t>
      </w:r>
      <w:r w:rsidRPr="00772D79">
        <w:rPr>
          <w:rFonts w:ascii="MetaPro-Norm" w:hAnsi="MetaPro-Norm"/>
          <w:color w:val="000000" w:themeColor="text1"/>
          <w:shd w:val="clear" w:color="auto" w:fill="FFFFFF"/>
        </w:rPr>
        <w:t>7</w:t>
      </w:r>
      <w:r w:rsidR="00BF7840" w:rsidRPr="00772D79">
        <w:rPr>
          <w:rFonts w:ascii="MetaPro-Norm" w:hAnsi="MetaPro-Norm"/>
          <w:color w:val="000000" w:themeColor="text1"/>
          <w:shd w:val="clear" w:color="auto" w:fill="FFFFFF"/>
        </w:rPr>
        <w:t>8</w:t>
      </w:r>
      <w:r w:rsidRPr="00772D79">
        <w:rPr>
          <w:rFonts w:ascii="MetaPro-Norm" w:hAnsi="MetaPro-Norm"/>
          <w:color w:val="000000" w:themeColor="text1"/>
          <w:shd w:val="clear" w:color="auto" w:fill="FFFFFF"/>
          <w:vertAlign w:val="superscript"/>
        </w:rPr>
        <w:t>th</w:t>
      </w:r>
      <w:r w:rsidRPr="00772D79">
        <w:rPr>
          <w:rFonts w:ascii="MetaPro-Norm" w:hAnsi="MetaPro-Norm"/>
          <w:color w:val="000000" w:themeColor="text1"/>
          <w:shd w:val="clear" w:color="auto" w:fill="FFFFFF"/>
        </w:rPr>
        <w:t xml:space="preserve"> </w:t>
      </w:r>
      <w:r w:rsidR="00B503AD" w:rsidRPr="00B503AD">
        <w:rPr>
          <w:rFonts w:ascii="MetaPro-Norm" w:hAnsi="MetaPro-Norm"/>
          <w:color w:val="000000" w:themeColor="text1"/>
          <w:shd w:val="clear" w:color="auto" w:fill="FFFFFF"/>
        </w:rPr>
        <w:t>Pre-Sessional Working Group (</w:t>
      </w:r>
      <w:r w:rsidR="00B503AD">
        <w:rPr>
          <w:rFonts w:ascii="MetaPro-Norm" w:hAnsi="MetaPro-Norm"/>
          <w:color w:val="000000" w:themeColor="text1"/>
          <w:shd w:val="clear" w:color="auto" w:fill="FFFFFF"/>
        </w:rPr>
        <w:t xml:space="preserve">July </w:t>
      </w:r>
      <w:r w:rsidR="00B503AD" w:rsidRPr="00B503AD">
        <w:rPr>
          <w:rFonts w:ascii="MetaPro-Norm" w:hAnsi="MetaPro-Norm"/>
          <w:color w:val="000000" w:themeColor="text1"/>
          <w:shd w:val="clear" w:color="auto" w:fill="FFFFFF"/>
        </w:rPr>
        <w:t>13</w:t>
      </w:r>
      <w:r w:rsidR="00B503AD">
        <w:rPr>
          <w:rFonts w:ascii="MetaPro-Norm" w:hAnsi="MetaPro-Norm"/>
          <w:color w:val="000000" w:themeColor="text1"/>
          <w:shd w:val="clear" w:color="auto" w:fill="FFFFFF"/>
        </w:rPr>
        <w:t>-</w:t>
      </w:r>
      <w:r w:rsidR="00B503AD" w:rsidRPr="00B503AD">
        <w:rPr>
          <w:rFonts w:ascii="MetaPro-Norm" w:hAnsi="MetaPro-Norm"/>
          <w:color w:val="000000" w:themeColor="text1"/>
          <w:shd w:val="clear" w:color="auto" w:fill="FFFFFF"/>
        </w:rPr>
        <w:t>17</w:t>
      </w:r>
      <w:r w:rsidR="00B503AD">
        <w:rPr>
          <w:rFonts w:ascii="MetaPro-Norm" w:hAnsi="MetaPro-Norm"/>
          <w:color w:val="000000" w:themeColor="text1"/>
          <w:shd w:val="clear" w:color="auto" w:fill="FFFFFF"/>
        </w:rPr>
        <w:t xml:space="preserve">, </w:t>
      </w:r>
      <w:r w:rsidR="00B503AD" w:rsidRPr="00B503AD">
        <w:rPr>
          <w:rFonts w:ascii="MetaPro-Norm" w:hAnsi="MetaPro-Norm"/>
          <w:color w:val="000000" w:themeColor="text1"/>
          <w:shd w:val="clear" w:color="auto" w:fill="FFFFFF"/>
        </w:rPr>
        <w:t>2020)</w:t>
      </w:r>
      <w:r w:rsidRPr="003072D3">
        <w:rPr>
          <w:rFonts w:ascii="MetaPro-Norm" w:hAnsi="MetaPro-Norm"/>
          <w:color w:val="000000" w:themeColor="text1"/>
          <w:shd w:val="clear" w:color="auto" w:fill="FFFFFF"/>
        </w:rPr>
        <w:t xml:space="preserve"> of the </w:t>
      </w:r>
      <w:r w:rsidRPr="003072D3">
        <w:rPr>
          <w:rFonts w:ascii="MetaPro-Norm" w:hAnsi="MetaPro-Norm"/>
          <w:color w:val="000000" w:themeColor="text1"/>
        </w:rPr>
        <w:t xml:space="preserve">Committee on the Elimination </w:t>
      </w:r>
      <w:r w:rsidR="00304B8D">
        <w:rPr>
          <w:rFonts w:ascii="MetaPro-Norm" w:hAnsi="MetaPro-Norm"/>
          <w:color w:val="000000" w:themeColor="text1"/>
        </w:rPr>
        <w:t xml:space="preserve">of </w:t>
      </w:r>
      <w:r w:rsidRPr="003072D3">
        <w:rPr>
          <w:rFonts w:ascii="MetaPro-Norm" w:hAnsi="MetaPro-Norm"/>
          <w:color w:val="000000" w:themeColor="text1"/>
        </w:rPr>
        <w:t>Discrimination against Women</w:t>
      </w:r>
      <w:r w:rsidR="00304B8D">
        <w:rPr>
          <w:rFonts w:ascii="MetaPro-Norm" w:hAnsi="MetaPro-Norm"/>
          <w:color w:val="000000" w:themeColor="text1"/>
        </w:rPr>
        <w:t xml:space="preserve"> </w:t>
      </w:r>
      <w:r w:rsidRPr="003072D3">
        <w:rPr>
          <w:rFonts w:ascii="MetaPro-Norm" w:hAnsi="MetaPro-Norm"/>
          <w:bCs/>
          <w:color w:val="000000" w:themeColor="text1"/>
        </w:rPr>
        <w:t xml:space="preserve">and its review of the Republic of </w:t>
      </w:r>
      <w:r w:rsidR="00581B12" w:rsidRPr="003072D3">
        <w:rPr>
          <w:rFonts w:ascii="MetaPro-Norm" w:hAnsi="MetaPro-Norm"/>
          <w:bCs/>
          <w:color w:val="000000" w:themeColor="text1"/>
        </w:rPr>
        <w:t>Indonesia</w:t>
      </w:r>
      <w:r w:rsidRPr="003072D3">
        <w:rPr>
          <w:rFonts w:ascii="MetaPro-Norm" w:hAnsi="MetaPro-Norm"/>
          <w:bCs/>
          <w:color w:val="000000" w:themeColor="text1"/>
        </w:rPr>
        <w:t>’s compliance with the Convention on the Elimination of All Forms of Discrimination against Women</w:t>
      </w:r>
      <w:r w:rsidR="000402DC">
        <w:rPr>
          <w:rFonts w:ascii="MetaPro-Norm" w:hAnsi="MetaPro-Norm"/>
          <w:bCs/>
          <w:color w:val="000000" w:themeColor="text1"/>
        </w:rPr>
        <w:t xml:space="preserve"> (CEDAW)</w:t>
      </w:r>
      <w:r w:rsidRPr="003072D3">
        <w:rPr>
          <w:rFonts w:ascii="MetaPro-Norm" w:hAnsi="MetaPro-Norm"/>
          <w:color w:val="000000" w:themeColor="text1"/>
          <w:shd w:val="clear" w:color="auto" w:fill="FFFFFF"/>
        </w:rPr>
        <w:t>.</w:t>
      </w:r>
      <w:r w:rsidR="005B6C4C">
        <w:rPr>
          <w:rFonts w:ascii="MetaPro-Norm" w:hAnsi="MetaPro-Norm"/>
          <w:color w:val="000000" w:themeColor="text1"/>
          <w:shd w:val="clear" w:color="auto" w:fill="FFFFFF"/>
        </w:rPr>
        <w:t xml:space="preserve"> </w:t>
      </w:r>
      <w:r w:rsidR="00204C4F" w:rsidRPr="003072D3">
        <w:rPr>
          <w:rFonts w:ascii="MetaPro-Norm" w:hAnsi="MetaPro-Norm"/>
          <w:color w:val="000000" w:themeColor="text1"/>
          <w:shd w:val="clear" w:color="auto" w:fill="FFFFFF"/>
        </w:rPr>
        <w:t xml:space="preserve">Indonesia ratified CEDAW </w:t>
      </w:r>
      <w:r w:rsidR="00304B8D">
        <w:rPr>
          <w:rFonts w:ascii="MetaPro-Norm" w:hAnsi="MetaPro-Norm"/>
          <w:color w:val="000000" w:themeColor="text1"/>
          <w:shd w:val="clear" w:color="auto" w:fill="FFFFFF"/>
        </w:rPr>
        <w:t>in 1984</w:t>
      </w:r>
      <w:r w:rsidR="001F28A1" w:rsidRPr="003072D3">
        <w:rPr>
          <w:rFonts w:ascii="MetaPro-Norm" w:hAnsi="MetaPro-Norm"/>
          <w:color w:val="000000" w:themeColor="text1"/>
          <w:shd w:val="clear" w:color="auto" w:fill="FFFFFF"/>
        </w:rPr>
        <w:t>.</w:t>
      </w:r>
      <w:r w:rsidR="00362F34" w:rsidRPr="003072D3">
        <w:rPr>
          <w:rStyle w:val="FootnoteReference"/>
          <w:rFonts w:ascii="MetaPro-Norm" w:hAnsi="MetaPro-Norm"/>
          <w:color w:val="000000" w:themeColor="text1"/>
          <w:shd w:val="clear" w:color="auto" w:fill="FFFFFF"/>
        </w:rPr>
        <w:footnoteReference w:id="1"/>
      </w:r>
      <w:r w:rsidR="001F28A1" w:rsidRPr="003072D3">
        <w:rPr>
          <w:rFonts w:ascii="MetaPro-Norm" w:hAnsi="MetaPro-Norm"/>
          <w:color w:val="000000" w:themeColor="text1"/>
          <w:shd w:val="clear" w:color="auto" w:fill="FFFFFF"/>
        </w:rPr>
        <w:t xml:space="preserve"> </w:t>
      </w:r>
    </w:p>
    <w:p w14:paraId="5A2447C6" w14:textId="1565368F" w:rsidR="00EB0859" w:rsidRDefault="000A5AD6" w:rsidP="00772D79">
      <w:pPr>
        <w:pStyle w:val="NormalWeb"/>
        <w:shd w:val="clear" w:color="auto" w:fill="FFFFFF"/>
        <w:spacing w:after="0" w:afterAutospacing="0"/>
        <w:contextualSpacing/>
        <w:rPr>
          <w:rFonts w:ascii="MetaPro-Norm" w:hAnsi="MetaPro-Norm"/>
          <w:b/>
          <w:bCs/>
          <w:i/>
          <w:iCs/>
          <w:color w:val="282828"/>
          <w:shd w:val="clear" w:color="auto" w:fill="FFFFFF"/>
          <w:lang w:val="en-GB"/>
        </w:rPr>
      </w:pPr>
      <w:r w:rsidRPr="00AE3113">
        <w:rPr>
          <w:rFonts w:ascii="MetaPro-Norm" w:hAnsi="MetaPro-Norm"/>
          <w:b/>
          <w:bCs/>
          <w:color w:val="282828"/>
          <w:shd w:val="clear" w:color="auto" w:fill="FFFFFF"/>
          <w:lang w:val="en-GB"/>
        </w:rPr>
        <w:t xml:space="preserve">Discriminatory </w:t>
      </w:r>
      <w:r w:rsidR="005F4A6A">
        <w:rPr>
          <w:rFonts w:ascii="MetaPro-Norm" w:hAnsi="MetaPro-Norm"/>
          <w:b/>
          <w:bCs/>
          <w:color w:val="282828"/>
          <w:shd w:val="clear" w:color="auto" w:fill="FFFFFF"/>
          <w:lang w:val="en-GB"/>
        </w:rPr>
        <w:t>B</w:t>
      </w:r>
      <w:r w:rsidR="00A06485" w:rsidRPr="00AE3113">
        <w:rPr>
          <w:rFonts w:ascii="MetaPro-Norm" w:hAnsi="MetaPro-Norm"/>
          <w:b/>
          <w:bCs/>
          <w:color w:val="282828"/>
          <w:shd w:val="clear" w:color="auto" w:fill="FFFFFF"/>
          <w:lang w:val="en-GB"/>
        </w:rPr>
        <w:t xml:space="preserve">y-laws and </w:t>
      </w:r>
      <w:r w:rsidR="005F4A6A">
        <w:rPr>
          <w:rFonts w:ascii="MetaPro-Norm" w:hAnsi="MetaPro-Norm"/>
          <w:b/>
          <w:bCs/>
          <w:color w:val="282828"/>
          <w:shd w:val="clear" w:color="auto" w:fill="FFFFFF"/>
          <w:lang w:val="en-GB"/>
        </w:rPr>
        <w:t>R</w:t>
      </w:r>
      <w:r w:rsidR="007F3B96" w:rsidRPr="00AE3113">
        <w:rPr>
          <w:rFonts w:ascii="MetaPro-Norm" w:hAnsi="MetaPro-Norm"/>
          <w:b/>
          <w:bCs/>
          <w:color w:val="282828"/>
          <w:shd w:val="clear" w:color="auto" w:fill="FFFFFF"/>
          <w:lang w:val="en-GB"/>
        </w:rPr>
        <w:t xml:space="preserve">egulations </w:t>
      </w:r>
      <w:r w:rsidR="00D27F48">
        <w:rPr>
          <w:rFonts w:ascii="MetaPro-Norm" w:hAnsi="MetaPro-Norm"/>
          <w:b/>
          <w:bCs/>
          <w:color w:val="282828"/>
          <w:shd w:val="clear" w:color="auto" w:fill="FFFFFF"/>
          <w:lang w:val="en-GB"/>
        </w:rPr>
        <w:t xml:space="preserve">(Articles </w:t>
      </w:r>
      <w:r w:rsidR="00B27E24" w:rsidRPr="00AE3113">
        <w:rPr>
          <w:rFonts w:ascii="MetaPro-Norm" w:hAnsi="MetaPro-Norm"/>
          <w:b/>
          <w:bCs/>
          <w:color w:val="282828"/>
          <w:shd w:val="clear" w:color="auto" w:fill="FFFFFF"/>
          <w:lang w:val="en-GB"/>
        </w:rPr>
        <w:t>1 and 2</w:t>
      </w:r>
      <w:r w:rsidR="00D27F48">
        <w:rPr>
          <w:rFonts w:ascii="MetaPro-Norm" w:hAnsi="MetaPro-Norm"/>
          <w:b/>
          <w:bCs/>
          <w:color w:val="282828"/>
          <w:shd w:val="clear" w:color="auto" w:fill="FFFFFF"/>
          <w:lang w:val="en-GB"/>
        </w:rPr>
        <w:t>)</w:t>
      </w:r>
      <w:r w:rsidR="005F4A6A">
        <w:rPr>
          <w:rFonts w:ascii="MetaPro-Norm" w:hAnsi="MetaPro-Norm"/>
          <w:b/>
          <w:bCs/>
          <w:color w:val="282828"/>
          <w:shd w:val="clear" w:color="auto" w:fill="FFFFFF"/>
          <w:lang w:val="en-GB"/>
        </w:rPr>
        <w:br/>
      </w:r>
    </w:p>
    <w:p w14:paraId="0A7DC20C" w14:textId="3657D95B" w:rsidR="000C2224" w:rsidRDefault="00D27F48" w:rsidP="00772D79">
      <w:pPr>
        <w:rPr>
          <w:rFonts w:ascii="MetaPro-Norm" w:hAnsi="MetaPro-Norm"/>
        </w:rPr>
      </w:pPr>
      <w:r w:rsidRPr="00AE3113">
        <w:rPr>
          <w:rFonts w:ascii="MetaPro-Norm" w:hAnsi="MetaPro-Norm"/>
        </w:rPr>
        <w:t xml:space="preserve">Under </w:t>
      </w:r>
      <w:r w:rsidR="000402DC">
        <w:rPr>
          <w:rFonts w:ascii="MetaPro-Norm" w:hAnsi="MetaPro-Norm"/>
        </w:rPr>
        <w:t>CEDAW</w:t>
      </w:r>
      <w:r w:rsidRPr="00AE3113">
        <w:rPr>
          <w:rFonts w:ascii="MetaPro-Norm" w:hAnsi="MetaPro-Norm"/>
        </w:rPr>
        <w:t xml:space="preserve">, </w:t>
      </w:r>
      <w:hyperlink r:id="rId12" w:anchor="_ftn216" w:history="1"/>
      <w:r w:rsidR="000C2224" w:rsidRPr="00EB0859">
        <w:rPr>
          <w:rFonts w:ascii="MetaPro-Norm" w:hAnsi="MetaPro-Norm"/>
        </w:rPr>
        <w:t xml:space="preserve">states </w:t>
      </w:r>
      <w:r>
        <w:rPr>
          <w:rFonts w:ascii="MetaPro-Norm" w:hAnsi="MetaPro-Norm"/>
        </w:rPr>
        <w:t xml:space="preserve">have an obligation </w:t>
      </w:r>
      <w:r w:rsidR="000C2224" w:rsidRPr="00EB0859">
        <w:rPr>
          <w:rFonts w:ascii="MetaPro-Norm" w:hAnsi="MetaPro-Norm"/>
        </w:rPr>
        <w:t>to “refrain from engaging in any act or practice of discrimination against women,” to ensure that public authorities and institutions similarly refrain from doing so, and to “take all appropriate measures to eliminate discrimination against women by any person, organization or enterprise.”</w:t>
      </w:r>
      <w:bookmarkStart w:id="1" w:name="_ftnref218"/>
      <w:r w:rsidR="00BF7840">
        <w:rPr>
          <w:rStyle w:val="FootnoteReference"/>
          <w:rFonts w:ascii="MetaPro-Norm" w:hAnsi="MetaPro-Norm"/>
        </w:rPr>
        <w:footnoteReference w:id="2"/>
      </w:r>
      <w:r w:rsidR="00BF7840" w:rsidRPr="00EB0859">
        <w:rPr>
          <w:rFonts w:ascii="MetaPro-Norm" w:hAnsi="MetaPro-Norm"/>
        </w:rPr>
        <w:t xml:space="preserve"> </w:t>
      </w:r>
      <w:hyperlink r:id="rId13" w:anchor="_ftn218" w:history="1"/>
      <w:bookmarkEnd w:id="1"/>
      <w:r w:rsidR="000C2224" w:rsidRPr="00EB0859">
        <w:rPr>
          <w:rFonts w:ascii="MetaPro-Norm" w:hAnsi="MetaPro-Norm"/>
        </w:rPr>
        <w:t> </w:t>
      </w:r>
    </w:p>
    <w:p w14:paraId="6A64AB5A" w14:textId="77777777" w:rsidR="000C2224" w:rsidRDefault="000C2224" w:rsidP="00772D79">
      <w:pPr>
        <w:rPr>
          <w:rFonts w:ascii="MetaPro-Norm" w:hAnsi="MetaPro-Norm"/>
        </w:rPr>
      </w:pPr>
    </w:p>
    <w:p w14:paraId="55523804" w14:textId="5F81DDFB" w:rsidR="00091F5F" w:rsidRPr="00091F5F" w:rsidRDefault="00D27F48" w:rsidP="00772D79">
      <w:pPr>
        <w:rPr>
          <w:rFonts w:ascii="MetaPro-Norm" w:hAnsi="MetaPro-Norm"/>
        </w:rPr>
      </w:pPr>
      <w:r>
        <w:rPr>
          <w:rFonts w:ascii="MetaPro-Norm" w:hAnsi="MetaPro-Norm"/>
        </w:rPr>
        <w:t>In its eighth periodic report, t</w:t>
      </w:r>
      <w:r w:rsidR="00091F5F">
        <w:rPr>
          <w:rFonts w:ascii="MetaPro-Norm" w:hAnsi="MetaPro-Norm"/>
        </w:rPr>
        <w:t xml:space="preserve">he </w:t>
      </w:r>
      <w:r>
        <w:rPr>
          <w:rFonts w:ascii="MetaPro-Norm" w:hAnsi="MetaPro-Norm"/>
        </w:rPr>
        <w:t xml:space="preserve">government of </w:t>
      </w:r>
      <w:r w:rsidR="00091F5F">
        <w:rPr>
          <w:rFonts w:ascii="MetaPro-Norm" w:hAnsi="MetaPro-Norm"/>
        </w:rPr>
        <w:t>Indonesia states, “</w:t>
      </w:r>
      <w:r w:rsidR="00091F5F" w:rsidRPr="00091F5F">
        <w:rPr>
          <w:rFonts w:ascii="MetaPro-Norm" w:hAnsi="MetaPro-Norm"/>
        </w:rPr>
        <w:t>The equality of all Indonesian citizens as well as their rights to non-discrimination is guaranteed under various legal provisions,</w:t>
      </w:r>
      <w:r w:rsidR="000402DC">
        <w:rPr>
          <w:rFonts w:ascii="MetaPro-Norm" w:hAnsi="MetaPro-Norm"/>
        </w:rPr>
        <w:t>”</w:t>
      </w:r>
      <w:r w:rsidR="00091F5F" w:rsidRPr="00091F5F">
        <w:rPr>
          <w:rFonts w:ascii="MetaPro-Norm" w:hAnsi="MetaPro-Norm"/>
        </w:rPr>
        <w:t xml:space="preserve"> namely a) </w:t>
      </w:r>
      <w:r w:rsidR="000402DC">
        <w:rPr>
          <w:rFonts w:ascii="MetaPro-Norm" w:hAnsi="MetaPro-Norm"/>
        </w:rPr>
        <w:t>t</w:t>
      </w:r>
      <w:r w:rsidR="00091F5F" w:rsidRPr="00091F5F">
        <w:rPr>
          <w:rFonts w:ascii="MetaPro-Norm" w:hAnsi="MetaPro-Norm"/>
        </w:rPr>
        <w:t xml:space="preserve">he 1945 Constitution of the Republic of Indonesia, in </w:t>
      </w:r>
      <w:r w:rsidR="000402DC">
        <w:rPr>
          <w:rFonts w:ascii="MetaPro-Norm" w:hAnsi="MetaPro-Norm"/>
        </w:rPr>
        <w:t>a</w:t>
      </w:r>
      <w:r w:rsidR="00091F5F" w:rsidRPr="00091F5F">
        <w:rPr>
          <w:rFonts w:ascii="MetaPro-Norm" w:hAnsi="MetaPro-Norm"/>
        </w:rPr>
        <w:t>rticle 28I</w:t>
      </w:r>
      <w:r w:rsidR="000402DC">
        <w:rPr>
          <w:rFonts w:ascii="MetaPro-Norm" w:hAnsi="MetaPro-Norm"/>
        </w:rPr>
        <w:t>(2)</w:t>
      </w:r>
      <w:r w:rsidR="00091F5F" w:rsidRPr="00091F5F">
        <w:rPr>
          <w:rFonts w:ascii="MetaPro-Norm" w:hAnsi="MetaPro-Norm"/>
        </w:rPr>
        <w:t xml:space="preserve"> on freedom from and protection against discriminatory treatment on any basis;</w:t>
      </w:r>
      <w:r w:rsidR="008C54FC">
        <w:rPr>
          <w:rFonts w:ascii="MetaPro-Norm" w:hAnsi="MetaPro-Norm"/>
        </w:rPr>
        <w:t xml:space="preserve">  </w:t>
      </w:r>
      <w:r w:rsidR="00091F5F" w:rsidRPr="00091F5F">
        <w:rPr>
          <w:rFonts w:ascii="MetaPro-Norm" w:hAnsi="MetaPro-Norm"/>
        </w:rPr>
        <w:t xml:space="preserve">b) Law No. 39/1999 on Human Rights in </w:t>
      </w:r>
      <w:r w:rsidR="000402DC">
        <w:rPr>
          <w:rFonts w:ascii="MetaPro-Norm" w:hAnsi="MetaPro-Norm"/>
        </w:rPr>
        <w:t>a</w:t>
      </w:r>
      <w:r w:rsidR="00091F5F" w:rsidRPr="00091F5F">
        <w:rPr>
          <w:rFonts w:ascii="MetaPro-Norm" w:hAnsi="MetaPro-Norm"/>
        </w:rPr>
        <w:t xml:space="preserve">rticle 3(2) on equality before the law, and </w:t>
      </w:r>
      <w:r w:rsidR="000402DC">
        <w:rPr>
          <w:rFonts w:ascii="MetaPro-Norm" w:hAnsi="MetaPro-Norm"/>
        </w:rPr>
        <w:t>3</w:t>
      </w:r>
      <w:r w:rsidR="00091F5F" w:rsidRPr="00091F5F">
        <w:rPr>
          <w:rFonts w:ascii="MetaPro-Norm" w:hAnsi="MetaPro-Norm"/>
        </w:rPr>
        <w:t>(3) on freedom from discrimination.</w:t>
      </w:r>
      <w:r w:rsidR="00727217">
        <w:rPr>
          <w:rStyle w:val="FootnoteReference"/>
          <w:rFonts w:ascii="MetaPro-Norm" w:hAnsi="MetaPro-Norm"/>
        </w:rPr>
        <w:footnoteReference w:id="3"/>
      </w:r>
    </w:p>
    <w:p w14:paraId="4E8DDF27" w14:textId="77777777" w:rsidR="00091F5F" w:rsidRDefault="00091F5F" w:rsidP="00772D79">
      <w:pPr>
        <w:rPr>
          <w:rFonts w:ascii="MetaPro-Norm" w:hAnsi="MetaPro-Norm"/>
        </w:rPr>
      </w:pPr>
    </w:p>
    <w:p w14:paraId="4F54729F" w14:textId="142DBEAD" w:rsidR="00581B12" w:rsidRPr="003072D3" w:rsidRDefault="000C2224" w:rsidP="00772D79">
      <w:pPr>
        <w:rPr>
          <w:rFonts w:ascii="MetaPro-Norm" w:hAnsi="MetaPro-Norm"/>
        </w:rPr>
      </w:pPr>
      <w:r w:rsidRPr="00EB0859">
        <w:rPr>
          <w:rFonts w:ascii="MetaPro-Norm" w:hAnsi="MetaPro-Norm"/>
        </w:rPr>
        <w:t>Indonesia’s mandatory hijab regulations, which mandate that women and girls wear hijab</w:t>
      </w:r>
      <w:r w:rsidR="00451392">
        <w:rPr>
          <w:rFonts w:ascii="MetaPro-Norm" w:hAnsi="MetaPro-Norm"/>
        </w:rPr>
        <w:t>s</w:t>
      </w:r>
      <w:r w:rsidRPr="00EB0859">
        <w:rPr>
          <w:rFonts w:ascii="MetaPro-Norm" w:hAnsi="MetaPro-Norm"/>
        </w:rPr>
        <w:t>, prohibit them from wearing close-fitting clothing, and require them to cover</w:t>
      </w:r>
      <w:r w:rsidR="008C54FC">
        <w:rPr>
          <w:rFonts w:ascii="MetaPro-Norm" w:hAnsi="MetaPro-Norm"/>
        </w:rPr>
        <w:t xml:space="preserve">  </w:t>
      </w:r>
      <w:r w:rsidRPr="00EB0859">
        <w:rPr>
          <w:rFonts w:ascii="MetaPro-Norm" w:hAnsi="MetaPro-Norm"/>
        </w:rPr>
        <w:t xml:space="preserve">their bodies except their hands, feet, and face, </w:t>
      </w:r>
      <w:r w:rsidR="000402DC">
        <w:rPr>
          <w:rFonts w:ascii="MetaPro-Norm" w:hAnsi="MetaPro-Norm"/>
        </w:rPr>
        <w:t>are contrary to its international legal</w:t>
      </w:r>
      <w:r w:rsidR="00AE3113">
        <w:rPr>
          <w:rFonts w:ascii="MetaPro-Norm" w:hAnsi="MetaPro-Norm"/>
        </w:rPr>
        <w:t xml:space="preserve"> obligations</w:t>
      </w:r>
      <w:r w:rsidRPr="00EB0859">
        <w:rPr>
          <w:rFonts w:ascii="MetaPro-Norm" w:hAnsi="MetaPro-Norm"/>
        </w:rPr>
        <w:t xml:space="preserve">. </w:t>
      </w:r>
      <w:r w:rsidR="001013B6" w:rsidRPr="003072D3">
        <w:rPr>
          <w:rFonts w:ascii="MetaPro-Norm" w:hAnsi="MetaPro-Norm"/>
        </w:rPr>
        <w:t xml:space="preserve">Indonesia’s </w:t>
      </w:r>
      <w:r w:rsidR="001B6251" w:rsidRPr="003072D3">
        <w:rPr>
          <w:rFonts w:ascii="MetaPro-Norm" w:hAnsi="MetaPro-Norm"/>
        </w:rPr>
        <w:t>National Commission on Violence Against Women (</w:t>
      </w:r>
      <w:r w:rsidR="001B6251" w:rsidRPr="003072D3">
        <w:rPr>
          <w:rFonts w:ascii="MetaPro-Norm" w:hAnsi="MetaPro-Norm"/>
          <w:i/>
          <w:iCs/>
        </w:rPr>
        <w:t>Komnas Perempuan</w:t>
      </w:r>
      <w:r w:rsidR="001B6251" w:rsidRPr="003072D3">
        <w:rPr>
          <w:rFonts w:ascii="MetaPro-Norm" w:hAnsi="MetaPro-Norm"/>
        </w:rPr>
        <w:t xml:space="preserve">) </w:t>
      </w:r>
      <w:r w:rsidR="001013B6" w:rsidRPr="003072D3">
        <w:rPr>
          <w:rFonts w:ascii="MetaPro-Norm" w:hAnsi="MetaPro-Norm"/>
        </w:rPr>
        <w:t>identified</w:t>
      </w:r>
      <w:r w:rsidR="001B6251" w:rsidRPr="003072D3">
        <w:rPr>
          <w:rFonts w:ascii="MetaPro-Norm" w:hAnsi="MetaPro-Norm"/>
        </w:rPr>
        <w:t xml:space="preserve"> </w:t>
      </w:r>
      <w:r w:rsidR="00A802BF">
        <w:rPr>
          <w:rFonts w:ascii="MetaPro-Norm" w:hAnsi="MetaPro-Norm"/>
        </w:rPr>
        <w:t xml:space="preserve">how hundreds of </w:t>
      </w:r>
      <w:r w:rsidR="001013B6" w:rsidRPr="003072D3">
        <w:rPr>
          <w:rFonts w:ascii="MetaPro-Norm" w:hAnsi="MetaPro-Norm"/>
        </w:rPr>
        <w:t xml:space="preserve">discriminatory </w:t>
      </w:r>
      <w:r w:rsidR="00A802BF">
        <w:rPr>
          <w:rFonts w:ascii="MetaPro-Norm" w:hAnsi="MetaPro-Norm"/>
        </w:rPr>
        <w:t xml:space="preserve">national and </w:t>
      </w:r>
      <w:r w:rsidR="001013B6" w:rsidRPr="003072D3">
        <w:rPr>
          <w:rFonts w:ascii="MetaPro-Norm" w:hAnsi="MetaPro-Norm"/>
        </w:rPr>
        <w:t xml:space="preserve">local </w:t>
      </w:r>
      <w:r w:rsidR="00A802BF">
        <w:rPr>
          <w:rFonts w:ascii="MetaPro-Norm" w:hAnsi="MetaPro-Norm"/>
        </w:rPr>
        <w:t xml:space="preserve">regulations </w:t>
      </w:r>
      <w:r w:rsidR="00D17919" w:rsidRPr="00EB0859">
        <w:rPr>
          <w:rFonts w:ascii="MetaPro-Norm" w:hAnsi="MetaPro-Norm"/>
        </w:rPr>
        <w:t>are harming women</w:t>
      </w:r>
      <w:r w:rsidR="00246B8E">
        <w:rPr>
          <w:rFonts w:ascii="MetaPro-Norm" w:hAnsi="MetaPro-Norm"/>
        </w:rPr>
        <w:t xml:space="preserve">, including </w:t>
      </w:r>
      <w:r w:rsidR="00E65AA7">
        <w:rPr>
          <w:rFonts w:ascii="MetaPro-Norm" w:hAnsi="MetaPro-Norm"/>
        </w:rPr>
        <w:t xml:space="preserve">forcing women and girls to wear the </w:t>
      </w:r>
      <w:r w:rsidR="001013B6" w:rsidRPr="003072D3">
        <w:rPr>
          <w:rFonts w:ascii="MetaPro-Norm" w:hAnsi="MetaPro-Norm"/>
        </w:rPr>
        <w:t xml:space="preserve">hijab </w:t>
      </w:r>
      <w:r w:rsidR="00E65AA7">
        <w:rPr>
          <w:rFonts w:ascii="MetaPro-Norm" w:hAnsi="MetaPro-Norm"/>
        </w:rPr>
        <w:t>in government buildings, schools</w:t>
      </w:r>
      <w:r w:rsidR="00A802BF">
        <w:rPr>
          <w:rFonts w:ascii="MetaPro-Norm" w:hAnsi="MetaPro-Norm"/>
        </w:rPr>
        <w:t xml:space="preserve"> or public places</w:t>
      </w:r>
      <w:r w:rsidR="001013B6" w:rsidRPr="003072D3">
        <w:rPr>
          <w:rFonts w:ascii="MetaPro-Norm" w:hAnsi="MetaPro-Norm"/>
        </w:rPr>
        <w:t xml:space="preserve">, curfews, and other restrictions </w:t>
      </w:r>
      <w:r w:rsidR="00197C92" w:rsidRPr="003072D3">
        <w:rPr>
          <w:rFonts w:ascii="MetaPro-Norm" w:hAnsi="MetaPro-Norm"/>
        </w:rPr>
        <w:t xml:space="preserve">against </w:t>
      </w:r>
      <w:r w:rsidR="001013B6" w:rsidRPr="003072D3">
        <w:rPr>
          <w:rFonts w:ascii="MetaPro-Norm" w:hAnsi="MetaPro-Norm"/>
        </w:rPr>
        <w:t>women</w:t>
      </w:r>
      <w:r w:rsidR="00197C92" w:rsidRPr="003072D3">
        <w:rPr>
          <w:rFonts w:ascii="MetaPro-Norm" w:hAnsi="MetaPro-Norm"/>
        </w:rPr>
        <w:t xml:space="preserve"> and girls</w:t>
      </w:r>
      <w:r w:rsidR="001013B6" w:rsidRPr="003072D3">
        <w:rPr>
          <w:rFonts w:ascii="MetaPro-Norm" w:hAnsi="MetaPro-Norm"/>
        </w:rPr>
        <w:t>.</w:t>
      </w:r>
      <w:r w:rsidR="001013B6" w:rsidRPr="003072D3">
        <w:rPr>
          <w:rStyle w:val="FootnoteReference"/>
          <w:rFonts w:ascii="MetaPro-Norm" w:hAnsi="MetaPro-Norm"/>
        </w:rPr>
        <w:footnoteReference w:id="4"/>
      </w:r>
    </w:p>
    <w:p w14:paraId="6AED35AD" w14:textId="293117CC" w:rsidR="00197C92" w:rsidRPr="003072D3" w:rsidRDefault="00197C92" w:rsidP="00772D79">
      <w:pPr>
        <w:rPr>
          <w:rFonts w:ascii="MetaPro-Norm" w:hAnsi="MetaPro-Norm"/>
        </w:rPr>
      </w:pPr>
    </w:p>
    <w:p w14:paraId="5B6AC0F4" w14:textId="24E1C55A" w:rsidR="00197C92" w:rsidRPr="003072D3" w:rsidRDefault="00197C92" w:rsidP="00772D79">
      <w:pPr>
        <w:rPr>
          <w:rFonts w:ascii="MetaPro-Norm" w:hAnsi="MetaPro-Norm"/>
        </w:rPr>
      </w:pPr>
      <w:r w:rsidRPr="003072D3">
        <w:rPr>
          <w:rFonts w:ascii="MetaPro-Norm" w:hAnsi="MetaPro-Norm"/>
        </w:rPr>
        <w:t>In June 2014, Education Minister Mohammad Nuh issued a regulation that, while ambiguously worded, implie</w:t>
      </w:r>
      <w:r w:rsidR="00DA414C">
        <w:rPr>
          <w:rFonts w:ascii="MetaPro-Norm" w:hAnsi="MetaPro-Norm"/>
        </w:rPr>
        <w:t>d</w:t>
      </w:r>
      <w:r w:rsidRPr="003072D3">
        <w:rPr>
          <w:rFonts w:ascii="MetaPro-Norm" w:hAnsi="MetaPro-Norm"/>
        </w:rPr>
        <w:t xml:space="preserve"> that all female Muslim students, from grade</w:t>
      </w:r>
      <w:r w:rsidR="000402DC">
        <w:rPr>
          <w:rFonts w:ascii="MetaPro-Norm" w:hAnsi="MetaPro-Norm"/>
        </w:rPr>
        <w:t>s</w:t>
      </w:r>
      <w:r w:rsidRPr="003072D3">
        <w:rPr>
          <w:rFonts w:ascii="MetaPro-Norm" w:hAnsi="MetaPro-Norm"/>
        </w:rPr>
        <w:t xml:space="preserve"> 1 to 12, must wear a hijab as part of their school uniform.</w:t>
      </w:r>
      <w:r w:rsidR="0063213A" w:rsidRPr="003072D3">
        <w:rPr>
          <w:rStyle w:val="FootnoteReference"/>
        </w:rPr>
        <w:footnoteReference w:id="5"/>
      </w:r>
      <w:r w:rsidRPr="003072D3">
        <w:rPr>
          <w:rFonts w:ascii="MetaPro-Norm" w:hAnsi="MetaPro-Norm"/>
        </w:rPr>
        <w:t xml:space="preserve"> </w:t>
      </w:r>
      <w:r w:rsidR="000402DC">
        <w:rPr>
          <w:rFonts w:ascii="MetaPro-Norm" w:hAnsi="MetaPro-Norm"/>
        </w:rPr>
        <w:t>M</w:t>
      </w:r>
      <w:r w:rsidR="000402DC" w:rsidRPr="003072D3">
        <w:rPr>
          <w:rFonts w:ascii="MetaPro-Norm" w:hAnsi="MetaPro-Norm"/>
        </w:rPr>
        <w:t>any government officials and schools</w:t>
      </w:r>
      <w:r w:rsidR="000402DC">
        <w:rPr>
          <w:rFonts w:ascii="MetaPro-Norm" w:hAnsi="MetaPro-Norm"/>
        </w:rPr>
        <w:t xml:space="preserve"> have interpreted </w:t>
      </w:r>
      <w:r w:rsidRPr="003072D3">
        <w:rPr>
          <w:rFonts w:ascii="MetaPro-Norm" w:hAnsi="MetaPro-Norm"/>
        </w:rPr>
        <w:t xml:space="preserve">the regulation </w:t>
      </w:r>
      <w:r w:rsidR="000402DC">
        <w:rPr>
          <w:rFonts w:ascii="MetaPro-Norm" w:hAnsi="MetaPro-Norm"/>
        </w:rPr>
        <w:t>that way. Currently</w:t>
      </w:r>
      <w:r w:rsidRPr="003072D3">
        <w:rPr>
          <w:rFonts w:ascii="MetaPro-Norm" w:hAnsi="MetaPro-Norm"/>
        </w:rPr>
        <w:t>, most of Indonesia’s almost 300,000 public schools, particularly in the 24 predominantly Muslim provinces</w:t>
      </w:r>
      <w:r w:rsidR="00F06647" w:rsidRPr="003072D3">
        <w:rPr>
          <w:rFonts w:ascii="MetaPro-Norm" w:hAnsi="MetaPro-Norm"/>
        </w:rPr>
        <w:t xml:space="preserve"> of a total 34 provinces</w:t>
      </w:r>
      <w:r w:rsidRPr="003072D3">
        <w:rPr>
          <w:rFonts w:ascii="MetaPro-Norm" w:hAnsi="MetaPro-Norm"/>
        </w:rPr>
        <w:t>, require Muslim girls to wear the hijab beginning in primary school.</w:t>
      </w:r>
      <w:r w:rsidRPr="003072D3">
        <w:rPr>
          <w:rStyle w:val="FootnoteReference"/>
          <w:rFonts w:ascii="MetaPro-Norm" w:hAnsi="MetaPro-Norm"/>
        </w:rPr>
        <w:footnoteReference w:id="6"/>
      </w:r>
    </w:p>
    <w:p w14:paraId="00CAA724" w14:textId="77777777" w:rsidR="00EB0859" w:rsidRDefault="00EB0859" w:rsidP="00772D79">
      <w:pPr>
        <w:rPr>
          <w:rFonts w:ascii="MetaPro-Norm" w:hAnsi="MetaPro-Norm"/>
        </w:rPr>
      </w:pPr>
    </w:p>
    <w:p w14:paraId="1962DC16" w14:textId="4C5D819C" w:rsidR="0063213A" w:rsidRPr="003072D3" w:rsidRDefault="00955547" w:rsidP="00772D79">
      <w:pPr>
        <w:rPr>
          <w:rFonts w:ascii="MetaPro-Norm" w:hAnsi="MetaPro-Norm"/>
        </w:rPr>
      </w:pPr>
      <w:r>
        <w:rPr>
          <w:rFonts w:ascii="MetaPro-Norm" w:hAnsi="MetaPro-Norm"/>
        </w:rPr>
        <w:lastRenderedPageBreak/>
        <w:t>S</w:t>
      </w:r>
      <w:r w:rsidR="0063213A" w:rsidRPr="003072D3">
        <w:rPr>
          <w:rFonts w:ascii="MetaPro-Norm" w:hAnsi="MetaPro-Norm"/>
        </w:rPr>
        <w:t xml:space="preserve">ome provinces and regencies </w:t>
      </w:r>
      <w:r w:rsidR="00504307">
        <w:rPr>
          <w:rFonts w:ascii="MetaPro-Norm" w:hAnsi="MetaPro-Norm"/>
        </w:rPr>
        <w:t xml:space="preserve">have </w:t>
      </w:r>
      <w:r w:rsidR="008E0246">
        <w:rPr>
          <w:rFonts w:ascii="MetaPro-Norm" w:hAnsi="MetaPro-Norm"/>
        </w:rPr>
        <w:t xml:space="preserve">introduced local rules that </w:t>
      </w:r>
      <w:r w:rsidR="0063213A" w:rsidRPr="003072D3">
        <w:rPr>
          <w:rFonts w:ascii="MetaPro-Norm" w:hAnsi="MetaPro-Norm"/>
        </w:rPr>
        <w:t xml:space="preserve">force </w:t>
      </w:r>
      <w:r w:rsidR="00B866A0">
        <w:rPr>
          <w:rFonts w:ascii="MetaPro-Norm" w:hAnsi="MetaPro-Norm"/>
        </w:rPr>
        <w:t xml:space="preserve">even non-Muslim </w:t>
      </w:r>
      <w:r w:rsidR="0063213A" w:rsidRPr="003072D3">
        <w:rPr>
          <w:rFonts w:ascii="MetaPro-Norm" w:hAnsi="MetaPro-Norm"/>
        </w:rPr>
        <w:t>girls to wear hijabs</w:t>
      </w:r>
      <w:r w:rsidR="00504307">
        <w:rPr>
          <w:rFonts w:ascii="MetaPro-Norm" w:hAnsi="MetaPro-Norm"/>
        </w:rPr>
        <w:t>,</w:t>
      </w:r>
      <w:r w:rsidR="0063213A" w:rsidRPr="003072D3">
        <w:rPr>
          <w:rFonts w:ascii="MetaPro-Norm" w:hAnsi="MetaPro-Norm"/>
        </w:rPr>
        <w:t xml:space="preserve"> such as West Sumatra</w:t>
      </w:r>
      <w:r w:rsidR="00A2666D" w:rsidRPr="003072D3">
        <w:rPr>
          <w:rStyle w:val="FootnoteReference"/>
          <w:rFonts w:ascii="MetaPro-Norm" w:hAnsi="MetaPro-Norm"/>
        </w:rPr>
        <w:footnoteReference w:id="7"/>
      </w:r>
      <w:r w:rsidR="0063213A" w:rsidRPr="003072D3">
        <w:rPr>
          <w:rFonts w:ascii="MetaPro-Norm" w:hAnsi="MetaPro-Norm"/>
        </w:rPr>
        <w:t xml:space="preserve"> and Aceh</w:t>
      </w:r>
      <w:r w:rsidR="00747E45" w:rsidRPr="003072D3">
        <w:rPr>
          <w:rStyle w:val="FootnoteReference"/>
        </w:rPr>
        <w:footnoteReference w:id="8"/>
      </w:r>
      <w:r w:rsidR="0063213A" w:rsidRPr="003072D3">
        <w:rPr>
          <w:rFonts w:ascii="MetaPro-Norm" w:hAnsi="MetaPro-Norm"/>
        </w:rPr>
        <w:t xml:space="preserve"> on Sumatra, </w:t>
      </w:r>
      <w:r w:rsidR="008C650C">
        <w:rPr>
          <w:rFonts w:ascii="MetaPro-Norm" w:hAnsi="MetaPro-Norm"/>
        </w:rPr>
        <w:t xml:space="preserve">and </w:t>
      </w:r>
      <w:r w:rsidR="0063213A" w:rsidRPr="003072D3">
        <w:rPr>
          <w:rFonts w:ascii="MetaPro-Norm" w:hAnsi="MetaPro-Norm"/>
        </w:rPr>
        <w:t>Yogyakarta</w:t>
      </w:r>
      <w:r w:rsidR="00747E45" w:rsidRPr="003072D3">
        <w:rPr>
          <w:rStyle w:val="FootnoteReference"/>
        </w:rPr>
        <w:footnoteReference w:id="9"/>
      </w:r>
      <w:r w:rsidR="0063213A" w:rsidRPr="003072D3">
        <w:rPr>
          <w:rFonts w:ascii="MetaPro-Norm" w:hAnsi="MetaPro-Norm"/>
        </w:rPr>
        <w:t xml:space="preserve"> and Banyuwangi</w:t>
      </w:r>
      <w:r w:rsidR="00691FE6" w:rsidRPr="003072D3">
        <w:rPr>
          <w:rStyle w:val="FootnoteReference"/>
          <w:rFonts w:ascii="MetaPro-Norm" w:hAnsi="MetaPro-Norm"/>
        </w:rPr>
        <w:footnoteReference w:id="10"/>
      </w:r>
      <w:r w:rsidR="0063213A" w:rsidRPr="003072D3">
        <w:rPr>
          <w:rFonts w:ascii="MetaPro-Norm" w:hAnsi="MetaPro-Norm"/>
        </w:rPr>
        <w:t xml:space="preserve"> on Java.</w:t>
      </w:r>
    </w:p>
    <w:p w14:paraId="58078AD4" w14:textId="3465D982" w:rsidR="00540B39" w:rsidRPr="003072D3" w:rsidRDefault="00540B39" w:rsidP="00772D79">
      <w:pPr>
        <w:rPr>
          <w:rFonts w:ascii="MetaPro-Norm" w:hAnsi="MetaPro-Norm"/>
        </w:rPr>
      </w:pPr>
    </w:p>
    <w:p w14:paraId="367D0BCA" w14:textId="739CA043" w:rsidR="00B32BE1" w:rsidRDefault="00B32BE1" w:rsidP="00772D79">
      <w:pPr>
        <w:rPr>
          <w:rFonts w:ascii="MetaPro-Norm" w:hAnsi="MetaPro-Norm"/>
        </w:rPr>
      </w:pPr>
      <w:r w:rsidRPr="003072D3">
        <w:rPr>
          <w:rFonts w:ascii="MetaPro-Norm" w:hAnsi="MetaPro-Norm"/>
        </w:rPr>
        <w:t>Human Rights Watch opposes both forced veiling and blanket bans on the wearing of religious dress as disproportionate and discriminatory interference with basic rights.</w:t>
      </w:r>
    </w:p>
    <w:p w14:paraId="2A5B8D51" w14:textId="13A18C00" w:rsidR="007F3B96" w:rsidRDefault="007F3B96" w:rsidP="00772D79">
      <w:pPr>
        <w:rPr>
          <w:rFonts w:ascii="MetaPro-Norm" w:hAnsi="MetaPro-Norm"/>
        </w:rPr>
      </w:pPr>
    </w:p>
    <w:p w14:paraId="52489D0C" w14:textId="045CD46E" w:rsidR="008E7310" w:rsidRPr="00EB0859" w:rsidRDefault="007F3B96" w:rsidP="00772D79">
      <w:pPr>
        <w:rPr>
          <w:rFonts w:ascii="MetaPro-Norm" w:hAnsi="MetaPro-Norm"/>
        </w:rPr>
      </w:pPr>
      <w:r w:rsidRPr="00EB0859">
        <w:rPr>
          <w:rFonts w:ascii="MetaPro-Norm" w:hAnsi="MetaPro-Norm"/>
        </w:rPr>
        <w:t>Aceh is the only one of Indonesia’s 34 provinces that can legally adopt </w:t>
      </w:r>
      <w:r w:rsidR="00904AA8">
        <w:rPr>
          <w:rFonts w:ascii="MetaPro-Norm" w:hAnsi="MetaPro-Norm"/>
        </w:rPr>
        <w:t xml:space="preserve">provincial </w:t>
      </w:r>
      <w:hyperlink r:id="rId14" w:history="1">
        <w:r w:rsidRPr="00EB0859">
          <w:rPr>
            <w:rFonts w:ascii="MetaPro-Norm" w:hAnsi="MetaPro-Norm"/>
          </w:rPr>
          <w:t>bylaws derived from Sharia</w:t>
        </w:r>
      </w:hyperlink>
      <w:r w:rsidR="00504307">
        <w:rPr>
          <w:rFonts w:ascii="MetaPro-Norm" w:hAnsi="MetaPro-Norm"/>
        </w:rPr>
        <w:t xml:space="preserve"> (Islamic law)</w:t>
      </w:r>
      <w:r w:rsidRPr="00EB0859">
        <w:rPr>
          <w:rFonts w:ascii="MetaPro-Norm" w:hAnsi="MetaPro-Norm"/>
        </w:rPr>
        <w:t xml:space="preserve">. Since those bylaws </w:t>
      </w:r>
      <w:r w:rsidR="00DA414C">
        <w:rPr>
          <w:rFonts w:ascii="MetaPro-Norm" w:hAnsi="MetaPro-Norm"/>
        </w:rPr>
        <w:t>went</w:t>
      </w:r>
      <w:r w:rsidRPr="00EB0859">
        <w:rPr>
          <w:rFonts w:ascii="MetaPro-Norm" w:hAnsi="MetaPro-Norm"/>
        </w:rPr>
        <w:t xml:space="preserve"> into effect in 2001, Human Rights Watch has </w:t>
      </w:r>
      <w:hyperlink r:id="rId15" w:history="1">
        <w:r w:rsidRPr="00EB0859">
          <w:rPr>
            <w:rFonts w:ascii="MetaPro-Norm" w:hAnsi="MetaPro-Norm"/>
          </w:rPr>
          <w:t>documented</w:t>
        </w:r>
      </w:hyperlink>
      <w:r w:rsidRPr="00EB0859">
        <w:rPr>
          <w:rFonts w:ascii="MetaPro-Norm" w:hAnsi="MetaPro-Norm"/>
        </w:rPr>
        <w:t> human rights abuses linked to enforcement of Sharia</w:t>
      </w:r>
      <w:r w:rsidR="001F4930">
        <w:rPr>
          <w:rFonts w:ascii="MetaPro-Norm" w:hAnsi="MetaPro-Norm"/>
        </w:rPr>
        <w:t xml:space="preserve">-inspired </w:t>
      </w:r>
      <w:r w:rsidRPr="00EB0859">
        <w:rPr>
          <w:rFonts w:ascii="MetaPro-Norm" w:hAnsi="MetaPro-Norm"/>
        </w:rPr>
        <w:t>bylaws prohibiting adultery and imposing public dress requirements on Muslims.</w:t>
      </w:r>
      <w:r w:rsidR="00955547" w:rsidRPr="00955547">
        <w:rPr>
          <w:rFonts w:ascii="MetaPro-Norm" w:hAnsi="MetaPro-Norm"/>
        </w:rPr>
        <w:t xml:space="preserve"> </w:t>
      </w:r>
      <w:r w:rsidR="00955547" w:rsidRPr="00EB0859">
        <w:rPr>
          <w:rFonts w:ascii="MetaPro-Norm" w:hAnsi="MetaPro-Norm"/>
        </w:rPr>
        <w:t>While the dress requirement is gender-neutral on its face, in practice it imposes far more onerous restrictions on women with the mandatory hijab and long skirts.</w:t>
      </w:r>
      <w:r w:rsidR="005134BD">
        <w:rPr>
          <w:rStyle w:val="FootnoteReference"/>
          <w:rFonts w:ascii="MetaPro-Norm" w:hAnsi="MetaPro-Norm"/>
        </w:rPr>
        <w:footnoteReference w:id="11"/>
      </w:r>
      <w:r w:rsidRPr="00EB0859">
        <w:rPr>
          <w:rFonts w:ascii="MetaPro-Norm" w:hAnsi="MetaPro-Norm"/>
        </w:rPr>
        <w:t xml:space="preserve"> </w:t>
      </w:r>
    </w:p>
    <w:p w14:paraId="378488E2" w14:textId="7E2490B4" w:rsidR="007F3B96" w:rsidRDefault="007F3B96" w:rsidP="00772D79">
      <w:pPr>
        <w:rPr>
          <w:rFonts w:ascii="MetaPro-Norm" w:hAnsi="MetaPro-Norm"/>
        </w:rPr>
      </w:pPr>
      <w:r w:rsidRPr="00EB0859">
        <w:rPr>
          <w:rFonts w:ascii="MetaPro-Norm" w:hAnsi="MetaPro-Norm"/>
        </w:rPr>
        <w:br/>
        <w:t>Aceh’s so-called Sharia police have interpreted the broadly worded Sharia-inspired </w:t>
      </w:r>
      <w:hyperlink r:id="rId16" w:history="1">
        <w:r w:rsidRPr="00EB0859">
          <w:rPr>
            <w:rFonts w:ascii="MetaPro-Norm" w:hAnsi="MetaPro-Norm"/>
          </w:rPr>
          <w:t>adultery law</w:t>
        </w:r>
      </w:hyperlink>
      <w:r w:rsidRPr="00EB0859">
        <w:rPr>
          <w:rFonts w:ascii="MetaPro-Norm" w:hAnsi="MetaPro-Norm"/>
        </w:rPr>
        <w:t xml:space="preserve"> to prohibit merely sitting and talking in a “quiet” space with a </w:t>
      </w:r>
      <w:r w:rsidR="00C362D7">
        <w:rPr>
          <w:rFonts w:ascii="MetaPro-Norm" w:hAnsi="MetaPro-Norm"/>
        </w:rPr>
        <w:t xml:space="preserve">person </w:t>
      </w:r>
      <w:r w:rsidRPr="00EB0859">
        <w:rPr>
          <w:rFonts w:ascii="MetaPro-Norm" w:hAnsi="MetaPro-Norm"/>
        </w:rPr>
        <w:t xml:space="preserve">of </w:t>
      </w:r>
      <w:r w:rsidR="00C362D7">
        <w:rPr>
          <w:rFonts w:ascii="MetaPro-Norm" w:hAnsi="MetaPro-Norm"/>
        </w:rPr>
        <w:t xml:space="preserve">a different </w:t>
      </w:r>
      <w:r w:rsidRPr="00EB0859">
        <w:rPr>
          <w:rFonts w:ascii="MetaPro-Norm" w:hAnsi="MetaPro-Norm"/>
        </w:rPr>
        <w:t>sex to whom one is not married or related – even without any evidence of intimacy. Human Rights Watch has </w:t>
      </w:r>
      <w:hyperlink r:id="rId17" w:history="1">
        <w:r w:rsidRPr="00EB0859">
          <w:rPr>
            <w:rFonts w:ascii="MetaPro-Norm" w:hAnsi="MetaPro-Norm"/>
          </w:rPr>
          <w:t>documented such abuses</w:t>
        </w:r>
      </w:hyperlink>
      <w:r w:rsidRPr="00EB0859">
        <w:rPr>
          <w:rFonts w:ascii="MetaPro-Norm" w:hAnsi="MetaPro-Norm"/>
        </w:rPr>
        <w:t xml:space="preserve"> as aggressive </w:t>
      </w:r>
      <w:r w:rsidRPr="00EB0859">
        <w:rPr>
          <w:rFonts w:ascii="MetaPro-Norm" w:hAnsi="MetaPro-Norm"/>
        </w:rPr>
        <w:lastRenderedPageBreak/>
        <w:t>interrogation, conditioning the release of suspects upon their agreement to marry, and, in one case, the Sharia police’s rape of a woman during her detention.</w:t>
      </w:r>
      <w:r w:rsidR="00BA556A">
        <w:rPr>
          <w:rStyle w:val="FootnoteReference"/>
          <w:rFonts w:ascii="MetaPro-Norm" w:hAnsi="MetaPro-Norm"/>
        </w:rPr>
        <w:footnoteReference w:id="12"/>
      </w:r>
      <w:r w:rsidR="00026B25">
        <w:rPr>
          <w:rFonts w:ascii="MetaPro-Norm" w:hAnsi="MetaPro-Norm"/>
        </w:rPr>
        <w:t xml:space="preserve"> </w:t>
      </w:r>
    </w:p>
    <w:p w14:paraId="2B86BC0E" w14:textId="6AE94238" w:rsidR="00026B25" w:rsidRDefault="00026B25" w:rsidP="00772D79">
      <w:pPr>
        <w:rPr>
          <w:rFonts w:ascii="MetaPro-Norm" w:hAnsi="MetaPro-Norm"/>
        </w:rPr>
      </w:pPr>
    </w:p>
    <w:p w14:paraId="40380E24" w14:textId="5F22EF4B" w:rsidR="00026B25" w:rsidRDefault="00026B25" w:rsidP="00772D79">
      <w:pPr>
        <w:rPr>
          <w:rFonts w:ascii="MetaPro-Norm" w:hAnsi="MetaPro-Norm"/>
        </w:rPr>
      </w:pPr>
      <w:r>
        <w:rPr>
          <w:rFonts w:ascii="MetaPro-Norm" w:hAnsi="MetaPro-Norm"/>
        </w:rPr>
        <w:t xml:space="preserve">Aceh’s </w:t>
      </w:r>
      <w:r w:rsidRPr="00026B25">
        <w:rPr>
          <w:rFonts w:ascii="MetaPro-Norm" w:hAnsi="MetaPro-Norm"/>
        </w:rPr>
        <w:t>2014</w:t>
      </w:r>
      <w:r>
        <w:rPr>
          <w:rFonts w:ascii="MetaPro-Norm" w:hAnsi="MetaPro-Norm"/>
        </w:rPr>
        <w:t xml:space="preserve"> bylaws, called </w:t>
      </w:r>
      <w:r w:rsidRPr="00026B25">
        <w:rPr>
          <w:rFonts w:ascii="MetaPro-Norm" w:hAnsi="MetaPro-Norm"/>
        </w:rPr>
        <w:t>the Principles of the Islamic Bylaw and the Islamic criminal code (</w:t>
      </w:r>
      <w:r w:rsidR="00B1649C">
        <w:rPr>
          <w:rFonts w:ascii="MetaPro-Norm" w:hAnsi="MetaPro-Norm"/>
          <w:i/>
          <w:iCs/>
        </w:rPr>
        <w:t>q</w:t>
      </w:r>
      <w:r w:rsidRPr="00026B25">
        <w:rPr>
          <w:rFonts w:ascii="MetaPro-Norm" w:hAnsi="MetaPro-Norm"/>
          <w:i/>
          <w:iCs/>
        </w:rPr>
        <w:t xml:space="preserve">anun </w:t>
      </w:r>
      <w:r w:rsidR="00B1649C">
        <w:rPr>
          <w:rFonts w:ascii="MetaPro-Norm" w:hAnsi="MetaPro-Norm"/>
          <w:i/>
          <w:iCs/>
        </w:rPr>
        <w:t>j</w:t>
      </w:r>
      <w:r w:rsidRPr="00026B25">
        <w:rPr>
          <w:rFonts w:ascii="MetaPro-Norm" w:hAnsi="MetaPro-Norm"/>
          <w:i/>
          <w:iCs/>
        </w:rPr>
        <w:t>inayah</w:t>
      </w:r>
      <w:r w:rsidRPr="00026B25">
        <w:rPr>
          <w:rFonts w:ascii="MetaPro-Norm" w:hAnsi="MetaPro-Norm"/>
        </w:rPr>
        <w:t xml:space="preserve">), </w:t>
      </w:r>
      <w:r>
        <w:rPr>
          <w:rFonts w:ascii="MetaPro-Norm" w:hAnsi="MetaPro-Norm"/>
        </w:rPr>
        <w:t xml:space="preserve">also </w:t>
      </w:r>
      <w:r w:rsidRPr="00026B25">
        <w:rPr>
          <w:rFonts w:ascii="MetaPro-Norm" w:hAnsi="MetaPro-Norm"/>
        </w:rPr>
        <w:t>create</w:t>
      </w:r>
      <w:r>
        <w:rPr>
          <w:rFonts w:ascii="MetaPro-Norm" w:hAnsi="MetaPro-Norm"/>
        </w:rPr>
        <w:t>d</w:t>
      </w:r>
      <w:r w:rsidRPr="00026B25">
        <w:rPr>
          <w:rFonts w:ascii="MetaPro-Norm" w:hAnsi="MetaPro-Norm"/>
        </w:rPr>
        <w:t xml:space="preserve"> discriminatory offenses that do not exist in Indonesia</w:t>
      </w:r>
      <w:r w:rsidR="00504307">
        <w:rPr>
          <w:rFonts w:ascii="MetaPro-Norm" w:hAnsi="MetaPro-Norm"/>
        </w:rPr>
        <w:t>’s</w:t>
      </w:r>
      <w:r w:rsidRPr="00026B25">
        <w:rPr>
          <w:rFonts w:ascii="MetaPro-Norm" w:hAnsi="MetaPro-Norm"/>
        </w:rPr>
        <w:t xml:space="preserve"> national </w:t>
      </w:r>
      <w:r w:rsidR="00955547">
        <w:rPr>
          <w:rFonts w:ascii="MetaPro-Norm" w:hAnsi="MetaPro-Norm"/>
        </w:rPr>
        <w:t>laws</w:t>
      </w:r>
      <w:r w:rsidRPr="00026B25">
        <w:rPr>
          <w:rFonts w:ascii="MetaPro-Norm" w:hAnsi="MetaPro-Norm"/>
        </w:rPr>
        <w:t>. The bylaws extend Sharia</w:t>
      </w:r>
      <w:r>
        <w:rPr>
          <w:rFonts w:ascii="MetaPro-Norm" w:hAnsi="MetaPro-Norm"/>
        </w:rPr>
        <w:t xml:space="preserve"> </w:t>
      </w:r>
      <w:r w:rsidRPr="00026B25">
        <w:rPr>
          <w:rFonts w:ascii="MetaPro-Norm" w:hAnsi="MetaPro-Norm"/>
        </w:rPr>
        <w:t>to non-</w:t>
      </w:r>
      <w:r w:rsidR="00955547" w:rsidRPr="00026B25">
        <w:rPr>
          <w:rFonts w:ascii="MetaPro-Norm" w:hAnsi="MetaPro-Norm"/>
        </w:rPr>
        <w:t>Muslims and</w:t>
      </w:r>
      <w:r w:rsidR="00DA414C" w:rsidRPr="00026B25">
        <w:rPr>
          <w:rFonts w:ascii="MetaPro-Norm" w:hAnsi="MetaPro-Norm"/>
        </w:rPr>
        <w:t xml:space="preserve"> </w:t>
      </w:r>
      <w:r w:rsidRPr="00026B25">
        <w:rPr>
          <w:rFonts w:ascii="MetaPro-Norm" w:hAnsi="MetaPro-Norm"/>
        </w:rPr>
        <w:t xml:space="preserve">criminalize consensual same-sex sexual acts as well as all </w:t>
      </w:r>
      <w:r w:rsidRPr="00D47C3D">
        <w:rPr>
          <w:rFonts w:ascii="MetaPro-Norm" w:hAnsi="MetaPro-Norm"/>
          <w:i/>
          <w:iCs/>
        </w:rPr>
        <w:t>zina</w:t>
      </w:r>
      <w:r w:rsidRPr="00026B25">
        <w:rPr>
          <w:rFonts w:ascii="MetaPro-Norm" w:hAnsi="MetaPro-Norm"/>
        </w:rPr>
        <w:t xml:space="preserve"> (sexual relations outside of marriage). The criminal code permits as punishment up to 100 lashes and up to 100 months in prison for same-sex sex acts, while </w:t>
      </w:r>
      <w:r w:rsidRPr="00D47C3D">
        <w:rPr>
          <w:rFonts w:ascii="MetaPro-Norm" w:hAnsi="MetaPro-Norm"/>
          <w:i/>
          <w:iCs/>
        </w:rPr>
        <w:t>zina</w:t>
      </w:r>
      <w:r w:rsidRPr="00026B25">
        <w:rPr>
          <w:rFonts w:ascii="MetaPro-Norm" w:hAnsi="MetaPro-Norm"/>
        </w:rPr>
        <w:t xml:space="preserve"> violations carry a penalty of 100 lashes.</w:t>
      </w:r>
      <w:r w:rsidR="00C034F9">
        <w:rPr>
          <w:rStyle w:val="FootnoteReference"/>
          <w:rFonts w:ascii="MetaPro-Norm" w:hAnsi="MetaPro-Norm"/>
        </w:rPr>
        <w:footnoteReference w:id="13"/>
      </w:r>
    </w:p>
    <w:p w14:paraId="700669FA" w14:textId="3157984C" w:rsidR="00EA0CEB" w:rsidRDefault="00EA0CEB" w:rsidP="00772D79">
      <w:pPr>
        <w:rPr>
          <w:rFonts w:ascii="MetaPro-Norm" w:hAnsi="MetaPro-Norm"/>
        </w:rPr>
      </w:pPr>
    </w:p>
    <w:p w14:paraId="250BEE96" w14:textId="5CB4DEBB" w:rsidR="000312C5" w:rsidRDefault="00EA0CEB" w:rsidP="00772D79">
      <w:pPr>
        <w:rPr>
          <w:rFonts w:ascii="MetaPro-Norm" w:hAnsi="MetaPro-Norm"/>
        </w:rPr>
      </w:pPr>
      <w:r>
        <w:rPr>
          <w:rFonts w:ascii="MetaPro-Norm" w:hAnsi="MetaPro-Norm"/>
        </w:rPr>
        <w:t xml:space="preserve">Another challenge is the </w:t>
      </w:r>
      <w:r w:rsidRPr="00EA0CEB">
        <w:rPr>
          <w:rFonts w:ascii="MetaPro-Norm" w:hAnsi="MetaPro-Norm"/>
        </w:rPr>
        <w:t>proposed new criminal code</w:t>
      </w:r>
      <w:r>
        <w:rPr>
          <w:rFonts w:ascii="MetaPro-Norm" w:hAnsi="MetaPro-Norm"/>
        </w:rPr>
        <w:t xml:space="preserve"> now being deliberated in the Indonesian parliament. It </w:t>
      </w:r>
      <w:r w:rsidRPr="00EA0CEB">
        <w:rPr>
          <w:rFonts w:ascii="MetaPro-Norm" w:hAnsi="MetaPro-Norm"/>
        </w:rPr>
        <w:t>contains articles that w</w:t>
      </w:r>
      <w:r w:rsidR="00DA414C">
        <w:rPr>
          <w:rFonts w:ascii="MetaPro-Norm" w:hAnsi="MetaPro-Norm"/>
        </w:rPr>
        <w:t>ould</w:t>
      </w:r>
      <w:r w:rsidRPr="00EA0CEB">
        <w:rPr>
          <w:rFonts w:ascii="MetaPro-Norm" w:hAnsi="MetaPro-Norm"/>
        </w:rPr>
        <w:t xml:space="preserve"> violate the rights of women, religious minorities, and lesbian, gay, bisexual, and transgender </w:t>
      </w:r>
      <w:r w:rsidR="00504307">
        <w:rPr>
          <w:rFonts w:ascii="MetaPro-Norm" w:hAnsi="MetaPro-Norm"/>
        </w:rPr>
        <w:t xml:space="preserve">(LGBT) </w:t>
      </w:r>
      <w:r w:rsidRPr="00EA0CEB">
        <w:rPr>
          <w:rFonts w:ascii="MetaPro-Norm" w:hAnsi="MetaPro-Norm"/>
        </w:rPr>
        <w:t>people, as well as freedom of speech and association.</w:t>
      </w:r>
      <w:r w:rsidR="000312C5">
        <w:rPr>
          <w:rFonts w:ascii="MetaPro-Norm" w:hAnsi="MetaPro-Norm"/>
        </w:rPr>
        <w:t xml:space="preserve"> </w:t>
      </w:r>
    </w:p>
    <w:p w14:paraId="28C65B3B" w14:textId="77777777" w:rsidR="000312C5" w:rsidRDefault="000312C5" w:rsidP="00772D79">
      <w:pPr>
        <w:rPr>
          <w:rFonts w:ascii="MetaPro-Norm" w:hAnsi="MetaPro-Norm"/>
        </w:rPr>
      </w:pPr>
    </w:p>
    <w:p w14:paraId="00EF345A" w14:textId="5A42FFBD" w:rsidR="000312C5" w:rsidRDefault="00DA414C" w:rsidP="00772D79">
      <w:pPr>
        <w:rPr>
          <w:rFonts w:ascii="MetaPro-Norm" w:hAnsi="MetaPro-Norm"/>
          <w:iCs/>
        </w:rPr>
      </w:pPr>
      <w:r>
        <w:rPr>
          <w:rFonts w:ascii="MetaPro-Norm" w:hAnsi="MetaPro-Norm"/>
        </w:rPr>
        <w:t>Certain p</w:t>
      </w:r>
      <w:r w:rsidR="00EA0CEB" w:rsidRPr="00EA0CEB">
        <w:rPr>
          <w:rFonts w:ascii="MetaPro-Norm" w:hAnsi="MetaPro-Norm"/>
        </w:rPr>
        <w:t>rovisions effectively censor the dissemination of information about contraception and criminalize abortions</w:t>
      </w:r>
      <w:r w:rsidR="008C650C">
        <w:rPr>
          <w:rFonts w:ascii="MetaPro-Norm" w:hAnsi="MetaPro-Norm"/>
        </w:rPr>
        <w:t xml:space="preserve">. Such </w:t>
      </w:r>
      <w:r w:rsidR="008C650C" w:rsidRPr="008C650C">
        <w:rPr>
          <w:rFonts w:ascii="MetaPro-Norm" w:hAnsi="MetaPro-Norm"/>
        </w:rPr>
        <w:t xml:space="preserve">unreasonable restrictions violate the right to health and jeopardize numerous other human rights, including the rights to bodily integrity, nondiscrimination, equality, privacy, information, and the right to decide on the number and spacing of children. </w:t>
      </w:r>
    </w:p>
    <w:p w14:paraId="777D7292" w14:textId="77777777" w:rsidR="000312C5" w:rsidRDefault="000312C5" w:rsidP="00772D79">
      <w:pPr>
        <w:rPr>
          <w:rFonts w:ascii="MetaPro-Norm" w:hAnsi="MetaPro-Norm"/>
          <w:iCs/>
        </w:rPr>
      </w:pPr>
    </w:p>
    <w:p w14:paraId="28CBA83D" w14:textId="5759DA4A" w:rsidR="00EF00C8" w:rsidRDefault="00EF00C8" w:rsidP="00772D79">
      <w:pPr>
        <w:rPr>
          <w:rFonts w:ascii="MetaPro-Norm" w:hAnsi="MetaPro-Norm"/>
        </w:rPr>
      </w:pPr>
      <w:r w:rsidRPr="000312C5">
        <w:rPr>
          <w:rFonts w:ascii="MetaPro-Norm" w:hAnsi="MetaPro-Norm"/>
        </w:rPr>
        <w:t xml:space="preserve">Articles 417, 419, and 421 </w:t>
      </w:r>
      <w:r w:rsidR="00504307">
        <w:rPr>
          <w:rFonts w:ascii="MetaPro-Norm" w:hAnsi="MetaPro-Norm"/>
        </w:rPr>
        <w:t xml:space="preserve">of the draft </w:t>
      </w:r>
      <w:r w:rsidRPr="000312C5">
        <w:rPr>
          <w:rFonts w:ascii="MetaPro-Norm" w:hAnsi="MetaPro-Norm"/>
        </w:rPr>
        <w:t>violate the right to privacy</w:t>
      </w:r>
      <w:r>
        <w:rPr>
          <w:rFonts w:ascii="MetaPro-Norm" w:hAnsi="MetaPro-Norm"/>
        </w:rPr>
        <w:t>, protected under international law, by prohibiting forms of private sexual conduct between</w:t>
      </w:r>
      <w:r w:rsidRPr="000312C5">
        <w:rPr>
          <w:rFonts w:ascii="MetaPro-Norm" w:hAnsi="MetaPro-Norm"/>
        </w:rPr>
        <w:t xml:space="preserve"> consenting adults. </w:t>
      </w:r>
      <w:r>
        <w:rPr>
          <w:rFonts w:ascii="MetaPro-Norm" w:hAnsi="MetaPro-Norm"/>
        </w:rPr>
        <w:t xml:space="preserve">Criminalizing extramarital sex </w:t>
      </w:r>
      <w:r w:rsidRPr="00715EBD">
        <w:rPr>
          <w:rFonts w:ascii="MetaPro-Norm" w:hAnsi="MetaPro-Norm"/>
        </w:rPr>
        <w:t>effectively criminalizes all same-sex conduct</w:t>
      </w:r>
      <w:r>
        <w:rPr>
          <w:rFonts w:ascii="MetaPro-Norm" w:hAnsi="MetaPro-Norm"/>
        </w:rPr>
        <w:t xml:space="preserve">, since same-sex relationships are not recognized in Indonesia. </w:t>
      </w:r>
      <w:r w:rsidRPr="005E6D57">
        <w:rPr>
          <w:rFonts w:ascii="MetaPro-Norm" w:hAnsi="MetaPro-Norm"/>
        </w:rPr>
        <w:t>It will also subject all sex workers to criminal prosecution.</w:t>
      </w:r>
      <w:r>
        <w:rPr>
          <w:rFonts w:ascii="MetaPro-Norm" w:hAnsi="MetaPro-Norm"/>
        </w:rPr>
        <w:t xml:space="preserve"> </w:t>
      </w:r>
      <w:r w:rsidRPr="000312C5">
        <w:rPr>
          <w:rFonts w:ascii="MetaPro-Norm" w:hAnsi="MetaPro-Norm"/>
        </w:rPr>
        <w:t>Such provisions can reinforce or exacerbate discriminatory social norms and have heightened impact on women, who may face pressure to enter forced marriages if accused of sex outside of marriage or an increase in societal “policing” of their behavior.</w:t>
      </w:r>
      <w:r>
        <w:rPr>
          <w:rStyle w:val="FootnoteReference"/>
          <w:rFonts w:ascii="MetaPro-Norm" w:hAnsi="MetaPro-Norm"/>
          <w:iCs/>
        </w:rPr>
        <w:footnoteReference w:id="14"/>
      </w:r>
    </w:p>
    <w:p w14:paraId="6FD8493D" w14:textId="331572BE" w:rsidR="00EF00C8" w:rsidRDefault="00EF00C8" w:rsidP="00772D79">
      <w:pPr>
        <w:rPr>
          <w:rFonts w:ascii="MetaPro-Norm" w:hAnsi="MetaPro-Norm"/>
        </w:rPr>
      </w:pPr>
    </w:p>
    <w:p w14:paraId="3510CFC4" w14:textId="7A018D77" w:rsidR="009D7D4B" w:rsidRPr="003072D3" w:rsidRDefault="009D7D4B" w:rsidP="00772D79">
      <w:pPr>
        <w:rPr>
          <w:rFonts w:ascii="MetaPro-Norm" w:hAnsi="MetaPro-Norm"/>
          <w:i/>
        </w:rPr>
      </w:pPr>
      <w:r w:rsidRPr="003072D3">
        <w:rPr>
          <w:rFonts w:ascii="MetaPro-Norm" w:hAnsi="MetaPro-Norm"/>
          <w:i/>
        </w:rPr>
        <w:lastRenderedPageBreak/>
        <w:t>We encourage the Committee to pose the following questions</w:t>
      </w:r>
      <w:r w:rsidR="00504307">
        <w:rPr>
          <w:rFonts w:ascii="MetaPro-Norm" w:hAnsi="MetaPro-Norm"/>
          <w:i/>
        </w:rPr>
        <w:t xml:space="preserve"> to the Indonesian government</w:t>
      </w:r>
      <w:r w:rsidRPr="003072D3">
        <w:rPr>
          <w:rFonts w:ascii="MetaPro-Norm" w:hAnsi="MetaPro-Norm"/>
          <w:i/>
        </w:rPr>
        <w:t>:</w:t>
      </w:r>
    </w:p>
    <w:p w14:paraId="60FF7389" w14:textId="77777777" w:rsidR="009D7D4B" w:rsidRPr="003072D3" w:rsidRDefault="009D7D4B" w:rsidP="00772D79">
      <w:pPr>
        <w:rPr>
          <w:rFonts w:ascii="MetaPro-Norm" w:hAnsi="MetaPro-Norm"/>
          <w:i/>
        </w:rPr>
      </w:pPr>
    </w:p>
    <w:p w14:paraId="43003DBD" w14:textId="019771CD" w:rsidR="009D7D4B" w:rsidRPr="003072D3" w:rsidRDefault="0084079B" w:rsidP="00772D79">
      <w:pPr>
        <w:pStyle w:val="ListParagraph"/>
        <w:numPr>
          <w:ilvl w:val="0"/>
          <w:numId w:val="1"/>
        </w:numPr>
        <w:spacing w:after="0"/>
        <w:rPr>
          <w:rFonts w:ascii="MetaPro-Norm" w:hAnsi="MetaPro-Norm"/>
          <w:iCs/>
          <w:sz w:val="24"/>
          <w:szCs w:val="24"/>
        </w:rPr>
      </w:pPr>
      <w:r>
        <w:rPr>
          <w:rFonts w:ascii="MetaPro-Norm" w:hAnsi="MetaPro-Norm"/>
          <w:iCs/>
          <w:sz w:val="24"/>
          <w:szCs w:val="24"/>
        </w:rPr>
        <w:t xml:space="preserve">Will the Indonesian government undertake a review </w:t>
      </w:r>
      <w:r w:rsidR="00610224">
        <w:rPr>
          <w:rFonts w:ascii="MetaPro-Norm" w:hAnsi="MetaPro-Norm"/>
          <w:iCs/>
          <w:sz w:val="24"/>
          <w:szCs w:val="24"/>
        </w:rPr>
        <w:t xml:space="preserve">and commit </w:t>
      </w:r>
      <w:r>
        <w:rPr>
          <w:rFonts w:ascii="MetaPro-Norm" w:hAnsi="MetaPro-Norm"/>
          <w:iCs/>
          <w:sz w:val="24"/>
          <w:szCs w:val="24"/>
        </w:rPr>
        <w:t>to ensur</w:t>
      </w:r>
      <w:r w:rsidR="00DA414C">
        <w:rPr>
          <w:rFonts w:ascii="MetaPro-Norm" w:hAnsi="MetaPro-Norm"/>
          <w:iCs/>
          <w:sz w:val="24"/>
          <w:szCs w:val="24"/>
        </w:rPr>
        <w:t>ing</w:t>
      </w:r>
      <w:r w:rsidR="00610224">
        <w:rPr>
          <w:rFonts w:ascii="MetaPro-Norm" w:hAnsi="MetaPro-Norm"/>
          <w:iCs/>
          <w:sz w:val="24"/>
          <w:szCs w:val="24"/>
        </w:rPr>
        <w:t xml:space="preserve"> that all discriminatory national and locals laws </w:t>
      </w:r>
      <w:r w:rsidR="00E94B45">
        <w:rPr>
          <w:rFonts w:ascii="MetaPro-Norm" w:hAnsi="MetaPro-Norm"/>
          <w:iCs/>
          <w:sz w:val="24"/>
          <w:szCs w:val="24"/>
        </w:rPr>
        <w:t xml:space="preserve">affecting women and girls </w:t>
      </w:r>
      <w:r w:rsidR="00610224">
        <w:rPr>
          <w:rFonts w:ascii="MetaPro-Norm" w:hAnsi="MetaPro-Norm"/>
          <w:iCs/>
          <w:sz w:val="24"/>
          <w:szCs w:val="24"/>
        </w:rPr>
        <w:t xml:space="preserve">are </w:t>
      </w:r>
      <w:r w:rsidR="00764DC2">
        <w:rPr>
          <w:rFonts w:ascii="MetaPro-Norm" w:hAnsi="MetaPro-Norm"/>
          <w:iCs/>
          <w:sz w:val="24"/>
          <w:szCs w:val="24"/>
        </w:rPr>
        <w:t>repealed, and all discriminatory policies are prohibited</w:t>
      </w:r>
      <w:r w:rsidR="00610224">
        <w:rPr>
          <w:rFonts w:ascii="MetaPro-Norm" w:hAnsi="MetaPro-Norm"/>
          <w:iCs/>
          <w:sz w:val="24"/>
          <w:szCs w:val="24"/>
        </w:rPr>
        <w:t xml:space="preserve">? </w:t>
      </w:r>
    </w:p>
    <w:p w14:paraId="60E44086" w14:textId="79C7E5B8" w:rsidR="009D7D4B" w:rsidRPr="003072D3" w:rsidRDefault="00E94B45" w:rsidP="00772D79">
      <w:pPr>
        <w:pStyle w:val="ListParagraph"/>
        <w:numPr>
          <w:ilvl w:val="0"/>
          <w:numId w:val="1"/>
        </w:numPr>
        <w:spacing w:after="0"/>
        <w:rPr>
          <w:rFonts w:ascii="MetaPro-Norm" w:hAnsi="MetaPro-Norm"/>
          <w:color w:val="000000" w:themeColor="text1"/>
          <w:sz w:val="24"/>
          <w:szCs w:val="24"/>
          <w:shd w:val="clear" w:color="auto" w:fill="FFFFFF"/>
        </w:rPr>
      </w:pPr>
      <w:r>
        <w:rPr>
          <w:rFonts w:ascii="MetaPro-Norm" w:hAnsi="MetaPro-Norm"/>
          <w:color w:val="000000" w:themeColor="text1"/>
          <w:sz w:val="24"/>
          <w:szCs w:val="24"/>
          <w:shd w:val="clear" w:color="auto" w:fill="FFFFFF"/>
        </w:rPr>
        <w:t xml:space="preserve">Regarding Aceh, </w:t>
      </w:r>
      <w:r w:rsidRPr="00EB0859">
        <w:rPr>
          <w:rFonts w:ascii="MetaPro-Norm" w:hAnsi="MetaPro-Norm"/>
          <w:color w:val="000000" w:themeColor="text1"/>
          <w:sz w:val="24"/>
          <w:szCs w:val="24"/>
          <w:shd w:val="clear" w:color="auto" w:fill="FFFFFF"/>
        </w:rPr>
        <w:t>will the national home affairs minister review and repeal any discriminatory local bylaws</w:t>
      </w:r>
      <w:r w:rsidR="00C034F9">
        <w:rPr>
          <w:rFonts w:ascii="MetaPro-Norm" w:hAnsi="MetaPro-Norm"/>
          <w:color w:val="000000" w:themeColor="text1"/>
          <w:sz w:val="24"/>
          <w:szCs w:val="24"/>
          <w:shd w:val="clear" w:color="auto" w:fill="FFFFFF"/>
        </w:rPr>
        <w:t xml:space="preserve"> that contradict Indonesia’s </w:t>
      </w:r>
      <w:r w:rsidR="004D704C">
        <w:rPr>
          <w:rFonts w:ascii="MetaPro-Norm" w:hAnsi="MetaPro-Norm"/>
          <w:color w:val="000000" w:themeColor="text1"/>
          <w:sz w:val="24"/>
          <w:szCs w:val="24"/>
          <w:shd w:val="clear" w:color="auto" w:fill="FFFFFF"/>
        </w:rPr>
        <w:t xml:space="preserve">1945 </w:t>
      </w:r>
      <w:r w:rsidR="00C034F9">
        <w:rPr>
          <w:rFonts w:ascii="MetaPro-Norm" w:hAnsi="MetaPro-Norm"/>
          <w:color w:val="000000" w:themeColor="text1"/>
          <w:sz w:val="24"/>
          <w:szCs w:val="24"/>
          <w:shd w:val="clear" w:color="auto" w:fill="FFFFFF"/>
        </w:rPr>
        <w:t xml:space="preserve">Constitution and </w:t>
      </w:r>
      <w:r w:rsidR="00504307">
        <w:rPr>
          <w:rFonts w:ascii="MetaPro-Norm" w:hAnsi="MetaPro-Norm"/>
          <w:color w:val="000000" w:themeColor="text1"/>
          <w:sz w:val="24"/>
          <w:szCs w:val="24"/>
          <w:shd w:val="clear" w:color="auto" w:fill="FFFFFF"/>
        </w:rPr>
        <w:t>Indonesia’s international human rights obligations</w:t>
      </w:r>
      <w:r w:rsidRPr="00EB0859">
        <w:rPr>
          <w:rFonts w:ascii="MetaPro-Norm" w:hAnsi="MetaPro-Norm"/>
          <w:color w:val="000000" w:themeColor="text1"/>
          <w:sz w:val="24"/>
          <w:szCs w:val="24"/>
          <w:shd w:val="clear" w:color="auto" w:fill="FFFFFF"/>
        </w:rPr>
        <w:t>?</w:t>
      </w:r>
    </w:p>
    <w:p w14:paraId="02A2A7ED" w14:textId="77777777" w:rsidR="009D7D4B" w:rsidRPr="003072D3" w:rsidRDefault="009D7D4B" w:rsidP="00772D79">
      <w:pPr>
        <w:rPr>
          <w:rFonts w:ascii="MetaPro-Norm" w:hAnsi="MetaPro-Norm"/>
        </w:rPr>
      </w:pPr>
    </w:p>
    <w:p w14:paraId="36D3EB90" w14:textId="6D3AED53" w:rsidR="003B301C" w:rsidRPr="003072D3" w:rsidRDefault="00A327FE" w:rsidP="00772D79">
      <w:pPr>
        <w:rPr>
          <w:rFonts w:ascii="MetaPro-Norm" w:hAnsi="MetaPro-Norm"/>
          <w:iCs/>
        </w:rPr>
      </w:pPr>
      <w:r>
        <w:rPr>
          <w:rFonts w:ascii="MetaPro-Norm" w:hAnsi="MetaPro-Norm"/>
          <w:b/>
          <w:bCs/>
          <w:iCs/>
        </w:rPr>
        <w:t xml:space="preserve">Harmful </w:t>
      </w:r>
      <w:r w:rsidR="00430221">
        <w:rPr>
          <w:rFonts w:ascii="MetaPro-Norm" w:hAnsi="MetaPro-Norm"/>
          <w:b/>
          <w:bCs/>
          <w:iCs/>
        </w:rPr>
        <w:t>P</w:t>
      </w:r>
      <w:r>
        <w:rPr>
          <w:rFonts w:ascii="MetaPro-Norm" w:hAnsi="MetaPro-Norm"/>
          <w:b/>
          <w:bCs/>
          <w:iCs/>
        </w:rPr>
        <w:t xml:space="preserve">ractices </w:t>
      </w:r>
      <w:r w:rsidR="00430221">
        <w:rPr>
          <w:rFonts w:ascii="MetaPro-Norm" w:hAnsi="MetaPro-Norm"/>
          <w:b/>
          <w:bCs/>
          <w:iCs/>
        </w:rPr>
        <w:t>I</w:t>
      </w:r>
      <w:r>
        <w:rPr>
          <w:rFonts w:ascii="MetaPro-Norm" w:hAnsi="MetaPro-Norm"/>
          <w:b/>
          <w:bCs/>
          <w:iCs/>
        </w:rPr>
        <w:t xml:space="preserve">ncluding </w:t>
      </w:r>
      <w:r w:rsidR="001013B6" w:rsidRPr="00772D79">
        <w:rPr>
          <w:rFonts w:ascii="MetaPro-Norm" w:hAnsi="MetaPro-Norm"/>
          <w:b/>
          <w:bCs/>
          <w:iCs/>
        </w:rPr>
        <w:t>“</w:t>
      </w:r>
      <w:r w:rsidR="003B301C" w:rsidRPr="00772D79">
        <w:rPr>
          <w:rFonts w:ascii="MetaPro-Norm" w:hAnsi="MetaPro-Norm"/>
          <w:b/>
          <w:bCs/>
          <w:iCs/>
        </w:rPr>
        <w:t xml:space="preserve">Virginity Testing” </w:t>
      </w:r>
      <w:r w:rsidR="00DA414C">
        <w:rPr>
          <w:rFonts w:ascii="MetaPro-Norm" w:hAnsi="MetaPro-Norm"/>
          <w:b/>
          <w:bCs/>
          <w:iCs/>
        </w:rPr>
        <w:t>(</w:t>
      </w:r>
      <w:r w:rsidR="0004239D" w:rsidRPr="00A327FE">
        <w:rPr>
          <w:rFonts w:ascii="MetaPro-Norm" w:hAnsi="MetaPro-Norm"/>
          <w:b/>
          <w:bCs/>
          <w:iCs/>
        </w:rPr>
        <w:t>Articles 1</w:t>
      </w:r>
      <w:r w:rsidR="00764DC2" w:rsidRPr="00A327FE">
        <w:rPr>
          <w:rFonts w:ascii="MetaPro-Norm" w:hAnsi="MetaPro-Norm"/>
          <w:b/>
          <w:bCs/>
          <w:iCs/>
        </w:rPr>
        <w:t>,</w:t>
      </w:r>
      <w:r w:rsidR="0004239D" w:rsidRPr="00A327FE">
        <w:rPr>
          <w:rFonts w:ascii="MetaPro-Norm" w:hAnsi="MetaPro-Norm"/>
          <w:b/>
          <w:bCs/>
          <w:iCs/>
        </w:rPr>
        <w:t xml:space="preserve"> 2</w:t>
      </w:r>
      <w:r w:rsidR="003538D7" w:rsidRPr="00A327FE">
        <w:rPr>
          <w:rFonts w:ascii="MetaPro-Norm" w:hAnsi="MetaPro-Norm"/>
          <w:b/>
          <w:bCs/>
          <w:iCs/>
        </w:rPr>
        <w:t xml:space="preserve"> </w:t>
      </w:r>
      <w:r w:rsidR="003538D7" w:rsidRPr="0081336F">
        <w:rPr>
          <w:rFonts w:ascii="MetaPro-Norm" w:hAnsi="MetaPro-Norm"/>
          <w:b/>
          <w:bCs/>
          <w:iCs/>
        </w:rPr>
        <w:t xml:space="preserve">and </w:t>
      </w:r>
      <w:r w:rsidR="00764DC2" w:rsidRPr="0081336F">
        <w:rPr>
          <w:rFonts w:ascii="MetaPro-Norm" w:hAnsi="MetaPro-Norm"/>
          <w:b/>
          <w:bCs/>
          <w:iCs/>
        </w:rPr>
        <w:t>5</w:t>
      </w:r>
      <w:r w:rsidR="00DA414C" w:rsidRPr="00A327FE">
        <w:rPr>
          <w:rFonts w:ascii="MetaPro-Norm" w:hAnsi="MetaPro-Norm"/>
          <w:b/>
          <w:bCs/>
          <w:iCs/>
        </w:rPr>
        <w:t>)</w:t>
      </w:r>
      <w:r w:rsidR="00430221">
        <w:rPr>
          <w:rFonts w:ascii="MetaPro-Norm" w:hAnsi="MetaPro-Norm"/>
          <w:b/>
          <w:bCs/>
          <w:iCs/>
        </w:rPr>
        <w:br/>
      </w:r>
    </w:p>
    <w:p w14:paraId="7B00D53E" w14:textId="66687767" w:rsidR="003B301C" w:rsidRDefault="00013B64" w:rsidP="00772D79">
      <w:pPr>
        <w:rPr>
          <w:rFonts w:ascii="MetaPro-Norm" w:hAnsi="MetaPro-Norm"/>
        </w:rPr>
      </w:pPr>
      <w:r w:rsidRPr="00EB0859">
        <w:rPr>
          <w:rFonts w:ascii="MetaPro-Norm" w:hAnsi="MetaPro-Norm"/>
        </w:rPr>
        <w:t xml:space="preserve">The Indonesian armed forces and some </w:t>
      </w:r>
      <w:r w:rsidR="00920C47">
        <w:rPr>
          <w:rFonts w:ascii="MetaPro-Norm" w:hAnsi="MetaPro-Norm"/>
        </w:rPr>
        <w:t>elements</w:t>
      </w:r>
      <w:r w:rsidR="00920C47" w:rsidRPr="00EB0859">
        <w:rPr>
          <w:rFonts w:ascii="MetaPro-Norm" w:hAnsi="MetaPro-Norm"/>
        </w:rPr>
        <w:t xml:space="preserve"> </w:t>
      </w:r>
      <w:r w:rsidRPr="00EB0859">
        <w:rPr>
          <w:rFonts w:ascii="MetaPro-Norm" w:hAnsi="MetaPro-Norm"/>
        </w:rPr>
        <w:t xml:space="preserve">of the National Police are still implementing the unscientific, abusive, and discriminatory </w:t>
      </w:r>
      <w:r w:rsidR="00764DC2">
        <w:rPr>
          <w:rFonts w:ascii="MetaPro-Norm" w:hAnsi="MetaPro-Norm"/>
        </w:rPr>
        <w:t>“</w:t>
      </w:r>
      <w:r w:rsidRPr="00EB0859">
        <w:rPr>
          <w:rFonts w:ascii="MetaPro-Norm" w:hAnsi="MetaPro-Norm"/>
        </w:rPr>
        <w:t>two-finger test</w:t>
      </w:r>
      <w:r w:rsidR="00764DC2">
        <w:rPr>
          <w:rFonts w:ascii="MetaPro-Norm" w:hAnsi="MetaPro-Norm"/>
        </w:rPr>
        <w:t>”</w:t>
      </w:r>
      <w:r w:rsidRPr="00EB0859">
        <w:rPr>
          <w:rFonts w:ascii="MetaPro-Norm" w:hAnsi="MetaPro-Norm"/>
        </w:rPr>
        <w:t xml:space="preserve"> </w:t>
      </w:r>
      <w:r w:rsidR="002621AF">
        <w:rPr>
          <w:rFonts w:ascii="MetaPro-Norm" w:hAnsi="MetaPro-Norm"/>
        </w:rPr>
        <w:t>or so</w:t>
      </w:r>
      <w:r w:rsidR="00764DC2">
        <w:rPr>
          <w:rFonts w:ascii="MetaPro-Norm" w:hAnsi="MetaPro-Norm"/>
        </w:rPr>
        <w:t>-</w:t>
      </w:r>
      <w:r w:rsidR="002621AF">
        <w:rPr>
          <w:rFonts w:ascii="MetaPro-Norm" w:hAnsi="MetaPro-Norm"/>
        </w:rPr>
        <w:t xml:space="preserve">called “virginity tests” </w:t>
      </w:r>
      <w:r w:rsidRPr="00EB0859">
        <w:rPr>
          <w:rFonts w:ascii="MetaPro-Norm" w:hAnsi="MetaPro-Norm"/>
        </w:rPr>
        <w:t xml:space="preserve">when recruiting young women. </w:t>
      </w:r>
      <w:r w:rsidR="00F951E2" w:rsidRPr="003072D3">
        <w:rPr>
          <w:rFonts w:ascii="MetaPro-Norm" w:hAnsi="MetaPro-Norm"/>
        </w:rPr>
        <w:t>In 2017, s</w:t>
      </w:r>
      <w:r w:rsidR="003B301C" w:rsidRPr="003072D3">
        <w:rPr>
          <w:rFonts w:ascii="MetaPro-Norm" w:hAnsi="MetaPro-Norm"/>
        </w:rPr>
        <w:t>enior military and police officers with knowledge of the policy told Human Rights Watch that the security forces continue to impose these cruel and discriminatory “tests,” which are officially classified as “psychological” examinations, for “mental health and morality reasons.”</w:t>
      </w:r>
      <w:r w:rsidR="003B301C" w:rsidRPr="003072D3">
        <w:rPr>
          <w:rStyle w:val="FootnoteReference"/>
          <w:rFonts w:ascii="MetaPro-Norm" w:hAnsi="MetaPro-Norm"/>
        </w:rPr>
        <w:footnoteReference w:id="15"/>
      </w:r>
    </w:p>
    <w:p w14:paraId="56CC18B0" w14:textId="6EDBF645" w:rsidR="00C108A0" w:rsidRDefault="00C108A0" w:rsidP="00772D79">
      <w:pPr>
        <w:rPr>
          <w:rFonts w:ascii="MetaPro-Norm" w:hAnsi="MetaPro-Norm"/>
        </w:rPr>
      </w:pPr>
    </w:p>
    <w:p w14:paraId="4D7635F7" w14:textId="68B20A02" w:rsidR="00D20A81" w:rsidRDefault="00D20A81" w:rsidP="00772D79">
      <w:pPr>
        <w:rPr>
          <w:rFonts w:ascii="MetaPro-Norm" w:hAnsi="MetaPro-Norm"/>
        </w:rPr>
      </w:pPr>
      <w:r w:rsidRPr="003072D3">
        <w:rPr>
          <w:rFonts w:ascii="MetaPro-Norm" w:hAnsi="MetaPro-Norm"/>
        </w:rPr>
        <w:t xml:space="preserve">In 2019, Iroth Sonny Edhie, a chief aide and head of protocol for the Indonesian defense minister, told </w:t>
      </w:r>
      <w:r w:rsidRPr="003072D3">
        <w:rPr>
          <w:rFonts w:ascii="MetaPro-Norm" w:hAnsi="MetaPro-Norm"/>
          <w:i/>
          <w:iCs/>
        </w:rPr>
        <w:t>The Telegraph</w:t>
      </w:r>
      <w:r w:rsidRPr="003072D3">
        <w:rPr>
          <w:rFonts w:ascii="MetaPro-Norm" w:hAnsi="MetaPro-Norm"/>
        </w:rPr>
        <w:t xml:space="preserve"> that </w:t>
      </w:r>
      <w:r w:rsidR="00764DC2">
        <w:rPr>
          <w:rFonts w:ascii="MetaPro-Norm" w:hAnsi="MetaPro-Norm"/>
        </w:rPr>
        <w:t>“</w:t>
      </w:r>
      <w:r w:rsidRPr="003072D3">
        <w:rPr>
          <w:rFonts w:ascii="MetaPro-Norm" w:hAnsi="MetaPro-Norm"/>
        </w:rPr>
        <w:t>virginity tests</w:t>
      </w:r>
      <w:r w:rsidR="00764DC2">
        <w:rPr>
          <w:rFonts w:ascii="MetaPro-Norm" w:hAnsi="MetaPro-Norm"/>
        </w:rPr>
        <w:t>”</w:t>
      </w:r>
      <w:r w:rsidRPr="003072D3">
        <w:rPr>
          <w:rFonts w:ascii="MetaPro-Norm" w:hAnsi="MetaPro-Norm"/>
        </w:rPr>
        <w:t xml:space="preserve"> were a central aspect of recruitment. He said, “A woman or girl should be assessed based on her virginity, it is based on our culture and our values. </w:t>
      </w:r>
      <w:r w:rsidR="00555061">
        <w:rPr>
          <w:rFonts w:ascii="MetaPro-Norm" w:hAnsi="MetaPro-Norm"/>
        </w:rPr>
        <w:t>W</w:t>
      </w:r>
      <w:r w:rsidRPr="003072D3">
        <w:rPr>
          <w:rFonts w:ascii="MetaPro-Norm" w:hAnsi="MetaPro-Norm"/>
        </w:rPr>
        <w:t>e have a protocol that as a woman, as a lady, you should maintain or preserve your virginity before you go [on] to marriage. Basically, this value has been preserved since our armed forces was established around 70 years ago.”</w:t>
      </w:r>
      <w:r w:rsidRPr="003072D3">
        <w:rPr>
          <w:rStyle w:val="FootnoteReference"/>
          <w:rFonts w:ascii="MetaPro-Norm" w:hAnsi="MetaPro-Norm"/>
        </w:rPr>
        <w:footnoteReference w:id="16"/>
      </w:r>
    </w:p>
    <w:p w14:paraId="48B2DA28" w14:textId="77777777" w:rsidR="00D20A81" w:rsidRDefault="00D20A81" w:rsidP="00772D79">
      <w:pPr>
        <w:rPr>
          <w:rFonts w:ascii="MetaPro-Norm" w:hAnsi="MetaPro-Norm"/>
        </w:rPr>
      </w:pPr>
    </w:p>
    <w:p w14:paraId="0783A936" w14:textId="74698E22" w:rsidR="00C108A0" w:rsidRPr="003072D3" w:rsidRDefault="00C108A0" w:rsidP="00772D79">
      <w:pPr>
        <w:rPr>
          <w:rFonts w:ascii="MetaPro-Norm" w:hAnsi="MetaPro-Norm"/>
        </w:rPr>
      </w:pPr>
      <w:r w:rsidRPr="00EB0859">
        <w:rPr>
          <w:rFonts w:ascii="MetaPro-Norm" w:hAnsi="MetaPro-Norm"/>
        </w:rPr>
        <w:t xml:space="preserve">The testing includes </w:t>
      </w:r>
      <w:r w:rsidR="00764DC2">
        <w:rPr>
          <w:rFonts w:ascii="MetaPro-Norm" w:hAnsi="MetaPro-Norm"/>
        </w:rPr>
        <w:t xml:space="preserve">an </w:t>
      </w:r>
      <w:r w:rsidRPr="00EB0859">
        <w:rPr>
          <w:rFonts w:ascii="MetaPro-Norm" w:hAnsi="MetaPro-Norm"/>
        </w:rPr>
        <w:t>invasive </w:t>
      </w:r>
      <w:r w:rsidR="00764DC2">
        <w:rPr>
          <w:rFonts w:ascii="MetaPro-Norm" w:hAnsi="MetaPro-Norm"/>
        </w:rPr>
        <w:t xml:space="preserve">examination of a women’s genitals and vagina, with the stated goal of </w:t>
      </w:r>
      <w:r w:rsidRPr="00EB0859">
        <w:rPr>
          <w:rFonts w:ascii="MetaPro-Norm" w:hAnsi="MetaPro-Norm"/>
        </w:rPr>
        <w:t>determin</w:t>
      </w:r>
      <w:r w:rsidR="00764DC2">
        <w:rPr>
          <w:rFonts w:ascii="MetaPro-Norm" w:hAnsi="MetaPro-Norm"/>
        </w:rPr>
        <w:t>ing</w:t>
      </w:r>
      <w:r w:rsidRPr="00EB0859">
        <w:rPr>
          <w:rFonts w:ascii="MetaPro-Norm" w:hAnsi="MetaPro-Norm"/>
        </w:rPr>
        <w:t xml:space="preserve"> whether </w:t>
      </w:r>
      <w:r w:rsidR="00764DC2">
        <w:rPr>
          <w:rFonts w:ascii="MetaPro-Norm" w:hAnsi="MetaPro-Norm"/>
        </w:rPr>
        <w:t>her</w:t>
      </w:r>
      <w:r w:rsidRPr="00EB0859">
        <w:rPr>
          <w:rFonts w:ascii="MetaPro-Norm" w:hAnsi="MetaPro-Norm"/>
        </w:rPr>
        <w:t xml:space="preserve"> hymen</w:t>
      </w:r>
      <w:r w:rsidR="00764DC2">
        <w:rPr>
          <w:rFonts w:ascii="MetaPro-Norm" w:hAnsi="MetaPro-Norm"/>
        </w:rPr>
        <w:t xml:space="preserve"> is</w:t>
      </w:r>
      <w:r w:rsidRPr="00EB0859">
        <w:rPr>
          <w:rFonts w:ascii="MetaPro-Norm" w:hAnsi="MetaPro-Norm"/>
        </w:rPr>
        <w:t xml:space="preserve"> intact</w:t>
      </w:r>
      <w:r w:rsidR="00764DC2">
        <w:rPr>
          <w:rFonts w:ascii="MetaPro-Norm" w:hAnsi="MetaPro-Norm"/>
        </w:rPr>
        <w:t>. Such</w:t>
      </w:r>
      <w:r w:rsidRPr="00EB0859">
        <w:rPr>
          <w:rFonts w:ascii="MetaPro-Norm" w:hAnsi="MetaPro-Norm"/>
        </w:rPr>
        <w:t xml:space="preserve"> findings are </w:t>
      </w:r>
      <w:hyperlink r:id="rId18" w:history="1">
        <w:r w:rsidRPr="00EB0859">
          <w:rPr>
            <w:rFonts w:ascii="MetaPro-Norm" w:hAnsi="MetaPro-Norm"/>
          </w:rPr>
          <w:t>scientifically baseless</w:t>
        </w:r>
      </w:hyperlink>
      <w:r w:rsidRPr="00EB0859">
        <w:rPr>
          <w:rFonts w:ascii="MetaPro-Norm" w:hAnsi="MetaPro-Norm"/>
        </w:rPr>
        <w:t>. While Human Rights Watch </w:t>
      </w:r>
      <w:hyperlink r:id="rId19" w:history="1">
        <w:r w:rsidRPr="00EB0859">
          <w:rPr>
            <w:rFonts w:ascii="MetaPro-Norm" w:hAnsi="MetaPro-Norm"/>
          </w:rPr>
          <w:t>found</w:t>
        </w:r>
      </w:hyperlink>
      <w:r w:rsidRPr="00EB0859">
        <w:rPr>
          <w:rFonts w:ascii="MetaPro-Norm" w:hAnsi="MetaPro-Norm"/>
        </w:rPr>
        <w:t> that applicants who were deemed to have “failed” were not necessarily penalized, all of the women with whom we spoke with described the test as painful, embarrassing, and traumatic.</w:t>
      </w:r>
    </w:p>
    <w:p w14:paraId="6A0194DF" w14:textId="77777777" w:rsidR="003B301C" w:rsidRPr="003072D3" w:rsidRDefault="003B301C" w:rsidP="00772D79">
      <w:pPr>
        <w:rPr>
          <w:rFonts w:ascii="MetaPro-Norm" w:hAnsi="MetaPro-Norm"/>
        </w:rPr>
      </w:pPr>
    </w:p>
    <w:p w14:paraId="674E2C2B" w14:textId="107E92D5" w:rsidR="003B301C" w:rsidRDefault="003B301C" w:rsidP="00772D79">
      <w:pPr>
        <w:rPr>
          <w:rFonts w:ascii="MetaPro-Norm" w:hAnsi="MetaPro-Norm"/>
        </w:rPr>
      </w:pPr>
      <w:r w:rsidRPr="003072D3">
        <w:rPr>
          <w:rFonts w:ascii="MetaPro-Norm" w:hAnsi="MetaPro-Norm"/>
        </w:rPr>
        <w:t>Virginity testing is a form of gender-based violence</w:t>
      </w:r>
      <w:r w:rsidR="00764DC2">
        <w:rPr>
          <w:rFonts w:ascii="MetaPro-Norm" w:hAnsi="MetaPro-Norm"/>
        </w:rPr>
        <w:t>,</w:t>
      </w:r>
      <w:r w:rsidRPr="003072D3">
        <w:rPr>
          <w:rFonts w:ascii="MetaPro-Norm" w:hAnsi="MetaPro-Norm"/>
        </w:rPr>
        <w:t xml:space="preserve"> is a widely discredited practice</w:t>
      </w:r>
      <w:r w:rsidR="00764DC2">
        <w:rPr>
          <w:rFonts w:ascii="MetaPro-Norm" w:hAnsi="MetaPro-Norm"/>
        </w:rPr>
        <w:t>, and can constitute sexual assault</w:t>
      </w:r>
      <w:r w:rsidRPr="003072D3">
        <w:rPr>
          <w:rFonts w:ascii="MetaPro-Norm" w:hAnsi="MetaPro-Norm"/>
        </w:rPr>
        <w:t xml:space="preserve">. </w:t>
      </w:r>
      <w:r w:rsidR="00D20A81">
        <w:rPr>
          <w:rFonts w:ascii="MetaPro-Norm" w:hAnsi="MetaPro-Norm"/>
        </w:rPr>
        <w:t xml:space="preserve">In 2014, the Committee </w:t>
      </w:r>
      <w:r w:rsidR="00D20A81" w:rsidRPr="00FF1EF4">
        <w:rPr>
          <w:rFonts w:ascii="MetaPro-Norm" w:hAnsi="MetaPro-Norm"/>
        </w:rPr>
        <w:t>on the Elimination of Discrimination against Women and the Committee on the Rights of the Child issued joint General Recommendation No. 31/General Comment No. 18 on harmful practices</w:t>
      </w:r>
      <w:r w:rsidR="003538D7" w:rsidRPr="00FF1EF4">
        <w:rPr>
          <w:rFonts w:ascii="MetaPro-Norm" w:hAnsi="MetaPro-Norm"/>
        </w:rPr>
        <w:t xml:space="preserve">, which included “virginity testing” as a harmful practice that states should </w:t>
      </w:r>
      <w:r w:rsidR="003538D7">
        <w:rPr>
          <w:rFonts w:ascii="MetaPro-Norm" w:hAnsi="MetaPro-Norm"/>
        </w:rPr>
        <w:t>eliminate</w:t>
      </w:r>
      <w:r w:rsidR="00D20A81" w:rsidRPr="00FF1EF4">
        <w:rPr>
          <w:rFonts w:ascii="MetaPro-Norm" w:hAnsi="MetaPro-Norm"/>
        </w:rPr>
        <w:t>.</w:t>
      </w:r>
      <w:r w:rsidR="009C0974">
        <w:rPr>
          <w:rStyle w:val="FootnoteReference"/>
          <w:rFonts w:ascii="MetaPro-Norm" w:hAnsi="MetaPro-Norm"/>
        </w:rPr>
        <w:footnoteReference w:id="17"/>
      </w:r>
      <w:r w:rsidR="003538D7" w:rsidRPr="00312877">
        <w:rPr>
          <w:rFonts w:ascii="MetaPro-Norm" w:hAnsi="MetaPro-Norm"/>
        </w:rPr>
        <w:t xml:space="preserve"> </w:t>
      </w:r>
    </w:p>
    <w:p w14:paraId="25357594" w14:textId="6CBC68A8" w:rsidR="00DC665F" w:rsidRDefault="00DC665F" w:rsidP="00772D79">
      <w:pPr>
        <w:rPr>
          <w:rFonts w:ascii="MetaPro-Norm" w:hAnsi="MetaPro-Norm"/>
        </w:rPr>
      </w:pPr>
    </w:p>
    <w:p w14:paraId="389EE5DB" w14:textId="332D51CF" w:rsidR="001B3BF6" w:rsidRDefault="001B3BF6" w:rsidP="00772D79">
      <w:pPr>
        <w:rPr>
          <w:rFonts w:ascii="MetaPro-Norm" w:hAnsi="MetaPro-Norm"/>
        </w:rPr>
      </w:pPr>
      <w:r>
        <w:rPr>
          <w:rFonts w:ascii="MetaPro-Norm" w:hAnsi="MetaPro-Norm"/>
        </w:rPr>
        <w:t xml:space="preserve">In 2018, the World Health Organization, the Office of the High Commissioner for </w:t>
      </w:r>
      <w:r w:rsidRPr="009A7D32">
        <w:rPr>
          <w:rFonts w:ascii="MetaPro-Norm" w:hAnsi="MetaPro-Norm"/>
        </w:rPr>
        <w:t xml:space="preserve">Human Rights, </w:t>
      </w:r>
      <w:r>
        <w:rPr>
          <w:rFonts w:ascii="MetaPro-Norm" w:hAnsi="MetaPro-Norm"/>
        </w:rPr>
        <w:t>and UN</w:t>
      </w:r>
      <w:r w:rsidR="008C54FC">
        <w:rPr>
          <w:rFonts w:ascii="MetaPro-Norm" w:hAnsi="MetaPro-Norm"/>
        </w:rPr>
        <w:t xml:space="preserve">  </w:t>
      </w:r>
      <w:r w:rsidRPr="009A7D32">
        <w:rPr>
          <w:rFonts w:ascii="MetaPro-Norm" w:hAnsi="MetaPro-Norm"/>
        </w:rPr>
        <w:t>Women</w:t>
      </w:r>
      <w:r>
        <w:rPr>
          <w:rFonts w:ascii="MetaPro-Norm" w:hAnsi="MetaPro-Norm"/>
        </w:rPr>
        <w:t xml:space="preserve"> declared that this unscientific and discriminatory practice is </w:t>
      </w:r>
      <w:r w:rsidR="00A72938">
        <w:rPr>
          <w:rFonts w:ascii="MetaPro-Norm" w:hAnsi="MetaPro-Norm"/>
        </w:rPr>
        <w:t>a violation of</w:t>
      </w:r>
      <w:r>
        <w:rPr>
          <w:rFonts w:ascii="MetaPro-Norm" w:hAnsi="MetaPro-Norm"/>
        </w:rPr>
        <w:t xml:space="preserve"> women and girls’ </w:t>
      </w:r>
      <w:r w:rsidRPr="00E57CD1">
        <w:rPr>
          <w:rFonts w:ascii="MetaPro-Norm" w:hAnsi="MetaPro-Norm"/>
        </w:rPr>
        <w:t>right to privacy and physical integrity</w:t>
      </w:r>
      <w:r>
        <w:rPr>
          <w:rFonts w:ascii="MetaPro-Norm" w:hAnsi="MetaPro-Norm"/>
        </w:rPr>
        <w:t>, t</w:t>
      </w:r>
      <w:r w:rsidRPr="00E57CD1">
        <w:rPr>
          <w:rFonts w:ascii="MetaPro-Norm" w:hAnsi="MetaPro-Norm"/>
        </w:rPr>
        <w:t>he right to the highest attainable standard of health</w:t>
      </w:r>
      <w:r>
        <w:rPr>
          <w:rFonts w:ascii="MetaPro-Norm" w:hAnsi="MetaPro-Norm"/>
        </w:rPr>
        <w:t>, t</w:t>
      </w:r>
      <w:r w:rsidRPr="00E57CD1">
        <w:rPr>
          <w:rFonts w:ascii="MetaPro-Norm" w:hAnsi="MetaPro-Norm"/>
        </w:rPr>
        <w:t>he right to be protected from discrimination based on sex</w:t>
      </w:r>
      <w:r>
        <w:rPr>
          <w:rFonts w:ascii="MetaPro-Norm" w:hAnsi="MetaPro-Norm"/>
        </w:rPr>
        <w:t>, the</w:t>
      </w:r>
      <w:r w:rsidR="008C54FC">
        <w:rPr>
          <w:rFonts w:ascii="MetaPro-Norm" w:hAnsi="MetaPro-Norm"/>
        </w:rPr>
        <w:t xml:space="preserve"> </w:t>
      </w:r>
      <w:r w:rsidRPr="00E57CD1">
        <w:rPr>
          <w:rFonts w:ascii="MetaPro-Norm" w:hAnsi="MetaPro-Norm"/>
        </w:rPr>
        <w:t>right to life</w:t>
      </w:r>
      <w:r>
        <w:rPr>
          <w:rFonts w:ascii="MetaPro-Norm" w:hAnsi="MetaPro-Norm"/>
        </w:rPr>
        <w:t>, t</w:t>
      </w:r>
      <w:r w:rsidRPr="00AF1AC8">
        <w:rPr>
          <w:rFonts w:ascii="MetaPro-Norm" w:hAnsi="MetaPro-Norm"/>
        </w:rPr>
        <w:t>he right to be free from torture or cruel, inhuman, or degrading treatment</w:t>
      </w:r>
      <w:r>
        <w:rPr>
          <w:rFonts w:ascii="MetaPro-Norm" w:hAnsi="MetaPro-Norm"/>
        </w:rPr>
        <w:t>, and t</w:t>
      </w:r>
      <w:r w:rsidRPr="00AF1AC8">
        <w:rPr>
          <w:rFonts w:ascii="MetaPro-Norm" w:hAnsi="MetaPro-Norm"/>
        </w:rPr>
        <w:t>he rights of the child</w:t>
      </w:r>
      <w:r>
        <w:rPr>
          <w:rFonts w:ascii="MetaPro-Norm" w:hAnsi="MetaPro-Norm"/>
        </w:rPr>
        <w:t>.</w:t>
      </w:r>
      <w:r>
        <w:rPr>
          <w:rStyle w:val="FootnoteReference"/>
          <w:rFonts w:ascii="MetaPro-Norm" w:hAnsi="MetaPro-Norm"/>
        </w:rPr>
        <w:footnoteReference w:id="18"/>
      </w:r>
    </w:p>
    <w:p w14:paraId="2A16AB58" w14:textId="77777777" w:rsidR="001B3BF6" w:rsidRDefault="001B3BF6" w:rsidP="00772D79">
      <w:pPr>
        <w:rPr>
          <w:rFonts w:ascii="MetaPro-Norm" w:hAnsi="MetaPro-Norm"/>
        </w:rPr>
      </w:pPr>
    </w:p>
    <w:p w14:paraId="3BF5EB13" w14:textId="7EC39402" w:rsidR="00A327FE" w:rsidRDefault="007953C2" w:rsidP="00772D79">
      <w:pPr>
        <w:rPr>
          <w:rFonts w:ascii="MetaPro-Norm" w:hAnsi="MetaPro-Norm"/>
        </w:rPr>
      </w:pPr>
      <w:r>
        <w:rPr>
          <w:rFonts w:ascii="MetaPro-Norm" w:hAnsi="MetaPro-Norm"/>
        </w:rPr>
        <w:t xml:space="preserve">General Recommendation </w:t>
      </w:r>
      <w:r w:rsidR="001B3BF6">
        <w:rPr>
          <w:rFonts w:ascii="MetaPro-Norm" w:hAnsi="MetaPro-Norm"/>
        </w:rPr>
        <w:t xml:space="preserve">31/General Comment 18 </w:t>
      </w:r>
      <w:r>
        <w:rPr>
          <w:rFonts w:ascii="MetaPro-Norm" w:hAnsi="MetaPro-Norm"/>
        </w:rPr>
        <w:t>also mentioned c</w:t>
      </w:r>
      <w:r w:rsidR="00DC665F" w:rsidRPr="00DC665F">
        <w:rPr>
          <w:rFonts w:ascii="MetaPro-Norm" w:hAnsi="MetaPro-Norm"/>
        </w:rPr>
        <w:t>hild marriage</w:t>
      </w:r>
      <w:r>
        <w:rPr>
          <w:rFonts w:ascii="MetaPro-Norm" w:hAnsi="MetaPro-Norm"/>
        </w:rPr>
        <w:t>, p</w:t>
      </w:r>
      <w:r w:rsidR="00DC665F" w:rsidRPr="00DC665F">
        <w:rPr>
          <w:rFonts w:ascii="MetaPro-Norm" w:hAnsi="MetaPro-Norm"/>
        </w:rPr>
        <w:t>olygamy</w:t>
      </w:r>
      <w:r>
        <w:rPr>
          <w:rFonts w:ascii="MetaPro-Norm" w:hAnsi="MetaPro-Norm"/>
        </w:rPr>
        <w:t xml:space="preserve">, and </w:t>
      </w:r>
      <w:r w:rsidR="00764DC2">
        <w:rPr>
          <w:rFonts w:ascii="MetaPro-Norm" w:hAnsi="MetaPro-Norm"/>
        </w:rPr>
        <w:t xml:space="preserve">so-called “honor </w:t>
      </w:r>
      <w:r>
        <w:rPr>
          <w:rFonts w:ascii="MetaPro-Norm" w:hAnsi="MetaPro-Norm"/>
        </w:rPr>
        <w:t>c</w:t>
      </w:r>
      <w:r w:rsidR="00DC665F" w:rsidRPr="00DC665F">
        <w:rPr>
          <w:rFonts w:ascii="MetaPro-Norm" w:hAnsi="MetaPro-Norm"/>
        </w:rPr>
        <w:t>rimes</w:t>
      </w:r>
      <w:r w:rsidR="00764DC2">
        <w:rPr>
          <w:rFonts w:ascii="MetaPro-Norm" w:hAnsi="MetaPro-Norm"/>
        </w:rPr>
        <w:t>.”</w:t>
      </w:r>
      <w:r>
        <w:rPr>
          <w:rFonts w:ascii="MetaPro-Norm" w:hAnsi="MetaPro-Norm"/>
        </w:rPr>
        <w:t xml:space="preserve"> </w:t>
      </w:r>
      <w:r w:rsidR="00E80690">
        <w:rPr>
          <w:rFonts w:ascii="MetaPro-Norm" w:hAnsi="MetaPro-Norm"/>
        </w:rPr>
        <w:t>In September 2019, Indonesia’s parliament revised the 1974 marriage law, raising the minimum age of marriage for girls and boys with parental consent from 16 to 19, but retaining a clause that allows courts to authorize marriages of girls below 19, with no minimum age restriction. Around </w:t>
      </w:r>
      <w:hyperlink r:id="rId20" w:history="1">
        <w:r w:rsidR="00E80690">
          <w:rPr>
            <w:rStyle w:val="Hyperlink"/>
            <w:rFonts w:ascii="MetaPro-Norm" w:hAnsi="MetaPro-Norm"/>
          </w:rPr>
          <w:t>14 percent of girls in Indonesia</w:t>
        </w:r>
      </w:hyperlink>
      <w:r w:rsidR="00E80690">
        <w:rPr>
          <w:rFonts w:ascii="MetaPro-Norm" w:hAnsi="MetaPro-Norm"/>
        </w:rPr>
        <w:t xml:space="preserve"> are married before age 18, and 1 percent marry before age 15. </w:t>
      </w:r>
      <w:r w:rsidR="0081336F">
        <w:rPr>
          <w:rFonts w:ascii="MetaPro-Norm" w:hAnsi="MetaPro-Norm"/>
        </w:rPr>
        <w:t>O</w:t>
      </w:r>
      <w:r w:rsidR="00E80690">
        <w:rPr>
          <w:rFonts w:ascii="MetaPro-Norm" w:hAnsi="MetaPro-Norm"/>
        </w:rPr>
        <w:t>n</w:t>
      </w:r>
      <w:r w:rsidR="00E80690" w:rsidRPr="0081336F">
        <w:rPr>
          <w:rFonts w:ascii="MetaPro-Norm" w:hAnsi="MetaPro-Norm"/>
        </w:rPr>
        <w:t xml:space="preserve"> May</w:t>
      </w:r>
      <w:r w:rsidR="0081336F" w:rsidRPr="0081336F">
        <w:rPr>
          <w:rFonts w:ascii="MetaPro-Norm" w:hAnsi="MetaPro-Norm"/>
        </w:rPr>
        <w:t xml:space="preserve"> 9</w:t>
      </w:r>
      <w:r w:rsidR="00E80690" w:rsidRPr="0081336F">
        <w:rPr>
          <w:rFonts w:ascii="MetaPro-Norm" w:hAnsi="MetaPro-Norm"/>
        </w:rPr>
        <w:t xml:space="preserve">, </w:t>
      </w:r>
      <w:r w:rsidR="00E80690">
        <w:rPr>
          <w:rFonts w:ascii="MetaPro-Norm" w:hAnsi="MetaPro-Norm"/>
        </w:rPr>
        <w:t xml:space="preserve">2020, in Bantaeng, South Sulawesi, </w:t>
      </w:r>
      <w:r w:rsidR="00926D08">
        <w:rPr>
          <w:rFonts w:ascii="MetaPro-Norm" w:hAnsi="MetaPro-Norm"/>
        </w:rPr>
        <w:t xml:space="preserve">In what could be Indonesia’s first so-called “honor killing,” </w:t>
      </w:r>
      <w:r w:rsidR="00E80690">
        <w:rPr>
          <w:rFonts w:ascii="MetaPro-Norm" w:hAnsi="MetaPro-Norm"/>
        </w:rPr>
        <w:t>two brothers killed their 16-year-old sister, suspecting that she had an intimate relationship with another man.</w:t>
      </w:r>
      <w:r w:rsidR="00E80690">
        <w:rPr>
          <w:rStyle w:val="FootnoteReference"/>
          <w:rFonts w:eastAsia="SimSun"/>
        </w:rPr>
        <w:footnoteReference w:id="19"/>
      </w:r>
      <w:r w:rsidR="00E80690">
        <w:rPr>
          <w:rFonts w:ascii="MetaPro-Norm" w:hAnsi="MetaPro-Norm"/>
        </w:rPr>
        <w:t xml:space="preserve"> They are charged with murder</w:t>
      </w:r>
      <w:r w:rsidR="00AE43F8">
        <w:rPr>
          <w:rFonts w:ascii="MetaPro-Norm" w:hAnsi="MetaPro-Norm"/>
        </w:rPr>
        <w:t>.</w:t>
      </w:r>
      <w:r w:rsidR="00AE43F8">
        <w:rPr>
          <w:rStyle w:val="FootnoteReference"/>
          <w:rFonts w:ascii="MetaPro-Norm" w:hAnsi="MetaPro-Norm"/>
        </w:rPr>
        <w:footnoteReference w:id="20"/>
      </w:r>
    </w:p>
    <w:p w14:paraId="12CB185A" w14:textId="147200AD" w:rsidR="006106A3" w:rsidRDefault="006106A3" w:rsidP="00772D79">
      <w:pPr>
        <w:rPr>
          <w:rFonts w:ascii="MetaPro-Norm" w:hAnsi="MetaPro-Norm"/>
        </w:rPr>
      </w:pPr>
    </w:p>
    <w:p w14:paraId="7490A75D" w14:textId="15AFDAB9" w:rsidR="006106A3" w:rsidRPr="003072D3" w:rsidRDefault="00386851" w:rsidP="00772D79">
      <w:pPr>
        <w:rPr>
          <w:rFonts w:ascii="MetaPro-Norm" w:hAnsi="MetaPro-Norm"/>
        </w:rPr>
      </w:pPr>
      <w:r w:rsidRPr="00386851">
        <w:rPr>
          <w:rFonts w:ascii="MetaPro-Norm" w:hAnsi="MetaPro-Norm"/>
        </w:rPr>
        <w:t xml:space="preserve">In Indonesia, more than 57,000 people with psychosocial disabilities, including women and girls, have been subjected to </w:t>
      </w:r>
      <w:r w:rsidRPr="00C47E1B">
        <w:rPr>
          <w:rFonts w:ascii="MetaPro-Norm" w:hAnsi="MetaPro-Norm"/>
          <w:i/>
          <w:iCs/>
        </w:rPr>
        <w:t>pasung</w:t>
      </w:r>
      <w:r w:rsidRPr="00386851">
        <w:rPr>
          <w:rFonts w:ascii="MetaPro-Norm" w:hAnsi="MetaPro-Norm"/>
        </w:rPr>
        <w:t xml:space="preserve"> –shackled or locked up in confined space– at least once in their lives. </w:t>
      </w:r>
      <w:r w:rsidR="00165546">
        <w:rPr>
          <w:rFonts w:ascii="MetaPro-Norm" w:hAnsi="MetaPro-Norm"/>
        </w:rPr>
        <w:t>S</w:t>
      </w:r>
      <w:r w:rsidRPr="00386851">
        <w:rPr>
          <w:rFonts w:ascii="MetaPro-Norm" w:hAnsi="MetaPro-Norm"/>
        </w:rPr>
        <w:t>tigma and the absence of adequate mental health care</w:t>
      </w:r>
      <w:r w:rsidR="00165546">
        <w:rPr>
          <w:rFonts w:ascii="MetaPro-Norm" w:hAnsi="MetaPro-Norm"/>
        </w:rPr>
        <w:t xml:space="preserve"> </w:t>
      </w:r>
      <w:r w:rsidR="00926D08">
        <w:rPr>
          <w:rFonts w:ascii="MetaPro-Norm" w:hAnsi="MetaPro-Norm"/>
        </w:rPr>
        <w:t xml:space="preserve">result in </w:t>
      </w:r>
      <w:r>
        <w:rPr>
          <w:rFonts w:ascii="MetaPro-Norm" w:hAnsi="MetaPro-Norm"/>
        </w:rPr>
        <w:t xml:space="preserve">these </w:t>
      </w:r>
      <w:r w:rsidRPr="00386851">
        <w:rPr>
          <w:rFonts w:ascii="MetaPro-Norm" w:hAnsi="MetaPro-Norm"/>
        </w:rPr>
        <w:t xml:space="preserve">women </w:t>
      </w:r>
      <w:r w:rsidR="00926D08">
        <w:rPr>
          <w:rFonts w:ascii="MetaPro-Norm" w:hAnsi="MetaPro-Norm"/>
        </w:rPr>
        <w:t xml:space="preserve">being </w:t>
      </w:r>
      <w:r w:rsidRPr="00386851">
        <w:rPr>
          <w:rFonts w:ascii="MetaPro-Norm" w:hAnsi="MetaPro-Norm"/>
        </w:rPr>
        <w:t xml:space="preserve">locked up in overcrowded and unsanitary institutions, where they face </w:t>
      </w:r>
      <w:r w:rsidRPr="00386851">
        <w:rPr>
          <w:rFonts w:ascii="MetaPro-Norm" w:hAnsi="MetaPro-Norm"/>
        </w:rPr>
        <w:lastRenderedPageBreak/>
        <w:t xml:space="preserve">abuses </w:t>
      </w:r>
      <w:r w:rsidR="0093787F">
        <w:rPr>
          <w:rFonts w:ascii="MetaPro-Norm" w:hAnsi="MetaPro-Norm"/>
        </w:rPr>
        <w:t xml:space="preserve">– </w:t>
      </w:r>
      <w:r w:rsidRPr="00386851">
        <w:rPr>
          <w:rFonts w:ascii="MetaPro-Norm" w:hAnsi="MetaPro-Norm"/>
        </w:rPr>
        <w:t>physical and sexual violence, involuntary treatment, seclusion, restraint and forced contraception.</w:t>
      </w:r>
      <w:r w:rsidR="00165546">
        <w:rPr>
          <w:rStyle w:val="FootnoteReference"/>
          <w:rFonts w:ascii="MetaPro-Norm" w:hAnsi="MetaPro-Norm"/>
        </w:rPr>
        <w:footnoteReference w:id="21"/>
      </w:r>
    </w:p>
    <w:p w14:paraId="2EC0AC8F" w14:textId="30A8A5F8" w:rsidR="00994F16" w:rsidRDefault="00994F16" w:rsidP="00772D79">
      <w:pPr>
        <w:rPr>
          <w:rFonts w:ascii="MetaPro-Norm" w:hAnsi="MetaPro-Norm"/>
        </w:rPr>
      </w:pPr>
    </w:p>
    <w:p w14:paraId="189C911F" w14:textId="5D632660" w:rsidR="009911B4" w:rsidRPr="003072D3" w:rsidRDefault="009911B4" w:rsidP="00772D79">
      <w:pPr>
        <w:rPr>
          <w:rFonts w:ascii="MetaPro-Norm" w:hAnsi="MetaPro-Norm"/>
          <w:i/>
        </w:rPr>
      </w:pPr>
      <w:r w:rsidRPr="003072D3">
        <w:rPr>
          <w:rFonts w:ascii="MetaPro-Norm" w:hAnsi="MetaPro-Norm"/>
          <w:i/>
        </w:rPr>
        <w:t>We encourage the Committee to pose the following questions</w:t>
      </w:r>
      <w:r w:rsidR="00926D08">
        <w:rPr>
          <w:rFonts w:ascii="MetaPro-Norm" w:hAnsi="MetaPro-Norm"/>
          <w:i/>
        </w:rPr>
        <w:t xml:space="preserve"> to the Indonesian government</w:t>
      </w:r>
      <w:r w:rsidRPr="003072D3">
        <w:rPr>
          <w:rFonts w:ascii="MetaPro-Norm" w:hAnsi="MetaPro-Norm"/>
          <w:i/>
        </w:rPr>
        <w:t>:</w:t>
      </w:r>
    </w:p>
    <w:p w14:paraId="78307109" w14:textId="77777777" w:rsidR="0033250E" w:rsidRPr="003072D3" w:rsidRDefault="0033250E" w:rsidP="00772D79">
      <w:pPr>
        <w:rPr>
          <w:rFonts w:ascii="MetaPro-Norm" w:hAnsi="MetaPro-Norm"/>
          <w:i/>
        </w:rPr>
      </w:pPr>
    </w:p>
    <w:p w14:paraId="37C82D86" w14:textId="3193D6AD" w:rsidR="00420FDA" w:rsidRPr="003072D3" w:rsidRDefault="00A72938" w:rsidP="00772D79">
      <w:pPr>
        <w:pStyle w:val="ListParagraph"/>
        <w:numPr>
          <w:ilvl w:val="0"/>
          <w:numId w:val="1"/>
        </w:numPr>
        <w:spacing w:after="0"/>
        <w:rPr>
          <w:rFonts w:ascii="MetaPro-Norm" w:hAnsi="MetaPro-Norm"/>
          <w:color w:val="000000" w:themeColor="text1"/>
          <w:sz w:val="24"/>
          <w:szCs w:val="24"/>
          <w:shd w:val="clear" w:color="auto" w:fill="FFFFFF"/>
        </w:rPr>
      </w:pPr>
      <w:r>
        <w:rPr>
          <w:rFonts w:ascii="MetaPro-Norm" w:hAnsi="MetaPro-Norm"/>
          <w:sz w:val="24"/>
          <w:szCs w:val="24"/>
        </w:rPr>
        <w:t>What steps has</w:t>
      </w:r>
      <w:r w:rsidR="007249E1">
        <w:rPr>
          <w:rFonts w:ascii="MetaPro-Norm" w:hAnsi="MetaPro-Norm"/>
          <w:sz w:val="24"/>
          <w:szCs w:val="24"/>
        </w:rPr>
        <w:t xml:space="preserve"> the Indonesian government </w:t>
      </w:r>
      <w:r w:rsidR="00D47F49">
        <w:rPr>
          <w:rFonts w:ascii="MetaPro-Norm" w:hAnsi="MetaPro-Norm"/>
          <w:sz w:val="24"/>
          <w:szCs w:val="24"/>
        </w:rPr>
        <w:t>take</w:t>
      </w:r>
      <w:r>
        <w:rPr>
          <w:rFonts w:ascii="MetaPro-Norm" w:hAnsi="MetaPro-Norm"/>
          <w:sz w:val="24"/>
          <w:szCs w:val="24"/>
        </w:rPr>
        <w:t>n</w:t>
      </w:r>
      <w:r w:rsidR="00D47F49">
        <w:rPr>
          <w:rFonts w:ascii="MetaPro-Norm" w:hAnsi="MetaPro-Norm"/>
          <w:sz w:val="24"/>
          <w:szCs w:val="24"/>
        </w:rPr>
        <w:t xml:space="preserve"> to </w:t>
      </w:r>
      <w:r w:rsidR="00420FDA" w:rsidRPr="003072D3">
        <w:rPr>
          <w:rFonts w:ascii="MetaPro-Norm" w:hAnsi="MetaPro-Norm"/>
          <w:sz w:val="24"/>
          <w:szCs w:val="24"/>
        </w:rPr>
        <w:t xml:space="preserve">stop “virginity testing”? </w:t>
      </w:r>
    </w:p>
    <w:p w14:paraId="29AD86DB" w14:textId="1B3898C5" w:rsidR="00CB5A56" w:rsidRPr="000E5797" w:rsidRDefault="000D5D31" w:rsidP="00772D79">
      <w:pPr>
        <w:pStyle w:val="ListParagraph"/>
        <w:numPr>
          <w:ilvl w:val="0"/>
          <w:numId w:val="1"/>
        </w:numPr>
        <w:spacing w:after="0"/>
        <w:rPr>
          <w:rFonts w:ascii="MetaPro-Norm" w:hAnsi="MetaPro-Norm"/>
          <w:color w:val="000000" w:themeColor="text1"/>
          <w:sz w:val="24"/>
          <w:szCs w:val="24"/>
          <w:shd w:val="clear" w:color="auto" w:fill="FFFFFF"/>
        </w:rPr>
      </w:pPr>
      <w:r w:rsidRPr="003072D3">
        <w:rPr>
          <w:rFonts w:ascii="MetaPro-Norm" w:hAnsi="MetaPro-Norm"/>
          <w:sz w:val="24"/>
          <w:szCs w:val="24"/>
        </w:rPr>
        <w:t>W</w:t>
      </w:r>
      <w:r w:rsidR="007249E1">
        <w:rPr>
          <w:rFonts w:ascii="MetaPro-Norm" w:hAnsi="MetaPro-Norm"/>
          <w:sz w:val="24"/>
          <w:szCs w:val="24"/>
        </w:rPr>
        <w:t xml:space="preserve">ill </w:t>
      </w:r>
      <w:r w:rsidRPr="003072D3">
        <w:rPr>
          <w:rFonts w:ascii="MetaPro-Norm" w:hAnsi="MetaPro-Norm"/>
          <w:sz w:val="24"/>
          <w:szCs w:val="24"/>
        </w:rPr>
        <w:t xml:space="preserve">the Ministry of Health </w:t>
      </w:r>
      <w:r w:rsidR="00CB5A56" w:rsidRPr="003072D3">
        <w:rPr>
          <w:rFonts w:ascii="MetaPro-Norm" w:hAnsi="MetaPro-Norm"/>
          <w:sz w:val="24"/>
          <w:szCs w:val="24"/>
        </w:rPr>
        <w:t xml:space="preserve">issue </w:t>
      </w:r>
      <w:r w:rsidR="007249E1">
        <w:rPr>
          <w:rFonts w:ascii="MetaPro-Norm" w:hAnsi="MetaPro-Norm"/>
          <w:sz w:val="24"/>
          <w:szCs w:val="24"/>
        </w:rPr>
        <w:t xml:space="preserve">a </w:t>
      </w:r>
      <w:r w:rsidR="00CB5A56" w:rsidRPr="003072D3">
        <w:rPr>
          <w:rFonts w:ascii="MetaPro-Norm" w:hAnsi="MetaPro-Norm"/>
          <w:sz w:val="24"/>
          <w:szCs w:val="24"/>
        </w:rPr>
        <w:t>public statement condemning “virginity testing” and demand that Indonesia’s police and military cease inflicting it on female applicants</w:t>
      </w:r>
      <w:r w:rsidRPr="003072D3">
        <w:rPr>
          <w:rFonts w:ascii="MetaPro-Norm" w:hAnsi="MetaPro-Norm"/>
          <w:sz w:val="24"/>
          <w:szCs w:val="24"/>
        </w:rPr>
        <w:t>?</w:t>
      </w:r>
      <w:r w:rsidR="00CB5A56" w:rsidRPr="003072D3">
        <w:rPr>
          <w:rStyle w:val="FootnoteReference"/>
          <w:rFonts w:ascii="MetaPro-Norm" w:hAnsi="MetaPro-Norm"/>
          <w:sz w:val="24"/>
          <w:szCs w:val="24"/>
        </w:rPr>
        <w:footnoteReference w:id="22"/>
      </w:r>
    </w:p>
    <w:p w14:paraId="76E030B9" w14:textId="77777777" w:rsidR="009A7D32" w:rsidRDefault="009A7D32" w:rsidP="00772D79">
      <w:pPr>
        <w:rPr>
          <w:rFonts w:ascii="MetaPro-Norm" w:hAnsi="MetaPro-Norm"/>
          <w:i/>
        </w:rPr>
      </w:pPr>
    </w:p>
    <w:p w14:paraId="6669A29F" w14:textId="622E9C36" w:rsidR="004978F0" w:rsidRPr="00772D79" w:rsidRDefault="004978F0" w:rsidP="00772D79">
      <w:pPr>
        <w:rPr>
          <w:rFonts w:ascii="MetaPro-Norm" w:hAnsi="MetaPro-Norm"/>
          <w:b/>
          <w:bCs/>
          <w:iCs/>
        </w:rPr>
      </w:pPr>
      <w:r w:rsidRPr="00772D79">
        <w:rPr>
          <w:rFonts w:ascii="MetaPro-Norm" w:hAnsi="MetaPro-Norm"/>
          <w:b/>
          <w:bCs/>
          <w:iCs/>
        </w:rPr>
        <w:t xml:space="preserve">Indigenous </w:t>
      </w:r>
      <w:r w:rsidR="00430221">
        <w:rPr>
          <w:rFonts w:ascii="MetaPro-Norm" w:hAnsi="MetaPro-Norm"/>
          <w:b/>
          <w:bCs/>
          <w:iCs/>
        </w:rPr>
        <w:t>W</w:t>
      </w:r>
      <w:r w:rsidRPr="00772D79">
        <w:rPr>
          <w:rFonts w:ascii="MetaPro-Norm" w:hAnsi="MetaPro-Norm"/>
          <w:b/>
          <w:bCs/>
          <w:iCs/>
        </w:rPr>
        <w:t xml:space="preserve">omen </w:t>
      </w:r>
      <w:r w:rsidR="004B1C38" w:rsidRPr="00772D79">
        <w:rPr>
          <w:rFonts w:ascii="MetaPro-Norm" w:hAnsi="MetaPro-Norm"/>
          <w:b/>
          <w:bCs/>
          <w:iCs/>
        </w:rPr>
        <w:t xml:space="preserve">and </w:t>
      </w:r>
      <w:r w:rsidR="00430221">
        <w:rPr>
          <w:rFonts w:ascii="MetaPro-Norm" w:hAnsi="MetaPro-Norm"/>
          <w:b/>
          <w:bCs/>
          <w:iCs/>
        </w:rPr>
        <w:t>L</w:t>
      </w:r>
      <w:r w:rsidR="004B1C38" w:rsidRPr="00772D79">
        <w:rPr>
          <w:rFonts w:ascii="MetaPro-Norm" w:hAnsi="MetaPro-Norm"/>
          <w:b/>
          <w:bCs/>
          <w:iCs/>
        </w:rPr>
        <w:t xml:space="preserve">and </w:t>
      </w:r>
      <w:r w:rsidR="00430221">
        <w:rPr>
          <w:rFonts w:ascii="MetaPro-Norm" w:hAnsi="MetaPro-Norm"/>
          <w:b/>
          <w:bCs/>
          <w:iCs/>
        </w:rPr>
        <w:t>R</w:t>
      </w:r>
      <w:r w:rsidR="004B1C38" w:rsidRPr="00A327FE">
        <w:rPr>
          <w:rFonts w:ascii="MetaPro-Norm" w:hAnsi="MetaPro-Norm"/>
          <w:b/>
          <w:bCs/>
          <w:iCs/>
        </w:rPr>
        <w:t xml:space="preserve">ights </w:t>
      </w:r>
      <w:r w:rsidR="00A72938" w:rsidRPr="0081336F">
        <w:rPr>
          <w:rFonts w:ascii="MetaPro-Norm" w:hAnsi="MetaPro-Norm"/>
          <w:b/>
          <w:bCs/>
          <w:iCs/>
        </w:rPr>
        <w:t>(A</w:t>
      </w:r>
      <w:r w:rsidR="001E6A5B" w:rsidRPr="0081336F">
        <w:rPr>
          <w:rFonts w:ascii="MetaPro-Norm" w:hAnsi="MetaPro-Norm"/>
          <w:b/>
          <w:bCs/>
          <w:iCs/>
        </w:rPr>
        <w:t xml:space="preserve">rticle </w:t>
      </w:r>
      <w:r w:rsidR="005759F5" w:rsidRPr="0081336F">
        <w:rPr>
          <w:rFonts w:ascii="MetaPro-Norm" w:hAnsi="MetaPro-Norm"/>
          <w:b/>
          <w:bCs/>
          <w:iCs/>
        </w:rPr>
        <w:t>14(2)</w:t>
      </w:r>
      <w:r w:rsidR="00A72938" w:rsidRPr="0081336F">
        <w:rPr>
          <w:rFonts w:ascii="MetaPro-Norm" w:hAnsi="MetaPro-Norm"/>
          <w:b/>
          <w:bCs/>
          <w:iCs/>
        </w:rPr>
        <w:t>)</w:t>
      </w:r>
    </w:p>
    <w:p w14:paraId="2F9A4EFE" w14:textId="2F843817" w:rsidR="004978F0" w:rsidRPr="003072D3" w:rsidRDefault="004978F0" w:rsidP="00772D79">
      <w:pPr>
        <w:rPr>
          <w:rFonts w:ascii="MetaPro-Norm" w:hAnsi="MetaPro-Norm"/>
          <w:iCs/>
        </w:rPr>
      </w:pPr>
    </w:p>
    <w:p w14:paraId="0EE885F0" w14:textId="3F1FDCC4" w:rsidR="004978F0" w:rsidRPr="003072D3" w:rsidRDefault="004978F0" w:rsidP="00772D79">
      <w:pPr>
        <w:rPr>
          <w:rFonts w:ascii="MetaPro-Norm" w:hAnsi="MetaPro-Norm"/>
          <w:iCs/>
        </w:rPr>
      </w:pPr>
      <w:r w:rsidRPr="003072D3">
        <w:rPr>
          <w:rFonts w:ascii="MetaPro-Norm" w:hAnsi="MetaPro-Norm"/>
          <w:iCs/>
        </w:rPr>
        <w:t xml:space="preserve">Between 2001 to 2017, Indonesia lost 24 million hectares of forest cover, </w:t>
      </w:r>
      <w:r w:rsidR="00431809" w:rsidRPr="003072D3">
        <w:rPr>
          <w:rFonts w:ascii="MetaPro-Norm" w:hAnsi="MetaPro-Norm"/>
          <w:iCs/>
        </w:rPr>
        <w:t xml:space="preserve">mostly on the islands of Sumatra, </w:t>
      </w:r>
      <w:r w:rsidR="00E86298" w:rsidRPr="003072D3">
        <w:rPr>
          <w:rFonts w:ascii="MetaPro-Norm" w:hAnsi="MetaPro-Norm"/>
          <w:iCs/>
        </w:rPr>
        <w:t>Kalimantan,</w:t>
      </w:r>
      <w:r w:rsidR="00431809" w:rsidRPr="003072D3">
        <w:rPr>
          <w:rFonts w:ascii="MetaPro-Norm" w:hAnsi="MetaPro-Norm"/>
          <w:iCs/>
        </w:rPr>
        <w:t xml:space="preserve"> and Papua.</w:t>
      </w:r>
      <w:r w:rsidRPr="003072D3">
        <w:rPr>
          <w:rFonts w:ascii="MetaPro-Norm" w:hAnsi="MetaPro-Norm"/>
          <w:iCs/>
        </w:rPr>
        <w:t xml:space="preserve"> Government sources estimate that oil palm plantations account for over half of all forest depletion in Indonesia, with about 14 million hectares of land under oil palm production.</w:t>
      </w:r>
      <w:r w:rsidR="00DA439C">
        <w:rPr>
          <w:rStyle w:val="FootnoteReference"/>
          <w:rFonts w:ascii="MetaPro-Norm" w:hAnsi="MetaPro-Norm"/>
          <w:iCs/>
        </w:rPr>
        <w:footnoteReference w:id="23"/>
      </w:r>
    </w:p>
    <w:p w14:paraId="503BAA22" w14:textId="77777777" w:rsidR="004978F0" w:rsidRPr="003072D3" w:rsidRDefault="004978F0" w:rsidP="00772D79">
      <w:pPr>
        <w:rPr>
          <w:rFonts w:ascii="MetaPro-Norm" w:hAnsi="MetaPro-Norm"/>
          <w:iCs/>
        </w:rPr>
      </w:pPr>
    </w:p>
    <w:p w14:paraId="7E6899ED" w14:textId="115C0249" w:rsidR="004978F0" w:rsidRPr="003072D3" w:rsidRDefault="004978F0" w:rsidP="00772D79">
      <w:pPr>
        <w:rPr>
          <w:rFonts w:ascii="MetaPro-Norm" w:hAnsi="MetaPro-Norm"/>
          <w:iCs/>
        </w:rPr>
      </w:pPr>
      <w:r w:rsidRPr="003072D3">
        <w:rPr>
          <w:rFonts w:ascii="MetaPro-Norm" w:hAnsi="MetaPro-Norm"/>
          <w:iCs/>
        </w:rPr>
        <w:t>Deforestation on such massive scale threatens the well</w:t>
      </w:r>
      <w:r w:rsidR="00926D08">
        <w:rPr>
          <w:rFonts w:ascii="MetaPro-Norm" w:hAnsi="MetaPro-Norm"/>
          <w:iCs/>
        </w:rPr>
        <w:t>-</w:t>
      </w:r>
      <w:r w:rsidRPr="003072D3">
        <w:rPr>
          <w:rFonts w:ascii="MetaPro-Norm" w:hAnsi="MetaPro-Norm"/>
          <w:iCs/>
        </w:rPr>
        <w:t>being and culture of the</w:t>
      </w:r>
      <w:r w:rsidR="00246B8E">
        <w:rPr>
          <w:rFonts w:ascii="MetaPro-Norm" w:hAnsi="MetaPro-Norm"/>
          <w:iCs/>
        </w:rPr>
        <w:t xml:space="preserve"> Indigenous </w:t>
      </w:r>
      <w:r w:rsidRPr="003072D3">
        <w:rPr>
          <w:rFonts w:ascii="MetaPro-Norm" w:hAnsi="MetaPro-Norm"/>
          <w:iCs/>
        </w:rPr>
        <w:t>population and has global significance associated with climate change.</w:t>
      </w:r>
      <w:r w:rsidR="00431809" w:rsidRPr="003072D3">
        <w:rPr>
          <w:rFonts w:ascii="MetaPro-Norm" w:hAnsi="MetaPro-Norm"/>
          <w:iCs/>
        </w:rPr>
        <w:t xml:space="preserve"> </w:t>
      </w:r>
      <w:r w:rsidRPr="003072D3">
        <w:rPr>
          <w:rFonts w:ascii="MetaPro-Norm" w:hAnsi="MetaPro-Norm"/>
          <w:iCs/>
        </w:rPr>
        <w:t>Companies clear and burn forests for oil palm plantations contributing to serious air pollution, risks to respiratory health across the region, and a spike in carbon emissions.</w:t>
      </w:r>
    </w:p>
    <w:p w14:paraId="2012C5E2" w14:textId="0B3E4593" w:rsidR="00ED4938" w:rsidRPr="003072D3" w:rsidRDefault="00ED4938" w:rsidP="00772D79">
      <w:pPr>
        <w:rPr>
          <w:rFonts w:ascii="MetaPro-Norm" w:hAnsi="MetaPro-Norm"/>
          <w:iCs/>
        </w:rPr>
      </w:pPr>
    </w:p>
    <w:p w14:paraId="684F1F5A" w14:textId="5FCDBEEB" w:rsidR="00431809" w:rsidRPr="003072D3" w:rsidRDefault="00ED4938" w:rsidP="00772D79">
      <w:pPr>
        <w:rPr>
          <w:rFonts w:ascii="MetaPro-Norm" w:hAnsi="MetaPro-Norm"/>
          <w:iCs/>
        </w:rPr>
      </w:pPr>
      <w:r w:rsidRPr="003072D3">
        <w:rPr>
          <w:rFonts w:ascii="MetaPro-Norm" w:hAnsi="MetaPro-Norm"/>
          <w:iCs/>
        </w:rPr>
        <w:t>Indonesia is home to about 50 to 70 million Indigenous people and over 2,330 Indigenous communities. Most Indigenous communities have not been legally recognized due to a poorly set up regulatory framework.</w:t>
      </w:r>
      <w:r w:rsidR="00431809" w:rsidRPr="003072D3">
        <w:rPr>
          <w:rFonts w:ascii="MetaPro-Norm" w:hAnsi="MetaPro-Norm"/>
          <w:iCs/>
        </w:rPr>
        <w:t xml:space="preserve"> </w:t>
      </w:r>
    </w:p>
    <w:p w14:paraId="50FF85D5" w14:textId="77777777" w:rsidR="00431809" w:rsidRPr="003072D3" w:rsidRDefault="00431809" w:rsidP="00772D79">
      <w:pPr>
        <w:rPr>
          <w:rFonts w:ascii="MetaPro-Norm" w:hAnsi="MetaPro-Norm"/>
          <w:iCs/>
        </w:rPr>
      </w:pPr>
    </w:p>
    <w:p w14:paraId="07D2B94E" w14:textId="76D75844" w:rsidR="00757800" w:rsidRPr="003072D3" w:rsidRDefault="004978F0" w:rsidP="00772D79">
      <w:pPr>
        <w:rPr>
          <w:rFonts w:ascii="MetaPro-Norm" w:hAnsi="MetaPro-Norm"/>
          <w:iCs/>
        </w:rPr>
      </w:pPr>
      <w:r w:rsidRPr="003072D3">
        <w:rPr>
          <w:rFonts w:ascii="MetaPro-Norm" w:hAnsi="MetaPro-Norm"/>
          <w:iCs/>
        </w:rPr>
        <w:lastRenderedPageBreak/>
        <w:t>Without forests</w:t>
      </w:r>
      <w:r w:rsidR="00555061">
        <w:rPr>
          <w:rFonts w:ascii="MetaPro-Norm" w:hAnsi="MetaPro-Norm"/>
          <w:iCs/>
        </w:rPr>
        <w:t>,</w:t>
      </w:r>
      <w:r w:rsidR="00246B8E">
        <w:rPr>
          <w:rFonts w:ascii="MetaPro-Norm" w:hAnsi="MetaPro-Norm"/>
          <w:iCs/>
        </w:rPr>
        <w:t xml:space="preserve"> Indigenous </w:t>
      </w:r>
      <w:r w:rsidRPr="003072D3">
        <w:rPr>
          <w:rFonts w:ascii="MetaPro-Norm" w:hAnsi="MetaPro-Norm"/>
          <w:iCs/>
        </w:rPr>
        <w:t xml:space="preserve">women </w:t>
      </w:r>
      <w:r w:rsidR="00CF00B9" w:rsidRPr="003072D3">
        <w:rPr>
          <w:rFonts w:ascii="MetaPro-Norm" w:hAnsi="MetaPro-Norm"/>
          <w:iCs/>
        </w:rPr>
        <w:t>cannot</w:t>
      </w:r>
      <w:r w:rsidRPr="003072D3">
        <w:rPr>
          <w:rFonts w:ascii="MetaPro-Norm" w:hAnsi="MetaPro-Norm"/>
          <w:iCs/>
        </w:rPr>
        <w:t xml:space="preserve"> pass on intergenerational knowledge and skills, such as weaving mats and baskets. They also lost the supplemental incomes from sales of these products.</w:t>
      </w:r>
      <w:r w:rsidR="00431809" w:rsidRPr="003072D3">
        <w:rPr>
          <w:rFonts w:ascii="MetaPro-Norm" w:hAnsi="MetaPro-Norm"/>
          <w:iCs/>
        </w:rPr>
        <w:t xml:space="preserve"> </w:t>
      </w:r>
      <w:r w:rsidRPr="003072D3">
        <w:rPr>
          <w:rFonts w:ascii="MetaPro-Norm" w:hAnsi="MetaPro-Norm"/>
          <w:iCs/>
        </w:rPr>
        <w:t xml:space="preserve">In cases where monetary compensation was made to some households it did not account for loss of the community’s </w:t>
      </w:r>
      <w:r w:rsidRPr="006B198D">
        <w:rPr>
          <w:rFonts w:ascii="MetaPro-Norm" w:hAnsi="MetaPro-Norm"/>
          <w:i/>
        </w:rPr>
        <w:t>adat forest</w:t>
      </w:r>
      <w:r w:rsidRPr="003072D3">
        <w:rPr>
          <w:rFonts w:ascii="MetaPro-Norm" w:hAnsi="MetaPro-Norm"/>
          <w:iCs/>
        </w:rPr>
        <w:t xml:space="preserve"> (literally, customary forests), wild rubber, and other forest products that women in particular used for food or as a source of revenue.</w:t>
      </w:r>
    </w:p>
    <w:p w14:paraId="47C68533" w14:textId="25F0DAE8" w:rsidR="00431809" w:rsidRPr="003072D3" w:rsidRDefault="00431809" w:rsidP="00772D79">
      <w:pPr>
        <w:rPr>
          <w:rFonts w:ascii="MetaPro-Norm" w:hAnsi="MetaPro-Norm"/>
          <w:iCs/>
        </w:rPr>
      </w:pPr>
    </w:p>
    <w:p w14:paraId="64DDFB43" w14:textId="06D66B9D" w:rsidR="00431809" w:rsidRPr="003072D3" w:rsidRDefault="00431809" w:rsidP="00772D79">
      <w:pPr>
        <w:rPr>
          <w:rFonts w:ascii="MetaPro-Norm" w:hAnsi="MetaPro-Norm"/>
          <w:i/>
        </w:rPr>
      </w:pPr>
      <w:r w:rsidRPr="003072D3">
        <w:rPr>
          <w:rFonts w:ascii="MetaPro-Norm" w:hAnsi="MetaPro-Norm"/>
          <w:i/>
        </w:rPr>
        <w:t>We encourage the Committee to pose the following questions</w:t>
      </w:r>
      <w:r w:rsidR="00926D08" w:rsidRPr="00926D08">
        <w:rPr>
          <w:rFonts w:ascii="MetaPro-Norm" w:hAnsi="MetaPro-Norm"/>
          <w:i/>
        </w:rPr>
        <w:t xml:space="preserve"> </w:t>
      </w:r>
      <w:r w:rsidR="00926D08">
        <w:rPr>
          <w:rFonts w:ascii="MetaPro-Norm" w:hAnsi="MetaPro-Norm"/>
          <w:i/>
        </w:rPr>
        <w:t>to the Indonesian government</w:t>
      </w:r>
      <w:r w:rsidRPr="003072D3">
        <w:rPr>
          <w:rFonts w:ascii="MetaPro-Norm" w:hAnsi="MetaPro-Norm"/>
          <w:i/>
        </w:rPr>
        <w:t>:</w:t>
      </w:r>
    </w:p>
    <w:p w14:paraId="240AC6E8" w14:textId="77777777" w:rsidR="00431809" w:rsidRPr="003072D3" w:rsidRDefault="00431809" w:rsidP="00772D79">
      <w:pPr>
        <w:rPr>
          <w:rFonts w:ascii="MetaPro-Norm" w:hAnsi="MetaPro-Norm"/>
          <w:iCs/>
        </w:rPr>
      </w:pPr>
    </w:p>
    <w:p w14:paraId="19FB095A" w14:textId="3F5DBEC6" w:rsidR="00DA439C" w:rsidRPr="00DA439C" w:rsidRDefault="0007003D" w:rsidP="00772D79">
      <w:pPr>
        <w:pStyle w:val="ListParagraph"/>
        <w:numPr>
          <w:ilvl w:val="0"/>
          <w:numId w:val="4"/>
        </w:numPr>
        <w:spacing w:after="0"/>
        <w:rPr>
          <w:rFonts w:ascii="MetaPro-Norm" w:hAnsi="MetaPro-Norm"/>
          <w:iCs/>
          <w:sz w:val="24"/>
          <w:szCs w:val="24"/>
        </w:rPr>
      </w:pPr>
      <w:r>
        <w:rPr>
          <w:rFonts w:ascii="MetaPro-Norm" w:hAnsi="MetaPro-Norm"/>
          <w:iCs/>
          <w:sz w:val="24"/>
          <w:szCs w:val="24"/>
        </w:rPr>
        <w:t xml:space="preserve">How will the Indonesian government </w:t>
      </w:r>
      <w:r w:rsidR="00DA439C" w:rsidRPr="00DA439C">
        <w:rPr>
          <w:rFonts w:ascii="MetaPro-Norm" w:hAnsi="MetaPro-Norm"/>
          <w:iCs/>
          <w:sz w:val="24"/>
          <w:szCs w:val="24"/>
        </w:rPr>
        <w:t>recognize and protect</w:t>
      </w:r>
      <w:r w:rsidR="00246B8E">
        <w:rPr>
          <w:rFonts w:ascii="MetaPro-Norm" w:hAnsi="MetaPro-Norm"/>
          <w:iCs/>
          <w:sz w:val="24"/>
          <w:szCs w:val="24"/>
        </w:rPr>
        <w:t xml:space="preserve"> Indigenous </w:t>
      </w:r>
      <w:r w:rsidR="00DA439C" w:rsidRPr="00DA439C">
        <w:rPr>
          <w:rFonts w:ascii="MetaPro-Norm" w:hAnsi="MetaPro-Norm"/>
          <w:iCs/>
          <w:sz w:val="24"/>
          <w:szCs w:val="24"/>
        </w:rPr>
        <w:t>peoples</w:t>
      </w:r>
      <w:r w:rsidR="005759F5">
        <w:rPr>
          <w:rFonts w:ascii="MetaPro-Norm" w:hAnsi="MetaPro-Norm"/>
          <w:iCs/>
          <w:sz w:val="24"/>
          <w:szCs w:val="24"/>
        </w:rPr>
        <w:t>, including</w:t>
      </w:r>
      <w:r w:rsidR="00246B8E">
        <w:rPr>
          <w:rFonts w:ascii="MetaPro-Norm" w:hAnsi="MetaPro-Norm"/>
          <w:iCs/>
          <w:sz w:val="24"/>
          <w:szCs w:val="24"/>
        </w:rPr>
        <w:t xml:space="preserve"> Indigenous </w:t>
      </w:r>
      <w:r w:rsidR="005759F5">
        <w:rPr>
          <w:rFonts w:ascii="MetaPro-Norm" w:hAnsi="MetaPro-Norm"/>
          <w:iCs/>
          <w:sz w:val="24"/>
          <w:szCs w:val="24"/>
        </w:rPr>
        <w:t>women,</w:t>
      </w:r>
      <w:r w:rsidR="00DA439C" w:rsidRPr="00DA439C">
        <w:rPr>
          <w:rFonts w:ascii="MetaPro-Norm" w:hAnsi="MetaPro-Norm"/>
          <w:iCs/>
          <w:sz w:val="24"/>
          <w:szCs w:val="24"/>
        </w:rPr>
        <w:t xml:space="preserve"> and their community rights to land and forests</w:t>
      </w:r>
      <w:r>
        <w:rPr>
          <w:rFonts w:ascii="MetaPro-Norm" w:hAnsi="MetaPro-Norm"/>
          <w:iCs/>
          <w:sz w:val="24"/>
          <w:szCs w:val="24"/>
        </w:rPr>
        <w:t>?</w:t>
      </w:r>
    </w:p>
    <w:p w14:paraId="15BD48CB" w14:textId="594AA7CF" w:rsidR="005759F5" w:rsidRDefault="0007003D" w:rsidP="00772D79">
      <w:pPr>
        <w:pStyle w:val="ListParagraph"/>
        <w:numPr>
          <w:ilvl w:val="0"/>
          <w:numId w:val="4"/>
        </w:numPr>
        <w:spacing w:after="0"/>
        <w:rPr>
          <w:rFonts w:ascii="MetaPro-Norm" w:hAnsi="MetaPro-Norm"/>
          <w:iCs/>
          <w:sz w:val="24"/>
          <w:szCs w:val="24"/>
        </w:rPr>
      </w:pPr>
      <w:r>
        <w:rPr>
          <w:rFonts w:ascii="MetaPro-Norm" w:hAnsi="MetaPro-Norm"/>
          <w:iCs/>
          <w:sz w:val="24"/>
          <w:szCs w:val="24"/>
        </w:rPr>
        <w:t>How will the Indonesian government ensure that</w:t>
      </w:r>
      <w:r w:rsidR="00246B8E">
        <w:rPr>
          <w:rFonts w:ascii="MetaPro-Norm" w:hAnsi="MetaPro-Norm"/>
          <w:iCs/>
          <w:sz w:val="24"/>
          <w:szCs w:val="24"/>
        </w:rPr>
        <w:t xml:space="preserve"> Indigenous </w:t>
      </w:r>
      <w:r w:rsidR="005759F5">
        <w:rPr>
          <w:rFonts w:ascii="MetaPro-Norm" w:hAnsi="MetaPro-Norm"/>
          <w:iCs/>
          <w:sz w:val="24"/>
          <w:szCs w:val="24"/>
        </w:rPr>
        <w:t>women are involved in formulating policies related to management of</w:t>
      </w:r>
      <w:r w:rsidR="00246B8E">
        <w:rPr>
          <w:rFonts w:ascii="MetaPro-Norm" w:hAnsi="MetaPro-Norm"/>
          <w:iCs/>
          <w:sz w:val="24"/>
          <w:szCs w:val="24"/>
        </w:rPr>
        <w:t xml:space="preserve"> Indigenous </w:t>
      </w:r>
      <w:r w:rsidR="005759F5">
        <w:rPr>
          <w:rFonts w:ascii="MetaPro-Norm" w:hAnsi="MetaPro-Norm"/>
          <w:iCs/>
          <w:sz w:val="24"/>
          <w:szCs w:val="24"/>
        </w:rPr>
        <w:t xml:space="preserve">peoples’ territories? </w:t>
      </w:r>
    </w:p>
    <w:p w14:paraId="199E46A0" w14:textId="20148CBD" w:rsidR="005759F5" w:rsidRDefault="005759F5" w:rsidP="00772D79">
      <w:pPr>
        <w:pStyle w:val="ListParagraph"/>
        <w:numPr>
          <w:ilvl w:val="0"/>
          <w:numId w:val="4"/>
        </w:numPr>
        <w:spacing w:after="0"/>
        <w:rPr>
          <w:rFonts w:ascii="MetaPro-Norm" w:hAnsi="MetaPro-Norm"/>
          <w:iCs/>
          <w:sz w:val="24"/>
          <w:szCs w:val="24"/>
        </w:rPr>
      </w:pPr>
      <w:r>
        <w:rPr>
          <w:rFonts w:ascii="MetaPro-Norm" w:hAnsi="MetaPro-Norm"/>
          <w:iCs/>
          <w:sz w:val="24"/>
          <w:szCs w:val="24"/>
        </w:rPr>
        <w:t>What steps ha</w:t>
      </w:r>
      <w:r w:rsidR="00A72938">
        <w:rPr>
          <w:rFonts w:ascii="MetaPro-Norm" w:hAnsi="MetaPro-Norm"/>
          <w:iCs/>
          <w:sz w:val="24"/>
          <w:szCs w:val="24"/>
        </w:rPr>
        <w:t>s</w:t>
      </w:r>
      <w:r>
        <w:rPr>
          <w:rFonts w:ascii="MetaPro-Norm" w:hAnsi="MetaPro-Norm"/>
          <w:iCs/>
          <w:sz w:val="24"/>
          <w:szCs w:val="24"/>
        </w:rPr>
        <w:t xml:space="preserve"> the Indonesian government taken to review proposed, ongoing, and completed resettlement to ensure that displaced</w:t>
      </w:r>
      <w:r w:rsidR="00246B8E">
        <w:rPr>
          <w:rFonts w:ascii="MetaPro-Norm" w:hAnsi="MetaPro-Norm"/>
          <w:iCs/>
          <w:sz w:val="24"/>
          <w:szCs w:val="24"/>
        </w:rPr>
        <w:t xml:space="preserve"> Indigenous </w:t>
      </w:r>
      <w:r>
        <w:rPr>
          <w:rFonts w:ascii="MetaPro-Norm" w:hAnsi="MetaPro-Norm"/>
          <w:iCs/>
          <w:sz w:val="24"/>
          <w:szCs w:val="24"/>
        </w:rPr>
        <w:t>communities, including women, were involved in planning and implementing just, fair, and equitable compensation in accordance with international human rights standards?</w:t>
      </w:r>
    </w:p>
    <w:p w14:paraId="3BFFD488" w14:textId="4E34F4D3" w:rsidR="00F936C3" w:rsidRPr="0007003D" w:rsidRDefault="005759F5" w:rsidP="00772D79">
      <w:pPr>
        <w:pStyle w:val="ListParagraph"/>
        <w:numPr>
          <w:ilvl w:val="0"/>
          <w:numId w:val="4"/>
        </w:numPr>
        <w:spacing w:after="0"/>
        <w:rPr>
          <w:rFonts w:ascii="MetaPro-Norm" w:hAnsi="MetaPro-Norm"/>
          <w:iCs/>
          <w:sz w:val="24"/>
          <w:szCs w:val="24"/>
        </w:rPr>
      </w:pPr>
      <w:r>
        <w:rPr>
          <w:rFonts w:ascii="MetaPro-Norm" w:hAnsi="MetaPro-Norm"/>
          <w:iCs/>
          <w:sz w:val="24"/>
          <w:szCs w:val="24"/>
        </w:rPr>
        <w:t>What steps ha</w:t>
      </w:r>
      <w:r w:rsidR="00A72938">
        <w:rPr>
          <w:rFonts w:ascii="MetaPro-Norm" w:hAnsi="MetaPro-Norm"/>
          <w:iCs/>
          <w:sz w:val="24"/>
          <w:szCs w:val="24"/>
        </w:rPr>
        <w:t>s</w:t>
      </w:r>
      <w:r>
        <w:rPr>
          <w:rFonts w:ascii="MetaPro-Norm" w:hAnsi="MetaPro-Norm"/>
          <w:iCs/>
          <w:sz w:val="24"/>
          <w:szCs w:val="24"/>
        </w:rPr>
        <w:t xml:space="preserve"> the Indonesian government taken to ensure that </w:t>
      </w:r>
      <w:r w:rsidR="0007003D">
        <w:rPr>
          <w:rFonts w:ascii="MetaPro-Norm" w:hAnsi="MetaPro-Norm"/>
          <w:iCs/>
          <w:sz w:val="24"/>
          <w:szCs w:val="24"/>
        </w:rPr>
        <w:t>a</w:t>
      </w:r>
      <w:r w:rsidR="00DA439C" w:rsidRPr="00DA439C">
        <w:rPr>
          <w:rFonts w:ascii="MetaPro-Norm" w:hAnsi="MetaPro-Norm"/>
          <w:iCs/>
          <w:sz w:val="24"/>
          <w:szCs w:val="24"/>
        </w:rPr>
        <w:t>ll companies operating plantations carry out robust human rights due diligence and provide just, fair, and equitable compensation in accordance with international human rights standards</w:t>
      </w:r>
      <w:r w:rsidR="0007003D">
        <w:rPr>
          <w:rFonts w:ascii="MetaPro-Norm" w:hAnsi="MetaPro-Norm"/>
          <w:iCs/>
          <w:sz w:val="24"/>
          <w:szCs w:val="24"/>
        </w:rPr>
        <w:t>?</w:t>
      </w:r>
    </w:p>
    <w:p w14:paraId="59F2A3C3" w14:textId="067D8E38" w:rsidR="009A7D32" w:rsidRDefault="009A7D32" w:rsidP="00772D79">
      <w:pPr>
        <w:rPr>
          <w:rFonts w:ascii="MetaPro-Norm" w:hAnsi="MetaPro-Norm"/>
          <w:iCs/>
        </w:rPr>
      </w:pPr>
    </w:p>
    <w:p w14:paraId="1DD4551C" w14:textId="7EE985E0" w:rsidR="00373A2A" w:rsidRPr="00772D79" w:rsidRDefault="00373A2A" w:rsidP="00772D79">
      <w:pPr>
        <w:rPr>
          <w:rFonts w:ascii="MetaPro-Norm" w:hAnsi="MetaPro-Norm"/>
          <w:b/>
          <w:bCs/>
          <w:iCs/>
        </w:rPr>
      </w:pPr>
      <w:r w:rsidRPr="00772D79">
        <w:rPr>
          <w:rFonts w:ascii="MetaPro-Norm" w:hAnsi="MetaPro-Norm"/>
          <w:b/>
          <w:bCs/>
          <w:iCs/>
        </w:rPr>
        <w:t xml:space="preserve">Lesbian and </w:t>
      </w:r>
      <w:r w:rsidR="00614793">
        <w:rPr>
          <w:rFonts w:ascii="MetaPro-Norm" w:hAnsi="MetaPro-Norm"/>
          <w:b/>
          <w:bCs/>
          <w:iCs/>
        </w:rPr>
        <w:t>B</w:t>
      </w:r>
      <w:r w:rsidRPr="00772D79">
        <w:rPr>
          <w:rFonts w:ascii="MetaPro-Norm" w:hAnsi="MetaPro-Norm"/>
          <w:b/>
          <w:bCs/>
          <w:iCs/>
        </w:rPr>
        <w:t xml:space="preserve">isexual </w:t>
      </w:r>
      <w:r w:rsidR="00614793">
        <w:rPr>
          <w:rFonts w:ascii="MetaPro-Norm" w:hAnsi="MetaPro-Norm"/>
          <w:b/>
          <w:bCs/>
          <w:iCs/>
        </w:rPr>
        <w:t>W</w:t>
      </w:r>
      <w:r w:rsidRPr="00772D79">
        <w:rPr>
          <w:rFonts w:ascii="MetaPro-Norm" w:hAnsi="MetaPro-Norm"/>
          <w:b/>
          <w:bCs/>
          <w:iCs/>
        </w:rPr>
        <w:t xml:space="preserve">omen and </w:t>
      </w:r>
      <w:r w:rsidR="00614793">
        <w:rPr>
          <w:rFonts w:ascii="MetaPro-Norm" w:hAnsi="MetaPro-Norm"/>
          <w:b/>
          <w:bCs/>
          <w:iCs/>
        </w:rPr>
        <w:t>T</w:t>
      </w:r>
      <w:r w:rsidRPr="00772D79">
        <w:rPr>
          <w:rFonts w:ascii="MetaPro-Norm" w:hAnsi="MetaPro-Norm"/>
          <w:b/>
          <w:bCs/>
          <w:iCs/>
        </w:rPr>
        <w:t xml:space="preserve">ransgender </w:t>
      </w:r>
      <w:r w:rsidR="00614793">
        <w:rPr>
          <w:rFonts w:ascii="MetaPro-Norm" w:hAnsi="MetaPro-Norm"/>
          <w:b/>
          <w:bCs/>
          <w:iCs/>
        </w:rPr>
        <w:t>P</w:t>
      </w:r>
      <w:r w:rsidRPr="00772D79">
        <w:rPr>
          <w:rFonts w:ascii="MetaPro-Norm" w:hAnsi="MetaPro-Norm"/>
          <w:b/>
          <w:bCs/>
          <w:iCs/>
        </w:rPr>
        <w:t xml:space="preserve">eople </w:t>
      </w:r>
      <w:r w:rsidR="00A72938" w:rsidRPr="00213DF1">
        <w:rPr>
          <w:rFonts w:ascii="MetaPro-Norm" w:hAnsi="MetaPro-Norm"/>
          <w:b/>
          <w:bCs/>
          <w:iCs/>
        </w:rPr>
        <w:t>(A</w:t>
      </w:r>
      <w:r w:rsidRPr="00213DF1">
        <w:rPr>
          <w:rFonts w:ascii="MetaPro-Norm" w:hAnsi="MetaPro-Norm"/>
          <w:b/>
          <w:bCs/>
          <w:iCs/>
        </w:rPr>
        <w:t>rticle</w:t>
      </w:r>
      <w:r w:rsidR="00FE60A7" w:rsidRPr="00213DF1">
        <w:rPr>
          <w:rFonts w:ascii="MetaPro-Norm" w:hAnsi="MetaPro-Norm"/>
          <w:b/>
          <w:bCs/>
          <w:iCs/>
        </w:rPr>
        <w:t xml:space="preserve"> 2</w:t>
      </w:r>
      <w:r w:rsidR="00A72938" w:rsidRPr="00213DF1">
        <w:rPr>
          <w:rFonts w:ascii="MetaPro-Norm" w:hAnsi="MetaPro-Norm"/>
          <w:b/>
          <w:bCs/>
          <w:iCs/>
        </w:rPr>
        <w:t>)</w:t>
      </w:r>
    </w:p>
    <w:p w14:paraId="75D1D4CE" w14:textId="77777777" w:rsidR="00373A2A" w:rsidRPr="003072D3" w:rsidRDefault="00373A2A" w:rsidP="00772D79">
      <w:pPr>
        <w:rPr>
          <w:rFonts w:ascii="MetaPro-Norm" w:hAnsi="MetaPro-Norm"/>
          <w:iCs/>
        </w:rPr>
      </w:pPr>
    </w:p>
    <w:p w14:paraId="0DDDE78A" w14:textId="4EF84648" w:rsidR="00373A2A" w:rsidRDefault="00373A2A" w:rsidP="00772D79">
      <w:pPr>
        <w:rPr>
          <w:rFonts w:ascii="MetaPro-Norm" w:hAnsi="MetaPro-Norm"/>
          <w:iCs/>
        </w:rPr>
      </w:pPr>
      <w:r w:rsidRPr="00EB0859">
        <w:rPr>
          <w:rFonts w:ascii="MetaPro-Norm" w:hAnsi="MetaPro-Norm"/>
          <w:iCs/>
        </w:rPr>
        <w:t xml:space="preserve">Indonesian authorities have failed to protect the basic rights of LGBT people. </w:t>
      </w:r>
      <w:r w:rsidRPr="003072D3">
        <w:rPr>
          <w:rFonts w:ascii="MetaPro-Norm" w:hAnsi="MetaPro-Norm"/>
          <w:iCs/>
        </w:rPr>
        <w:t xml:space="preserve">Human Rights Watch has documented numerous cases of intimidation, humiliation, and arbitrary arrest </w:t>
      </w:r>
      <w:r>
        <w:rPr>
          <w:rFonts w:ascii="MetaPro-Norm" w:hAnsi="MetaPro-Norm"/>
          <w:iCs/>
        </w:rPr>
        <w:t>on the grounds of sexual orientation and gender identity</w:t>
      </w:r>
      <w:r w:rsidRPr="003072D3">
        <w:rPr>
          <w:rFonts w:ascii="MetaPro-Norm" w:hAnsi="MetaPro-Norm"/>
          <w:iCs/>
        </w:rPr>
        <w:t xml:space="preserve"> ever since Aceh</w:t>
      </w:r>
      <w:r w:rsidR="006B198D">
        <w:rPr>
          <w:rFonts w:ascii="MetaPro-Norm" w:hAnsi="MetaPro-Norm"/>
          <w:iCs/>
        </w:rPr>
        <w:t xml:space="preserve"> </w:t>
      </w:r>
      <w:r w:rsidRPr="003072D3">
        <w:rPr>
          <w:rFonts w:ascii="MetaPro-Norm" w:hAnsi="MetaPro-Norm"/>
          <w:iCs/>
        </w:rPr>
        <w:t xml:space="preserve">officially </w:t>
      </w:r>
      <w:r w:rsidR="00926D08">
        <w:rPr>
          <w:rFonts w:ascii="MetaPro-Norm" w:hAnsi="MetaPro-Norm"/>
          <w:iCs/>
        </w:rPr>
        <w:t xml:space="preserve">enforced </w:t>
      </w:r>
      <w:r w:rsidR="006B198D">
        <w:rPr>
          <w:rFonts w:ascii="MetaPro-Norm" w:hAnsi="MetaPro-Norm"/>
          <w:iCs/>
        </w:rPr>
        <w:t xml:space="preserve">the Islamic criminal code </w:t>
      </w:r>
      <w:r w:rsidRPr="003072D3">
        <w:rPr>
          <w:rFonts w:ascii="MetaPro-Norm" w:hAnsi="MetaPro-Norm"/>
          <w:iCs/>
        </w:rPr>
        <w:t xml:space="preserve">in October 2015, which criminalizes same-sex relations. </w:t>
      </w:r>
      <w:r>
        <w:rPr>
          <w:rFonts w:ascii="MetaPro-Norm" w:hAnsi="MetaPro-Norm"/>
          <w:iCs/>
        </w:rPr>
        <w:t>Women accused of “lesbian deviant behavior,”</w:t>
      </w:r>
      <w:r w:rsidR="00CC22AF">
        <w:rPr>
          <w:rStyle w:val="FootnoteReference"/>
          <w:rFonts w:ascii="MetaPro-Norm" w:hAnsi="MetaPro-Norm"/>
          <w:iCs/>
        </w:rPr>
        <w:footnoteReference w:id="24"/>
      </w:r>
      <w:r>
        <w:rPr>
          <w:rFonts w:ascii="MetaPro-Norm" w:hAnsi="MetaPro-Norm"/>
          <w:iCs/>
        </w:rPr>
        <w:t xml:space="preserve"> as well as trans women</w:t>
      </w:r>
      <w:r w:rsidR="00926D08">
        <w:rPr>
          <w:rFonts w:ascii="MetaPro-Norm" w:hAnsi="MetaPro-Norm"/>
          <w:iCs/>
        </w:rPr>
        <w:t>,</w:t>
      </w:r>
      <w:r w:rsidR="002C32E8">
        <w:rPr>
          <w:rStyle w:val="FootnoteReference"/>
          <w:rFonts w:ascii="MetaPro-Norm" w:hAnsi="MetaPro-Norm"/>
          <w:iCs/>
        </w:rPr>
        <w:footnoteReference w:id="25"/>
      </w:r>
      <w:r>
        <w:rPr>
          <w:rFonts w:ascii="MetaPro-Norm" w:hAnsi="MetaPro-Norm"/>
          <w:iCs/>
        </w:rPr>
        <w:t xml:space="preserve"> have been victims of arrest. </w:t>
      </w:r>
      <w:r w:rsidRPr="003072D3">
        <w:rPr>
          <w:rFonts w:ascii="MetaPro-Norm" w:hAnsi="MetaPro-Norm"/>
          <w:iCs/>
        </w:rPr>
        <w:t xml:space="preserve">The anti-LGBT campaign intensified nationally in 2016 when top </w:t>
      </w:r>
      <w:r w:rsidRPr="003072D3">
        <w:rPr>
          <w:rFonts w:ascii="MetaPro-Norm" w:hAnsi="MetaPro-Norm"/>
          <w:iCs/>
        </w:rPr>
        <w:lastRenderedPageBreak/>
        <w:t>government officials issued anti-LGBT statements.</w:t>
      </w:r>
      <w:r w:rsidRPr="003072D3">
        <w:rPr>
          <w:rStyle w:val="FootnoteReference"/>
          <w:rFonts w:ascii="MetaPro-Norm" w:hAnsi="MetaPro-Norm"/>
          <w:iCs/>
        </w:rPr>
        <w:t xml:space="preserve"> </w:t>
      </w:r>
      <w:r w:rsidRPr="003072D3">
        <w:rPr>
          <w:rStyle w:val="FootnoteReference"/>
          <w:rFonts w:ascii="MetaPro-Norm" w:hAnsi="MetaPro-Norm"/>
          <w:iCs/>
        </w:rPr>
        <w:footnoteReference w:id="26"/>
      </w:r>
      <w:r w:rsidRPr="003072D3">
        <w:rPr>
          <w:rFonts w:ascii="MetaPro-Norm" w:hAnsi="MetaPro-Norm"/>
          <w:iCs/>
        </w:rPr>
        <w:t xml:space="preserve"> Now more local governments, such as in West Java, </w:t>
      </w:r>
      <w:r w:rsidR="00D449C7">
        <w:rPr>
          <w:rFonts w:ascii="MetaPro-Norm" w:hAnsi="MetaPro-Norm"/>
          <w:iCs/>
        </w:rPr>
        <w:t xml:space="preserve">have </w:t>
      </w:r>
      <w:r w:rsidRPr="003072D3">
        <w:rPr>
          <w:rFonts w:ascii="MetaPro-Norm" w:hAnsi="MetaPro-Norm"/>
          <w:iCs/>
        </w:rPr>
        <w:t>ordinances to criminalize same-sex relations.</w:t>
      </w:r>
      <w:r w:rsidRPr="003072D3">
        <w:rPr>
          <w:rStyle w:val="FootnoteReference"/>
          <w:rFonts w:ascii="MetaPro-Norm" w:hAnsi="MetaPro-Norm"/>
          <w:iCs/>
        </w:rPr>
        <w:footnoteReference w:id="27"/>
      </w:r>
      <w:r>
        <w:rPr>
          <w:rFonts w:ascii="MetaPro-Norm" w:hAnsi="MetaPro-Norm"/>
          <w:iCs/>
        </w:rPr>
        <w:t xml:space="preserve"> </w:t>
      </w:r>
    </w:p>
    <w:p w14:paraId="1508409F" w14:textId="77777777" w:rsidR="00373A2A" w:rsidRDefault="00373A2A" w:rsidP="00772D79">
      <w:pPr>
        <w:rPr>
          <w:rFonts w:ascii="MetaPro-Norm" w:hAnsi="MetaPro-Norm"/>
          <w:iCs/>
        </w:rPr>
      </w:pPr>
    </w:p>
    <w:p w14:paraId="78A3E308" w14:textId="38E99C08" w:rsidR="00373A2A" w:rsidRDefault="00373A2A" w:rsidP="00772D79">
      <w:pPr>
        <w:rPr>
          <w:rFonts w:ascii="MetaPro-Norm" w:hAnsi="MetaPro-Norm"/>
          <w:iCs/>
        </w:rPr>
      </w:pPr>
      <w:r>
        <w:rPr>
          <w:rFonts w:ascii="MetaPro-Norm" w:hAnsi="MetaPro-Norm"/>
          <w:iCs/>
        </w:rPr>
        <w:t xml:space="preserve">As noted above, the draft criminal code </w:t>
      </w:r>
      <w:r w:rsidRPr="000312C5">
        <w:rPr>
          <w:rFonts w:ascii="MetaPro-Norm" w:hAnsi="MetaPro-Norm"/>
          <w:iCs/>
        </w:rPr>
        <w:t>punishes extramarital sex by up to one year in jail</w:t>
      </w:r>
      <w:r>
        <w:rPr>
          <w:rFonts w:ascii="MetaPro-Norm" w:hAnsi="MetaPro-Norm"/>
          <w:iCs/>
        </w:rPr>
        <w:t>, impacting lesbian and bisexual women as well as many trans people, who are often perceived as gay</w:t>
      </w:r>
      <w:r w:rsidRPr="000312C5">
        <w:rPr>
          <w:rFonts w:ascii="MetaPro-Norm" w:hAnsi="MetaPro-Norm"/>
          <w:iCs/>
        </w:rPr>
        <w:t>.</w:t>
      </w:r>
      <w:r>
        <w:rPr>
          <w:rStyle w:val="FootnoteReference"/>
          <w:rFonts w:ascii="MetaPro-Norm" w:hAnsi="MetaPro-Norm"/>
          <w:iCs/>
        </w:rPr>
        <w:footnoteReference w:id="28"/>
      </w:r>
    </w:p>
    <w:p w14:paraId="4249B0DA" w14:textId="77777777" w:rsidR="00373A2A" w:rsidRPr="003072D3" w:rsidRDefault="00373A2A" w:rsidP="00772D79">
      <w:pPr>
        <w:rPr>
          <w:rFonts w:ascii="MetaPro-Norm" w:hAnsi="MetaPro-Norm"/>
          <w:iCs/>
        </w:rPr>
      </w:pPr>
    </w:p>
    <w:p w14:paraId="20127A48" w14:textId="751231BE" w:rsidR="00373A2A" w:rsidRPr="003072D3" w:rsidRDefault="00373A2A" w:rsidP="00772D79">
      <w:pPr>
        <w:rPr>
          <w:rFonts w:ascii="MetaPro-Norm" w:hAnsi="MetaPro-Norm"/>
          <w:iCs/>
        </w:rPr>
      </w:pPr>
      <w:r w:rsidRPr="00EB0859">
        <w:rPr>
          <w:rFonts w:ascii="MetaPro-Norm" w:hAnsi="MetaPro-Norm"/>
          <w:iCs/>
        </w:rPr>
        <w:t xml:space="preserve">In 2017, the Constitutional Court upheld basic rights and rejected a petition that sought to criminalize adult consensual same-sex conduct, which neither Indonesia nor the </w:t>
      </w:r>
      <w:r w:rsidR="006B198D">
        <w:rPr>
          <w:rFonts w:ascii="MetaPro-Norm" w:hAnsi="MetaPro-Norm"/>
          <w:iCs/>
        </w:rPr>
        <w:t xml:space="preserve">colonial </w:t>
      </w:r>
      <w:r w:rsidRPr="00EB0859">
        <w:rPr>
          <w:rFonts w:ascii="MetaPro-Norm" w:hAnsi="MetaPro-Norm"/>
          <w:iCs/>
        </w:rPr>
        <w:t>Netherlands Indies had ever done throughout its history. The parliamentary drafting committee for the penal code revision process rejected similar appeals.</w:t>
      </w:r>
    </w:p>
    <w:p w14:paraId="7FE9E2E3" w14:textId="77777777" w:rsidR="00373A2A" w:rsidRPr="003072D3" w:rsidRDefault="00373A2A" w:rsidP="00772D79">
      <w:pPr>
        <w:rPr>
          <w:rFonts w:ascii="MetaPro-Norm" w:hAnsi="MetaPro-Norm"/>
          <w:iCs/>
        </w:rPr>
      </w:pPr>
    </w:p>
    <w:p w14:paraId="4AB20A49" w14:textId="25AD2029" w:rsidR="00373A2A" w:rsidRPr="003072D3" w:rsidRDefault="00373A2A" w:rsidP="00772D79">
      <w:pPr>
        <w:rPr>
          <w:rFonts w:ascii="MetaPro-Norm" w:hAnsi="MetaPro-Norm"/>
          <w:i/>
        </w:rPr>
      </w:pPr>
      <w:r w:rsidRPr="003072D3">
        <w:rPr>
          <w:rFonts w:ascii="MetaPro-Norm" w:hAnsi="MetaPro-Norm"/>
          <w:i/>
        </w:rPr>
        <w:t>We encourage the Committee to pose the following question</w:t>
      </w:r>
      <w:r w:rsidR="00AC5FAD" w:rsidRPr="00AC5FAD">
        <w:rPr>
          <w:rFonts w:ascii="MetaPro-Norm" w:hAnsi="MetaPro-Norm"/>
          <w:i/>
        </w:rPr>
        <w:t xml:space="preserve"> </w:t>
      </w:r>
      <w:r w:rsidR="00AC5FAD">
        <w:rPr>
          <w:rFonts w:ascii="MetaPro-Norm" w:hAnsi="MetaPro-Norm"/>
          <w:i/>
        </w:rPr>
        <w:t>to the Indonesian government</w:t>
      </w:r>
      <w:r w:rsidRPr="003072D3">
        <w:rPr>
          <w:rFonts w:ascii="MetaPro-Norm" w:hAnsi="MetaPro-Norm"/>
          <w:i/>
        </w:rPr>
        <w:t>:</w:t>
      </w:r>
    </w:p>
    <w:p w14:paraId="2B417B0C" w14:textId="77777777" w:rsidR="00373A2A" w:rsidRPr="003072D3" w:rsidRDefault="00373A2A" w:rsidP="00772D79">
      <w:pPr>
        <w:rPr>
          <w:rFonts w:ascii="MetaPro-Norm" w:hAnsi="MetaPro-Norm"/>
          <w:iCs/>
        </w:rPr>
      </w:pPr>
    </w:p>
    <w:p w14:paraId="0A1A3DC0" w14:textId="61A22DD8" w:rsidR="00373A2A" w:rsidRPr="003072D3" w:rsidRDefault="00A72938" w:rsidP="00772D79">
      <w:pPr>
        <w:pStyle w:val="ListParagraph"/>
        <w:numPr>
          <w:ilvl w:val="0"/>
          <w:numId w:val="4"/>
        </w:numPr>
        <w:spacing w:after="0"/>
        <w:rPr>
          <w:rFonts w:ascii="MetaPro-Norm" w:hAnsi="MetaPro-Norm"/>
          <w:iCs/>
          <w:sz w:val="24"/>
          <w:szCs w:val="24"/>
        </w:rPr>
      </w:pPr>
      <w:r>
        <w:rPr>
          <w:rFonts w:ascii="MetaPro-Norm" w:hAnsi="MetaPro-Norm"/>
          <w:iCs/>
          <w:sz w:val="24"/>
          <w:szCs w:val="24"/>
        </w:rPr>
        <w:t>W</w:t>
      </w:r>
      <w:r w:rsidR="00373A2A" w:rsidRPr="003072D3">
        <w:rPr>
          <w:rFonts w:ascii="MetaPro-Norm" w:hAnsi="MetaPro-Norm"/>
          <w:iCs/>
          <w:sz w:val="24"/>
          <w:szCs w:val="24"/>
        </w:rPr>
        <w:t>ill the Indonesian government make it clear to parliamentarians, who currently propose criminalizing sex outside of marriage</w:t>
      </w:r>
      <w:r w:rsidR="00373A2A">
        <w:rPr>
          <w:rFonts w:ascii="MetaPro-Norm" w:hAnsi="MetaPro-Norm"/>
          <w:iCs/>
          <w:sz w:val="24"/>
          <w:szCs w:val="24"/>
        </w:rPr>
        <w:t>, including</w:t>
      </w:r>
      <w:r w:rsidR="00373A2A" w:rsidRPr="003072D3">
        <w:rPr>
          <w:rFonts w:ascii="MetaPro-Norm" w:hAnsi="MetaPro-Norm"/>
          <w:iCs/>
          <w:sz w:val="24"/>
          <w:szCs w:val="24"/>
        </w:rPr>
        <w:t xml:space="preserve"> same-sex conduct</w:t>
      </w:r>
      <w:r w:rsidR="00373A2A">
        <w:rPr>
          <w:rFonts w:ascii="MetaPro-Norm" w:hAnsi="MetaPro-Norm"/>
          <w:iCs/>
          <w:sz w:val="24"/>
          <w:szCs w:val="24"/>
        </w:rPr>
        <w:t>,</w:t>
      </w:r>
      <w:r w:rsidR="00373A2A" w:rsidRPr="003072D3">
        <w:rPr>
          <w:rFonts w:ascii="MetaPro-Norm" w:hAnsi="MetaPro-Norm"/>
          <w:iCs/>
          <w:sz w:val="24"/>
          <w:szCs w:val="24"/>
        </w:rPr>
        <w:t xml:space="preserve"> that such measures violate the constitution and Indonesia’s international human rights obligations?</w:t>
      </w:r>
    </w:p>
    <w:p w14:paraId="2FE92244" w14:textId="27759499" w:rsidR="00373A2A" w:rsidRPr="00E24F2C" w:rsidRDefault="00373A2A" w:rsidP="006B198D">
      <w:pPr>
        <w:rPr>
          <w:rFonts w:ascii="MetaPro-Norm" w:hAnsi="MetaPro-Norm"/>
          <w:iCs/>
        </w:rPr>
      </w:pPr>
    </w:p>
    <w:p w14:paraId="7A2EA30E" w14:textId="4CE50D72" w:rsidR="00E24F2C" w:rsidRPr="00E24F2C" w:rsidRDefault="00E24F2C" w:rsidP="00772D79">
      <w:pPr>
        <w:shd w:val="clear" w:color="auto" w:fill="FFFFFF"/>
        <w:rPr>
          <w:rFonts w:ascii="MetaPro-Norm" w:hAnsi="MetaPro-Norm"/>
          <w:b/>
          <w:iCs/>
        </w:rPr>
      </w:pPr>
      <w:r w:rsidRPr="00E24F2C">
        <w:rPr>
          <w:rFonts w:ascii="MetaPro-Norm" w:hAnsi="MetaPro-Norm"/>
          <w:b/>
          <w:iCs/>
        </w:rPr>
        <w:t>Protection of Education During Armed Conflict (Article 10)</w:t>
      </w:r>
    </w:p>
    <w:p w14:paraId="0A419B85" w14:textId="77777777" w:rsidR="00E24F2C" w:rsidRPr="00E24F2C" w:rsidRDefault="00E24F2C" w:rsidP="00772D79">
      <w:pPr>
        <w:shd w:val="clear" w:color="auto" w:fill="FFFFFF"/>
        <w:rPr>
          <w:rFonts w:ascii="MetaPro-Norm" w:hAnsi="MetaPro-Norm"/>
          <w:b/>
          <w:iCs/>
        </w:rPr>
      </w:pPr>
    </w:p>
    <w:p w14:paraId="6A325A8E" w14:textId="7D3B57ED" w:rsidR="00E24F2C" w:rsidRPr="00E24F2C" w:rsidRDefault="00E24F2C" w:rsidP="00772D79">
      <w:pPr>
        <w:shd w:val="clear" w:color="auto" w:fill="FFFFFF"/>
        <w:rPr>
          <w:rFonts w:ascii="MetaPro-Norm" w:hAnsi="MetaPro-Norm"/>
          <w:bCs/>
          <w:iCs/>
          <w:color w:val="000000" w:themeColor="text1"/>
          <w:lang w:eastAsia="en-GB"/>
        </w:rPr>
      </w:pPr>
      <w:r w:rsidRPr="00E24F2C">
        <w:rPr>
          <w:rFonts w:ascii="MetaPro-Norm" w:hAnsi="MetaPro-Norm"/>
          <w:bCs/>
          <w:iCs/>
          <w:color w:val="000000" w:themeColor="text1"/>
          <w:lang w:eastAsia="en-GB"/>
        </w:rPr>
        <w:t xml:space="preserve">Ongoing clashes between the </w:t>
      </w:r>
      <w:r>
        <w:rPr>
          <w:rFonts w:ascii="MetaPro-Norm" w:hAnsi="MetaPro-Norm"/>
          <w:bCs/>
          <w:iCs/>
          <w:color w:val="000000" w:themeColor="text1"/>
          <w:lang w:eastAsia="en-GB"/>
        </w:rPr>
        <w:t xml:space="preserve">Indonesian security forces </w:t>
      </w:r>
      <w:r w:rsidRPr="00E24F2C">
        <w:rPr>
          <w:rFonts w:ascii="MetaPro-Norm" w:hAnsi="MetaPro-Norm"/>
          <w:bCs/>
          <w:iCs/>
          <w:color w:val="000000" w:themeColor="text1"/>
          <w:lang w:eastAsia="en-GB"/>
        </w:rPr>
        <w:t xml:space="preserve">and </w:t>
      </w:r>
      <w:r>
        <w:rPr>
          <w:rFonts w:ascii="MetaPro-Norm" w:hAnsi="MetaPro-Norm"/>
          <w:bCs/>
          <w:iCs/>
          <w:color w:val="000000" w:themeColor="text1"/>
          <w:lang w:eastAsia="en-GB"/>
        </w:rPr>
        <w:t xml:space="preserve">Papuan militants </w:t>
      </w:r>
      <w:r w:rsidRPr="00E24F2C">
        <w:rPr>
          <w:rFonts w:ascii="MetaPro-Norm" w:hAnsi="MetaPro-Norm"/>
          <w:bCs/>
          <w:iCs/>
          <w:color w:val="000000" w:themeColor="text1"/>
          <w:lang w:eastAsia="en-GB"/>
        </w:rPr>
        <w:t xml:space="preserve">in the </w:t>
      </w:r>
      <w:r w:rsidR="006B198D">
        <w:rPr>
          <w:rFonts w:ascii="MetaPro-Norm" w:hAnsi="MetaPro-Norm"/>
          <w:bCs/>
          <w:iCs/>
          <w:color w:val="000000" w:themeColor="text1"/>
          <w:lang w:eastAsia="en-GB"/>
        </w:rPr>
        <w:t xml:space="preserve">five-decade </w:t>
      </w:r>
      <w:r w:rsidRPr="00E24F2C">
        <w:rPr>
          <w:rFonts w:ascii="MetaPro-Norm" w:hAnsi="MetaPro-Norm"/>
          <w:bCs/>
          <w:iCs/>
          <w:color w:val="000000" w:themeColor="text1"/>
          <w:lang w:eastAsia="en-GB"/>
        </w:rPr>
        <w:t xml:space="preserve">low-level insurgency in West Papua </w:t>
      </w:r>
      <w:r>
        <w:rPr>
          <w:rFonts w:ascii="MetaPro-Norm" w:hAnsi="MetaPro-Norm"/>
          <w:bCs/>
          <w:iCs/>
          <w:color w:val="000000" w:themeColor="text1"/>
          <w:lang w:eastAsia="en-GB"/>
        </w:rPr>
        <w:t xml:space="preserve">and Papua provinces </w:t>
      </w:r>
      <w:r w:rsidRPr="00E24F2C">
        <w:rPr>
          <w:rFonts w:ascii="MetaPro-Norm" w:hAnsi="MetaPro-Norm"/>
          <w:bCs/>
          <w:iCs/>
          <w:color w:val="000000" w:themeColor="text1"/>
          <w:lang w:eastAsia="en-GB"/>
        </w:rPr>
        <w:t xml:space="preserve">has had an adverse effect on education. </w:t>
      </w:r>
      <w:r>
        <w:rPr>
          <w:rFonts w:ascii="MetaPro-Norm" w:hAnsi="MetaPro-Norm"/>
          <w:bCs/>
          <w:iCs/>
          <w:color w:val="000000" w:themeColor="text1"/>
          <w:lang w:eastAsia="en-GB"/>
        </w:rPr>
        <w:t>Fifteen o</w:t>
      </w:r>
      <w:r w:rsidRPr="00E24F2C">
        <w:rPr>
          <w:rFonts w:ascii="MetaPro-Norm" w:hAnsi="MetaPro-Norm"/>
          <w:bCs/>
          <w:iCs/>
          <w:color w:val="000000" w:themeColor="text1"/>
          <w:lang w:eastAsia="en-GB"/>
        </w:rPr>
        <w:t>f the 16 schools in Nduga</w:t>
      </w:r>
      <w:r>
        <w:rPr>
          <w:rFonts w:ascii="MetaPro-Norm" w:hAnsi="MetaPro-Norm"/>
          <w:bCs/>
          <w:iCs/>
          <w:color w:val="000000" w:themeColor="text1"/>
          <w:lang w:eastAsia="en-GB"/>
        </w:rPr>
        <w:t xml:space="preserve"> regency </w:t>
      </w:r>
      <w:r w:rsidRPr="00E24F2C">
        <w:rPr>
          <w:rFonts w:ascii="MetaPro-Norm" w:hAnsi="MetaPro-Norm"/>
          <w:bCs/>
          <w:iCs/>
          <w:color w:val="000000" w:themeColor="text1"/>
          <w:lang w:eastAsia="en-GB"/>
        </w:rPr>
        <w:t>were closed as of April 2019.</w:t>
      </w:r>
      <w:r w:rsidRPr="00E24F2C">
        <w:rPr>
          <w:rStyle w:val="FootnoteReference"/>
          <w:bCs/>
          <w:iCs/>
          <w:color w:val="000000" w:themeColor="text1"/>
          <w:lang w:eastAsia="en-GB"/>
        </w:rPr>
        <w:footnoteReference w:id="29"/>
      </w:r>
      <w:r w:rsidRPr="00E24F2C">
        <w:rPr>
          <w:rFonts w:ascii="MetaPro-Norm" w:hAnsi="MetaPro-Norm"/>
          <w:bCs/>
          <w:iCs/>
          <w:color w:val="000000" w:themeColor="text1"/>
          <w:lang w:eastAsia="en-GB"/>
        </w:rPr>
        <w:t xml:space="preserve"> </w:t>
      </w:r>
    </w:p>
    <w:p w14:paraId="28C8DDEB" w14:textId="77777777" w:rsidR="00E24F2C" w:rsidRPr="00E24F2C" w:rsidRDefault="00E24F2C" w:rsidP="00772D79">
      <w:pPr>
        <w:shd w:val="clear" w:color="auto" w:fill="FFFFFF"/>
        <w:rPr>
          <w:rFonts w:ascii="MetaPro-Norm" w:hAnsi="MetaPro-Norm"/>
          <w:bCs/>
          <w:iCs/>
          <w:color w:val="000000" w:themeColor="text1"/>
          <w:lang w:eastAsia="en-GB"/>
        </w:rPr>
      </w:pPr>
    </w:p>
    <w:p w14:paraId="3CF63C2A" w14:textId="1EF0EEE8" w:rsidR="00E24F2C" w:rsidRPr="00E24F2C" w:rsidRDefault="006B198D" w:rsidP="00772D79">
      <w:pPr>
        <w:shd w:val="clear" w:color="auto" w:fill="FFFFFF"/>
        <w:rPr>
          <w:rFonts w:ascii="MetaPro-Norm" w:hAnsi="MetaPro-Norm"/>
          <w:bCs/>
          <w:iCs/>
          <w:color w:val="000000" w:themeColor="text1"/>
          <w:lang w:eastAsia="en-GB"/>
        </w:rPr>
      </w:pPr>
      <w:r>
        <w:rPr>
          <w:rFonts w:ascii="MetaPro-Norm" w:hAnsi="MetaPro-Norm"/>
          <w:color w:val="000000" w:themeColor="text1"/>
        </w:rPr>
        <w:t>A</w:t>
      </w:r>
      <w:r w:rsidR="00E24F2C" w:rsidRPr="00E24F2C">
        <w:rPr>
          <w:rFonts w:ascii="MetaPro-Norm" w:hAnsi="MetaPro-Norm"/>
          <w:color w:val="000000" w:themeColor="text1"/>
        </w:rPr>
        <w:t>ttacks on students and schools, and the use of schools for military purposes, disproportionately affect girls, who are sometimes the focus of targeted attacks and are more likely to be kept out of school due to security concerns.</w:t>
      </w:r>
      <w:r w:rsidR="00E24F2C" w:rsidRPr="00E24F2C">
        <w:rPr>
          <w:rStyle w:val="FootnoteReference"/>
          <w:rFonts w:eastAsia="SimSun"/>
          <w:color w:val="000000" w:themeColor="text1"/>
        </w:rPr>
        <w:footnoteReference w:id="30"/>
      </w:r>
    </w:p>
    <w:p w14:paraId="4D6EEF26" w14:textId="77777777" w:rsidR="00E24F2C" w:rsidRPr="00E24F2C" w:rsidRDefault="00E24F2C" w:rsidP="00772D79">
      <w:pPr>
        <w:pStyle w:val="xmsonormal"/>
        <w:rPr>
          <w:rFonts w:ascii="MetaPro-Norm" w:hAnsi="MetaPro-Norm"/>
          <w:color w:val="000000"/>
          <w:sz w:val="24"/>
          <w:szCs w:val="24"/>
          <w:lang w:val="en-US"/>
        </w:rPr>
      </w:pPr>
    </w:p>
    <w:p w14:paraId="5E591B74" w14:textId="35C957D0" w:rsidR="00E24F2C" w:rsidRPr="00E24F2C" w:rsidRDefault="00E24F2C" w:rsidP="00772D79">
      <w:pPr>
        <w:pStyle w:val="xmsonormal"/>
        <w:rPr>
          <w:rFonts w:ascii="MetaPro-Norm" w:hAnsi="MetaPro-Norm"/>
          <w:color w:val="000000" w:themeColor="text1"/>
        </w:rPr>
      </w:pPr>
      <w:bookmarkStart w:id="2" w:name="_Hlk42001924"/>
      <w:r w:rsidRPr="00E24F2C">
        <w:rPr>
          <w:rFonts w:ascii="MetaPro-Norm" w:hAnsi="MetaPro-Norm"/>
          <w:color w:val="000000"/>
          <w:sz w:val="24"/>
          <w:szCs w:val="24"/>
          <w:lang w:val="en-US"/>
        </w:rPr>
        <w:t xml:space="preserve">Between 2015 and 2019, the Global Coalition to Protect Education from Attack identified 12 incidents of attacks on education, either in Papua or </w:t>
      </w:r>
      <w:r>
        <w:rPr>
          <w:rFonts w:ascii="MetaPro-Norm" w:hAnsi="MetaPro-Norm"/>
          <w:color w:val="000000"/>
          <w:sz w:val="24"/>
          <w:szCs w:val="24"/>
          <w:lang w:val="en-US"/>
        </w:rPr>
        <w:t xml:space="preserve">other provinces in Indonesia, </w:t>
      </w:r>
      <w:r w:rsidRPr="00E24F2C">
        <w:rPr>
          <w:rFonts w:ascii="MetaPro-Norm" w:hAnsi="MetaPro-Norm"/>
          <w:color w:val="000000"/>
          <w:sz w:val="24"/>
          <w:szCs w:val="24"/>
          <w:lang w:val="en-US"/>
        </w:rPr>
        <w:t>related to repression of Papuan students who spoke out events in the region.</w:t>
      </w:r>
      <w:r w:rsidRPr="00E24F2C">
        <w:rPr>
          <w:rStyle w:val="FootnoteReference"/>
          <w:color w:val="000000"/>
          <w:sz w:val="24"/>
          <w:szCs w:val="24"/>
          <w:lang w:val="en-US"/>
        </w:rPr>
        <w:footnoteReference w:id="31"/>
      </w:r>
      <w:bookmarkEnd w:id="2"/>
      <w:r w:rsidR="00772D79" w:rsidDel="00772D79">
        <w:rPr>
          <w:rStyle w:val="FootnoteReference"/>
          <w:rFonts w:ascii="MetaPro-Norm" w:hAnsi="MetaPro-Norm"/>
          <w:color w:val="000000" w:themeColor="text1"/>
        </w:rPr>
        <w:t xml:space="preserve"> </w:t>
      </w:r>
    </w:p>
    <w:p w14:paraId="1B7F2668" w14:textId="77777777" w:rsidR="00E24F2C" w:rsidRPr="00E24F2C" w:rsidRDefault="00E24F2C" w:rsidP="00772D79">
      <w:pPr>
        <w:rPr>
          <w:rFonts w:ascii="MetaPro-Norm" w:hAnsi="MetaPro-Norm"/>
          <w:color w:val="000000" w:themeColor="text1"/>
          <w:lang w:val="en-GB"/>
        </w:rPr>
      </w:pPr>
    </w:p>
    <w:p w14:paraId="77F12185" w14:textId="77777777" w:rsidR="00E24F2C" w:rsidRPr="00E24F2C" w:rsidRDefault="00E24F2C" w:rsidP="00772D79">
      <w:pPr>
        <w:rPr>
          <w:rFonts w:ascii="MetaPro-Norm" w:hAnsi="MetaPro-Norm"/>
          <w:color w:val="000000" w:themeColor="text1"/>
        </w:rPr>
      </w:pPr>
      <w:r w:rsidRPr="00E24F2C">
        <w:rPr>
          <w:rFonts w:ascii="MetaPro-Norm" w:hAnsi="MetaPro-Norm"/>
          <w:color w:val="000000" w:themeColor="text1"/>
        </w:rPr>
        <w:t>As of April 2020, Indonesia was contributing 2,847 troops to UN peacekeeping operations around the world. Such troops are required to comply with the UN Department of Peacekeeping Operations “UN Infantry Battalion Manual” (2012), which includes the provision that “schools shall not be used by the military in their operations.”</w:t>
      </w:r>
      <w:r w:rsidRPr="00E24F2C">
        <w:rPr>
          <w:rStyle w:val="FootnoteReference"/>
          <w:rFonts w:eastAsia="SimSun"/>
          <w:color w:val="000000" w:themeColor="text1"/>
        </w:rPr>
        <w:footnoteReference w:id="32"/>
      </w:r>
      <w:r w:rsidRPr="00E24F2C">
        <w:rPr>
          <w:rFonts w:ascii="MetaPro-Norm" w:hAnsi="MetaPro-Norm"/>
          <w:color w:val="000000" w:themeColor="text1"/>
        </w:rPr>
        <w:t xml:space="preserve"> </w:t>
      </w:r>
    </w:p>
    <w:p w14:paraId="789FDEED" w14:textId="77777777" w:rsidR="00E24F2C" w:rsidRPr="00E24F2C" w:rsidRDefault="00E24F2C" w:rsidP="00772D79">
      <w:pPr>
        <w:rPr>
          <w:rFonts w:ascii="MetaPro-Norm" w:hAnsi="MetaPro-Norm"/>
          <w:color w:val="000000" w:themeColor="text1"/>
        </w:rPr>
      </w:pPr>
    </w:p>
    <w:p w14:paraId="283834CB" w14:textId="7DB77CDD" w:rsidR="00E24F2C" w:rsidRPr="00E24F2C" w:rsidRDefault="00E24F2C" w:rsidP="00772D79">
      <w:pPr>
        <w:rPr>
          <w:rFonts w:ascii="MetaPro-Norm" w:hAnsi="MetaPro-Norm"/>
          <w:color w:val="000000" w:themeColor="text1"/>
        </w:rPr>
      </w:pPr>
      <w:r w:rsidRPr="00E24F2C">
        <w:rPr>
          <w:rFonts w:ascii="MetaPro-Norm" w:hAnsi="MetaPro-Norm"/>
          <w:color w:val="000000" w:themeColor="text1"/>
        </w:rPr>
        <w:t>The Safe Schools Declaration is an inter-governmental political commitment that provides countries the opportunity to express political support for the protection of students, teachers, and schools during times of armed conflict;</w:t>
      </w:r>
      <w:r w:rsidRPr="00E24F2C">
        <w:rPr>
          <w:rStyle w:val="FootnoteReference"/>
          <w:rFonts w:eastAsia="SimSun"/>
          <w:color w:val="000000" w:themeColor="text1"/>
        </w:rPr>
        <w:footnoteReference w:id="33"/>
      </w:r>
      <w:r w:rsidRPr="00E24F2C">
        <w:rPr>
          <w:rFonts w:ascii="MetaPro-Norm" w:hAnsi="MetaPro-Norm"/>
          <w:color w:val="000000" w:themeColor="text1"/>
        </w:rPr>
        <w:t xml:space="preserve"> the importance of the continuation of education during armed conflict; and the implementation of the </w:t>
      </w:r>
      <w:r w:rsidRPr="00E24F2C">
        <w:rPr>
          <w:rFonts w:ascii="MetaPro-Norm" w:hAnsi="MetaPro-Norm"/>
          <w:i/>
          <w:color w:val="000000" w:themeColor="text1"/>
        </w:rPr>
        <w:t>Guidelines for Protecting Schools and Universities from Military Use during Armed Conflict.</w:t>
      </w:r>
      <w:r w:rsidRPr="00E24F2C">
        <w:rPr>
          <w:rStyle w:val="FootnoteReference"/>
          <w:rFonts w:eastAsia="SimSun"/>
        </w:rPr>
        <w:footnoteReference w:id="34"/>
      </w:r>
      <w:r w:rsidRPr="00E24F2C">
        <w:rPr>
          <w:rFonts w:ascii="MetaPro-Norm" w:hAnsi="MetaPro-Norm"/>
          <w:color w:val="000000" w:themeColor="text1"/>
        </w:rPr>
        <w:t xml:space="preserve"> As of June 2020, 104 countries have endorsed the Safe Schools Declaration. Indonesia </w:t>
      </w:r>
      <w:r w:rsidR="00AC5FAD">
        <w:rPr>
          <w:rFonts w:ascii="MetaPro-Norm" w:hAnsi="MetaPro-Norm"/>
          <w:color w:val="000000" w:themeColor="text1"/>
        </w:rPr>
        <w:t>has not</w:t>
      </w:r>
      <w:r w:rsidRPr="00E24F2C">
        <w:rPr>
          <w:rFonts w:ascii="MetaPro-Norm" w:hAnsi="MetaPro-Norm"/>
          <w:color w:val="000000" w:themeColor="text1"/>
        </w:rPr>
        <w:t xml:space="preserve"> endorse</w:t>
      </w:r>
      <w:r w:rsidR="00AC5FAD">
        <w:rPr>
          <w:rFonts w:ascii="MetaPro-Norm" w:hAnsi="MetaPro-Norm"/>
          <w:color w:val="000000" w:themeColor="text1"/>
        </w:rPr>
        <w:t>d</w:t>
      </w:r>
      <w:r w:rsidRPr="00E24F2C">
        <w:rPr>
          <w:rFonts w:ascii="MetaPro-Norm" w:hAnsi="MetaPro-Norm"/>
          <w:color w:val="000000" w:themeColor="text1"/>
        </w:rPr>
        <w:t xml:space="preserve"> this important declaration.</w:t>
      </w:r>
    </w:p>
    <w:p w14:paraId="0F4E0B9E" w14:textId="77777777" w:rsidR="00E24F2C" w:rsidRPr="00E24F2C" w:rsidRDefault="00E24F2C" w:rsidP="00772D79">
      <w:pPr>
        <w:rPr>
          <w:rFonts w:ascii="MetaPro-Norm" w:hAnsi="MetaPro-Norm"/>
          <w:i/>
        </w:rPr>
      </w:pPr>
    </w:p>
    <w:p w14:paraId="402064E5" w14:textId="3342F56B" w:rsidR="00E24F2C" w:rsidRPr="00E24F2C" w:rsidRDefault="00A72938" w:rsidP="00772D79">
      <w:pPr>
        <w:rPr>
          <w:rFonts w:ascii="MetaPro-Norm" w:hAnsi="MetaPro-Norm"/>
          <w:i/>
        </w:rPr>
      </w:pPr>
      <w:r>
        <w:rPr>
          <w:rFonts w:ascii="MetaPro-Norm" w:hAnsi="MetaPro-Norm"/>
          <w:i/>
        </w:rPr>
        <w:t>We encourage the</w:t>
      </w:r>
      <w:r w:rsidR="00E24F2C" w:rsidRPr="00E24F2C">
        <w:rPr>
          <w:rFonts w:ascii="MetaPro-Norm" w:hAnsi="MetaPro-Norm"/>
          <w:i/>
        </w:rPr>
        <w:t xml:space="preserve"> Committee </w:t>
      </w:r>
      <w:r>
        <w:rPr>
          <w:rFonts w:ascii="MetaPro-Norm" w:hAnsi="MetaPro-Norm"/>
          <w:i/>
        </w:rPr>
        <w:t>to pose the following questions</w:t>
      </w:r>
      <w:r w:rsidR="00AC5FAD" w:rsidRPr="00AC5FAD">
        <w:rPr>
          <w:rFonts w:ascii="MetaPro-Norm" w:hAnsi="MetaPro-Norm"/>
          <w:i/>
        </w:rPr>
        <w:t xml:space="preserve"> </w:t>
      </w:r>
      <w:r w:rsidR="00AC5FAD">
        <w:rPr>
          <w:rFonts w:ascii="MetaPro-Norm" w:hAnsi="MetaPro-Norm"/>
          <w:i/>
        </w:rPr>
        <w:t>to the Indonesian government</w:t>
      </w:r>
      <w:r w:rsidR="00E24F2C" w:rsidRPr="00E24F2C">
        <w:rPr>
          <w:rFonts w:ascii="MetaPro-Norm" w:hAnsi="MetaPro-Norm"/>
          <w:i/>
        </w:rPr>
        <w:t>:</w:t>
      </w:r>
    </w:p>
    <w:p w14:paraId="35CB7D62" w14:textId="77777777" w:rsidR="00E24F2C" w:rsidRPr="00E24F2C" w:rsidRDefault="00E24F2C" w:rsidP="00772D79">
      <w:pPr>
        <w:rPr>
          <w:rFonts w:ascii="MetaPro-Norm" w:hAnsi="MetaPro-Norm"/>
          <w:i/>
        </w:rPr>
      </w:pPr>
    </w:p>
    <w:p w14:paraId="5A95EA6C" w14:textId="408618EB" w:rsidR="00E24F2C" w:rsidRPr="00E24F2C" w:rsidRDefault="00E24F2C" w:rsidP="00772D79">
      <w:pPr>
        <w:pStyle w:val="ListParagraph"/>
        <w:numPr>
          <w:ilvl w:val="0"/>
          <w:numId w:val="5"/>
        </w:numPr>
        <w:spacing w:after="0" w:line="240" w:lineRule="auto"/>
        <w:rPr>
          <w:rFonts w:ascii="MetaPro-Norm" w:hAnsi="MetaPro-Norm"/>
          <w:i/>
          <w:sz w:val="24"/>
          <w:szCs w:val="24"/>
        </w:rPr>
      </w:pPr>
      <w:r w:rsidRPr="00E24F2C">
        <w:rPr>
          <w:rFonts w:ascii="MetaPro-Norm" w:hAnsi="MetaPro-Norm"/>
          <w:sz w:val="24"/>
          <w:szCs w:val="24"/>
        </w:rPr>
        <w:lastRenderedPageBreak/>
        <w:t xml:space="preserve">Are protections for schools </w:t>
      </w:r>
      <w:r w:rsidR="0066406D">
        <w:rPr>
          <w:rFonts w:ascii="MetaPro-Norm" w:hAnsi="MetaPro-Norm"/>
          <w:sz w:val="24"/>
          <w:szCs w:val="24"/>
        </w:rPr>
        <w:t xml:space="preserve">and universities </w:t>
      </w:r>
      <w:r w:rsidRPr="00E24F2C">
        <w:rPr>
          <w:rFonts w:ascii="MetaPro-Norm" w:hAnsi="MetaPro-Norm"/>
          <w:sz w:val="24"/>
          <w:szCs w:val="24"/>
        </w:rPr>
        <w:t xml:space="preserve">from military use included in the pre-deployment training provided to Indonesian troops participating in </w:t>
      </w:r>
      <w:r w:rsidR="00AC5FAD">
        <w:rPr>
          <w:rFonts w:ascii="MetaPro-Norm" w:hAnsi="MetaPro-Norm"/>
          <w:sz w:val="24"/>
          <w:szCs w:val="24"/>
        </w:rPr>
        <w:t xml:space="preserve">UN </w:t>
      </w:r>
      <w:r w:rsidRPr="00E24F2C">
        <w:rPr>
          <w:rFonts w:ascii="MetaPro-Norm" w:hAnsi="MetaPro-Norm"/>
          <w:sz w:val="24"/>
          <w:szCs w:val="24"/>
        </w:rPr>
        <w:t>peacekeeping missions?</w:t>
      </w:r>
    </w:p>
    <w:p w14:paraId="444F1890" w14:textId="77777777" w:rsidR="00E24F2C" w:rsidRPr="00E24F2C" w:rsidRDefault="00E24F2C" w:rsidP="00772D79">
      <w:pPr>
        <w:pStyle w:val="ListParagraph"/>
        <w:numPr>
          <w:ilvl w:val="0"/>
          <w:numId w:val="5"/>
        </w:numPr>
        <w:spacing w:after="0" w:line="240" w:lineRule="auto"/>
        <w:rPr>
          <w:rFonts w:ascii="MetaPro-Norm" w:hAnsi="MetaPro-Norm"/>
          <w:i/>
          <w:sz w:val="24"/>
          <w:szCs w:val="24"/>
        </w:rPr>
      </w:pPr>
      <w:r w:rsidRPr="00E24F2C">
        <w:rPr>
          <w:rFonts w:ascii="MetaPro-Norm" w:hAnsi="MetaPro-Norm"/>
          <w:sz w:val="24"/>
          <w:szCs w:val="24"/>
        </w:rPr>
        <w:t xml:space="preserve">Do any Indonesian laws, policies, or trainings provide explicit protection for schools and universities from military use during armed conflict? </w:t>
      </w:r>
    </w:p>
    <w:p w14:paraId="79547EC2" w14:textId="033E1E6E" w:rsidR="00182551" w:rsidRPr="003072D3" w:rsidRDefault="00E24F2C" w:rsidP="006B198D">
      <w:pPr>
        <w:pStyle w:val="ListParagraph"/>
        <w:numPr>
          <w:ilvl w:val="0"/>
          <w:numId w:val="5"/>
        </w:numPr>
        <w:spacing w:after="0" w:line="240" w:lineRule="auto"/>
      </w:pPr>
      <w:r w:rsidRPr="00E24F2C">
        <w:rPr>
          <w:rFonts w:ascii="MetaPro-Norm" w:hAnsi="MetaPro-Norm"/>
          <w:sz w:val="24"/>
          <w:szCs w:val="24"/>
        </w:rPr>
        <w:t>Why has the government of Indonesia not e</w:t>
      </w:r>
      <w:r w:rsidRPr="00E24F2C">
        <w:rPr>
          <w:rFonts w:ascii="MetaPro-Norm" w:hAnsi="MetaPro-Norm"/>
          <w:color w:val="000000" w:themeColor="text1"/>
          <w:sz w:val="24"/>
          <w:szCs w:val="24"/>
        </w:rPr>
        <w:t xml:space="preserve">ndorsed the Safe Schools Declaration, and brought the </w:t>
      </w:r>
      <w:r w:rsidRPr="00E24F2C">
        <w:rPr>
          <w:rFonts w:ascii="MetaPro-Norm" w:hAnsi="MetaPro-Norm"/>
          <w:i/>
          <w:color w:val="000000" w:themeColor="text1"/>
          <w:sz w:val="24"/>
          <w:szCs w:val="24"/>
        </w:rPr>
        <w:t>Guidelines for Protecting Schools and Universities from Military Use during Armed Conflict</w:t>
      </w:r>
      <w:r w:rsidRPr="00E24F2C">
        <w:rPr>
          <w:rFonts w:ascii="MetaPro-Norm" w:hAnsi="MetaPro-Norm"/>
          <w:color w:val="000000" w:themeColor="text1"/>
          <w:sz w:val="24"/>
          <w:szCs w:val="24"/>
        </w:rPr>
        <w:t xml:space="preserve"> into domestic military policy and operational frameworks?</w:t>
      </w:r>
    </w:p>
    <w:sectPr w:rsidR="00182551" w:rsidRPr="003072D3">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AC28E" w14:textId="77777777" w:rsidR="000B3265" w:rsidRDefault="000B3265" w:rsidP="00854206">
      <w:r>
        <w:separator/>
      </w:r>
    </w:p>
  </w:endnote>
  <w:endnote w:type="continuationSeparator" w:id="0">
    <w:p w14:paraId="5DCB8D08" w14:textId="77777777" w:rsidR="000B3265" w:rsidRDefault="000B3265" w:rsidP="00854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Pro-Norm">
    <w:panose1 w:val="020B0504030101020102"/>
    <w:charset w:val="00"/>
    <w:family w:val="swiss"/>
    <w:notTrueType/>
    <w:pitch w:val="variable"/>
    <w:sig w:usb0="A00002F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MetaPro-Norm" w:hAnsi="MetaPro-Norm"/>
      </w:rPr>
      <w:id w:val="1747446942"/>
      <w:docPartObj>
        <w:docPartGallery w:val="Page Numbers (Bottom of Page)"/>
        <w:docPartUnique/>
      </w:docPartObj>
    </w:sdtPr>
    <w:sdtEndPr>
      <w:rPr>
        <w:noProof/>
      </w:rPr>
    </w:sdtEndPr>
    <w:sdtContent>
      <w:p w14:paraId="1A5FC7F2" w14:textId="27E10325" w:rsidR="00F7531C" w:rsidRPr="00F7531C" w:rsidRDefault="00F7531C">
        <w:pPr>
          <w:pStyle w:val="Footer"/>
          <w:jc w:val="center"/>
          <w:rPr>
            <w:rFonts w:ascii="MetaPro-Norm" w:hAnsi="MetaPro-Norm"/>
          </w:rPr>
        </w:pPr>
        <w:r w:rsidRPr="00F7531C">
          <w:rPr>
            <w:rFonts w:ascii="MetaPro-Norm" w:hAnsi="MetaPro-Norm"/>
          </w:rPr>
          <w:fldChar w:fldCharType="begin"/>
        </w:r>
        <w:r w:rsidRPr="00F7531C">
          <w:rPr>
            <w:rFonts w:ascii="MetaPro-Norm" w:hAnsi="MetaPro-Norm"/>
          </w:rPr>
          <w:instrText xml:space="preserve"> PAGE   \* MERGEFORMAT </w:instrText>
        </w:r>
        <w:r w:rsidRPr="00F7531C">
          <w:rPr>
            <w:rFonts w:ascii="MetaPro-Norm" w:hAnsi="MetaPro-Norm"/>
          </w:rPr>
          <w:fldChar w:fldCharType="separate"/>
        </w:r>
        <w:r w:rsidRPr="00F7531C">
          <w:rPr>
            <w:rFonts w:ascii="MetaPro-Norm" w:hAnsi="MetaPro-Norm"/>
            <w:noProof/>
          </w:rPr>
          <w:t>2</w:t>
        </w:r>
        <w:r w:rsidRPr="00F7531C">
          <w:rPr>
            <w:rFonts w:ascii="MetaPro-Norm" w:hAnsi="MetaPro-Norm"/>
            <w:noProof/>
          </w:rPr>
          <w:fldChar w:fldCharType="end"/>
        </w:r>
      </w:p>
    </w:sdtContent>
  </w:sdt>
  <w:p w14:paraId="7230FFD5" w14:textId="77777777" w:rsidR="005B6C4C" w:rsidRDefault="005B6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A06D9" w14:textId="77777777" w:rsidR="000B3265" w:rsidRDefault="000B3265" w:rsidP="00854206">
      <w:r>
        <w:separator/>
      </w:r>
    </w:p>
  </w:footnote>
  <w:footnote w:type="continuationSeparator" w:id="0">
    <w:p w14:paraId="144D2C8C" w14:textId="77777777" w:rsidR="000B3265" w:rsidRDefault="000B3265" w:rsidP="00854206">
      <w:r>
        <w:continuationSeparator/>
      </w:r>
    </w:p>
  </w:footnote>
  <w:footnote w:id="1">
    <w:p w14:paraId="1ED0D066" w14:textId="7DC39B10" w:rsidR="005B6C4C" w:rsidRPr="00F7531C" w:rsidRDefault="005B6C4C">
      <w:pPr>
        <w:pStyle w:val="FootnoteText"/>
        <w:rPr>
          <w:szCs w:val="18"/>
        </w:rPr>
      </w:pPr>
      <w:r w:rsidRPr="00F7531C">
        <w:rPr>
          <w:rStyle w:val="FootnoteReference"/>
          <w:szCs w:val="18"/>
        </w:rPr>
        <w:footnoteRef/>
      </w:r>
      <w:r w:rsidRPr="00F7531C">
        <w:rPr>
          <w:szCs w:val="18"/>
        </w:rPr>
        <w:t xml:space="preserve"> United Nations Treaty Database (Geneva: United Nations Human Rights), </w:t>
      </w:r>
      <w:hyperlink r:id="rId1" w:history="1">
        <w:r w:rsidRPr="00F7531C">
          <w:rPr>
            <w:rStyle w:val="Hyperlink"/>
            <w:szCs w:val="18"/>
          </w:rPr>
          <w:t>https://tbinternet.ohchr.org/_layouts/15/TreatyBodyExternal/Treaty.aspx?CountryID=80&amp;Lang=EN</w:t>
        </w:r>
      </w:hyperlink>
      <w:r w:rsidRPr="00F7531C">
        <w:rPr>
          <w:szCs w:val="18"/>
        </w:rPr>
        <w:t xml:space="preserve"> (accessed on May 28, 2020). </w:t>
      </w:r>
    </w:p>
  </w:footnote>
  <w:footnote w:id="2">
    <w:p w14:paraId="1DA72FB8" w14:textId="10CD5600" w:rsidR="005B6C4C" w:rsidRPr="00F7531C" w:rsidRDefault="005B6C4C" w:rsidP="00AA4321">
      <w:pPr>
        <w:rPr>
          <w:rFonts w:ascii="MetaPro-Norm" w:hAnsi="MetaPro-Norm"/>
          <w:sz w:val="18"/>
          <w:szCs w:val="18"/>
        </w:rPr>
      </w:pPr>
      <w:r w:rsidRPr="00F7531C">
        <w:rPr>
          <w:rStyle w:val="FootnoteReference"/>
          <w:rFonts w:ascii="MetaPro-Norm" w:hAnsi="MetaPro-Norm"/>
          <w:sz w:val="18"/>
          <w:szCs w:val="18"/>
        </w:rPr>
        <w:footnoteRef/>
      </w:r>
      <w:r w:rsidRPr="00F7531C">
        <w:rPr>
          <w:rFonts w:ascii="MetaPro-Norm" w:hAnsi="MetaPro-Norm"/>
          <w:sz w:val="18"/>
          <w:szCs w:val="18"/>
        </w:rPr>
        <w:t xml:space="preserve"> </w:t>
      </w:r>
      <w:r w:rsidR="006B5265" w:rsidRPr="00F7531C">
        <w:rPr>
          <w:rFonts w:ascii="MetaPro-Norm" w:hAnsi="MetaPro-Norm"/>
          <w:sz w:val="18"/>
          <w:szCs w:val="18"/>
        </w:rPr>
        <w:t>Convention on the Elimination of All Forms of Discrimination against Women (</w:t>
      </w:r>
      <w:r w:rsidRPr="00F7531C">
        <w:rPr>
          <w:rFonts w:ascii="MetaPro-Norm" w:hAnsi="MetaPro-Norm" w:cs="Arial"/>
          <w:sz w:val="18"/>
          <w:szCs w:val="18"/>
          <w:shd w:val="clear" w:color="auto" w:fill="FFFFFF"/>
        </w:rPr>
        <w:t>CEDAW</w:t>
      </w:r>
      <w:r w:rsidR="006B5265" w:rsidRPr="00F7531C">
        <w:rPr>
          <w:rFonts w:ascii="MetaPro-Norm" w:hAnsi="MetaPro-Norm" w:cs="Arial"/>
          <w:sz w:val="18"/>
          <w:szCs w:val="18"/>
          <w:shd w:val="clear" w:color="auto" w:fill="FFFFFF"/>
        </w:rPr>
        <w:t>)</w:t>
      </w:r>
      <w:r w:rsidRPr="00F7531C">
        <w:rPr>
          <w:rFonts w:ascii="MetaPro-Norm" w:hAnsi="MetaPro-Norm" w:cs="Arial"/>
          <w:sz w:val="18"/>
          <w:szCs w:val="18"/>
          <w:shd w:val="clear" w:color="auto" w:fill="FFFFFF"/>
        </w:rPr>
        <w:t xml:space="preserve">, </w:t>
      </w:r>
      <w:r w:rsidR="006B5265" w:rsidRPr="00F7531C">
        <w:rPr>
          <w:rFonts w:ascii="MetaPro-Norm" w:hAnsi="MetaPro-Norm"/>
          <w:color w:val="000000"/>
          <w:sz w:val="18"/>
          <w:szCs w:val="18"/>
          <w:shd w:val="clear" w:color="auto" w:fill="FFFFFF"/>
        </w:rPr>
        <w:t>G.A. res. 34/180, 34 U.N. GAOR Supp. (No. 46) at 193, U.N. Doc. A/34/46, </w:t>
      </w:r>
      <w:r w:rsidR="006B5265" w:rsidRPr="00F7531C">
        <w:rPr>
          <w:rFonts w:ascii="MetaPro-Norm" w:hAnsi="MetaPro-Norm"/>
          <w:i/>
          <w:iCs/>
          <w:color w:val="000000"/>
          <w:sz w:val="18"/>
          <w:szCs w:val="18"/>
          <w:shd w:val="clear" w:color="auto" w:fill="FFFFFF"/>
        </w:rPr>
        <w:t>entered into force</w:t>
      </w:r>
      <w:r w:rsidR="006B5265" w:rsidRPr="00F7531C">
        <w:rPr>
          <w:rFonts w:ascii="MetaPro-Norm" w:hAnsi="MetaPro-Norm"/>
          <w:color w:val="000000"/>
          <w:sz w:val="18"/>
          <w:szCs w:val="18"/>
          <w:shd w:val="clear" w:color="auto" w:fill="FFFFFF"/>
        </w:rPr>
        <w:t xml:space="preserve"> Sept. 3, 1981, </w:t>
      </w:r>
      <w:r w:rsidRPr="00F7531C">
        <w:rPr>
          <w:rFonts w:ascii="MetaPro-Norm" w:hAnsi="MetaPro-Norm" w:cs="Arial"/>
          <w:sz w:val="18"/>
          <w:szCs w:val="18"/>
          <w:shd w:val="clear" w:color="auto" w:fill="FFFFFF"/>
        </w:rPr>
        <w:t>art.</w:t>
      </w:r>
      <w:r w:rsidR="006B5265" w:rsidRPr="00F7531C">
        <w:rPr>
          <w:rFonts w:ascii="MetaPro-Norm" w:hAnsi="MetaPro-Norm" w:cs="Arial"/>
          <w:sz w:val="18"/>
          <w:szCs w:val="18"/>
          <w:shd w:val="clear" w:color="auto" w:fill="FFFFFF"/>
        </w:rPr>
        <w:t xml:space="preserve"> </w:t>
      </w:r>
      <w:r w:rsidRPr="00F7531C">
        <w:rPr>
          <w:rFonts w:ascii="MetaPro-Norm" w:hAnsi="MetaPro-Norm" w:cs="Arial"/>
          <w:sz w:val="18"/>
          <w:szCs w:val="18"/>
          <w:shd w:val="clear" w:color="auto" w:fill="FFFFFF"/>
        </w:rPr>
        <w:t>2.</w:t>
      </w:r>
    </w:p>
  </w:footnote>
  <w:footnote w:id="3">
    <w:p w14:paraId="325BBB74" w14:textId="140E7C93" w:rsidR="005B6C4C" w:rsidRPr="00F7531C" w:rsidRDefault="005B6C4C" w:rsidP="00727217">
      <w:pPr>
        <w:pStyle w:val="FootnoteText"/>
        <w:rPr>
          <w:szCs w:val="18"/>
        </w:rPr>
      </w:pPr>
      <w:r w:rsidRPr="00F7531C">
        <w:rPr>
          <w:rStyle w:val="FootnoteReference"/>
          <w:szCs w:val="18"/>
        </w:rPr>
        <w:footnoteRef/>
      </w:r>
      <w:r w:rsidRPr="00F7531C">
        <w:rPr>
          <w:szCs w:val="18"/>
        </w:rPr>
        <w:t xml:space="preserve"> “Indonesia State Report: Eighth periodic report submitted by Indonesia under article 18 of the Convention, due in 2016,” Committee on the Elimination of Discrimination against Women, October 22, 2019, </w:t>
      </w:r>
      <w:hyperlink r:id="rId2" w:history="1">
        <w:r w:rsidRPr="00F7531C">
          <w:rPr>
            <w:rStyle w:val="Hyperlink"/>
            <w:szCs w:val="18"/>
          </w:rPr>
          <w:t>https://tbinternet.ohchr.org/_layouts/15/treatybodyexternal/Download.aspx?symbolno=CEDAW%2fC%2fPER%2f9&amp;Lang=en</w:t>
        </w:r>
      </w:hyperlink>
      <w:r w:rsidRPr="00F7531C">
        <w:rPr>
          <w:szCs w:val="18"/>
        </w:rPr>
        <w:t xml:space="preserve"> (accessed on June 3, 2020). </w:t>
      </w:r>
    </w:p>
  </w:footnote>
  <w:footnote w:id="4">
    <w:p w14:paraId="3B75C532" w14:textId="092EA73D" w:rsidR="005B6C4C" w:rsidRPr="00F7531C" w:rsidRDefault="005B6C4C" w:rsidP="001013B6">
      <w:pPr>
        <w:pStyle w:val="FootnoteText"/>
        <w:rPr>
          <w:szCs w:val="18"/>
        </w:rPr>
      </w:pPr>
      <w:r w:rsidRPr="00F7531C">
        <w:rPr>
          <w:rStyle w:val="FootnoteReference"/>
          <w:szCs w:val="18"/>
        </w:rPr>
        <w:footnoteRef/>
      </w:r>
      <w:r w:rsidRPr="00F7531C">
        <w:rPr>
          <w:szCs w:val="18"/>
        </w:rPr>
        <w:t xml:space="preserve"> Andy Yentriyani, Azriana, Ismail Hasani, Kamala Chandrakirana, Taty Krisnawaty, </w:t>
      </w:r>
      <w:r w:rsidRPr="00FE3694">
        <w:rPr>
          <w:szCs w:val="18"/>
        </w:rPr>
        <w:t>Atas Nama Otonomi Daera</w:t>
      </w:r>
      <w:r w:rsidR="00FE3694">
        <w:rPr>
          <w:szCs w:val="18"/>
        </w:rPr>
        <w:t>h:</w:t>
      </w:r>
      <w:r w:rsidRPr="00F7531C">
        <w:rPr>
          <w:i/>
          <w:iCs/>
          <w:szCs w:val="18"/>
        </w:rPr>
        <w:t xml:space="preserve"> Pelembagaan Diskriminasi Dalam Tatanan Negara-Bangsa Indonesia</w:t>
      </w:r>
      <w:r w:rsidRPr="00F7531C">
        <w:rPr>
          <w:szCs w:val="18"/>
        </w:rPr>
        <w:t xml:space="preserve"> (Jakarta: Komnas Perempuan, 2010), </w:t>
      </w:r>
      <w:hyperlink r:id="rId3" w:history="1">
        <w:r w:rsidRPr="00F7531C">
          <w:rPr>
            <w:rStyle w:val="Hyperlink"/>
            <w:szCs w:val="18"/>
          </w:rPr>
          <w:t>https://www.komnasperempuan.go.id/file/pdf_file/Modul%20dan%20Pedoman/PP2_Atas%20Nama%20Otonomi%20Daerah.pdf</w:t>
        </w:r>
      </w:hyperlink>
      <w:r w:rsidRPr="00F7531C">
        <w:rPr>
          <w:szCs w:val="18"/>
        </w:rPr>
        <w:t xml:space="preserve"> (accessed on May 25, 2020).</w:t>
      </w:r>
    </w:p>
  </w:footnote>
  <w:footnote w:id="5">
    <w:p w14:paraId="3BB9D28D" w14:textId="77777777" w:rsidR="005B6C4C" w:rsidRPr="00F7531C" w:rsidRDefault="005B6C4C" w:rsidP="0063213A">
      <w:pPr>
        <w:pStyle w:val="FootnoteText"/>
        <w:rPr>
          <w:szCs w:val="18"/>
        </w:rPr>
      </w:pPr>
      <w:r w:rsidRPr="00F7531C">
        <w:rPr>
          <w:rStyle w:val="FootnoteReference"/>
          <w:szCs w:val="18"/>
        </w:rPr>
        <w:footnoteRef/>
      </w:r>
      <w:r w:rsidRPr="00F7531C">
        <w:rPr>
          <w:szCs w:val="18"/>
        </w:rPr>
        <w:t xml:space="preserve"> “Peraturan Menteri Pendidikan dan Kebudayaan tentang Pakaian Seragam Sekolah Bagi Peserta Didik Jenjang Pendidikan Dasar dan Menengah” (Minister of Education and Culture Regulation on School Uniform for Primary and High Education), no. 45/2014, </w:t>
      </w:r>
      <w:hyperlink r:id="rId4" w:history="1">
        <w:r w:rsidRPr="00F7531C">
          <w:rPr>
            <w:rStyle w:val="Hyperlink"/>
            <w:szCs w:val="18"/>
          </w:rPr>
          <w:t>http://simpuh.kemenag.go.id/regulasi/permendikbud_45_14.pdf</w:t>
        </w:r>
      </w:hyperlink>
      <w:r w:rsidRPr="00F7531C">
        <w:rPr>
          <w:szCs w:val="18"/>
        </w:rPr>
        <w:t xml:space="preserve"> (accessed on August 7, 2019).</w:t>
      </w:r>
    </w:p>
  </w:footnote>
  <w:footnote w:id="6">
    <w:p w14:paraId="29D8116A" w14:textId="19CCF7C4" w:rsidR="005B6C4C" w:rsidRPr="00F7531C" w:rsidRDefault="005B6C4C" w:rsidP="00197C92">
      <w:pPr>
        <w:pStyle w:val="FootnoteText"/>
        <w:rPr>
          <w:szCs w:val="18"/>
        </w:rPr>
      </w:pPr>
      <w:r w:rsidRPr="00F7531C">
        <w:rPr>
          <w:rStyle w:val="FootnoteReference"/>
          <w:szCs w:val="18"/>
        </w:rPr>
        <w:footnoteRef/>
      </w:r>
      <w:r w:rsidRPr="00F7531C">
        <w:rPr>
          <w:szCs w:val="18"/>
        </w:rPr>
        <w:t xml:space="preserve"> These 24 provinces have </w:t>
      </w:r>
      <w:r w:rsidR="006B5265" w:rsidRPr="00F7531C">
        <w:rPr>
          <w:szCs w:val="18"/>
        </w:rPr>
        <w:t xml:space="preserve">about </w:t>
      </w:r>
      <w:r w:rsidRPr="00F7531C">
        <w:rPr>
          <w:szCs w:val="18"/>
        </w:rPr>
        <w:t>214 million people or around 90 percent of a total national population of 23</w:t>
      </w:r>
      <w:r w:rsidR="006B5265" w:rsidRPr="00F7531C">
        <w:rPr>
          <w:szCs w:val="18"/>
        </w:rPr>
        <w:t>8</w:t>
      </w:r>
      <w:r w:rsidRPr="00F7531C">
        <w:rPr>
          <w:szCs w:val="18"/>
        </w:rPr>
        <w:t xml:space="preserve"> million in 2010. A 2019 report by the Jakarta-based Alvara Research Centre </w:t>
      </w:r>
      <w:r w:rsidR="006B5265" w:rsidRPr="00F7531C">
        <w:rPr>
          <w:szCs w:val="18"/>
        </w:rPr>
        <w:t xml:space="preserve">found </w:t>
      </w:r>
      <w:r w:rsidRPr="00F7531C">
        <w:rPr>
          <w:szCs w:val="18"/>
        </w:rPr>
        <w:t xml:space="preserve">that </w:t>
      </w:r>
      <w:r w:rsidR="006B5265" w:rsidRPr="00F7531C">
        <w:rPr>
          <w:szCs w:val="18"/>
        </w:rPr>
        <w:t xml:space="preserve">about </w:t>
      </w:r>
      <w:r w:rsidRPr="00F7531C">
        <w:rPr>
          <w:szCs w:val="18"/>
        </w:rPr>
        <w:t>7</w:t>
      </w:r>
      <w:r w:rsidR="006B5265" w:rsidRPr="00F7531C">
        <w:rPr>
          <w:szCs w:val="18"/>
        </w:rPr>
        <w:t>5</w:t>
      </w:r>
      <w:r w:rsidRPr="00F7531C">
        <w:rPr>
          <w:szCs w:val="18"/>
        </w:rPr>
        <w:t xml:space="preserve"> percent of Muslim women in Indonesia were wearing the hijab. Alvara Research Center, </w:t>
      </w:r>
      <w:r w:rsidRPr="00F7531C">
        <w:rPr>
          <w:i/>
          <w:iCs/>
          <w:szCs w:val="18"/>
        </w:rPr>
        <w:t>Indonesia Muslim Report 2019</w:t>
      </w:r>
      <w:r w:rsidRPr="00F7531C">
        <w:rPr>
          <w:szCs w:val="18"/>
        </w:rPr>
        <w:t xml:space="preserve">: </w:t>
      </w:r>
      <w:r w:rsidRPr="00F7531C">
        <w:rPr>
          <w:i/>
          <w:iCs/>
          <w:szCs w:val="18"/>
        </w:rPr>
        <w:t>The Challenges of Indonesia Moderate Moslems</w:t>
      </w:r>
      <w:r w:rsidRPr="00F7531C">
        <w:rPr>
          <w:szCs w:val="18"/>
        </w:rPr>
        <w:t xml:space="preserve"> (Jakarta: December 2019).</w:t>
      </w:r>
    </w:p>
  </w:footnote>
  <w:footnote w:id="7">
    <w:p w14:paraId="72BE336C" w14:textId="65159620" w:rsidR="005B6C4C" w:rsidRPr="00F7531C" w:rsidRDefault="005B6C4C">
      <w:pPr>
        <w:pStyle w:val="FootnoteText"/>
        <w:rPr>
          <w:szCs w:val="18"/>
        </w:rPr>
      </w:pPr>
      <w:r w:rsidRPr="00F7531C">
        <w:rPr>
          <w:rStyle w:val="FootnoteReference"/>
          <w:szCs w:val="18"/>
        </w:rPr>
        <w:footnoteRef/>
      </w:r>
      <w:r w:rsidRPr="00F7531C">
        <w:rPr>
          <w:szCs w:val="18"/>
        </w:rPr>
        <w:t xml:space="preserve"> In August 2005, Gamawan Fauzi, the governor of West Sumatra, issued a letter number 260/2005, calling on all Muslims to wear Islamic attire. A copy is available upon request.</w:t>
      </w:r>
    </w:p>
  </w:footnote>
  <w:footnote w:id="8">
    <w:p w14:paraId="0472D988" w14:textId="77777777" w:rsidR="005B6C4C" w:rsidRPr="00F7531C" w:rsidRDefault="005B6C4C" w:rsidP="00747E45">
      <w:pPr>
        <w:pStyle w:val="FootnoteText"/>
        <w:rPr>
          <w:szCs w:val="18"/>
        </w:rPr>
      </w:pPr>
      <w:r w:rsidRPr="00F7531C">
        <w:rPr>
          <w:rStyle w:val="FootnoteReference"/>
          <w:szCs w:val="18"/>
        </w:rPr>
        <w:footnoteRef/>
      </w:r>
      <w:r w:rsidRPr="00F7531C">
        <w:rPr>
          <w:szCs w:val="18"/>
        </w:rPr>
        <w:t xml:space="preserve"> Human Rights Watch, </w:t>
      </w:r>
      <w:r w:rsidRPr="00F7531C">
        <w:rPr>
          <w:i/>
          <w:szCs w:val="18"/>
        </w:rPr>
        <w:t>Policing Morality: Abuses in the Application of Sharia in Aceh, Indonesia</w:t>
      </w:r>
      <w:r w:rsidRPr="00F7531C">
        <w:rPr>
          <w:szCs w:val="18"/>
        </w:rPr>
        <w:t xml:space="preserve"> (New York: Human Rights Watch, 2010) </w:t>
      </w:r>
      <w:hyperlink r:id="rId5" w:history="1">
        <w:r w:rsidRPr="00F7531C">
          <w:rPr>
            <w:rStyle w:val="Hyperlink"/>
            <w:szCs w:val="18"/>
          </w:rPr>
          <w:t>https://www.hrw.org/report/2010/11/30/policing-morality/abuses-application-sharia-aceh-indonesia</w:t>
        </w:r>
      </w:hyperlink>
      <w:r w:rsidRPr="00F7531C">
        <w:rPr>
          <w:szCs w:val="18"/>
        </w:rPr>
        <w:t>.</w:t>
      </w:r>
    </w:p>
  </w:footnote>
  <w:footnote w:id="9">
    <w:p w14:paraId="29E0BF16" w14:textId="5DD83934" w:rsidR="005B6C4C" w:rsidRPr="00F7531C" w:rsidRDefault="005B6C4C" w:rsidP="00747E45">
      <w:pPr>
        <w:pStyle w:val="FootnoteText"/>
        <w:rPr>
          <w:szCs w:val="18"/>
        </w:rPr>
      </w:pPr>
      <w:r w:rsidRPr="00F7531C">
        <w:rPr>
          <w:rStyle w:val="FootnoteReference"/>
          <w:szCs w:val="18"/>
        </w:rPr>
        <w:footnoteRef/>
      </w:r>
      <w:r w:rsidRPr="00F7531C">
        <w:rPr>
          <w:szCs w:val="18"/>
        </w:rPr>
        <w:t xml:space="preserve"> “Ombudsman Minta Revisi Aturan Wajib Jilbab di SMP Yogyakarta,” (Ombusdman Asks Revision of the Mandatory Hijab Regulation in Yogyakarta School), </w:t>
      </w:r>
      <w:r w:rsidRPr="00F7531C">
        <w:rPr>
          <w:i/>
          <w:iCs/>
          <w:szCs w:val="18"/>
        </w:rPr>
        <w:t>CNN Indonesia</w:t>
      </w:r>
      <w:r w:rsidRPr="00F7531C">
        <w:rPr>
          <w:szCs w:val="18"/>
        </w:rPr>
        <w:t xml:space="preserve">, February </w:t>
      </w:r>
      <w:r w:rsidR="006B5265" w:rsidRPr="00F7531C">
        <w:rPr>
          <w:szCs w:val="18"/>
        </w:rPr>
        <w:t xml:space="preserve">8, </w:t>
      </w:r>
      <w:r w:rsidRPr="00F7531C">
        <w:rPr>
          <w:szCs w:val="18"/>
        </w:rPr>
        <w:t xml:space="preserve">2019, </w:t>
      </w:r>
      <w:hyperlink r:id="rId6" w:history="1">
        <w:r w:rsidRPr="00F7531C">
          <w:rPr>
            <w:rStyle w:val="Hyperlink"/>
            <w:szCs w:val="18"/>
          </w:rPr>
          <w:t>https://www.cnnindonesia.com/nasional/20190208074321-20-367371/ombudsman-minta-revisi-aturan-wajib-jilbab-di-smp-yogyakarta</w:t>
        </w:r>
      </w:hyperlink>
      <w:r w:rsidRPr="00F7531C">
        <w:rPr>
          <w:szCs w:val="18"/>
        </w:rPr>
        <w:t xml:space="preserve"> (accessed on April 21, 2019).</w:t>
      </w:r>
    </w:p>
  </w:footnote>
  <w:footnote w:id="10">
    <w:p w14:paraId="5B08A9E0" w14:textId="76ADF4C4" w:rsidR="005B6C4C" w:rsidRPr="00F7531C" w:rsidRDefault="005B6C4C">
      <w:pPr>
        <w:pStyle w:val="FootnoteText"/>
        <w:rPr>
          <w:szCs w:val="18"/>
        </w:rPr>
      </w:pPr>
      <w:r w:rsidRPr="00F7531C">
        <w:rPr>
          <w:rStyle w:val="FootnoteReference"/>
          <w:szCs w:val="18"/>
        </w:rPr>
        <w:footnoteRef/>
      </w:r>
      <w:r w:rsidRPr="00F7531C">
        <w:rPr>
          <w:szCs w:val="18"/>
        </w:rPr>
        <w:t xml:space="preserve"> On July 16, 2017, </w:t>
      </w:r>
      <w:r w:rsidRPr="00F7531C">
        <w:rPr>
          <w:i/>
          <w:iCs/>
          <w:szCs w:val="18"/>
        </w:rPr>
        <w:t>Kompas</w:t>
      </w:r>
      <w:r w:rsidRPr="00F7531C">
        <w:rPr>
          <w:szCs w:val="18"/>
        </w:rPr>
        <w:t xml:space="preserve"> newspaper reported that Yenima Swandina Alfa, a new student in SMPN3 junior high school in Genteng area, Banyuwangi, had cancelled her enrollment after she was asked to sign a document declaring that she was willing to wear the hijab as part of her school uniform despite her Catholic faith. Banyuwangi regent Abdullah Azwar Anas apologized to her and her parents, asking the school to revoke the rule but Human Rights Watch had verified that the school did not do that as of August 2018.</w:t>
      </w:r>
      <w:r w:rsidR="002B274B">
        <w:rPr>
          <w:szCs w:val="18"/>
        </w:rPr>
        <w:t xml:space="preserve"> “</w:t>
      </w:r>
      <w:r w:rsidRPr="00F7531C">
        <w:rPr>
          <w:szCs w:val="18"/>
        </w:rPr>
        <w:t>Ada Diskriminasi Terhadap Siswi Non Muslim di Banyuwangi, Bupati Anas Marah,</w:t>
      </w:r>
      <w:r w:rsidR="002B274B">
        <w:rPr>
          <w:szCs w:val="18"/>
        </w:rPr>
        <w:t>”</w:t>
      </w:r>
      <w:r w:rsidRPr="00F7531C">
        <w:rPr>
          <w:szCs w:val="18"/>
        </w:rPr>
        <w:t xml:space="preserve"> (Discrimination Against Non-Muslim Student in Banyuwang, Regent Anas Upset), </w:t>
      </w:r>
      <w:r w:rsidRPr="00F7531C">
        <w:rPr>
          <w:i/>
          <w:iCs/>
          <w:szCs w:val="18"/>
        </w:rPr>
        <w:t>Kompas</w:t>
      </w:r>
      <w:r w:rsidRPr="00F7531C">
        <w:rPr>
          <w:szCs w:val="18"/>
        </w:rPr>
        <w:t xml:space="preserve">, July 16, 2017, </w:t>
      </w:r>
      <w:hyperlink r:id="rId7" w:history="1">
        <w:r w:rsidRPr="00F7531C">
          <w:rPr>
            <w:rStyle w:val="Hyperlink"/>
            <w:szCs w:val="18"/>
          </w:rPr>
          <w:t>https://regional.kompas.com/read/2017/07/16/23005061/ada-diskriminasi-terhadap-siswi-non-muslim-di-banyuwangi-bupati-anas-marah</w:t>
        </w:r>
      </w:hyperlink>
      <w:r w:rsidRPr="00F7531C">
        <w:rPr>
          <w:szCs w:val="18"/>
        </w:rPr>
        <w:t xml:space="preserve"> (accessed on May 25, 2018).</w:t>
      </w:r>
    </w:p>
  </w:footnote>
  <w:footnote w:id="11">
    <w:p w14:paraId="4B35BE97" w14:textId="145BA256" w:rsidR="005B6C4C" w:rsidRPr="00F7531C" w:rsidRDefault="005B6C4C">
      <w:pPr>
        <w:pStyle w:val="FootnoteText"/>
        <w:rPr>
          <w:szCs w:val="18"/>
        </w:rPr>
      </w:pPr>
      <w:r w:rsidRPr="00F7531C">
        <w:rPr>
          <w:rStyle w:val="FootnoteReference"/>
          <w:szCs w:val="18"/>
        </w:rPr>
        <w:footnoteRef/>
      </w:r>
      <w:r w:rsidRPr="00F7531C">
        <w:rPr>
          <w:szCs w:val="18"/>
        </w:rPr>
        <w:t xml:space="preserve"> Human Rights Watch, </w:t>
      </w:r>
      <w:r w:rsidRPr="00F7531C">
        <w:rPr>
          <w:i/>
          <w:iCs/>
          <w:szCs w:val="18"/>
        </w:rPr>
        <w:t>Policing Morality: Abuses in the Application of Sharia in Aceh, Indonesia</w:t>
      </w:r>
      <w:r w:rsidRPr="00F7531C">
        <w:rPr>
          <w:szCs w:val="18"/>
        </w:rPr>
        <w:t xml:space="preserve"> (New York: Human Rights Watch, 2010), </w:t>
      </w:r>
      <w:hyperlink r:id="rId8" w:history="1">
        <w:r w:rsidRPr="00F7531C">
          <w:rPr>
            <w:rStyle w:val="Hyperlink"/>
            <w:szCs w:val="18"/>
          </w:rPr>
          <w:t>https://www.hrw.org/en/reports/2010/12/01/policing-morality-0</w:t>
        </w:r>
      </w:hyperlink>
      <w:r w:rsidRPr="00F7531C">
        <w:rPr>
          <w:szCs w:val="18"/>
        </w:rPr>
        <w:t>.</w:t>
      </w:r>
    </w:p>
  </w:footnote>
  <w:footnote w:id="12">
    <w:p w14:paraId="40E131EA" w14:textId="79B39295" w:rsidR="005B6C4C" w:rsidRPr="00F7531C" w:rsidRDefault="005B6C4C">
      <w:pPr>
        <w:pStyle w:val="FootnoteText"/>
        <w:rPr>
          <w:szCs w:val="18"/>
        </w:rPr>
      </w:pPr>
      <w:r w:rsidRPr="00F7531C">
        <w:rPr>
          <w:rStyle w:val="FootnoteReference"/>
          <w:szCs w:val="18"/>
        </w:rPr>
        <w:footnoteRef/>
      </w:r>
      <w:r w:rsidRPr="00F7531C">
        <w:rPr>
          <w:szCs w:val="18"/>
        </w:rPr>
        <w:t xml:space="preserve"> “Indonesia: Local Sharia Laws Violate Rights in Aceh,” Human Rights Watch news release, December 1, 2010, </w:t>
      </w:r>
      <w:hyperlink r:id="rId9" w:history="1">
        <w:r w:rsidRPr="00F7531C">
          <w:rPr>
            <w:rStyle w:val="Hyperlink"/>
            <w:szCs w:val="18"/>
          </w:rPr>
          <w:t>https://www.hrw.org/news/2010/12/01/indonesia-local-sharia-laws-violate-rights-aceh</w:t>
        </w:r>
      </w:hyperlink>
      <w:r w:rsidRPr="00F7531C">
        <w:rPr>
          <w:szCs w:val="18"/>
        </w:rPr>
        <w:t xml:space="preserve">. </w:t>
      </w:r>
    </w:p>
  </w:footnote>
  <w:footnote w:id="13">
    <w:p w14:paraId="7C836C13" w14:textId="68E4A711" w:rsidR="005B6C4C" w:rsidRPr="00F7531C" w:rsidRDefault="005B6C4C">
      <w:pPr>
        <w:pStyle w:val="FootnoteText"/>
        <w:rPr>
          <w:szCs w:val="18"/>
        </w:rPr>
      </w:pPr>
      <w:r w:rsidRPr="00F7531C">
        <w:rPr>
          <w:rStyle w:val="FootnoteReference"/>
          <w:szCs w:val="18"/>
        </w:rPr>
        <w:footnoteRef/>
      </w:r>
      <w:r w:rsidRPr="00F7531C">
        <w:rPr>
          <w:szCs w:val="18"/>
        </w:rPr>
        <w:t xml:space="preserve"> “Indonesia: Aceh’s New Islamic Laws Violate Rights,” Human Rights Watch news release, October 2, 2014, </w:t>
      </w:r>
      <w:hyperlink r:id="rId10" w:history="1">
        <w:r w:rsidRPr="00F7531C">
          <w:rPr>
            <w:rStyle w:val="Hyperlink"/>
            <w:szCs w:val="18"/>
          </w:rPr>
          <w:t>https://www.hrw.org/news/2014/10/02/indonesia-acehs-new-islamic-laws-violate-rights</w:t>
        </w:r>
      </w:hyperlink>
      <w:r w:rsidRPr="00F7531C">
        <w:rPr>
          <w:szCs w:val="18"/>
        </w:rPr>
        <w:t>.</w:t>
      </w:r>
    </w:p>
  </w:footnote>
  <w:footnote w:id="14">
    <w:p w14:paraId="06B970DD" w14:textId="77777777" w:rsidR="00EF00C8" w:rsidRPr="00F7531C" w:rsidRDefault="00EF00C8" w:rsidP="00EF00C8">
      <w:pPr>
        <w:pStyle w:val="FootnoteText"/>
        <w:rPr>
          <w:szCs w:val="18"/>
        </w:rPr>
      </w:pPr>
      <w:r w:rsidRPr="00F7531C">
        <w:rPr>
          <w:rStyle w:val="FootnoteReference"/>
          <w:szCs w:val="18"/>
        </w:rPr>
        <w:footnoteRef/>
      </w:r>
      <w:r w:rsidRPr="00F7531C">
        <w:rPr>
          <w:szCs w:val="18"/>
        </w:rPr>
        <w:t xml:space="preserve"> “Indonesia: Draft Criminal Code Disastrous for Rights,” Human Rights Watch news release, September 18, 2019, </w:t>
      </w:r>
      <w:hyperlink r:id="rId11" w:history="1">
        <w:r w:rsidRPr="00F7531C">
          <w:rPr>
            <w:rStyle w:val="Hyperlink"/>
            <w:szCs w:val="18"/>
          </w:rPr>
          <w:t>https://www.hrw.org/news/2019/09/18/indonesia-draft-criminal-code-disastrous-rights</w:t>
        </w:r>
      </w:hyperlink>
      <w:r w:rsidRPr="00F7531C">
        <w:rPr>
          <w:szCs w:val="18"/>
        </w:rPr>
        <w:t xml:space="preserve">. </w:t>
      </w:r>
    </w:p>
  </w:footnote>
  <w:footnote w:id="15">
    <w:p w14:paraId="45D3A3C9" w14:textId="256C0376" w:rsidR="005B6C4C" w:rsidRPr="00F7531C" w:rsidRDefault="005B6C4C" w:rsidP="003B301C">
      <w:pPr>
        <w:pStyle w:val="FootnoteText"/>
        <w:rPr>
          <w:szCs w:val="18"/>
        </w:rPr>
      </w:pPr>
      <w:r w:rsidRPr="00F7531C">
        <w:rPr>
          <w:rStyle w:val="FootnoteReference"/>
          <w:szCs w:val="18"/>
        </w:rPr>
        <w:footnoteRef/>
      </w:r>
      <w:r w:rsidRPr="00F7531C">
        <w:rPr>
          <w:szCs w:val="18"/>
        </w:rPr>
        <w:t xml:space="preserve"> “Indonesia: No End to Abusive ‘Virginity Tests’”, Human Rights Watch news release, November 22, 2017, </w:t>
      </w:r>
      <w:hyperlink r:id="rId12" w:history="1">
        <w:r w:rsidRPr="00F7531C">
          <w:rPr>
            <w:rStyle w:val="Hyperlink"/>
            <w:szCs w:val="18"/>
          </w:rPr>
          <w:t>https://www.hrw.org/news/2017/11/22/indonesia-no-end-abusive-virginity-tests</w:t>
        </w:r>
      </w:hyperlink>
      <w:r w:rsidRPr="00F7531C">
        <w:rPr>
          <w:rStyle w:val="Hyperlink"/>
          <w:szCs w:val="18"/>
        </w:rPr>
        <w:t>.</w:t>
      </w:r>
    </w:p>
  </w:footnote>
  <w:footnote w:id="16">
    <w:p w14:paraId="4B0131FA" w14:textId="77777777" w:rsidR="005B6C4C" w:rsidRPr="00F7531C" w:rsidRDefault="005B6C4C" w:rsidP="00D20A81">
      <w:pPr>
        <w:pStyle w:val="FootnoteText"/>
        <w:rPr>
          <w:szCs w:val="18"/>
        </w:rPr>
      </w:pPr>
      <w:r w:rsidRPr="00F7531C">
        <w:rPr>
          <w:rStyle w:val="FootnoteReference"/>
          <w:szCs w:val="18"/>
        </w:rPr>
        <w:footnoteRef/>
      </w:r>
      <w:r w:rsidRPr="00F7531C">
        <w:rPr>
          <w:szCs w:val="18"/>
        </w:rPr>
        <w:t xml:space="preserve"> Sarah Newey and Nicola Smith, “’A gross violation’: UK must demand an end to Indonesian military's invasive virginity testing, say experts,” </w:t>
      </w:r>
      <w:r w:rsidRPr="00F7531C">
        <w:rPr>
          <w:i/>
          <w:iCs/>
          <w:szCs w:val="18"/>
        </w:rPr>
        <w:t>The Telegraph</w:t>
      </w:r>
      <w:r w:rsidRPr="00F7531C">
        <w:rPr>
          <w:szCs w:val="18"/>
        </w:rPr>
        <w:t xml:space="preserve">, May 29, 2019, </w:t>
      </w:r>
      <w:hyperlink r:id="rId13" w:history="1">
        <w:r w:rsidRPr="00F7531C">
          <w:rPr>
            <w:rStyle w:val="Hyperlink"/>
            <w:szCs w:val="18"/>
          </w:rPr>
          <w:t>https://www.telegraph.co.uk/global-health/women-and-girls/gross-violation-uk-must-demand-end-indonesian-militarys-invasive/</w:t>
        </w:r>
      </w:hyperlink>
      <w:r w:rsidRPr="00F7531C">
        <w:rPr>
          <w:szCs w:val="18"/>
        </w:rPr>
        <w:t xml:space="preserve"> (accessed on June 1, 2020). </w:t>
      </w:r>
    </w:p>
  </w:footnote>
  <w:footnote w:id="17">
    <w:p w14:paraId="49F8079B" w14:textId="50174C79" w:rsidR="009C0974" w:rsidRPr="00F7531C" w:rsidRDefault="009C0974">
      <w:pPr>
        <w:pStyle w:val="FootnoteText"/>
        <w:rPr>
          <w:szCs w:val="18"/>
        </w:rPr>
      </w:pPr>
      <w:r w:rsidRPr="00F7531C">
        <w:rPr>
          <w:rStyle w:val="FootnoteReference"/>
          <w:szCs w:val="18"/>
        </w:rPr>
        <w:footnoteRef/>
      </w:r>
      <w:r w:rsidRPr="00F7531C">
        <w:rPr>
          <w:szCs w:val="18"/>
        </w:rPr>
        <w:t xml:space="preserve"> </w:t>
      </w:r>
      <w:r w:rsidR="007953C2" w:rsidRPr="00F7531C">
        <w:rPr>
          <w:szCs w:val="18"/>
        </w:rPr>
        <w:t xml:space="preserve">“General Recommendation,” </w:t>
      </w:r>
      <w:r w:rsidRPr="00F7531C">
        <w:rPr>
          <w:szCs w:val="18"/>
        </w:rPr>
        <w:t>CEDAW and CRC</w:t>
      </w:r>
      <w:r w:rsidR="007953C2" w:rsidRPr="00F7531C">
        <w:rPr>
          <w:szCs w:val="18"/>
        </w:rPr>
        <w:t>, 2014,</w:t>
      </w:r>
      <w:r w:rsidRPr="00F7531C">
        <w:rPr>
          <w:szCs w:val="18"/>
        </w:rPr>
        <w:t xml:space="preserve"> </w:t>
      </w:r>
      <w:hyperlink r:id="rId14" w:history="1">
        <w:r w:rsidR="007953C2" w:rsidRPr="00F7531C">
          <w:rPr>
            <w:rStyle w:val="Hyperlink"/>
            <w:szCs w:val="18"/>
          </w:rPr>
          <w:t>https://documents-dds-ny.un.org/doc/UNDOC/GEN/N14/627/78/PDF/N1462778.pdf?OpenElement</w:t>
        </w:r>
      </w:hyperlink>
      <w:r w:rsidR="007953C2" w:rsidRPr="00F7531C">
        <w:rPr>
          <w:szCs w:val="18"/>
        </w:rPr>
        <w:t xml:space="preserve"> (accessed on June 3, 2020).</w:t>
      </w:r>
    </w:p>
  </w:footnote>
  <w:footnote w:id="18">
    <w:p w14:paraId="42E4C7A5" w14:textId="77777777" w:rsidR="001B3BF6" w:rsidRPr="00F7531C" w:rsidRDefault="001B3BF6" w:rsidP="001B3BF6">
      <w:pPr>
        <w:pStyle w:val="FootnoteText"/>
        <w:rPr>
          <w:szCs w:val="18"/>
        </w:rPr>
      </w:pPr>
      <w:r w:rsidRPr="00F7531C">
        <w:rPr>
          <w:rStyle w:val="FootnoteReference"/>
          <w:szCs w:val="18"/>
        </w:rPr>
        <w:footnoteRef/>
      </w:r>
      <w:r w:rsidRPr="00F7531C">
        <w:rPr>
          <w:szCs w:val="18"/>
        </w:rPr>
        <w:t xml:space="preserve"> World Health Organization, United Nations Office of the High Commissioner for Human Rights, United Nation Women, </w:t>
      </w:r>
      <w:r w:rsidRPr="00F7531C">
        <w:rPr>
          <w:i/>
          <w:iCs/>
          <w:szCs w:val="18"/>
        </w:rPr>
        <w:t>Eliminating Virginity Testing: An Interagency Statement</w:t>
      </w:r>
      <w:r w:rsidRPr="00F7531C">
        <w:rPr>
          <w:szCs w:val="18"/>
        </w:rPr>
        <w:t xml:space="preserve"> (Geneva: United Nations, 2018), </w:t>
      </w:r>
      <w:hyperlink r:id="rId15" w:history="1">
        <w:r w:rsidRPr="00F7531C">
          <w:rPr>
            <w:rStyle w:val="Hyperlink"/>
            <w:szCs w:val="18"/>
          </w:rPr>
          <w:t>https://apps.who.int/iris/bitstream/handle/10665/275451/WHO-RHR-18.15-eng.pdf?ua=1</w:t>
        </w:r>
      </w:hyperlink>
      <w:r w:rsidRPr="00F7531C">
        <w:rPr>
          <w:szCs w:val="18"/>
        </w:rPr>
        <w:t xml:space="preserve"> (accessed on June 3, 2020).</w:t>
      </w:r>
    </w:p>
  </w:footnote>
  <w:footnote w:id="19">
    <w:p w14:paraId="1D20DFE3" w14:textId="77777777" w:rsidR="00E80690" w:rsidRPr="00F7531C" w:rsidRDefault="00E80690" w:rsidP="00E80690">
      <w:pPr>
        <w:pStyle w:val="FootnoteText"/>
        <w:rPr>
          <w:szCs w:val="18"/>
        </w:rPr>
      </w:pPr>
      <w:r w:rsidRPr="00F7531C">
        <w:rPr>
          <w:rStyle w:val="FootnoteReference"/>
          <w:szCs w:val="18"/>
        </w:rPr>
        <w:footnoteRef/>
      </w:r>
      <w:r w:rsidRPr="00F7531C">
        <w:rPr>
          <w:szCs w:val="18"/>
        </w:rPr>
        <w:t xml:space="preserve"> Amy Chew, “Indonesian honour killing: brutal death of schoolgirl Rosmini Darwis, 16, sparks copycat fears,” </w:t>
      </w:r>
      <w:r w:rsidRPr="00F7531C">
        <w:rPr>
          <w:i/>
          <w:iCs/>
          <w:szCs w:val="18"/>
        </w:rPr>
        <w:t>South China Morning Post</w:t>
      </w:r>
      <w:r w:rsidRPr="00F7531C">
        <w:rPr>
          <w:szCs w:val="18"/>
        </w:rPr>
        <w:t xml:space="preserve">, May 31, 2020, </w:t>
      </w:r>
      <w:hyperlink r:id="rId16" w:history="1">
        <w:r w:rsidRPr="00F7531C">
          <w:rPr>
            <w:rStyle w:val="Hyperlink"/>
            <w:szCs w:val="18"/>
          </w:rPr>
          <w:t>https://www.scmp.com/week-asia/people/article/3086764/indonesian-honour-killing-brutal-death-schoolgirl-rosmini-darwis</w:t>
        </w:r>
      </w:hyperlink>
      <w:r w:rsidRPr="00F7531C">
        <w:rPr>
          <w:szCs w:val="18"/>
        </w:rPr>
        <w:t xml:space="preserve"> (accessed on June 3, 2020). </w:t>
      </w:r>
    </w:p>
  </w:footnote>
  <w:footnote w:id="20">
    <w:p w14:paraId="244742BF" w14:textId="78EEC6E1" w:rsidR="00AE43F8" w:rsidRPr="00F7531C" w:rsidRDefault="00AE43F8">
      <w:pPr>
        <w:pStyle w:val="FootnoteText"/>
        <w:rPr>
          <w:szCs w:val="18"/>
        </w:rPr>
      </w:pPr>
      <w:r w:rsidRPr="00F7531C">
        <w:rPr>
          <w:rStyle w:val="FootnoteReference"/>
          <w:szCs w:val="18"/>
        </w:rPr>
        <w:footnoteRef/>
      </w:r>
      <w:r w:rsidRPr="00F7531C">
        <w:rPr>
          <w:szCs w:val="18"/>
        </w:rPr>
        <w:t xml:space="preserve"> </w:t>
      </w:r>
      <w:r w:rsidR="00B22E2B">
        <w:rPr>
          <w:szCs w:val="18"/>
        </w:rPr>
        <w:t>Ibid.</w:t>
      </w:r>
      <w:r w:rsidRPr="00F7531C">
        <w:rPr>
          <w:szCs w:val="18"/>
        </w:rPr>
        <w:t xml:space="preserve"> </w:t>
      </w:r>
    </w:p>
  </w:footnote>
  <w:footnote w:id="21">
    <w:p w14:paraId="06B0C8DB" w14:textId="4299F8A0" w:rsidR="00165546" w:rsidRPr="00F7531C" w:rsidRDefault="00165546">
      <w:pPr>
        <w:pStyle w:val="FootnoteText"/>
        <w:rPr>
          <w:szCs w:val="18"/>
        </w:rPr>
      </w:pPr>
      <w:r w:rsidRPr="00F7531C">
        <w:rPr>
          <w:rStyle w:val="FootnoteReference"/>
          <w:szCs w:val="18"/>
        </w:rPr>
        <w:footnoteRef/>
      </w:r>
      <w:r w:rsidRPr="00F7531C">
        <w:rPr>
          <w:szCs w:val="18"/>
        </w:rPr>
        <w:t xml:space="preserve"> Human Rights Watch, </w:t>
      </w:r>
      <w:r w:rsidRPr="00F7531C">
        <w:rPr>
          <w:i/>
          <w:iCs/>
          <w:szCs w:val="18"/>
        </w:rPr>
        <w:t>Living in Hell: Abuses against People with Psychosocial Disabilities in Indonesia</w:t>
      </w:r>
      <w:r w:rsidRPr="00F7531C">
        <w:rPr>
          <w:szCs w:val="18"/>
        </w:rPr>
        <w:t xml:space="preserve"> (New York: Human Rights Watch, 2016), https://www.hrw.org/report/2016/03/20/living-hell/abuses-against-people-psychosocial-disabilities-indonesia.</w:t>
      </w:r>
    </w:p>
  </w:footnote>
  <w:footnote w:id="22">
    <w:p w14:paraId="011B3C1B" w14:textId="7AFEEAC2" w:rsidR="005B6C4C" w:rsidRPr="00F7531C" w:rsidRDefault="005B6C4C" w:rsidP="00CB5A56">
      <w:pPr>
        <w:pStyle w:val="FootnoteText"/>
        <w:rPr>
          <w:szCs w:val="18"/>
        </w:rPr>
      </w:pPr>
      <w:r w:rsidRPr="00F7531C">
        <w:rPr>
          <w:rStyle w:val="FootnoteReference"/>
          <w:szCs w:val="18"/>
        </w:rPr>
        <w:footnoteRef/>
      </w:r>
      <w:r w:rsidRPr="00F7531C">
        <w:rPr>
          <w:szCs w:val="18"/>
        </w:rPr>
        <w:t xml:space="preserve"> “Indonesia: Medical Groups Silent on Abusive ‘Virginity Tests’”, Human Rights Watch news release, July 3, 2018, </w:t>
      </w:r>
      <w:hyperlink r:id="rId17" w:history="1">
        <w:r w:rsidRPr="00F7531C">
          <w:rPr>
            <w:rStyle w:val="Hyperlink"/>
            <w:szCs w:val="18"/>
          </w:rPr>
          <w:t>https://www.hrw.org/news/2018/03/07/indonesia-medical-groups-silent-abusive-virginity-tests</w:t>
        </w:r>
      </w:hyperlink>
      <w:r w:rsidRPr="00F7531C">
        <w:rPr>
          <w:szCs w:val="18"/>
        </w:rPr>
        <w:t>.</w:t>
      </w:r>
    </w:p>
  </w:footnote>
  <w:footnote w:id="23">
    <w:p w14:paraId="60BAECAD" w14:textId="71607D24" w:rsidR="005B6C4C" w:rsidRPr="00F7531C" w:rsidRDefault="005B6C4C">
      <w:pPr>
        <w:pStyle w:val="FootnoteText"/>
        <w:rPr>
          <w:szCs w:val="18"/>
        </w:rPr>
      </w:pPr>
      <w:r w:rsidRPr="00F7531C">
        <w:rPr>
          <w:rStyle w:val="FootnoteReference"/>
          <w:szCs w:val="18"/>
        </w:rPr>
        <w:footnoteRef/>
      </w:r>
      <w:r w:rsidRPr="00F7531C">
        <w:rPr>
          <w:szCs w:val="18"/>
        </w:rPr>
        <w:t xml:space="preserve"> Human Rights Watch, </w:t>
      </w:r>
      <w:r w:rsidR="0050170B" w:rsidRPr="00F7531C">
        <w:rPr>
          <w:szCs w:val="18"/>
        </w:rPr>
        <w:t>“</w:t>
      </w:r>
      <w:r w:rsidRPr="00F7531C">
        <w:rPr>
          <w:i/>
          <w:iCs/>
          <w:szCs w:val="18"/>
        </w:rPr>
        <w:t>When We Lost the Forest, We Lost Everything”: Oil Palm Plantations and Rights Violations in Indonesia</w:t>
      </w:r>
      <w:r w:rsidRPr="00F7531C">
        <w:rPr>
          <w:szCs w:val="18"/>
        </w:rPr>
        <w:t xml:space="preserve"> (New York</w:t>
      </w:r>
      <w:r w:rsidR="0050170B" w:rsidRPr="00F7531C">
        <w:rPr>
          <w:szCs w:val="18"/>
        </w:rPr>
        <w:t>:</w:t>
      </w:r>
      <w:r w:rsidRPr="00F7531C">
        <w:rPr>
          <w:szCs w:val="18"/>
        </w:rPr>
        <w:t xml:space="preserve"> Human Rights Watch, 2019), </w:t>
      </w:r>
      <w:hyperlink r:id="rId18" w:history="1">
        <w:r w:rsidRPr="00F7531C">
          <w:rPr>
            <w:rStyle w:val="Hyperlink"/>
            <w:szCs w:val="18"/>
          </w:rPr>
          <w:t>https://www.hrw.org/report/2019/09/23/when-we-lost-forest-we-lost-everything/oil-palm-plantations-and-rights-violations</w:t>
        </w:r>
      </w:hyperlink>
      <w:r w:rsidRPr="00F7531C">
        <w:rPr>
          <w:szCs w:val="18"/>
        </w:rPr>
        <w:t xml:space="preserve">. </w:t>
      </w:r>
    </w:p>
  </w:footnote>
  <w:footnote w:id="24">
    <w:p w14:paraId="0D23814D" w14:textId="08AAA961" w:rsidR="00CC22AF" w:rsidRPr="00F7531C" w:rsidRDefault="00CC22AF">
      <w:pPr>
        <w:pStyle w:val="FootnoteText"/>
        <w:rPr>
          <w:szCs w:val="18"/>
        </w:rPr>
      </w:pPr>
      <w:r w:rsidRPr="00F7531C">
        <w:rPr>
          <w:rStyle w:val="FootnoteReference"/>
          <w:szCs w:val="18"/>
        </w:rPr>
        <w:footnoteRef/>
      </w:r>
      <w:r w:rsidRPr="00F7531C">
        <w:rPr>
          <w:szCs w:val="18"/>
        </w:rPr>
        <w:t xml:space="preserve"> “Indonesia: Stop Raids on Homes of ‘Suspected Lesbians’</w:t>
      </w:r>
      <w:r w:rsidR="007C273C">
        <w:rPr>
          <w:szCs w:val="18"/>
        </w:rPr>
        <w:t>,</w:t>
      </w:r>
      <w:r w:rsidRPr="00F7531C">
        <w:rPr>
          <w:szCs w:val="18"/>
        </w:rPr>
        <w:t xml:space="preserve">” Human Rights Watch news release, September 5, 2017, </w:t>
      </w:r>
      <w:hyperlink r:id="rId19" w:history="1">
        <w:r w:rsidRPr="00F7531C">
          <w:rPr>
            <w:rStyle w:val="Hyperlink"/>
            <w:szCs w:val="18"/>
          </w:rPr>
          <w:t>https://www.hrw.org/news/2017/09/05/indonesia-stop-raids-homes-suspected-lesbians</w:t>
        </w:r>
      </w:hyperlink>
      <w:r w:rsidRPr="00F7531C">
        <w:rPr>
          <w:szCs w:val="18"/>
        </w:rPr>
        <w:t xml:space="preserve">. </w:t>
      </w:r>
    </w:p>
  </w:footnote>
  <w:footnote w:id="25">
    <w:p w14:paraId="59411666" w14:textId="379C4F75" w:rsidR="002C32E8" w:rsidRPr="00F7531C" w:rsidRDefault="002C32E8">
      <w:pPr>
        <w:pStyle w:val="FootnoteText"/>
        <w:rPr>
          <w:szCs w:val="18"/>
        </w:rPr>
      </w:pPr>
      <w:r w:rsidRPr="00F7531C">
        <w:rPr>
          <w:rStyle w:val="FootnoteReference"/>
          <w:szCs w:val="18"/>
        </w:rPr>
        <w:footnoteRef/>
      </w:r>
      <w:r w:rsidRPr="00F7531C">
        <w:rPr>
          <w:szCs w:val="18"/>
        </w:rPr>
        <w:t xml:space="preserve"> Kyle Knight, “Vigilantes Stalk Indonesian Transgender Women,” Human Rights Watch dispatch, December 18, 2018, </w:t>
      </w:r>
      <w:hyperlink r:id="rId20" w:history="1">
        <w:r w:rsidRPr="00F7531C">
          <w:rPr>
            <w:rStyle w:val="Hyperlink"/>
            <w:szCs w:val="18"/>
          </w:rPr>
          <w:t>https://www.hrw.org/news/2017/12/18/vigilantes-stalk-indonesian-transgender-women</w:t>
        </w:r>
      </w:hyperlink>
      <w:r w:rsidRPr="00F7531C">
        <w:rPr>
          <w:szCs w:val="18"/>
        </w:rPr>
        <w:t xml:space="preserve">. </w:t>
      </w:r>
    </w:p>
  </w:footnote>
  <w:footnote w:id="26">
    <w:p w14:paraId="18E492FD" w14:textId="77777777" w:rsidR="00373A2A" w:rsidRPr="00F7531C" w:rsidRDefault="00373A2A" w:rsidP="00373A2A">
      <w:pPr>
        <w:pStyle w:val="FootnoteText"/>
        <w:rPr>
          <w:szCs w:val="18"/>
        </w:rPr>
      </w:pPr>
      <w:r w:rsidRPr="00F7531C">
        <w:rPr>
          <w:rStyle w:val="FootnoteReference"/>
          <w:szCs w:val="18"/>
        </w:rPr>
        <w:footnoteRef/>
      </w:r>
      <w:r w:rsidRPr="00F7531C">
        <w:rPr>
          <w:szCs w:val="18"/>
        </w:rPr>
        <w:t xml:space="preserve"> Andreas Harsono, “Indonesian Police Harass Transgender Women,” Human Rights Watch dispatch, November 8, 2018, </w:t>
      </w:r>
      <w:hyperlink r:id="rId21" w:history="1">
        <w:r w:rsidRPr="00F7531C">
          <w:rPr>
            <w:rStyle w:val="Hyperlink"/>
            <w:szCs w:val="18"/>
          </w:rPr>
          <w:t>https://www.hrw.org/news/2018/11/08/indonesian-police-harass-transgender-women</w:t>
        </w:r>
      </w:hyperlink>
      <w:r w:rsidRPr="00F7531C">
        <w:rPr>
          <w:szCs w:val="18"/>
        </w:rPr>
        <w:t xml:space="preserve">. </w:t>
      </w:r>
    </w:p>
  </w:footnote>
  <w:footnote w:id="27">
    <w:p w14:paraId="13E7BD58" w14:textId="77777777" w:rsidR="00373A2A" w:rsidRPr="00F7531C" w:rsidRDefault="00373A2A" w:rsidP="00373A2A">
      <w:pPr>
        <w:pStyle w:val="FootnoteText"/>
        <w:rPr>
          <w:szCs w:val="18"/>
        </w:rPr>
      </w:pPr>
      <w:r w:rsidRPr="00F7531C">
        <w:rPr>
          <w:rStyle w:val="FootnoteReference"/>
          <w:szCs w:val="18"/>
        </w:rPr>
        <w:footnoteRef/>
      </w:r>
      <w:r w:rsidRPr="00F7531C">
        <w:rPr>
          <w:szCs w:val="18"/>
        </w:rPr>
        <w:t xml:space="preserve"> “Indonesia: Fresh Wave of Anti-LGBT Rhetoric, Arrests,” Human Rights Watch news release, October 29, 2018, </w:t>
      </w:r>
      <w:hyperlink r:id="rId22" w:history="1">
        <w:r w:rsidRPr="00F7531C">
          <w:rPr>
            <w:rStyle w:val="Hyperlink"/>
            <w:szCs w:val="18"/>
          </w:rPr>
          <w:t>https://www.hrw.org/news/2018/10/29/indonesia-fresh-wave-anti-lgbt-rhetoric-arrests</w:t>
        </w:r>
      </w:hyperlink>
      <w:r w:rsidRPr="00F7531C">
        <w:rPr>
          <w:szCs w:val="18"/>
        </w:rPr>
        <w:t xml:space="preserve">. </w:t>
      </w:r>
    </w:p>
  </w:footnote>
  <w:footnote w:id="28">
    <w:p w14:paraId="3C578CBF" w14:textId="77777777" w:rsidR="00373A2A" w:rsidRPr="00F7531C" w:rsidRDefault="00373A2A" w:rsidP="00373A2A">
      <w:pPr>
        <w:pStyle w:val="FootnoteText"/>
        <w:rPr>
          <w:szCs w:val="18"/>
        </w:rPr>
      </w:pPr>
      <w:r w:rsidRPr="00F7531C">
        <w:rPr>
          <w:rStyle w:val="FootnoteReference"/>
          <w:szCs w:val="18"/>
        </w:rPr>
        <w:footnoteRef/>
      </w:r>
      <w:r w:rsidRPr="00F7531C">
        <w:rPr>
          <w:szCs w:val="18"/>
        </w:rPr>
        <w:t xml:space="preserve"> “Indonesia: Draft Criminal Code Disastrous for Rights,” Human Rights Watch news release, September 18, 2019, </w:t>
      </w:r>
      <w:hyperlink r:id="rId23" w:history="1">
        <w:r w:rsidRPr="00F7531C">
          <w:rPr>
            <w:rStyle w:val="Hyperlink"/>
            <w:szCs w:val="18"/>
          </w:rPr>
          <w:t>https://www.hrw.org/news/2019/09/18/indonesia-draft-criminal-code-disastrous-rights</w:t>
        </w:r>
      </w:hyperlink>
      <w:r w:rsidRPr="00F7531C">
        <w:rPr>
          <w:szCs w:val="18"/>
        </w:rPr>
        <w:t xml:space="preserve">. </w:t>
      </w:r>
    </w:p>
  </w:footnote>
  <w:footnote w:id="29">
    <w:p w14:paraId="42B0AF78" w14:textId="77777777" w:rsidR="005B6C4C" w:rsidRPr="00F7531C" w:rsidRDefault="005B6C4C" w:rsidP="00E24F2C">
      <w:pPr>
        <w:pStyle w:val="FootnoteText"/>
        <w:rPr>
          <w:szCs w:val="18"/>
        </w:rPr>
      </w:pPr>
      <w:r w:rsidRPr="00F7531C">
        <w:rPr>
          <w:rStyle w:val="FootnoteReference"/>
          <w:szCs w:val="18"/>
        </w:rPr>
        <w:footnoteRef/>
      </w:r>
      <w:r w:rsidRPr="00F7531C">
        <w:rPr>
          <w:szCs w:val="18"/>
        </w:rPr>
        <w:t xml:space="preserve"> “Over 37,000 displaced by separatist conflict in Indonesia’s Papua province,” </w:t>
      </w:r>
      <w:r w:rsidRPr="00F7531C">
        <w:rPr>
          <w:i/>
          <w:iCs/>
          <w:szCs w:val="18"/>
        </w:rPr>
        <w:t xml:space="preserve">Agencia EFE, </w:t>
      </w:r>
      <w:r w:rsidRPr="00F7531C">
        <w:rPr>
          <w:szCs w:val="18"/>
        </w:rPr>
        <w:t xml:space="preserve">April 3, 2019, </w:t>
      </w:r>
      <w:hyperlink r:id="rId24" w:history="1">
        <w:r w:rsidRPr="00F7531C">
          <w:rPr>
            <w:rStyle w:val="Hyperlink"/>
            <w:szCs w:val="18"/>
          </w:rPr>
          <w:t>https://www.efe.com/efe/english/agencia-efe/over-37-000-displaced-by-separatist-conflict-in-indonesia-s-papua-province/50000270-3943024</w:t>
        </w:r>
      </w:hyperlink>
    </w:p>
    <w:p w14:paraId="0F486CA2" w14:textId="77777777" w:rsidR="005B6C4C" w:rsidRPr="00F7531C" w:rsidRDefault="005B6C4C" w:rsidP="00E24F2C">
      <w:pPr>
        <w:pStyle w:val="FootnoteText"/>
        <w:rPr>
          <w:i/>
          <w:iCs/>
          <w:szCs w:val="18"/>
        </w:rPr>
      </w:pPr>
      <w:r w:rsidRPr="00F7531C">
        <w:rPr>
          <w:szCs w:val="18"/>
        </w:rPr>
        <w:t xml:space="preserve">“Hundreds of students flee violence in Papua,” </w:t>
      </w:r>
      <w:r w:rsidRPr="00F7531C">
        <w:rPr>
          <w:i/>
          <w:iCs/>
          <w:szCs w:val="18"/>
        </w:rPr>
        <w:t xml:space="preserve">The Jakarta Post, </w:t>
      </w:r>
      <w:r w:rsidRPr="00F7531C">
        <w:rPr>
          <w:szCs w:val="18"/>
        </w:rPr>
        <w:t xml:space="preserve">February 20, 2019, </w:t>
      </w:r>
      <w:hyperlink r:id="rId25" w:history="1">
        <w:r w:rsidRPr="00F7531C">
          <w:rPr>
            <w:rStyle w:val="Hyperlink"/>
            <w:szCs w:val="18"/>
          </w:rPr>
          <w:t>https://www.thejakartapost.com/news/2019/02/20/hundreds-of-students-flee-violence-in-papua.html</w:t>
        </w:r>
      </w:hyperlink>
      <w:r w:rsidRPr="00F7531C">
        <w:rPr>
          <w:i/>
          <w:iCs/>
          <w:szCs w:val="18"/>
        </w:rPr>
        <w:t xml:space="preserve"> </w:t>
      </w:r>
    </w:p>
  </w:footnote>
  <w:footnote w:id="30">
    <w:p w14:paraId="687C34C0" w14:textId="77777777" w:rsidR="005B6C4C" w:rsidRPr="00F7531C" w:rsidRDefault="005B6C4C" w:rsidP="00E24F2C">
      <w:pPr>
        <w:contextualSpacing/>
        <w:jc w:val="both"/>
        <w:rPr>
          <w:rFonts w:ascii="MetaPro-Norm" w:hAnsi="MetaPro-Norm"/>
          <w:color w:val="000000" w:themeColor="text1"/>
          <w:sz w:val="18"/>
          <w:szCs w:val="18"/>
        </w:rPr>
      </w:pPr>
      <w:r w:rsidRPr="00F7531C">
        <w:rPr>
          <w:rStyle w:val="FootnoteReference"/>
          <w:rFonts w:ascii="MetaPro-Norm" w:eastAsia="SimSun" w:hAnsi="MetaPro-Norm"/>
          <w:color w:val="000000" w:themeColor="text1"/>
          <w:sz w:val="18"/>
          <w:szCs w:val="18"/>
        </w:rPr>
        <w:footnoteRef/>
      </w:r>
      <w:r w:rsidRPr="00F7531C">
        <w:rPr>
          <w:rFonts w:ascii="MetaPro-Norm" w:hAnsi="MetaPro-Norm"/>
          <w:color w:val="000000" w:themeColor="text1"/>
          <w:sz w:val="18"/>
          <w:szCs w:val="18"/>
        </w:rPr>
        <w:t xml:space="preserve"> UN Committee on the Elimination of Discrimination against Women, General Recommendation No. 30, Access to Education, U.N Doc. CEDAW/C/GC/30 (2013), para. 48.</w:t>
      </w:r>
    </w:p>
  </w:footnote>
  <w:footnote w:id="31">
    <w:p w14:paraId="0000A8E8" w14:textId="1DADD39A" w:rsidR="005B6C4C" w:rsidRPr="00F7531C" w:rsidRDefault="005B6C4C" w:rsidP="00E24F2C">
      <w:pPr>
        <w:pStyle w:val="FootnoteText"/>
        <w:rPr>
          <w:szCs w:val="18"/>
        </w:rPr>
      </w:pPr>
      <w:r w:rsidRPr="00F7531C">
        <w:rPr>
          <w:rStyle w:val="FootnoteReference"/>
          <w:szCs w:val="18"/>
        </w:rPr>
        <w:footnoteRef/>
      </w:r>
      <w:r w:rsidRPr="00F7531C">
        <w:rPr>
          <w:szCs w:val="18"/>
        </w:rPr>
        <w:t xml:space="preserve"> Information provided by the Global Coalition to Protect Education </w:t>
      </w:r>
      <w:r w:rsidR="0050170B" w:rsidRPr="00F7531C">
        <w:rPr>
          <w:szCs w:val="18"/>
        </w:rPr>
        <w:t>f</w:t>
      </w:r>
      <w:r w:rsidRPr="00F7531C">
        <w:rPr>
          <w:szCs w:val="18"/>
        </w:rPr>
        <w:t xml:space="preserve">rom Attack. </w:t>
      </w:r>
    </w:p>
  </w:footnote>
  <w:footnote w:id="32">
    <w:p w14:paraId="452FC165" w14:textId="77777777" w:rsidR="005B6C4C" w:rsidRPr="00F7531C" w:rsidRDefault="005B6C4C" w:rsidP="00E24F2C">
      <w:pPr>
        <w:pStyle w:val="NoSpacing"/>
        <w:rPr>
          <w:rFonts w:ascii="MetaPro-Norm" w:hAnsi="MetaPro-Norm"/>
          <w:color w:val="000000" w:themeColor="text1"/>
          <w:sz w:val="18"/>
          <w:szCs w:val="18"/>
        </w:rPr>
      </w:pPr>
      <w:r w:rsidRPr="00F7531C">
        <w:rPr>
          <w:rStyle w:val="FootnoteReference"/>
          <w:rFonts w:ascii="MetaPro-Norm" w:hAnsi="MetaPro-Norm"/>
          <w:color w:val="000000" w:themeColor="text1"/>
          <w:sz w:val="18"/>
          <w:szCs w:val="18"/>
        </w:rPr>
        <w:footnoteRef/>
      </w:r>
      <w:r w:rsidRPr="00F7531C">
        <w:rPr>
          <w:rFonts w:ascii="MetaPro-Norm" w:hAnsi="MetaPro-Norm"/>
          <w:color w:val="000000" w:themeColor="text1"/>
          <w:sz w:val="18"/>
          <w:szCs w:val="18"/>
        </w:rPr>
        <w:t xml:space="preserve"> United Nations Infantry Battalion Manual, 2012, section 2.13, “Schools shall not be used by the military in their operations.”</w:t>
      </w:r>
    </w:p>
  </w:footnote>
  <w:footnote w:id="33">
    <w:p w14:paraId="541B0C7E" w14:textId="21258CBD" w:rsidR="005B6C4C" w:rsidRPr="00F7531C" w:rsidRDefault="005B6C4C" w:rsidP="00E24F2C">
      <w:pPr>
        <w:pStyle w:val="NoSpacing"/>
        <w:rPr>
          <w:rFonts w:ascii="MetaPro-Norm" w:hAnsi="MetaPro-Norm"/>
          <w:color w:val="000000" w:themeColor="text1"/>
          <w:sz w:val="18"/>
          <w:szCs w:val="18"/>
        </w:rPr>
      </w:pPr>
      <w:r w:rsidRPr="00F7531C">
        <w:rPr>
          <w:rStyle w:val="FootnoteReference"/>
          <w:rFonts w:ascii="MetaPro-Norm" w:hAnsi="MetaPro-Norm"/>
          <w:color w:val="000000" w:themeColor="text1"/>
          <w:sz w:val="18"/>
          <w:szCs w:val="18"/>
        </w:rPr>
        <w:footnoteRef/>
      </w:r>
      <w:r w:rsidRPr="00F7531C">
        <w:rPr>
          <w:rFonts w:ascii="MetaPro-Norm" w:hAnsi="MetaPro-Norm"/>
          <w:color w:val="000000" w:themeColor="text1"/>
          <w:sz w:val="18"/>
          <w:szCs w:val="18"/>
        </w:rPr>
        <w:t xml:space="preserve"> Safe Schools Declaration, May 28, 2015, </w:t>
      </w:r>
      <w:hyperlink r:id="rId26" w:history="1">
        <w:r w:rsidR="000F211C" w:rsidRPr="00DC55A0">
          <w:rPr>
            <w:rStyle w:val="Hyperlink"/>
            <w:rFonts w:ascii="MetaPro-Norm" w:hAnsi="MetaPro-Norm"/>
            <w:sz w:val="18"/>
            <w:szCs w:val="18"/>
          </w:rPr>
          <w:t>https://www.regjeringen.no/globalassets/departementene/ud/vedlegg/utvikling/safe_schools_declaration.pdf</w:t>
        </w:r>
      </w:hyperlink>
      <w:r w:rsidR="000F211C">
        <w:rPr>
          <w:rFonts w:ascii="MetaPro-Norm" w:hAnsi="MetaPro-Norm"/>
          <w:sz w:val="18"/>
          <w:szCs w:val="18"/>
        </w:rPr>
        <w:br/>
      </w:r>
      <w:r w:rsidRPr="00F7531C">
        <w:rPr>
          <w:rFonts w:ascii="MetaPro-Norm" w:hAnsi="MetaPro-Norm"/>
          <w:color w:val="000000" w:themeColor="text1"/>
          <w:sz w:val="18"/>
          <w:szCs w:val="18"/>
        </w:rPr>
        <w:t>(accessed January 23, 2020).</w:t>
      </w:r>
    </w:p>
  </w:footnote>
  <w:footnote w:id="34">
    <w:p w14:paraId="2CBB1E95" w14:textId="44FABAEF" w:rsidR="005B6C4C" w:rsidRPr="00F7531C" w:rsidRDefault="005B6C4C" w:rsidP="00E24F2C">
      <w:pPr>
        <w:pStyle w:val="NoSpacing"/>
        <w:rPr>
          <w:rFonts w:ascii="MetaPro-Norm" w:hAnsi="MetaPro-Norm"/>
          <w:color w:val="000000" w:themeColor="text1"/>
          <w:sz w:val="18"/>
          <w:szCs w:val="18"/>
        </w:rPr>
      </w:pPr>
      <w:r w:rsidRPr="00F7531C">
        <w:rPr>
          <w:rStyle w:val="FootnoteReference"/>
          <w:rFonts w:ascii="MetaPro-Norm" w:hAnsi="MetaPro-Norm"/>
          <w:color w:val="000000" w:themeColor="text1"/>
          <w:sz w:val="18"/>
          <w:szCs w:val="18"/>
        </w:rPr>
        <w:footnoteRef/>
      </w:r>
      <w:r w:rsidRPr="00F7531C">
        <w:rPr>
          <w:rFonts w:ascii="MetaPro-Norm" w:hAnsi="MetaPro-Norm"/>
          <w:color w:val="000000" w:themeColor="text1"/>
          <w:sz w:val="18"/>
          <w:szCs w:val="18"/>
        </w:rPr>
        <w:t xml:space="preserve"> Guidelines for Protecting Schools and Universities from Military Use during Armed Conflict, March 18, 2014, </w:t>
      </w:r>
      <w:hyperlink r:id="rId27" w:history="1">
        <w:r w:rsidR="000F211C" w:rsidRPr="00DC55A0">
          <w:rPr>
            <w:rStyle w:val="Hyperlink"/>
            <w:rFonts w:ascii="MetaPro-Norm" w:hAnsi="MetaPro-Norm"/>
            <w:sz w:val="18"/>
            <w:szCs w:val="18"/>
          </w:rPr>
          <w:t>http://protectingeducation.org/sites/default/files/documents/guidelines_en.pdf</w:t>
        </w:r>
      </w:hyperlink>
      <w:r w:rsidR="000F211C">
        <w:rPr>
          <w:rFonts w:ascii="MetaPro-Norm" w:hAnsi="MetaPro-Norm"/>
          <w:sz w:val="18"/>
          <w:szCs w:val="18"/>
        </w:rPr>
        <w:t xml:space="preserve"> </w:t>
      </w:r>
      <w:r w:rsidRPr="00F7531C">
        <w:rPr>
          <w:rFonts w:ascii="MetaPro-Norm" w:hAnsi="MetaPro-Norm"/>
          <w:color w:val="000000" w:themeColor="text1"/>
          <w:sz w:val="18"/>
          <w:szCs w:val="18"/>
        </w:rPr>
        <w:t>(accessed January 23,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25F81"/>
    <w:multiLevelType w:val="hybridMultilevel"/>
    <w:tmpl w:val="2E027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9E16F9A"/>
    <w:multiLevelType w:val="hybridMultilevel"/>
    <w:tmpl w:val="D9C4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82C51"/>
    <w:multiLevelType w:val="hybridMultilevel"/>
    <w:tmpl w:val="A69C1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8A50F9"/>
    <w:multiLevelType w:val="hybridMultilevel"/>
    <w:tmpl w:val="0A9C60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A15CE"/>
    <w:multiLevelType w:val="hybridMultilevel"/>
    <w:tmpl w:val="6E40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296"/>
    <w:rsid w:val="00013B64"/>
    <w:rsid w:val="00026B25"/>
    <w:rsid w:val="000312C5"/>
    <w:rsid w:val="00034578"/>
    <w:rsid w:val="000402DC"/>
    <w:rsid w:val="0004239D"/>
    <w:rsid w:val="00047BED"/>
    <w:rsid w:val="00053F1E"/>
    <w:rsid w:val="000603D4"/>
    <w:rsid w:val="0007003D"/>
    <w:rsid w:val="00091F5F"/>
    <w:rsid w:val="000A5AD6"/>
    <w:rsid w:val="000B257C"/>
    <w:rsid w:val="000B3265"/>
    <w:rsid w:val="000C2224"/>
    <w:rsid w:val="000D1520"/>
    <w:rsid w:val="000D5D31"/>
    <w:rsid w:val="000E5797"/>
    <w:rsid w:val="000F211C"/>
    <w:rsid w:val="000F65F5"/>
    <w:rsid w:val="000F75F3"/>
    <w:rsid w:val="001013B6"/>
    <w:rsid w:val="00165546"/>
    <w:rsid w:val="00182551"/>
    <w:rsid w:val="00197C92"/>
    <w:rsid w:val="001B3BF6"/>
    <w:rsid w:val="001B6251"/>
    <w:rsid w:val="001D5C18"/>
    <w:rsid w:val="001E6A5B"/>
    <w:rsid w:val="001F28A1"/>
    <w:rsid w:val="001F4930"/>
    <w:rsid w:val="00204C4F"/>
    <w:rsid w:val="002130E7"/>
    <w:rsid w:val="00213DF1"/>
    <w:rsid w:val="002312F7"/>
    <w:rsid w:val="00234AF6"/>
    <w:rsid w:val="00244E70"/>
    <w:rsid w:val="00246B8E"/>
    <w:rsid w:val="002549F1"/>
    <w:rsid w:val="002621AF"/>
    <w:rsid w:val="00267C54"/>
    <w:rsid w:val="00274551"/>
    <w:rsid w:val="00292B2C"/>
    <w:rsid w:val="00294347"/>
    <w:rsid w:val="00294B55"/>
    <w:rsid w:val="002A31D1"/>
    <w:rsid w:val="002B1A3F"/>
    <w:rsid w:val="002B274B"/>
    <w:rsid w:val="002B49FF"/>
    <w:rsid w:val="002C2C66"/>
    <w:rsid w:val="002C32E8"/>
    <w:rsid w:val="002C5D9B"/>
    <w:rsid w:val="002D7C1E"/>
    <w:rsid w:val="002F35A7"/>
    <w:rsid w:val="00304B8D"/>
    <w:rsid w:val="003072D3"/>
    <w:rsid w:val="00312877"/>
    <w:rsid w:val="00314959"/>
    <w:rsid w:val="00330D2C"/>
    <w:rsid w:val="0033250E"/>
    <w:rsid w:val="00337EF3"/>
    <w:rsid w:val="0034671B"/>
    <w:rsid w:val="003538D7"/>
    <w:rsid w:val="0036127C"/>
    <w:rsid w:val="00362F34"/>
    <w:rsid w:val="00370308"/>
    <w:rsid w:val="00373A2A"/>
    <w:rsid w:val="00386851"/>
    <w:rsid w:val="00387753"/>
    <w:rsid w:val="003976F1"/>
    <w:rsid w:val="003A4B6A"/>
    <w:rsid w:val="003B301C"/>
    <w:rsid w:val="00407201"/>
    <w:rsid w:val="00407F2A"/>
    <w:rsid w:val="0041210D"/>
    <w:rsid w:val="00420FDA"/>
    <w:rsid w:val="00430221"/>
    <w:rsid w:val="00431809"/>
    <w:rsid w:val="00451392"/>
    <w:rsid w:val="004611D1"/>
    <w:rsid w:val="0048764D"/>
    <w:rsid w:val="00492296"/>
    <w:rsid w:val="004978F0"/>
    <w:rsid w:val="004979FA"/>
    <w:rsid w:val="004B1C38"/>
    <w:rsid w:val="004D704C"/>
    <w:rsid w:val="0050170B"/>
    <w:rsid w:val="00504307"/>
    <w:rsid w:val="005134BD"/>
    <w:rsid w:val="00521104"/>
    <w:rsid w:val="00522548"/>
    <w:rsid w:val="00540B39"/>
    <w:rsid w:val="00551C32"/>
    <w:rsid w:val="00555061"/>
    <w:rsid w:val="005645A3"/>
    <w:rsid w:val="005759F5"/>
    <w:rsid w:val="00581B12"/>
    <w:rsid w:val="005B6C4C"/>
    <w:rsid w:val="005D504C"/>
    <w:rsid w:val="005E1DEF"/>
    <w:rsid w:val="005F4A6A"/>
    <w:rsid w:val="00610224"/>
    <w:rsid w:val="006106A3"/>
    <w:rsid w:val="00614793"/>
    <w:rsid w:val="00625F77"/>
    <w:rsid w:val="0063213A"/>
    <w:rsid w:val="0066406D"/>
    <w:rsid w:val="00691FE6"/>
    <w:rsid w:val="006B198D"/>
    <w:rsid w:val="006B5265"/>
    <w:rsid w:val="006F5427"/>
    <w:rsid w:val="006F7E23"/>
    <w:rsid w:val="007249E1"/>
    <w:rsid w:val="00727217"/>
    <w:rsid w:val="00737F60"/>
    <w:rsid w:val="00747E45"/>
    <w:rsid w:val="00757800"/>
    <w:rsid w:val="007613A3"/>
    <w:rsid w:val="00764DC2"/>
    <w:rsid w:val="00770783"/>
    <w:rsid w:val="00772D79"/>
    <w:rsid w:val="00775214"/>
    <w:rsid w:val="00777475"/>
    <w:rsid w:val="007953C2"/>
    <w:rsid w:val="007C273C"/>
    <w:rsid w:val="007C6FEA"/>
    <w:rsid w:val="007C75F5"/>
    <w:rsid w:val="007F3B96"/>
    <w:rsid w:val="007F74C9"/>
    <w:rsid w:val="00803596"/>
    <w:rsid w:val="008062BA"/>
    <w:rsid w:val="00811AC3"/>
    <w:rsid w:val="0081336F"/>
    <w:rsid w:val="0084079B"/>
    <w:rsid w:val="00854206"/>
    <w:rsid w:val="0085753E"/>
    <w:rsid w:val="00863DB8"/>
    <w:rsid w:val="00871DE7"/>
    <w:rsid w:val="008C54FC"/>
    <w:rsid w:val="008C650C"/>
    <w:rsid w:val="008E0246"/>
    <w:rsid w:val="008E7310"/>
    <w:rsid w:val="008F69EB"/>
    <w:rsid w:val="00904AA8"/>
    <w:rsid w:val="00920C47"/>
    <w:rsid w:val="00926D08"/>
    <w:rsid w:val="0093787F"/>
    <w:rsid w:val="00946E65"/>
    <w:rsid w:val="00955547"/>
    <w:rsid w:val="00980AC9"/>
    <w:rsid w:val="009911B4"/>
    <w:rsid w:val="00994F16"/>
    <w:rsid w:val="009A2C36"/>
    <w:rsid w:val="009A7D32"/>
    <w:rsid w:val="009C0974"/>
    <w:rsid w:val="009D205B"/>
    <w:rsid w:val="009D7D4B"/>
    <w:rsid w:val="009F4CD9"/>
    <w:rsid w:val="00A06485"/>
    <w:rsid w:val="00A2666D"/>
    <w:rsid w:val="00A327FE"/>
    <w:rsid w:val="00A72938"/>
    <w:rsid w:val="00A802BF"/>
    <w:rsid w:val="00A967A5"/>
    <w:rsid w:val="00AA1195"/>
    <w:rsid w:val="00AA4321"/>
    <w:rsid w:val="00AA768A"/>
    <w:rsid w:val="00AC5FAD"/>
    <w:rsid w:val="00AD7225"/>
    <w:rsid w:val="00AE3113"/>
    <w:rsid w:val="00AE43F8"/>
    <w:rsid w:val="00AF1AC8"/>
    <w:rsid w:val="00AF3868"/>
    <w:rsid w:val="00B02FF0"/>
    <w:rsid w:val="00B1649C"/>
    <w:rsid w:val="00B16778"/>
    <w:rsid w:val="00B22E2B"/>
    <w:rsid w:val="00B27E24"/>
    <w:rsid w:val="00B32BE1"/>
    <w:rsid w:val="00B503AD"/>
    <w:rsid w:val="00B568C2"/>
    <w:rsid w:val="00B65AFC"/>
    <w:rsid w:val="00B866A0"/>
    <w:rsid w:val="00BA556A"/>
    <w:rsid w:val="00BF6954"/>
    <w:rsid w:val="00BF7840"/>
    <w:rsid w:val="00C034F9"/>
    <w:rsid w:val="00C108A0"/>
    <w:rsid w:val="00C33698"/>
    <w:rsid w:val="00C362D7"/>
    <w:rsid w:val="00C4362C"/>
    <w:rsid w:val="00C47E1B"/>
    <w:rsid w:val="00C51CA0"/>
    <w:rsid w:val="00C86913"/>
    <w:rsid w:val="00CA004E"/>
    <w:rsid w:val="00CB5A56"/>
    <w:rsid w:val="00CC22AF"/>
    <w:rsid w:val="00CC52DC"/>
    <w:rsid w:val="00CD5F85"/>
    <w:rsid w:val="00CF00B9"/>
    <w:rsid w:val="00CF7033"/>
    <w:rsid w:val="00D154F6"/>
    <w:rsid w:val="00D17919"/>
    <w:rsid w:val="00D20A81"/>
    <w:rsid w:val="00D219B0"/>
    <w:rsid w:val="00D27F48"/>
    <w:rsid w:val="00D325FE"/>
    <w:rsid w:val="00D43444"/>
    <w:rsid w:val="00D449C7"/>
    <w:rsid w:val="00D4690A"/>
    <w:rsid w:val="00D47C3D"/>
    <w:rsid w:val="00D47F49"/>
    <w:rsid w:val="00D54312"/>
    <w:rsid w:val="00D62F45"/>
    <w:rsid w:val="00D8131E"/>
    <w:rsid w:val="00DA414C"/>
    <w:rsid w:val="00DA439C"/>
    <w:rsid w:val="00DA5E29"/>
    <w:rsid w:val="00DC1D41"/>
    <w:rsid w:val="00DC665F"/>
    <w:rsid w:val="00DD2505"/>
    <w:rsid w:val="00DF7BC9"/>
    <w:rsid w:val="00E079EC"/>
    <w:rsid w:val="00E24F2C"/>
    <w:rsid w:val="00E27CAF"/>
    <w:rsid w:val="00E37F97"/>
    <w:rsid w:val="00E57CD1"/>
    <w:rsid w:val="00E65AA7"/>
    <w:rsid w:val="00E73AEB"/>
    <w:rsid w:val="00E80690"/>
    <w:rsid w:val="00E83BCE"/>
    <w:rsid w:val="00E86298"/>
    <w:rsid w:val="00E875E3"/>
    <w:rsid w:val="00E94B45"/>
    <w:rsid w:val="00E95AA6"/>
    <w:rsid w:val="00EA0CEB"/>
    <w:rsid w:val="00EB0859"/>
    <w:rsid w:val="00ED24E5"/>
    <w:rsid w:val="00ED4938"/>
    <w:rsid w:val="00EF00C8"/>
    <w:rsid w:val="00F06647"/>
    <w:rsid w:val="00F3366D"/>
    <w:rsid w:val="00F4013A"/>
    <w:rsid w:val="00F515D2"/>
    <w:rsid w:val="00F61C9D"/>
    <w:rsid w:val="00F7531C"/>
    <w:rsid w:val="00F936C3"/>
    <w:rsid w:val="00F951E2"/>
    <w:rsid w:val="00FC07BB"/>
    <w:rsid w:val="00FC4467"/>
    <w:rsid w:val="00FE3694"/>
    <w:rsid w:val="00FE60A7"/>
    <w:rsid w:val="00FF1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35835"/>
  <w15:chartTrackingRefBased/>
  <w15:docId w15:val="{AAEF301B-C0A2-48DD-A8EF-DBF5BCA7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2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2296"/>
    <w:pPr>
      <w:suppressAutoHyphens/>
      <w:spacing w:after="0" w:line="240" w:lineRule="auto"/>
    </w:pPr>
    <w:rPr>
      <w:rFonts w:cs="Times New Roman"/>
      <w:lang w:val="en-GB"/>
    </w:rPr>
  </w:style>
  <w:style w:type="paragraph" w:styleId="ListParagraph">
    <w:name w:val="List Paragraph"/>
    <w:basedOn w:val="Normal"/>
    <w:uiPriority w:val="34"/>
    <w:qFormat/>
    <w:rsid w:val="009911B4"/>
    <w:pPr>
      <w:spacing w:after="160" w:line="259" w:lineRule="auto"/>
      <w:ind w:left="720"/>
      <w:contextualSpacing/>
    </w:pPr>
    <w:rPr>
      <w:rFonts w:asciiTheme="minorHAnsi" w:eastAsiaTheme="minorHAnsi" w:hAnsiTheme="minorHAnsi" w:cstheme="minorBidi"/>
      <w:sz w:val="22"/>
      <w:szCs w:val="22"/>
      <w:lang w:val="en-GB"/>
    </w:rPr>
  </w:style>
  <w:style w:type="paragraph" w:styleId="NormalWeb">
    <w:name w:val="Normal (Web)"/>
    <w:basedOn w:val="Normal"/>
    <w:uiPriority w:val="99"/>
    <w:unhideWhenUsed/>
    <w:rsid w:val="009911B4"/>
    <w:pPr>
      <w:spacing w:before="100" w:beforeAutospacing="1" w:after="100" w:afterAutospacing="1"/>
    </w:pPr>
  </w:style>
  <w:style w:type="character" w:styleId="FootnoteReference">
    <w:name w:val="footnote reference"/>
    <w:aliases w:val="4_G"/>
    <w:basedOn w:val="DefaultParagraphFont"/>
    <w:uiPriority w:val="99"/>
    <w:unhideWhenUsed/>
    <w:rsid w:val="00854206"/>
    <w:rPr>
      <w:vertAlign w:val="superscript"/>
    </w:rPr>
  </w:style>
  <w:style w:type="paragraph" w:styleId="BalloonText">
    <w:name w:val="Balloon Text"/>
    <w:basedOn w:val="Normal"/>
    <w:link w:val="BalloonTextChar"/>
    <w:uiPriority w:val="99"/>
    <w:semiHidden/>
    <w:unhideWhenUsed/>
    <w:rsid w:val="001B62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51"/>
    <w:rPr>
      <w:rFonts w:ascii="Segoe UI" w:eastAsia="Times New Roman" w:hAnsi="Segoe UI" w:cs="Segoe UI"/>
      <w:sz w:val="18"/>
      <w:szCs w:val="18"/>
    </w:rPr>
  </w:style>
  <w:style w:type="character" w:styleId="Hyperlink">
    <w:name w:val="Hyperlink"/>
    <w:uiPriority w:val="99"/>
    <w:qFormat/>
    <w:rsid w:val="001B6251"/>
    <w:rPr>
      <w:color w:val="0000FF"/>
      <w:u w:val="single"/>
    </w:rPr>
  </w:style>
  <w:style w:type="paragraph" w:styleId="FootnoteText">
    <w:name w:val="footnote text"/>
    <w:basedOn w:val="Normal"/>
    <w:link w:val="FootnoteTextChar"/>
    <w:uiPriority w:val="99"/>
    <w:rsid w:val="001B6251"/>
    <w:pPr>
      <w:spacing w:after="40"/>
    </w:pPr>
    <w:rPr>
      <w:rFonts w:ascii="MetaPro-Norm" w:eastAsia="SimSun" w:hAnsi="MetaPro-Norm"/>
      <w:sz w:val="18"/>
      <w:szCs w:val="20"/>
      <w:lang w:eastAsia="zh-CN"/>
    </w:rPr>
  </w:style>
  <w:style w:type="character" w:customStyle="1" w:styleId="FootnoteTextChar">
    <w:name w:val="Footnote Text Char"/>
    <w:basedOn w:val="DefaultParagraphFont"/>
    <w:link w:val="FootnoteText"/>
    <w:uiPriority w:val="99"/>
    <w:rsid w:val="001B6251"/>
    <w:rPr>
      <w:rFonts w:ascii="MetaPro-Norm" w:eastAsia="SimSun" w:hAnsi="MetaPro-Norm" w:cs="Times New Roman"/>
      <w:sz w:val="18"/>
      <w:szCs w:val="20"/>
      <w:lang w:eastAsia="zh-CN"/>
    </w:rPr>
  </w:style>
  <w:style w:type="character" w:styleId="CommentReference">
    <w:name w:val="annotation reference"/>
    <w:basedOn w:val="DefaultParagraphFont"/>
    <w:unhideWhenUsed/>
    <w:rsid w:val="001B6251"/>
    <w:rPr>
      <w:sz w:val="16"/>
      <w:szCs w:val="16"/>
    </w:rPr>
  </w:style>
  <w:style w:type="paragraph" w:styleId="CommentText">
    <w:name w:val="annotation text"/>
    <w:basedOn w:val="Normal"/>
    <w:link w:val="CommentTextChar"/>
    <w:unhideWhenUsed/>
    <w:rsid w:val="001B6251"/>
    <w:pPr>
      <w:jc w:val="both"/>
    </w:pPr>
    <w:rPr>
      <w:rFonts w:ascii="Arial" w:hAnsi="Arial"/>
      <w:sz w:val="20"/>
      <w:szCs w:val="20"/>
      <w:lang w:val="en-AU"/>
    </w:rPr>
  </w:style>
  <w:style w:type="character" w:customStyle="1" w:styleId="CommentTextChar">
    <w:name w:val="Comment Text Char"/>
    <w:basedOn w:val="DefaultParagraphFont"/>
    <w:link w:val="CommentText"/>
    <w:rsid w:val="001B6251"/>
    <w:rPr>
      <w:rFonts w:ascii="Arial" w:eastAsia="Times New Roman" w:hAnsi="Arial" w:cs="Times New Roman"/>
      <w:sz w:val="20"/>
      <w:szCs w:val="20"/>
      <w:lang w:val="en-AU"/>
    </w:rPr>
  </w:style>
  <w:style w:type="character" w:styleId="UnresolvedMention">
    <w:name w:val="Unresolved Mention"/>
    <w:basedOn w:val="DefaultParagraphFont"/>
    <w:uiPriority w:val="99"/>
    <w:semiHidden/>
    <w:unhideWhenUsed/>
    <w:rsid w:val="002C2C6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549F1"/>
    <w:pPr>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2549F1"/>
    <w:rPr>
      <w:rFonts w:ascii="Times New Roman" w:eastAsia="Times New Roman" w:hAnsi="Times New Roman" w:cs="Times New Roman"/>
      <w:b/>
      <w:bCs/>
      <w:sz w:val="20"/>
      <w:szCs w:val="20"/>
      <w:lang w:val="en-AU"/>
    </w:rPr>
  </w:style>
  <w:style w:type="character" w:styleId="FollowedHyperlink">
    <w:name w:val="FollowedHyperlink"/>
    <w:basedOn w:val="DefaultParagraphFont"/>
    <w:uiPriority w:val="99"/>
    <w:semiHidden/>
    <w:unhideWhenUsed/>
    <w:rsid w:val="00770783"/>
    <w:rPr>
      <w:color w:val="954F72" w:themeColor="followedHyperlink"/>
      <w:u w:val="single"/>
    </w:rPr>
  </w:style>
  <w:style w:type="character" w:styleId="Emphasis">
    <w:name w:val="Emphasis"/>
    <w:basedOn w:val="DefaultParagraphFont"/>
    <w:uiPriority w:val="20"/>
    <w:qFormat/>
    <w:rsid w:val="007F3B96"/>
    <w:rPr>
      <w:i/>
      <w:iCs/>
    </w:rPr>
  </w:style>
  <w:style w:type="paragraph" w:styleId="Revision">
    <w:name w:val="Revision"/>
    <w:hidden/>
    <w:uiPriority w:val="99"/>
    <w:semiHidden/>
    <w:rsid w:val="00EB0859"/>
    <w:pPr>
      <w:spacing w:after="0" w:line="240" w:lineRule="auto"/>
    </w:pPr>
    <w:rPr>
      <w:rFonts w:ascii="Times New Roman" w:eastAsia="Times New Roman" w:hAnsi="Times New Roman" w:cs="Times New Roman"/>
      <w:sz w:val="24"/>
      <w:szCs w:val="24"/>
    </w:rPr>
  </w:style>
  <w:style w:type="paragraph" w:customStyle="1" w:styleId="xmsonormal">
    <w:name w:val="x_msonormal"/>
    <w:basedOn w:val="Normal"/>
    <w:rsid w:val="00E24F2C"/>
    <w:rPr>
      <w:rFonts w:ascii="Calibri" w:eastAsiaTheme="minorHAnsi" w:hAnsi="Calibri" w:cs="Calibri"/>
      <w:sz w:val="22"/>
      <w:szCs w:val="22"/>
      <w:lang w:val="en-GB" w:eastAsia="en-GB"/>
    </w:rPr>
  </w:style>
  <w:style w:type="paragraph" w:styleId="Header">
    <w:name w:val="header"/>
    <w:basedOn w:val="Normal"/>
    <w:link w:val="HeaderChar"/>
    <w:uiPriority w:val="99"/>
    <w:unhideWhenUsed/>
    <w:rsid w:val="00CD5F85"/>
    <w:pPr>
      <w:tabs>
        <w:tab w:val="center" w:pos="4680"/>
        <w:tab w:val="right" w:pos="9360"/>
      </w:tabs>
    </w:pPr>
  </w:style>
  <w:style w:type="character" w:customStyle="1" w:styleId="HeaderChar">
    <w:name w:val="Header Char"/>
    <w:basedOn w:val="DefaultParagraphFont"/>
    <w:link w:val="Header"/>
    <w:uiPriority w:val="99"/>
    <w:rsid w:val="00CD5F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5F85"/>
    <w:pPr>
      <w:tabs>
        <w:tab w:val="center" w:pos="4680"/>
        <w:tab w:val="right" w:pos="9360"/>
      </w:tabs>
    </w:pPr>
  </w:style>
  <w:style w:type="character" w:customStyle="1" w:styleId="FooterChar">
    <w:name w:val="Footer Char"/>
    <w:basedOn w:val="DefaultParagraphFont"/>
    <w:link w:val="Footer"/>
    <w:uiPriority w:val="99"/>
    <w:rsid w:val="00CD5F85"/>
    <w:rPr>
      <w:rFonts w:ascii="Times New Roman" w:eastAsia="Times New Roman" w:hAnsi="Times New Roman" w:cs="Times New Roman"/>
      <w:sz w:val="24"/>
      <w:szCs w:val="24"/>
    </w:rPr>
  </w:style>
  <w:style w:type="character" w:styleId="Strong">
    <w:name w:val="Strong"/>
    <w:basedOn w:val="DefaultParagraphFont"/>
    <w:uiPriority w:val="22"/>
    <w:qFormat/>
    <w:rsid w:val="00D20A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833905">
      <w:bodyDiv w:val="1"/>
      <w:marLeft w:val="0"/>
      <w:marRight w:val="0"/>
      <w:marTop w:val="0"/>
      <w:marBottom w:val="0"/>
      <w:divBdr>
        <w:top w:val="none" w:sz="0" w:space="0" w:color="auto"/>
        <w:left w:val="none" w:sz="0" w:space="0" w:color="auto"/>
        <w:bottom w:val="none" w:sz="0" w:space="0" w:color="auto"/>
        <w:right w:val="none" w:sz="0" w:space="0" w:color="auto"/>
      </w:divBdr>
    </w:div>
    <w:div w:id="876046444">
      <w:bodyDiv w:val="1"/>
      <w:marLeft w:val="0"/>
      <w:marRight w:val="0"/>
      <w:marTop w:val="0"/>
      <w:marBottom w:val="0"/>
      <w:divBdr>
        <w:top w:val="none" w:sz="0" w:space="0" w:color="auto"/>
        <w:left w:val="none" w:sz="0" w:space="0" w:color="auto"/>
        <w:bottom w:val="none" w:sz="0" w:space="0" w:color="auto"/>
        <w:right w:val="none" w:sz="0" w:space="0" w:color="auto"/>
      </w:divBdr>
    </w:div>
    <w:div w:id="1168399179">
      <w:bodyDiv w:val="1"/>
      <w:marLeft w:val="0"/>
      <w:marRight w:val="0"/>
      <w:marTop w:val="0"/>
      <w:marBottom w:val="0"/>
      <w:divBdr>
        <w:top w:val="none" w:sz="0" w:space="0" w:color="auto"/>
        <w:left w:val="none" w:sz="0" w:space="0" w:color="auto"/>
        <w:bottom w:val="none" w:sz="0" w:space="0" w:color="auto"/>
        <w:right w:val="none" w:sz="0" w:space="0" w:color="auto"/>
      </w:divBdr>
    </w:div>
    <w:div w:id="119068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rw.org/report/2010/11/30/policing-morality/abuses-application-sharia-aceh-indonesia" TargetMode="External"/><Relationship Id="rId18" Type="http://schemas.openxmlformats.org/officeDocument/2006/relationships/hyperlink" Target="https://reproductive-health-journal.biomedcentral.com/articles/10.1186/s12978-017-0319-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hrw.org/report/2010/11/30/policing-morality/abuses-application-sharia-aceh-indonesia" TargetMode="External"/><Relationship Id="rId17" Type="http://schemas.openxmlformats.org/officeDocument/2006/relationships/hyperlink" Target="https://www.hrw.org/news/2010/12/01/indonesia-local-sharia-laws-violate-rights-aceh" TargetMode="External"/><Relationship Id="rId2" Type="http://schemas.openxmlformats.org/officeDocument/2006/relationships/customXml" Target="../customXml/item2.xml"/><Relationship Id="rId16" Type="http://schemas.openxmlformats.org/officeDocument/2006/relationships/hyperlink" Target="https://www.hrw.org/news/2010/12/01/indonesia-local-sharia-laws-violate-rights-aceh" TargetMode="External"/><Relationship Id="rId20" Type="http://schemas.openxmlformats.org/officeDocument/2006/relationships/hyperlink" Target="https://www.girlsnotbrides.org/child-marriage/indones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hrw.org/news/2010/12/01/indonesia-local-sharia-laws-violate-rights-aceh"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rw.org/news/2015/05/13/indonesia-military-imposing-virginity-tes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w.org/news/2014/10/02/indonesia-acehs-new-islamic-laws-violate-right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hrw.org/en/reports/2010/12/01/policing-morality-0" TargetMode="External"/><Relationship Id="rId13" Type="http://schemas.openxmlformats.org/officeDocument/2006/relationships/hyperlink" Target="https://www.telegraph.co.uk/global-health/women-and-girls/gross-violation-uk-must-demand-end-indonesian-militarys-invasive/" TargetMode="External"/><Relationship Id="rId18" Type="http://schemas.openxmlformats.org/officeDocument/2006/relationships/hyperlink" Target="https://www.hrw.org/report/2019/09/23/when-we-lost-forest-we-lost-everything/oil-palm-plantations-and-rights-violations" TargetMode="External"/><Relationship Id="rId26" Type="http://schemas.openxmlformats.org/officeDocument/2006/relationships/hyperlink" Target="https://www.regjeringen.no/globalassets/departementene/ud/vedlegg/utvikling/safe_schools_declaration.pdf" TargetMode="External"/><Relationship Id="rId3" Type="http://schemas.openxmlformats.org/officeDocument/2006/relationships/hyperlink" Target="https://www.komnasperempuan.go.id/file/pdf_file/Modul%20dan%20Pedoman/PP2_Atas%20Nama%20Otonomi%20Daerah.pdf" TargetMode="External"/><Relationship Id="rId21" Type="http://schemas.openxmlformats.org/officeDocument/2006/relationships/hyperlink" Target="https://www.hrw.org/news/2018/11/08/indonesian-police-harass-transgender-women" TargetMode="External"/><Relationship Id="rId7" Type="http://schemas.openxmlformats.org/officeDocument/2006/relationships/hyperlink" Target="https://regional.kompas.com/read/2017/07/16/23005061/ada-diskriminasi-terhadap-siswi-non-muslim-di-banyuwangi-bupati-anas-marah" TargetMode="External"/><Relationship Id="rId12" Type="http://schemas.openxmlformats.org/officeDocument/2006/relationships/hyperlink" Target="https://www.hrw.org/news/2017/11/22/indonesia-no-end-abusive-virginity-tests" TargetMode="External"/><Relationship Id="rId17" Type="http://schemas.openxmlformats.org/officeDocument/2006/relationships/hyperlink" Target="https://www.hrw.org/news/2018/03/07/indonesia-medical-groups-silent-abusive-virginity-tests" TargetMode="External"/><Relationship Id="rId25" Type="http://schemas.openxmlformats.org/officeDocument/2006/relationships/hyperlink" Target="https://www.thejakartapost.com/news/2019/02/20/hundreds-of-students-flee-violence-in-papua.html" TargetMode="External"/><Relationship Id="rId2" Type="http://schemas.openxmlformats.org/officeDocument/2006/relationships/hyperlink" Target="https://tbinternet.ohchr.org/_layouts/15/treatybodyexternal/Download.aspx?symbolno=CEDAW%2fC%2fPER%2f9&amp;Lang=en" TargetMode="External"/><Relationship Id="rId16" Type="http://schemas.openxmlformats.org/officeDocument/2006/relationships/hyperlink" Target="https://www.scmp.com/week-asia/people/article/3086764/indonesian-honour-killing-brutal-death-schoolgirl-rosmini-darwis" TargetMode="External"/><Relationship Id="rId20" Type="http://schemas.openxmlformats.org/officeDocument/2006/relationships/hyperlink" Target="https://www.hrw.org/news/2017/12/18/vigilantes-stalk-indonesian-transgender-women" TargetMode="External"/><Relationship Id="rId1" Type="http://schemas.openxmlformats.org/officeDocument/2006/relationships/hyperlink" Target="https://tbinternet.ohchr.org/_layouts/15/TreatyBodyExternal/Treaty.aspx?CountryID=80&amp;Lang=EN" TargetMode="External"/><Relationship Id="rId6" Type="http://schemas.openxmlformats.org/officeDocument/2006/relationships/hyperlink" Target="https://www.cnnindonesia.com/nasional/20190208074321-20-367371/ombudsman-minta-revisi-aturan-wajib-jilbab-di-smp-yogyakarta" TargetMode="External"/><Relationship Id="rId11" Type="http://schemas.openxmlformats.org/officeDocument/2006/relationships/hyperlink" Target="https://www.hrw.org/news/2019/09/18/indonesia-draft-criminal-code-disastrous-rights" TargetMode="External"/><Relationship Id="rId24" Type="http://schemas.openxmlformats.org/officeDocument/2006/relationships/hyperlink" Target="https://www.efe.com/efe/english/agencia-efe/over-37-000-displaced-by-separatist-conflict-in-indonesia-s-papua-province/50000270-3943024" TargetMode="External"/><Relationship Id="rId5" Type="http://schemas.openxmlformats.org/officeDocument/2006/relationships/hyperlink" Target="https://www.hrw.org/report/2010/11/30/policing-morality/abuses-application-sharia-aceh-indonesia" TargetMode="External"/><Relationship Id="rId15" Type="http://schemas.openxmlformats.org/officeDocument/2006/relationships/hyperlink" Target="https://apps.who.int/iris/bitstream/handle/10665/275451/WHO-RHR-18.15-eng.pdf?ua=1" TargetMode="External"/><Relationship Id="rId23" Type="http://schemas.openxmlformats.org/officeDocument/2006/relationships/hyperlink" Target="https://www.hrw.org/news/2019/09/18/indonesia-draft-criminal-code-disastrous-rights" TargetMode="External"/><Relationship Id="rId10" Type="http://schemas.openxmlformats.org/officeDocument/2006/relationships/hyperlink" Target="https://www.hrw.org/news/2014/10/02/indonesia-acehs-new-islamic-laws-violate-rights" TargetMode="External"/><Relationship Id="rId19" Type="http://schemas.openxmlformats.org/officeDocument/2006/relationships/hyperlink" Target="https://www.hrw.org/news/2017/09/05/indonesia-stop-raids-homes-suspected-lesbians" TargetMode="External"/><Relationship Id="rId4" Type="http://schemas.openxmlformats.org/officeDocument/2006/relationships/hyperlink" Target="http://simpuh.kemenag.go.id/regulasi/permendikbud_45_14.pdf" TargetMode="External"/><Relationship Id="rId9" Type="http://schemas.openxmlformats.org/officeDocument/2006/relationships/hyperlink" Target="https://www.hrw.org/news/2010/12/01/indonesia-local-sharia-laws-violate-rights-aceh" TargetMode="External"/><Relationship Id="rId14" Type="http://schemas.openxmlformats.org/officeDocument/2006/relationships/hyperlink" Target="https://documents-dds-ny.un.org/doc/UNDOC/GEN/N14/627/78/PDF/N1462778.pdf?OpenElement" TargetMode="External"/><Relationship Id="rId22" Type="http://schemas.openxmlformats.org/officeDocument/2006/relationships/hyperlink" Target="https://www.hrw.org/news/2018/10/29/indonesia-fresh-wave-anti-lgbt-rhetoric-arrests" TargetMode="External"/><Relationship Id="rId27" Type="http://schemas.openxmlformats.org/officeDocument/2006/relationships/hyperlink" Target="http://protectingeducation.org/sites/default/files/documents/guideline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CB51DEAB7BC84380640E7EED41B40D" ma:contentTypeVersion="0" ma:contentTypeDescription="Create a new document." ma:contentTypeScope="" ma:versionID="ec9062e62ff72b96088b5523939f46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34EB5-69CB-4408-950F-EA0E4ABD14B1}">
  <ds:schemaRefs>
    <ds:schemaRef ds:uri="http://schemas.microsoft.com/sharepoint/v3/contenttype/forms"/>
  </ds:schemaRefs>
</ds:datastoreItem>
</file>

<file path=customXml/itemProps2.xml><?xml version="1.0" encoding="utf-8"?>
<ds:datastoreItem xmlns:ds="http://schemas.openxmlformats.org/officeDocument/2006/customXml" ds:itemID="{A3D1A354-BB59-46A9-903E-2FA220A77F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E3F5A5-DC38-4240-BF39-280CDC5AFD82}"/>
</file>

<file path=customXml/itemProps4.xml><?xml version="1.0" encoding="utf-8"?>
<ds:datastoreItem xmlns:ds="http://schemas.openxmlformats.org/officeDocument/2006/customXml" ds:itemID="{C04A30A5-999C-49FC-9723-2415E27AE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2575</Words>
  <Characters>14783</Characters>
  <Application>Microsoft Office Word</Application>
  <DocSecurity>0</DocSecurity>
  <Lines>284</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Harsono</dc:creator>
  <cp:keywords/>
  <dc:description/>
  <cp:lastModifiedBy>Seashia Vang</cp:lastModifiedBy>
  <cp:revision>22</cp:revision>
  <cp:lastPrinted>2020-06-03T08:31:00Z</cp:lastPrinted>
  <dcterms:created xsi:type="dcterms:W3CDTF">2020-06-10T16:50:00Z</dcterms:created>
  <dcterms:modified xsi:type="dcterms:W3CDTF">2020-06-10T18:09:00Z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0x010100A4CB51DEAB7BC84380640E7EED41B40D</vt:lpwstr>
  </property>
</Properties>
</file>