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898D" w14:textId="6F7CE6C4" w:rsidR="001D1040" w:rsidRDefault="001D1040" w:rsidP="009A2DA7">
      <w:pPr>
        <w:rPr>
          <w:rFonts w:ascii="Corbel" w:eastAsia="Times New Roman" w:hAnsi="Corbel" w:cs="Times New Roman"/>
        </w:rPr>
      </w:pPr>
    </w:p>
    <w:p w14:paraId="630B81A7" w14:textId="77777777" w:rsidR="001D1040" w:rsidRPr="00AE19B9" w:rsidRDefault="001D1040" w:rsidP="001D1040">
      <w:pPr>
        <w:jc w:val="both"/>
        <w:rPr>
          <w:rFonts w:ascii="Corbel" w:eastAsia="Times New Roman" w:hAnsi="Corbel" w:cs="Times New Roman"/>
        </w:rPr>
      </w:pPr>
    </w:p>
    <w:p w14:paraId="4B79D6FB" w14:textId="77777777" w:rsidR="001D1040" w:rsidRPr="00AE19B9" w:rsidRDefault="001D1040" w:rsidP="001D1040">
      <w:pPr>
        <w:rPr>
          <w:rFonts w:ascii="Corbel" w:eastAsia="Times New Roman" w:hAnsi="Corbel" w:cs="Times New Roman"/>
        </w:rPr>
      </w:pPr>
    </w:p>
    <w:p w14:paraId="1C3949EE" w14:textId="77777777" w:rsidR="001D1040" w:rsidRPr="00AE19B9" w:rsidRDefault="001D1040" w:rsidP="001D1040">
      <w:pPr>
        <w:rPr>
          <w:rFonts w:ascii="Corbel" w:eastAsia="Times New Roman" w:hAnsi="Corbel" w:cs="Times New Roman"/>
        </w:rPr>
      </w:pPr>
    </w:p>
    <w:p w14:paraId="5CD5F4C5" w14:textId="57D08E2C" w:rsidR="001D1040" w:rsidRDefault="001D1040" w:rsidP="001D1040">
      <w:pPr>
        <w:rPr>
          <w:rFonts w:ascii="Corbel" w:eastAsia="Times New Roman" w:hAnsi="Corbel" w:cs="Times New Roman"/>
        </w:rPr>
      </w:pPr>
    </w:p>
    <w:p w14:paraId="4703D406" w14:textId="2907EC15" w:rsidR="003249CA" w:rsidRDefault="003249CA" w:rsidP="003249CA">
      <w:pPr>
        <w:jc w:val="center"/>
        <w:rPr>
          <w:b/>
          <w:bCs/>
          <w:sz w:val="28"/>
          <w:szCs w:val="28"/>
          <w:lang w:val="en-US"/>
        </w:rPr>
      </w:pPr>
      <w:r w:rsidRPr="003249CA">
        <w:rPr>
          <w:b/>
          <w:bCs/>
          <w:sz w:val="28"/>
          <w:szCs w:val="28"/>
          <w:lang w:val="en-US"/>
        </w:rPr>
        <w:t xml:space="preserve">Submission by Franciscans International </w:t>
      </w:r>
      <w:r w:rsidR="0044646C" w:rsidRPr="39B60A81">
        <w:rPr>
          <w:b/>
          <w:bCs/>
          <w:sz w:val="28"/>
          <w:szCs w:val="28"/>
          <w:lang w:val="en-US"/>
        </w:rPr>
        <w:t xml:space="preserve">(FI) </w:t>
      </w:r>
    </w:p>
    <w:p w14:paraId="4C5006CA" w14:textId="7642F820" w:rsidR="00BF5588" w:rsidRPr="00BF7911" w:rsidRDefault="00AE306E" w:rsidP="003249CA">
      <w:pPr>
        <w:jc w:val="center"/>
        <w:rPr>
          <w:b/>
          <w:bCs/>
          <w:i/>
          <w:iCs/>
          <w:sz w:val="28"/>
          <w:szCs w:val="28"/>
          <w:lang w:val="en-US"/>
        </w:rPr>
      </w:pPr>
      <w:r>
        <w:rPr>
          <w:b/>
          <w:bCs/>
          <w:i/>
          <w:iCs/>
          <w:sz w:val="28"/>
          <w:szCs w:val="28"/>
          <w:lang w:val="en-US"/>
        </w:rPr>
        <w:t>a</w:t>
      </w:r>
      <w:r w:rsidR="000471D8">
        <w:rPr>
          <w:b/>
          <w:bCs/>
          <w:i/>
          <w:iCs/>
          <w:sz w:val="28"/>
          <w:szCs w:val="28"/>
          <w:lang w:val="en-US"/>
        </w:rPr>
        <w:t>nd</w:t>
      </w:r>
    </w:p>
    <w:p w14:paraId="320A34CD" w14:textId="279701B8" w:rsidR="000471D8" w:rsidRPr="0044646C" w:rsidRDefault="000471D8" w:rsidP="003249CA">
      <w:pPr>
        <w:jc w:val="center"/>
        <w:rPr>
          <w:b/>
          <w:bCs/>
          <w:sz w:val="28"/>
          <w:szCs w:val="28"/>
          <w:lang w:val="en-US"/>
        </w:rPr>
      </w:pPr>
      <w:r w:rsidRPr="0044646C">
        <w:rPr>
          <w:b/>
          <w:bCs/>
          <w:sz w:val="28"/>
          <w:szCs w:val="28"/>
          <w:lang w:val="en-US"/>
        </w:rPr>
        <w:t xml:space="preserve">Geneva for Human Rights </w:t>
      </w:r>
      <w:r w:rsidR="0044646C">
        <w:rPr>
          <w:b/>
          <w:bCs/>
          <w:sz w:val="28"/>
          <w:szCs w:val="28"/>
          <w:lang w:val="en-US"/>
        </w:rPr>
        <w:t>(GHR)</w:t>
      </w:r>
    </w:p>
    <w:p w14:paraId="3C1479D9" w14:textId="151D9BFC" w:rsidR="003249CA" w:rsidRPr="003249CA" w:rsidRDefault="003249CA" w:rsidP="003249CA">
      <w:pPr>
        <w:jc w:val="center"/>
        <w:rPr>
          <w:b/>
          <w:bCs/>
          <w:sz w:val="28"/>
          <w:szCs w:val="28"/>
          <w:lang w:val="en-US"/>
        </w:rPr>
      </w:pPr>
    </w:p>
    <w:p w14:paraId="2BF5D59C" w14:textId="11108AF4" w:rsidR="003249CA" w:rsidRPr="003249CA" w:rsidRDefault="003249CA" w:rsidP="003249CA">
      <w:pPr>
        <w:jc w:val="center"/>
        <w:rPr>
          <w:b/>
          <w:bCs/>
          <w:sz w:val="28"/>
          <w:szCs w:val="28"/>
          <w:lang w:val="en-US"/>
        </w:rPr>
      </w:pPr>
    </w:p>
    <w:p w14:paraId="42AF7ED8" w14:textId="77777777" w:rsidR="003249CA" w:rsidRPr="003249CA" w:rsidRDefault="003249CA" w:rsidP="003249CA">
      <w:pPr>
        <w:jc w:val="center"/>
        <w:rPr>
          <w:b/>
          <w:bCs/>
          <w:sz w:val="28"/>
          <w:szCs w:val="28"/>
          <w:lang w:val="en-US"/>
        </w:rPr>
      </w:pPr>
    </w:p>
    <w:p w14:paraId="4112F288" w14:textId="1063D7CE" w:rsidR="0044646C" w:rsidRDefault="007905F1" w:rsidP="003249CA">
      <w:pPr>
        <w:jc w:val="center"/>
        <w:rPr>
          <w:b/>
          <w:bCs/>
          <w:sz w:val="28"/>
          <w:szCs w:val="28"/>
          <w:lang w:val="en-US"/>
        </w:rPr>
      </w:pPr>
      <w:r>
        <w:rPr>
          <w:b/>
          <w:bCs/>
          <w:sz w:val="28"/>
          <w:szCs w:val="28"/>
          <w:lang w:val="en-US"/>
        </w:rPr>
        <w:t>Written contribution for adoption of the list of issues (LOI)</w:t>
      </w:r>
      <w:r w:rsidR="003037B7">
        <w:rPr>
          <w:b/>
          <w:bCs/>
          <w:sz w:val="28"/>
          <w:szCs w:val="28"/>
          <w:lang w:val="en-US"/>
        </w:rPr>
        <w:t xml:space="preserve"> of Indonesia </w:t>
      </w:r>
      <w:r>
        <w:rPr>
          <w:b/>
          <w:bCs/>
          <w:sz w:val="28"/>
          <w:szCs w:val="28"/>
          <w:lang w:val="en-US"/>
        </w:rPr>
        <w:t xml:space="preserve"> </w:t>
      </w:r>
    </w:p>
    <w:p w14:paraId="5C48A0B7" w14:textId="77777777" w:rsidR="0044646C" w:rsidRDefault="007905F1" w:rsidP="003249CA">
      <w:pPr>
        <w:jc w:val="center"/>
        <w:rPr>
          <w:b/>
          <w:bCs/>
          <w:sz w:val="28"/>
          <w:szCs w:val="28"/>
          <w:lang w:val="en-US"/>
        </w:rPr>
      </w:pPr>
      <w:r>
        <w:rPr>
          <w:b/>
          <w:bCs/>
          <w:sz w:val="28"/>
          <w:szCs w:val="28"/>
          <w:lang w:val="en-US"/>
        </w:rPr>
        <w:t>in the 78</w:t>
      </w:r>
      <w:r w:rsidRPr="007905F1">
        <w:rPr>
          <w:b/>
          <w:bCs/>
          <w:sz w:val="28"/>
          <w:szCs w:val="28"/>
          <w:vertAlign w:val="superscript"/>
          <w:lang w:val="en-US"/>
        </w:rPr>
        <w:t>th</w:t>
      </w:r>
      <w:r>
        <w:rPr>
          <w:b/>
          <w:bCs/>
          <w:sz w:val="28"/>
          <w:szCs w:val="28"/>
          <w:lang w:val="en-US"/>
        </w:rPr>
        <w:t xml:space="preserve"> Pre-sessional Working Group </w:t>
      </w:r>
    </w:p>
    <w:p w14:paraId="48D529F2" w14:textId="43ACEE8E" w:rsidR="003249CA" w:rsidRPr="003249CA" w:rsidRDefault="007905F1" w:rsidP="003249CA">
      <w:pPr>
        <w:jc w:val="center"/>
        <w:rPr>
          <w:b/>
          <w:bCs/>
          <w:sz w:val="28"/>
          <w:szCs w:val="28"/>
          <w:lang w:val="en-US"/>
        </w:rPr>
      </w:pPr>
      <w:r>
        <w:rPr>
          <w:b/>
          <w:bCs/>
          <w:sz w:val="28"/>
          <w:szCs w:val="28"/>
          <w:lang w:val="en-US"/>
        </w:rPr>
        <w:t xml:space="preserve">of the </w:t>
      </w:r>
      <w:r w:rsidR="0044646C">
        <w:rPr>
          <w:b/>
          <w:bCs/>
          <w:sz w:val="28"/>
          <w:szCs w:val="28"/>
          <w:lang w:val="en-US"/>
        </w:rPr>
        <w:t>United Nations Committee for the Elimination of Discrimination Against Women (</w:t>
      </w:r>
      <w:r>
        <w:rPr>
          <w:b/>
          <w:bCs/>
          <w:sz w:val="28"/>
          <w:szCs w:val="28"/>
          <w:lang w:val="en-US"/>
        </w:rPr>
        <w:t>CEDAW</w:t>
      </w:r>
      <w:r w:rsidR="0044646C">
        <w:rPr>
          <w:b/>
          <w:bCs/>
          <w:sz w:val="28"/>
          <w:szCs w:val="28"/>
          <w:lang w:val="en-US"/>
        </w:rPr>
        <w:t>)</w:t>
      </w:r>
    </w:p>
    <w:p w14:paraId="34B71124" w14:textId="61A1F3E4" w:rsidR="003249CA" w:rsidRPr="003249CA" w:rsidRDefault="003249CA" w:rsidP="003249CA">
      <w:pPr>
        <w:jc w:val="center"/>
        <w:rPr>
          <w:b/>
          <w:bCs/>
          <w:sz w:val="28"/>
          <w:szCs w:val="28"/>
          <w:lang w:val="en-US"/>
        </w:rPr>
      </w:pPr>
    </w:p>
    <w:p w14:paraId="1D16605A" w14:textId="7E7B0D18" w:rsidR="003249CA" w:rsidRPr="003249CA" w:rsidRDefault="003249CA" w:rsidP="003249CA">
      <w:pPr>
        <w:jc w:val="center"/>
        <w:rPr>
          <w:b/>
          <w:bCs/>
          <w:sz w:val="28"/>
          <w:szCs w:val="28"/>
          <w:lang w:val="en-US"/>
        </w:rPr>
      </w:pPr>
    </w:p>
    <w:p w14:paraId="76EB1BE7" w14:textId="77777777" w:rsidR="007D6621" w:rsidRPr="003249CA" w:rsidRDefault="007D6621" w:rsidP="001D1040">
      <w:pPr>
        <w:rPr>
          <w:rFonts w:ascii="Corbel" w:eastAsia="Times New Roman" w:hAnsi="Corbel" w:cs="Times New Roman"/>
          <w:sz w:val="28"/>
          <w:szCs w:val="28"/>
        </w:rPr>
      </w:pPr>
    </w:p>
    <w:p w14:paraId="171C0415" w14:textId="77777777" w:rsidR="001D1040" w:rsidRPr="00AE19B9" w:rsidRDefault="001D1040" w:rsidP="001D1040">
      <w:pPr>
        <w:rPr>
          <w:rFonts w:ascii="Corbel" w:eastAsia="Times New Roman" w:hAnsi="Corbel" w:cs="Times New Roman"/>
        </w:rPr>
      </w:pPr>
    </w:p>
    <w:p w14:paraId="78C95E74" w14:textId="42F1C5FB" w:rsidR="001D1040" w:rsidRDefault="001D1040" w:rsidP="001D1040">
      <w:pPr>
        <w:jc w:val="both"/>
        <w:rPr>
          <w:rFonts w:ascii="Corbel" w:eastAsia="Times New Roman" w:hAnsi="Corbel" w:cs="Times New Roman"/>
          <w:b/>
          <w:bCs/>
          <w:i/>
          <w:iCs/>
        </w:rPr>
      </w:pPr>
    </w:p>
    <w:p w14:paraId="5044F404" w14:textId="00522263" w:rsidR="003249CA" w:rsidRDefault="003249CA" w:rsidP="001D1040">
      <w:pPr>
        <w:jc w:val="both"/>
        <w:rPr>
          <w:rFonts w:ascii="Corbel" w:eastAsia="Times New Roman" w:hAnsi="Corbel" w:cs="Times New Roman"/>
          <w:b/>
          <w:bCs/>
          <w:i/>
          <w:iCs/>
        </w:rPr>
      </w:pPr>
    </w:p>
    <w:p w14:paraId="69FDD6C7" w14:textId="4A256D94" w:rsidR="003249CA" w:rsidRDefault="003249CA" w:rsidP="001D1040">
      <w:pPr>
        <w:jc w:val="both"/>
        <w:rPr>
          <w:rFonts w:ascii="Corbel" w:eastAsia="Times New Roman" w:hAnsi="Corbel" w:cs="Times New Roman"/>
          <w:b/>
          <w:bCs/>
          <w:i/>
          <w:iCs/>
        </w:rPr>
      </w:pPr>
    </w:p>
    <w:p w14:paraId="18E9B477" w14:textId="58BCE9B5" w:rsidR="003249CA" w:rsidRDefault="003249CA" w:rsidP="001D1040">
      <w:pPr>
        <w:jc w:val="both"/>
        <w:rPr>
          <w:rFonts w:ascii="Corbel" w:eastAsia="Times New Roman" w:hAnsi="Corbel" w:cs="Times New Roman"/>
          <w:b/>
          <w:bCs/>
          <w:i/>
          <w:iCs/>
        </w:rPr>
      </w:pPr>
    </w:p>
    <w:p w14:paraId="625EB299" w14:textId="65F67C5C" w:rsidR="003249CA" w:rsidRDefault="003249CA" w:rsidP="001D1040">
      <w:pPr>
        <w:jc w:val="both"/>
        <w:rPr>
          <w:rFonts w:ascii="Corbel" w:eastAsia="Times New Roman" w:hAnsi="Corbel" w:cs="Times New Roman"/>
          <w:b/>
          <w:bCs/>
          <w:i/>
          <w:iCs/>
        </w:rPr>
      </w:pPr>
    </w:p>
    <w:p w14:paraId="3C0DBB06" w14:textId="77777777" w:rsidR="003249CA" w:rsidRPr="00AE19B9" w:rsidRDefault="003249CA" w:rsidP="001D1040">
      <w:pPr>
        <w:jc w:val="both"/>
        <w:rPr>
          <w:rFonts w:ascii="Corbel" w:eastAsia="Times New Roman" w:hAnsi="Corbel" w:cs="Times New Roman"/>
        </w:rPr>
      </w:pPr>
    </w:p>
    <w:p w14:paraId="603980EC" w14:textId="3D634678" w:rsidR="001D1040" w:rsidRPr="00AE19B9" w:rsidRDefault="001D1040" w:rsidP="001D1040">
      <w:pPr>
        <w:jc w:val="both"/>
        <w:rPr>
          <w:rFonts w:ascii="Corbel" w:eastAsia="Times New Roman" w:hAnsi="Corbel" w:cs="Times New Roman"/>
        </w:rPr>
      </w:pPr>
    </w:p>
    <w:p w14:paraId="6189597E" w14:textId="0D5E37E5" w:rsidR="007D6621" w:rsidRPr="005A6B95" w:rsidRDefault="00BE4336" w:rsidP="005A6B95">
      <w:pPr>
        <w:jc w:val="center"/>
        <w:rPr>
          <w:rFonts w:ascii="Corbel" w:eastAsia="Times New Roman" w:hAnsi="Corbel" w:cs="Times New Roman"/>
        </w:rPr>
      </w:pPr>
      <w:r w:rsidRPr="003249CA">
        <w:rPr>
          <w:b/>
          <w:bCs/>
          <w:noProof/>
          <w:lang w:val="en-US"/>
        </w:rPr>
        <w:drawing>
          <wp:anchor distT="0" distB="0" distL="114300" distR="114300" simplePos="0" relativeHeight="251658240" behindDoc="0" locked="0" layoutInCell="1" allowOverlap="1" wp14:anchorId="2895B96E" wp14:editId="32B12D71">
            <wp:simplePos x="0" y="0"/>
            <wp:positionH relativeFrom="column">
              <wp:posOffset>-914430</wp:posOffset>
            </wp:positionH>
            <wp:positionV relativeFrom="paragraph">
              <wp:posOffset>4159885</wp:posOffset>
            </wp:positionV>
            <wp:extent cx="7609607" cy="7799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VA_Letterhead_new_email2.png"/>
                    <pic:cNvPicPr/>
                  </pic:nvPicPr>
                  <pic:blipFill>
                    <a:blip r:embed="rId11">
                      <a:extLst>
                        <a:ext uri="{28A0092B-C50C-407E-A947-70E740481C1C}">
                          <a14:useLocalDpi xmlns:a14="http://schemas.microsoft.com/office/drawing/2010/main" val="0"/>
                        </a:ext>
                      </a:extLst>
                    </a:blip>
                    <a:stretch>
                      <a:fillRect/>
                    </a:stretch>
                  </pic:blipFill>
                  <pic:spPr>
                    <a:xfrm>
                      <a:off x="0" y="0"/>
                      <a:ext cx="7609607" cy="779930"/>
                    </a:xfrm>
                    <a:prstGeom prst="rect">
                      <a:avLst/>
                    </a:prstGeom>
                  </pic:spPr>
                </pic:pic>
              </a:graphicData>
            </a:graphic>
            <wp14:sizeRelH relativeFrom="page">
              <wp14:pctWidth>0</wp14:pctWidth>
            </wp14:sizeRelH>
            <wp14:sizeRelV relativeFrom="page">
              <wp14:pctHeight>0</wp14:pctHeight>
            </wp14:sizeRelV>
          </wp:anchor>
        </w:drawing>
      </w:r>
      <w:r w:rsidR="00EF1378">
        <w:rPr>
          <w:b/>
          <w:bCs/>
          <w:noProof/>
          <w:lang w:val="en-US"/>
        </w:rPr>
        <w:t xml:space="preserve">15 </w:t>
      </w:r>
      <w:r w:rsidR="007905F1">
        <w:rPr>
          <w:b/>
          <w:bCs/>
          <w:noProof/>
          <w:lang w:val="en-US"/>
        </w:rPr>
        <w:t>June</w:t>
      </w:r>
      <w:r w:rsidR="005A6B95" w:rsidRPr="003249CA">
        <w:rPr>
          <w:b/>
          <w:bCs/>
          <w:lang w:val="en-US"/>
        </w:rPr>
        <w:t xml:space="preserve"> 2020</w:t>
      </w:r>
      <w:r w:rsidR="007D6621" w:rsidRPr="005A6B95">
        <w:rPr>
          <w:rFonts w:ascii="Corbel" w:eastAsia="Times New Roman" w:hAnsi="Corbel" w:cs="Times New Roman"/>
        </w:rPr>
        <w:br w:type="page"/>
      </w:r>
    </w:p>
    <w:p w14:paraId="6BB13804" w14:textId="7710CD25" w:rsidR="003249CA" w:rsidRPr="005C2FC1" w:rsidRDefault="003249CA" w:rsidP="005C2FC1">
      <w:pPr>
        <w:spacing w:line="276" w:lineRule="auto"/>
        <w:jc w:val="both"/>
        <w:rPr>
          <w:rFonts w:ascii="Corbel" w:hAnsi="Corbel" w:cs="Calibri"/>
          <w:b/>
          <w:i/>
          <w:color w:val="195995"/>
          <w:sz w:val="22"/>
          <w:szCs w:val="22"/>
          <w:lang w:val="en-US"/>
        </w:rPr>
      </w:pPr>
      <w:r>
        <w:rPr>
          <w:b/>
          <w:bCs/>
          <w:lang w:val="en-US"/>
        </w:rPr>
        <w:lastRenderedPageBreak/>
        <w:t xml:space="preserve">Introduction </w:t>
      </w:r>
    </w:p>
    <w:p w14:paraId="7B6EA4E0" w14:textId="07A7B8D3" w:rsidR="00365DA4" w:rsidRDefault="003249CA" w:rsidP="00CD4928">
      <w:pPr>
        <w:pStyle w:val="ListParagraph"/>
        <w:numPr>
          <w:ilvl w:val="0"/>
          <w:numId w:val="7"/>
        </w:numPr>
        <w:jc w:val="both"/>
      </w:pPr>
      <w:r>
        <w:t>This submission is prepared by Franciscans International (FI),</w:t>
      </w:r>
      <w:r w:rsidR="00B71984">
        <w:rPr>
          <w:rStyle w:val="FootnoteReference"/>
        </w:rPr>
        <w:footnoteReference w:id="2"/>
      </w:r>
      <w:r w:rsidRPr="005C2FC1">
        <w:rPr>
          <w:lang w:val="en-AU"/>
        </w:rPr>
        <w:t xml:space="preserve"> </w:t>
      </w:r>
      <w:r w:rsidR="001F5639">
        <w:rPr>
          <w:lang w:val="en-AU"/>
        </w:rPr>
        <w:t xml:space="preserve">with </w:t>
      </w:r>
      <w:r w:rsidR="00AE306E">
        <w:rPr>
          <w:lang w:val="en-AU"/>
        </w:rPr>
        <w:t xml:space="preserve">the </w:t>
      </w:r>
      <w:r w:rsidR="001F5639">
        <w:rPr>
          <w:lang w:val="en-AU"/>
        </w:rPr>
        <w:t>support of Geneva for Human Rights</w:t>
      </w:r>
      <w:r w:rsidR="007F0368">
        <w:rPr>
          <w:lang w:val="en-AU"/>
        </w:rPr>
        <w:t xml:space="preserve"> </w:t>
      </w:r>
      <w:r w:rsidR="00365DA4">
        <w:rPr>
          <w:lang w:val="en-AU"/>
        </w:rPr>
        <w:t>(GH</w:t>
      </w:r>
      <w:r w:rsidR="00234FD1">
        <w:rPr>
          <w:lang w:val="en-AU"/>
        </w:rPr>
        <w:t>R</w:t>
      </w:r>
      <w:r w:rsidR="00365DA4">
        <w:rPr>
          <w:lang w:val="en-AU"/>
        </w:rPr>
        <w:t>)</w:t>
      </w:r>
      <w:r w:rsidR="007F0368">
        <w:rPr>
          <w:lang w:val="en-AU"/>
        </w:rPr>
        <w:t>.</w:t>
      </w:r>
      <w:r w:rsidR="00CD4928">
        <w:rPr>
          <w:rStyle w:val="FootnoteReference"/>
          <w:lang w:val="en-AU"/>
        </w:rPr>
        <w:footnoteReference w:id="3"/>
      </w:r>
      <w:r w:rsidR="007F0368">
        <w:rPr>
          <w:lang w:val="en-AU"/>
        </w:rPr>
        <w:t xml:space="preserve"> FI is </w:t>
      </w:r>
      <w:r w:rsidRPr="005C2FC1">
        <w:rPr>
          <w:lang w:val="en-AU"/>
        </w:rPr>
        <w:t>a faith-based International Non-Governmental Organization with General Consultative Status with the Economic and Social Council of the United Nations. It was founded in 1989 to bring to the UN the concerns of the most marginalized and disadvantaged</w:t>
      </w:r>
      <w:r>
        <w:t xml:space="preserve">. </w:t>
      </w:r>
      <w:r w:rsidRPr="00704415">
        <w:t>Using a rights-based approach, FI advocates at the UN for the protection of human dignity and environmental justice.</w:t>
      </w:r>
      <w:r w:rsidR="00B71827">
        <w:t xml:space="preserve"> </w:t>
      </w:r>
      <w:r w:rsidR="00365DA4">
        <w:t xml:space="preserve"> </w:t>
      </w:r>
      <w:r w:rsidR="00234FD1">
        <w:t>GHR</w:t>
      </w:r>
      <w:r w:rsidR="00365DA4">
        <w:t xml:space="preserve"> is </w:t>
      </w:r>
      <w:r w:rsidR="00234FD1">
        <w:t xml:space="preserve">a </w:t>
      </w:r>
      <w:r w:rsidR="004A4C6C">
        <w:t xml:space="preserve">human rights </w:t>
      </w:r>
      <w:r w:rsidR="00234FD1">
        <w:t xml:space="preserve">training </w:t>
      </w:r>
      <w:r w:rsidR="004A4C6C">
        <w:t>organization</w:t>
      </w:r>
      <w:r w:rsidR="00D86D87">
        <w:t xml:space="preserve"> having the </w:t>
      </w:r>
      <w:r w:rsidR="00D86D87" w:rsidRPr="00D86D87">
        <w:t>Consultative Status with the Economic and Social Council of the United Nations</w:t>
      </w:r>
      <w:r w:rsidR="004A4C6C">
        <w:t xml:space="preserve">. </w:t>
      </w:r>
      <w:r w:rsidR="00365DA4">
        <w:t xml:space="preserve">Through training, </w:t>
      </w:r>
      <w:r w:rsidR="00AE306E">
        <w:t>study,</w:t>
      </w:r>
      <w:r w:rsidR="00365DA4">
        <w:t xml:space="preserve"> and protection, GHR aims to bridge the gap between international standards and realities </w:t>
      </w:r>
      <w:r w:rsidR="00AE306E">
        <w:t>as well as</w:t>
      </w:r>
      <w:r w:rsidR="00365DA4">
        <w:t xml:space="preserve"> to empower all those involved in the promotion and protection of human rights.</w:t>
      </w:r>
      <w:r w:rsidR="00CD4928">
        <w:t xml:space="preserve"> </w:t>
      </w:r>
      <w:r w:rsidR="00F85C3C">
        <w:t xml:space="preserve">The </w:t>
      </w:r>
      <w:r w:rsidR="00CD4928">
        <w:t>GHR</w:t>
      </w:r>
      <w:r w:rsidR="005C1AFB">
        <w:t>’s</w:t>
      </w:r>
      <w:r w:rsidR="00CD4928">
        <w:t xml:space="preserve"> t</w:t>
      </w:r>
      <w:r w:rsidR="00365DA4">
        <w:t xml:space="preserve">raining </w:t>
      </w:r>
      <w:r w:rsidR="00CD4928">
        <w:t>d</w:t>
      </w:r>
      <w:r w:rsidR="00365DA4">
        <w:t xml:space="preserve">epartment conducts </w:t>
      </w:r>
      <w:r w:rsidR="00A145F5">
        <w:t>annual</w:t>
      </w:r>
      <w:r w:rsidR="00365DA4">
        <w:t xml:space="preserve"> </w:t>
      </w:r>
      <w:r w:rsidR="00225BF5">
        <w:t>c</w:t>
      </w:r>
      <w:r w:rsidR="00365DA4">
        <w:t xml:space="preserve">ourses and </w:t>
      </w:r>
      <w:r w:rsidR="00225BF5">
        <w:t>s</w:t>
      </w:r>
      <w:r w:rsidR="00365DA4">
        <w:t xml:space="preserve">eminars in Geneva and </w:t>
      </w:r>
      <w:r w:rsidR="00AE306E">
        <w:t xml:space="preserve">at </w:t>
      </w:r>
      <w:r w:rsidR="00D86D87">
        <w:t xml:space="preserve">the </w:t>
      </w:r>
      <w:r w:rsidR="00AE306E">
        <w:t>regional level</w:t>
      </w:r>
      <w:r w:rsidR="00365DA4">
        <w:t>.</w:t>
      </w:r>
    </w:p>
    <w:p w14:paraId="1FBF1535" w14:textId="77777777" w:rsidR="0008272B" w:rsidRDefault="0008272B" w:rsidP="005C2FC1">
      <w:pPr>
        <w:pStyle w:val="ListParagraph"/>
        <w:jc w:val="both"/>
      </w:pPr>
    </w:p>
    <w:p w14:paraId="349E520F" w14:textId="751CE38B" w:rsidR="00DC5F14" w:rsidRPr="00AF5E52" w:rsidRDefault="003249CA" w:rsidP="00DC5F14">
      <w:pPr>
        <w:pStyle w:val="ListParagraph"/>
        <w:numPr>
          <w:ilvl w:val="0"/>
          <w:numId w:val="7"/>
        </w:numPr>
        <w:jc w:val="both"/>
      </w:pPr>
      <w:r w:rsidRPr="008B1C8F">
        <w:t xml:space="preserve">The Government of Indonesia ratified the International </w:t>
      </w:r>
      <w:r w:rsidR="0058596D">
        <w:t xml:space="preserve">Convention on </w:t>
      </w:r>
      <w:r w:rsidR="00E7491A">
        <w:t>the Elimination of Discrimination Against Women (CEDAW</w:t>
      </w:r>
      <w:r w:rsidR="00AD233B">
        <w:t xml:space="preserve">) </w:t>
      </w:r>
      <w:r w:rsidRPr="008B1C8F">
        <w:t xml:space="preserve"> on </w:t>
      </w:r>
      <w:r w:rsidR="00192F38">
        <w:t>1</w:t>
      </w:r>
      <w:r w:rsidR="006D6E3E">
        <w:t>3</w:t>
      </w:r>
      <w:r w:rsidRPr="008B1C8F">
        <w:t xml:space="preserve"> </w:t>
      </w:r>
      <w:r w:rsidR="006D6E3E">
        <w:t>September 1984</w:t>
      </w:r>
      <w:r w:rsidRPr="008B1C8F">
        <w:t xml:space="preserve">, with a </w:t>
      </w:r>
      <w:r w:rsidR="00C87340">
        <w:t>reser</w:t>
      </w:r>
      <w:r w:rsidR="00D77D72">
        <w:t>vation</w:t>
      </w:r>
      <w:r w:rsidRPr="008B1C8F">
        <w:t xml:space="preserve"> on article </w:t>
      </w:r>
      <w:r w:rsidR="00D77D72">
        <w:t>29</w:t>
      </w:r>
      <w:r w:rsidRPr="008B1C8F">
        <w:t>.</w:t>
      </w:r>
      <w:r>
        <w:rPr>
          <w:rStyle w:val="FootnoteReference"/>
        </w:rPr>
        <w:footnoteReference w:id="4"/>
      </w:r>
      <w:r w:rsidRPr="008B1C8F">
        <w:t xml:space="preserve"> </w:t>
      </w:r>
      <w:r>
        <w:t xml:space="preserve"> </w:t>
      </w:r>
      <w:r w:rsidRPr="008B1C8F">
        <w:t xml:space="preserve">The focus of </w:t>
      </w:r>
      <w:r w:rsidR="00AF3379" w:rsidRPr="008B1C8F">
        <w:t>th</w:t>
      </w:r>
      <w:r w:rsidR="00AF3379">
        <w:t>e present</w:t>
      </w:r>
      <w:r w:rsidR="00AF3379" w:rsidRPr="008B1C8F">
        <w:t xml:space="preserve"> </w:t>
      </w:r>
      <w:r w:rsidRPr="008B1C8F">
        <w:t xml:space="preserve">submission is the implementation of the </w:t>
      </w:r>
      <w:r w:rsidR="00AD233B">
        <w:t>CEDAW</w:t>
      </w:r>
      <w:r w:rsidRPr="008B1C8F">
        <w:t xml:space="preserve"> by the Government of Indonesia in the Provinces of Papua and West Papua,</w:t>
      </w:r>
      <w:r>
        <w:rPr>
          <w:rStyle w:val="FootnoteReference"/>
        </w:rPr>
        <w:footnoteReference w:id="5"/>
      </w:r>
      <w:r w:rsidRPr="008B1C8F">
        <w:t xml:space="preserve"> in particular </w:t>
      </w:r>
      <w:bookmarkStart w:id="0" w:name="_Hlk42064736"/>
      <w:r w:rsidR="00AF5E52">
        <w:t xml:space="preserve">on </w:t>
      </w:r>
      <w:r w:rsidR="7F4A90E6">
        <w:t>v</w:t>
      </w:r>
      <w:r w:rsidR="00DC5F14" w:rsidRPr="00AF5E52">
        <w:t>iolence against indigenous women committed by security forces with impunity (Articles 2 &amp; 3)</w:t>
      </w:r>
      <w:bookmarkEnd w:id="0"/>
      <w:r w:rsidR="00AF5E52">
        <w:t xml:space="preserve">; </w:t>
      </w:r>
      <w:r w:rsidR="00DC5F14" w:rsidRPr="00AF5E52">
        <w:t>Domestic violence (Articles 2, 3,4 &amp; 15)</w:t>
      </w:r>
      <w:r w:rsidR="00AF5E52">
        <w:t xml:space="preserve">; </w:t>
      </w:r>
      <w:r w:rsidR="00DC5F14" w:rsidRPr="00AF5E52">
        <w:t>Economic marginali</w:t>
      </w:r>
      <w:r w:rsidR="000A3309">
        <w:t>z</w:t>
      </w:r>
      <w:r w:rsidR="00DC5F14" w:rsidRPr="00AF5E52">
        <w:t>ation of indigenous Papuan women (Articles 3, 4, 13 &amp; 14)</w:t>
      </w:r>
      <w:r w:rsidR="00AF5E52">
        <w:t xml:space="preserve">; </w:t>
      </w:r>
      <w:r w:rsidR="00DC5F14" w:rsidRPr="00AF5E52">
        <w:t>Access to maternal health care services (Articles 3, 12 &amp; 14)</w:t>
      </w:r>
      <w:r w:rsidR="00AF5E52">
        <w:t xml:space="preserve">; </w:t>
      </w:r>
      <w:r w:rsidR="00DC5F14" w:rsidRPr="00AF5E52">
        <w:t>Participation in politics and Government administration (Article 3, 4, 7, 11 &amp; 14)</w:t>
      </w:r>
    </w:p>
    <w:p w14:paraId="0AC4065B" w14:textId="77777777" w:rsidR="00DC5F14" w:rsidRPr="00EC0187" w:rsidRDefault="00DC5F14" w:rsidP="003249CA">
      <w:pPr>
        <w:rPr>
          <w:lang w:val="en-US"/>
        </w:rPr>
      </w:pPr>
    </w:p>
    <w:p w14:paraId="21B50ECC" w14:textId="53A41E3E" w:rsidR="003249CA" w:rsidRDefault="001C2483" w:rsidP="003249CA">
      <w:pPr>
        <w:rPr>
          <w:b/>
          <w:bCs/>
          <w:lang w:val="en-US"/>
        </w:rPr>
      </w:pPr>
      <w:r w:rsidRPr="001C2483">
        <w:rPr>
          <w:b/>
          <w:bCs/>
          <w:lang w:val="en-US"/>
        </w:rPr>
        <w:t>Domestic violence (Articles 2, 3,4 &amp; 15)</w:t>
      </w:r>
    </w:p>
    <w:p w14:paraId="4ECDAF5B" w14:textId="7363494A" w:rsidR="00691041" w:rsidRDefault="003249CA" w:rsidP="003553D9">
      <w:pPr>
        <w:pStyle w:val="ListParagraph"/>
        <w:numPr>
          <w:ilvl w:val="0"/>
          <w:numId w:val="7"/>
        </w:numPr>
        <w:jc w:val="both"/>
      </w:pPr>
      <w:r>
        <w:t>The violence experienced by women</w:t>
      </w:r>
      <w:r w:rsidR="00117FDB">
        <w:t xml:space="preserve"> in the Provinces of Papua and West Papua</w:t>
      </w:r>
      <w:r>
        <w:t xml:space="preserve"> is relatively high. </w:t>
      </w:r>
      <w:r w:rsidR="00691041">
        <w:t xml:space="preserve">The most common pattern of violence against women is domestic violence. Domestic violence against women occurs in all areas of </w:t>
      </w:r>
      <w:r w:rsidR="00EB1E1F">
        <w:t xml:space="preserve">the Provinces of Papua and </w:t>
      </w:r>
      <w:r w:rsidR="00691041">
        <w:t xml:space="preserve">West Papua, but only a few cases are reported to the authorities, and even fewer cases result in legal prosecution. In </w:t>
      </w:r>
      <w:r w:rsidR="00E66D7A">
        <w:t xml:space="preserve">most </w:t>
      </w:r>
      <w:r w:rsidR="00795F1A">
        <w:t xml:space="preserve">of </w:t>
      </w:r>
      <w:r w:rsidR="00691041">
        <w:t>the reported cases, violent acts are accompanied by alcohol consumption prior to the offense.</w:t>
      </w:r>
      <w:r w:rsidR="001C10BC">
        <w:rPr>
          <w:rStyle w:val="FootnoteReference"/>
        </w:rPr>
        <w:footnoteReference w:id="6"/>
      </w:r>
      <w:r w:rsidR="00691041">
        <w:t xml:space="preserve"> The victims often do not report the offense because they fear acts of revenge by their husband, boyfriend or </w:t>
      </w:r>
      <w:r w:rsidR="00691041">
        <w:lastRenderedPageBreak/>
        <w:t>father.</w:t>
      </w:r>
      <w:r w:rsidR="00CC02CC">
        <w:rPr>
          <w:rStyle w:val="FootnoteReference"/>
        </w:rPr>
        <w:footnoteReference w:id="7"/>
      </w:r>
      <w:r w:rsidR="00691041">
        <w:t xml:space="preserve"> Most of the reported cases of domestic violence included acts of physical abuse </w:t>
      </w:r>
      <w:r w:rsidR="007D2986">
        <w:t xml:space="preserve">but also emotional abuse. </w:t>
      </w:r>
    </w:p>
    <w:p w14:paraId="2C5AE291" w14:textId="77777777" w:rsidR="00691041" w:rsidRDefault="00691041" w:rsidP="00691041">
      <w:pPr>
        <w:pStyle w:val="ListParagraph"/>
        <w:jc w:val="both"/>
      </w:pPr>
    </w:p>
    <w:p w14:paraId="01246239" w14:textId="65802C15" w:rsidR="001C773C" w:rsidRDefault="003249CA" w:rsidP="003553D9">
      <w:pPr>
        <w:pStyle w:val="ListParagraph"/>
        <w:numPr>
          <w:ilvl w:val="0"/>
          <w:numId w:val="7"/>
        </w:numPr>
        <w:jc w:val="both"/>
      </w:pPr>
      <w:r>
        <w:t xml:space="preserve">In 2016, </w:t>
      </w:r>
      <w:r w:rsidR="00AE306E">
        <w:t>United Nations Development Programme (</w:t>
      </w:r>
      <w:r>
        <w:t>UNDP</w:t>
      </w:r>
      <w:r w:rsidR="00AE306E">
        <w:t>)</w:t>
      </w:r>
      <w:r>
        <w:t xml:space="preserve"> estimated that 38 % of ever-partnered Papuan women between the age of 14 </w:t>
      </w:r>
      <w:r w:rsidR="006C6B3F">
        <w:t xml:space="preserve">and </w:t>
      </w:r>
      <w:r>
        <w:t xml:space="preserve">64 years old experienced </w:t>
      </w:r>
      <w:r w:rsidRPr="00704415">
        <w:t>at least one form of physical and/or sexual violence by a male intimate partner in their</w:t>
      </w:r>
      <w:r>
        <w:t xml:space="preserve"> </w:t>
      </w:r>
      <w:r w:rsidRPr="00704415">
        <w:t xml:space="preserve">lifetime. </w:t>
      </w:r>
      <w:r w:rsidR="005B130D">
        <w:t>“</w:t>
      </w:r>
      <w:r w:rsidRPr="00704415">
        <w:t>One in three ever-partnered women (33</w:t>
      </w:r>
      <w:r>
        <w:t xml:space="preserve"> %</w:t>
      </w:r>
      <w:r w:rsidRPr="00704415">
        <w:t>) reported experiencing some form of</w:t>
      </w:r>
      <w:r>
        <w:t xml:space="preserve"> </w:t>
      </w:r>
      <w:r w:rsidRPr="00704415">
        <w:t>physical intimate partner violence in their lifetime, while one in five ever-partnered women (20</w:t>
      </w:r>
      <w:r>
        <w:t>%</w:t>
      </w:r>
      <w:r w:rsidRPr="00704415">
        <w:t>) had ever experienced sexual intimate partner violence.</w:t>
      </w:r>
      <w:r>
        <w:t>”</w:t>
      </w:r>
      <w:r>
        <w:rPr>
          <w:rStyle w:val="FootnoteReference"/>
        </w:rPr>
        <w:footnoteReference w:id="8"/>
      </w:r>
      <w:r>
        <w:t xml:space="preserve"> </w:t>
      </w:r>
      <w:r w:rsidR="000F4FCC">
        <w:t>It is reported that</w:t>
      </w:r>
      <w:r>
        <w:t xml:space="preserve"> emotional abuse</w:t>
      </w:r>
      <w:r w:rsidR="00CB7537">
        <w:t xml:space="preserve"> is also a concern. A</w:t>
      </w:r>
      <w:r>
        <w:t xml:space="preserve">round 31% of </w:t>
      </w:r>
      <w:r w:rsidR="00CB7537">
        <w:t xml:space="preserve">the women in the Provinces of Papua and West Papua </w:t>
      </w:r>
      <w:r>
        <w:t xml:space="preserve">have experienced </w:t>
      </w:r>
      <w:r w:rsidRPr="00704415">
        <w:t>at least one act</w:t>
      </w:r>
      <w:r w:rsidR="00411B74">
        <w:t xml:space="preserve"> of emotional abuse</w:t>
      </w:r>
      <w:r>
        <w:t xml:space="preserve"> </w:t>
      </w:r>
      <w:r w:rsidRPr="00704415">
        <w:t>in their lifetime</w:t>
      </w:r>
      <w:r>
        <w:t>.</w:t>
      </w:r>
      <w:r w:rsidR="00411B74" w:rsidRPr="00411B74">
        <w:rPr>
          <w:rStyle w:val="FootnoteReference"/>
        </w:rPr>
        <w:t xml:space="preserve"> </w:t>
      </w:r>
      <w:r w:rsidR="00411B74">
        <w:rPr>
          <w:rStyle w:val="FootnoteReference"/>
        </w:rPr>
        <w:footnoteReference w:id="9"/>
      </w:r>
      <w:r>
        <w:t xml:space="preserve"> </w:t>
      </w:r>
      <w:r w:rsidR="00F14257">
        <w:t xml:space="preserve"> </w:t>
      </w:r>
    </w:p>
    <w:p w14:paraId="6BD8D482" w14:textId="77777777" w:rsidR="001C773C" w:rsidRDefault="001C773C" w:rsidP="001C773C">
      <w:pPr>
        <w:pStyle w:val="ListParagraph"/>
      </w:pPr>
    </w:p>
    <w:p w14:paraId="6D76D07F" w14:textId="7A258CCA" w:rsidR="003249CA" w:rsidRPr="00704415" w:rsidRDefault="0005083A" w:rsidP="006B6332">
      <w:pPr>
        <w:pStyle w:val="ListParagraph"/>
        <w:numPr>
          <w:ilvl w:val="0"/>
          <w:numId w:val="7"/>
        </w:numPr>
        <w:jc w:val="both"/>
      </w:pPr>
      <w:r>
        <w:t xml:space="preserve"> Among t</w:t>
      </w:r>
      <w:r w:rsidR="00F14257">
        <w:t>he women victim</w:t>
      </w:r>
      <w:r w:rsidR="00291263">
        <w:t xml:space="preserve">s </w:t>
      </w:r>
      <w:r w:rsidR="00AE716B">
        <w:t xml:space="preserve">of </w:t>
      </w:r>
      <w:r w:rsidR="00D416D6">
        <w:t xml:space="preserve">domestic violence who suffered </w:t>
      </w:r>
      <w:r w:rsidR="00AE716B">
        <w:t>sexual violence</w:t>
      </w:r>
      <w:r w:rsidR="00291263">
        <w:t xml:space="preserve"> in the two provinces</w:t>
      </w:r>
      <w:r w:rsidR="00185A11">
        <w:t xml:space="preserve"> </w:t>
      </w:r>
      <w:r w:rsidR="00234673">
        <w:t>are having</w:t>
      </w:r>
      <w:r w:rsidR="00AE716B">
        <w:t xml:space="preserve"> difficulties in speaking out </w:t>
      </w:r>
      <w:r w:rsidR="008523A2">
        <w:t xml:space="preserve">of their experience, </w:t>
      </w:r>
      <w:r w:rsidR="00AE716B">
        <w:t>due to shame,</w:t>
      </w:r>
      <w:r w:rsidR="003553D9">
        <w:t xml:space="preserve"> </w:t>
      </w:r>
      <w:r w:rsidR="00AE716B">
        <w:t>fear of stigma and judgement, concerns about confidentiality, and lack of confidence in</w:t>
      </w:r>
      <w:r w:rsidR="00885591">
        <w:t xml:space="preserve"> </w:t>
      </w:r>
      <w:r w:rsidR="00AE716B">
        <w:t>the rule of law—all of which are barriers to accessing justice.</w:t>
      </w:r>
      <w:r w:rsidR="00A54234">
        <w:rPr>
          <w:rStyle w:val="FootnoteReference"/>
        </w:rPr>
        <w:footnoteReference w:id="10"/>
      </w:r>
      <w:r w:rsidR="00DE00A5" w:rsidRPr="00DE00A5">
        <w:t xml:space="preserve"> </w:t>
      </w:r>
      <w:r w:rsidR="009E38F9">
        <w:t xml:space="preserve"> Instead, s</w:t>
      </w:r>
      <w:r w:rsidR="00DE00A5">
        <w:t xml:space="preserve">ome </w:t>
      </w:r>
      <w:r w:rsidR="009E38F9">
        <w:t xml:space="preserve">of </w:t>
      </w:r>
      <w:r w:rsidR="00DE00A5">
        <w:t>th</w:t>
      </w:r>
      <w:r w:rsidR="009E38F9">
        <w:t>ose</w:t>
      </w:r>
      <w:r w:rsidR="00DE00A5">
        <w:t xml:space="preserve"> domestic violence cases were solved through customary solution.</w:t>
      </w:r>
      <w:r w:rsidR="00DE00A5">
        <w:rPr>
          <w:rStyle w:val="FootnoteReference"/>
        </w:rPr>
        <w:footnoteReference w:id="11"/>
      </w:r>
    </w:p>
    <w:p w14:paraId="57CBE80C" w14:textId="77777777" w:rsidR="001112A2" w:rsidRDefault="001112A2" w:rsidP="003249CA">
      <w:pPr>
        <w:rPr>
          <w:b/>
          <w:bCs/>
          <w:lang w:val="en-US"/>
        </w:rPr>
      </w:pPr>
    </w:p>
    <w:p w14:paraId="2A94C7AD" w14:textId="77C7C946" w:rsidR="003249CA" w:rsidRPr="002D78E1" w:rsidRDefault="003249CA" w:rsidP="003249CA">
      <w:pPr>
        <w:rPr>
          <w:i/>
          <w:iCs/>
          <w:lang w:val="en-US"/>
        </w:rPr>
      </w:pPr>
      <w:r w:rsidRPr="002D78E1">
        <w:rPr>
          <w:i/>
          <w:iCs/>
          <w:lang w:val="en-US"/>
        </w:rPr>
        <w:t>Suggested question</w:t>
      </w:r>
      <w:r w:rsidR="00242307">
        <w:rPr>
          <w:i/>
          <w:iCs/>
          <w:lang w:val="en-US"/>
        </w:rPr>
        <w:t>s</w:t>
      </w:r>
      <w:r w:rsidRPr="002D78E1">
        <w:rPr>
          <w:i/>
          <w:iCs/>
          <w:lang w:val="en-US"/>
        </w:rPr>
        <w:t xml:space="preserve"> for </w:t>
      </w:r>
      <w:r w:rsidR="00D6472D">
        <w:rPr>
          <w:i/>
          <w:iCs/>
          <w:lang w:val="en-US"/>
        </w:rPr>
        <w:t xml:space="preserve">the </w:t>
      </w:r>
      <w:r w:rsidRPr="002D78E1">
        <w:rPr>
          <w:i/>
          <w:iCs/>
          <w:lang w:val="en-US"/>
        </w:rPr>
        <w:t>State:</w:t>
      </w:r>
    </w:p>
    <w:p w14:paraId="59C3DA4A" w14:textId="0F9222C3" w:rsidR="003249CA" w:rsidRPr="001A7740" w:rsidRDefault="00560760" w:rsidP="00304DCA">
      <w:pPr>
        <w:pStyle w:val="ListParagraph"/>
        <w:numPr>
          <w:ilvl w:val="0"/>
          <w:numId w:val="18"/>
        </w:numPr>
        <w:jc w:val="both"/>
        <w:rPr>
          <w:i/>
        </w:rPr>
      </w:pPr>
      <w:r>
        <w:rPr>
          <w:i/>
          <w:iCs/>
        </w:rPr>
        <w:t>Please p</w:t>
      </w:r>
      <w:r w:rsidR="00491E06" w:rsidRPr="39B60A81">
        <w:rPr>
          <w:i/>
          <w:iCs/>
        </w:rPr>
        <w:t>rovide information on</w:t>
      </w:r>
      <w:r w:rsidR="001E33F5" w:rsidRPr="39B60A81">
        <w:rPr>
          <w:i/>
          <w:iCs/>
        </w:rPr>
        <w:t xml:space="preserve"> </w:t>
      </w:r>
      <w:r w:rsidR="00F26092" w:rsidRPr="39B60A81">
        <w:rPr>
          <w:i/>
          <w:iCs/>
        </w:rPr>
        <w:t xml:space="preserve">policies and </w:t>
      </w:r>
      <w:r w:rsidR="001E33F5" w:rsidRPr="39B60A81">
        <w:rPr>
          <w:i/>
          <w:iCs/>
        </w:rPr>
        <w:t xml:space="preserve">measures </w:t>
      </w:r>
      <w:r w:rsidR="00491E06" w:rsidRPr="39B60A81">
        <w:rPr>
          <w:i/>
          <w:iCs/>
        </w:rPr>
        <w:t>taken by</w:t>
      </w:r>
      <w:r w:rsidR="001E33F5" w:rsidRPr="39B60A81">
        <w:rPr>
          <w:i/>
          <w:iCs/>
        </w:rPr>
        <w:t xml:space="preserve"> the Government of Indonesia to </w:t>
      </w:r>
      <w:r w:rsidR="00E143D6" w:rsidRPr="39B60A81">
        <w:rPr>
          <w:i/>
          <w:iCs/>
        </w:rPr>
        <w:t xml:space="preserve">prevent and address </w:t>
      </w:r>
      <w:r w:rsidR="7EFA9890" w:rsidRPr="39B60A81">
        <w:rPr>
          <w:i/>
          <w:iCs/>
        </w:rPr>
        <w:t xml:space="preserve">domestic </w:t>
      </w:r>
      <w:r w:rsidR="00E143D6" w:rsidRPr="39B60A81">
        <w:rPr>
          <w:i/>
          <w:iCs/>
        </w:rPr>
        <w:t xml:space="preserve">violence against women in the Provinces of Papua and </w:t>
      </w:r>
      <w:r w:rsidR="006370A9">
        <w:rPr>
          <w:i/>
          <w:iCs/>
        </w:rPr>
        <w:t xml:space="preserve">West </w:t>
      </w:r>
      <w:r w:rsidR="00E143D6" w:rsidRPr="39B60A81">
        <w:rPr>
          <w:i/>
          <w:iCs/>
        </w:rPr>
        <w:t>Papua</w:t>
      </w:r>
      <w:r w:rsidR="00491E06" w:rsidRPr="39B60A81">
        <w:rPr>
          <w:i/>
          <w:iCs/>
        </w:rPr>
        <w:t xml:space="preserve">. </w:t>
      </w:r>
    </w:p>
    <w:p w14:paraId="55F5AE56" w14:textId="06A76CEB" w:rsidR="00621F4B" w:rsidRDefault="00491E06" w:rsidP="00304DCA">
      <w:pPr>
        <w:pStyle w:val="ListParagraph"/>
        <w:numPr>
          <w:ilvl w:val="0"/>
          <w:numId w:val="18"/>
        </w:numPr>
        <w:jc w:val="both"/>
        <w:rPr>
          <w:i/>
          <w:iCs/>
        </w:rPr>
      </w:pPr>
      <w:r w:rsidRPr="001A7740">
        <w:rPr>
          <w:i/>
          <w:iCs/>
        </w:rPr>
        <w:t>P</w:t>
      </w:r>
      <w:r w:rsidR="00560760">
        <w:rPr>
          <w:i/>
          <w:iCs/>
        </w:rPr>
        <w:t>lease p</w:t>
      </w:r>
      <w:r w:rsidRPr="001A7740">
        <w:rPr>
          <w:i/>
          <w:iCs/>
        </w:rPr>
        <w:t xml:space="preserve">rovide information </w:t>
      </w:r>
      <w:r w:rsidR="00E7789A">
        <w:rPr>
          <w:i/>
          <w:iCs/>
        </w:rPr>
        <w:t>and</w:t>
      </w:r>
      <w:r w:rsidRPr="001A7740">
        <w:rPr>
          <w:i/>
          <w:iCs/>
        </w:rPr>
        <w:t xml:space="preserve"> data </w:t>
      </w:r>
      <w:r w:rsidR="00D64B04">
        <w:rPr>
          <w:i/>
          <w:iCs/>
        </w:rPr>
        <w:t>on</w:t>
      </w:r>
      <w:r w:rsidR="00F45098">
        <w:rPr>
          <w:i/>
          <w:iCs/>
        </w:rPr>
        <w:t xml:space="preserve"> complaints,</w:t>
      </w:r>
      <w:r w:rsidR="00D64B04">
        <w:rPr>
          <w:i/>
          <w:iCs/>
        </w:rPr>
        <w:t xml:space="preserve"> </w:t>
      </w:r>
      <w:r w:rsidR="00A9034C">
        <w:rPr>
          <w:i/>
          <w:iCs/>
        </w:rPr>
        <w:t>investigations,</w:t>
      </w:r>
      <w:r w:rsidR="00393EE4">
        <w:rPr>
          <w:i/>
          <w:iCs/>
        </w:rPr>
        <w:t xml:space="preserve"> </w:t>
      </w:r>
      <w:r w:rsidR="00F45098">
        <w:rPr>
          <w:i/>
          <w:iCs/>
        </w:rPr>
        <w:t xml:space="preserve">and outcomes </w:t>
      </w:r>
      <w:r w:rsidR="00393EE4">
        <w:rPr>
          <w:i/>
          <w:iCs/>
        </w:rPr>
        <w:t>of domestic violence cases</w:t>
      </w:r>
      <w:r w:rsidR="00B62B27">
        <w:rPr>
          <w:i/>
          <w:iCs/>
        </w:rPr>
        <w:t xml:space="preserve"> in the Provinces of Papua and West Papua</w:t>
      </w:r>
      <w:r w:rsidR="00EF1378">
        <w:rPr>
          <w:i/>
          <w:iCs/>
        </w:rPr>
        <w:t>.</w:t>
      </w:r>
    </w:p>
    <w:p w14:paraId="42749CDA" w14:textId="664210FA" w:rsidR="001D06E8" w:rsidRPr="001A7740" w:rsidRDefault="001D06E8" w:rsidP="00304DCA">
      <w:pPr>
        <w:pStyle w:val="ListParagraph"/>
        <w:numPr>
          <w:ilvl w:val="0"/>
          <w:numId w:val="18"/>
        </w:numPr>
        <w:jc w:val="both"/>
        <w:rPr>
          <w:i/>
          <w:iCs/>
        </w:rPr>
      </w:pPr>
      <w:r>
        <w:rPr>
          <w:i/>
          <w:iCs/>
        </w:rPr>
        <w:t>P</w:t>
      </w:r>
      <w:r w:rsidR="00560760">
        <w:rPr>
          <w:i/>
          <w:iCs/>
        </w:rPr>
        <w:t>lease p</w:t>
      </w:r>
      <w:r>
        <w:rPr>
          <w:i/>
          <w:iCs/>
        </w:rPr>
        <w:t xml:space="preserve">rovide information </w:t>
      </w:r>
      <w:r w:rsidR="00E7789A">
        <w:rPr>
          <w:i/>
          <w:iCs/>
        </w:rPr>
        <w:t xml:space="preserve">and data </w:t>
      </w:r>
      <w:r>
        <w:rPr>
          <w:i/>
          <w:iCs/>
        </w:rPr>
        <w:t xml:space="preserve">on remedies and </w:t>
      </w:r>
      <w:r w:rsidR="00222D85">
        <w:rPr>
          <w:i/>
          <w:iCs/>
        </w:rPr>
        <w:t>compensation given to Papuan indigenous women victims of domestic violence.</w:t>
      </w:r>
    </w:p>
    <w:p w14:paraId="0C3198A3" w14:textId="77777777" w:rsidR="0091657B" w:rsidRDefault="0091657B" w:rsidP="00304DCA">
      <w:pPr>
        <w:jc w:val="both"/>
        <w:rPr>
          <w:b/>
          <w:bCs/>
          <w:lang w:val="en-US"/>
        </w:rPr>
      </w:pPr>
    </w:p>
    <w:p w14:paraId="5C82EF51" w14:textId="70C119FE" w:rsidR="005A365E" w:rsidRPr="005C2FC1" w:rsidRDefault="00996B58" w:rsidP="005C2FC1">
      <w:pPr>
        <w:rPr>
          <w:b/>
          <w:lang w:val="en-US"/>
        </w:rPr>
      </w:pPr>
      <w:r>
        <w:rPr>
          <w:b/>
          <w:bCs/>
          <w:lang w:val="en-US"/>
        </w:rPr>
        <w:t xml:space="preserve">Impact of military presence on </w:t>
      </w:r>
      <w:r w:rsidR="00531087" w:rsidRPr="00531087">
        <w:rPr>
          <w:b/>
          <w:bCs/>
          <w:lang w:val="en-US"/>
        </w:rPr>
        <w:t xml:space="preserve">indigenous </w:t>
      </w:r>
      <w:r>
        <w:rPr>
          <w:b/>
          <w:bCs/>
          <w:lang w:val="en-US"/>
        </w:rPr>
        <w:t xml:space="preserve">Papuan </w:t>
      </w:r>
      <w:r w:rsidR="00531087" w:rsidRPr="00531087">
        <w:rPr>
          <w:b/>
          <w:bCs/>
          <w:lang w:val="en-US"/>
        </w:rPr>
        <w:t>women (Articles 2 &amp; 3)</w:t>
      </w:r>
    </w:p>
    <w:p w14:paraId="42C92FB5" w14:textId="61080026" w:rsidR="00772378" w:rsidRDefault="00194A94" w:rsidP="00627D81">
      <w:pPr>
        <w:pStyle w:val="ListParagraph"/>
        <w:numPr>
          <w:ilvl w:val="0"/>
          <w:numId w:val="7"/>
        </w:numPr>
        <w:jc w:val="both"/>
      </w:pPr>
      <w:r>
        <w:t>The Indonesian military has been presen</w:t>
      </w:r>
      <w:r w:rsidR="2DCD0808">
        <w:t>t</w:t>
      </w:r>
      <w:r>
        <w:t xml:space="preserve"> in the Provinces of Papua and West Papua since the integration in 1969. </w:t>
      </w:r>
      <w:r w:rsidR="001A0947">
        <w:t>T</w:t>
      </w:r>
      <w:r w:rsidR="00C31357">
        <w:t>he on-going conflict between the Indonesian security forces</w:t>
      </w:r>
      <w:r w:rsidR="00916B69">
        <w:t xml:space="preserve"> (</w:t>
      </w:r>
      <w:r w:rsidR="00C61090">
        <w:t xml:space="preserve">i.e. </w:t>
      </w:r>
      <w:r w:rsidR="00916B69">
        <w:t>military and police)</w:t>
      </w:r>
      <w:r w:rsidR="00C31357">
        <w:t xml:space="preserve"> </w:t>
      </w:r>
      <w:r w:rsidR="1F84E790">
        <w:t>and</w:t>
      </w:r>
      <w:r w:rsidR="00C31357">
        <w:t xml:space="preserve"> </w:t>
      </w:r>
      <w:r w:rsidR="002C4995">
        <w:t xml:space="preserve">the </w:t>
      </w:r>
      <w:r w:rsidR="00247D5C">
        <w:t xml:space="preserve">pro-independent </w:t>
      </w:r>
      <w:r w:rsidR="002C4995">
        <w:t>Free P</w:t>
      </w:r>
      <w:r w:rsidR="004E6114">
        <w:t xml:space="preserve">apua Movement </w:t>
      </w:r>
      <w:r w:rsidR="004E6114">
        <w:lastRenderedPageBreak/>
        <w:t>(</w:t>
      </w:r>
      <w:r w:rsidR="00DD4E1D" w:rsidRPr="00247D5C">
        <w:rPr>
          <w:i/>
          <w:iCs/>
        </w:rPr>
        <w:t>Organis</w:t>
      </w:r>
      <w:r w:rsidR="008136FA" w:rsidRPr="00247D5C">
        <w:rPr>
          <w:i/>
          <w:iCs/>
        </w:rPr>
        <w:t>a</w:t>
      </w:r>
      <w:r w:rsidR="00DD4E1D" w:rsidRPr="00247D5C">
        <w:rPr>
          <w:i/>
          <w:iCs/>
        </w:rPr>
        <w:t>si Papua Merdeka</w:t>
      </w:r>
      <w:r w:rsidR="00DD4E1D">
        <w:t xml:space="preserve">, </w:t>
      </w:r>
      <w:r w:rsidR="004E6114">
        <w:t>OPM)</w:t>
      </w:r>
      <w:r w:rsidR="00DD5A50">
        <w:t xml:space="preserve"> in the Provinces of Papua and West Papua</w:t>
      </w:r>
      <w:r w:rsidR="006253D4">
        <w:t xml:space="preserve">, </w:t>
      </w:r>
      <w:r w:rsidR="002D7F54">
        <w:t xml:space="preserve">has the consequence </w:t>
      </w:r>
      <w:r w:rsidR="41CCBF19">
        <w:t xml:space="preserve">of a permanent </w:t>
      </w:r>
      <w:r w:rsidR="00C50FE4">
        <w:t xml:space="preserve">presence of Indonesian military </w:t>
      </w:r>
      <w:r w:rsidR="6F353C49">
        <w:t xml:space="preserve"> that continues to increase.</w:t>
      </w:r>
      <w:r w:rsidR="002B011A">
        <w:rPr>
          <w:rStyle w:val="FootnoteReference"/>
        </w:rPr>
        <w:footnoteReference w:id="12"/>
      </w:r>
      <w:r w:rsidR="00E9342F">
        <w:t xml:space="preserve"> </w:t>
      </w:r>
      <w:r w:rsidR="003276E5">
        <w:t xml:space="preserve"> </w:t>
      </w:r>
      <w:r w:rsidR="00AA2374">
        <w:t xml:space="preserve">The two provinces are, </w:t>
      </w:r>
      <w:r w:rsidR="00AA2374" w:rsidRPr="39B60A81">
        <w:rPr>
          <w:i/>
          <w:iCs/>
        </w:rPr>
        <w:t>de facto</w:t>
      </w:r>
      <w:r w:rsidR="00AA2374">
        <w:t>, military operation</w:t>
      </w:r>
      <w:r w:rsidR="00492566">
        <w:t xml:space="preserve"> </w:t>
      </w:r>
      <w:r w:rsidR="00AA2374">
        <w:t>area</w:t>
      </w:r>
      <w:r w:rsidR="008810E0">
        <w:t>s</w:t>
      </w:r>
      <w:r w:rsidR="00492566">
        <w:t>.</w:t>
      </w:r>
      <w:r w:rsidR="00492566">
        <w:rPr>
          <w:rStyle w:val="FootnoteReference"/>
        </w:rPr>
        <w:footnoteReference w:id="13"/>
      </w:r>
      <w:r w:rsidR="00D36577">
        <w:t xml:space="preserve"> </w:t>
      </w:r>
      <w:r w:rsidR="00D83C90">
        <w:t>Torture,</w:t>
      </w:r>
      <w:r w:rsidR="004D2F22" w:rsidRPr="004D2F22">
        <w:t xml:space="preserve"> </w:t>
      </w:r>
      <w:r w:rsidR="004D2F22">
        <w:t xml:space="preserve">killing, surveillance, arbitrary arrest and detention, and disappearances </w:t>
      </w:r>
      <w:r w:rsidR="003239F9">
        <w:t xml:space="preserve">are </w:t>
      </w:r>
      <w:r w:rsidR="00D83C90">
        <w:t>frequently employed by the</w:t>
      </w:r>
      <w:r w:rsidR="003A6087">
        <w:t xml:space="preserve"> </w:t>
      </w:r>
      <w:r w:rsidR="00D83C90">
        <w:t xml:space="preserve">Indonesian security services to intimidate civilians in </w:t>
      </w:r>
      <w:r w:rsidR="008F6580">
        <w:t xml:space="preserve">the Provinces of </w:t>
      </w:r>
      <w:r w:rsidR="00D83C90">
        <w:t xml:space="preserve">Papua and </w:t>
      </w:r>
      <w:r w:rsidR="008F6580">
        <w:t>W</w:t>
      </w:r>
      <w:r w:rsidR="00AF56A0">
        <w:t>e</w:t>
      </w:r>
      <w:r w:rsidR="008F6580">
        <w:t xml:space="preserve">st Papua </w:t>
      </w:r>
      <w:r w:rsidR="00D83C90">
        <w:t>to control civilians</w:t>
      </w:r>
      <w:r w:rsidR="00AA7B93">
        <w:t>, including women</w:t>
      </w:r>
      <w:r w:rsidR="00D83C90">
        <w:t>.</w:t>
      </w:r>
      <w:r w:rsidR="00386D50">
        <w:rPr>
          <w:rStyle w:val="FootnoteReference"/>
        </w:rPr>
        <w:footnoteReference w:id="14"/>
      </w:r>
    </w:p>
    <w:p w14:paraId="428348E4" w14:textId="77777777" w:rsidR="00627D81" w:rsidRDefault="00627D81" w:rsidP="00B164C1">
      <w:pPr>
        <w:jc w:val="both"/>
      </w:pPr>
    </w:p>
    <w:p w14:paraId="2AD3E67B" w14:textId="1A01393E" w:rsidR="00A13C09" w:rsidRDefault="004C4528" w:rsidP="00720908">
      <w:pPr>
        <w:pStyle w:val="ListParagraph"/>
        <w:numPr>
          <w:ilvl w:val="0"/>
          <w:numId w:val="7"/>
        </w:numPr>
        <w:jc w:val="both"/>
      </w:pPr>
      <w:r>
        <w:t>Between</w:t>
      </w:r>
      <w:r w:rsidR="004559E2">
        <w:t xml:space="preserve"> </w:t>
      </w:r>
      <w:r w:rsidR="003266C4">
        <w:t>December 201</w:t>
      </w:r>
      <w:r>
        <w:t>8</w:t>
      </w:r>
      <w:r w:rsidR="003266C4">
        <w:t xml:space="preserve"> </w:t>
      </w:r>
      <w:r>
        <w:t xml:space="preserve">and July 2019, </w:t>
      </w:r>
      <w:r w:rsidR="00E96E19">
        <w:t xml:space="preserve">several thousand of </w:t>
      </w:r>
      <w:r w:rsidR="00405038">
        <w:t>indigenous Papuan</w:t>
      </w:r>
      <w:r w:rsidR="00923BD0">
        <w:t>s</w:t>
      </w:r>
      <w:r w:rsidR="00405038">
        <w:t xml:space="preserve"> in the Nduga Regency, </w:t>
      </w:r>
      <w:r w:rsidR="00DE112F">
        <w:t>in Papua Province</w:t>
      </w:r>
      <w:r>
        <w:t xml:space="preserve"> were displaced</w:t>
      </w:r>
      <w:r w:rsidR="00DE112F">
        <w:t xml:space="preserve">. </w:t>
      </w:r>
      <w:r w:rsidR="00656809">
        <w:t>This occu</w:t>
      </w:r>
      <w:r w:rsidR="007D70C7">
        <w:t xml:space="preserve">rred </w:t>
      </w:r>
      <w:r w:rsidR="0058335F">
        <w:t xml:space="preserve">as a result of </w:t>
      </w:r>
      <w:r w:rsidR="0058335F" w:rsidRPr="002D78E1">
        <w:t xml:space="preserve">the </w:t>
      </w:r>
      <w:r w:rsidR="3B0C275F" w:rsidRPr="002D78E1">
        <w:t>violent clash</w:t>
      </w:r>
      <w:r w:rsidR="0058335F" w:rsidRPr="002D78E1">
        <w:t xml:space="preserve"> between the Indonesian security forces and the West Papua National Liberation Army (TPN PB) - a pro-independent Papuan arm</w:t>
      </w:r>
      <w:r w:rsidR="006F01D5">
        <w:t>ed</w:t>
      </w:r>
      <w:r w:rsidR="0058335F" w:rsidRPr="002D78E1">
        <w:t xml:space="preserve"> group, which started when 19 Indonesian contractor workers were killed by members of TPN PB on 8 December 2019.</w:t>
      </w:r>
      <w:r w:rsidR="0058335F">
        <w:t xml:space="preserve"> Women and children were particularly affected during this conflict.</w:t>
      </w:r>
      <w:r w:rsidR="00E25CE5">
        <w:t xml:space="preserve"> While there</w:t>
      </w:r>
      <w:r w:rsidR="004417A2">
        <w:t xml:space="preserve"> is</w:t>
      </w:r>
      <w:r w:rsidR="00E25CE5">
        <w:t xml:space="preserve"> no report of the killing of women by the Indonesian security forces, i</w:t>
      </w:r>
      <w:r w:rsidR="002D78E1" w:rsidRPr="002D78E1">
        <w:t xml:space="preserve">t </w:t>
      </w:r>
      <w:r w:rsidR="00E25CE5">
        <w:t>was</w:t>
      </w:r>
      <w:r w:rsidR="002D78E1" w:rsidRPr="002D78E1">
        <w:t xml:space="preserve"> reported that in the 8 months period, 77 women who died (21 adult females, 21 female minors, 14 female toddlers, 17 female babies)</w:t>
      </w:r>
      <w:r w:rsidR="00D76637">
        <w:t xml:space="preserve"> </w:t>
      </w:r>
      <w:r w:rsidR="009D04CB">
        <w:t>as a consequence of</w:t>
      </w:r>
      <w:r w:rsidR="00A353D6">
        <w:t xml:space="preserve"> </w:t>
      </w:r>
      <w:r w:rsidR="00D76637">
        <w:t>the</w:t>
      </w:r>
      <w:r w:rsidR="009D04CB">
        <w:t>ir</w:t>
      </w:r>
      <w:r w:rsidR="00D76637">
        <w:t xml:space="preserve"> displacement. </w:t>
      </w:r>
      <w:r w:rsidR="002D78E1" w:rsidRPr="002D78E1">
        <w:t>They died mostly from famine and other illnesses, due to poor living conditions in the shelters.</w:t>
      </w:r>
      <w:r w:rsidR="002D78E1" w:rsidRPr="002D78E1">
        <w:rPr>
          <w:rStyle w:val="FootnoteReference"/>
        </w:rPr>
        <w:footnoteReference w:id="15"/>
      </w:r>
      <w:r w:rsidR="002D78E1" w:rsidRPr="002D78E1">
        <w:t xml:space="preserve"> </w:t>
      </w:r>
    </w:p>
    <w:p w14:paraId="1E3DC84A" w14:textId="77777777" w:rsidR="00A13C09" w:rsidRDefault="00A13C09" w:rsidP="00A13C09">
      <w:pPr>
        <w:pStyle w:val="ListParagraph"/>
      </w:pPr>
    </w:p>
    <w:p w14:paraId="6135C02E" w14:textId="653B7C20" w:rsidR="003E1845" w:rsidRDefault="00720908" w:rsidP="00EF1378">
      <w:pPr>
        <w:pStyle w:val="ListParagraph"/>
        <w:numPr>
          <w:ilvl w:val="0"/>
          <w:numId w:val="7"/>
        </w:numPr>
        <w:jc w:val="both"/>
      </w:pPr>
      <w:r>
        <w:t xml:space="preserve">According to credible information from Franciscans in Papua, on 4 July 2019, the members of </w:t>
      </w:r>
      <w:r w:rsidR="00B24C3B">
        <w:t xml:space="preserve">the </w:t>
      </w:r>
      <w:r>
        <w:t xml:space="preserve">Indonesian military and police forces were involved in </w:t>
      </w:r>
      <w:r w:rsidRPr="00866F4A">
        <w:t xml:space="preserve">the alleged killing of a 26-year-old indigenous </w:t>
      </w:r>
      <w:r>
        <w:t xml:space="preserve">Papuan </w:t>
      </w:r>
      <w:r w:rsidRPr="00866F4A">
        <w:t>woman</w:t>
      </w:r>
      <w:r>
        <w:t xml:space="preserve">, Mrs </w:t>
      </w:r>
      <w:r w:rsidR="00186E38">
        <w:t>KG</w:t>
      </w:r>
      <w:r w:rsidRPr="00866F4A">
        <w:t xml:space="preserve">  in the district of Mugi, Nduga regency.</w:t>
      </w:r>
      <w:r>
        <w:rPr>
          <w:rStyle w:val="FootnoteReference"/>
        </w:rPr>
        <w:footnoteReference w:id="16"/>
      </w:r>
      <w:r w:rsidRPr="00866F4A">
        <w:t xml:space="preserve"> At the time of the incident Mrs </w:t>
      </w:r>
      <w:r w:rsidR="00DD767D">
        <w:t>KG</w:t>
      </w:r>
      <w:r w:rsidRPr="00866F4A">
        <w:t xml:space="preserve"> had her one-year-old </w:t>
      </w:r>
      <w:r w:rsidR="3B25567D" w:rsidRPr="00866F4A">
        <w:t>b</w:t>
      </w:r>
      <w:r w:rsidRPr="00866F4A">
        <w:t xml:space="preserve">aby </w:t>
      </w:r>
      <w:r w:rsidR="00051BA7">
        <w:t>RN</w:t>
      </w:r>
      <w:r w:rsidRPr="00866F4A">
        <w:t xml:space="preserve"> with her. She and three other indigenous women wanted to collect sweet potatoes as security force members opened fire at the women. While three women were able to flee, </w:t>
      </w:r>
      <w:r>
        <w:t>Mrs</w:t>
      </w:r>
      <w:r w:rsidRPr="00866F4A">
        <w:t xml:space="preserve"> </w:t>
      </w:r>
      <w:r w:rsidR="00FA5107">
        <w:t>KG</w:t>
      </w:r>
      <w:r w:rsidRPr="00866F4A">
        <w:t xml:space="preserve"> su</w:t>
      </w:r>
      <w:r w:rsidR="07D4AEA1" w:rsidRPr="00866F4A">
        <w:t>ffered</w:t>
      </w:r>
      <w:r w:rsidRPr="00866F4A">
        <w:t xml:space="preserve"> a lethal bullet injury and </w:t>
      </w:r>
      <w:r w:rsidR="42BB4105" w:rsidRPr="00866F4A">
        <w:t>fell</w:t>
      </w:r>
      <w:r w:rsidRPr="00866F4A">
        <w:t xml:space="preserve"> with her baby on the ground. It is currently not known whether </w:t>
      </w:r>
      <w:r w:rsidR="00051BA7">
        <w:t>RN</w:t>
      </w:r>
      <w:r w:rsidRPr="00866F4A">
        <w:t xml:space="preserve"> remained unharmed and where the </w:t>
      </w:r>
      <w:r w:rsidR="003F0592">
        <w:t xml:space="preserve">members of the </w:t>
      </w:r>
      <w:r w:rsidRPr="00866F4A">
        <w:t>security force brought the baby.</w:t>
      </w:r>
      <w:r>
        <w:rPr>
          <w:rStyle w:val="FootnoteReference"/>
        </w:rPr>
        <w:footnoteReference w:id="17"/>
      </w:r>
    </w:p>
    <w:p w14:paraId="21395B9D" w14:textId="0B28D8E2" w:rsidR="003E1845" w:rsidRDefault="003E1845" w:rsidP="003249CA">
      <w:pPr>
        <w:pStyle w:val="ListParagraph"/>
      </w:pPr>
    </w:p>
    <w:p w14:paraId="2BA05B0D" w14:textId="77777777" w:rsidR="00EF1378" w:rsidRDefault="00EF1378" w:rsidP="00E07B55"/>
    <w:p w14:paraId="410A0DAC" w14:textId="27F2E9F7" w:rsidR="00562125" w:rsidRPr="002D78E1" w:rsidRDefault="00562125" w:rsidP="00304DCA">
      <w:pPr>
        <w:jc w:val="both"/>
        <w:rPr>
          <w:i/>
          <w:iCs/>
          <w:lang w:val="en-US"/>
        </w:rPr>
      </w:pPr>
      <w:r w:rsidRPr="002D78E1">
        <w:rPr>
          <w:i/>
          <w:iCs/>
          <w:lang w:val="en-US"/>
        </w:rPr>
        <w:t xml:space="preserve">Suggested questions for </w:t>
      </w:r>
      <w:r w:rsidR="00D6472D">
        <w:rPr>
          <w:i/>
          <w:iCs/>
          <w:lang w:val="en-US"/>
        </w:rPr>
        <w:t xml:space="preserve">the </w:t>
      </w:r>
      <w:r w:rsidRPr="002D78E1">
        <w:rPr>
          <w:i/>
          <w:iCs/>
          <w:lang w:val="en-US"/>
        </w:rPr>
        <w:t>State:</w:t>
      </w:r>
    </w:p>
    <w:p w14:paraId="5FB61952" w14:textId="05F8F825" w:rsidR="005931B5" w:rsidRPr="00217602" w:rsidRDefault="00E361DB" w:rsidP="00304DCA">
      <w:pPr>
        <w:pStyle w:val="ListParagraph"/>
        <w:numPr>
          <w:ilvl w:val="0"/>
          <w:numId w:val="19"/>
        </w:numPr>
        <w:jc w:val="both"/>
        <w:rPr>
          <w:b/>
          <w:bCs/>
        </w:rPr>
      </w:pPr>
      <w:r w:rsidRPr="00066A32">
        <w:rPr>
          <w:i/>
          <w:iCs/>
        </w:rPr>
        <w:lastRenderedPageBreak/>
        <w:t xml:space="preserve">Please provide information on </w:t>
      </w:r>
      <w:r w:rsidR="00066A32">
        <w:rPr>
          <w:i/>
          <w:iCs/>
        </w:rPr>
        <w:t xml:space="preserve">policies and </w:t>
      </w:r>
      <w:r w:rsidRPr="00066A32">
        <w:rPr>
          <w:i/>
          <w:iCs/>
        </w:rPr>
        <w:t xml:space="preserve">the steps taken </w:t>
      </w:r>
      <w:r w:rsidR="00066A32">
        <w:rPr>
          <w:i/>
          <w:iCs/>
        </w:rPr>
        <w:t>by the Government of Indon</w:t>
      </w:r>
      <w:r w:rsidR="00AA0844">
        <w:rPr>
          <w:i/>
          <w:iCs/>
        </w:rPr>
        <w:t>e</w:t>
      </w:r>
      <w:r w:rsidR="00066A32">
        <w:rPr>
          <w:i/>
          <w:iCs/>
        </w:rPr>
        <w:t xml:space="preserve">sia </w:t>
      </w:r>
      <w:r w:rsidRPr="00066A32">
        <w:rPr>
          <w:i/>
          <w:iCs/>
        </w:rPr>
        <w:t xml:space="preserve">to provide effective redress to victims of gender-based violence committed </w:t>
      </w:r>
      <w:r w:rsidR="009570C7" w:rsidRPr="00066A32">
        <w:rPr>
          <w:i/>
          <w:iCs/>
        </w:rPr>
        <w:t xml:space="preserve">by the Indonesian security forces in </w:t>
      </w:r>
      <w:r w:rsidR="00224665" w:rsidRPr="00066A32">
        <w:rPr>
          <w:i/>
          <w:iCs/>
        </w:rPr>
        <w:t xml:space="preserve">the </w:t>
      </w:r>
      <w:r w:rsidR="00217602">
        <w:rPr>
          <w:i/>
          <w:iCs/>
        </w:rPr>
        <w:t>Provinces of Papua and West Papua</w:t>
      </w:r>
      <w:r w:rsidR="005359F7">
        <w:rPr>
          <w:i/>
          <w:iCs/>
        </w:rPr>
        <w:t>.</w:t>
      </w:r>
    </w:p>
    <w:p w14:paraId="186185D6" w14:textId="0487B727" w:rsidR="00217602" w:rsidRPr="00941674" w:rsidRDefault="00987100" w:rsidP="00304DCA">
      <w:pPr>
        <w:pStyle w:val="ListParagraph"/>
        <w:numPr>
          <w:ilvl w:val="0"/>
          <w:numId w:val="19"/>
        </w:numPr>
        <w:jc w:val="both"/>
        <w:rPr>
          <w:b/>
          <w:bCs/>
        </w:rPr>
      </w:pPr>
      <w:r w:rsidRPr="39B60A81">
        <w:rPr>
          <w:i/>
          <w:iCs/>
        </w:rPr>
        <w:t xml:space="preserve">Please provide information on measures taken by the Government of Indonesia </w:t>
      </w:r>
      <w:r w:rsidR="00ED742E" w:rsidRPr="39B60A81">
        <w:rPr>
          <w:i/>
          <w:iCs/>
        </w:rPr>
        <w:t>to</w:t>
      </w:r>
      <w:r w:rsidR="2A39B905" w:rsidRPr="39B60A81">
        <w:rPr>
          <w:i/>
          <w:iCs/>
        </w:rPr>
        <w:t xml:space="preserve"> respect,</w:t>
      </w:r>
      <w:r w:rsidR="00ED742E" w:rsidRPr="39B60A81">
        <w:rPr>
          <w:i/>
          <w:iCs/>
        </w:rPr>
        <w:t xml:space="preserve"> protect</w:t>
      </w:r>
      <w:r w:rsidR="009A5DDA" w:rsidRPr="39B60A81">
        <w:rPr>
          <w:i/>
          <w:iCs/>
        </w:rPr>
        <w:t xml:space="preserve"> and </w:t>
      </w:r>
      <w:r w:rsidR="0D359559" w:rsidRPr="39B60A81">
        <w:rPr>
          <w:i/>
          <w:iCs/>
        </w:rPr>
        <w:t>fulfil the</w:t>
      </w:r>
      <w:r w:rsidR="0027613C" w:rsidRPr="39B60A81">
        <w:rPr>
          <w:i/>
          <w:iCs/>
        </w:rPr>
        <w:t xml:space="preserve"> human rights</w:t>
      </w:r>
      <w:r w:rsidR="3B18C9C5" w:rsidRPr="39B60A81">
        <w:rPr>
          <w:i/>
          <w:iCs/>
        </w:rPr>
        <w:t xml:space="preserve"> of</w:t>
      </w:r>
      <w:r w:rsidR="00ED742E" w:rsidRPr="39B60A81">
        <w:rPr>
          <w:i/>
          <w:iCs/>
        </w:rPr>
        <w:t xml:space="preserve"> indigenous women who </w:t>
      </w:r>
      <w:r w:rsidR="477BA570" w:rsidRPr="39B60A81">
        <w:rPr>
          <w:i/>
          <w:iCs/>
        </w:rPr>
        <w:t>have been</w:t>
      </w:r>
      <w:r w:rsidR="00ED742E" w:rsidRPr="39B60A81">
        <w:rPr>
          <w:i/>
          <w:iCs/>
        </w:rPr>
        <w:t xml:space="preserve"> </w:t>
      </w:r>
      <w:r w:rsidR="0027613C" w:rsidRPr="39B60A81">
        <w:rPr>
          <w:i/>
          <w:iCs/>
        </w:rPr>
        <w:t>displaced during the situation of conflict</w:t>
      </w:r>
      <w:r w:rsidR="005359F7" w:rsidRPr="39B60A81">
        <w:rPr>
          <w:i/>
          <w:iCs/>
        </w:rPr>
        <w:t>.</w:t>
      </w:r>
    </w:p>
    <w:p w14:paraId="10DDA824" w14:textId="744C4171" w:rsidR="00941674" w:rsidRPr="00066A32" w:rsidRDefault="00941674" w:rsidP="00304DCA">
      <w:pPr>
        <w:pStyle w:val="ListParagraph"/>
        <w:numPr>
          <w:ilvl w:val="0"/>
          <w:numId w:val="19"/>
        </w:numPr>
        <w:jc w:val="both"/>
        <w:rPr>
          <w:b/>
          <w:bCs/>
        </w:rPr>
      </w:pPr>
      <w:r w:rsidRPr="39B60A81">
        <w:rPr>
          <w:i/>
          <w:iCs/>
        </w:rPr>
        <w:t xml:space="preserve">Please provide information </w:t>
      </w:r>
      <w:r w:rsidR="00964EB4">
        <w:rPr>
          <w:i/>
          <w:iCs/>
        </w:rPr>
        <w:t>on</w:t>
      </w:r>
      <w:r w:rsidR="00964EB4" w:rsidRPr="39B60A81">
        <w:rPr>
          <w:i/>
          <w:iCs/>
        </w:rPr>
        <w:t xml:space="preserve"> </w:t>
      </w:r>
      <w:r w:rsidR="008849EE" w:rsidRPr="39B60A81">
        <w:rPr>
          <w:i/>
          <w:iCs/>
        </w:rPr>
        <w:t>steps taken by the Government of Indonesia to ensure</w:t>
      </w:r>
      <w:r w:rsidRPr="39B60A81">
        <w:rPr>
          <w:i/>
          <w:iCs/>
        </w:rPr>
        <w:t xml:space="preserve"> humanitarian </w:t>
      </w:r>
      <w:r w:rsidR="008849EE" w:rsidRPr="39B60A81">
        <w:rPr>
          <w:i/>
          <w:iCs/>
        </w:rPr>
        <w:t xml:space="preserve">access </w:t>
      </w:r>
      <w:r w:rsidR="4F5099AB" w:rsidRPr="39B60A81">
        <w:rPr>
          <w:i/>
          <w:iCs/>
        </w:rPr>
        <w:t>t</w:t>
      </w:r>
      <w:r w:rsidR="007B3248">
        <w:rPr>
          <w:i/>
          <w:iCs/>
        </w:rPr>
        <w:t>o assist the</w:t>
      </w:r>
      <w:r w:rsidR="4F5099AB" w:rsidRPr="39B60A81">
        <w:rPr>
          <w:i/>
          <w:iCs/>
        </w:rPr>
        <w:t xml:space="preserve"> </w:t>
      </w:r>
      <w:r w:rsidR="005E5814" w:rsidRPr="39B60A81">
        <w:rPr>
          <w:i/>
          <w:iCs/>
        </w:rPr>
        <w:t xml:space="preserve">victims of internal displacement, </w:t>
      </w:r>
      <w:r w:rsidR="008849EE" w:rsidRPr="39B60A81">
        <w:rPr>
          <w:i/>
          <w:iCs/>
        </w:rPr>
        <w:t xml:space="preserve">including women, during the situation </w:t>
      </w:r>
      <w:r w:rsidR="005359F7" w:rsidRPr="39B60A81">
        <w:rPr>
          <w:i/>
          <w:iCs/>
        </w:rPr>
        <w:t>of conflict, such as the case in Nduga in Papua Province.</w:t>
      </w:r>
    </w:p>
    <w:p w14:paraId="01E86B06" w14:textId="77777777" w:rsidR="00217602" w:rsidRDefault="00217602" w:rsidP="00304DCA">
      <w:pPr>
        <w:jc w:val="both"/>
        <w:rPr>
          <w:b/>
          <w:bCs/>
          <w:lang w:val="en-US"/>
        </w:rPr>
      </w:pPr>
    </w:p>
    <w:p w14:paraId="1F542DCA" w14:textId="6002C691" w:rsidR="003249CA" w:rsidRPr="005C2FC1" w:rsidRDefault="006C2EB0" w:rsidP="005C2FC1">
      <w:pPr>
        <w:rPr>
          <w:b/>
          <w:lang w:val="en-US"/>
        </w:rPr>
      </w:pPr>
      <w:r w:rsidRPr="006C2EB0">
        <w:rPr>
          <w:b/>
          <w:bCs/>
          <w:lang w:val="en-US"/>
        </w:rPr>
        <w:t>Economic marginali</w:t>
      </w:r>
      <w:r w:rsidR="002D78E1">
        <w:rPr>
          <w:b/>
          <w:bCs/>
          <w:lang w:val="en-US"/>
        </w:rPr>
        <w:t>z</w:t>
      </w:r>
      <w:r w:rsidRPr="006C2EB0">
        <w:rPr>
          <w:b/>
          <w:bCs/>
          <w:lang w:val="en-US"/>
        </w:rPr>
        <w:t>ation of indigenous Papuan women (Articles 3, 4, 13 &amp; 14)</w:t>
      </w:r>
    </w:p>
    <w:p w14:paraId="7DE1C894" w14:textId="4AAE75B4" w:rsidR="003314F5" w:rsidRDefault="00EB7911" w:rsidP="00A32A77">
      <w:pPr>
        <w:pStyle w:val="ListParagraph"/>
        <w:numPr>
          <w:ilvl w:val="0"/>
          <w:numId w:val="7"/>
        </w:numPr>
        <w:jc w:val="both"/>
      </w:pPr>
      <w:r>
        <w:t xml:space="preserve">The Provinces of Papua and West Papua are </w:t>
      </w:r>
      <w:r w:rsidR="00DA4D7D">
        <w:t>predominantly rural</w:t>
      </w:r>
      <w:r>
        <w:t xml:space="preserve"> area</w:t>
      </w:r>
      <w:r w:rsidR="3E928567">
        <w:t>s</w:t>
      </w:r>
      <w:r w:rsidR="00C24834">
        <w:t xml:space="preserve">. </w:t>
      </w:r>
      <w:r w:rsidR="38CD6D79">
        <w:t xml:space="preserve">And </w:t>
      </w:r>
      <w:r w:rsidR="3B86B734">
        <w:t>the</w:t>
      </w:r>
      <w:r w:rsidR="000C64A3">
        <w:t xml:space="preserve"> </w:t>
      </w:r>
      <w:r w:rsidR="3B86B734">
        <w:t>vast majority of</w:t>
      </w:r>
      <w:r w:rsidR="00AF0A43">
        <w:t xml:space="preserve"> </w:t>
      </w:r>
      <w:r w:rsidR="00C547EE">
        <w:t xml:space="preserve">the indigenous Papuans live </w:t>
      </w:r>
      <w:r w:rsidR="00AF0A43" w:rsidRPr="00AF0A43">
        <w:t xml:space="preserve">in </w:t>
      </w:r>
      <w:r w:rsidR="006B4746">
        <w:t>the</w:t>
      </w:r>
      <w:r w:rsidR="6E3D2EC6">
        <w:t>se</w:t>
      </w:r>
      <w:r w:rsidR="006B4746">
        <w:t xml:space="preserve"> </w:t>
      </w:r>
      <w:r w:rsidR="00AF0A43" w:rsidRPr="00AF0A43">
        <w:t>rural areas</w:t>
      </w:r>
      <w:r w:rsidR="00D032F9">
        <w:t xml:space="preserve">. They </w:t>
      </w:r>
      <w:r w:rsidR="007255DF">
        <w:t xml:space="preserve">are </w:t>
      </w:r>
      <w:r w:rsidR="00430150" w:rsidRPr="00AF0A43">
        <w:t xml:space="preserve">primarily </w:t>
      </w:r>
      <w:r w:rsidR="00AF0A43" w:rsidRPr="00AF0A43">
        <w:t>dependent on subsistence agriculture</w:t>
      </w:r>
      <w:r w:rsidR="00C1022D">
        <w:t xml:space="preserve"> for their livelihood</w:t>
      </w:r>
      <w:r w:rsidR="00AF0A43" w:rsidRPr="00AF0A43">
        <w:t>.</w:t>
      </w:r>
      <w:r w:rsidR="00430150">
        <w:rPr>
          <w:rStyle w:val="FootnoteReference"/>
        </w:rPr>
        <w:footnoteReference w:id="18"/>
      </w:r>
      <w:r w:rsidR="00C24834">
        <w:t xml:space="preserve"> </w:t>
      </w:r>
      <w:r w:rsidR="00193845">
        <w:t>Most of t</w:t>
      </w:r>
      <w:r w:rsidR="004B4DCB">
        <w:t xml:space="preserve">he </w:t>
      </w:r>
      <w:r w:rsidR="006C3065">
        <w:t>Papuan</w:t>
      </w:r>
      <w:r w:rsidR="00700F96">
        <w:t xml:space="preserve"> women </w:t>
      </w:r>
      <w:r w:rsidR="00193845">
        <w:t>are involved in agriculture</w:t>
      </w:r>
      <w:r w:rsidR="003F3C8C">
        <w:t xml:space="preserve">. </w:t>
      </w:r>
      <w:r w:rsidR="002F0C3C">
        <w:t>To</w:t>
      </w:r>
      <w:r w:rsidR="00700F96">
        <w:t xml:space="preserve"> meet their </w:t>
      </w:r>
      <w:r w:rsidR="57342F1D">
        <w:t xml:space="preserve">other </w:t>
      </w:r>
      <w:r w:rsidR="00700F96">
        <w:t>needs</w:t>
      </w:r>
      <w:r w:rsidR="00F94C54">
        <w:t xml:space="preserve">, they also sell their </w:t>
      </w:r>
      <w:r w:rsidR="00B92045">
        <w:t>products</w:t>
      </w:r>
      <w:r w:rsidR="001A56B5" w:rsidRPr="005E4574">
        <w:t>, such as fruits and vegetables</w:t>
      </w:r>
      <w:r w:rsidR="00B92045">
        <w:t>,</w:t>
      </w:r>
      <w:r w:rsidR="001A56B5">
        <w:t xml:space="preserve"> </w:t>
      </w:r>
      <w:r w:rsidR="00700F96">
        <w:t xml:space="preserve">in the market. </w:t>
      </w:r>
    </w:p>
    <w:p w14:paraId="6C2878C6" w14:textId="77777777" w:rsidR="003314F5" w:rsidRDefault="003314F5" w:rsidP="003314F5">
      <w:pPr>
        <w:pStyle w:val="ListParagraph"/>
        <w:jc w:val="both"/>
      </w:pPr>
    </w:p>
    <w:p w14:paraId="2CDE8086" w14:textId="552FA20A" w:rsidR="00617581" w:rsidRDefault="003B1CB1" w:rsidP="00A32A77">
      <w:pPr>
        <w:pStyle w:val="ListParagraph"/>
        <w:numPr>
          <w:ilvl w:val="0"/>
          <w:numId w:val="7"/>
        </w:numPr>
        <w:jc w:val="both"/>
      </w:pPr>
      <w:r>
        <w:t>T</w:t>
      </w:r>
      <w:r w:rsidR="00442AA6">
        <w:t xml:space="preserve">he indigenous </w:t>
      </w:r>
      <w:r w:rsidR="00700F96">
        <w:t xml:space="preserve">Papuan women </w:t>
      </w:r>
      <w:r w:rsidR="005359F7">
        <w:t>often do</w:t>
      </w:r>
      <w:r w:rsidR="00920CB9">
        <w:t xml:space="preserve"> not have </w:t>
      </w:r>
      <w:r w:rsidR="77B5E74F">
        <w:t xml:space="preserve">equal and effective </w:t>
      </w:r>
      <w:r w:rsidR="34E8412C">
        <w:t xml:space="preserve">access to extension services like </w:t>
      </w:r>
      <w:r w:rsidR="00920CB9">
        <w:t xml:space="preserve">sufficient </w:t>
      </w:r>
      <w:r w:rsidR="00700F96">
        <w:t xml:space="preserve">business knowledge and capital to </w:t>
      </w:r>
      <w:r w:rsidR="128ED338">
        <w:t>have adequate access to the market</w:t>
      </w:r>
      <w:r w:rsidR="00920CB9">
        <w:t xml:space="preserve">. </w:t>
      </w:r>
      <w:r w:rsidR="00172171">
        <w:t xml:space="preserve">There is a gap of skill and knowledge between the indigenous Papuan women who </w:t>
      </w:r>
      <w:r w:rsidR="70FC9231">
        <w:t>are</w:t>
      </w:r>
      <w:r w:rsidR="00172171">
        <w:t xml:space="preserve"> involved in th</w:t>
      </w:r>
      <w:r w:rsidR="008F648E">
        <w:t xml:space="preserve">e market </w:t>
      </w:r>
      <w:r w:rsidR="00162F71">
        <w:t>as compared</w:t>
      </w:r>
      <w:r w:rsidR="008F648E">
        <w:t xml:space="preserve"> with the </w:t>
      </w:r>
      <w:r w:rsidR="00BA4ACC">
        <w:t xml:space="preserve">migrants coming from outside Papua. </w:t>
      </w:r>
      <w:r w:rsidR="00BA4ACC" w:rsidRPr="005E4574">
        <w:t>This gap is due to the uneven assistance from the government that provide less capital and trainings to Papuan women traders</w:t>
      </w:r>
      <w:r w:rsidR="6F1B4888" w:rsidRPr="005E4574">
        <w:t>, which</w:t>
      </w:r>
      <w:r w:rsidR="00E751D5">
        <w:t xml:space="preserve"> </w:t>
      </w:r>
      <w:r w:rsidR="71C77101" w:rsidRPr="005E4574">
        <w:t>m</w:t>
      </w:r>
      <w:r w:rsidR="00BA4ACC" w:rsidRPr="005E4574">
        <w:t>ake</w:t>
      </w:r>
      <w:r w:rsidR="1677A7E7" w:rsidRPr="005E4574">
        <w:t>s</w:t>
      </w:r>
      <w:r w:rsidR="00BA4ACC" w:rsidRPr="005E4574">
        <w:t xml:space="preserve"> their productivity and skills as traders quite limited.</w:t>
      </w:r>
      <w:r w:rsidR="00BA4ACC">
        <w:rPr>
          <w:rStyle w:val="FootnoteReference"/>
        </w:rPr>
        <w:footnoteReference w:id="19"/>
      </w:r>
    </w:p>
    <w:p w14:paraId="446D6F21" w14:textId="77777777" w:rsidR="0076417D" w:rsidRDefault="0076417D" w:rsidP="0076417D">
      <w:pPr>
        <w:pStyle w:val="ListParagraph"/>
        <w:jc w:val="both"/>
      </w:pPr>
    </w:p>
    <w:p w14:paraId="102EC52F" w14:textId="51056812" w:rsidR="00700F96" w:rsidRDefault="00A32A77" w:rsidP="00A707CB">
      <w:pPr>
        <w:pStyle w:val="ListParagraph"/>
        <w:numPr>
          <w:ilvl w:val="0"/>
          <w:numId w:val="7"/>
        </w:numPr>
        <w:jc w:val="both"/>
      </w:pPr>
      <w:r>
        <w:t>Large scale development projects</w:t>
      </w:r>
      <w:r w:rsidR="006F366B">
        <w:t xml:space="preserve">, especially </w:t>
      </w:r>
      <w:r w:rsidR="00AA42C8">
        <w:t xml:space="preserve">through the conversion of customary land and forests, </w:t>
      </w:r>
      <w:r>
        <w:t xml:space="preserve">are among the key causes for </w:t>
      </w:r>
      <w:r w:rsidR="71095FF3">
        <w:t xml:space="preserve">the </w:t>
      </w:r>
      <w:r>
        <w:t>economic marginalization of women. The destruction of forests and hunting grounds as a source of livelihood for indigenous communities puts an additional burden on the lives of affected Papuan women.</w:t>
      </w:r>
      <w:r w:rsidR="00F11C84">
        <w:t xml:space="preserve"> As</w:t>
      </w:r>
      <w:r w:rsidR="1A43BEC6">
        <w:t xml:space="preserve"> a</w:t>
      </w:r>
      <w:r w:rsidR="00F11C84">
        <w:t xml:space="preserve"> result, the indigenous Papuan women have limited access to </w:t>
      </w:r>
      <w:r w:rsidR="00E42B6B">
        <w:t xml:space="preserve">economic </w:t>
      </w:r>
      <w:r w:rsidR="00F11C84">
        <w:t>resources</w:t>
      </w:r>
      <w:r w:rsidR="00E42B6B">
        <w:t xml:space="preserve">. </w:t>
      </w:r>
    </w:p>
    <w:p w14:paraId="13F76609" w14:textId="77777777" w:rsidR="00A32A77" w:rsidRDefault="00A32A77" w:rsidP="00A32A77">
      <w:pPr>
        <w:pStyle w:val="ListParagraph"/>
        <w:jc w:val="both"/>
      </w:pPr>
    </w:p>
    <w:p w14:paraId="1E858232" w14:textId="148ED531" w:rsidR="006C2EB0" w:rsidRPr="00B15A7E" w:rsidRDefault="006C2EB0" w:rsidP="00791608">
      <w:pPr>
        <w:pStyle w:val="ListParagraph"/>
        <w:numPr>
          <w:ilvl w:val="0"/>
          <w:numId w:val="7"/>
        </w:numPr>
        <w:jc w:val="both"/>
      </w:pPr>
      <w:r>
        <w:t>Government-led development project</w:t>
      </w:r>
      <w:r w:rsidR="00461FFB">
        <w:t>s</w:t>
      </w:r>
      <w:r>
        <w:t xml:space="preserve"> in Papua Province, such as </w:t>
      </w:r>
      <w:r w:rsidRPr="00704415">
        <w:t xml:space="preserve">the Merauke Integrated Food and Energy Estate (MIFEE), </w:t>
      </w:r>
      <w:r>
        <w:t>which planned to</w:t>
      </w:r>
      <w:r w:rsidRPr="00704415">
        <w:t xml:space="preserve"> convert at least a million hectare of forests </w:t>
      </w:r>
      <w:r w:rsidRPr="00AF34D3">
        <w:t xml:space="preserve">and swamp into privatized concessions has </w:t>
      </w:r>
      <w:r>
        <w:t xml:space="preserve">particularly </w:t>
      </w:r>
      <w:r w:rsidRPr="00AF34D3">
        <w:t>affected Marind indigenous women</w:t>
      </w:r>
      <w:r>
        <w:t xml:space="preserve"> </w:t>
      </w:r>
      <w:r w:rsidRPr="00AF34D3">
        <w:t xml:space="preserve">who live in the area of the project. Sago trees found in the forest have been their main source of food. </w:t>
      </w:r>
      <w:r>
        <w:t>In addition</w:t>
      </w:r>
      <w:r w:rsidRPr="00AF34D3">
        <w:t xml:space="preserve">, the destruction of the forest for the project undermines the </w:t>
      </w:r>
      <w:r>
        <w:t xml:space="preserve">special </w:t>
      </w:r>
      <w:r w:rsidRPr="00AF34D3">
        <w:t xml:space="preserve">relationship of Marind men, women, and children to the plants and animals </w:t>
      </w:r>
      <w:r>
        <w:t xml:space="preserve">of </w:t>
      </w:r>
      <w:r w:rsidRPr="00AF34D3">
        <w:t>th</w:t>
      </w:r>
      <w:r>
        <w:t>is</w:t>
      </w:r>
      <w:r w:rsidRPr="00AF34D3">
        <w:t xml:space="preserve"> forest.</w:t>
      </w:r>
      <w:r>
        <w:rPr>
          <w:rStyle w:val="FootnoteReference"/>
        </w:rPr>
        <w:footnoteReference w:id="20"/>
      </w:r>
      <w:r w:rsidRPr="00AF34D3">
        <w:t xml:space="preserve"> Due to the deforestation </w:t>
      </w:r>
      <w:r w:rsidR="55C6A77E" w:rsidRPr="00AF34D3">
        <w:t xml:space="preserve">to the </w:t>
      </w:r>
      <w:r w:rsidR="55C6A77E" w:rsidRPr="00AF34D3">
        <w:lastRenderedPageBreak/>
        <w:t>benefit of</w:t>
      </w:r>
      <w:r w:rsidRPr="00AF34D3">
        <w:t xml:space="preserve"> the project, the Marind women were</w:t>
      </w:r>
      <w:r>
        <w:t xml:space="preserve"> also</w:t>
      </w:r>
      <w:r w:rsidRPr="00AF34D3">
        <w:t xml:space="preserve"> deprived from their access to water.</w:t>
      </w:r>
      <w:r>
        <w:t xml:space="preserve">  It is also reported that</w:t>
      </w:r>
      <w:r w:rsidRPr="00AF34D3">
        <w:t xml:space="preserve"> </w:t>
      </w:r>
      <w:r>
        <w:t>some Marind women</w:t>
      </w:r>
      <w:r w:rsidRPr="00AF34D3">
        <w:t xml:space="preserve"> were subject to sexual and physical violence while on their way to </w:t>
      </w:r>
      <w:r>
        <w:t>collect</w:t>
      </w:r>
      <w:r w:rsidRPr="00AF34D3">
        <w:t xml:space="preserve"> water</w:t>
      </w:r>
      <w:r>
        <w:t xml:space="preserve"> from other sources</w:t>
      </w:r>
      <w:r w:rsidRPr="00AF34D3">
        <w:t>.</w:t>
      </w:r>
      <w:r>
        <w:rPr>
          <w:rStyle w:val="FootnoteReference"/>
        </w:rPr>
        <w:footnoteReference w:id="21"/>
      </w:r>
    </w:p>
    <w:p w14:paraId="749F33E6" w14:textId="77777777" w:rsidR="003249CA" w:rsidRPr="006C2EB0" w:rsidRDefault="003249CA" w:rsidP="003249CA">
      <w:pPr>
        <w:jc w:val="both"/>
        <w:rPr>
          <w:strike/>
          <w:lang w:val="en-US"/>
        </w:rPr>
      </w:pPr>
    </w:p>
    <w:p w14:paraId="0F06C14C" w14:textId="7BBAE733" w:rsidR="003249CA" w:rsidRPr="002D78E1" w:rsidRDefault="003249CA" w:rsidP="003249CA">
      <w:pPr>
        <w:rPr>
          <w:i/>
          <w:iCs/>
          <w:lang w:val="en-US"/>
        </w:rPr>
      </w:pPr>
      <w:r w:rsidRPr="002D78E1">
        <w:rPr>
          <w:i/>
          <w:iCs/>
          <w:lang w:val="en-US"/>
        </w:rPr>
        <w:t xml:space="preserve">Suggested questions for </w:t>
      </w:r>
      <w:r w:rsidR="00D6472D">
        <w:rPr>
          <w:i/>
          <w:iCs/>
          <w:lang w:val="en-US"/>
        </w:rPr>
        <w:t xml:space="preserve">the </w:t>
      </w:r>
      <w:r w:rsidRPr="002D78E1">
        <w:rPr>
          <w:i/>
          <w:iCs/>
          <w:lang w:val="en-US"/>
        </w:rPr>
        <w:t>State:</w:t>
      </w:r>
    </w:p>
    <w:p w14:paraId="2E996594" w14:textId="21E65FFF" w:rsidR="002D78E1" w:rsidRPr="00A56942" w:rsidRDefault="00013178" w:rsidP="00304DCA">
      <w:pPr>
        <w:pStyle w:val="ListParagraph"/>
        <w:numPr>
          <w:ilvl w:val="0"/>
          <w:numId w:val="19"/>
        </w:numPr>
        <w:jc w:val="both"/>
        <w:rPr>
          <w:b/>
        </w:rPr>
      </w:pPr>
      <w:r w:rsidRPr="0006229E">
        <w:rPr>
          <w:i/>
          <w:iCs/>
        </w:rPr>
        <w:t xml:space="preserve">Please provide information on measures and steps taken by the Government of Indonesia to ensure that </w:t>
      </w:r>
      <w:r w:rsidR="0006229E">
        <w:rPr>
          <w:i/>
          <w:iCs/>
        </w:rPr>
        <w:t>indigenous women in the Provinces of Papua and West Papua can be involved in the decision</w:t>
      </w:r>
      <w:r w:rsidR="00914885">
        <w:rPr>
          <w:i/>
          <w:iCs/>
        </w:rPr>
        <w:t>-</w:t>
      </w:r>
      <w:r w:rsidR="0006229E">
        <w:rPr>
          <w:i/>
          <w:iCs/>
        </w:rPr>
        <w:t xml:space="preserve">making process </w:t>
      </w:r>
      <w:r w:rsidR="00A56942">
        <w:rPr>
          <w:i/>
          <w:iCs/>
        </w:rPr>
        <w:t>including on the economic matters</w:t>
      </w:r>
      <w:r w:rsidR="006D067B">
        <w:rPr>
          <w:i/>
          <w:iCs/>
        </w:rPr>
        <w:t xml:space="preserve"> to avoid the gap between the indigenous and non-indigenous Papuans</w:t>
      </w:r>
    </w:p>
    <w:p w14:paraId="60053CD7" w14:textId="668C8BFD" w:rsidR="00A56942" w:rsidRPr="001D0A64" w:rsidRDefault="00A56942" w:rsidP="00304DCA">
      <w:pPr>
        <w:pStyle w:val="ListParagraph"/>
        <w:numPr>
          <w:ilvl w:val="0"/>
          <w:numId w:val="19"/>
        </w:numPr>
        <w:jc w:val="both"/>
        <w:rPr>
          <w:b/>
          <w:bCs/>
        </w:rPr>
      </w:pPr>
      <w:r>
        <w:rPr>
          <w:i/>
          <w:iCs/>
        </w:rPr>
        <w:t xml:space="preserve">Please provide information </w:t>
      </w:r>
      <w:r w:rsidR="00E75AA5">
        <w:rPr>
          <w:i/>
          <w:iCs/>
        </w:rPr>
        <w:t>on</w:t>
      </w:r>
      <w:r w:rsidR="00CC4259">
        <w:rPr>
          <w:i/>
          <w:iCs/>
        </w:rPr>
        <w:t xml:space="preserve"> policies and</w:t>
      </w:r>
      <w:r w:rsidR="00E75AA5">
        <w:rPr>
          <w:i/>
          <w:iCs/>
        </w:rPr>
        <w:t xml:space="preserve"> </w:t>
      </w:r>
      <w:r w:rsidR="00CC4259">
        <w:rPr>
          <w:i/>
          <w:iCs/>
        </w:rPr>
        <w:t>measures taken by the Indonesian government t</w:t>
      </w:r>
      <w:r w:rsidR="006D067B">
        <w:rPr>
          <w:i/>
          <w:iCs/>
        </w:rPr>
        <w:t>o guarantee</w:t>
      </w:r>
      <w:r w:rsidR="001A7740">
        <w:rPr>
          <w:i/>
          <w:iCs/>
        </w:rPr>
        <w:t xml:space="preserve"> and fulfil</w:t>
      </w:r>
      <w:r w:rsidR="006D067B">
        <w:rPr>
          <w:i/>
          <w:iCs/>
        </w:rPr>
        <w:t xml:space="preserve"> the </w:t>
      </w:r>
      <w:r w:rsidR="001D0A64">
        <w:rPr>
          <w:i/>
          <w:iCs/>
        </w:rPr>
        <w:t>customary rights of indigenous Papuans, including women, to their natural resources, including forest and land.</w:t>
      </w:r>
    </w:p>
    <w:p w14:paraId="267989C4" w14:textId="77777777" w:rsidR="001D0A64" w:rsidRPr="0006229E" w:rsidRDefault="001D0A64" w:rsidP="001D0A64">
      <w:pPr>
        <w:pStyle w:val="ListParagraph"/>
        <w:rPr>
          <w:b/>
          <w:bCs/>
        </w:rPr>
      </w:pPr>
    </w:p>
    <w:p w14:paraId="3A13CE2E" w14:textId="30BA9006" w:rsidR="002D78E1" w:rsidRPr="003567B5" w:rsidRDefault="002D78E1" w:rsidP="003249CA">
      <w:pPr>
        <w:rPr>
          <w:b/>
          <w:bCs/>
          <w:lang w:val="en-US"/>
        </w:rPr>
      </w:pPr>
      <w:r w:rsidRPr="002D78E1">
        <w:rPr>
          <w:b/>
          <w:bCs/>
          <w:lang w:val="en-US"/>
        </w:rPr>
        <w:t>Access to</w:t>
      </w:r>
      <w:r w:rsidR="0053001D">
        <w:rPr>
          <w:b/>
          <w:bCs/>
          <w:lang w:val="en-US"/>
        </w:rPr>
        <w:t xml:space="preserve"> health, including</w:t>
      </w:r>
      <w:r w:rsidRPr="002D78E1">
        <w:rPr>
          <w:b/>
          <w:bCs/>
          <w:lang w:val="en-US"/>
        </w:rPr>
        <w:t xml:space="preserve"> maternal health </w:t>
      </w:r>
      <w:r w:rsidR="00814D6B">
        <w:rPr>
          <w:b/>
          <w:bCs/>
          <w:lang w:val="en-US"/>
        </w:rPr>
        <w:t xml:space="preserve">and </w:t>
      </w:r>
      <w:r w:rsidRPr="002D78E1">
        <w:rPr>
          <w:b/>
          <w:bCs/>
          <w:lang w:val="en-US"/>
        </w:rPr>
        <w:t>care services (Articles 3, 12 &amp; 14)</w:t>
      </w:r>
    </w:p>
    <w:p w14:paraId="141E6371" w14:textId="0B1E5F17" w:rsidR="006008FC" w:rsidRDefault="00C24A08" w:rsidP="00A064E8">
      <w:pPr>
        <w:pStyle w:val="ListParagraph"/>
        <w:numPr>
          <w:ilvl w:val="0"/>
          <w:numId w:val="7"/>
        </w:numPr>
        <w:jc w:val="both"/>
      </w:pPr>
      <w:r>
        <w:t>The</w:t>
      </w:r>
      <w:r w:rsidR="000941AA">
        <w:t xml:space="preserve"> </w:t>
      </w:r>
      <w:r w:rsidR="00FE5CB7">
        <w:t xml:space="preserve">prevalence, as expressed in </w:t>
      </w:r>
      <w:r w:rsidR="000941AA">
        <w:t>percentage</w:t>
      </w:r>
      <w:r w:rsidR="0015215E">
        <w:t>,</w:t>
      </w:r>
      <w:r w:rsidR="0057158C">
        <w:t xml:space="preserve"> of HIV/AIDS of the</w:t>
      </w:r>
      <w:r>
        <w:t xml:space="preserve"> Provinces of Papua and West Papua </w:t>
      </w:r>
      <w:r w:rsidR="00C07843">
        <w:t>is</w:t>
      </w:r>
      <w:r>
        <w:t xml:space="preserve"> </w:t>
      </w:r>
      <w:r w:rsidR="0057158C">
        <w:t>the highest in Indonesia</w:t>
      </w:r>
      <w:r w:rsidR="002F15D7">
        <w:t xml:space="preserve">, reaching </w:t>
      </w:r>
      <w:r w:rsidR="006F5477">
        <w:t xml:space="preserve">2.4 % </w:t>
      </w:r>
      <w:r w:rsidR="002F15D7">
        <w:t xml:space="preserve"> for the two provinces, </w:t>
      </w:r>
      <w:r w:rsidR="00B947D6">
        <w:t xml:space="preserve">in particular for the population of the age between </w:t>
      </w:r>
      <w:r w:rsidR="00801E46">
        <w:t xml:space="preserve">15 </w:t>
      </w:r>
      <w:r w:rsidR="00E044E8">
        <w:t xml:space="preserve">and  </w:t>
      </w:r>
      <w:r w:rsidR="00801E46">
        <w:t>49 years old.</w:t>
      </w:r>
      <w:r w:rsidR="0082430C">
        <w:rPr>
          <w:rStyle w:val="FootnoteReference"/>
        </w:rPr>
        <w:footnoteReference w:id="22"/>
      </w:r>
      <w:r w:rsidR="00E96E4C">
        <w:t xml:space="preserve"> </w:t>
      </w:r>
      <w:r w:rsidR="00E96E4C" w:rsidRPr="00E96E4C">
        <w:t xml:space="preserve">The prevalence of HIV infections in the </w:t>
      </w:r>
      <w:r w:rsidR="00A10EE6">
        <w:t>P</w:t>
      </w:r>
      <w:r w:rsidR="00E96E4C" w:rsidRPr="00E96E4C">
        <w:t>rovince of Papua is 2.4% which is 24 times higher than the national rate in Indonesia.</w:t>
      </w:r>
      <w:r w:rsidR="00A10EE6">
        <w:rPr>
          <w:rStyle w:val="FootnoteReference"/>
        </w:rPr>
        <w:footnoteReference w:id="23"/>
      </w:r>
      <w:r w:rsidR="00E96E4C" w:rsidRPr="00E96E4C">
        <w:t xml:space="preserve"> </w:t>
      </w:r>
      <w:r w:rsidR="00801E46">
        <w:t xml:space="preserve"> </w:t>
      </w:r>
      <w:r w:rsidR="00D02922">
        <w:t>I</w:t>
      </w:r>
      <w:r w:rsidR="00DC6045">
        <w:t xml:space="preserve">ndigenous Papuans </w:t>
      </w:r>
      <w:r w:rsidR="00D92D94">
        <w:t xml:space="preserve">are twice </w:t>
      </w:r>
      <w:r w:rsidR="004537C8">
        <w:t xml:space="preserve">as </w:t>
      </w:r>
      <w:r w:rsidR="00D92D94">
        <w:t xml:space="preserve">likely to </w:t>
      </w:r>
      <w:r w:rsidR="436CFD85">
        <w:t>live with</w:t>
      </w:r>
      <w:r w:rsidR="00D92D94">
        <w:t xml:space="preserve"> HIV/AIDS in comparison to people from other ethnic groups</w:t>
      </w:r>
      <w:r w:rsidR="00821FC9">
        <w:t xml:space="preserve">. </w:t>
      </w:r>
      <w:r w:rsidR="00641708">
        <w:t>Papuan women</w:t>
      </w:r>
      <w:r w:rsidR="00122CE7">
        <w:t xml:space="preserve"> are particularly at risk, </w:t>
      </w:r>
      <w:r w:rsidR="00826D84">
        <w:t xml:space="preserve">with </w:t>
      </w:r>
      <w:r w:rsidR="00821FC9">
        <w:t xml:space="preserve">HIV/AIDS transmission occur mainly through sexual </w:t>
      </w:r>
      <w:r w:rsidR="003A1AA6">
        <w:t>transmission</w:t>
      </w:r>
      <w:r w:rsidR="00821FC9">
        <w:t>.</w:t>
      </w:r>
      <w:r w:rsidR="00821FC9">
        <w:rPr>
          <w:rStyle w:val="FootnoteReference"/>
        </w:rPr>
        <w:footnoteReference w:id="24"/>
      </w:r>
      <w:r w:rsidR="00821FC9">
        <w:t xml:space="preserve"> </w:t>
      </w:r>
      <w:r w:rsidR="008F5B9E">
        <w:t xml:space="preserve"> </w:t>
      </w:r>
    </w:p>
    <w:p w14:paraId="326E226E" w14:textId="77777777" w:rsidR="009E0708" w:rsidRDefault="009E0708" w:rsidP="009E0708">
      <w:pPr>
        <w:pStyle w:val="ListParagraph"/>
        <w:jc w:val="both"/>
      </w:pPr>
    </w:p>
    <w:p w14:paraId="6FBE0A50" w14:textId="569D4289" w:rsidR="009E0708" w:rsidRDefault="00414D6A" w:rsidP="00A064E8">
      <w:pPr>
        <w:pStyle w:val="ListParagraph"/>
        <w:numPr>
          <w:ilvl w:val="0"/>
          <w:numId w:val="7"/>
        </w:numPr>
        <w:jc w:val="both"/>
      </w:pPr>
      <w:r>
        <w:t>According to the data released by t</w:t>
      </w:r>
      <w:r w:rsidR="009E0708">
        <w:t>he Papua Provincial Health Office the number of HIV/AIDS cases reach</w:t>
      </w:r>
      <w:r w:rsidR="003024D5">
        <w:t>ed</w:t>
      </w:r>
      <w:r w:rsidR="009E0708">
        <w:t xml:space="preserve"> 32,263 cases, consisting of 11,828 HIV and 20,435 AIDS cases. </w:t>
      </w:r>
      <w:r w:rsidR="009442D7">
        <w:t>With regard to gender</w:t>
      </w:r>
      <w:r w:rsidR="009E0708">
        <w:t xml:space="preserve">, HIV cases </w:t>
      </w:r>
      <w:r w:rsidR="007C6882">
        <w:t xml:space="preserve">for </w:t>
      </w:r>
      <w:r w:rsidR="00C47982">
        <w:t>ma</w:t>
      </w:r>
      <w:r w:rsidR="003D034F">
        <w:t>le</w:t>
      </w:r>
      <w:r w:rsidR="007C6882">
        <w:t xml:space="preserve"> </w:t>
      </w:r>
      <w:r w:rsidR="009E0708">
        <w:t xml:space="preserve">amount to 5,203 and AIDS </w:t>
      </w:r>
      <w:r w:rsidR="009F351D">
        <w:t>to</w:t>
      </w:r>
      <w:r w:rsidR="00AD042D">
        <w:t xml:space="preserve"> </w:t>
      </w:r>
      <w:r w:rsidR="009E0708">
        <w:t xml:space="preserve">10,345, while HIV cases </w:t>
      </w:r>
      <w:r w:rsidR="003D034F">
        <w:t xml:space="preserve">for female </w:t>
      </w:r>
      <w:r w:rsidR="009E0708">
        <w:t>are 6,563 and AIDS are 10,055. Further, there were 62 HIV and 35 AIDS cases whose identities were unknown by gender.</w:t>
      </w:r>
      <w:r w:rsidR="00706F2F">
        <w:rPr>
          <w:rStyle w:val="FootnoteReference"/>
        </w:rPr>
        <w:footnoteReference w:id="25"/>
      </w:r>
    </w:p>
    <w:p w14:paraId="2714A527" w14:textId="77777777" w:rsidR="003C1DAA" w:rsidRDefault="003C1DAA" w:rsidP="003C1DAA">
      <w:pPr>
        <w:pStyle w:val="ListParagraph"/>
        <w:jc w:val="both"/>
      </w:pPr>
    </w:p>
    <w:p w14:paraId="122900A7" w14:textId="31C5B776" w:rsidR="008F5B9E" w:rsidRDefault="003A5667" w:rsidP="0057667B">
      <w:pPr>
        <w:pStyle w:val="ListParagraph"/>
        <w:numPr>
          <w:ilvl w:val="0"/>
          <w:numId w:val="7"/>
        </w:numPr>
        <w:jc w:val="both"/>
      </w:pPr>
      <w:r>
        <w:t xml:space="preserve">The indigenous </w:t>
      </w:r>
      <w:r w:rsidR="00DF22C8">
        <w:t xml:space="preserve">Papuan women </w:t>
      </w:r>
      <w:r>
        <w:t xml:space="preserve">with HIV/AIDS </w:t>
      </w:r>
      <w:r w:rsidR="00E25ED8">
        <w:t xml:space="preserve">were particularly </w:t>
      </w:r>
      <w:r w:rsidR="00F7410C">
        <w:t xml:space="preserve">vulnerable. They </w:t>
      </w:r>
      <w:r>
        <w:t>were often</w:t>
      </w:r>
      <w:r w:rsidR="00023109">
        <w:t xml:space="preserve"> denied from the health services</w:t>
      </w:r>
      <w:r w:rsidR="008225B0">
        <w:t>, or in</w:t>
      </w:r>
      <w:r w:rsidR="00BD3C3D">
        <w:t xml:space="preserve"> some other cases, the</w:t>
      </w:r>
      <w:r w:rsidR="008225B0">
        <w:t>y</w:t>
      </w:r>
      <w:r w:rsidR="00893AC5">
        <w:t xml:space="preserve"> </w:t>
      </w:r>
      <w:r w:rsidR="00C04C3D">
        <w:t>were af</w:t>
      </w:r>
      <w:r w:rsidR="00EF48CE">
        <w:t xml:space="preserve">raid to </w:t>
      </w:r>
      <w:r w:rsidR="00164341">
        <w:t xml:space="preserve">seek for </w:t>
      </w:r>
      <w:r w:rsidR="00EF48CE">
        <w:t xml:space="preserve">help precisely because </w:t>
      </w:r>
      <w:r w:rsidR="00306D24">
        <w:t xml:space="preserve">of </w:t>
      </w:r>
      <w:r w:rsidR="00F95AD7">
        <w:t xml:space="preserve">stigmatization of </w:t>
      </w:r>
      <w:r w:rsidR="00306D24">
        <w:t>their HI</w:t>
      </w:r>
      <w:r w:rsidR="00F81182">
        <w:t xml:space="preserve">V Status. </w:t>
      </w:r>
      <w:r>
        <w:t xml:space="preserve"> </w:t>
      </w:r>
      <w:r w:rsidR="005D0C53">
        <w:t xml:space="preserve">Some women also </w:t>
      </w:r>
      <w:r w:rsidR="005D0C53">
        <w:lastRenderedPageBreak/>
        <w:t>experience</w:t>
      </w:r>
      <w:r w:rsidR="00E25ED8">
        <w:t>d</w:t>
      </w:r>
      <w:r w:rsidR="005D0C53">
        <w:t xml:space="preserve"> violence either by the husband or </w:t>
      </w:r>
      <w:r w:rsidR="00A9186C">
        <w:t>other members of the family</w:t>
      </w:r>
      <w:r w:rsidR="005D0C53">
        <w:t xml:space="preserve"> due their HIV Status</w:t>
      </w:r>
      <w:r w:rsidR="002D391C">
        <w:t>.</w:t>
      </w:r>
      <w:r w:rsidR="00C34C83">
        <w:t xml:space="preserve"> </w:t>
      </w:r>
      <w:r w:rsidR="00C34C83">
        <w:rPr>
          <w:rStyle w:val="FootnoteReference"/>
        </w:rPr>
        <w:footnoteReference w:id="26"/>
      </w:r>
    </w:p>
    <w:p w14:paraId="00BDFD06" w14:textId="77777777" w:rsidR="006D115D" w:rsidRDefault="006D115D" w:rsidP="006D115D">
      <w:pPr>
        <w:pStyle w:val="ListParagraph"/>
      </w:pPr>
    </w:p>
    <w:p w14:paraId="352FBA7F" w14:textId="1E53AA40" w:rsidR="003A1AA6" w:rsidRDefault="003A2138" w:rsidP="003A1AA6">
      <w:pPr>
        <w:pStyle w:val="ListParagraph"/>
        <w:numPr>
          <w:ilvl w:val="0"/>
          <w:numId w:val="7"/>
        </w:numPr>
        <w:jc w:val="both"/>
      </w:pPr>
      <w:r>
        <w:t xml:space="preserve">The rate of mortality for pregnant women and infants in </w:t>
      </w:r>
      <w:r w:rsidR="004F047F">
        <w:t xml:space="preserve">the </w:t>
      </w:r>
      <w:r w:rsidR="003A1AA6">
        <w:t>Papua Province</w:t>
      </w:r>
      <w:r>
        <w:t xml:space="preserve"> </w:t>
      </w:r>
      <w:r w:rsidR="00267526">
        <w:t xml:space="preserve">is also very concerning. </w:t>
      </w:r>
      <w:r w:rsidR="00476CE4">
        <w:t>The</w:t>
      </w:r>
      <w:r w:rsidR="00267526">
        <w:t xml:space="preserve"> information from </w:t>
      </w:r>
      <w:r w:rsidR="003A1AA6">
        <w:t>the Wamena Regional General Hospital, Jayawijaya Regency</w:t>
      </w:r>
      <w:r w:rsidR="00B21CBC">
        <w:t xml:space="preserve"> showed that </w:t>
      </w:r>
      <w:r w:rsidR="00D00534">
        <w:t>from the</w:t>
      </w:r>
      <w:r w:rsidR="003A1AA6">
        <w:t xml:space="preserve"> 1,888 mothers </w:t>
      </w:r>
      <w:r w:rsidR="00E53B88">
        <w:t xml:space="preserve">who </w:t>
      </w:r>
      <w:r w:rsidR="003A1AA6">
        <w:t>gave birth</w:t>
      </w:r>
      <w:r w:rsidR="00F30168">
        <w:t xml:space="preserve"> in 2015</w:t>
      </w:r>
      <w:r w:rsidR="003A1AA6">
        <w:t xml:space="preserve">, 7 of them died. In 2016, </w:t>
      </w:r>
      <w:r w:rsidR="00BD2DCF">
        <w:t xml:space="preserve">from </w:t>
      </w:r>
      <w:r w:rsidR="003A1AA6">
        <w:t>2</w:t>
      </w:r>
      <w:r w:rsidR="00982CCA">
        <w:t>,</w:t>
      </w:r>
      <w:r w:rsidR="003A1AA6">
        <w:t xml:space="preserve">009 mothers gave birth, </w:t>
      </w:r>
      <w:r w:rsidR="005B6DF7">
        <w:t xml:space="preserve">out of which </w:t>
      </w:r>
      <w:r w:rsidR="003A1AA6">
        <w:t>6 died.</w:t>
      </w:r>
      <w:r w:rsidR="006E14DD">
        <w:t xml:space="preserve"> T</w:t>
      </w:r>
      <w:r w:rsidR="00461907">
        <w:t>he death we</w:t>
      </w:r>
      <w:r w:rsidR="000456A8">
        <w:t>s</w:t>
      </w:r>
      <w:r w:rsidR="00461907">
        <w:t xml:space="preserve"> caused by </w:t>
      </w:r>
      <w:r w:rsidR="003A1AA6">
        <w:t>bleeding, pregnancy infection and malnutrition for pregnant women.</w:t>
      </w:r>
      <w:r w:rsidR="003A1AA6">
        <w:rPr>
          <w:rStyle w:val="FootnoteReference"/>
        </w:rPr>
        <w:footnoteReference w:id="27"/>
      </w:r>
      <w:r w:rsidR="003A1AA6">
        <w:t xml:space="preserve"> </w:t>
      </w:r>
      <w:r w:rsidR="00F5700F">
        <w:t>T</w:t>
      </w:r>
      <w:r w:rsidR="003A1AA6">
        <w:t xml:space="preserve">he </w:t>
      </w:r>
      <w:r w:rsidR="004D5DB3">
        <w:t xml:space="preserve">child </w:t>
      </w:r>
      <w:r w:rsidR="003A1AA6">
        <w:t xml:space="preserve">mortality rate in nine </w:t>
      </w:r>
      <w:r w:rsidR="134C3823">
        <w:t>regencies</w:t>
      </w:r>
      <w:r w:rsidR="003A1AA6">
        <w:t xml:space="preserve"> in Papua</w:t>
      </w:r>
      <w:r w:rsidR="00273F00">
        <w:t xml:space="preserve">, </w:t>
      </w:r>
      <w:r w:rsidR="003A1AA6">
        <w:t>Deiyai, Dogiyai, Pegunungan Bintang, Yahukimo, Mamberamo Tengah, Nduga, Puncak, Puncak Jaya and Waropen</w:t>
      </w:r>
      <w:r w:rsidR="00273F00">
        <w:t>,</w:t>
      </w:r>
      <w:r w:rsidR="00F5700F" w:rsidRPr="00F5700F">
        <w:t xml:space="preserve"> </w:t>
      </w:r>
      <w:r w:rsidR="00F5700F">
        <w:t>remained high</w:t>
      </w:r>
      <w:r w:rsidR="003A1AA6">
        <w:t>.</w:t>
      </w:r>
      <w:r w:rsidR="003A1AA6">
        <w:rPr>
          <w:rStyle w:val="FootnoteReference"/>
        </w:rPr>
        <w:footnoteReference w:id="28"/>
      </w:r>
      <w:r w:rsidR="003A1AA6">
        <w:t xml:space="preserve"> </w:t>
      </w:r>
    </w:p>
    <w:p w14:paraId="73851613" w14:textId="77777777" w:rsidR="00370D78" w:rsidRDefault="00370D78" w:rsidP="00370D78">
      <w:pPr>
        <w:pStyle w:val="ListParagraph"/>
        <w:jc w:val="both"/>
      </w:pPr>
    </w:p>
    <w:p w14:paraId="3DAC8209" w14:textId="518B8E24" w:rsidR="00080B4B" w:rsidRDefault="00080B4B" w:rsidP="003A1AA6">
      <w:pPr>
        <w:pStyle w:val="ListParagraph"/>
        <w:numPr>
          <w:ilvl w:val="0"/>
          <w:numId w:val="7"/>
        </w:numPr>
        <w:jc w:val="both"/>
      </w:pPr>
      <w:r>
        <w:t>Accordin</w:t>
      </w:r>
      <w:r w:rsidR="00370D78">
        <w:t xml:space="preserve">g to </w:t>
      </w:r>
      <w:r w:rsidR="41C980A9">
        <w:t>a</w:t>
      </w:r>
      <w:r w:rsidR="00370D78">
        <w:t xml:space="preserve"> statement of UNICEF, the </w:t>
      </w:r>
      <w:r w:rsidR="00C92F03">
        <w:t xml:space="preserve">maternal </w:t>
      </w:r>
      <w:r w:rsidR="00370D78">
        <w:t xml:space="preserve">mortality rate in </w:t>
      </w:r>
      <w:r w:rsidR="00061FB8">
        <w:t xml:space="preserve">the Provinces of </w:t>
      </w:r>
      <w:r w:rsidR="00370D78">
        <w:t xml:space="preserve">Papua </w:t>
      </w:r>
      <w:r w:rsidR="00061FB8">
        <w:t xml:space="preserve">and West Papua </w:t>
      </w:r>
      <w:r w:rsidR="00370D78">
        <w:t xml:space="preserve">in 2019 </w:t>
      </w:r>
      <w:r w:rsidR="00FE1247">
        <w:t>was</w:t>
      </w:r>
      <w:r w:rsidR="00370D78">
        <w:t xml:space="preserve"> the highest in </w:t>
      </w:r>
      <w:r w:rsidR="00061FB8">
        <w:t xml:space="preserve">comparison with other parts of </w:t>
      </w:r>
      <w:r w:rsidR="00370D78">
        <w:t>Indonesia</w:t>
      </w:r>
      <w:r w:rsidR="00F614CF">
        <w:t>.</w:t>
      </w:r>
      <w:r w:rsidR="00F614CF">
        <w:rPr>
          <w:rStyle w:val="FootnoteReference"/>
        </w:rPr>
        <w:footnoteReference w:id="29"/>
      </w:r>
      <w:r w:rsidR="00A408DB">
        <w:t xml:space="preserve"> </w:t>
      </w:r>
      <w:r w:rsidR="004B4B04">
        <w:t xml:space="preserve">The number reaches 305 death </w:t>
      </w:r>
      <w:r w:rsidR="001B2817">
        <w:t xml:space="preserve">cases </w:t>
      </w:r>
      <w:r w:rsidR="004B4B04">
        <w:t>per</w:t>
      </w:r>
      <w:r w:rsidR="00A408DB">
        <w:t xml:space="preserve"> </w:t>
      </w:r>
      <w:r w:rsidR="00482009">
        <w:t xml:space="preserve">100.000 </w:t>
      </w:r>
      <w:r w:rsidR="004B4B04">
        <w:t>birth</w:t>
      </w:r>
      <w:r w:rsidR="00C9206C">
        <w:t>s</w:t>
      </w:r>
      <w:r w:rsidR="00971825">
        <w:t xml:space="preserve">. </w:t>
      </w:r>
      <w:r w:rsidR="004D3F8D">
        <w:t>One of the reason</w:t>
      </w:r>
      <w:r w:rsidR="000022F5">
        <w:t>s</w:t>
      </w:r>
      <w:r w:rsidR="004D3F8D">
        <w:t xml:space="preserve"> </w:t>
      </w:r>
      <w:r w:rsidR="00B15D68">
        <w:t>was</w:t>
      </w:r>
      <w:r w:rsidR="004D3F8D">
        <w:t xml:space="preserve"> </w:t>
      </w:r>
      <w:r w:rsidR="005E2894">
        <w:t>t</w:t>
      </w:r>
      <w:r w:rsidR="004B4B04">
        <w:t xml:space="preserve">he lack of </w:t>
      </w:r>
      <w:r w:rsidR="005E2894">
        <w:t>professional</w:t>
      </w:r>
      <w:r w:rsidR="004B4B04">
        <w:t xml:space="preserve"> assistance during labo</w:t>
      </w:r>
      <w:r w:rsidR="00486326">
        <w:t>u</w:t>
      </w:r>
      <w:r w:rsidR="004B4B04">
        <w:t>r</w:t>
      </w:r>
      <w:r w:rsidR="00CF4F2C">
        <w:t>.</w:t>
      </w:r>
      <w:r w:rsidR="00486326">
        <w:rPr>
          <w:rStyle w:val="FootnoteReference"/>
        </w:rPr>
        <w:footnoteReference w:id="30"/>
      </w:r>
      <w:r w:rsidR="00CF4F2C">
        <w:t xml:space="preserve"> </w:t>
      </w:r>
      <w:r w:rsidR="00020BD8">
        <w:t>in rural areas, access to health clinics is either absent or very limited. In several instances, the quality of health services in the health clinics is poor or they are understaffed</w:t>
      </w:r>
      <w:r w:rsidR="006651F9">
        <w:t xml:space="preserve">. </w:t>
      </w:r>
      <w:r w:rsidR="002A6D69">
        <w:t xml:space="preserve">This situation has put </w:t>
      </w:r>
      <w:r w:rsidR="00D53328">
        <w:t>pregnant women</w:t>
      </w:r>
      <w:r w:rsidR="00611C13">
        <w:t xml:space="preserve">, especially those </w:t>
      </w:r>
      <w:r w:rsidR="00D53328">
        <w:t>with complications</w:t>
      </w:r>
      <w:r w:rsidR="00611C13">
        <w:t>,</w:t>
      </w:r>
      <w:r w:rsidR="00D53328">
        <w:t xml:space="preserve"> </w:t>
      </w:r>
      <w:r w:rsidR="009B51A1">
        <w:t xml:space="preserve">at a particular </w:t>
      </w:r>
      <w:r w:rsidR="00D53328">
        <w:t>risk</w:t>
      </w:r>
      <w:r w:rsidR="009B51A1">
        <w:t xml:space="preserve">. </w:t>
      </w:r>
      <w:r w:rsidR="00AE0DDC">
        <w:t>The</w:t>
      </w:r>
      <w:r w:rsidR="00241986">
        <w:t xml:space="preserve"> </w:t>
      </w:r>
      <w:r w:rsidR="008621FA">
        <w:t xml:space="preserve">underdeveloped </w:t>
      </w:r>
      <w:r w:rsidR="00241986">
        <w:t>infrastructure</w:t>
      </w:r>
      <w:r w:rsidR="00AE0DDC">
        <w:t xml:space="preserve"> </w:t>
      </w:r>
      <w:r w:rsidR="001D1386" w:rsidRPr="001D1386">
        <w:t>places an additional challenge on pregnant women living in remote areas to access health services</w:t>
      </w:r>
      <w:r w:rsidR="00061FB8">
        <w:t xml:space="preserve">. </w:t>
      </w:r>
    </w:p>
    <w:p w14:paraId="28347D77" w14:textId="77777777" w:rsidR="006D115D" w:rsidRDefault="006D115D" w:rsidP="003A1AA6">
      <w:pPr>
        <w:pStyle w:val="ListParagraph"/>
        <w:jc w:val="both"/>
      </w:pPr>
    </w:p>
    <w:p w14:paraId="6728C9D6" w14:textId="27362883" w:rsidR="006D115D" w:rsidRPr="005C2FC1" w:rsidRDefault="00574090" w:rsidP="00304DCA">
      <w:pPr>
        <w:jc w:val="both"/>
        <w:rPr>
          <w:i/>
          <w:lang w:val="en-US"/>
        </w:rPr>
      </w:pPr>
      <w:r w:rsidRPr="002D78E1">
        <w:rPr>
          <w:i/>
          <w:iCs/>
          <w:lang w:val="en-US"/>
        </w:rPr>
        <w:t>Suggested questions for State:</w:t>
      </w:r>
    </w:p>
    <w:p w14:paraId="089FC96A" w14:textId="7CED038A" w:rsidR="00861AB8" w:rsidRDefault="0001523D" w:rsidP="00304DCA">
      <w:pPr>
        <w:pStyle w:val="ListParagraph"/>
        <w:numPr>
          <w:ilvl w:val="0"/>
          <w:numId w:val="19"/>
        </w:numPr>
        <w:jc w:val="both"/>
        <w:rPr>
          <w:i/>
          <w:iCs/>
        </w:rPr>
      </w:pPr>
      <w:r w:rsidRPr="39B60A81">
        <w:rPr>
          <w:i/>
          <w:iCs/>
        </w:rPr>
        <w:t xml:space="preserve">Please provide information on the </w:t>
      </w:r>
      <w:r w:rsidR="00861AB8" w:rsidRPr="39B60A81">
        <w:rPr>
          <w:i/>
          <w:iCs/>
        </w:rPr>
        <w:t xml:space="preserve">policies and </w:t>
      </w:r>
      <w:r w:rsidRPr="39B60A81">
        <w:rPr>
          <w:i/>
          <w:iCs/>
        </w:rPr>
        <w:t xml:space="preserve">measures </w:t>
      </w:r>
      <w:r w:rsidR="00861AB8" w:rsidRPr="39B60A81">
        <w:rPr>
          <w:i/>
          <w:iCs/>
        </w:rPr>
        <w:t>taken by the Government of Indonesia</w:t>
      </w:r>
      <w:r w:rsidRPr="39B60A81">
        <w:rPr>
          <w:i/>
          <w:iCs/>
        </w:rPr>
        <w:t xml:space="preserve"> to ensure that </w:t>
      </w:r>
      <w:r w:rsidR="00654E7F" w:rsidRPr="39B60A81">
        <w:rPr>
          <w:i/>
          <w:iCs/>
        </w:rPr>
        <w:t xml:space="preserve">Papuan indigenous </w:t>
      </w:r>
      <w:r w:rsidRPr="39B60A81">
        <w:rPr>
          <w:i/>
          <w:iCs/>
        </w:rPr>
        <w:t xml:space="preserve">women have effective access to </w:t>
      </w:r>
      <w:r w:rsidR="008E2A00" w:rsidRPr="39B60A81">
        <w:rPr>
          <w:i/>
          <w:iCs/>
        </w:rPr>
        <w:t>maternity</w:t>
      </w:r>
      <w:r w:rsidR="00861AB8" w:rsidRPr="39B60A81">
        <w:rPr>
          <w:i/>
          <w:iCs/>
        </w:rPr>
        <w:t xml:space="preserve"> and</w:t>
      </w:r>
      <w:r w:rsidR="008E2A00" w:rsidRPr="39B60A81">
        <w:rPr>
          <w:i/>
          <w:iCs/>
        </w:rPr>
        <w:t xml:space="preserve"> </w:t>
      </w:r>
      <w:r w:rsidR="00B232A5" w:rsidRPr="39B60A81">
        <w:rPr>
          <w:i/>
          <w:iCs/>
        </w:rPr>
        <w:t>other</w:t>
      </w:r>
      <w:r w:rsidRPr="39B60A81">
        <w:rPr>
          <w:i/>
          <w:iCs/>
        </w:rPr>
        <w:t xml:space="preserve"> </w:t>
      </w:r>
      <w:r w:rsidR="7233E5F6" w:rsidRPr="39B60A81">
        <w:rPr>
          <w:i/>
          <w:iCs/>
        </w:rPr>
        <w:t xml:space="preserve">sexual and reproductive </w:t>
      </w:r>
      <w:r w:rsidRPr="39B60A81">
        <w:rPr>
          <w:i/>
          <w:iCs/>
        </w:rPr>
        <w:t>health services</w:t>
      </w:r>
      <w:r w:rsidR="00B77A74" w:rsidRPr="39B60A81">
        <w:rPr>
          <w:i/>
          <w:iCs/>
        </w:rPr>
        <w:t>.</w:t>
      </w:r>
    </w:p>
    <w:p w14:paraId="6D3747AE" w14:textId="2BADAE7C" w:rsidR="00825C15" w:rsidRPr="00B77A74" w:rsidRDefault="00861AB8" w:rsidP="00304DCA">
      <w:pPr>
        <w:pStyle w:val="ListParagraph"/>
        <w:numPr>
          <w:ilvl w:val="0"/>
          <w:numId w:val="19"/>
        </w:numPr>
        <w:jc w:val="both"/>
        <w:rPr>
          <w:i/>
        </w:rPr>
      </w:pPr>
      <w:r w:rsidRPr="39B60A81">
        <w:rPr>
          <w:i/>
          <w:iCs/>
        </w:rPr>
        <w:t xml:space="preserve">Please provide </w:t>
      </w:r>
      <w:r w:rsidR="001C5281" w:rsidRPr="39B60A81">
        <w:rPr>
          <w:i/>
          <w:iCs/>
        </w:rPr>
        <w:t xml:space="preserve">information on the specific </w:t>
      </w:r>
      <w:r w:rsidR="00F231E0" w:rsidRPr="39B60A81">
        <w:rPr>
          <w:i/>
          <w:iCs/>
        </w:rPr>
        <w:t xml:space="preserve">policies and </w:t>
      </w:r>
      <w:r w:rsidR="001C5281" w:rsidRPr="39B60A81">
        <w:rPr>
          <w:i/>
          <w:iCs/>
        </w:rPr>
        <w:t xml:space="preserve">measures </w:t>
      </w:r>
      <w:r w:rsidR="00BF24A3" w:rsidRPr="39B60A81">
        <w:rPr>
          <w:i/>
          <w:iCs/>
        </w:rPr>
        <w:t>to</w:t>
      </w:r>
      <w:r w:rsidR="648B6DD3" w:rsidRPr="39B60A81">
        <w:rPr>
          <w:i/>
          <w:iCs/>
        </w:rPr>
        <w:t xml:space="preserve"> protect and</w:t>
      </w:r>
      <w:r w:rsidR="00BF24A3" w:rsidRPr="39B60A81">
        <w:rPr>
          <w:i/>
          <w:iCs/>
        </w:rPr>
        <w:t xml:space="preserve"> assist the</w:t>
      </w:r>
      <w:r w:rsidR="001C5281" w:rsidRPr="39B60A81">
        <w:rPr>
          <w:i/>
          <w:iCs/>
        </w:rPr>
        <w:t xml:space="preserve"> </w:t>
      </w:r>
      <w:r w:rsidR="0051797D" w:rsidRPr="39B60A81">
        <w:rPr>
          <w:i/>
          <w:iCs/>
        </w:rPr>
        <w:t xml:space="preserve">indigenous Papuan women </w:t>
      </w:r>
      <w:r w:rsidR="005F020D" w:rsidRPr="39B60A81">
        <w:rPr>
          <w:i/>
          <w:iCs/>
        </w:rPr>
        <w:t xml:space="preserve">who are vulnerable to HIV/AIDS. </w:t>
      </w:r>
    </w:p>
    <w:p w14:paraId="725F6FE8" w14:textId="77777777" w:rsidR="009D58B1" w:rsidRDefault="009D58B1" w:rsidP="00304DCA">
      <w:pPr>
        <w:jc w:val="both"/>
        <w:rPr>
          <w:b/>
          <w:bCs/>
          <w:lang w:val="en-US"/>
        </w:rPr>
      </w:pPr>
    </w:p>
    <w:p w14:paraId="16B15427" w14:textId="3E7C86B1" w:rsidR="00127A89" w:rsidRPr="002D78E1" w:rsidRDefault="002D78E1" w:rsidP="00304DCA">
      <w:pPr>
        <w:jc w:val="both"/>
        <w:rPr>
          <w:b/>
          <w:bCs/>
          <w:lang w:val="en-US"/>
        </w:rPr>
      </w:pPr>
      <w:r w:rsidRPr="002D78E1">
        <w:rPr>
          <w:b/>
          <w:bCs/>
          <w:lang w:val="en-US"/>
        </w:rPr>
        <w:lastRenderedPageBreak/>
        <w:t>Participation in politics and Government administration (Article 3, 4, 7, 11 &amp; 14)</w:t>
      </w:r>
    </w:p>
    <w:p w14:paraId="04555B15" w14:textId="424F43E4" w:rsidR="005F4A06" w:rsidRDefault="00430C90" w:rsidP="00304DCA">
      <w:pPr>
        <w:pStyle w:val="ListParagraph"/>
        <w:numPr>
          <w:ilvl w:val="0"/>
          <w:numId w:val="7"/>
        </w:numPr>
        <w:jc w:val="both"/>
      </w:pPr>
      <w:r>
        <w:t xml:space="preserve">The custom in Papua is still </w:t>
      </w:r>
      <w:r w:rsidR="00A330EF">
        <w:t>very much under t</w:t>
      </w:r>
      <w:r w:rsidR="005F4A06">
        <w:t>he patriarchal domination of leadership</w:t>
      </w:r>
      <w:r w:rsidR="00A330EF">
        <w:t xml:space="preserve">, where </w:t>
      </w:r>
      <w:r w:rsidR="005F4A06">
        <w:t>subordination of women is pervasive, and deeply rooted in traditio</w:t>
      </w:r>
      <w:r w:rsidR="3131AE02">
        <w:t>n</w:t>
      </w:r>
      <w:r w:rsidR="005F4A06">
        <w:t>.</w:t>
      </w:r>
      <w:r w:rsidR="00F55AE2">
        <w:rPr>
          <w:rStyle w:val="FootnoteReference"/>
        </w:rPr>
        <w:footnoteReference w:id="31"/>
      </w:r>
      <w:r w:rsidR="005F4A06">
        <w:t xml:space="preserve"> </w:t>
      </w:r>
      <w:r w:rsidR="00272160">
        <w:t xml:space="preserve">Women play </w:t>
      </w:r>
      <w:r w:rsidR="126699B6">
        <w:t>a limited</w:t>
      </w:r>
      <w:r w:rsidR="00272160">
        <w:t xml:space="preserve"> role i</w:t>
      </w:r>
      <w:r w:rsidR="00BD7953">
        <w:t>n the decision</w:t>
      </w:r>
      <w:r w:rsidR="00222720">
        <w:t>-</w:t>
      </w:r>
      <w:r w:rsidR="00BD7953">
        <w:t xml:space="preserve">making process, </w:t>
      </w:r>
      <w:r w:rsidR="00222720">
        <w:t>either</w:t>
      </w:r>
      <w:r w:rsidR="00272160">
        <w:t xml:space="preserve"> in public or private space</w:t>
      </w:r>
      <w:r w:rsidR="00222720">
        <w:t>s</w:t>
      </w:r>
      <w:r w:rsidR="005F4A06">
        <w:t>. Papuan men control the household, tribal and community leadership bodies, and churches and faith groups</w:t>
      </w:r>
      <w:r w:rsidR="00B615C6">
        <w:t>, while w</w:t>
      </w:r>
      <w:r w:rsidR="005F4A06">
        <w:t xml:space="preserve">omen are expected to be submissive, to obey their husbands and refrain from argument. They are also expected to assume their traditional roles in the family, including caretaking and other domestic duties, as well as working in the fields, selling produce at the markets, and providing cigarettes and food for </w:t>
      </w:r>
      <w:r w:rsidR="00996DAE">
        <w:t xml:space="preserve">their </w:t>
      </w:r>
      <w:r w:rsidR="005F4A06">
        <w:t>husband and family.</w:t>
      </w:r>
    </w:p>
    <w:p w14:paraId="5993F8F6" w14:textId="77777777" w:rsidR="005F4A06" w:rsidRDefault="005F4A06" w:rsidP="00304DCA">
      <w:pPr>
        <w:pStyle w:val="ListParagraph"/>
        <w:jc w:val="both"/>
      </w:pPr>
    </w:p>
    <w:p w14:paraId="12653864" w14:textId="71CC921B" w:rsidR="002F7B64" w:rsidRPr="002F7B64" w:rsidRDefault="00850AD6" w:rsidP="00304DCA">
      <w:pPr>
        <w:pStyle w:val="ListParagraph"/>
        <w:numPr>
          <w:ilvl w:val="0"/>
          <w:numId w:val="7"/>
        </w:numPr>
        <w:jc w:val="both"/>
      </w:pPr>
      <w:r>
        <w:t xml:space="preserve">The </w:t>
      </w:r>
      <w:r w:rsidR="00D10B76">
        <w:t>participation o</w:t>
      </w:r>
      <w:r w:rsidR="00651CD0">
        <w:t>f</w:t>
      </w:r>
      <w:r w:rsidR="00D10B76">
        <w:t xml:space="preserve"> </w:t>
      </w:r>
      <w:r w:rsidR="00BB0FB8">
        <w:t xml:space="preserve">women in </w:t>
      </w:r>
      <w:r w:rsidR="00D10B76">
        <w:t xml:space="preserve">politics and </w:t>
      </w:r>
      <w:r w:rsidR="00501224">
        <w:t>administration</w:t>
      </w:r>
      <w:r w:rsidR="00D10B76">
        <w:t xml:space="preserve"> </w:t>
      </w:r>
      <w:r>
        <w:t xml:space="preserve">in the Provinces of Papua and West Papua </w:t>
      </w:r>
      <w:r w:rsidR="00BB0FB8">
        <w:t>is</w:t>
      </w:r>
      <w:r>
        <w:t xml:space="preserve"> </w:t>
      </w:r>
      <w:r w:rsidR="00AF576D">
        <w:t>still</w:t>
      </w:r>
      <w:r>
        <w:t xml:space="preserve"> below the </w:t>
      </w:r>
      <w:r w:rsidR="00415882">
        <w:t>statutory quota</w:t>
      </w:r>
      <w:r>
        <w:t xml:space="preserve"> of 30 %</w:t>
      </w:r>
      <w:r w:rsidR="00661B2C">
        <w:t xml:space="preserve">. </w:t>
      </w:r>
      <w:r w:rsidR="003E797B">
        <w:t xml:space="preserve">In </w:t>
      </w:r>
      <w:r w:rsidR="002E21E1">
        <w:t xml:space="preserve">the </w:t>
      </w:r>
      <w:r w:rsidR="003E797B">
        <w:t xml:space="preserve">West Papua Province, </w:t>
      </w:r>
      <w:r w:rsidR="00B07709">
        <w:t>from the total number of 45 elected members</w:t>
      </w:r>
      <w:r w:rsidR="004A137E">
        <w:t xml:space="preserve"> for the period of 2019 to 2024</w:t>
      </w:r>
      <w:r w:rsidR="00B07709">
        <w:t>, there are on</w:t>
      </w:r>
      <w:r w:rsidR="3A991B11">
        <w:t>ly</w:t>
      </w:r>
      <w:r w:rsidR="00B07709">
        <w:t xml:space="preserve"> </w:t>
      </w:r>
      <w:r w:rsidR="00EF4F90">
        <w:t>seven</w:t>
      </w:r>
      <w:r w:rsidR="00DD670A">
        <w:t xml:space="preserve"> (7</w:t>
      </w:r>
      <w:r w:rsidR="00EF4F90">
        <w:t xml:space="preserve">) </w:t>
      </w:r>
      <w:r w:rsidR="00B07709">
        <w:t>women</w:t>
      </w:r>
      <w:r w:rsidR="00FC23AF">
        <w:rPr>
          <w:rStyle w:val="FootnoteReference"/>
        </w:rPr>
        <w:footnoteReference w:id="32"/>
      </w:r>
      <w:r w:rsidR="00EF4F90">
        <w:t xml:space="preserve"> or </w:t>
      </w:r>
      <w:r w:rsidR="005F0ED1">
        <w:t xml:space="preserve">only </w:t>
      </w:r>
      <w:r w:rsidR="00E33383">
        <w:t>15. 5 %</w:t>
      </w:r>
      <w:r w:rsidR="00F5460A">
        <w:t xml:space="preserve"> of the total</w:t>
      </w:r>
      <w:r w:rsidR="00E33383">
        <w:t xml:space="preserve">. </w:t>
      </w:r>
      <w:r w:rsidR="01DB7943">
        <w:t>A</w:t>
      </w:r>
      <w:r w:rsidR="5E1554A0">
        <w:t>m</w:t>
      </w:r>
      <w:r w:rsidR="01DB7943">
        <w:t xml:space="preserve">ong those, </w:t>
      </w:r>
      <w:r w:rsidR="00E33383">
        <w:t xml:space="preserve">indigenous </w:t>
      </w:r>
      <w:r w:rsidR="00354BD5">
        <w:t xml:space="preserve">Papuan women </w:t>
      </w:r>
      <w:r w:rsidR="5367158B">
        <w:t>are further</w:t>
      </w:r>
      <w:r w:rsidR="00F5460A">
        <w:t xml:space="preserve"> under</w:t>
      </w:r>
      <w:r w:rsidR="009D6A83">
        <w:t xml:space="preserve">represented. </w:t>
      </w:r>
      <w:r w:rsidR="001421EF">
        <w:t xml:space="preserve">Currently, </w:t>
      </w:r>
      <w:r w:rsidR="0027648C">
        <w:t>three (</w:t>
      </w:r>
      <w:r w:rsidR="00826D4E">
        <w:t>3</w:t>
      </w:r>
      <w:r w:rsidR="0027648C">
        <w:t>)</w:t>
      </w:r>
      <w:r w:rsidR="001421EF">
        <w:t xml:space="preserve"> </w:t>
      </w:r>
      <w:r w:rsidR="009D6A83">
        <w:t xml:space="preserve">out of </w:t>
      </w:r>
      <w:r w:rsidR="00DD670A">
        <w:t>seven (7)</w:t>
      </w:r>
      <w:r w:rsidR="009D6A83">
        <w:t xml:space="preserve"> women are indigenous Papuan women. It means </w:t>
      </w:r>
      <w:r w:rsidR="00EF0B04">
        <w:t>4.4% of the total numbers of the elected parliamentarian</w:t>
      </w:r>
      <w:r w:rsidR="026868BD">
        <w:t>s</w:t>
      </w:r>
      <w:r w:rsidR="00EF0B04">
        <w:t xml:space="preserve">. </w:t>
      </w:r>
      <w:r w:rsidR="00DD670A">
        <w:t>In the previous period of 2014 to 2019, there were only two (2) women in the provincial parliament of West Papua Province, regardless</w:t>
      </w:r>
      <w:r w:rsidR="00E95398">
        <w:t xml:space="preserve"> whether they were</w:t>
      </w:r>
      <w:r w:rsidR="00DD670A">
        <w:t xml:space="preserve"> indigenous or non-indigenous women.</w:t>
      </w:r>
      <w:r w:rsidR="003948DF">
        <w:t xml:space="preserve"> </w:t>
      </w:r>
      <w:r w:rsidR="00040A5B">
        <w:t xml:space="preserve">For Papua Province, the 2019 to 2024 </w:t>
      </w:r>
      <w:r w:rsidR="00262A18">
        <w:t>P</w:t>
      </w:r>
      <w:r w:rsidR="00DD670A">
        <w:t>rovinc</w:t>
      </w:r>
      <w:r w:rsidR="00262A18">
        <w:t xml:space="preserve">ial parliament </w:t>
      </w:r>
      <w:r w:rsidR="00040A5B">
        <w:t xml:space="preserve">has </w:t>
      </w:r>
      <w:r w:rsidR="005E47C0">
        <w:t>on</w:t>
      </w:r>
      <w:r w:rsidR="00B423E0">
        <w:t>ly</w:t>
      </w:r>
      <w:r w:rsidR="005E47C0">
        <w:t xml:space="preserve"> </w:t>
      </w:r>
      <w:r w:rsidR="00291016">
        <w:t>eight</w:t>
      </w:r>
      <w:r w:rsidR="00D77EC4">
        <w:t xml:space="preserve"> (</w:t>
      </w:r>
      <w:r w:rsidR="00291016">
        <w:t>8</w:t>
      </w:r>
      <w:r w:rsidR="00D77EC4">
        <w:t xml:space="preserve">) women out of </w:t>
      </w:r>
      <w:r w:rsidR="00D70C20">
        <w:t>49 elected members</w:t>
      </w:r>
      <w:r w:rsidR="00736318">
        <w:t>,</w:t>
      </w:r>
      <w:r w:rsidR="00D51CE7">
        <w:rPr>
          <w:rStyle w:val="FootnoteReference"/>
        </w:rPr>
        <w:footnoteReference w:id="33"/>
      </w:r>
      <w:r w:rsidR="00514CD5">
        <w:t xml:space="preserve"> </w:t>
      </w:r>
      <w:r w:rsidR="00736318">
        <w:t xml:space="preserve">or </w:t>
      </w:r>
      <w:r w:rsidR="002F371B">
        <w:t>16</w:t>
      </w:r>
      <w:r w:rsidR="00736318">
        <w:t xml:space="preserve"> </w:t>
      </w:r>
      <w:r w:rsidR="009B341C">
        <w:t>%</w:t>
      </w:r>
      <w:r w:rsidR="00736318">
        <w:t>.</w:t>
      </w:r>
      <w:r w:rsidR="00CC170E">
        <w:t xml:space="preserve"> From the eight women, five (5) </w:t>
      </w:r>
      <w:r w:rsidR="004E08B2">
        <w:t xml:space="preserve">or </w:t>
      </w:r>
      <w:r w:rsidR="00F3041C">
        <w:t xml:space="preserve">10% </w:t>
      </w:r>
      <w:r w:rsidR="00CC170E">
        <w:t>are indigenous Papuan women.</w:t>
      </w:r>
      <w:r w:rsidR="00813D13" w:rsidRPr="00813D13">
        <w:rPr>
          <w:rStyle w:val="FootnoteReference"/>
        </w:rPr>
        <w:t xml:space="preserve"> </w:t>
      </w:r>
      <w:r w:rsidR="00813D13">
        <w:rPr>
          <w:rStyle w:val="FootnoteReference"/>
        </w:rPr>
        <w:footnoteReference w:id="34"/>
      </w:r>
      <w:r w:rsidR="00813D13">
        <w:t xml:space="preserve"> </w:t>
      </w:r>
      <w:r w:rsidR="00CC170E">
        <w:t xml:space="preserve"> </w:t>
      </w:r>
      <w:r w:rsidR="00AB7D2A">
        <w:t>At the regency level</w:t>
      </w:r>
      <w:r w:rsidR="003F2A9D">
        <w:t xml:space="preserve"> in </w:t>
      </w:r>
      <w:r w:rsidR="000F75FE">
        <w:t xml:space="preserve">the </w:t>
      </w:r>
      <w:r w:rsidR="003F2A9D">
        <w:t>Papua Province</w:t>
      </w:r>
      <w:r w:rsidR="00AB7D2A">
        <w:t>,</w:t>
      </w:r>
      <w:r w:rsidR="001B1A74">
        <w:t xml:space="preserve"> </w:t>
      </w:r>
      <w:r w:rsidR="00BB78BA">
        <w:t xml:space="preserve">there is no </w:t>
      </w:r>
      <w:r w:rsidR="006872C1">
        <w:t xml:space="preserve">woman </w:t>
      </w:r>
      <w:r w:rsidR="007B725B">
        <w:t>leadership at all.</w:t>
      </w:r>
      <w:r w:rsidR="001C43AF">
        <w:rPr>
          <w:rStyle w:val="FootnoteReference"/>
        </w:rPr>
        <w:footnoteReference w:id="35"/>
      </w:r>
      <w:r w:rsidR="007B725B">
        <w:t xml:space="preserve"> </w:t>
      </w:r>
      <w:r w:rsidR="008A4B12">
        <w:t xml:space="preserve">This situation is the same in </w:t>
      </w:r>
      <w:r w:rsidR="000F75FE">
        <w:t xml:space="preserve">the </w:t>
      </w:r>
      <w:r w:rsidR="00B44F4B">
        <w:t xml:space="preserve">West </w:t>
      </w:r>
      <w:r w:rsidR="008A4B12">
        <w:t>Papua Province where there is no woman leader in all regencies.</w:t>
      </w:r>
      <w:r w:rsidR="008A4B12">
        <w:rPr>
          <w:rStyle w:val="FootnoteReference"/>
        </w:rPr>
        <w:footnoteReference w:id="36"/>
      </w:r>
    </w:p>
    <w:p w14:paraId="30AF1D9A" w14:textId="77777777" w:rsidR="00A838EB" w:rsidRDefault="00A838EB" w:rsidP="00304DCA">
      <w:pPr>
        <w:ind w:left="360"/>
        <w:jc w:val="both"/>
        <w:rPr>
          <w:i/>
          <w:iCs/>
        </w:rPr>
      </w:pPr>
    </w:p>
    <w:p w14:paraId="5AA53771" w14:textId="0795414F" w:rsidR="003249CA" w:rsidRPr="00A838EB" w:rsidRDefault="003249CA" w:rsidP="00304DCA">
      <w:pPr>
        <w:ind w:left="360"/>
        <w:jc w:val="both"/>
        <w:rPr>
          <w:i/>
          <w:iCs/>
        </w:rPr>
      </w:pPr>
      <w:r w:rsidRPr="00A838EB">
        <w:rPr>
          <w:i/>
          <w:iCs/>
        </w:rPr>
        <w:t xml:space="preserve">Suggested questions for </w:t>
      </w:r>
      <w:r w:rsidR="00842192">
        <w:rPr>
          <w:i/>
          <w:iCs/>
        </w:rPr>
        <w:t xml:space="preserve">the </w:t>
      </w:r>
      <w:r w:rsidRPr="00A838EB">
        <w:rPr>
          <w:i/>
          <w:iCs/>
        </w:rPr>
        <w:t>State:</w:t>
      </w:r>
    </w:p>
    <w:p w14:paraId="27C5F8CE" w14:textId="3F9E93B8" w:rsidR="00AF1570" w:rsidRPr="005C2FC1" w:rsidRDefault="00080B46" w:rsidP="00304DCA">
      <w:pPr>
        <w:pStyle w:val="ListParagraph"/>
        <w:numPr>
          <w:ilvl w:val="0"/>
          <w:numId w:val="19"/>
        </w:numPr>
        <w:jc w:val="both"/>
        <w:rPr>
          <w:i/>
          <w:iCs/>
        </w:rPr>
      </w:pPr>
      <w:r w:rsidRPr="005C2FC1">
        <w:rPr>
          <w:i/>
          <w:iCs/>
        </w:rPr>
        <w:t>P</w:t>
      </w:r>
      <w:r w:rsidR="00AF1570" w:rsidRPr="002E7F80">
        <w:rPr>
          <w:i/>
          <w:iCs/>
        </w:rPr>
        <w:t xml:space="preserve">lease provide updated information on the number of women, including </w:t>
      </w:r>
      <w:r w:rsidR="00086AA9" w:rsidRPr="002E7F80">
        <w:rPr>
          <w:i/>
          <w:iCs/>
        </w:rPr>
        <w:t>indigenous women</w:t>
      </w:r>
      <w:r w:rsidR="002111EF">
        <w:rPr>
          <w:i/>
          <w:iCs/>
        </w:rPr>
        <w:t>, in</w:t>
      </w:r>
      <w:r w:rsidR="00086AA9" w:rsidRPr="002E7F80">
        <w:rPr>
          <w:i/>
          <w:iCs/>
        </w:rPr>
        <w:t xml:space="preserve"> Papua and West Papua Provincial </w:t>
      </w:r>
      <w:r w:rsidR="00AF1570" w:rsidRPr="002E7F80">
        <w:rPr>
          <w:i/>
          <w:iCs/>
        </w:rPr>
        <w:t xml:space="preserve">Parliament, </w:t>
      </w:r>
      <w:r w:rsidR="00086AA9" w:rsidRPr="002E7F80">
        <w:rPr>
          <w:i/>
          <w:iCs/>
        </w:rPr>
        <w:t xml:space="preserve">and government </w:t>
      </w:r>
      <w:r w:rsidR="002E7F80" w:rsidRPr="002E7F80">
        <w:rPr>
          <w:i/>
          <w:iCs/>
        </w:rPr>
        <w:t>offices</w:t>
      </w:r>
      <w:r w:rsidR="00AF1570" w:rsidRPr="002E7F80">
        <w:rPr>
          <w:i/>
          <w:iCs/>
        </w:rPr>
        <w:t>, including at decision-making levels</w:t>
      </w:r>
      <w:r w:rsidR="002E7F80" w:rsidRPr="002E7F80">
        <w:rPr>
          <w:i/>
          <w:iCs/>
        </w:rPr>
        <w:t>.</w:t>
      </w:r>
    </w:p>
    <w:p w14:paraId="67106B96" w14:textId="4A480513" w:rsidR="000F3CA4" w:rsidRPr="003B5A43" w:rsidRDefault="002E7F80" w:rsidP="00304DCA">
      <w:pPr>
        <w:pStyle w:val="ListParagraph"/>
        <w:numPr>
          <w:ilvl w:val="0"/>
          <w:numId w:val="19"/>
        </w:numPr>
        <w:jc w:val="both"/>
        <w:rPr>
          <w:i/>
        </w:rPr>
      </w:pPr>
      <w:r>
        <w:rPr>
          <w:i/>
          <w:iCs/>
        </w:rPr>
        <w:lastRenderedPageBreak/>
        <w:t xml:space="preserve">Please provide information on measures taken by the Government of Indonesia to ensure that the </w:t>
      </w:r>
      <w:r w:rsidR="00EF67C4">
        <w:rPr>
          <w:i/>
          <w:iCs/>
        </w:rPr>
        <w:t>mandatory</w:t>
      </w:r>
      <w:r>
        <w:rPr>
          <w:i/>
          <w:iCs/>
        </w:rPr>
        <w:t xml:space="preserve"> quota</w:t>
      </w:r>
      <w:r w:rsidR="00F03E40">
        <w:rPr>
          <w:i/>
          <w:iCs/>
        </w:rPr>
        <w:t xml:space="preserve"> of 30 % women in parliament is fulfilled, including </w:t>
      </w:r>
      <w:r w:rsidR="00D1043A">
        <w:rPr>
          <w:i/>
          <w:iCs/>
        </w:rPr>
        <w:t xml:space="preserve">in </w:t>
      </w:r>
      <w:r w:rsidR="00EF67C4">
        <w:rPr>
          <w:i/>
          <w:iCs/>
        </w:rPr>
        <w:t xml:space="preserve">provincial and regency </w:t>
      </w:r>
      <w:r w:rsidR="00D1043A">
        <w:rPr>
          <w:i/>
          <w:iCs/>
        </w:rPr>
        <w:t>parliament</w:t>
      </w:r>
      <w:r w:rsidR="00EF67C4">
        <w:rPr>
          <w:i/>
          <w:iCs/>
        </w:rPr>
        <w:t>s as well as</w:t>
      </w:r>
      <w:r w:rsidR="00D1043A">
        <w:rPr>
          <w:i/>
          <w:iCs/>
        </w:rPr>
        <w:t xml:space="preserve"> local government in the Provinces of Papua and West Papua. </w:t>
      </w:r>
    </w:p>
    <w:p w14:paraId="677986E6" w14:textId="692DE41F" w:rsidR="003B5A43" w:rsidRPr="005C2FC1" w:rsidRDefault="003B5A43" w:rsidP="00304DCA">
      <w:pPr>
        <w:pStyle w:val="ListParagraph"/>
        <w:numPr>
          <w:ilvl w:val="0"/>
          <w:numId w:val="19"/>
        </w:numPr>
        <w:jc w:val="both"/>
        <w:rPr>
          <w:i/>
        </w:rPr>
      </w:pPr>
      <w:r>
        <w:rPr>
          <w:i/>
          <w:iCs/>
        </w:rPr>
        <w:t xml:space="preserve">Please provide information on measures taken by the Government of Indonesia </w:t>
      </w:r>
      <w:r w:rsidR="00894BA4">
        <w:rPr>
          <w:i/>
          <w:iCs/>
        </w:rPr>
        <w:t>to em</w:t>
      </w:r>
      <w:r w:rsidR="00C977E0">
        <w:rPr>
          <w:i/>
          <w:iCs/>
        </w:rPr>
        <w:t xml:space="preserve">power </w:t>
      </w:r>
      <w:r w:rsidR="00201644">
        <w:rPr>
          <w:i/>
          <w:iCs/>
        </w:rPr>
        <w:t xml:space="preserve">women to </w:t>
      </w:r>
      <w:r w:rsidR="00DE74C2">
        <w:rPr>
          <w:i/>
          <w:iCs/>
        </w:rPr>
        <w:t xml:space="preserve">be in the position </w:t>
      </w:r>
      <w:r w:rsidR="000478F3">
        <w:rPr>
          <w:i/>
          <w:iCs/>
        </w:rPr>
        <w:t>to take up their role</w:t>
      </w:r>
      <w:r w:rsidR="00304DCA">
        <w:rPr>
          <w:i/>
          <w:iCs/>
        </w:rPr>
        <w:t>s</w:t>
      </w:r>
      <w:r w:rsidR="000478F3">
        <w:rPr>
          <w:i/>
          <w:iCs/>
        </w:rPr>
        <w:t xml:space="preserve"> in the pa</w:t>
      </w:r>
      <w:r w:rsidR="00015889">
        <w:rPr>
          <w:i/>
          <w:iCs/>
        </w:rPr>
        <w:t xml:space="preserve">rliament and </w:t>
      </w:r>
      <w:r w:rsidR="002F0C3C">
        <w:rPr>
          <w:i/>
          <w:iCs/>
        </w:rPr>
        <w:t>decision-making</w:t>
      </w:r>
      <w:r w:rsidR="00015889">
        <w:rPr>
          <w:i/>
          <w:iCs/>
        </w:rPr>
        <w:t xml:space="preserve"> process in the Provinces of Papua and West Papua. </w:t>
      </w:r>
    </w:p>
    <w:sectPr w:rsidR="003B5A43" w:rsidRPr="005C2FC1" w:rsidSect="00EF1378">
      <w:headerReference w:type="default" r:id="rId12"/>
      <w:footerReference w:type="default" r:id="rId13"/>
      <w:pgSz w:w="11900" w:h="16840"/>
      <w:pgMar w:top="1440" w:right="1440" w:bottom="991"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C1B2D" w14:textId="77777777" w:rsidR="007518C9" w:rsidRDefault="007518C9" w:rsidP="00A61560">
      <w:r>
        <w:separator/>
      </w:r>
    </w:p>
  </w:endnote>
  <w:endnote w:type="continuationSeparator" w:id="0">
    <w:p w14:paraId="402B43A2" w14:textId="77777777" w:rsidR="007518C9" w:rsidRDefault="007518C9" w:rsidP="00A61560">
      <w:r>
        <w:continuationSeparator/>
      </w:r>
    </w:p>
  </w:endnote>
  <w:endnote w:type="continuationNotice" w:id="1">
    <w:p w14:paraId="4B791FF6" w14:textId="77777777" w:rsidR="007518C9" w:rsidRDefault="007518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2630036"/>
      <w:docPartObj>
        <w:docPartGallery w:val="Page Numbers (Bottom of Page)"/>
        <w:docPartUnique/>
      </w:docPartObj>
    </w:sdtPr>
    <w:sdtEndPr>
      <w:rPr>
        <w:noProof/>
      </w:rPr>
    </w:sdtEndPr>
    <w:sdtContent>
      <w:p w14:paraId="3211CACE" w14:textId="1D1C4B6C" w:rsidR="00EA3E89" w:rsidRDefault="00EA3E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68D41C" w14:textId="77777777" w:rsidR="00EA3E89" w:rsidRDefault="00EA3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DDF3A" w14:textId="77777777" w:rsidR="007518C9" w:rsidRDefault="007518C9" w:rsidP="00A61560">
      <w:r>
        <w:separator/>
      </w:r>
    </w:p>
  </w:footnote>
  <w:footnote w:type="continuationSeparator" w:id="0">
    <w:p w14:paraId="3A7755A6" w14:textId="77777777" w:rsidR="007518C9" w:rsidRDefault="007518C9" w:rsidP="00A61560">
      <w:r>
        <w:continuationSeparator/>
      </w:r>
    </w:p>
  </w:footnote>
  <w:footnote w:type="continuationNotice" w:id="1">
    <w:p w14:paraId="7CEFB675" w14:textId="77777777" w:rsidR="007518C9" w:rsidRDefault="007518C9"/>
  </w:footnote>
  <w:footnote w:id="2">
    <w:p w14:paraId="48839EF1" w14:textId="33BC3CEA" w:rsidR="00B71984" w:rsidRPr="00160ED3" w:rsidRDefault="00B71984">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0025538E" w:rsidRPr="00160ED3">
        <w:rPr>
          <w:rFonts w:ascii="Calibri" w:hAnsi="Calibri" w:cs="Calibri"/>
          <w:color w:val="524E4E"/>
          <w:sz w:val="21"/>
          <w:szCs w:val="21"/>
        </w:rPr>
        <w:t xml:space="preserve">See </w:t>
      </w:r>
      <w:hyperlink r:id="rId1" w:history="1">
        <w:r w:rsidR="0079129C" w:rsidRPr="00160ED3">
          <w:rPr>
            <w:rFonts w:ascii="Calibri" w:hAnsi="Calibri" w:cs="Calibri"/>
            <w:color w:val="524E4E"/>
            <w:sz w:val="21"/>
            <w:szCs w:val="21"/>
          </w:rPr>
          <w:t>https://franciscansinternational.org/home/</w:t>
        </w:r>
      </w:hyperlink>
      <w:r w:rsidR="0079129C" w:rsidRPr="00160ED3">
        <w:rPr>
          <w:rFonts w:ascii="Calibri" w:hAnsi="Calibri" w:cs="Calibri"/>
          <w:color w:val="524E4E"/>
          <w:sz w:val="21"/>
          <w:szCs w:val="21"/>
        </w:rPr>
        <w:t xml:space="preserve"> </w:t>
      </w:r>
    </w:p>
  </w:footnote>
  <w:footnote w:id="3">
    <w:p w14:paraId="14AB9486" w14:textId="57BBFCDF" w:rsidR="00CD4928" w:rsidRPr="00CD4928" w:rsidRDefault="00CD4928">
      <w:pPr>
        <w:pStyle w:val="FootnoteText"/>
      </w:pPr>
      <w:r>
        <w:rPr>
          <w:rStyle w:val="FootnoteReference"/>
        </w:rPr>
        <w:footnoteRef/>
      </w:r>
      <w:r>
        <w:t xml:space="preserve"> </w:t>
      </w:r>
      <w:r w:rsidRPr="00B85226">
        <w:rPr>
          <w:rFonts w:ascii="Calibri" w:hAnsi="Calibri" w:cs="Calibri"/>
          <w:color w:val="524E4E"/>
          <w:sz w:val="21"/>
          <w:szCs w:val="21"/>
        </w:rPr>
        <w:t xml:space="preserve">See </w:t>
      </w:r>
      <w:r w:rsidR="004F0817" w:rsidRPr="00B85226">
        <w:rPr>
          <w:rFonts w:ascii="Calibri" w:hAnsi="Calibri" w:cs="Calibri"/>
          <w:color w:val="524E4E"/>
          <w:sz w:val="21"/>
          <w:szCs w:val="21"/>
        </w:rPr>
        <w:t>https://gdh-ghr.org/</w:t>
      </w:r>
    </w:p>
  </w:footnote>
  <w:footnote w:id="4">
    <w:p w14:paraId="3F6B3B95" w14:textId="61F199CB" w:rsidR="003249CA" w:rsidRPr="00160ED3" w:rsidRDefault="003249CA" w:rsidP="003249CA">
      <w:pPr>
        <w:pStyle w:val="FootnoteText"/>
        <w:jc w:val="both"/>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The Government of Indonesia made the following declaration for</w:t>
      </w:r>
      <w:r w:rsidR="005F1877" w:rsidRPr="00160ED3">
        <w:rPr>
          <w:rFonts w:ascii="Calibri" w:hAnsi="Calibri" w:cs="Calibri"/>
          <w:color w:val="524E4E"/>
          <w:sz w:val="21"/>
          <w:szCs w:val="21"/>
        </w:rPr>
        <w:t xml:space="preserve"> CEDAW</w:t>
      </w:r>
      <w:r w:rsidRPr="00160ED3">
        <w:rPr>
          <w:rFonts w:ascii="Calibri" w:hAnsi="Calibri" w:cs="Calibri"/>
          <w:color w:val="524E4E"/>
          <w:sz w:val="21"/>
          <w:szCs w:val="21"/>
        </w:rPr>
        <w:t xml:space="preserve"> </w:t>
      </w:r>
      <w:r w:rsidR="005F1877">
        <w:rPr>
          <w:rFonts w:ascii="Calibri" w:hAnsi="Calibri" w:cs="Calibri"/>
          <w:color w:val="524E4E"/>
          <w:sz w:val="21"/>
          <w:szCs w:val="21"/>
        </w:rPr>
        <w:t> "The Government of the Republic of Indonesia does not consider itself bound by the provisions of article 29, paragraph 1 of this Convention and takes the position that any dispute relating to the interpretation or application of the Convention may only be submitted to arbitration or to the International Court of Justice with the agreement of all the parties to the dispute."</w:t>
      </w:r>
    </w:p>
  </w:footnote>
  <w:footnote w:id="5">
    <w:p w14:paraId="0FD9A31E" w14:textId="7A210BA2" w:rsidR="003249CA" w:rsidRPr="00160ED3" w:rsidRDefault="003249CA" w:rsidP="003249CA">
      <w:pPr>
        <w:pStyle w:val="FootnoteText"/>
        <w:jc w:val="both"/>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The </w:t>
      </w:r>
      <w:r w:rsidR="00127185" w:rsidRPr="00160ED3">
        <w:rPr>
          <w:rFonts w:ascii="Calibri" w:hAnsi="Calibri" w:cs="Calibri"/>
          <w:color w:val="524E4E"/>
          <w:sz w:val="21"/>
          <w:szCs w:val="21"/>
        </w:rPr>
        <w:t xml:space="preserve">Western half the </w:t>
      </w:r>
      <w:r w:rsidR="003154A0" w:rsidRPr="00160ED3">
        <w:rPr>
          <w:rFonts w:ascii="Calibri" w:hAnsi="Calibri" w:cs="Calibri"/>
          <w:color w:val="524E4E"/>
          <w:sz w:val="21"/>
          <w:szCs w:val="21"/>
        </w:rPr>
        <w:t xml:space="preserve">New </w:t>
      </w:r>
      <w:r w:rsidR="00485031" w:rsidRPr="00160ED3">
        <w:rPr>
          <w:rFonts w:ascii="Calibri" w:hAnsi="Calibri" w:cs="Calibri"/>
          <w:color w:val="524E4E"/>
          <w:sz w:val="21"/>
          <w:szCs w:val="21"/>
        </w:rPr>
        <w:t>Guinea</w:t>
      </w:r>
      <w:r w:rsidR="00127185" w:rsidRPr="00160ED3">
        <w:rPr>
          <w:rFonts w:ascii="Calibri" w:hAnsi="Calibri" w:cs="Calibri"/>
          <w:color w:val="524E4E"/>
          <w:sz w:val="21"/>
          <w:szCs w:val="21"/>
        </w:rPr>
        <w:t xml:space="preserve"> island is divided into two provinces, the Provinces of Papua and West Papua since</w:t>
      </w:r>
      <w:r w:rsidR="003655AF" w:rsidRPr="00160ED3">
        <w:rPr>
          <w:rFonts w:ascii="Calibri" w:hAnsi="Calibri" w:cs="Calibri"/>
          <w:color w:val="524E4E"/>
          <w:sz w:val="21"/>
          <w:szCs w:val="21"/>
        </w:rPr>
        <w:t xml:space="preserve"> 1999</w:t>
      </w:r>
      <w:r w:rsidR="00D97845" w:rsidRPr="00160ED3">
        <w:rPr>
          <w:rFonts w:ascii="Calibri" w:hAnsi="Calibri" w:cs="Calibri"/>
          <w:color w:val="524E4E"/>
          <w:sz w:val="21"/>
          <w:szCs w:val="21"/>
        </w:rPr>
        <w:t>.</w:t>
      </w:r>
      <w:r w:rsidR="003655AF" w:rsidRPr="00160ED3">
        <w:rPr>
          <w:rFonts w:ascii="Calibri" w:hAnsi="Calibri" w:cs="Calibri"/>
          <w:color w:val="524E4E"/>
          <w:sz w:val="21"/>
          <w:szCs w:val="21"/>
        </w:rPr>
        <w:t xml:space="preserve"> Prior to that, there was only one pro</w:t>
      </w:r>
      <w:r w:rsidR="008D6F11" w:rsidRPr="00160ED3">
        <w:rPr>
          <w:rFonts w:ascii="Calibri" w:hAnsi="Calibri" w:cs="Calibri"/>
          <w:color w:val="524E4E"/>
          <w:sz w:val="21"/>
          <w:szCs w:val="21"/>
        </w:rPr>
        <w:t>vince.</w:t>
      </w:r>
      <w:r w:rsidR="00D97845" w:rsidRPr="00160ED3">
        <w:rPr>
          <w:rFonts w:ascii="Calibri" w:hAnsi="Calibri" w:cs="Calibri"/>
          <w:color w:val="524E4E"/>
          <w:sz w:val="21"/>
          <w:szCs w:val="21"/>
        </w:rPr>
        <w:t xml:space="preserve"> The term “Papuan(s)” in this report will mainly refer to the indigenous Papuans which belong to the Melanesian ethnicity. </w:t>
      </w:r>
    </w:p>
  </w:footnote>
  <w:footnote w:id="6">
    <w:p w14:paraId="7DA48080" w14:textId="1B0D55DF" w:rsidR="001C10BC" w:rsidRPr="00160ED3" w:rsidRDefault="001C10BC">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the report “Human Rights in Papua 2017, by the International Coalition for Papua, at </w:t>
      </w:r>
      <w:hyperlink r:id="rId2" w:history="1">
        <w:r w:rsidR="00093A0B" w:rsidRPr="00160ED3">
          <w:rPr>
            <w:rFonts w:ascii="Calibri" w:hAnsi="Calibri" w:cs="Calibri"/>
            <w:color w:val="524E4E"/>
            <w:sz w:val="21"/>
            <w:szCs w:val="21"/>
          </w:rPr>
          <w:t>https://www.humanrightspapua.org/images/docs/HumanRightsPapua2017-ICP.pdf</w:t>
        </w:r>
      </w:hyperlink>
      <w:r w:rsidR="00093A0B" w:rsidRPr="00160ED3">
        <w:rPr>
          <w:rFonts w:ascii="Calibri" w:hAnsi="Calibri" w:cs="Calibri"/>
          <w:color w:val="524E4E"/>
          <w:sz w:val="21"/>
          <w:szCs w:val="21"/>
        </w:rPr>
        <w:t xml:space="preserve"> </w:t>
      </w:r>
    </w:p>
  </w:footnote>
  <w:footnote w:id="7">
    <w:p w14:paraId="0BF81DA2" w14:textId="2A5D821D" w:rsidR="00CC02CC" w:rsidRPr="00CC02CC" w:rsidRDefault="00CC02CC">
      <w:pPr>
        <w:pStyle w:val="FootnoteText"/>
      </w:pPr>
      <w:r>
        <w:rPr>
          <w:rStyle w:val="FootnoteReference"/>
        </w:rPr>
        <w:footnoteRef/>
      </w:r>
      <w:r>
        <w:t xml:space="preserve"> </w:t>
      </w:r>
      <w:r w:rsidRPr="00D445FB">
        <w:rPr>
          <w:rFonts w:ascii="Calibri" w:hAnsi="Calibri" w:cs="Calibri"/>
          <w:color w:val="524E4E"/>
          <w:sz w:val="21"/>
          <w:szCs w:val="21"/>
        </w:rPr>
        <w:t xml:space="preserve">See the statement made </w:t>
      </w:r>
      <w:r w:rsidR="006D2504" w:rsidRPr="00D445FB">
        <w:rPr>
          <w:rFonts w:ascii="Calibri" w:hAnsi="Calibri" w:cs="Calibri"/>
          <w:color w:val="524E4E"/>
          <w:sz w:val="21"/>
          <w:szCs w:val="21"/>
        </w:rPr>
        <w:t xml:space="preserve">Mrs Anike </w:t>
      </w:r>
      <w:r w:rsidR="00D445FB" w:rsidRPr="00D445FB">
        <w:rPr>
          <w:rFonts w:ascii="Calibri" w:hAnsi="Calibri" w:cs="Calibri"/>
          <w:color w:val="524E4E"/>
          <w:sz w:val="21"/>
          <w:szCs w:val="21"/>
        </w:rPr>
        <w:t>Rawar</w:t>
      </w:r>
      <w:r w:rsidR="0045066A" w:rsidRPr="00D445FB">
        <w:rPr>
          <w:rFonts w:ascii="Calibri" w:hAnsi="Calibri" w:cs="Calibri"/>
          <w:color w:val="524E4E"/>
          <w:sz w:val="21"/>
          <w:szCs w:val="21"/>
        </w:rPr>
        <w:t xml:space="preserve">, the head of </w:t>
      </w:r>
      <w:r w:rsidR="00B90FD9" w:rsidRPr="00D445FB">
        <w:rPr>
          <w:rFonts w:ascii="Calibri" w:hAnsi="Calibri" w:cs="Calibri"/>
          <w:color w:val="524E4E"/>
          <w:sz w:val="21"/>
          <w:szCs w:val="21"/>
        </w:rPr>
        <w:t xml:space="preserve">the Office for Women Empowerment, Child Protection and Family Planning in Papua Province </w:t>
      </w:r>
      <w:r w:rsidR="00FC6D5C" w:rsidRPr="00D445FB">
        <w:rPr>
          <w:rFonts w:ascii="Calibri" w:hAnsi="Calibri" w:cs="Calibri"/>
          <w:color w:val="524E4E"/>
          <w:sz w:val="21"/>
          <w:szCs w:val="21"/>
        </w:rPr>
        <w:t xml:space="preserve">at </w:t>
      </w:r>
      <w:hyperlink r:id="rId3" w:history="1">
        <w:r w:rsidR="00FC6D5C" w:rsidRPr="00D445FB">
          <w:rPr>
            <w:rFonts w:ascii="Calibri" w:hAnsi="Calibri" w:cs="Calibri"/>
            <w:color w:val="524E4E"/>
            <w:sz w:val="21"/>
            <w:szCs w:val="21"/>
          </w:rPr>
          <w:t>https://papua.go.id/view-detail-berita-5055/undefined</w:t>
        </w:r>
      </w:hyperlink>
      <w:r w:rsidR="00FC6D5C">
        <w:t xml:space="preserve"> </w:t>
      </w:r>
    </w:p>
  </w:footnote>
  <w:footnote w:id="8">
    <w:p w14:paraId="2B535D2A" w14:textId="546C3527" w:rsidR="003249CA" w:rsidRPr="00160ED3" w:rsidRDefault="003249CA" w:rsidP="00F87FF4">
      <w:pPr>
        <w:pStyle w:val="FootnoteText"/>
        <w:rPr>
          <w:rFonts w:ascii="Calibri" w:hAnsi="Calibri" w:cs="Calibri"/>
          <w:color w:val="524E4E"/>
          <w:sz w:val="21"/>
          <w:szCs w:val="21"/>
        </w:rPr>
      </w:pPr>
      <w:r w:rsidRPr="006C3A3D">
        <w:rPr>
          <w:rFonts w:ascii="Calibri" w:hAnsi="Calibri" w:cs="Calibri"/>
          <w:color w:val="524E4E"/>
          <w:sz w:val="20"/>
          <w:szCs w:val="20"/>
          <w:vertAlign w:val="superscript"/>
        </w:rPr>
        <w:footnoteRef/>
      </w:r>
      <w:r w:rsidRPr="00160ED3">
        <w:rPr>
          <w:rFonts w:ascii="Calibri" w:hAnsi="Calibri" w:cs="Calibri"/>
          <w:color w:val="524E4E"/>
          <w:sz w:val="21"/>
          <w:szCs w:val="21"/>
        </w:rPr>
        <w:t xml:space="preserve"> See UNDP Report </w:t>
      </w:r>
      <w:r w:rsidR="00F87FF4" w:rsidRPr="00160ED3">
        <w:rPr>
          <w:rFonts w:ascii="Calibri" w:hAnsi="Calibri" w:cs="Calibri"/>
          <w:color w:val="524E4E"/>
          <w:sz w:val="21"/>
          <w:szCs w:val="21"/>
        </w:rPr>
        <w:t>, Study on women’s and men’s health</w:t>
      </w:r>
      <w:r w:rsidR="008C306E" w:rsidRPr="00160ED3">
        <w:rPr>
          <w:rFonts w:ascii="Calibri" w:hAnsi="Calibri" w:cs="Calibri"/>
          <w:color w:val="524E4E"/>
          <w:sz w:val="21"/>
          <w:szCs w:val="21"/>
        </w:rPr>
        <w:t xml:space="preserve"> </w:t>
      </w:r>
      <w:r w:rsidR="00F87FF4" w:rsidRPr="00160ED3">
        <w:rPr>
          <w:rFonts w:ascii="Calibri" w:hAnsi="Calibri" w:cs="Calibri"/>
          <w:color w:val="524E4E"/>
          <w:sz w:val="21"/>
          <w:szCs w:val="21"/>
        </w:rPr>
        <w:t>and life experiences in Papua,</w:t>
      </w:r>
      <w:r w:rsidR="008C306E" w:rsidRPr="00160ED3">
        <w:rPr>
          <w:rFonts w:ascii="Calibri" w:hAnsi="Calibri" w:cs="Calibri"/>
          <w:color w:val="524E4E"/>
          <w:sz w:val="21"/>
          <w:szCs w:val="21"/>
        </w:rPr>
        <w:t xml:space="preserve"> </w:t>
      </w:r>
      <w:r w:rsidR="00F87FF4" w:rsidRPr="00160ED3">
        <w:rPr>
          <w:rFonts w:ascii="Calibri" w:hAnsi="Calibri" w:cs="Calibri"/>
          <w:color w:val="524E4E"/>
          <w:sz w:val="21"/>
          <w:szCs w:val="21"/>
        </w:rPr>
        <w:t>Indonesia</w:t>
      </w:r>
      <w:r w:rsidR="008C306E" w:rsidRPr="00160ED3">
        <w:rPr>
          <w:rFonts w:ascii="Calibri" w:hAnsi="Calibri" w:cs="Calibri"/>
          <w:color w:val="524E4E"/>
          <w:sz w:val="21"/>
          <w:szCs w:val="21"/>
        </w:rPr>
        <w:t xml:space="preserve">, </w:t>
      </w:r>
      <w:r w:rsidRPr="00160ED3">
        <w:rPr>
          <w:rFonts w:ascii="Calibri" w:hAnsi="Calibri" w:cs="Calibri"/>
          <w:color w:val="524E4E"/>
          <w:sz w:val="21"/>
          <w:szCs w:val="21"/>
        </w:rPr>
        <w:t xml:space="preserve">pp 13-14 at </w:t>
      </w:r>
      <w:hyperlink r:id="rId4" w:history="1">
        <w:r w:rsidRPr="00160ED3">
          <w:rPr>
            <w:rFonts w:ascii="Calibri" w:hAnsi="Calibri" w:cs="Calibri"/>
            <w:color w:val="524E4E"/>
            <w:sz w:val="21"/>
            <w:szCs w:val="21"/>
          </w:rPr>
          <w:t>https://www.undp.org/content/dam/indonesia/2016/press-doc/Papua%20Final%20Report%20OK-2.pdf</w:t>
        </w:r>
      </w:hyperlink>
      <w:r w:rsidRPr="00160ED3">
        <w:rPr>
          <w:rFonts w:ascii="Calibri" w:hAnsi="Calibri" w:cs="Calibri"/>
          <w:color w:val="524E4E"/>
          <w:sz w:val="21"/>
          <w:szCs w:val="21"/>
        </w:rPr>
        <w:t xml:space="preserve"> </w:t>
      </w:r>
    </w:p>
  </w:footnote>
  <w:footnote w:id="9">
    <w:p w14:paraId="5D33B3A4" w14:textId="77777777" w:rsidR="00411B74" w:rsidRPr="00160ED3" w:rsidRDefault="00411B74" w:rsidP="00411B74">
      <w:pPr>
        <w:pStyle w:val="FootnoteText"/>
        <w:rPr>
          <w:rFonts w:ascii="Calibri" w:hAnsi="Calibri" w:cs="Calibri"/>
          <w:color w:val="524E4E"/>
          <w:sz w:val="21"/>
          <w:szCs w:val="21"/>
        </w:rPr>
      </w:pPr>
      <w:r w:rsidRPr="006C3A3D">
        <w:rPr>
          <w:rFonts w:ascii="Calibri" w:hAnsi="Calibri" w:cs="Calibri"/>
          <w:color w:val="524E4E"/>
          <w:sz w:val="21"/>
          <w:szCs w:val="21"/>
          <w:vertAlign w:val="superscript"/>
        </w:rPr>
        <w:footnoteRef/>
      </w:r>
      <w:r w:rsidRPr="006C3A3D">
        <w:rPr>
          <w:rFonts w:ascii="Calibri" w:hAnsi="Calibri" w:cs="Calibri"/>
          <w:color w:val="524E4E"/>
          <w:sz w:val="21"/>
          <w:szCs w:val="21"/>
          <w:vertAlign w:val="superscript"/>
        </w:rPr>
        <w:t xml:space="preserve"> </w:t>
      </w:r>
      <w:r w:rsidRPr="00160ED3">
        <w:rPr>
          <w:rFonts w:ascii="Calibri" w:hAnsi="Calibri" w:cs="Calibri"/>
          <w:color w:val="524E4E"/>
          <w:sz w:val="21"/>
          <w:szCs w:val="21"/>
        </w:rPr>
        <w:t>Idem, p.14</w:t>
      </w:r>
    </w:p>
  </w:footnote>
  <w:footnote w:id="10">
    <w:p w14:paraId="67D9520C" w14:textId="12402CD5" w:rsidR="00A54234" w:rsidRPr="00160ED3" w:rsidRDefault="00A54234">
      <w:pPr>
        <w:pStyle w:val="FootnoteText"/>
        <w:rPr>
          <w:rFonts w:ascii="Calibri" w:hAnsi="Calibri" w:cs="Calibri"/>
          <w:color w:val="524E4E"/>
          <w:sz w:val="21"/>
          <w:szCs w:val="21"/>
        </w:rPr>
      </w:pPr>
      <w:r w:rsidRPr="006C3A3D">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w:t>
      </w:r>
      <w:r w:rsidR="00547A87" w:rsidRPr="00160ED3">
        <w:rPr>
          <w:rFonts w:ascii="Calibri" w:hAnsi="Calibri" w:cs="Calibri"/>
          <w:color w:val="524E4E"/>
          <w:sz w:val="21"/>
          <w:szCs w:val="21"/>
        </w:rPr>
        <w:t xml:space="preserve">the research of AJAR Asia, “Here I am, </w:t>
      </w:r>
      <w:r w:rsidR="0000748C" w:rsidRPr="00160ED3">
        <w:rPr>
          <w:rFonts w:ascii="Calibri" w:hAnsi="Calibri" w:cs="Calibri"/>
          <w:color w:val="524E4E"/>
          <w:sz w:val="21"/>
          <w:szCs w:val="21"/>
        </w:rPr>
        <w:t xml:space="preserve">Voices of Papuan Women in the Face of </w:t>
      </w:r>
      <w:r w:rsidR="00217C0F" w:rsidRPr="00160ED3">
        <w:rPr>
          <w:rFonts w:ascii="Calibri" w:hAnsi="Calibri" w:cs="Calibri"/>
          <w:color w:val="524E4E"/>
          <w:sz w:val="21"/>
          <w:szCs w:val="21"/>
        </w:rPr>
        <w:t>Unr</w:t>
      </w:r>
      <w:r w:rsidR="0000748C" w:rsidRPr="00160ED3">
        <w:rPr>
          <w:rFonts w:ascii="Calibri" w:hAnsi="Calibri" w:cs="Calibri"/>
          <w:color w:val="524E4E"/>
          <w:sz w:val="21"/>
          <w:szCs w:val="21"/>
        </w:rPr>
        <w:t>elenting</w:t>
      </w:r>
      <w:r w:rsidR="00217C0F" w:rsidRPr="00160ED3">
        <w:rPr>
          <w:rFonts w:ascii="Calibri" w:hAnsi="Calibri" w:cs="Calibri"/>
          <w:color w:val="524E4E"/>
          <w:sz w:val="21"/>
          <w:szCs w:val="21"/>
        </w:rPr>
        <w:t xml:space="preserve"> Violence, p.</w:t>
      </w:r>
      <w:r w:rsidR="00F130B1" w:rsidRPr="00160ED3">
        <w:rPr>
          <w:rFonts w:ascii="Calibri" w:hAnsi="Calibri" w:cs="Calibri"/>
          <w:color w:val="524E4E"/>
          <w:sz w:val="21"/>
          <w:szCs w:val="21"/>
        </w:rPr>
        <w:t xml:space="preserve">21 </w:t>
      </w:r>
      <w:r w:rsidR="00FD0905" w:rsidRPr="00160ED3">
        <w:rPr>
          <w:rFonts w:ascii="Calibri" w:hAnsi="Calibri" w:cs="Calibri"/>
          <w:color w:val="524E4E"/>
          <w:sz w:val="21"/>
          <w:szCs w:val="21"/>
        </w:rPr>
        <w:t xml:space="preserve">at </w:t>
      </w:r>
      <w:hyperlink r:id="rId5" w:history="1">
        <w:r w:rsidR="00FD0905" w:rsidRPr="00160ED3">
          <w:rPr>
            <w:rFonts w:ascii="Calibri" w:hAnsi="Calibri" w:cs="Calibri"/>
            <w:color w:val="524E4E"/>
            <w:sz w:val="21"/>
            <w:szCs w:val="21"/>
          </w:rPr>
          <w:t>https://asia-ajar.org/wp-content/uploads/2019/04/I-am-Here-Voices-of-Papuan-Women-2019.pdf</w:t>
        </w:r>
      </w:hyperlink>
      <w:r w:rsidR="000426CD" w:rsidRPr="00160ED3">
        <w:rPr>
          <w:rFonts w:ascii="Calibri" w:hAnsi="Calibri" w:cs="Calibri"/>
          <w:color w:val="524E4E"/>
          <w:sz w:val="21"/>
          <w:szCs w:val="21"/>
        </w:rPr>
        <w:t xml:space="preserve"> </w:t>
      </w:r>
      <w:r w:rsidR="0000748C" w:rsidRPr="00160ED3">
        <w:rPr>
          <w:rFonts w:ascii="Calibri" w:hAnsi="Calibri" w:cs="Calibri"/>
          <w:color w:val="524E4E"/>
          <w:sz w:val="21"/>
          <w:szCs w:val="21"/>
        </w:rPr>
        <w:t xml:space="preserve"> </w:t>
      </w:r>
    </w:p>
  </w:footnote>
  <w:footnote w:id="11">
    <w:p w14:paraId="51861AA3" w14:textId="3B3AA862" w:rsidR="00DE00A5" w:rsidRPr="00C0643E" w:rsidRDefault="00DE00A5" w:rsidP="00DE00A5">
      <w:pPr>
        <w:pStyle w:val="FootnoteText"/>
      </w:pPr>
      <w:r>
        <w:rPr>
          <w:rStyle w:val="FootnoteReference"/>
        </w:rPr>
        <w:footnoteRef/>
      </w:r>
      <w:r>
        <w:t xml:space="preserve"> </w:t>
      </w:r>
      <w:r w:rsidRPr="00362032">
        <w:rPr>
          <w:rFonts w:ascii="Calibri" w:hAnsi="Calibri" w:cs="Calibri"/>
          <w:color w:val="524E4E"/>
          <w:sz w:val="21"/>
          <w:szCs w:val="21"/>
        </w:rPr>
        <w:t xml:space="preserve">See the statement of </w:t>
      </w:r>
      <w:r w:rsidR="00064F7D" w:rsidRPr="00362032">
        <w:rPr>
          <w:rFonts w:ascii="Calibri" w:hAnsi="Calibri" w:cs="Calibri"/>
          <w:color w:val="524E4E"/>
          <w:sz w:val="21"/>
          <w:szCs w:val="21"/>
        </w:rPr>
        <w:t>Ms Juli E Masa,</w:t>
      </w:r>
      <w:r w:rsidR="00064F7D">
        <w:t xml:space="preserve"> </w:t>
      </w:r>
      <w:r w:rsidR="00E1661A" w:rsidRPr="00D445FB">
        <w:rPr>
          <w:rFonts w:ascii="Calibri" w:hAnsi="Calibri" w:cs="Calibri"/>
          <w:color w:val="524E4E"/>
          <w:sz w:val="21"/>
          <w:szCs w:val="21"/>
        </w:rPr>
        <w:t>the head of the Office for Women Empowerment, Child Protection and Family Planning</w:t>
      </w:r>
      <w:r w:rsidR="00E1661A">
        <w:rPr>
          <w:rFonts w:ascii="Calibri" w:hAnsi="Calibri" w:cs="Calibri"/>
          <w:color w:val="524E4E"/>
          <w:sz w:val="21"/>
          <w:szCs w:val="21"/>
        </w:rPr>
        <w:t xml:space="preserve"> of Jayawijaya Regency, Papua province at </w:t>
      </w:r>
      <w:hyperlink r:id="rId6" w:history="1">
        <w:r w:rsidR="00362032" w:rsidRPr="001B5D32">
          <w:rPr>
            <w:rStyle w:val="Hyperlink"/>
            <w:rFonts w:ascii="Calibri" w:hAnsi="Calibri" w:cs="Calibri"/>
            <w:sz w:val="21"/>
            <w:szCs w:val="21"/>
          </w:rPr>
          <w:t>https://www.antaranews.com/berita/930709/hukum-adat-selesaikan-kasus-kdrt-di-papua</w:t>
        </w:r>
      </w:hyperlink>
      <w:r w:rsidR="00362032">
        <w:rPr>
          <w:rFonts w:ascii="Calibri" w:hAnsi="Calibri" w:cs="Calibri"/>
          <w:color w:val="524E4E"/>
          <w:sz w:val="21"/>
          <w:szCs w:val="21"/>
        </w:rPr>
        <w:t xml:space="preserve"> </w:t>
      </w:r>
    </w:p>
  </w:footnote>
  <w:footnote w:id="12">
    <w:p w14:paraId="6D431F7A" w14:textId="100CA236" w:rsidR="002B011A" w:rsidRPr="002B011A" w:rsidRDefault="002B011A">
      <w:pPr>
        <w:pStyle w:val="FootnoteText"/>
      </w:pPr>
      <w:r>
        <w:rPr>
          <w:rStyle w:val="FootnoteReference"/>
        </w:rPr>
        <w:footnoteRef/>
      </w:r>
      <w:r>
        <w:t xml:space="preserve"> </w:t>
      </w:r>
      <w:r w:rsidRPr="00772114">
        <w:rPr>
          <w:rFonts w:ascii="Calibri" w:hAnsi="Calibri" w:cs="Calibri"/>
          <w:color w:val="524E4E"/>
          <w:sz w:val="21"/>
          <w:szCs w:val="21"/>
        </w:rPr>
        <w:t xml:space="preserve">See </w:t>
      </w:r>
      <w:hyperlink r:id="rId7" w:history="1">
        <w:r w:rsidR="0024090B" w:rsidRPr="00772114">
          <w:rPr>
            <w:rFonts w:ascii="Calibri" w:hAnsi="Calibri" w:cs="Calibri"/>
            <w:color w:val="524E4E"/>
            <w:sz w:val="21"/>
            <w:szCs w:val="21"/>
          </w:rPr>
          <w:t>https://thediplomat.com/2014/01/the-human-tragedy-of-west-papua/</w:t>
        </w:r>
      </w:hyperlink>
      <w:r w:rsidR="00772114">
        <w:rPr>
          <w:rFonts w:ascii="Calibri" w:hAnsi="Calibri" w:cs="Calibri"/>
          <w:color w:val="524E4E"/>
          <w:sz w:val="21"/>
          <w:szCs w:val="21"/>
        </w:rPr>
        <w:t xml:space="preserve"> </w:t>
      </w:r>
      <w:r w:rsidR="0024090B">
        <w:t xml:space="preserve"> </w:t>
      </w:r>
    </w:p>
  </w:footnote>
  <w:footnote w:id="13">
    <w:p w14:paraId="314C9E1E" w14:textId="5EE3B6F6" w:rsidR="00492566" w:rsidRPr="00492566" w:rsidRDefault="00492566">
      <w:pPr>
        <w:pStyle w:val="FootnoteText"/>
      </w:pPr>
      <w:r>
        <w:rPr>
          <w:rStyle w:val="FootnoteReference"/>
        </w:rPr>
        <w:footnoteRef/>
      </w:r>
      <w:r>
        <w:t xml:space="preserve"> </w:t>
      </w:r>
      <w:r w:rsidRPr="00CD30F0">
        <w:rPr>
          <w:rFonts w:ascii="Calibri" w:hAnsi="Calibri" w:cs="Calibri"/>
          <w:color w:val="524E4E"/>
          <w:sz w:val="21"/>
          <w:szCs w:val="21"/>
        </w:rPr>
        <w:t>See th</w:t>
      </w:r>
      <w:r w:rsidR="00D14E24">
        <w:rPr>
          <w:rFonts w:ascii="Calibri" w:hAnsi="Calibri" w:cs="Calibri"/>
          <w:color w:val="524E4E"/>
          <w:sz w:val="21"/>
          <w:szCs w:val="21"/>
        </w:rPr>
        <w:t>e</w:t>
      </w:r>
      <w:r w:rsidR="00B85D35">
        <w:rPr>
          <w:rFonts w:ascii="Calibri" w:hAnsi="Calibri" w:cs="Calibri"/>
          <w:color w:val="524E4E"/>
          <w:sz w:val="21"/>
          <w:szCs w:val="21"/>
        </w:rPr>
        <w:t xml:space="preserve"> Refugee Sudies Center</w:t>
      </w:r>
      <w:r w:rsidR="00D14E24">
        <w:rPr>
          <w:rFonts w:ascii="Calibri" w:hAnsi="Calibri" w:cs="Calibri"/>
          <w:color w:val="524E4E"/>
          <w:sz w:val="21"/>
          <w:szCs w:val="21"/>
        </w:rPr>
        <w:t xml:space="preserve"> Working Paper 49 at</w:t>
      </w:r>
      <w:r w:rsidR="00950F79">
        <w:t xml:space="preserve"> </w:t>
      </w:r>
      <w:hyperlink r:id="rId8" w:history="1">
        <w:r w:rsidR="00950F79" w:rsidRPr="001B5D32">
          <w:rPr>
            <w:rStyle w:val="Hyperlink"/>
            <w:rFonts w:ascii="Calibri" w:hAnsi="Calibri" w:cs="Calibri"/>
            <w:sz w:val="21"/>
            <w:szCs w:val="21"/>
          </w:rPr>
          <w:t>https://www.rsc.ox.ac.uk/files/files-1/wp42-dynamics-conflict-displacement-papua-2007.pdf</w:t>
        </w:r>
      </w:hyperlink>
      <w:r w:rsidR="00950F79">
        <w:rPr>
          <w:rFonts w:ascii="Calibri" w:hAnsi="Calibri" w:cs="Calibri"/>
          <w:color w:val="524E4E"/>
          <w:sz w:val="21"/>
          <w:szCs w:val="21"/>
        </w:rPr>
        <w:t xml:space="preserve"> </w:t>
      </w:r>
    </w:p>
  </w:footnote>
  <w:footnote w:id="14">
    <w:p w14:paraId="1FCE990E" w14:textId="526C10AE" w:rsidR="00386D50" w:rsidRPr="00386D50" w:rsidRDefault="00386D50" w:rsidP="00790A2A">
      <w:pPr>
        <w:pStyle w:val="FootnoteText"/>
      </w:pPr>
      <w:r>
        <w:rPr>
          <w:rStyle w:val="FootnoteReference"/>
        </w:rPr>
        <w:footnoteRef/>
      </w:r>
      <w:r>
        <w:t xml:space="preserve"> </w:t>
      </w:r>
      <w:r w:rsidRPr="00FC247B">
        <w:rPr>
          <w:rFonts w:ascii="Calibri" w:hAnsi="Calibri" w:cs="Calibri"/>
          <w:color w:val="524E4E"/>
          <w:sz w:val="21"/>
          <w:szCs w:val="21"/>
        </w:rPr>
        <w:t xml:space="preserve">See the article of Budi Hernawan, </w:t>
      </w:r>
      <w:r w:rsidR="00790A2A" w:rsidRPr="00FC247B">
        <w:rPr>
          <w:rFonts w:ascii="Calibri" w:hAnsi="Calibri" w:cs="Calibri"/>
          <w:color w:val="524E4E"/>
          <w:sz w:val="21"/>
          <w:szCs w:val="21"/>
        </w:rPr>
        <w:t>Torture as a Mode of Governance:</w:t>
      </w:r>
      <w:r w:rsidR="00D6665E" w:rsidRPr="00FC247B">
        <w:rPr>
          <w:rFonts w:ascii="Calibri" w:hAnsi="Calibri" w:cs="Calibri"/>
          <w:color w:val="524E4E"/>
          <w:sz w:val="21"/>
          <w:szCs w:val="21"/>
        </w:rPr>
        <w:t xml:space="preserve"> </w:t>
      </w:r>
      <w:r w:rsidR="00790A2A" w:rsidRPr="00FC247B">
        <w:rPr>
          <w:rFonts w:ascii="Calibri" w:hAnsi="Calibri" w:cs="Calibri"/>
          <w:color w:val="524E4E"/>
          <w:sz w:val="21"/>
          <w:szCs w:val="21"/>
        </w:rPr>
        <w:t>Reflections on the Phenomenon of</w:t>
      </w:r>
      <w:r w:rsidR="00D6665E" w:rsidRPr="00FC247B">
        <w:rPr>
          <w:rFonts w:ascii="Calibri" w:hAnsi="Calibri" w:cs="Calibri"/>
          <w:color w:val="524E4E"/>
          <w:sz w:val="21"/>
          <w:szCs w:val="21"/>
        </w:rPr>
        <w:t xml:space="preserve"> </w:t>
      </w:r>
      <w:r w:rsidR="00790A2A" w:rsidRPr="00FC247B">
        <w:rPr>
          <w:rFonts w:ascii="Calibri" w:hAnsi="Calibri" w:cs="Calibri"/>
          <w:color w:val="524E4E"/>
          <w:sz w:val="21"/>
          <w:szCs w:val="21"/>
        </w:rPr>
        <w:t>Torture in Papua, Indonesia</w:t>
      </w:r>
      <w:r w:rsidR="00D6665E" w:rsidRPr="00FC247B">
        <w:rPr>
          <w:rFonts w:ascii="Calibri" w:hAnsi="Calibri" w:cs="Calibri"/>
          <w:color w:val="524E4E"/>
          <w:sz w:val="21"/>
          <w:szCs w:val="21"/>
        </w:rPr>
        <w:t xml:space="preserve"> at </w:t>
      </w:r>
      <w:hyperlink r:id="rId9" w:history="1">
        <w:r w:rsidR="00FC247B" w:rsidRPr="00FC247B">
          <w:rPr>
            <w:rFonts w:ascii="Calibri" w:hAnsi="Calibri" w:cs="Calibri"/>
            <w:color w:val="524E4E"/>
            <w:sz w:val="21"/>
            <w:szCs w:val="21"/>
          </w:rPr>
          <w:t>https://press-files.anu.edu.au/downloads/press/p315331/pdf/8.-Torture-as-a-Mode-of-Governance-Reflections-on-the-Phenomenon-of-Torture-in-Papua-Indonesia.pdf</w:t>
        </w:r>
      </w:hyperlink>
      <w:r w:rsidR="00FC247B">
        <w:t xml:space="preserve">  </w:t>
      </w:r>
    </w:p>
  </w:footnote>
  <w:footnote w:id="15">
    <w:p w14:paraId="2DBCB48E" w14:textId="77777777" w:rsidR="002D78E1" w:rsidRPr="00160ED3" w:rsidRDefault="002D78E1" w:rsidP="002D78E1">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w:t>
      </w:r>
      <w:hyperlink r:id="rId10" w:history="1">
        <w:r w:rsidRPr="00160ED3">
          <w:rPr>
            <w:rFonts w:ascii="Calibri" w:hAnsi="Calibri" w:cs="Calibri"/>
            <w:color w:val="524E4E"/>
            <w:sz w:val="21"/>
            <w:szCs w:val="21"/>
          </w:rPr>
          <w:t>https://www.thejakartapost.com/news/2019/08/01/182-reportedly-die-while-seeking-refuge-in-nduga-conflict.htm</w:t>
        </w:r>
      </w:hyperlink>
      <w:r w:rsidRPr="00160ED3">
        <w:rPr>
          <w:rFonts w:ascii="Calibri" w:hAnsi="Calibri" w:cs="Calibri"/>
          <w:color w:val="524E4E"/>
          <w:sz w:val="21"/>
          <w:szCs w:val="21"/>
        </w:rPr>
        <w:t xml:space="preserve"> </w:t>
      </w:r>
    </w:p>
  </w:footnote>
  <w:footnote w:id="16">
    <w:p w14:paraId="18EC780E" w14:textId="77777777" w:rsidR="00720908" w:rsidRPr="00613111" w:rsidRDefault="00720908" w:rsidP="00720908">
      <w:pPr>
        <w:pStyle w:val="FootnoteText"/>
      </w:pPr>
      <w:r>
        <w:rPr>
          <w:rStyle w:val="FootnoteReference"/>
        </w:rPr>
        <w:footnoteRef/>
      </w:r>
      <w:r>
        <w:t xml:space="preserve"> </w:t>
      </w:r>
      <w:r w:rsidRPr="00101FF8">
        <w:rPr>
          <w:rFonts w:ascii="Calibri" w:hAnsi="Calibri" w:cs="Calibri"/>
          <w:color w:val="524E4E"/>
          <w:sz w:val="21"/>
          <w:szCs w:val="21"/>
        </w:rPr>
        <w:t xml:space="preserve">See </w:t>
      </w:r>
      <w:hyperlink r:id="rId11" w:history="1">
        <w:r w:rsidRPr="00101FF8">
          <w:rPr>
            <w:rFonts w:ascii="Calibri" w:hAnsi="Calibri" w:cs="Calibri"/>
            <w:color w:val="524E4E"/>
            <w:sz w:val="21"/>
            <w:szCs w:val="21"/>
          </w:rPr>
          <w:t>http://fransiskanpapua.org/wp-content/uploads/2020/01/Buku-Papuan-Bukan-Tanah-Kosong.pdf</w:t>
        </w:r>
      </w:hyperlink>
      <w:r w:rsidRPr="00101FF8">
        <w:rPr>
          <w:rFonts w:ascii="Calibri" w:hAnsi="Calibri" w:cs="Calibri"/>
          <w:color w:val="524E4E"/>
          <w:sz w:val="21"/>
          <w:szCs w:val="21"/>
        </w:rPr>
        <w:t xml:space="preserve"> , p. 60</w:t>
      </w:r>
      <w:r>
        <w:t xml:space="preserve"> </w:t>
      </w:r>
    </w:p>
  </w:footnote>
  <w:footnote w:id="17">
    <w:p w14:paraId="42C66BD4" w14:textId="77777777" w:rsidR="00720908" w:rsidRPr="00A26966" w:rsidRDefault="00720908" w:rsidP="00720908">
      <w:pPr>
        <w:pStyle w:val="FootnoteText"/>
      </w:pPr>
      <w:r>
        <w:rPr>
          <w:rStyle w:val="FootnoteReference"/>
        </w:rPr>
        <w:footnoteRef/>
      </w:r>
      <w:r>
        <w:t xml:space="preserve"> </w:t>
      </w:r>
      <w:r w:rsidRPr="00101FF8">
        <w:rPr>
          <w:rFonts w:ascii="Calibri" w:hAnsi="Calibri" w:cs="Calibri"/>
          <w:color w:val="524E4E"/>
          <w:sz w:val="21"/>
          <w:szCs w:val="21"/>
        </w:rPr>
        <w:t xml:space="preserve">See also report by the International Coalition for Papua at </w:t>
      </w:r>
      <w:hyperlink r:id="rId12" w:history="1">
        <w:r w:rsidRPr="00101FF8">
          <w:rPr>
            <w:rFonts w:ascii="Calibri" w:hAnsi="Calibri" w:cs="Calibri"/>
            <w:color w:val="524E4E"/>
            <w:sz w:val="21"/>
            <w:szCs w:val="21"/>
          </w:rPr>
          <w:t>https://humanrightspapua.org/news/31-2019/454-update-armed-conflict-in-nduga-regency-security-force-members-kill-indigenous-woman-and-take-her-baby</w:t>
        </w:r>
      </w:hyperlink>
      <w:r>
        <w:t xml:space="preserve"> </w:t>
      </w:r>
    </w:p>
  </w:footnote>
  <w:footnote w:id="18">
    <w:p w14:paraId="20D38FE2" w14:textId="48C8398F" w:rsidR="00430150" w:rsidRPr="00160ED3" w:rsidRDefault="00430150">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w:t>
      </w:r>
      <w:hyperlink r:id="rId13" w:history="1">
        <w:r w:rsidRPr="00160ED3">
          <w:rPr>
            <w:rFonts w:ascii="Calibri" w:hAnsi="Calibri" w:cs="Calibri"/>
            <w:color w:val="524E4E"/>
            <w:sz w:val="21"/>
            <w:szCs w:val="21"/>
          </w:rPr>
          <w:t>https://minorityrights.org/minorities/papuans/</w:t>
        </w:r>
      </w:hyperlink>
      <w:r w:rsidRPr="00160ED3">
        <w:rPr>
          <w:rFonts w:ascii="Calibri" w:hAnsi="Calibri" w:cs="Calibri"/>
          <w:color w:val="524E4E"/>
          <w:sz w:val="21"/>
          <w:szCs w:val="21"/>
        </w:rPr>
        <w:t xml:space="preserve"> </w:t>
      </w:r>
    </w:p>
  </w:footnote>
  <w:footnote w:id="19">
    <w:p w14:paraId="435FA2BA" w14:textId="66D0F7B3" w:rsidR="00BA4ACC" w:rsidRPr="00BA4ACC" w:rsidRDefault="00BA4ACC">
      <w:pPr>
        <w:pStyle w:val="FootnoteText"/>
      </w:pPr>
      <w:r>
        <w:rPr>
          <w:rStyle w:val="FootnoteReference"/>
        </w:rPr>
        <w:footnoteRef/>
      </w:r>
      <w:r>
        <w:t xml:space="preserve"> </w:t>
      </w:r>
      <w:r w:rsidRPr="00221EE4">
        <w:rPr>
          <w:rFonts w:ascii="Calibri" w:hAnsi="Calibri" w:cs="Calibri"/>
          <w:color w:val="524E4E"/>
          <w:sz w:val="21"/>
          <w:szCs w:val="21"/>
        </w:rPr>
        <w:t xml:space="preserve">See </w:t>
      </w:r>
      <w:r w:rsidR="00440622" w:rsidRPr="00221EE4">
        <w:rPr>
          <w:rFonts w:ascii="Calibri" w:hAnsi="Calibri" w:cs="Calibri"/>
          <w:color w:val="524E4E"/>
          <w:sz w:val="21"/>
          <w:szCs w:val="21"/>
        </w:rPr>
        <w:t xml:space="preserve">paper on </w:t>
      </w:r>
      <w:r w:rsidR="00221EE4" w:rsidRPr="00221EE4">
        <w:rPr>
          <w:rFonts w:ascii="Calibri" w:hAnsi="Calibri" w:cs="Calibri"/>
          <w:color w:val="524E4E"/>
          <w:sz w:val="21"/>
          <w:szCs w:val="21"/>
        </w:rPr>
        <w:t>“</w:t>
      </w:r>
      <w:r w:rsidR="008C4BDC" w:rsidRPr="00221EE4">
        <w:rPr>
          <w:rFonts w:ascii="Calibri" w:hAnsi="Calibri" w:cs="Calibri"/>
          <w:color w:val="524E4E"/>
          <w:sz w:val="21"/>
          <w:szCs w:val="21"/>
        </w:rPr>
        <w:t>The Role of Papuan Women Trader in Increasing Family Income in Traditional Market of West Papua Province</w:t>
      </w:r>
      <w:r w:rsidR="00221EE4" w:rsidRPr="00221EE4">
        <w:rPr>
          <w:rFonts w:ascii="Calibri" w:hAnsi="Calibri" w:cs="Calibri"/>
          <w:color w:val="524E4E"/>
          <w:sz w:val="21"/>
          <w:szCs w:val="21"/>
        </w:rPr>
        <w:t>”</w:t>
      </w:r>
      <w:r w:rsidR="00440622" w:rsidRPr="00221EE4">
        <w:rPr>
          <w:rFonts w:ascii="Calibri" w:hAnsi="Calibri" w:cs="Calibri"/>
          <w:color w:val="524E4E"/>
          <w:sz w:val="21"/>
          <w:szCs w:val="21"/>
        </w:rPr>
        <w:t xml:space="preserve"> at </w:t>
      </w:r>
      <w:hyperlink r:id="rId14" w:history="1">
        <w:r w:rsidR="008C4BDC" w:rsidRPr="00221EE4">
          <w:rPr>
            <w:rFonts w:ascii="Calibri" w:hAnsi="Calibri" w:cs="Calibri"/>
            <w:color w:val="524E4E"/>
            <w:sz w:val="21"/>
            <w:szCs w:val="21"/>
          </w:rPr>
          <w:t>https://knepublishing.com/index.php/Kne-Social/article/view/440/1508</w:t>
        </w:r>
      </w:hyperlink>
      <w:r w:rsidR="00221EE4">
        <w:rPr>
          <w:rFonts w:ascii="Calibri" w:hAnsi="Calibri" w:cs="Calibri"/>
          <w:color w:val="524E4E"/>
          <w:sz w:val="21"/>
          <w:szCs w:val="21"/>
        </w:rPr>
        <w:t xml:space="preserve"> </w:t>
      </w:r>
      <w:r w:rsidR="008C4BDC">
        <w:t xml:space="preserve"> </w:t>
      </w:r>
    </w:p>
  </w:footnote>
  <w:footnote w:id="20">
    <w:p w14:paraId="02E07E4D" w14:textId="77777777" w:rsidR="006C2EB0" w:rsidRPr="00160ED3" w:rsidRDefault="006C2EB0" w:rsidP="006C2EB0">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w:t>
      </w:r>
      <w:hyperlink r:id="rId15" w:history="1">
        <w:r w:rsidRPr="00160ED3">
          <w:rPr>
            <w:rFonts w:ascii="Calibri" w:hAnsi="Calibri" w:cs="Calibri"/>
            <w:color w:val="524E4E"/>
            <w:sz w:val="21"/>
            <w:szCs w:val="21"/>
          </w:rPr>
          <w:t>https://theconversation.com/in-west-papua-oil-palm-expansion-undermines-the-relations-of-indigenous-marind-people-to-forest-plants-and-animals-124885</w:t>
        </w:r>
      </w:hyperlink>
      <w:r w:rsidRPr="00160ED3">
        <w:rPr>
          <w:rFonts w:ascii="Calibri" w:hAnsi="Calibri" w:cs="Calibri"/>
          <w:color w:val="524E4E"/>
          <w:sz w:val="21"/>
          <w:szCs w:val="21"/>
        </w:rPr>
        <w:t xml:space="preserve"> </w:t>
      </w:r>
    </w:p>
  </w:footnote>
  <w:footnote w:id="21">
    <w:p w14:paraId="795A040B" w14:textId="77777777" w:rsidR="006C2EB0" w:rsidRPr="00160ED3" w:rsidRDefault="006C2EB0" w:rsidP="006C2EB0">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w:t>
      </w:r>
      <w:hyperlink r:id="rId16" w:history="1">
        <w:r w:rsidRPr="00160ED3">
          <w:rPr>
            <w:rFonts w:ascii="Calibri" w:hAnsi="Calibri" w:cs="Calibri"/>
            <w:color w:val="524E4E"/>
            <w:sz w:val="21"/>
            <w:szCs w:val="21"/>
          </w:rPr>
          <w:t>https://bisnis.tempo.co/read/751969/perempuan-adat-paling-rentan-terkena-dampak-konflik/full&amp;view=ok</w:t>
        </w:r>
      </w:hyperlink>
      <w:r w:rsidRPr="00160ED3">
        <w:rPr>
          <w:rFonts w:ascii="Calibri" w:hAnsi="Calibri" w:cs="Calibri"/>
          <w:color w:val="524E4E"/>
          <w:sz w:val="21"/>
          <w:szCs w:val="21"/>
        </w:rPr>
        <w:t xml:space="preserve"> </w:t>
      </w:r>
    </w:p>
  </w:footnote>
  <w:footnote w:id="22">
    <w:p w14:paraId="64D04BCE" w14:textId="000223B6" w:rsidR="0082430C" w:rsidRPr="00160ED3" w:rsidRDefault="0082430C">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E52689">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Witaningrum, Adiana &amp; Khairunisa, Siti &amp; Yunifiar, M &amp; Bramanthi, R &amp; Rachman, B &amp; Nasronudin, (2018). Opportunistic infection of HIV/AIDS patients in West Papua. IOP Conference Series: Earth and Environmental Science. 125. 012062. 10.1088/1755-1315/125/1/012062. </w:t>
      </w:r>
    </w:p>
  </w:footnote>
  <w:footnote w:id="23">
    <w:p w14:paraId="2732B233" w14:textId="0E028C63" w:rsidR="00A10EE6" w:rsidRPr="00A10EE6" w:rsidRDefault="00A10EE6">
      <w:pPr>
        <w:pStyle w:val="FootnoteText"/>
      </w:pPr>
      <w:r>
        <w:rPr>
          <w:rStyle w:val="FootnoteReference"/>
        </w:rPr>
        <w:footnoteRef/>
      </w:r>
      <w:r>
        <w:t xml:space="preserve"> See </w:t>
      </w:r>
      <w:hyperlink r:id="rId17" w:history="1">
        <w:r>
          <w:rPr>
            <w:rStyle w:val="Hyperlink"/>
          </w:rPr>
          <w:t>https://bmcpublichealth.biomedcentral.com/articles/10.1186/s12889-019-6392-2</w:t>
        </w:r>
      </w:hyperlink>
    </w:p>
  </w:footnote>
  <w:footnote w:id="24">
    <w:p w14:paraId="2C18228A" w14:textId="53B171B9" w:rsidR="00821FC9" w:rsidRPr="00160ED3" w:rsidRDefault="00821FC9">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the report </w:t>
      </w:r>
      <w:r w:rsidR="00751D0B" w:rsidRPr="00160ED3">
        <w:rPr>
          <w:rFonts w:ascii="Calibri" w:hAnsi="Calibri" w:cs="Calibri"/>
          <w:color w:val="524E4E"/>
          <w:sz w:val="21"/>
          <w:szCs w:val="21"/>
        </w:rPr>
        <w:t>of the UN Special Rapporteur on right to health A/HRC/38/36/Add.1</w:t>
      </w:r>
      <w:r w:rsidR="007550F1" w:rsidRPr="00160ED3">
        <w:rPr>
          <w:rFonts w:ascii="Calibri" w:hAnsi="Calibri" w:cs="Calibri"/>
          <w:color w:val="524E4E"/>
          <w:sz w:val="21"/>
          <w:szCs w:val="21"/>
        </w:rPr>
        <w:t xml:space="preserve"> on his visit to Indonesia from 22 March to 3 April 2017. </w:t>
      </w:r>
    </w:p>
  </w:footnote>
  <w:footnote w:id="25">
    <w:p w14:paraId="7D83CEF1" w14:textId="344FF1E2" w:rsidR="00706F2F" w:rsidRPr="00160ED3" w:rsidRDefault="00706F2F">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E52689">
        <w:rPr>
          <w:rFonts w:ascii="Calibri" w:hAnsi="Calibri" w:cs="Calibri"/>
          <w:color w:val="524E4E"/>
          <w:sz w:val="21"/>
          <w:szCs w:val="21"/>
          <w:vertAlign w:val="superscript"/>
        </w:rPr>
        <w:t xml:space="preserve"> </w:t>
      </w:r>
      <w:r w:rsidRPr="00160ED3">
        <w:rPr>
          <w:rFonts w:ascii="Calibri" w:hAnsi="Calibri" w:cs="Calibri"/>
          <w:color w:val="524E4E"/>
          <w:sz w:val="21"/>
          <w:szCs w:val="21"/>
        </w:rPr>
        <w:t>The data</w:t>
      </w:r>
      <w:r w:rsidR="00D1671B">
        <w:rPr>
          <w:rFonts w:ascii="Calibri" w:hAnsi="Calibri" w:cs="Calibri"/>
          <w:color w:val="524E4E"/>
          <w:sz w:val="21"/>
          <w:szCs w:val="21"/>
        </w:rPr>
        <w:t xml:space="preserve">, </w:t>
      </w:r>
      <w:r w:rsidR="003F1D08" w:rsidRPr="003F1D08">
        <w:rPr>
          <w:rFonts w:ascii="Calibri" w:hAnsi="Calibri" w:cs="Calibri"/>
          <w:color w:val="524E4E"/>
          <w:sz w:val="21"/>
          <w:szCs w:val="21"/>
        </w:rPr>
        <w:t>as of December 31, 2017</w:t>
      </w:r>
      <w:r w:rsidR="003F1D08">
        <w:rPr>
          <w:rFonts w:ascii="Calibri" w:hAnsi="Calibri" w:cs="Calibri"/>
          <w:color w:val="524E4E"/>
          <w:sz w:val="21"/>
          <w:szCs w:val="21"/>
        </w:rPr>
        <w:t>,</w:t>
      </w:r>
      <w:r>
        <w:t xml:space="preserve"> </w:t>
      </w:r>
      <w:r w:rsidRPr="00160ED3">
        <w:rPr>
          <w:rFonts w:ascii="Calibri" w:hAnsi="Calibri" w:cs="Calibri"/>
          <w:color w:val="524E4E"/>
          <w:sz w:val="21"/>
          <w:szCs w:val="21"/>
        </w:rPr>
        <w:t xml:space="preserve">was obtained through </w:t>
      </w:r>
      <w:hyperlink r:id="rId18" w:history="1">
        <w:r w:rsidRPr="00160ED3">
          <w:rPr>
            <w:rFonts w:ascii="Calibri" w:hAnsi="Calibri" w:cs="Calibri"/>
            <w:color w:val="524E4E"/>
            <w:sz w:val="21"/>
            <w:szCs w:val="21"/>
          </w:rPr>
          <w:t>https://franciscansinternational.org/fileadmin/media/2018/Asia_Pacific/Publications/West-Papua-HR-Cat-Rep-2019.pdf</w:t>
        </w:r>
      </w:hyperlink>
      <w:r w:rsidRPr="00160ED3">
        <w:rPr>
          <w:rFonts w:ascii="Calibri" w:hAnsi="Calibri" w:cs="Calibri"/>
          <w:color w:val="524E4E"/>
          <w:sz w:val="21"/>
          <w:szCs w:val="21"/>
        </w:rPr>
        <w:t xml:space="preserve"> </w:t>
      </w:r>
    </w:p>
  </w:footnote>
  <w:footnote w:id="26">
    <w:p w14:paraId="0C6B4B82" w14:textId="77777777" w:rsidR="00C34C83" w:rsidRPr="00160ED3" w:rsidRDefault="00C34C83" w:rsidP="00C34C83">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AJAR Study, “Berani Sehat: Perempuan Papua Melawan HIV/AIDS dan Kekerasan, publish in 2019, at </w:t>
      </w:r>
      <w:hyperlink r:id="rId19" w:history="1">
        <w:r w:rsidRPr="00160ED3">
          <w:rPr>
            <w:rFonts w:ascii="Calibri" w:hAnsi="Calibri" w:cs="Calibri"/>
            <w:color w:val="524E4E"/>
            <w:sz w:val="21"/>
            <w:szCs w:val="21"/>
          </w:rPr>
          <w:t>https://asia-ajar.org/2020/05/berani-sehat-buku-foto-tentang-pengalaman-perempuan-papua-mengatasi-hiv-aids-dan-kekerasan/?utm_source=rss&amp;utm_medium=rss&amp;utm_campaign=berani-sehat-buku-foto-tentang-pengalaman-perempuan-papua-mengatasi-hiv-aids-dan-kekerasan</w:t>
        </w:r>
      </w:hyperlink>
    </w:p>
  </w:footnote>
  <w:footnote w:id="27">
    <w:p w14:paraId="031268BE" w14:textId="7F3B7ACA" w:rsidR="003A1AA6" w:rsidRPr="00160ED3" w:rsidRDefault="003A1AA6" w:rsidP="003A1AA6">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w:t>
      </w:r>
      <w:r w:rsidR="00D35565">
        <w:rPr>
          <w:rFonts w:ascii="Calibri" w:hAnsi="Calibri" w:cs="Calibri"/>
          <w:color w:val="524E4E"/>
          <w:sz w:val="21"/>
          <w:szCs w:val="21"/>
        </w:rPr>
        <w:t xml:space="preserve">the </w:t>
      </w:r>
      <w:r w:rsidR="00F5700F">
        <w:rPr>
          <w:rFonts w:ascii="Calibri" w:hAnsi="Calibri" w:cs="Calibri"/>
          <w:color w:val="524E4E"/>
          <w:sz w:val="21"/>
          <w:szCs w:val="21"/>
        </w:rPr>
        <w:t>statement</w:t>
      </w:r>
      <w:r w:rsidR="003D0691">
        <w:rPr>
          <w:rFonts w:ascii="Calibri" w:hAnsi="Calibri" w:cs="Calibri"/>
          <w:color w:val="524E4E"/>
          <w:sz w:val="21"/>
          <w:szCs w:val="21"/>
        </w:rPr>
        <w:t xml:space="preserve"> of </w:t>
      </w:r>
      <w:r w:rsidR="003D0691" w:rsidRPr="003D0691">
        <w:rPr>
          <w:rFonts w:ascii="Calibri" w:hAnsi="Calibri" w:cs="Calibri"/>
          <w:color w:val="524E4E"/>
          <w:sz w:val="21"/>
          <w:szCs w:val="21"/>
        </w:rPr>
        <w:t>Dr Charles Ratulangi</w:t>
      </w:r>
      <w:r w:rsidR="003D0691">
        <w:rPr>
          <w:rFonts w:ascii="Calibri" w:hAnsi="Calibri" w:cs="Calibri"/>
          <w:color w:val="524E4E"/>
          <w:sz w:val="21"/>
          <w:szCs w:val="21"/>
        </w:rPr>
        <w:t>,</w:t>
      </w:r>
      <w:r w:rsidR="003D0691" w:rsidRPr="003D0691">
        <w:rPr>
          <w:rFonts w:ascii="Calibri" w:hAnsi="Calibri" w:cs="Calibri"/>
          <w:color w:val="524E4E"/>
          <w:sz w:val="21"/>
          <w:szCs w:val="21"/>
        </w:rPr>
        <w:t xml:space="preserve"> </w:t>
      </w:r>
      <w:r w:rsidR="003D0691" w:rsidRPr="003D0691">
        <w:rPr>
          <w:rFonts w:ascii="Calibri" w:hAnsi="Calibri" w:cs="Calibri"/>
          <w:color w:val="524E4E"/>
          <w:sz w:val="21"/>
          <w:szCs w:val="21"/>
        </w:rPr>
        <w:t xml:space="preserve"> Wamena Hospital obstetrician</w:t>
      </w:r>
      <w:r w:rsidR="006E14DD">
        <w:rPr>
          <w:rFonts w:ascii="Calibri" w:hAnsi="Calibri" w:cs="Calibri"/>
          <w:color w:val="524E4E"/>
          <w:sz w:val="21"/>
          <w:szCs w:val="21"/>
        </w:rPr>
        <w:t xml:space="preserve"> at </w:t>
      </w:r>
      <w:r w:rsidRPr="00160ED3">
        <w:rPr>
          <w:rFonts w:ascii="Calibri" w:hAnsi="Calibri" w:cs="Calibri"/>
          <w:color w:val="524E4E"/>
          <w:sz w:val="21"/>
          <w:szCs w:val="21"/>
        </w:rPr>
        <w:t xml:space="preserve">http://tabloidjubi.com/m/artikel-7104-tingkat-kematian-ibu-hamil-dan-bayi-di-rsud-wamenameningkat. html  </w:t>
      </w:r>
    </w:p>
  </w:footnote>
  <w:footnote w:id="28">
    <w:p w14:paraId="7448E2E3" w14:textId="31ECDD8D" w:rsidR="003A1AA6" w:rsidRPr="00160ED3" w:rsidRDefault="003A1AA6" w:rsidP="003A1AA6">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w:t>
      </w:r>
      <w:r w:rsidR="00D35565">
        <w:rPr>
          <w:rFonts w:ascii="Calibri" w:hAnsi="Calibri" w:cs="Calibri"/>
          <w:color w:val="524E4E"/>
          <w:sz w:val="21"/>
          <w:szCs w:val="21"/>
        </w:rPr>
        <w:t xml:space="preserve">the </w:t>
      </w:r>
      <w:r w:rsidR="00F5700F">
        <w:rPr>
          <w:rFonts w:ascii="Calibri" w:hAnsi="Calibri" w:cs="Calibri"/>
          <w:color w:val="524E4E"/>
          <w:sz w:val="21"/>
          <w:szCs w:val="21"/>
        </w:rPr>
        <w:t>statement</w:t>
      </w:r>
      <w:r w:rsidR="00D35565">
        <w:rPr>
          <w:rFonts w:ascii="Calibri" w:hAnsi="Calibri" w:cs="Calibri"/>
          <w:color w:val="524E4E"/>
          <w:sz w:val="21"/>
          <w:szCs w:val="21"/>
        </w:rPr>
        <w:t xml:space="preserve"> of</w:t>
      </w:r>
      <w:r w:rsidR="00F5700F">
        <w:rPr>
          <w:rFonts w:ascii="Calibri" w:hAnsi="Calibri" w:cs="Calibri"/>
          <w:color w:val="524E4E"/>
          <w:sz w:val="21"/>
          <w:szCs w:val="21"/>
        </w:rPr>
        <w:t xml:space="preserve"> Drg Aloysius Giyai, t</w:t>
      </w:r>
      <w:r w:rsidR="00D35565" w:rsidRPr="00F5700F">
        <w:rPr>
          <w:rFonts w:ascii="Calibri" w:hAnsi="Calibri" w:cs="Calibri"/>
          <w:color w:val="524E4E"/>
          <w:sz w:val="21"/>
          <w:szCs w:val="21"/>
        </w:rPr>
        <w:t xml:space="preserve">he head of the Regional Health Department in Papua Province, Drg. Aloysius Giyai, </w:t>
      </w:r>
      <w:r w:rsidR="00F5700F">
        <w:rPr>
          <w:rFonts w:ascii="Calibri" w:hAnsi="Calibri" w:cs="Calibri"/>
          <w:color w:val="524E4E"/>
          <w:sz w:val="21"/>
          <w:szCs w:val="21"/>
        </w:rPr>
        <w:t xml:space="preserve">at </w:t>
      </w:r>
      <w:hyperlink r:id="rId20" w:history="1">
        <w:r w:rsidR="00F5700F" w:rsidRPr="00252304">
          <w:rPr>
            <w:rStyle w:val="Hyperlink"/>
            <w:rFonts w:ascii="Calibri" w:hAnsi="Calibri" w:cs="Calibri"/>
            <w:sz w:val="21"/>
            <w:szCs w:val="21"/>
          </w:rPr>
          <w:t>https://regional.kompas.com/read/2016/09/07/16214001/angka.kematian.bayi.di.sembilan.kabupaten. di.papua.masih.tinggi</w:t>
        </w:r>
      </w:hyperlink>
      <w:r w:rsidRPr="00160ED3">
        <w:rPr>
          <w:rFonts w:ascii="Calibri" w:hAnsi="Calibri" w:cs="Calibri"/>
          <w:color w:val="524E4E"/>
          <w:sz w:val="21"/>
          <w:szCs w:val="21"/>
        </w:rPr>
        <w:t xml:space="preserve"> </w:t>
      </w:r>
    </w:p>
  </w:footnote>
  <w:footnote w:id="29">
    <w:p w14:paraId="6409B622" w14:textId="499234C3" w:rsidR="00F614CF" w:rsidRPr="00160ED3" w:rsidRDefault="00F614CF">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E52689">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The statement was made by </w:t>
      </w:r>
      <w:r w:rsidR="00A3397F" w:rsidRPr="00160ED3">
        <w:rPr>
          <w:rFonts w:ascii="Calibri" w:hAnsi="Calibri" w:cs="Calibri"/>
          <w:color w:val="524E4E"/>
          <w:sz w:val="21"/>
          <w:szCs w:val="21"/>
        </w:rPr>
        <w:t xml:space="preserve">Mr Trilaksono Hartono, the head of UNICEF Office </w:t>
      </w:r>
      <w:r w:rsidR="00BA4A1A" w:rsidRPr="00160ED3">
        <w:rPr>
          <w:rFonts w:ascii="Calibri" w:hAnsi="Calibri" w:cs="Calibri"/>
          <w:color w:val="524E4E"/>
          <w:sz w:val="21"/>
          <w:szCs w:val="21"/>
        </w:rPr>
        <w:t>for Pap</w:t>
      </w:r>
      <w:r w:rsidR="004910B4" w:rsidRPr="00160ED3">
        <w:rPr>
          <w:rFonts w:ascii="Calibri" w:hAnsi="Calibri" w:cs="Calibri"/>
          <w:color w:val="524E4E"/>
          <w:sz w:val="21"/>
          <w:szCs w:val="21"/>
        </w:rPr>
        <w:t>ua and West Papua Province, s</w:t>
      </w:r>
      <w:r w:rsidR="00A3397F" w:rsidRPr="00160ED3">
        <w:rPr>
          <w:rFonts w:ascii="Calibri" w:hAnsi="Calibri" w:cs="Calibri"/>
          <w:color w:val="524E4E"/>
          <w:sz w:val="21"/>
          <w:szCs w:val="21"/>
        </w:rPr>
        <w:t xml:space="preserve">ee </w:t>
      </w:r>
      <w:hyperlink r:id="rId21" w:history="1">
        <w:r w:rsidR="00A3397F" w:rsidRPr="00160ED3">
          <w:rPr>
            <w:rFonts w:ascii="Calibri" w:hAnsi="Calibri" w:cs="Calibri"/>
            <w:color w:val="524E4E"/>
            <w:sz w:val="21"/>
            <w:szCs w:val="21"/>
          </w:rPr>
          <w:t>http://www.harnas.co/2019/12/12/tingkat-kematian-ibu-melahirkan-tertinggi-di-papua</w:t>
        </w:r>
      </w:hyperlink>
      <w:r w:rsidR="00A3397F" w:rsidRPr="00160ED3">
        <w:rPr>
          <w:rFonts w:ascii="Calibri" w:hAnsi="Calibri" w:cs="Calibri"/>
          <w:color w:val="524E4E"/>
          <w:sz w:val="21"/>
          <w:szCs w:val="21"/>
        </w:rPr>
        <w:t xml:space="preserve"> </w:t>
      </w:r>
    </w:p>
  </w:footnote>
  <w:footnote w:id="30">
    <w:p w14:paraId="502703EC" w14:textId="589EBC81" w:rsidR="00486326" w:rsidRPr="00160ED3" w:rsidRDefault="00486326">
      <w:pPr>
        <w:pStyle w:val="FootnoteText"/>
        <w:rPr>
          <w:rFonts w:ascii="Calibri" w:hAnsi="Calibri" w:cs="Calibri"/>
          <w:color w:val="524E4E"/>
          <w:sz w:val="21"/>
          <w:szCs w:val="21"/>
        </w:rPr>
      </w:pPr>
      <w:r w:rsidRPr="00E52689">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articles in </w:t>
      </w:r>
      <w:hyperlink r:id="rId22" w:history="1">
        <w:r w:rsidRPr="00160ED3">
          <w:rPr>
            <w:rFonts w:ascii="Calibri" w:hAnsi="Calibri" w:cs="Calibri"/>
            <w:color w:val="524E4E"/>
            <w:sz w:val="21"/>
            <w:szCs w:val="21"/>
          </w:rPr>
          <w:t>https://republika.co.id/berita/q2eji3366/kematian-ibu-melahirkan-di-papua-tertinggi-di-indonesia</w:t>
        </w:r>
      </w:hyperlink>
      <w:r w:rsidRPr="00160ED3">
        <w:rPr>
          <w:rFonts w:ascii="Calibri" w:hAnsi="Calibri" w:cs="Calibri"/>
          <w:color w:val="524E4E"/>
          <w:sz w:val="21"/>
          <w:szCs w:val="21"/>
        </w:rPr>
        <w:t xml:space="preserve"> </w:t>
      </w:r>
    </w:p>
  </w:footnote>
  <w:footnote w:id="31">
    <w:p w14:paraId="22127310" w14:textId="3C0BE698" w:rsidR="00F55AE2" w:rsidRPr="00160ED3" w:rsidRDefault="00F55AE2">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w:t>
      </w:r>
      <w:r w:rsidR="00F23DA9" w:rsidRPr="00160ED3">
        <w:rPr>
          <w:rFonts w:ascii="Calibri" w:hAnsi="Calibri" w:cs="Calibri"/>
          <w:color w:val="524E4E"/>
          <w:sz w:val="21"/>
          <w:szCs w:val="21"/>
        </w:rPr>
        <w:t xml:space="preserve">UNDP Report, Study on Women’s and Men’s Health </w:t>
      </w:r>
      <w:r w:rsidR="008A43D7" w:rsidRPr="00160ED3">
        <w:rPr>
          <w:rFonts w:ascii="Calibri" w:hAnsi="Calibri" w:cs="Calibri"/>
          <w:color w:val="524E4E"/>
          <w:sz w:val="21"/>
          <w:szCs w:val="21"/>
        </w:rPr>
        <w:t xml:space="preserve">and Life Experience in Papua, Indonesia, published in August 2016, see </w:t>
      </w:r>
      <w:hyperlink r:id="rId23" w:history="1">
        <w:r w:rsidR="008E19F0" w:rsidRPr="00160ED3">
          <w:rPr>
            <w:rFonts w:ascii="Calibri" w:hAnsi="Calibri" w:cs="Calibri"/>
            <w:color w:val="524E4E"/>
            <w:sz w:val="21"/>
            <w:szCs w:val="21"/>
          </w:rPr>
          <w:t>https://www.id.undp.org/content/indonesia/en/home/library/democratic_governance/study-on-women-s-and-men-s-health-and-life-experiences-in-papua.html</w:t>
        </w:r>
      </w:hyperlink>
      <w:r w:rsidR="008E19F0">
        <w:rPr>
          <w:rFonts w:ascii="Calibri" w:hAnsi="Calibri" w:cs="Calibri"/>
          <w:color w:val="524E4E"/>
          <w:sz w:val="21"/>
          <w:szCs w:val="21"/>
        </w:rPr>
        <w:t xml:space="preserve"> </w:t>
      </w:r>
      <w:r w:rsidR="008E19F0" w:rsidRPr="00160ED3">
        <w:rPr>
          <w:rFonts w:ascii="Calibri" w:hAnsi="Calibri" w:cs="Calibri"/>
          <w:color w:val="524E4E"/>
          <w:sz w:val="21"/>
          <w:szCs w:val="21"/>
        </w:rPr>
        <w:t xml:space="preserve"> </w:t>
      </w:r>
    </w:p>
  </w:footnote>
  <w:footnote w:id="32">
    <w:p w14:paraId="68E59321" w14:textId="7074093F" w:rsidR="00FC23AF" w:rsidRPr="00160ED3" w:rsidRDefault="00FC23AF">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w:t>
      </w:r>
      <w:hyperlink r:id="rId24" w:history="1">
        <w:r w:rsidR="00143D5B" w:rsidRPr="00160ED3">
          <w:rPr>
            <w:rFonts w:ascii="Calibri" w:hAnsi="Calibri" w:cs="Calibri"/>
            <w:color w:val="524E4E"/>
            <w:sz w:val="21"/>
            <w:szCs w:val="21"/>
          </w:rPr>
          <w:t>https://www.jagatpapua.com/keterwakilan-perempuan-di-dpr-papua-barat-perlu-diberi-peran-strategis/</w:t>
        </w:r>
      </w:hyperlink>
    </w:p>
  </w:footnote>
  <w:footnote w:id="33">
    <w:p w14:paraId="2208AB47" w14:textId="416A8C50" w:rsidR="00D51CE7" w:rsidRPr="00160ED3" w:rsidRDefault="00D51CE7">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160ED3">
        <w:rPr>
          <w:rFonts w:ascii="Calibri" w:hAnsi="Calibri" w:cs="Calibri"/>
          <w:color w:val="524E4E"/>
          <w:sz w:val="21"/>
          <w:szCs w:val="21"/>
        </w:rPr>
        <w:t xml:space="preserve"> See the members of Provincial Parliament of Papua Province </w:t>
      </w:r>
      <w:r w:rsidR="00884E3D" w:rsidRPr="00160ED3">
        <w:rPr>
          <w:rFonts w:ascii="Calibri" w:hAnsi="Calibri" w:cs="Calibri"/>
          <w:color w:val="524E4E"/>
          <w:sz w:val="21"/>
          <w:szCs w:val="21"/>
        </w:rPr>
        <w:t xml:space="preserve">at </w:t>
      </w:r>
      <w:hyperlink r:id="rId25" w:history="1">
        <w:r w:rsidR="00884E3D" w:rsidRPr="00160ED3">
          <w:rPr>
            <w:rFonts w:ascii="Calibri" w:hAnsi="Calibri" w:cs="Calibri"/>
            <w:color w:val="524E4E"/>
            <w:sz w:val="21"/>
            <w:szCs w:val="21"/>
          </w:rPr>
          <w:t>https://dpr-papua.go.id/profil-anggota-dprp-masa-jabatan-2019-2024/</w:t>
        </w:r>
      </w:hyperlink>
    </w:p>
  </w:footnote>
  <w:footnote w:id="34">
    <w:p w14:paraId="4DB2344E" w14:textId="3A7FAA97" w:rsidR="00813D13" w:rsidRPr="00160ED3" w:rsidRDefault="00813D13" w:rsidP="00813D13">
      <w:pPr>
        <w:pStyle w:val="FootnoteText"/>
        <w:rPr>
          <w:rFonts w:ascii="Calibri" w:hAnsi="Calibri" w:cs="Calibri"/>
          <w:color w:val="524E4E"/>
          <w:sz w:val="21"/>
          <w:szCs w:val="21"/>
        </w:rPr>
      </w:pPr>
      <w:r w:rsidRPr="00772D58">
        <w:rPr>
          <w:rFonts w:ascii="Calibri" w:hAnsi="Calibri" w:cs="Calibri"/>
          <w:color w:val="524E4E"/>
          <w:sz w:val="21"/>
          <w:szCs w:val="21"/>
          <w:vertAlign w:val="superscript"/>
        </w:rPr>
        <w:footnoteRef/>
      </w:r>
      <w:r w:rsidRPr="00772D58">
        <w:rPr>
          <w:rFonts w:ascii="Calibri" w:hAnsi="Calibri" w:cs="Calibri"/>
          <w:color w:val="524E4E"/>
          <w:sz w:val="21"/>
          <w:szCs w:val="21"/>
          <w:vertAlign w:val="superscript"/>
        </w:rPr>
        <w:t xml:space="preserve"> </w:t>
      </w:r>
      <w:r w:rsidRPr="00160ED3">
        <w:rPr>
          <w:rFonts w:ascii="Calibri" w:hAnsi="Calibri" w:cs="Calibri"/>
          <w:color w:val="524E4E"/>
          <w:sz w:val="21"/>
          <w:szCs w:val="21"/>
        </w:rPr>
        <w:t xml:space="preserve">See </w:t>
      </w:r>
      <w:hyperlink r:id="rId26" w:history="1">
        <w:r w:rsidRPr="00160ED3">
          <w:rPr>
            <w:rFonts w:ascii="Calibri" w:hAnsi="Calibri" w:cs="Calibri"/>
            <w:color w:val="524E4E"/>
            <w:sz w:val="21"/>
            <w:szCs w:val="21"/>
          </w:rPr>
          <w:t>https://jubi.co.id/keterwakilan-perempuan-di-parlemen-papua-hanya-jadi-pelengkap-loloskan-parpol/</w:t>
        </w:r>
      </w:hyperlink>
      <w:r>
        <w:rPr>
          <w:rFonts w:ascii="Calibri" w:hAnsi="Calibri" w:cs="Calibri"/>
          <w:color w:val="524E4E"/>
          <w:sz w:val="21"/>
          <w:szCs w:val="21"/>
        </w:rPr>
        <w:t xml:space="preserve"> </w:t>
      </w:r>
      <w:r w:rsidRPr="00160ED3">
        <w:rPr>
          <w:rFonts w:ascii="Calibri" w:hAnsi="Calibri" w:cs="Calibri"/>
          <w:color w:val="524E4E"/>
          <w:sz w:val="21"/>
          <w:szCs w:val="21"/>
        </w:rPr>
        <w:t xml:space="preserve"> </w:t>
      </w:r>
    </w:p>
  </w:footnote>
  <w:footnote w:id="35">
    <w:p w14:paraId="4BE924FD" w14:textId="56880048" w:rsidR="001C43AF" w:rsidRPr="001C43AF" w:rsidRDefault="001C43AF">
      <w:pPr>
        <w:pStyle w:val="FootnoteText"/>
      </w:pPr>
      <w:r>
        <w:rPr>
          <w:rStyle w:val="FootnoteReference"/>
        </w:rPr>
        <w:footnoteRef/>
      </w:r>
      <w:r>
        <w:t xml:space="preserve"> </w:t>
      </w:r>
      <w:r w:rsidRPr="00534281">
        <w:rPr>
          <w:rFonts w:ascii="Calibri" w:hAnsi="Calibri" w:cs="Calibri"/>
          <w:color w:val="524E4E"/>
          <w:sz w:val="21"/>
          <w:szCs w:val="21"/>
        </w:rPr>
        <w:t>See the list of head of regenc</w:t>
      </w:r>
      <w:r w:rsidR="00F20FA6" w:rsidRPr="00534281">
        <w:rPr>
          <w:rFonts w:ascii="Calibri" w:hAnsi="Calibri" w:cs="Calibri"/>
          <w:color w:val="524E4E"/>
          <w:sz w:val="21"/>
          <w:szCs w:val="21"/>
        </w:rPr>
        <w:t xml:space="preserve">ies in Papua Province at </w:t>
      </w:r>
      <w:hyperlink r:id="rId27" w:history="1">
        <w:r w:rsidR="00534281" w:rsidRPr="001B5D32">
          <w:rPr>
            <w:rStyle w:val="Hyperlink"/>
            <w:rFonts w:ascii="Calibri" w:hAnsi="Calibri" w:cs="Calibri"/>
            <w:sz w:val="21"/>
            <w:szCs w:val="21"/>
          </w:rPr>
          <w:t>https://www.papua.go.id/view-detail-listkab-all/daftar-kabupaten.html</w:t>
        </w:r>
      </w:hyperlink>
      <w:r w:rsidR="00534281">
        <w:rPr>
          <w:rFonts w:ascii="Calibri" w:hAnsi="Calibri" w:cs="Calibri"/>
          <w:color w:val="524E4E"/>
          <w:sz w:val="21"/>
          <w:szCs w:val="21"/>
        </w:rPr>
        <w:t xml:space="preserve"> </w:t>
      </w:r>
    </w:p>
  </w:footnote>
  <w:footnote w:id="36">
    <w:p w14:paraId="650C5F15" w14:textId="0ADB1089" w:rsidR="008A4B12" w:rsidRPr="008A4B12" w:rsidRDefault="008A4B12">
      <w:pPr>
        <w:pStyle w:val="FootnoteText"/>
      </w:pPr>
      <w:r>
        <w:rPr>
          <w:rStyle w:val="FootnoteReference"/>
        </w:rPr>
        <w:footnoteRef/>
      </w:r>
      <w:r>
        <w:t xml:space="preserve"> </w:t>
      </w:r>
      <w:r w:rsidRPr="00B53D09">
        <w:rPr>
          <w:rFonts w:ascii="Calibri" w:hAnsi="Calibri" w:cs="Calibri"/>
          <w:color w:val="524E4E"/>
          <w:sz w:val="21"/>
          <w:szCs w:val="21"/>
        </w:rPr>
        <w:t xml:space="preserve">See the list of head of regencies in West Papua province at </w:t>
      </w:r>
      <w:r w:rsidR="00B53D09" w:rsidRPr="00B53D09">
        <w:rPr>
          <w:rFonts w:ascii="Calibri" w:hAnsi="Calibri" w:cs="Calibri"/>
          <w:color w:val="524E4E"/>
          <w:sz w:val="21"/>
          <w:szCs w:val="21"/>
        </w:rPr>
        <w:t>https://id.wikipedia.org/wiki/Daftar_bupati_dan_wali_kota_di_Papua_Barat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4650" w14:textId="77777777" w:rsidR="00A61560" w:rsidRDefault="39B60A81">
    <w:pPr>
      <w:pStyle w:val="Header"/>
    </w:pPr>
    <w:r>
      <w:rPr>
        <w:noProof/>
      </w:rPr>
      <w:drawing>
        <wp:inline distT="0" distB="0" distL="0" distR="0" wp14:anchorId="3400C055" wp14:editId="3B423642">
          <wp:extent cx="6125890" cy="973894"/>
          <wp:effectExtent l="0" t="0" r="0" b="4445"/>
          <wp:docPr id="9292414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25890" cy="973894"/>
                  </a:xfrm>
                  <a:prstGeom prst="rect">
                    <a:avLst/>
                  </a:prstGeom>
                </pic:spPr>
              </pic:pic>
            </a:graphicData>
          </a:graphic>
        </wp:inline>
      </w:drawing>
    </w:r>
  </w:p>
  <w:p w14:paraId="478F6C3D" w14:textId="77777777" w:rsidR="00A61560" w:rsidRDefault="00A61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F24"/>
    <w:multiLevelType w:val="hybridMultilevel"/>
    <w:tmpl w:val="2B8CE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A560C"/>
    <w:multiLevelType w:val="hybridMultilevel"/>
    <w:tmpl w:val="2B8CE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517E6"/>
    <w:multiLevelType w:val="hybridMultilevel"/>
    <w:tmpl w:val="5530A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E73B0"/>
    <w:multiLevelType w:val="hybridMultilevel"/>
    <w:tmpl w:val="77EC3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A01517"/>
    <w:multiLevelType w:val="hybridMultilevel"/>
    <w:tmpl w:val="127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1AFD"/>
    <w:multiLevelType w:val="hybridMultilevel"/>
    <w:tmpl w:val="399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49C5"/>
    <w:multiLevelType w:val="multilevel"/>
    <w:tmpl w:val="96B64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A40C1D"/>
    <w:multiLevelType w:val="hybridMultilevel"/>
    <w:tmpl w:val="CBFAE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660A01"/>
    <w:multiLevelType w:val="hybridMultilevel"/>
    <w:tmpl w:val="2B8CE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054658"/>
    <w:multiLevelType w:val="hybridMultilevel"/>
    <w:tmpl w:val="F18AED32"/>
    <w:lvl w:ilvl="0" w:tplc="FFFFFFFF">
      <w:start w:val="24"/>
      <w:numFmt w:val="bullet"/>
      <w:lvlText w:val="-"/>
      <w:lvlJc w:val="left"/>
      <w:pPr>
        <w:ind w:left="720" w:hanging="360"/>
      </w:pPr>
      <w:rPr>
        <w:rFonts w:ascii="Corbel" w:hAnsi="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DF2799"/>
    <w:multiLevelType w:val="hybridMultilevel"/>
    <w:tmpl w:val="CD826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B3024"/>
    <w:multiLevelType w:val="hybridMultilevel"/>
    <w:tmpl w:val="333003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5213DB"/>
    <w:multiLevelType w:val="hybridMultilevel"/>
    <w:tmpl w:val="D42E9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CD50F84"/>
    <w:multiLevelType w:val="hybridMultilevel"/>
    <w:tmpl w:val="E1843760"/>
    <w:lvl w:ilvl="0" w:tplc="CCF8EAD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D842CFB"/>
    <w:multiLevelType w:val="multilevel"/>
    <w:tmpl w:val="BF9A2000"/>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53412D3"/>
    <w:multiLevelType w:val="hybridMultilevel"/>
    <w:tmpl w:val="988A7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5B25FF"/>
    <w:multiLevelType w:val="hybridMultilevel"/>
    <w:tmpl w:val="AF62E2A8"/>
    <w:lvl w:ilvl="0" w:tplc="FFFFFFFF">
      <w:start w:val="24"/>
      <w:numFmt w:val="bullet"/>
      <w:lvlText w:val="-"/>
      <w:lvlJc w:val="left"/>
      <w:pPr>
        <w:ind w:left="720" w:hanging="360"/>
      </w:pPr>
      <w:rPr>
        <w:rFonts w:ascii="Corbel" w:hAnsi="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E4574A5"/>
    <w:multiLevelType w:val="multilevel"/>
    <w:tmpl w:val="5150F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9C4B54"/>
    <w:multiLevelType w:val="hybridMultilevel"/>
    <w:tmpl w:val="35DED690"/>
    <w:lvl w:ilvl="0" w:tplc="384C48E0">
      <w:start w:val="1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15"/>
  </w:num>
  <w:num w:numId="6">
    <w:abstractNumId w:val="12"/>
  </w:num>
  <w:num w:numId="7">
    <w:abstractNumId w:val="0"/>
  </w:num>
  <w:num w:numId="8">
    <w:abstractNumId w:val="13"/>
  </w:num>
  <w:num w:numId="9">
    <w:abstractNumId w:val="10"/>
  </w:num>
  <w:num w:numId="10">
    <w:abstractNumId w:val="3"/>
  </w:num>
  <w:num w:numId="11">
    <w:abstractNumId w:val="2"/>
  </w:num>
  <w:num w:numId="12">
    <w:abstractNumId w:val="14"/>
  </w:num>
  <w:num w:numId="13">
    <w:abstractNumId w:val="6"/>
  </w:num>
  <w:num w:numId="14">
    <w:abstractNumId w:val="17"/>
  </w:num>
  <w:num w:numId="15">
    <w:abstractNumId w:val="18"/>
  </w:num>
  <w:num w:numId="16">
    <w:abstractNumId w:val="1"/>
  </w:num>
  <w:num w:numId="17">
    <w:abstractNumId w:val="8"/>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560"/>
    <w:rsid w:val="000003FD"/>
    <w:rsid w:val="000022F5"/>
    <w:rsid w:val="000043C0"/>
    <w:rsid w:val="00004620"/>
    <w:rsid w:val="00004E05"/>
    <w:rsid w:val="00006C70"/>
    <w:rsid w:val="0000748C"/>
    <w:rsid w:val="0001280F"/>
    <w:rsid w:val="00013178"/>
    <w:rsid w:val="00013EC6"/>
    <w:rsid w:val="0001523D"/>
    <w:rsid w:val="00015889"/>
    <w:rsid w:val="000168C0"/>
    <w:rsid w:val="00017F5A"/>
    <w:rsid w:val="00020BD8"/>
    <w:rsid w:val="00020D7B"/>
    <w:rsid w:val="000210D1"/>
    <w:rsid w:val="00023109"/>
    <w:rsid w:val="00025BBE"/>
    <w:rsid w:val="00026C46"/>
    <w:rsid w:val="0003279E"/>
    <w:rsid w:val="00032E87"/>
    <w:rsid w:val="0003727F"/>
    <w:rsid w:val="00037760"/>
    <w:rsid w:val="00040A5B"/>
    <w:rsid w:val="000417AB"/>
    <w:rsid w:val="000426CD"/>
    <w:rsid w:val="00043026"/>
    <w:rsid w:val="00043713"/>
    <w:rsid w:val="000456A8"/>
    <w:rsid w:val="00045C8C"/>
    <w:rsid w:val="000471D8"/>
    <w:rsid w:val="000478F3"/>
    <w:rsid w:val="0005083A"/>
    <w:rsid w:val="00051BA7"/>
    <w:rsid w:val="00051E48"/>
    <w:rsid w:val="00051EED"/>
    <w:rsid w:val="000525E3"/>
    <w:rsid w:val="00053842"/>
    <w:rsid w:val="00055A0D"/>
    <w:rsid w:val="00056111"/>
    <w:rsid w:val="00061FB8"/>
    <w:rsid w:val="0006229E"/>
    <w:rsid w:val="00064F7D"/>
    <w:rsid w:val="000659D9"/>
    <w:rsid w:val="000667E1"/>
    <w:rsid w:val="00066A32"/>
    <w:rsid w:val="00072821"/>
    <w:rsid w:val="00074306"/>
    <w:rsid w:val="00075DB2"/>
    <w:rsid w:val="00076AFB"/>
    <w:rsid w:val="00076F0E"/>
    <w:rsid w:val="00080B46"/>
    <w:rsid w:val="00080B4B"/>
    <w:rsid w:val="0008272B"/>
    <w:rsid w:val="00086317"/>
    <w:rsid w:val="000866B2"/>
    <w:rsid w:val="00086AA9"/>
    <w:rsid w:val="00087280"/>
    <w:rsid w:val="00090E8F"/>
    <w:rsid w:val="00093A0B"/>
    <w:rsid w:val="000941AA"/>
    <w:rsid w:val="000974B3"/>
    <w:rsid w:val="000A0918"/>
    <w:rsid w:val="000A1C18"/>
    <w:rsid w:val="000A3309"/>
    <w:rsid w:val="000A367C"/>
    <w:rsid w:val="000B20AC"/>
    <w:rsid w:val="000B6697"/>
    <w:rsid w:val="000B6770"/>
    <w:rsid w:val="000C226B"/>
    <w:rsid w:val="000C456C"/>
    <w:rsid w:val="000C64A3"/>
    <w:rsid w:val="000C6AC4"/>
    <w:rsid w:val="000D2A95"/>
    <w:rsid w:val="000D53C8"/>
    <w:rsid w:val="000E084A"/>
    <w:rsid w:val="000E30B5"/>
    <w:rsid w:val="000E39CA"/>
    <w:rsid w:val="000E528B"/>
    <w:rsid w:val="000E5310"/>
    <w:rsid w:val="000E788D"/>
    <w:rsid w:val="000F2FE7"/>
    <w:rsid w:val="000F39BB"/>
    <w:rsid w:val="000F3CA4"/>
    <w:rsid w:val="000F4FCC"/>
    <w:rsid w:val="000F75FE"/>
    <w:rsid w:val="00101FF8"/>
    <w:rsid w:val="00105A29"/>
    <w:rsid w:val="001112A2"/>
    <w:rsid w:val="00116958"/>
    <w:rsid w:val="00117FDB"/>
    <w:rsid w:val="00120AB0"/>
    <w:rsid w:val="00120AC3"/>
    <w:rsid w:val="00122CE7"/>
    <w:rsid w:val="00123579"/>
    <w:rsid w:val="00126759"/>
    <w:rsid w:val="00127185"/>
    <w:rsid w:val="00127A89"/>
    <w:rsid w:val="001324E0"/>
    <w:rsid w:val="00136ECA"/>
    <w:rsid w:val="001421EF"/>
    <w:rsid w:val="00143D5B"/>
    <w:rsid w:val="00144516"/>
    <w:rsid w:val="001455E0"/>
    <w:rsid w:val="00147D2A"/>
    <w:rsid w:val="00151AAC"/>
    <w:rsid w:val="0015215E"/>
    <w:rsid w:val="00152214"/>
    <w:rsid w:val="0015442C"/>
    <w:rsid w:val="00154C4E"/>
    <w:rsid w:val="00155329"/>
    <w:rsid w:val="00160ED3"/>
    <w:rsid w:val="00162F71"/>
    <w:rsid w:val="00164341"/>
    <w:rsid w:val="00164978"/>
    <w:rsid w:val="00165922"/>
    <w:rsid w:val="00170A95"/>
    <w:rsid w:val="00171BBB"/>
    <w:rsid w:val="00172171"/>
    <w:rsid w:val="00184A34"/>
    <w:rsid w:val="00185A11"/>
    <w:rsid w:val="00186E38"/>
    <w:rsid w:val="001871FE"/>
    <w:rsid w:val="00190904"/>
    <w:rsid w:val="00192F38"/>
    <w:rsid w:val="001937CA"/>
    <w:rsid w:val="00193845"/>
    <w:rsid w:val="00194A94"/>
    <w:rsid w:val="001976D6"/>
    <w:rsid w:val="001A0947"/>
    <w:rsid w:val="001A09BB"/>
    <w:rsid w:val="001A1D0B"/>
    <w:rsid w:val="001A2646"/>
    <w:rsid w:val="001A56B5"/>
    <w:rsid w:val="001A7740"/>
    <w:rsid w:val="001B1A74"/>
    <w:rsid w:val="001B2817"/>
    <w:rsid w:val="001C094D"/>
    <w:rsid w:val="001C10BC"/>
    <w:rsid w:val="001C12ED"/>
    <w:rsid w:val="001C2483"/>
    <w:rsid w:val="001C42CA"/>
    <w:rsid w:val="001C43AF"/>
    <w:rsid w:val="001C5281"/>
    <w:rsid w:val="001C773C"/>
    <w:rsid w:val="001C7F7E"/>
    <w:rsid w:val="001D06E8"/>
    <w:rsid w:val="001D0A64"/>
    <w:rsid w:val="001D1040"/>
    <w:rsid w:val="001D1386"/>
    <w:rsid w:val="001E07FA"/>
    <w:rsid w:val="001E2CAB"/>
    <w:rsid w:val="001E33F5"/>
    <w:rsid w:val="001E60C0"/>
    <w:rsid w:val="001F5639"/>
    <w:rsid w:val="00201644"/>
    <w:rsid w:val="0020261A"/>
    <w:rsid w:val="002111EF"/>
    <w:rsid w:val="00211DAB"/>
    <w:rsid w:val="00213990"/>
    <w:rsid w:val="00215ECB"/>
    <w:rsid w:val="00217602"/>
    <w:rsid w:val="00217C0F"/>
    <w:rsid w:val="00221777"/>
    <w:rsid w:val="00221EE4"/>
    <w:rsid w:val="00222720"/>
    <w:rsid w:val="00222D85"/>
    <w:rsid w:val="00224665"/>
    <w:rsid w:val="00224B4E"/>
    <w:rsid w:val="00225BF5"/>
    <w:rsid w:val="00233793"/>
    <w:rsid w:val="00234673"/>
    <w:rsid w:val="00234FD1"/>
    <w:rsid w:val="002361FD"/>
    <w:rsid w:val="00236DC0"/>
    <w:rsid w:val="00237931"/>
    <w:rsid w:val="0024090B"/>
    <w:rsid w:val="00241986"/>
    <w:rsid w:val="0024224E"/>
    <w:rsid w:val="00242307"/>
    <w:rsid w:val="00243C1A"/>
    <w:rsid w:val="00244B57"/>
    <w:rsid w:val="00247D5C"/>
    <w:rsid w:val="0025538E"/>
    <w:rsid w:val="002577D5"/>
    <w:rsid w:val="00257E46"/>
    <w:rsid w:val="00257F97"/>
    <w:rsid w:val="00262A18"/>
    <w:rsid w:val="002638B9"/>
    <w:rsid w:val="00265FDE"/>
    <w:rsid w:val="00266609"/>
    <w:rsid w:val="00267526"/>
    <w:rsid w:val="002710BA"/>
    <w:rsid w:val="00272160"/>
    <w:rsid w:val="00273962"/>
    <w:rsid w:val="00273F00"/>
    <w:rsid w:val="002758BB"/>
    <w:rsid w:val="00275BF7"/>
    <w:rsid w:val="0027613C"/>
    <w:rsid w:val="0027648C"/>
    <w:rsid w:val="00282AA4"/>
    <w:rsid w:val="00290E96"/>
    <w:rsid w:val="00291016"/>
    <w:rsid w:val="00291263"/>
    <w:rsid w:val="00293EFE"/>
    <w:rsid w:val="002A0093"/>
    <w:rsid w:val="002A5DC1"/>
    <w:rsid w:val="002A692D"/>
    <w:rsid w:val="002A6CF3"/>
    <w:rsid w:val="002A6D69"/>
    <w:rsid w:val="002A6EAF"/>
    <w:rsid w:val="002A6EF6"/>
    <w:rsid w:val="002A7AAE"/>
    <w:rsid w:val="002B011A"/>
    <w:rsid w:val="002B02B6"/>
    <w:rsid w:val="002B1AE9"/>
    <w:rsid w:val="002B23ED"/>
    <w:rsid w:val="002B4AC9"/>
    <w:rsid w:val="002B4B1A"/>
    <w:rsid w:val="002B69D8"/>
    <w:rsid w:val="002C3363"/>
    <w:rsid w:val="002C44BE"/>
    <w:rsid w:val="002C4995"/>
    <w:rsid w:val="002D237C"/>
    <w:rsid w:val="002D3588"/>
    <w:rsid w:val="002D391C"/>
    <w:rsid w:val="002D78E1"/>
    <w:rsid w:val="002D7F54"/>
    <w:rsid w:val="002E0C14"/>
    <w:rsid w:val="002E21E1"/>
    <w:rsid w:val="002E4A22"/>
    <w:rsid w:val="002E7F80"/>
    <w:rsid w:val="002F0C3C"/>
    <w:rsid w:val="002F15D7"/>
    <w:rsid w:val="002F371B"/>
    <w:rsid w:val="002F7A3D"/>
    <w:rsid w:val="002F7B64"/>
    <w:rsid w:val="003024D5"/>
    <w:rsid w:val="00302B1A"/>
    <w:rsid w:val="003037B7"/>
    <w:rsid w:val="00304DCA"/>
    <w:rsid w:val="0030624C"/>
    <w:rsid w:val="00306D24"/>
    <w:rsid w:val="00312817"/>
    <w:rsid w:val="00314D14"/>
    <w:rsid w:val="003154A0"/>
    <w:rsid w:val="003239F9"/>
    <w:rsid w:val="003249CA"/>
    <w:rsid w:val="003266C4"/>
    <w:rsid w:val="003276E5"/>
    <w:rsid w:val="00327727"/>
    <w:rsid w:val="00327E2E"/>
    <w:rsid w:val="003303F9"/>
    <w:rsid w:val="003314F5"/>
    <w:rsid w:val="00332D90"/>
    <w:rsid w:val="00333EB1"/>
    <w:rsid w:val="0033621B"/>
    <w:rsid w:val="003436C6"/>
    <w:rsid w:val="00345C8F"/>
    <w:rsid w:val="00346EA2"/>
    <w:rsid w:val="0034705A"/>
    <w:rsid w:val="00350D73"/>
    <w:rsid w:val="00351ABC"/>
    <w:rsid w:val="003534EA"/>
    <w:rsid w:val="00354BD5"/>
    <w:rsid w:val="00354E13"/>
    <w:rsid w:val="003553D9"/>
    <w:rsid w:val="00362032"/>
    <w:rsid w:val="003655AF"/>
    <w:rsid w:val="00365DA4"/>
    <w:rsid w:val="00367E5A"/>
    <w:rsid w:val="00370D78"/>
    <w:rsid w:val="003740CD"/>
    <w:rsid w:val="003756CE"/>
    <w:rsid w:val="00377431"/>
    <w:rsid w:val="00377E08"/>
    <w:rsid w:val="00385C1E"/>
    <w:rsid w:val="00386AA2"/>
    <w:rsid w:val="00386D50"/>
    <w:rsid w:val="003920B5"/>
    <w:rsid w:val="00393EE4"/>
    <w:rsid w:val="003948DF"/>
    <w:rsid w:val="003A1AA6"/>
    <w:rsid w:val="003A2138"/>
    <w:rsid w:val="003A5667"/>
    <w:rsid w:val="003A6087"/>
    <w:rsid w:val="003B1CB1"/>
    <w:rsid w:val="003B3841"/>
    <w:rsid w:val="003B38AA"/>
    <w:rsid w:val="003B4ECF"/>
    <w:rsid w:val="003B5A43"/>
    <w:rsid w:val="003B60C1"/>
    <w:rsid w:val="003C1DAA"/>
    <w:rsid w:val="003D034F"/>
    <w:rsid w:val="003D0691"/>
    <w:rsid w:val="003D17FA"/>
    <w:rsid w:val="003D446D"/>
    <w:rsid w:val="003D5956"/>
    <w:rsid w:val="003D60B6"/>
    <w:rsid w:val="003D639D"/>
    <w:rsid w:val="003E1845"/>
    <w:rsid w:val="003E21EB"/>
    <w:rsid w:val="003E28F6"/>
    <w:rsid w:val="003E7664"/>
    <w:rsid w:val="003E797B"/>
    <w:rsid w:val="003F0592"/>
    <w:rsid w:val="003F1D08"/>
    <w:rsid w:val="003F1F8C"/>
    <w:rsid w:val="003F2A9D"/>
    <w:rsid w:val="003F3C8C"/>
    <w:rsid w:val="00405038"/>
    <w:rsid w:val="004108B3"/>
    <w:rsid w:val="00411B74"/>
    <w:rsid w:val="00412CF3"/>
    <w:rsid w:val="00413036"/>
    <w:rsid w:val="00414D6A"/>
    <w:rsid w:val="00415882"/>
    <w:rsid w:val="004169B6"/>
    <w:rsid w:val="00420152"/>
    <w:rsid w:val="00420F8C"/>
    <w:rsid w:val="0042416A"/>
    <w:rsid w:val="00425D2B"/>
    <w:rsid w:val="004266E9"/>
    <w:rsid w:val="00430150"/>
    <w:rsid w:val="00430C90"/>
    <w:rsid w:val="00431713"/>
    <w:rsid w:val="00432001"/>
    <w:rsid w:val="004339BC"/>
    <w:rsid w:val="004357FE"/>
    <w:rsid w:val="00440622"/>
    <w:rsid w:val="004417A2"/>
    <w:rsid w:val="0044216B"/>
    <w:rsid w:val="00442AA6"/>
    <w:rsid w:val="0044646C"/>
    <w:rsid w:val="0045066A"/>
    <w:rsid w:val="00453253"/>
    <w:rsid w:val="004537C8"/>
    <w:rsid w:val="00455065"/>
    <w:rsid w:val="004559E2"/>
    <w:rsid w:val="004566B7"/>
    <w:rsid w:val="0045671B"/>
    <w:rsid w:val="004614AA"/>
    <w:rsid w:val="00461907"/>
    <w:rsid w:val="00461FFB"/>
    <w:rsid w:val="004639D3"/>
    <w:rsid w:val="00463E3E"/>
    <w:rsid w:val="00470589"/>
    <w:rsid w:val="00470A6E"/>
    <w:rsid w:val="00470C00"/>
    <w:rsid w:val="0047271F"/>
    <w:rsid w:val="004746E7"/>
    <w:rsid w:val="00476CE4"/>
    <w:rsid w:val="004774C0"/>
    <w:rsid w:val="00482009"/>
    <w:rsid w:val="004839FA"/>
    <w:rsid w:val="00485031"/>
    <w:rsid w:val="00485298"/>
    <w:rsid w:val="00486326"/>
    <w:rsid w:val="00490FC6"/>
    <w:rsid w:val="004910B4"/>
    <w:rsid w:val="00491BC6"/>
    <w:rsid w:val="00491E06"/>
    <w:rsid w:val="00492566"/>
    <w:rsid w:val="00497119"/>
    <w:rsid w:val="004A137E"/>
    <w:rsid w:val="004A3F6E"/>
    <w:rsid w:val="004A4A64"/>
    <w:rsid w:val="004A4C6C"/>
    <w:rsid w:val="004B4B04"/>
    <w:rsid w:val="004B4DCB"/>
    <w:rsid w:val="004C10CE"/>
    <w:rsid w:val="004C38A5"/>
    <w:rsid w:val="004C4528"/>
    <w:rsid w:val="004C499B"/>
    <w:rsid w:val="004C5C13"/>
    <w:rsid w:val="004D2F22"/>
    <w:rsid w:val="004D3F8D"/>
    <w:rsid w:val="004D4668"/>
    <w:rsid w:val="004D57E9"/>
    <w:rsid w:val="004D5DB3"/>
    <w:rsid w:val="004D69DC"/>
    <w:rsid w:val="004E08B2"/>
    <w:rsid w:val="004E154F"/>
    <w:rsid w:val="004E4978"/>
    <w:rsid w:val="004E540A"/>
    <w:rsid w:val="004E6114"/>
    <w:rsid w:val="004F047F"/>
    <w:rsid w:val="004F0817"/>
    <w:rsid w:val="004F4EEC"/>
    <w:rsid w:val="00501224"/>
    <w:rsid w:val="005108F1"/>
    <w:rsid w:val="0051330E"/>
    <w:rsid w:val="005144F9"/>
    <w:rsid w:val="00514CD5"/>
    <w:rsid w:val="00515A5C"/>
    <w:rsid w:val="0051797D"/>
    <w:rsid w:val="005204D2"/>
    <w:rsid w:val="00521A85"/>
    <w:rsid w:val="00522457"/>
    <w:rsid w:val="0053001D"/>
    <w:rsid w:val="00531087"/>
    <w:rsid w:val="005324F3"/>
    <w:rsid w:val="00533039"/>
    <w:rsid w:val="00534281"/>
    <w:rsid w:val="00534E44"/>
    <w:rsid w:val="005359F7"/>
    <w:rsid w:val="00537DC0"/>
    <w:rsid w:val="00540BF0"/>
    <w:rsid w:val="0054240A"/>
    <w:rsid w:val="00547A87"/>
    <w:rsid w:val="00550715"/>
    <w:rsid w:val="00554A1B"/>
    <w:rsid w:val="00554E9B"/>
    <w:rsid w:val="005572E7"/>
    <w:rsid w:val="00560760"/>
    <w:rsid w:val="00560C02"/>
    <w:rsid w:val="00562125"/>
    <w:rsid w:val="00562C8F"/>
    <w:rsid w:val="005665AA"/>
    <w:rsid w:val="00570293"/>
    <w:rsid w:val="0057158C"/>
    <w:rsid w:val="00571F9F"/>
    <w:rsid w:val="00574090"/>
    <w:rsid w:val="0057667B"/>
    <w:rsid w:val="00581FC0"/>
    <w:rsid w:val="00583351"/>
    <w:rsid w:val="0058335F"/>
    <w:rsid w:val="0058596D"/>
    <w:rsid w:val="00590CAC"/>
    <w:rsid w:val="005931B5"/>
    <w:rsid w:val="00596EE1"/>
    <w:rsid w:val="005A143C"/>
    <w:rsid w:val="005A365E"/>
    <w:rsid w:val="005A3AC0"/>
    <w:rsid w:val="005A51C8"/>
    <w:rsid w:val="005A590D"/>
    <w:rsid w:val="005A5B7C"/>
    <w:rsid w:val="005A6B95"/>
    <w:rsid w:val="005B02EC"/>
    <w:rsid w:val="005B130D"/>
    <w:rsid w:val="005B131E"/>
    <w:rsid w:val="005B6200"/>
    <w:rsid w:val="005B6B86"/>
    <w:rsid w:val="005B6DF7"/>
    <w:rsid w:val="005B7B1F"/>
    <w:rsid w:val="005C1AFB"/>
    <w:rsid w:val="005C21BC"/>
    <w:rsid w:val="005C25D4"/>
    <w:rsid w:val="005C2FC1"/>
    <w:rsid w:val="005D0C53"/>
    <w:rsid w:val="005D2C23"/>
    <w:rsid w:val="005D367F"/>
    <w:rsid w:val="005D3AE2"/>
    <w:rsid w:val="005D5605"/>
    <w:rsid w:val="005D5E71"/>
    <w:rsid w:val="005D7EFD"/>
    <w:rsid w:val="005E0501"/>
    <w:rsid w:val="005E2894"/>
    <w:rsid w:val="005E4574"/>
    <w:rsid w:val="005E47C0"/>
    <w:rsid w:val="005E5814"/>
    <w:rsid w:val="005F020D"/>
    <w:rsid w:val="005F0ED1"/>
    <w:rsid w:val="005F1877"/>
    <w:rsid w:val="005F2EF3"/>
    <w:rsid w:val="005F32AD"/>
    <w:rsid w:val="005F34A3"/>
    <w:rsid w:val="005F3C8C"/>
    <w:rsid w:val="005F4A06"/>
    <w:rsid w:val="005F51F0"/>
    <w:rsid w:val="005F5B0C"/>
    <w:rsid w:val="005F7FAA"/>
    <w:rsid w:val="006008FC"/>
    <w:rsid w:val="0060178E"/>
    <w:rsid w:val="00611C13"/>
    <w:rsid w:val="00613111"/>
    <w:rsid w:val="00617581"/>
    <w:rsid w:val="006219AD"/>
    <w:rsid w:val="00621ACD"/>
    <w:rsid w:val="00621F4B"/>
    <w:rsid w:val="0062327B"/>
    <w:rsid w:val="00624291"/>
    <w:rsid w:val="006253D4"/>
    <w:rsid w:val="00627D81"/>
    <w:rsid w:val="006309B3"/>
    <w:rsid w:val="00632A0C"/>
    <w:rsid w:val="00634DFC"/>
    <w:rsid w:val="0063667C"/>
    <w:rsid w:val="006370A9"/>
    <w:rsid w:val="00641708"/>
    <w:rsid w:val="0065051F"/>
    <w:rsid w:val="00651CD0"/>
    <w:rsid w:val="00653537"/>
    <w:rsid w:val="00654894"/>
    <w:rsid w:val="00654E7F"/>
    <w:rsid w:val="00656809"/>
    <w:rsid w:val="00660FE7"/>
    <w:rsid w:val="00661B2C"/>
    <w:rsid w:val="006651F9"/>
    <w:rsid w:val="0066572A"/>
    <w:rsid w:val="00665E3C"/>
    <w:rsid w:val="006728BA"/>
    <w:rsid w:val="00681192"/>
    <w:rsid w:val="006872C1"/>
    <w:rsid w:val="00691041"/>
    <w:rsid w:val="0069190B"/>
    <w:rsid w:val="00693751"/>
    <w:rsid w:val="00697E39"/>
    <w:rsid w:val="006A0E15"/>
    <w:rsid w:val="006A38E9"/>
    <w:rsid w:val="006A78C5"/>
    <w:rsid w:val="006B4746"/>
    <w:rsid w:val="006B6332"/>
    <w:rsid w:val="006C2C50"/>
    <w:rsid w:val="006C2EB0"/>
    <w:rsid w:val="006C3065"/>
    <w:rsid w:val="006C3A3D"/>
    <w:rsid w:val="006C4145"/>
    <w:rsid w:val="006C6B3F"/>
    <w:rsid w:val="006D067B"/>
    <w:rsid w:val="006D115D"/>
    <w:rsid w:val="006D20A3"/>
    <w:rsid w:val="006D2504"/>
    <w:rsid w:val="006D3424"/>
    <w:rsid w:val="006D60CA"/>
    <w:rsid w:val="006D6E3E"/>
    <w:rsid w:val="006E0EA4"/>
    <w:rsid w:val="006E14DD"/>
    <w:rsid w:val="006E4D3C"/>
    <w:rsid w:val="006E5B9A"/>
    <w:rsid w:val="006E66A5"/>
    <w:rsid w:val="006F01D5"/>
    <w:rsid w:val="006F24DE"/>
    <w:rsid w:val="006F366B"/>
    <w:rsid w:val="006F3E46"/>
    <w:rsid w:val="006F5477"/>
    <w:rsid w:val="006F62BE"/>
    <w:rsid w:val="00700F96"/>
    <w:rsid w:val="00702725"/>
    <w:rsid w:val="00702E21"/>
    <w:rsid w:val="00703E5F"/>
    <w:rsid w:val="0070488D"/>
    <w:rsid w:val="00706F2F"/>
    <w:rsid w:val="00707E51"/>
    <w:rsid w:val="00713F23"/>
    <w:rsid w:val="007150FF"/>
    <w:rsid w:val="0071585D"/>
    <w:rsid w:val="00716292"/>
    <w:rsid w:val="00716DEC"/>
    <w:rsid w:val="00720908"/>
    <w:rsid w:val="007229AE"/>
    <w:rsid w:val="00723BEB"/>
    <w:rsid w:val="007255DF"/>
    <w:rsid w:val="00725D37"/>
    <w:rsid w:val="00731FCD"/>
    <w:rsid w:val="00736318"/>
    <w:rsid w:val="0073736B"/>
    <w:rsid w:val="00744A5F"/>
    <w:rsid w:val="00746A10"/>
    <w:rsid w:val="007518C9"/>
    <w:rsid w:val="00751D0B"/>
    <w:rsid w:val="007550F1"/>
    <w:rsid w:val="00756BB0"/>
    <w:rsid w:val="00760434"/>
    <w:rsid w:val="00761B9A"/>
    <w:rsid w:val="00761C87"/>
    <w:rsid w:val="0076417D"/>
    <w:rsid w:val="00771FF7"/>
    <w:rsid w:val="00772114"/>
    <w:rsid w:val="00772378"/>
    <w:rsid w:val="00772767"/>
    <w:rsid w:val="00772D58"/>
    <w:rsid w:val="00773F22"/>
    <w:rsid w:val="00775D67"/>
    <w:rsid w:val="00780A7D"/>
    <w:rsid w:val="00781381"/>
    <w:rsid w:val="007905F1"/>
    <w:rsid w:val="0079068C"/>
    <w:rsid w:val="00790A2A"/>
    <w:rsid w:val="0079129C"/>
    <w:rsid w:val="00791608"/>
    <w:rsid w:val="00792A51"/>
    <w:rsid w:val="00792AEF"/>
    <w:rsid w:val="00795B3A"/>
    <w:rsid w:val="00795F1A"/>
    <w:rsid w:val="007961B5"/>
    <w:rsid w:val="00796517"/>
    <w:rsid w:val="00796FEC"/>
    <w:rsid w:val="007B14D5"/>
    <w:rsid w:val="007B3248"/>
    <w:rsid w:val="007B6EB6"/>
    <w:rsid w:val="007B725B"/>
    <w:rsid w:val="007C1F53"/>
    <w:rsid w:val="007C35F6"/>
    <w:rsid w:val="007C3F37"/>
    <w:rsid w:val="007C43EE"/>
    <w:rsid w:val="007C6882"/>
    <w:rsid w:val="007D1C89"/>
    <w:rsid w:val="007D2986"/>
    <w:rsid w:val="007D58FB"/>
    <w:rsid w:val="007D6621"/>
    <w:rsid w:val="007D70C7"/>
    <w:rsid w:val="007D7A6B"/>
    <w:rsid w:val="007E1B5C"/>
    <w:rsid w:val="007E3A63"/>
    <w:rsid w:val="007F0368"/>
    <w:rsid w:val="007F07A0"/>
    <w:rsid w:val="007F18B8"/>
    <w:rsid w:val="007F32EB"/>
    <w:rsid w:val="00801E46"/>
    <w:rsid w:val="008136FA"/>
    <w:rsid w:val="00813D13"/>
    <w:rsid w:val="00814D6B"/>
    <w:rsid w:val="00821FC9"/>
    <w:rsid w:val="008225B0"/>
    <w:rsid w:val="00823CEC"/>
    <w:rsid w:val="0082430C"/>
    <w:rsid w:val="00824443"/>
    <w:rsid w:val="00825044"/>
    <w:rsid w:val="00825C15"/>
    <w:rsid w:val="00826D4E"/>
    <w:rsid w:val="00826D84"/>
    <w:rsid w:val="00832C2E"/>
    <w:rsid w:val="0083467F"/>
    <w:rsid w:val="008347D6"/>
    <w:rsid w:val="00835843"/>
    <w:rsid w:val="00842192"/>
    <w:rsid w:val="00845F1A"/>
    <w:rsid w:val="00847AFA"/>
    <w:rsid w:val="0085022D"/>
    <w:rsid w:val="00850AD6"/>
    <w:rsid w:val="008523A2"/>
    <w:rsid w:val="008551ED"/>
    <w:rsid w:val="00855599"/>
    <w:rsid w:val="00860C82"/>
    <w:rsid w:val="00861AB8"/>
    <w:rsid w:val="00861ACA"/>
    <w:rsid w:val="00861B7F"/>
    <w:rsid w:val="008621FA"/>
    <w:rsid w:val="00877D2C"/>
    <w:rsid w:val="008810E0"/>
    <w:rsid w:val="00882ED3"/>
    <w:rsid w:val="00884205"/>
    <w:rsid w:val="008849EE"/>
    <w:rsid w:val="00884E3D"/>
    <w:rsid w:val="00885591"/>
    <w:rsid w:val="0088642E"/>
    <w:rsid w:val="0088668E"/>
    <w:rsid w:val="00890FE9"/>
    <w:rsid w:val="00893AC5"/>
    <w:rsid w:val="008943FE"/>
    <w:rsid w:val="00894BA4"/>
    <w:rsid w:val="008954F1"/>
    <w:rsid w:val="008A1539"/>
    <w:rsid w:val="008A43D7"/>
    <w:rsid w:val="008A451B"/>
    <w:rsid w:val="008A4B12"/>
    <w:rsid w:val="008B2F39"/>
    <w:rsid w:val="008B3732"/>
    <w:rsid w:val="008B3B88"/>
    <w:rsid w:val="008B4BAA"/>
    <w:rsid w:val="008B5B5A"/>
    <w:rsid w:val="008B6B63"/>
    <w:rsid w:val="008C1531"/>
    <w:rsid w:val="008C3044"/>
    <w:rsid w:val="008C306E"/>
    <w:rsid w:val="008C4BDC"/>
    <w:rsid w:val="008C6C91"/>
    <w:rsid w:val="008D01F4"/>
    <w:rsid w:val="008D322A"/>
    <w:rsid w:val="008D6F11"/>
    <w:rsid w:val="008E19F0"/>
    <w:rsid w:val="008E2A00"/>
    <w:rsid w:val="008E635E"/>
    <w:rsid w:val="008E6FF1"/>
    <w:rsid w:val="008F55B3"/>
    <w:rsid w:val="008F5B9E"/>
    <w:rsid w:val="008F648E"/>
    <w:rsid w:val="008F6580"/>
    <w:rsid w:val="009013A1"/>
    <w:rsid w:val="009013F6"/>
    <w:rsid w:val="0090432D"/>
    <w:rsid w:val="00905F60"/>
    <w:rsid w:val="00912D71"/>
    <w:rsid w:val="0091309B"/>
    <w:rsid w:val="00914885"/>
    <w:rsid w:val="00916237"/>
    <w:rsid w:val="0091657B"/>
    <w:rsid w:val="00916B69"/>
    <w:rsid w:val="009175F5"/>
    <w:rsid w:val="00920CB9"/>
    <w:rsid w:val="00920D57"/>
    <w:rsid w:val="00923BD0"/>
    <w:rsid w:val="00923FF8"/>
    <w:rsid w:val="00926035"/>
    <w:rsid w:val="00927648"/>
    <w:rsid w:val="00931342"/>
    <w:rsid w:val="00934E5E"/>
    <w:rsid w:val="009377A1"/>
    <w:rsid w:val="00940673"/>
    <w:rsid w:val="00941674"/>
    <w:rsid w:val="009420A4"/>
    <w:rsid w:val="0094356D"/>
    <w:rsid w:val="009442D7"/>
    <w:rsid w:val="00950F79"/>
    <w:rsid w:val="00953B70"/>
    <w:rsid w:val="009570C7"/>
    <w:rsid w:val="00960636"/>
    <w:rsid w:val="00964EB4"/>
    <w:rsid w:val="00971416"/>
    <w:rsid w:val="00971825"/>
    <w:rsid w:val="009826C2"/>
    <w:rsid w:val="00982CCA"/>
    <w:rsid w:val="00987100"/>
    <w:rsid w:val="0099015F"/>
    <w:rsid w:val="00991085"/>
    <w:rsid w:val="00994B59"/>
    <w:rsid w:val="00995551"/>
    <w:rsid w:val="00996068"/>
    <w:rsid w:val="00996B58"/>
    <w:rsid w:val="00996BC6"/>
    <w:rsid w:val="00996DAE"/>
    <w:rsid w:val="009A29F0"/>
    <w:rsid w:val="009A2DA7"/>
    <w:rsid w:val="009A5576"/>
    <w:rsid w:val="009A5DDA"/>
    <w:rsid w:val="009B03CD"/>
    <w:rsid w:val="009B1927"/>
    <w:rsid w:val="009B33CC"/>
    <w:rsid w:val="009B341C"/>
    <w:rsid w:val="009B3556"/>
    <w:rsid w:val="009B51A1"/>
    <w:rsid w:val="009C40E6"/>
    <w:rsid w:val="009D04CB"/>
    <w:rsid w:val="009D05E2"/>
    <w:rsid w:val="009D542A"/>
    <w:rsid w:val="009D58B1"/>
    <w:rsid w:val="009D6A83"/>
    <w:rsid w:val="009E0708"/>
    <w:rsid w:val="009E38F9"/>
    <w:rsid w:val="009E5218"/>
    <w:rsid w:val="009F351D"/>
    <w:rsid w:val="00A05352"/>
    <w:rsid w:val="00A10EE6"/>
    <w:rsid w:val="00A11734"/>
    <w:rsid w:val="00A1279F"/>
    <w:rsid w:val="00A12A8C"/>
    <w:rsid w:val="00A13C09"/>
    <w:rsid w:val="00A145F5"/>
    <w:rsid w:val="00A14F23"/>
    <w:rsid w:val="00A156EF"/>
    <w:rsid w:val="00A24742"/>
    <w:rsid w:val="00A26966"/>
    <w:rsid w:val="00A27373"/>
    <w:rsid w:val="00A32A77"/>
    <w:rsid w:val="00A330EF"/>
    <w:rsid w:val="00A3397F"/>
    <w:rsid w:val="00A353D6"/>
    <w:rsid w:val="00A35BA4"/>
    <w:rsid w:val="00A408DB"/>
    <w:rsid w:val="00A454BE"/>
    <w:rsid w:val="00A52DA7"/>
    <w:rsid w:val="00A535F3"/>
    <w:rsid w:val="00A54234"/>
    <w:rsid w:val="00A54833"/>
    <w:rsid w:val="00A56195"/>
    <w:rsid w:val="00A56942"/>
    <w:rsid w:val="00A5698F"/>
    <w:rsid w:val="00A605AF"/>
    <w:rsid w:val="00A61560"/>
    <w:rsid w:val="00A645B2"/>
    <w:rsid w:val="00A66A9F"/>
    <w:rsid w:val="00A7449B"/>
    <w:rsid w:val="00A762BE"/>
    <w:rsid w:val="00A838EB"/>
    <w:rsid w:val="00A9034C"/>
    <w:rsid w:val="00A917E8"/>
    <w:rsid w:val="00A9186C"/>
    <w:rsid w:val="00A92D8F"/>
    <w:rsid w:val="00A97FDA"/>
    <w:rsid w:val="00AA0844"/>
    <w:rsid w:val="00AA14F8"/>
    <w:rsid w:val="00AA2374"/>
    <w:rsid w:val="00AA25BB"/>
    <w:rsid w:val="00AA42C8"/>
    <w:rsid w:val="00AA7B93"/>
    <w:rsid w:val="00AB016D"/>
    <w:rsid w:val="00AB3C7C"/>
    <w:rsid w:val="00AB6A65"/>
    <w:rsid w:val="00AB7D2A"/>
    <w:rsid w:val="00AC2F35"/>
    <w:rsid w:val="00AC3DD2"/>
    <w:rsid w:val="00AC6546"/>
    <w:rsid w:val="00AC7260"/>
    <w:rsid w:val="00AD02F5"/>
    <w:rsid w:val="00AD042D"/>
    <w:rsid w:val="00AD233B"/>
    <w:rsid w:val="00AD3C60"/>
    <w:rsid w:val="00AE0BBD"/>
    <w:rsid w:val="00AE0DDC"/>
    <w:rsid w:val="00AE306E"/>
    <w:rsid w:val="00AE6699"/>
    <w:rsid w:val="00AE6CD3"/>
    <w:rsid w:val="00AE716B"/>
    <w:rsid w:val="00AF015C"/>
    <w:rsid w:val="00AF0A43"/>
    <w:rsid w:val="00AF1570"/>
    <w:rsid w:val="00AF3379"/>
    <w:rsid w:val="00AF3E4C"/>
    <w:rsid w:val="00AF56A0"/>
    <w:rsid w:val="00AF576D"/>
    <w:rsid w:val="00AF5E52"/>
    <w:rsid w:val="00AF7E9B"/>
    <w:rsid w:val="00B07709"/>
    <w:rsid w:val="00B14BFE"/>
    <w:rsid w:val="00B15A7E"/>
    <w:rsid w:val="00B15D68"/>
    <w:rsid w:val="00B164C1"/>
    <w:rsid w:val="00B21CBC"/>
    <w:rsid w:val="00B232A5"/>
    <w:rsid w:val="00B24C3B"/>
    <w:rsid w:val="00B33895"/>
    <w:rsid w:val="00B3438C"/>
    <w:rsid w:val="00B367BF"/>
    <w:rsid w:val="00B423E0"/>
    <w:rsid w:val="00B438C7"/>
    <w:rsid w:val="00B44F4B"/>
    <w:rsid w:val="00B517A8"/>
    <w:rsid w:val="00B53D09"/>
    <w:rsid w:val="00B5521B"/>
    <w:rsid w:val="00B55A9E"/>
    <w:rsid w:val="00B615C6"/>
    <w:rsid w:val="00B61A51"/>
    <w:rsid w:val="00B62B27"/>
    <w:rsid w:val="00B636B6"/>
    <w:rsid w:val="00B63F55"/>
    <w:rsid w:val="00B71827"/>
    <w:rsid w:val="00B71984"/>
    <w:rsid w:val="00B75B5D"/>
    <w:rsid w:val="00B76ACB"/>
    <w:rsid w:val="00B77A74"/>
    <w:rsid w:val="00B805F3"/>
    <w:rsid w:val="00B85226"/>
    <w:rsid w:val="00B85D35"/>
    <w:rsid w:val="00B90FD9"/>
    <w:rsid w:val="00B92045"/>
    <w:rsid w:val="00B947D6"/>
    <w:rsid w:val="00B9492E"/>
    <w:rsid w:val="00BA4713"/>
    <w:rsid w:val="00BA4A1A"/>
    <w:rsid w:val="00BA4ACC"/>
    <w:rsid w:val="00BB0FB8"/>
    <w:rsid w:val="00BB78BA"/>
    <w:rsid w:val="00BC6F88"/>
    <w:rsid w:val="00BC7F40"/>
    <w:rsid w:val="00BD11BF"/>
    <w:rsid w:val="00BD1666"/>
    <w:rsid w:val="00BD2DCF"/>
    <w:rsid w:val="00BD36FA"/>
    <w:rsid w:val="00BD3C3D"/>
    <w:rsid w:val="00BD7953"/>
    <w:rsid w:val="00BE4336"/>
    <w:rsid w:val="00BE737A"/>
    <w:rsid w:val="00BF1972"/>
    <w:rsid w:val="00BF24A3"/>
    <w:rsid w:val="00BF3A31"/>
    <w:rsid w:val="00BF5588"/>
    <w:rsid w:val="00BF7911"/>
    <w:rsid w:val="00C03750"/>
    <w:rsid w:val="00C04C3D"/>
    <w:rsid w:val="00C0643E"/>
    <w:rsid w:val="00C07843"/>
    <w:rsid w:val="00C1022D"/>
    <w:rsid w:val="00C10B33"/>
    <w:rsid w:val="00C133E0"/>
    <w:rsid w:val="00C21EB5"/>
    <w:rsid w:val="00C24834"/>
    <w:rsid w:val="00C24A08"/>
    <w:rsid w:val="00C24C21"/>
    <w:rsid w:val="00C27E55"/>
    <w:rsid w:val="00C31357"/>
    <w:rsid w:val="00C33451"/>
    <w:rsid w:val="00C34C83"/>
    <w:rsid w:val="00C36277"/>
    <w:rsid w:val="00C365DA"/>
    <w:rsid w:val="00C413C0"/>
    <w:rsid w:val="00C4753D"/>
    <w:rsid w:val="00C47982"/>
    <w:rsid w:val="00C47C88"/>
    <w:rsid w:val="00C50FE4"/>
    <w:rsid w:val="00C547EE"/>
    <w:rsid w:val="00C60317"/>
    <w:rsid w:val="00C61090"/>
    <w:rsid w:val="00C634F0"/>
    <w:rsid w:val="00C64871"/>
    <w:rsid w:val="00C6674E"/>
    <w:rsid w:val="00C7613E"/>
    <w:rsid w:val="00C80CCE"/>
    <w:rsid w:val="00C814BF"/>
    <w:rsid w:val="00C85EF0"/>
    <w:rsid w:val="00C87340"/>
    <w:rsid w:val="00C9056D"/>
    <w:rsid w:val="00C9206C"/>
    <w:rsid w:val="00C92F03"/>
    <w:rsid w:val="00C94943"/>
    <w:rsid w:val="00C96BDD"/>
    <w:rsid w:val="00C977E0"/>
    <w:rsid w:val="00CB15E1"/>
    <w:rsid w:val="00CB1DBC"/>
    <w:rsid w:val="00CB2035"/>
    <w:rsid w:val="00CB215F"/>
    <w:rsid w:val="00CB4337"/>
    <w:rsid w:val="00CB47AF"/>
    <w:rsid w:val="00CB4F1A"/>
    <w:rsid w:val="00CB7537"/>
    <w:rsid w:val="00CC02CC"/>
    <w:rsid w:val="00CC170E"/>
    <w:rsid w:val="00CC27E6"/>
    <w:rsid w:val="00CC39DF"/>
    <w:rsid w:val="00CC4259"/>
    <w:rsid w:val="00CC4F41"/>
    <w:rsid w:val="00CC750C"/>
    <w:rsid w:val="00CD1758"/>
    <w:rsid w:val="00CD30F0"/>
    <w:rsid w:val="00CD3F02"/>
    <w:rsid w:val="00CD4928"/>
    <w:rsid w:val="00CD6389"/>
    <w:rsid w:val="00CD75E1"/>
    <w:rsid w:val="00CE30A6"/>
    <w:rsid w:val="00CE4151"/>
    <w:rsid w:val="00CF057C"/>
    <w:rsid w:val="00CF08C3"/>
    <w:rsid w:val="00CF4F2C"/>
    <w:rsid w:val="00CF5E7E"/>
    <w:rsid w:val="00D00534"/>
    <w:rsid w:val="00D02922"/>
    <w:rsid w:val="00D032F9"/>
    <w:rsid w:val="00D05B0B"/>
    <w:rsid w:val="00D07E5B"/>
    <w:rsid w:val="00D1043A"/>
    <w:rsid w:val="00D10B76"/>
    <w:rsid w:val="00D11FD9"/>
    <w:rsid w:val="00D137C2"/>
    <w:rsid w:val="00D14E24"/>
    <w:rsid w:val="00D1671B"/>
    <w:rsid w:val="00D2106E"/>
    <w:rsid w:val="00D24620"/>
    <w:rsid w:val="00D246EC"/>
    <w:rsid w:val="00D3067E"/>
    <w:rsid w:val="00D31E21"/>
    <w:rsid w:val="00D32440"/>
    <w:rsid w:val="00D35565"/>
    <w:rsid w:val="00D36577"/>
    <w:rsid w:val="00D3724A"/>
    <w:rsid w:val="00D37638"/>
    <w:rsid w:val="00D4091A"/>
    <w:rsid w:val="00D416D6"/>
    <w:rsid w:val="00D445FB"/>
    <w:rsid w:val="00D51CE7"/>
    <w:rsid w:val="00D53328"/>
    <w:rsid w:val="00D55DE1"/>
    <w:rsid w:val="00D60D51"/>
    <w:rsid w:val="00D6472D"/>
    <w:rsid w:val="00D64B04"/>
    <w:rsid w:val="00D65CEB"/>
    <w:rsid w:val="00D65FE0"/>
    <w:rsid w:val="00D6665E"/>
    <w:rsid w:val="00D674F1"/>
    <w:rsid w:val="00D67F04"/>
    <w:rsid w:val="00D7010E"/>
    <w:rsid w:val="00D70946"/>
    <w:rsid w:val="00D70C20"/>
    <w:rsid w:val="00D71183"/>
    <w:rsid w:val="00D74475"/>
    <w:rsid w:val="00D7628E"/>
    <w:rsid w:val="00D76637"/>
    <w:rsid w:val="00D77D72"/>
    <w:rsid w:val="00D77EC4"/>
    <w:rsid w:val="00D82B10"/>
    <w:rsid w:val="00D83C90"/>
    <w:rsid w:val="00D86D87"/>
    <w:rsid w:val="00D92D94"/>
    <w:rsid w:val="00D94438"/>
    <w:rsid w:val="00D97845"/>
    <w:rsid w:val="00DA2134"/>
    <w:rsid w:val="00DA4D00"/>
    <w:rsid w:val="00DA4D7D"/>
    <w:rsid w:val="00DA5D66"/>
    <w:rsid w:val="00DA7074"/>
    <w:rsid w:val="00DB03C8"/>
    <w:rsid w:val="00DB182E"/>
    <w:rsid w:val="00DB361D"/>
    <w:rsid w:val="00DB7168"/>
    <w:rsid w:val="00DB795F"/>
    <w:rsid w:val="00DC113A"/>
    <w:rsid w:val="00DC1821"/>
    <w:rsid w:val="00DC4017"/>
    <w:rsid w:val="00DC509A"/>
    <w:rsid w:val="00DC5F14"/>
    <w:rsid w:val="00DC6045"/>
    <w:rsid w:val="00DD0FD3"/>
    <w:rsid w:val="00DD1F7C"/>
    <w:rsid w:val="00DD4E1D"/>
    <w:rsid w:val="00DD5A50"/>
    <w:rsid w:val="00DD65BA"/>
    <w:rsid w:val="00DD670A"/>
    <w:rsid w:val="00DD767D"/>
    <w:rsid w:val="00DE00A5"/>
    <w:rsid w:val="00DE0D5E"/>
    <w:rsid w:val="00DE112F"/>
    <w:rsid w:val="00DE29E5"/>
    <w:rsid w:val="00DE534D"/>
    <w:rsid w:val="00DE587D"/>
    <w:rsid w:val="00DE74C2"/>
    <w:rsid w:val="00DF0111"/>
    <w:rsid w:val="00DF1250"/>
    <w:rsid w:val="00DF22C8"/>
    <w:rsid w:val="00DF2447"/>
    <w:rsid w:val="00DF2A9F"/>
    <w:rsid w:val="00DF3E59"/>
    <w:rsid w:val="00E044E8"/>
    <w:rsid w:val="00E05DC4"/>
    <w:rsid w:val="00E07B55"/>
    <w:rsid w:val="00E143D6"/>
    <w:rsid w:val="00E1661A"/>
    <w:rsid w:val="00E16D8D"/>
    <w:rsid w:val="00E17B3D"/>
    <w:rsid w:val="00E236C0"/>
    <w:rsid w:val="00E24244"/>
    <w:rsid w:val="00E25CE5"/>
    <w:rsid w:val="00E25ED8"/>
    <w:rsid w:val="00E2650C"/>
    <w:rsid w:val="00E279CA"/>
    <w:rsid w:val="00E32EEB"/>
    <w:rsid w:val="00E33383"/>
    <w:rsid w:val="00E34CA2"/>
    <w:rsid w:val="00E3576C"/>
    <w:rsid w:val="00E361DB"/>
    <w:rsid w:val="00E366C1"/>
    <w:rsid w:val="00E3794C"/>
    <w:rsid w:val="00E4137F"/>
    <w:rsid w:val="00E4215D"/>
    <w:rsid w:val="00E42B6B"/>
    <w:rsid w:val="00E469CF"/>
    <w:rsid w:val="00E52689"/>
    <w:rsid w:val="00E53B88"/>
    <w:rsid w:val="00E54C2A"/>
    <w:rsid w:val="00E552DE"/>
    <w:rsid w:val="00E638BF"/>
    <w:rsid w:val="00E64DB1"/>
    <w:rsid w:val="00E66D7A"/>
    <w:rsid w:val="00E73198"/>
    <w:rsid w:val="00E73659"/>
    <w:rsid w:val="00E73796"/>
    <w:rsid w:val="00E744C6"/>
    <w:rsid w:val="00E7491A"/>
    <w:rsid w:val="00E751D5"/>
    <w:rsid w:val="00E75AA5"/>
    <w:rsid w:val="00E7789A"/>
    <w:rsid w:val="00E84453"/>
    <w:rsid w:val="00E8463A"/>
    <w:rsid w:val="00E90A9F"/>
    <w:rsid w:val="00E931C5"/>
    <w:rsid w:val="00E9342F"/>
    <w:rsid w:val="00E9537F"/>
    <w:rsid w:val="00E95398"/>
    <w:rsid w:val="00E96193"/>
    <w:rsid w:val="00E96E19"/>
    <w:rsid w:val="00E96E4C"/>
    <w:rsid w:val="00E97F7B"/>
    <w:rsid w:val="00EA240E"/>
    <w:rsid w:val="00EA3E89"/>
    <w:rsid w:val="00EA6E88"/>
    <w:rsid w:val="00EB0573"/>
    <w:rsid w:val="00EB1E1F"/>
    <w:rsid w:val="00EB3A08"/>
    <w:rsid w:val="00EB4C31"/>
    <w:rsid w:val="00EB7911"/>
    <w:rsid w:val="00EC186C"/>
    <w:rsid w:val="00EC3511"/>
    <w:rsid w:val="00EC4541"/>
    <w:rsid w:val="00EC623D"/>
    <w:rsid w:val="00ED742E"/>
    <w:rsid w:val="00EE306C"/>
    <w:rsid w:val="00EE6953"/>
    <w:rsid w:val="00EE6E80"/>
    <w:rsid w:val="00EF0B04"/>
    <w:rsid w:val="00EF1378"/>
    <w:rsid w:val="00EF3128"/>
    <w:rsid w:val="00EF48CE"/>
    <w:rsid w:val="00EF4C26"/>
    <w:rsid w:val="00EF4F90"/>
    <w:rsid w:val="00EF67C4"/>
    <w:rsid w:val="00F02C6C"/>
    <w:rsid w:val="00F03232"/>
    <w:rsid w:val="00F03B28"/>
    <w:rsid w:val="00F03E40"/>
    <w:rsid w:val="00F10EE2"/>
    <w:rsid w:val="00F118C1"/>
    <w:rsid w:val="00F11C84"/>
    <w:rsid w:val="00F130B1"/>
    <w:rsid w:val="00F14257"/>
    <w:rsid w:val="00F14AC9"/>
    <w:rsid w:val="00F15CC0"/>
    <w:rsid w:val="00F17416"/>
    <w:rsid w:val="00F20FA6"/>
    <w:rsid w:val="00F231E0"/>
    <w:rsid w:val="00F23DA9"/>
    <w:rsid w:val="00F2566F"/>
    <w:rsid w:val="00F25795"/>
    <w:rsid w:val="00F26092"/>
    <w:rsid w:val="00F30168"/>
    <w:rsid w:val="00F3041C"/>
    <w:rsid w:val="00F3344A"/>
    <w:rsid w:val="00F417A9"/>
    <w:rsid w:val="00F44716"/>
    <w:rsid w:val="00F45098"/>
    <w:rsid w:val="00F46DB6"/>
    <w:rsid w:val="00F46EB2"/>
    <w:rsid w:val="00F5460A"/>
    <w:rsid w:val="00F548DA"/>
    <w:rsid w:val="00F55AE2"/>
    <w:rsid w:val="00F5700F"/>
    <w:rsid w:val="00F57B4D"/>
    <w:rsid w:val="00F614CF"/>
    <w:rsid w:val="00F63A0D"/>
    <w:rsid w:val="00F70EAC"/>
    <w:rsid w:val="00F7410C"/>
    <w:rsid w:val="00F742A1"/>
    <w:rsid w:val="00F74873"/>
    <w:rsid w:val="00F80B27"/>
    <w:rsid w:val="00F81182"/>
    <w:rsid w:val="00F85C3C"/>
    <w:rsid w:val="00F87AC3"/>
    <w:rsid w:val="00F87FF4"/>
    <w:rsid w:val="00F914BD"/>
    <w:rsid w:val="00F94C54"/>
    <w:rsid w:val="00F95AD7"/>
    <w:rsid w:val="00F95CF3"/>
    <w:rsid w:val="00F96C69"/>
    <w:rsid w:val="00F978F3"/>
    <w:rsid w:val="00F97FC3"/>
    <w:rsid w:val="00FA5107"/>
    <w:rsid w:val="00FA64CB"/>
    <w:rsid w:val="00FA6F02"/>
    <w:rsid w:val="00FA73B4"/>
    <w:rsid w:val="00FB1B03"/>
    <w:rsid w:val="00FB4093"/>
    <w:rsid w:val="00FB752F"/>
    <w:rsid w:val="00FC23AF"/>
    <w:rsid w:val="00FC247B"/>
    <w:rsid w:val="00FC31D5"/>
    <w:rsid w:val="00FC4421"/>
    <w:rsid w:val="00FC4514"/>
    <w:rsid w:val="00FC4D20"/>
    <w:rsid w:val="00FC6D5C"/>
    <w:rsid w:val="00FC70C5"/>
    <w:rsid w:val="00FD0905"/>
    <w:rsid w:val="00FD0FCB"/>
    <w:rsid w:val="00FD2D7F"/>
    <w:rsid w:val="00FD4A61"/>
    <w:rsid w:val="00FD7B72"/>
    <w:rsid w:val="00FE1247"/>
    <w:rsid w:val="00FE5CB7"/>
    <w:rsid w:val="00FE74E7"/>
    <w:rsid w:val="00FF7332"/>
    <w:rsid w:val="01DB7943"/>
    <w:rsid w:val="026868BD"/>
    <w:rsid w:val="0542ACB4"/>
    <w:rsid w:val="06965F07"/>
    <w:rsid w:val="06D77D97"/>
    <w:rsid w:val="07D4AEA1"/>
    <w:rsid w:val="08D27D65"/>
    <w:rsid w:val="094CBB6D"/>
    <w:rsid w:val="097F4CB2"/>
    <w:rsid w:val="09BD7A73"/>
    <w:rsid w:val="0A6CD4BA"/>
    <w:rsid w:val="0D359559"/>
    <w:rsid w:val="0E784E17"/>
    <w:rsid w:val="0FED2953"/>
    <w:rsid w:val="126699B6"/>
    <w:rsid w:val="128ED338"/>
    <w:rsid w:val="134C3823"/>
    <w:rsid w:val="1358DD0E"/>
    <w:rsid w:val="1677A7E7"/>
    <w:rsid w:val="16A07EF4"/>
    <w:rsid w:val="17B3620F"/>
    <w:rsid w:val="18022D53"/>
    <w:rsid w:val="1A43BEC6"/>
    <w:rsid w:val="1CB97F5E"/>
    <w:rsid w:val="1CD36DFE"/>
    <w:rsid w:val="1F84E790"/>
    <w:rsid w:val="21F7A30D"/>
    <w:rsid w:val="2227D1D8"/>
    <w:rsid w:val="258E41CD"/>
    <w:rsid w:val="2948B0EA"/>
    <w:rsid w:val="2975863D"/>
    <w:rsid w:val="29ED2D19"/>
    <w:rsid w:val="2A39B905"/>
    <w:rsid w:val="2AC3A71C"/>
    <w:rsid w:val="2DCD0808"/>
    <w:rsid w:val="2E67BB5E"/>
    <w:rsid w:val="2FBDB831"/>
    <w:rsid w:val="3131AE02"/>
    <w:rsid w:val="31743B31"/>
    <w:rsid w:val="329634D2"/>
    <w:rsid w:val="34E8412C"/>
    <w:rsid w:val="3627B772"/>
    <w:rsid w:val="36A8BB3B"/>
    <w:rsid w:val="38CD6D79"/>
    <w:rsid w:val="3902504C"/>
    <w:rsid w:val="39B60A81"/>
    <w:rsid w:val="3A384FE4"/>
    <w:rsid w:val="3A991B11"/>
    <w:rsid w:val="3B0C275F"/>
    <w:rsid w:val="3B18C9C5"/>
    <w:rsid w:val="3B1E0DB7"/>
    <w:rsid w:val="3B25567D"/>
    <w:rsid w:val="3B4F470F"/>
    <w:rsid w:val="3B86B734"/>
    <w:rsid w:val="3B8D8A7B"/>
    <w:rsid w:val="3D0A399A"/>
    <w:rsid w:val="3E928567"/>
    <w:rsid w:val="41C980A9"/>
    <w:rsid w:val="41CCBF19"/>
    <w:rsid w:val="42BB4105"/>
    <w:rsid w:val="4347CBB3"/>
    <w:rsid w:val="436CFD85"/>
    <w:rsid w:val="436F6496"/>
    <w:rsid w:val="477BA570"/>
    <w:rsid w:val="4A28397C"/>
    <w:rsid w:val="4DF4078E"/>
    <w:rsid w:val="4F5099AB"/>
    <w:rsid w:val="5309D9CB"/>
    <w:rsid w:val="5367158B"/>
    <w:rsid w:val="54810FAA"/>
    <w:rsid w:val="55C6A77E"/>
    <w:rsid w:val="5619D4C8"/>
    <w:rsid w:val="57342F1D"/>
    <w:rsid w:val="5E1554A0"/>
    <w:rsid w:val="5EB5BCBD"/>
    <w:rsid w:val="5FC193D5"/>
    <w:rsid w:val="637DA372"/>
    <w:rsid w:val="648B6DD3"/>
    <w:rsid w:val="6E3D2EC6"/>
    <w:rsid w:val="6F1B4888"/>
    <w:rsid w:val="6F353C49"/>
    <w:rsid w:val="70FC9231"/>
    <w:rsid w:val="71095FF3"/>
    <w:rsid w:val="71C77101"/>
    <w:rsid w:val="7233E5F6"/>
    <w:rsid w:val="7252CADD"/>
    <w:rsid w:val="73A1F4D1"/>
    <w:rsid w:val="73F0F91E"/>
    <w:rsid w:val="74335F5C"/>
    <w:rsid w:val="77B22CF0"/>
    <w:rsid w:val="77B5E74F"/>
    <w:rsid w:val="7934FCF1"/>
    <w:rsid w:val="7EA4AE3F"/>
    <w:rsid w:val="7EBD38A5"/>
    <w:rsid w:val="7EFA9890"/>
    <w:rsid w:val="7EFB1A44"/>
    <w:rsid w:val="7F4A9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D221"/>
  <w14:defaultImageDpi w14:val="32767"/>
  <w15:chartTrackingRefBased/>
  <w15:docId w15:val="{784C3647-AAF1-4075-9CE1-C88196CC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560"/>
    <w:pPr>
      <w:tabs>
        <w:tab w:val="center" w:pos="4680"/>
        <w:tab w:val="right" w:pos="9360"/>
      </w:tabs>
    </w:pPr>
  </w:style>
  <w:style w:type="character" w:customStyle="1" w:styleId="HeaderChar">
    <w:name w:val="Header Char"/>
    <w:basedOn w:val="DefaultParagraphFont"/>
    <w:link w:val="Header"/>
    <w:uiPriority w:val="99"/>
    <w:rsid w:val="00A61560"/>
  </w:style>
  <w:style w:type="paragraph" w:styleId="Footer">
    <w:name w:val="footer"/>
    <w:basedOn w:val="Normal"/>
    <w:link w:val="FooterChar"/>
    <w:uiPriority w:val="99"/>
    <w:unhideWhenUsed/>
    <w:rsid w:val="00A61560"/>
    <w:pPr>
      <w:tabs>
        <w:tab w:val="center" w:pos="4680"/>
        <w:tab w:val="right" w:pos="9360"/>
      </w:tabs>
    </w:pPr>
  </w:style>
  <w:style w:type="character" w:customStyle="1" w:styleId="FooterChar">
    <w:name w:val="Footer Char"/>
    <w:basedOn w:val="DefaultParagraphFont"/>
    <w:link w:val="Footer"/>
    <w:uiPriority w:val="99"/>
    <w:rsid w:val="00A61560"/>
  </w:style>
  <w:style w:type="paragraph" w:styleId="NormalWeb">
    <w:name w:val="Normal (Web)"/>
    <w:basedOn w:val="Normal"/>
    <w:uiPriority w:val="99"/>
    <w:semiHidden/>
    <w:unhideWhenUsed/>
    <w:rsid w:val="00DF0111"/>
    <w:pPr>
      <w:spacing w:before="100" w:beforeAutospacing="1" w:after="100" w:afterAutospacing="1"/>
    </w:pPr>
    <w:rPr>
      <w:rFonts w:ascii="Calibri" w:eastAsia="Calibri" w:hAnsi="Calibri" w:cs="Calibri"/>
      <w:sz w:val="22"/>
      <w:szCs w:val="22"/>
      <w:lang w:eastAsia="en-GB"/>
    </w:rPr>
  </w:style>
  <w:style w:type="paragraph" w:styleId="BalloonText">
    <w:name w:val="Balloon Text"/>
    <w:basedOn w:val="Normal"/>
    <w:link w:val="BalloonTextChar"/>
    <w:uiPriority w:val="99"/>
    <w:semiHidden/>
    <w:unhideWhenUsed/>
    <w:rsid w:val="001D10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040"/>
    <w:rPr>
      <w:rFonts w:ascii="Segoe UI" w:hAnsi="Segoe UI" w:cs="Segoe UI"/>
      <w:sz w:val="18"/>
      <w:szCs w:val="18"/>
    </w:rPr>
  </w:style>
  <w:style w:type="paragraph" w:styleId="FootnoteText">
    <w:name w:val="footnote text"/>
    <w:basedOn w:val="Normal"/>
    <w:link w:val="FootnoteTextChar"/>
    <w:uiPriority w:val="99"/>
    <w:unhideWhenUsed/>
    <w:rsid w:val="00EA3E89"/>
    <w:rPr>
      <w:rFonts w:eastAsiaTheme="minorEastAsia"/>
      <w:lang w:val="en-US"/>
    </w:rPr>
  </w:style>
  <w:style w:type="character" w:customStyle="1" w:styleId="FootnoteTextChar">
    <w:name w:val="Footnote Text Char"/>
    <w:basedOn w:val="DefaultParagraphFont"/>
    <w:link w:val="FootnoteText"/>
    <w:uiPriority w:val="99"/>
    <w:rsid w:val="00EA3E89"/>
    <w:rPr>
      <w:rFonts w:eastAsiaTheme="minorEastAsia"/>
      <w:lang w:val="en-US"/>
    </w:rPr>
  </w:style>
  <w:style w:type="character" w:styleId="FootnoteReference">
    <w:name w:val="footnote reference"/>
    <w:basedOn w:val="DefaultParagraphFont"/>
    <w:uiPriority w:val="99"/>
    <w:unhideWhenUsed/>
    <w:rsid w:val="00EA3E89"/>
    <w:rPr>
      <w:vertAlign w:val="superscript"/>
    </w:rPr>
  </w:style>
  <w:style w:type="character" w:styleId="Hyperlink">
    <w:name w:val="Hyperlink"/>
    <w:basedOn w:val="DefaultParagraphFont"/>
    <w:uiPriority w:val="99"/>
    <w:unhideWhenUsed/>
    <w:rsid w:val="00EA3E89"/>
    <w:rPr>
      <w:color w:val="0563C1" w:themeColor="hyperlink"/>
      <w:u w:val="single"/>
    </w:rPr>
  </w:style>
  <w:style w:type="paragraph" w:styleId="ListParagraph">
    <w:name w:val="List Paragraph"/>
    <w:basedOn w:val="Normal"/>
    <w:uiPriority w:val="34"/>
    <w:qFormat/>
    <w:rsid w:val="00EA3E89"/>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EA3E89"/>
    <w:rPr>
      <w:sz w:val="16"/>
      <w:szCs w:val="16"/>
    </w:rPr>
  </w:style>
  <w:style w:type="paragraph" w:styleId="CommentText">
    <w:name w:val="annotation text"/>
    <w:basedOn w:val="Normal"/>
    <w:link w:val="CommentTextChar"/>
    <w:uiPriority w:val="99"/>
    <w:semiHidden/>
    <w:unhideWhenUsed/>
    <w:rsid w:val="00EA3E89"/>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EA3E89"/>
    <w:rPr>
      <w:rFonts w:eastAsiaTheme="minorEastAsia"/>
      <w:sz w:val="20"/>
      <w:szCs w:val="20"/>
      <w:lang w:val="en-US"/>
    </w:rPr>
  </w:style>
  <w:style w:type="paragraph" w:customStyle="1" w:styleId="paragraph">
    <w:name w:val="paragraph"/>
    <w:basedOn w:val="Normal"/>
    <w:rsid w:val="00BE4336"/>
    <w:pPr>
      <w:spacing w:before="100" w:beforeAutospacing="1" w:after="100" w:afterAutospacing="1"/>
    </w:pPr>
    <w:rPr>
      <w:rFonts w:ascii="Times New Roman" w:eastAsia="Times New Roman" w:hAnsi="Times New Roman" w:cs="Times New Roman"/>
      <w:lang w:val="fr-FR" w:eastAsia="fr-FR"/>
    </w:rPr>
  </w:style>
  <w:style w:type="character" w:styleId="UnresolvedMention">
    <w:name w:val="Unresolved Mention"/>
    <w:basedOn w:val="DefaultParagraphFont"/>
    <w:uiPriority w:val="99"/>
    <w:rsid w:val="00761C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249CA"/>
    <w:rPr>
      <w:rFonts w:eastAsiaTheme="minorHAnsi"/>
      <w:b/>
      <w:bCs/>
      <w:lang w:val="en-GB"/>
    </w:rPr>
  </w:style>
  <w:style w:type="character" w:customStyle="1" w:styleId="CommentSubjectChar">
    <w:name w:val="Comment Subject Char"/>
    <w:basedOn w:val="CommentTextChar"/>
    <w:link w:val="CommentSubject"/>
    <w:uiPriority w:val="99"/>
    <w:semiHidden/>
    <w:rsid w:val="003249CA"/>
    <w:rPr>
      <w:rFonts w:eastAsiaTheme="minorEastAsia"/>
      <w:b/>
      <w:bCs/>
      <w:sz w:val="20"/>
      <w:szCs w:val="20"/>
      <w:lang w:val="en-US"/>
    </w:rPr>
  </w:style>
  <w:style w:type="character" w:styleId="FollowedHyperlink">
    <w:name w:val="FollowedHyperlink"/>
    <w:basedOn w:val="DefaultParagraphFont"/>
    <w:uiPriority w:val="99"/>
    <w:semiHidden/>
    <w:unhideWhenUsed/>
    <w:rsid w:val="00324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19242">
      <w:bodyDiv w:val="1"/>
      <w:marLeft w:val="0"/>
      <w:marRight w:val="0"/>
      <w:marTop w:val="0"/>
      <w:marBottom w:val="0"/>
      <w:divBdr>
        <w:top w:val="none" w:sz="0" w:space="0" w:color="auto"/>
        <w:left w:val="none" w:sz="0" w:space="0" w:color="auto"/>
        <w:bottom w:val="none" w:sz="0" w:space="0" w:color="auto"/>
        <w:right w:val="none" w:sz="0" w:space="0" w:color="auto"/>
      </w:divBdr>
    </w:div>
    <w:div w:id="778719206">
      <w:bodyDiv w:val="1"/>
      <w:marLeft w:val="0"/>
      <w:marRight w:val="0"/>
      <w:marTop w:val="0"/>
      <w:marBottom w:val="0"/>
      <w:divBdr>
        <w:top w:val="none" w:sz="0" w:space="0" w:color="auto"/>
        <w:left w:val="none" w:sz="0" w:space="0" w:color="auto"/>
        <w:bottom w:val="none" w:sz="0" w:space="0" w:color="auto"/>
        <w:right w:val="none" w:sz="0" w:space="0" w:color="auto"/>
      </w:divBdr>
    </w:div>
    <w:div w:id="152162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rsc.ox.ac.uk/files/files-1/wp42-dynamics-conflict-displacement-papua-2007.pdf" TargetMode="External"/><Relationship Id="rId13" Type="http://schemas.openxmlformats.org/officeDocument/2006/relationships/hyperlink" Target="https://minorityrights.org/minorities/papuans/" TargetMode="External"/><Relationship Id="rId18" Type="http://schemas.openxmlformats.org/officeDocument/2006/relationships/hyperlink" Target="https://franciscansinternational.org/fileadmin/media/2018/Asia_Pacific/Publications/West-Papua-HR-Cat-Rep-2019.pdf" TargetMode="External"/><Relationship Id="rId26" Type="http://schemas.openxmlformats.org/officeDocument/2006/relationships/hyperlink" Target="https://jubi.co.id/keterwakilan-perempuan-di-parlemen-papua-hanya-jadi-pelengkap-loloskan-parpol/" TargetMode="External"/><Relationship Id="rId3" Type="http://schemas.openxmlformats.org/officeDocument/2006/relationships/hyperlink" Target="https://papua.go.id/view-detail-berita-5055/undefined" TargetMode="External"/><Relationship Id="rId21" Type="http://schemas.openxmlformats.org/officeDocument/2006/relationships/hyperlink" Target="http://www.harnas.co/2019/12/12/tingkat-kematian-ibu-melahirkan-tertinggi-di-papua" TargetMode="External"/><Relationship Id="rId7" Type="http://schemas.openxmlformats.org/officeDocument/2006/relationships/hyperlink" Target="https://thediplomat.com/2014/01/the-human-tragedy-of-west-papua/" TargetMode="External"/><Relationship Id="rId12" Type="http://schemas.openxmlformats.org/officeDocument/2006/relationships/hyperlink" Target="https://humanrightspapua.org/news/31-2019/454-update-armed-conflict-in-nduga-regency-security-force-members-kill-indigenous-woman-and-take-her-baby" TargetMode="External"/><Relationship Id="rId17" Type="http://schemas.openxmlformats.org/officeDocument/2006/relationships/hyperlink" Target="https://bmcpublichealth.biomedcentral.com/articles/10.1186/s12889-019-6392-2" TargetMode="External"/><Relationship Id="rId25" Type="http://schemas.openxmlformats.org/officeDocument/2006/relationships/hyperlink" Target="https://dpr-papua.go.id/profil-anggota-dprp-masa-jabatan-2019-2024/" TargetMode="External"/><Relationship Id="rId2" Type="http://schemas.openxmlformats.org/officeDocument/2006/relationships/hyperlink" Target="https://www.humanrightspapua.org/images/docs/HumanRightsPapua2017-ICP.pdf" TargetMode="External"/><Relationship Id="rId16" Type="http://schemas.openxmlformats.org/officeDocument/2006/relationships/hyperlink" Target="https://bisnis.tempo.co/read/751969/perempuan-adat-paling-rentan-terkena-dampak-konflik/full&amp;view=ok" TargetMode="External"/><Relationship Id="rId20" Type="http://schemas.openxmlformats.org/officeDocument/2006/relationships/hyperlink" Target="https://regional.kompas.com/read/2016/09/07/16214001/angka.kematian.bayi.di.sembilan.kabupaten.%20di.papua.masih.tinggi" TargetMode="External"/><Relationship Id="rId1" Type="http://schemas.openxmlformats.org/officeDocument/2006/relationships/hyperlink" Target="https://franciscansinternational.org/home/" TargetMode="External"/><Relationship Id="rId6" Type="http://schemas.openxmlformats.org/officeDocument/2006/relationships/hyperlink" Target="https://www.antaranews.com/berita/930709/hukum-adat-selesaikan-kasus-kdrt-di-papua" TargetMode="External"/><Relationship Id="rId11" Type="http://schemas.openxmlformats.org/officeDocument/2006/relationships/hyperlink" Target="http://fransiskanpapua.org/wp-content/uploads/2020/01/Buku-Papuan-Bukan-Tanah-Kosong.pdf" TargetMode="External"/><Relationship Id="rId24" Type="http://schemas.openxmlformats.org/officeDocument/2006/relationships/hyperlink" Target="https://www.jagatpapua.com/keterwakilan-perempuan-di-dpr-papua-barat-perlu-diberi-peran-strategis/" TargetMode="External"/><Relationship Id="rId5" Type="http://schemas.openxmlformats.org/officeDocument/2006/relationships/hyperlink" Target="https://asia-ajar.org/wp-content/uploads/2019/04/I-am-Here-Voices-of-Papuan-Women-2019.pdf" TargetMode="External"/><Relationship Id="rId15" Type="http://schemas.openxmlformats.org/officeDocument/2006/relationships/hyperlink" Target="https://theconversation.com/in-west-papua-oil-palm-expansion-undermines-the-relations-of-indigenous-marind-people-to-forest-plants-and-animals-124885" TargetMode="External"/><Relationship Id="rId23" Type="http://schemas.openxmlformats.org/officeDocument/2006/relationships/hyperlink" Target="https://www.id.undp.org/content/indonesia/en/home/library/democratic_governance/study-on-women-s-and-men-s-health-and-life-experiences-in-papua.html" TargetMode="External"/><Relationship Id="rId10" Type="http://schemas.openxmlformats.org/officeDocument/2006/relationships/hyperlink" Target="https://www.thejakartapost.com/news/2019/08/01/182-reportedly-die-while-seeking-refuge-in-nduga-conflict.htm" TargetMode="External"/><Relationship Id="rId19" Type="http://schemas.openxmlformats.org/officeDocument/2006/relationships/hyperlink" Target="https://asia-ajar.org/2020/05/berani-sehat-buku-foto-tentang-pengalaman-perempuan-papua-mengatasi-hiv-aids-dan-kekerasan/?utm_source=rss&amp;utm_medium=rss&amp;utm_campaign=berani-sehat-buku-foto-tentang-pengalaman-perempuan-papua-mengatasi-hiv-aids-dan-kekerasan" TargetMode="External"/><Relationship Id="rId4" Type="http://schemas.openxmlformats.org/officeDocument/2006/relationships/hyperlink" Target="https://www.undp.org/content/dam/indonesia/2016/press-doc/Papua%20Final%20Report%20OK-2.pdf" TargetMode="External"/><Relationship Id="rId9" Type="http://schemas.openxmlformats.org/officeDocument/2006/relationships/hyperlink" Target="https://press-files.anu.edu.au/downloads/press/p315331/pdf/8.-Torture-as-a-Mode-of-Governance-Reflections-on-the-Phenomenon-of-Torture-in-Papua-Indonesia.pdf" TargetMode="External"/><Relationship Id="rId14" Type="http://schemas.openxmlformats.org/officeDocument/2006/relationships/hyperlink" Target="https://knepublishing.com/index.php/Kne-Social/article/view/440/1508" TargetMode="External"/><Relationship Id="rId22" Type="http://schemas.openxmlformats.org/officeDocument/2006/relationships/hyperlink" Target="https://republika.co.id/berita/q2eji3366/kematian-ibu-melahirkan-di-papua-tertinggi-di-indonesia" TargetMode="External"/><Relationship Id="rId27" Type="http://schemas.openxmlformats.org/officeDocument/2006/relationships/hyperlink" Target="https://www.papua.go.id/view-detail-listkab-all/daftar-kabupat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29D84-FCAD-4892-9AA2-A5B892C0F1E4}"/>
</file>

<file path=customXml/itemProps2.xml><?xml version="1.0" encoding="utf-8"?>
<ds:datastoreItem xmlns:ds="http://schemas.openxmlformats.org/officeDocument/2006/customXml" ds:itemID="{9FD1CDE3-6060-4894-8B72-0A4008901097}">
  <ds:schemaRefs>
    <ds:schemaRef ds:uri="http://schemas.microsoft.com/sharepoint/v3/contenttype/forms"/>
  </ds:schemaRefs>
</ds:datastoreItem>
</file>

<file path=customXml/itemProps3.xml><?xml version="1.0" encoding="utf-8"?>
<ds:datastoreItem xmlns:ds="http://schemas.openxmlformats.org/officeDocument/2006/customXml" ds:itemID="{5CFC1566-D9CC-48F0-929A-DB57C6B3234B}">
  <ds:schemaRefs>
    <ds:schemaRef ds:uri="http://www.w3.org/XML/1998/namespace"/>
    <ds:schemaRef ds:uri="http://purl.org/dc/elements/1.1/"/>
    <ds:schemaRef ds:uri="http://schemas.microsoft.com/sharepoint/v3"/>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63551598-73e7-4116-9c96-da7493a2a1ab"/>
    <ds:schemaRef ds:uri="169b912a-3102-4fd4-bdd7-6339cee3bbc9"/>
    <ds:schemaRef ds:uri="http://purl.org/dc/terms/"/>
  </ds:schemaRefs>
</ds:datastoreItem>
</file>

<file path=customXml/itemProps4.xml><?xml version="1.0" encoding="utf-8"?>
<ds:datastoreItem xmlns:ds="http://schemas.openxmlformats.org/officeDocument/2006/customXml" ds:itemID="{54EF10EF-6B82-4228-9EA2-D02A30AB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2373</Words>
  <Characters>13530</Characters>
  <Application>Microsoft Office Word</Application>
  <DocSecurity>0</DocSecurity>
  <Lines>112</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15872</CharactersWithSpaces>
  <SharedDoc>false</SharedDoc>
  <HLinks>
    <vt:vector size="156" baseType="variant">
      <vt:variant>
        <vt:i4>131141</vt:i4>
      </vt:variant>
      <vt:variant>
        <vt:i4>75</vt:i4>
      </vt:variant>
      <vt:variant>
        <vt:i4>0</vt:i4>
      </vt:variant>
      <vt:variant>
        <vt:i4>5</vt:i4>
      </vt:variant>
      <vt:variant>
        <vt:lpwstr>https://www.papua.go.id/view-detail-listkab-all/daftar-kabupaten.html</vt:lpwstr>
      </vt:variant>
      <vt:variant>
        <vt:lpwstr/>
      </vt:variant>
      <vt:variant>
        <vt:i4>5767172</vt:i4>
      </vt:variant>
      <vt:variant>
        <vt:i4>72</vt:i4>
      </vt:variant>
      <vt:variant>
        <vt:i4>0</vt:i4>
      </vt:variant>
      <vt:variant>
        <vt:i4>5</vt:i4>
      </vt:variant>
      <vt:variant>
        <vt:lpwstr>https://jubi.co.id/keterwakilan-perempuan-di-parlemen-papua-hanya-jadi-pelengkap-loloskan-parpol/</vt:lpwstr>
      </vt:variant>
      <vt:variant>
        <vt:lpwstr/>
      </vt:variant>
      <vt:variant>
        <vt:i4>2883687</vt:i4>
      </vt:variant>
      <vt:variant>
        <vt:i4>69</vt:i4>
      </vt:variant>
      <vt:variant>
        <vt:i4>0</vt:i4>
      </vt:variant>
      <vt:variant>
        <vt:i4>5</vt:i4>
      </vt:variant>
      <vt:variant>
        <vt:lpwstr>https://dpr-papua.go.id/profil-anggota-dprp-masa-jabatan-2019-2024/</vt:lpwstr>
      </vt:variant>
      <vt:variant>
        <vt:lpwstr/>
      </vt:variant>
      <vt:variant>
        <vt:i4>7929957</vt:i4>
      </vt:variant>
      <vt:variant>
        <vt:i4>66</vt:i4>
      </vt:variant>
      <vt:variant>
        <vt:i4>0</vt:i4>
      </vt:variant>
      <vt:variant>
        <vt:i4>5</vt:i4>
      </vt:variant>
      <vt:variant>
        <vt:lpwstr>https://www.jagatpapua.com/keterwakilan-perempuan-di-dpr-papua-barat-perlu-diberi-peran-strategis/</vt:lpwstr>
      </vt:variant>
      <vt:variant>
        <vt:lpwstr/>
      </vt:variant>
      <vt:variant>
        <vt:i4>6226034</vt:i4>
      </vt:variant>
      <vt:variant>
        <vt:i4>63</vt:i4>
      </vt:variant>
      <vt:variant>
        <vt:i4>0</vt:i4>
      </vt:variant>
      <vt:variant>
        <vt:i4>5</vt:i4>
      </vt:variant>
      <vt:variant>
        <vt:lpwstr>https://www.id.undp.org/content/indonesia/en/home/library/democratic_governance/study-on-women-s-and-men-s-health-and-life-experiences-in-papua.html</vt:lpwstr>
      </vt:variant>
      <vt:variant>
        <vt:lpwstr/>
      </vt:variant>
      <vt:variant>
        <vt:i4>5242973</vt:i4>
      </vt:variant>
      <vt:variant>
        <vt:i4>60</vt:i4>
      </vt:variant>
      <vt:variant>
        <vt:i4>0</vt:i4>
      </vt:variant>
      <vt:variant>
        <vt:i4>5</vt:i4>
      </vt:variant>
      <vt:variant>
        <vt:lpwstr>https://republika.co.id/berita/q2eji3366/kematian-ibu-melahirkan-di-papua-tertinggi-di-indonesia</vt:lpwstr>
      </vt:variant>
      <vt:variant>
        <vt:lpwstr/>
      </vt:variant>
      <vt:variant>
        <vt:i4>2490469</vt:i4>
      </vt:variant>
      <vt:variant>
        <vt:i4>57</vt:i4>
      </vt:variant>
      <vt:variant>
        <vt:i4>0</vt:i4>
      </vt:variant>
      <vt:variant>
        <vt:i4>5</vt:i4>
      </vt:variant>
      <vt:variant>
        <vt:lpwstr>http://www.harnas.co/2019/12/12/tingkat-kematian-ibu-melahirkan-tertinggi-di-papua</vt:lpwstr>
      </vt:variant>
      <vt:variant>
        <vt:lpwstr/>
      </vt:variant>
      <vt:variant>
        <vt:i4>4587527</vt:i4>
      </vt:variant>
      <vt:variant>
        <vt:i4>54</vt:i4>
      </vt:variant>
      <vt:variant>
        <vt:i4>0</vt:i4>
      </vt:variant>
      <vt:variant>
        <vt:i4>5</vt:i4>
      </vt:variant>
      <vt:variant>
        <vt:lpwstr>https://regional.kompas.com/read/2016/09/07/16214001/angka.kematian.bayi.di.sembilan.kabupaten. di.papua.masih.tinggi</vt:lpwstr>
      </vt:variant>
      <vt:variant>
        <vt:lpwstr/>
      </vt:variant>
      <vt:variant>
        <vt:i4>3276892</vt:i4>
      </vt:variant>
      <vt:variant>
        <vt:i4>51</vt:i4>
      </vt:variant>
      <vt:variant>
        <vt:i4>0</vt:i4>
      </vt:variant>
      <vt:variant>
        <vt:i4>5</vt:i4>
      </vt:variant>
      <vt:variant>
        <vt:lpwstr>https://asia-ajar.org/2020/05/berani-sehat-buku-foto-tentang-pengalaman-perempuan-papua-mengatasi-hiv-aids-dan-kekerasan/?utm_source=rss&amp;utm_medium=rss&amp;utm_campaign=berani-sehat-buku-foto-tentang-pengalaman-perempuan-papua-mengatasi-hiv-aids-dan-kekerasan</vt:lpwstr>
      </vt:variant>
      <vt:variant>
        <vt:lpwstr/>
      </vt:variant>
      <vt:variant>
        <vt:i4>3145753</vt:i4>
      </vt:variant>
      <vt:variant>
        <vt:i4>48</vt:i4>
      </vt:variant>
      <vt:variant>
        <vt:i4>0</vt:i4>
      </vt:variant>
      <vt:variant>
        <vt:i4>5</vt:i4>
      </vt:variant>
      <vt:variant>
        <vt:lpwstr>https://franciscansinternational.org/fileadmin/media/2018/Asia_Pacific/Publications/West-Papua-HR-Cat-Rep-2019.pdf</vt:lpwstr>
      </vt:variant>
      <vt:variant>
        <vt:lpwstr/>
      </vt:variant>
      <vt:variant>
        <vt:i4>1638469</vt:i4>
      </vt:variant>
      <vt:variant>
        <vt:i4>45</vt:i4>
      </vt:variant>
      <vt:variant>
        <vt:i4>0</vt:i4>
      </vt:variant>
      <vt:variant>
        <vt:i4>5</vt:i4>
      </vt:variant>
      <vt:variant>
        <vt:lpwstr>https://bisnis.tempo.co/read/751969/perempuan-adat-paling-rentan-terkena-dampak-konflik/full&amp;view=ok</vt:lpwstr>
      </vt:variant>
      <vt:variant>
        <vt:lpwstr/>
      </vt:variant>
      <vt:variant>
        <vt:i4>655380</vt:i4>
      </vt:variant>
      <vt:variant>
        <vt:i4>42</vt:i4>
      </vt:variant>
      <vt:variant>
        <vt:i4>0</vt:i4>
      </vt:variant>
      <vt:variant>
        <vt:i4>5</vt:i4>
      </vt:variant>
      <vt:variant>
        <vt:lpwstr>https://theconversation.com/in-west-papua-oil-palm-expansion-undermines-the-relations-of-indigenous-marind-people-to-forest-plants-and-animals-124885</vt:lpwstr>
      </vt:variant>
      <vt:variant>
        <vt:lpwstr/>
      </vt:variant>
      <vt:variant>
        <vt:i4>1966146</vt:i4>
      </vt:variant>
      <vt:variant>
        <vt:i4>39</vt:i4>
      </vt:variant>
      <vt:variant>
        <vt:i4>0</vt:i4>
      </vt:variant>
      <vt:variant>
        <vt:i4>5</vt:i4>
      </vt:variant>
      <vt:variant>
        <vt:lpwstr>https://knepublishing.com/index.php/Kne-Social/article/view/440/1508</vt:lpwstr>
      </vt:variant>
      <vt:variant>
        <vt:lpwstr/>
      </vt:variant>
      <vt:variant>
        <vt:i4>6750256</vt:i4>
      </vt:variant>
      <vt:variant>
        <vt:i4>36</vt:i4>
      </vt:variant>
      <vt:variant>
        <vt:i4>0</vt:i4>
      </vt:variant>
      <vt:variant>
        <vt:i4>5</vt:i4>
      </vt:variant>
      <vt:variant>
        <vt:lpwstr>https://minorityrights.org/minorities/papuans/</vt:lpwstr>
      </vt:variant>
      <vt:variant>
        <vt:lpwstr/>
      </vt:variant>
      <vt:variant>
        <vt:i4>8257572</vt:i4>
      </vt:variant>
      <vt:variant>
        <vt:i4>33</vt:i4>
      </vt:variant>
      <vt:variant>
        <vt:i4>0</vt:i4>
      </vt:variant>
      <vt:variant>
        <vt:i4>5</vt:i4>
      </vt:variant>
      <vt:variant>
        <vt:lpwstr>https://humanrightspapua.org/news/31-2019/454-update-armed-conflict-in-nduga-regency-security-force-members-kill-indigenous-woman-and-take-her-baby</vt:lpwstr>
      </vt:variant>
      <vt:variant>
        <vt:lpwstr/>
      </vt:variant>
      <vt:variant>
        <vt:i4>4587536</vt:i4>
      </vt:variant>
      <vt:variant>
        <vt:i4>30</vt:i4>
      </vt:variant>
      <vt:variant>
        <vt:i4>0</vt:i4>
      </vt:variant>
      <vt:variant>
        <vt:i4>5</vt:i4>
      </vt:variant>
      <vt:variant>
        <vt:lpwstr>http://fransiskanpapua.org/wp-content/uploads/2020/01/Buku-Papuan-Bukan-Tanah-Kosong.pdf</vt:lpwstr>
      </vt:variant>
      <vt:variant>
        <vt:lpwstr/>
      </vt:variant>
      <vt:variant>
        <vt:i4>5177427</vt:i4>
      </vt:variant>
      <vt:variant>
        <vt:i4>27</vt:i4>
      </vt:variant>
      <vt:variant>
        <vt:i4>0</vt:i4>
      </vt:variant>
      <vt:variant>
        <vt:i4>5</vt:i4>
      </vt:variant>
      <vt:variant>
        <vt:lpwstr>https://www.thejakartapost.com/news/2019/08/01/182-reportedly-die-while-seeking-refuge-in-nduga-conflict.htm</vt:lpwstr>
      </vt:variant>
      <vt:variant>
        <vt:lpwstr/>
      </vt:variant>
      <vt:variant>
        <vt:i4>5963852</vt:i4>
      </vt:variant>
      <vt:variant>
        <vt:i4>24</vt:i4>
      </vt:variant>
      <vt:variant>
        <vt:i4>0</vt:i4>
      </vt:variant>
      <vt:variant>
        <vt:i4>5</vt:i4>
      </vt:variant>
      <vt:variant>
        <vt:lpwstr>https://press-files.anu.edu.au/downloads/press/p315331/pdf/8.-Torture-as-a-Mode-of-Governance-Reflections-on-the-Phenomenon-of-Torture-in-Papua-Indonesia.pdf</vt:lpwstr>
      </vt:variant>
      <vt:variant>
        <vt:lpwstr/>
      </vt:variant>
      <vt:variant>
        <vt:i4>1966083</vt:i4>
      </vt:variant>
      <vt:variant>
        <vt:i4>21</vt:i4>
      </vt:variant>
      <vt:variant>
        <vt:i4>0</vt:i4>
      </vt:variant>
      <vt:variant>
        <vt:i4>5</vt:i4>
      </vt:variant>
      <vt:variant>
        <vt:lpwstr>https://www.rsc.ox.ac.uk/files/files-1/wp42-dynamics-conflict-displacement-papua-2007.pdf</vt:lpwstr>
      </vt:variant>
      <vt:variant>
        <vt:lpwstr/>
      </vt:variant>
      <vt:variant>
        <vt:i4>4325407</vt:i4>
      </vt:variant>
      <vt:variant>
        <vt:i4>18</vt:i4>
      </vt:variant>
      <vt:variant>
        <vt:i4>0</vt:i4>
      </vt:variant>
      <vt:variant>
        <vt:i4>5</vt:i4>
      </vt:variant>
      <vt:variant>
        <vt:lpwstr>https://thediplomat.com/2014/01/the-human-tragedy-of-west-papua/</vt:lpwstr>
      </vt:variant>
      <vt:variant>
        <vt:lpwstr/>
      </vt:variant>
      <vt:variant>
        <vt:i4>3670059</vt:i4>
      </vt:variant>
      <vt:variant>
        <vt:i4>15</vt:i4>
      </vt:variant>
      <vt:variant>
        <vt:i4>0</vt:i4>
      </vt:variant>
      <vt:variant>
        <vt:i4>5</vt:i4>
      </vt:variant>
      <vt:variant>
        <vt:lpwstr>https://www.antaranews.com/berita/930709/hukum-adat-selesaikan-kasus-kdrt-di-papua</vt:lpwstr>
      </vt:variant>
      <vt:variant>
        <vt:lpwstr/>
      </vt:variant>
      <vt:variant>
        <vt:i4>7274554</vt:i4>
      </vt:variant>
      <vt:variant>
        <vt:i4>12</vt:i4>
      </vt:variant>
      <vt:variant>
        <vt:i4>0</vt:i4>
      </vt:variant>
      <vt:variant>
        <vt:i4>5</vt:i4>
      </vt:variant>
      <vt:variant>
        <vt:lpwstr>https://asia-ajar.org/wp-content/uploads/2019/04/I-am-Here-Voices-of-Papuan-Women-2019.pdf</vt:lpwstr>
      </vt:variant>
      <vt:variant>
        <vt:lpwstr/>
      </vt:variant>
      <vt:variant>
        <vt:i4>1048591</vt:i4>
      </vt:variant>
      <vt:variant>
        <vt:i4>9</vt:i4>
      </vt:variant>
      <vt:variant>
        <vt:i4>0</vt:i4>
      </vt:variant>
      <vt:variant>
        <vt:i4>5</vt:i4>
      </vt:variant>
      <vt:variant>
        <vt:lpwstr>https://www.undp.org/content/dam/indonesia/2016/press-doc/Papua Final Report OK-2.pdf</vt:lpwstr>
      </vt:variant>
      <vt:variant>
        <vt:lpwstr/>
      </vt:variant>
      <vt:variant>
        <vt:i4>851983</vt:i4>
      </vt:variant>
      <vt:variant>
        <vt:i4>6</vt:i4>
      </vt:variant>
      <vt:variant>
        <vt:i4>0</vt:i4>
      </vt:variant>
      <vt:variant>
        <vt:i4>5</vt:i4>
      </vt:variant>
      <vt:variant>
        <vt:lpwstr>https://papua.go.id/view-detail-berita-5055/undefined</vt:lpwstr>
      </vt:variant>
      <vt:variant>
        <vt:lpwstr/>
      </vt:variant>
      <vt:variant>
        <vt:i4>21</vt:i4>
      </vt:variant>
      <vt:variant>
        <vt:i4>3</vt:i4>
      </vt:variant>
      <vt:variant>
        <vt:i4>0</vt:i4>
      </vt:variant>
      <vt:variant>
        <vt:i4>5</vt:i4>
      </vt:variant>
      <vt:variant>
        <vt:lpwstr>https://www.humanrightspapua.org/images/docs/HumanRightsPapua2017-ICP.pdf</vt:lpwstr>
      </vt:variant>
      <vt:variant>
        <vt:lpwstr/>
      </vt:variant>
      <vt:variant>
        <vt:i4>3014691</vt:i4>
      </vt:variant>
      <vt:variant>
        <vt:i4>0</vt:i4>
      </vt:variant>
      <vt:variant>
        <vt:i4>0</vt:i4>
      </vt:variant>
      <vt:variant>
        <vt:i4>5</vt:i4>
      </vt:variant>
      <vt:variant>
        <vt:lpwstr>https://franciscansinternational.org/home/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Cravero</dc:creator>
  <cp:keywords/>
  <dc:description/>
  <cp:lastModifiedBy>Budi Tjahjono</cp:lastModifiedBy>
  <cp:revision>18</cp:revision>
  <cp:lastPrinted>2018-07-10T19:15:00Z</cp:lastPrinted>
  <dcterms:created xsi:type="dcterms:W3CDTF">2020-06-18T07:13:00Z</dcterms:created>
  <dcterms:modified xsi:type="dcterms:W3CDTF">2020-06-18T09:47:00Z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