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40C3F" w14:textId="77777777" w:rsidR="00FE7EAA" w:rsidRPr="00AE32DF" w:rsidRDefault="00FE7EAA" w:rsidP="007322EE">
      <w:pPr>
        <w:rPr>
          <w:rFonts w:ascii="MetaPro-Norm" w:hAnsi="MetaPro-Norm"/>
          <w:color w:val="000000" w:themeColor="text1"/>
          <w:sz w:val="24"/>
          <w:szCs w:val="24"/>
        </w:rPr>
      </w:pPr>
      <w:bookmarkStart w:id="0" w:name="_GoBack"/>
      <w:bookmarkEnd w:id="0"/>
      <w:r w:rsidRPr="00AE32DF">
        <w:rPr>
          <w:rFonts w:ascii="MetaPro-Norm" w:hAnsi="MetaPro-Norm"/>
          <w:b/>
          <w:noProof/>
          <w:color w:val="000000" w:themeColor="text1"/>
          <w:sz w:val="24"/>
          <w:szCs w:val="24"/>
          <w:lang w:val="en-US"/>
        </w:rPr>
        <w:drawing>
          <wp:anchor distT="0" distB="0" distL="114300" distR="114300" simplePos="0" relativeHeight="251659264" behindDoc="1" locked="0" layoutInCell="1" allowOverlap="1" wp14:anchorId="708562EE" wp14:editId="54C967B0">
            <wp:simplePos x="0" y="0"/>
            <wp:positionH relativeFrom="margin">
              <wp:posOffset>2194560</wp:posOffset>
            </wp:positionH>
            <wp:positionV relativeFrom="paragraph">
              <wp:posOffset>0</wp:posOffset>
            </wp:positionV>
            <wp:extent cx="975360" cy="975360"/>
            <wp:effectExtent l="0" t="0" r="0" b="0"/>
            <wp:wrapTight wrapText="bothSides">
              <wp:wrapPolygon edited="0">
                <wp:start x="0" y="0"/>
                <wp:lineTo x="0" y="21094"/>
                <wp:lineTo x="21094" y="21094"/>
                <wp:lineTo x="21094" y="0"/>
                <wp:lineTo x="0" y="0"/>
              </wp:wrapPolygon>
            </wp:wrapTight>
            <wp:docPr id="1" name="Picture 1"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RW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6C1B4" w14:textId="77777777" w:rsidR="00FE7EAA" w:rsidRPr="00AE32DF" w:rsidRDefault="00FE7EAA" w:rsidP="007322EE">
      <w:pPr>
        <w:rPr>
          <w:rFonts w:ascii="MetaPro-Norm" w:hAnsi="MetaPro-Norm"/>
          <w:color w:val="000000" w:themeColor="text1"/>
          <w:sz w:val="24"/>
          <w:szCs w:val="24"/>
        </w:rPr>
      </w:pPr>
    </w:p>
    <w:p w14:paraId="5D11D0AF" w14:textId="77777777" w:rsidR="00FE7EAA" w:rsidRPr="00AE32DF" w:rsidRDefault="00FE7EAA" w:rsidP="007322EE">
      <w:pPr>
        <w:rPr>
          <w:rFonts w:ascii="MetaPro-Norm" w:hAnsi="MetaPro-Norm"/>
          <w:color w:val="000000" w:themeColor="text1"/>
          <w:sz w:val="24"/>
          <w:szCs w:val="24"/>
        </w:rPr>
      </w:pPr>
    </w:p>
    <w:p w14:paraId="0F7FAF8E" w14:textId="77777777" w:rsidR="00FE7EAA" w:rsidRPr="00AE32DF" w:rsidRDefault="00FE7EAA" w:rsidP="007322EE">
      <w:pPr>
        <w:rPr>
          <w:rFonts w:ascii="MetaPro-Norm" w:hAnsi="MetaPro-Norm"/>
          <w:color w:val="000000" w:themeColor="text1"/>
          <w:sz w:val="24"/>
          <w:szCs w:val="24"/>
        </w:rPr>
      </w:pPr>
    </w:p>
    <w:p w14:paraId="307E963B" w14:textId="77777777" w:rsidR="00FE7EAA" w:rsidRPr="00AE32DF" w:rsidRDefault="00FE7EAA" w:rsidP="007322EE">
      <w:pPr>
        <w:rPr>
          <w:rFonts w:ascii="MetaPro-Norm" w:hAnsi="MetaPro-Norm"/>
          <w:color w:val="000000" w:themeColor="text1"/>
          <w:sz w:val="24"/>
          <w:szCs w:val="24"/>
        </w:rPr>
      </w:pPr>
    </w:p>
    <w:p w14:paraId="6FD56556" w14:textId="1F32231A" w:rsidR="00FE7EAA" w:rsidRPr="00AE32DF" w:rsidRDefault="00FE7EAA" w:rsidP="007322EE">
      <w:pPr>
        <w:jc w:val="center"/>
        <w:rPr>
          <w:rFonts w:ascii="MetaPro-Norm" w:hAnsi="MetaPro-Norm"/>
          <w:b/>
          <w:i/>
          <w:color w:val="000000" w:themeColor="text1"/>
          <w:sz w:val="24"/>
          <w:szCs w:val="24"/>
        </w:rPr>
      </w:pPr>
      <w:r w:rsidRPr="00AE32DF">
        <w:rPr>
          <w:rFonts w:ascii="MetaPro-Norm" w:hAnsi="MetaPro-Norm"/>
          <w:b/>
          <w:color w:val="000000" w:themeColor="text1"/>
          <w:sz w:val="24"/>
          <w:szCs w:val="24"/>
        </w:rPr>
        <w:t>Submission by Human Rights Watch to the Committee on Economic, Social and Cultural Rights on Ukraine</w:t>
      </w:r>
      <w:r w:rsidR="006D3033" w:rsidRPr="00AE32DF">
        <w:rPr>
          <w:rFonts w:ascii="MetaPro-Norm" w:hAnsi="MetaPro-Norm"/>
          <w:b/>
          <w:color w:val="000000" w:themeColor="text1"/>
          <w:sz w:val="24"/>
          <w:szCs w:val="24"/>
        </w:rPr>
        <w:t xml:space="preserve">: </w:t>
      </w:r>
      <w:r w:rsidRPr="00AE32DF">
        <w:rPr>
          <w:rFonts w:ascii="MetaPro-Norm" w:hAnsi="MetaPro-Norm"/>
          <w:b/>
          <w:i/>
          <w:color w:val="000000" w:themeColor="text1"/>
          <w:sz w:val="24"/>
          <w:szCs w:val="24"/>
        </w:rPr>
        <w:t>67</w:t>
      </w:r>
      <w:r w:rsidRPr="00AE32DF">
        <w:rPr>
          <w:rFonts w:ascii="MetaPro-Norm" w:hAnsi="MetaPro-Norm"/>
          <w:b/>
          <w:i/>
          <w:color w:val="000000" w:themeColor="text1"/>
          <w:sz w:val="24"/>
          <w:szCs w:val="24"/>
          <w:vertAlign w:val="superscript"/>
        </w:rPr>
        <w:t>th</w:t>
      </w:r>
      <w:r w:rsidRPr="00AE32DF">
        <w:rPr>
          <w:rFonts w:ascii="MetaPro-Norm" w:hAnsi="MetaPro-Norm"/>
          <w:b/>
          <w:i/>
          <w:color w:val="000000" w:themeColor="text1"/>
          <w:sz w:val="24"/>
          <w:szCs w:val="24"/>
        </w:rPr>
        <w:t xml:space="preserve"> session, 2020</w:t>
      </w:r>
    </w:p>
    <w:p w14:paraId="689D7473" w14:textId="77777777" w:rsidR="00FE7EAA" w:rsidRPr="00AE32DF" w:rsidRDefault="00FE7EAA" w:rsidP="007322EE">
      <w:pPr>
        <w:jc w:val="center"/>
        <w:rPr>
          <w:rFonts w:ascii="MetaPro-Norm" w:hAnsi="MetaPro-Norm"/>
          <w:b/>
          <w:i/>
          <w:color w:val="000000" w:themeColor="text1"/>
          <w:sz w:val="24"/>
          <w:szCs w:val="24"/>
        </w:rPr>
      </w:pPr>
    </w:p>
    <w:p w14:paraId="7B89424E" w14:textId="27B557B0" w:rsidR="00FE7EAA" w:rsidRPr="00AE32DF" w:rsidRDefault="00FE7EAA" w:rsidP="000E39D4">
      <w:pPr>
        <w:rPr>
          <w:rFonts w:ascii="MetaPro-Norm" w:hAnsi="MetaPro-Norm"/>
          <w:color w:val="000000" w:themeColor="text1"/>
          <w:sz w:val="24"/>
          <w:szCs w:val="24"/>
        </w:rPr>
      </w:pPr>
      <w:r w:rsidRPr="00AE32DF">
        <w:rPr>
          <w:rFonts w:ascii="MetaPro-Norm" w:hAnsi="MetaPro-Norm"/>
          <w:color w:val="000000" w:themeColor="text1"/>
          <w:sz w:val="24"/>
          <w:szCs w:val="24"/>
        </w:rPr>
        <w:t xml:space="preserve">This submission relates to the review of </w:t>
      </w:r>
      <w:r w:rsidR="00514A76" w:rsidRPr="00AE32DF">
        <w:rPr>
          <w:rFonts w:ascii="MetaPro-Norm" w:hAnsi="MetaPro-Norm"/>
          <w:color w:val="000000" w:themeColor="text1"/>
          <w:sz w:val="24"/>
          <w:szCs w:val="24"/>
        </w:rPr>
        <w:t xml:space="preserve">Ukraine </w:t>
      </w:r>
      <w:r w:rsidRPr="00AE32DF">
        <w:rPr>
          <w:rFonts w:ascii="MetaPro-Norm" w:hAnsi="MetaPro-Norm"/>
          <w:color w:val="000000" w:themeColor="text1"/>
          <w:sz w:val="24"/>
          <w:szCs w:val="24"/>
        </w:rPr>
        <w:t xml:space="preserve">under the International Covenant on Economic, Social and Cultural Rights. It focuses on </w:t>
      </w:r>
      <w:r w:rsidR="00E05145" w:rsidRPr="00AE32DF">
        <w:rPr>
          <w:rFonts w:ascii="MetaPro-Norm" w:hAnsi="MetaPro-Norm"/>
          <w:color w:val="000000" w:themeColor="text1"/>
          <w:sz w:val="24"/>
          <w:szCs w:val="24"/>
        </w:rPr>
        <w:t xml:space="preserve">discrimination against internally displaced persons (IDPs) in </w:t>
      </w:r>
      <w:r w:rsidR="00E62D75" w:rsidRPr="00AE32DF">
        <w:rPr>
          <w:rFonts w:ascii="MetaPro-Norm" w:hAnsi="MetaPro-Norm"/>
          <w:color w:val="000000" w:themeColor="text1"/>
          <w:sz w:val="24"/>
          <w:szCs w:val="24"/>
        </w:rPr>
        <w:t>r</w:t>
      </w:r>
      <w:r w:rsidR="00E05145" w:rsidRPr="00AE32DF">
        <w:rPr>
          <w:rFonts w:ascii="MetaPro-Norm" w:hAnsi="MetaPro-Norm"/>
          <w:color w:val="000000" w:themeColor="text1"/>
          <w:sz w:val="24"/>
          <w:szCs w:val="24"/>
        </w:rPr>
        <w:t xml:space="preserve">eceiving </w:t>
      </w:r>
      <w:r w:rsidR="00E62D75" w:rsidRPr="00AE32DF">
        <w:rPr>
          <w:rFonts w:ascii="MetaPro-Norm" w:hAnsi="MetaPro-Norm"/>
          <w:color w:val="000000" w:themeColor="text1"/>
          <w:sz w:val="24"/>
          <w:szCs w:val="24"/>
        </w:rPr>
        <w:t>p</w:t>
      </w:r>
      <w:r w:rsidR="00E05145" w:rsidRPr="00AE32DF">
        <w:rPr>
          <w:rFonts w:ascii="MetaPro-Norm" w:hAnsi="MetaPro-Norm"/>
          <w:color w:val="000000" w:themeColor="text1"/>
          <w:sz w:val="24"/>
          <w:szCs w:val="24"/>
        </w:rPr>
        <w:t xml:space="preserve">ensions, </w:t>
      </w:r>
      <w:r w:rsidR="00E05145" w:rsidRPr="00AE32DF">
        <w:rPr>
          <w:rFonts w:ascii="MetaPro-Norm" w:eastAsia="SimSun" w:hAnsi="MetaPro-Norm" w:cs="Times New Roman"/>
          <w:bCs/>
          <w:sz w:val="24"/>
          <w:szCs w:val="24"/>
          <w:lang w:val="en-US" w:eastAsia="zh-CN"/>
        </w:rPr>
        <w:t>poor and dangerous conditions at border crossings</w:t>
      </w:r>
      <w:r w:rsidR="006A3B28" w:rsidRPr="00AE32DF">
        <w:rPr>
          <w:rFonts w:ascii="MetaPro-Norm" w:eastAsia="SimSun" w:hAnsi="MetaPro-Norm" w:cs="Times New Roman"/>
          <w:bCs/>
          <w:sz w:val="24"/>
          <w:szCs w:val="24"/>
          <w:lang w:val="en-US" w:eastAsia="zh-CN"/>
        </w:rPr>
        <w:t xml:space="preserve"> </w:t>
      </w:r>
      <w:r w:rsidRPr="00AE32DF">
        <w:rPr>
          <w:rFonts w:ascii="MetaPro-Norm" w:hAnsi="MetaPro-Norm"/>
          <w:color w:val="000000" w:themeColor="text1"/>
          <w:sz w:val="24"/>
          <w:szCs w:val="24"/>
        </w:rPr>
        <w:t>and the protection of students, teachers, and schools during armed conflict.</w:t>
      </w:r>
    </w:p>
    <w:p w14:paraId="5BC1A511" w14:textId="210349C6" w:rsidR="00FE7EAA" w:rsidRPr="00AE32DF" w:rsidRDefault="00FE7EAA" w:rsidP="007322EE">
      <w:pPr>
        <w:rPr>
          <w:rFonts w:ascii="MetaPro-Norm" w:hAnsi="MetaPro-Norm"/>
          <w:color w:val="000000" w:themeColor="text1"/>
          <w:sz w:val="24"/>
          <w:szCs w:val="24"/>
        </w:rPr>
      </w:pPr>
    </w:p>
    <w:p w14:paraId="0D5D0E80" w14:textId="61796DBE" w:rsidR="007322EE" w:rsidRPr="00AE32DF" w:rsidRDefault="007322EE" w:rsidP="007322EE">
      <w:pPr>
        <w:rPr>
          <w:rFonts w:ascii="MetaPro-Norm" w:eastAsia="SimSun" w:hAnsi="MetaPro-Norm" w:cs="Times New Roman"/>
          <w:b/>
          <w:sz w:val="24"/>
          <w:szCs w:val="24"/>
          <w:lang w:val="en-US" w:eastAsia="zh-CN"/>
        </w:rPr>
      </w:pPr>
      <w:r w:rsidRPr="00AE32DF">
        <w:rPr>
          <w:rFonts w:ascii="MetaPro-Norm" w:eastAsia="SimSun" w:hAnsi="MetaPro-Norm" w:cs="Times New Roman"/>
          <w:b/>
          <w:sz w:val="24"/>
          <w:szCs w:val="24"/>
          <w:lang w:val="en-US" w:eastAsia="zh-CN"/>
        </w:rPr>
        <w:t>Discrimination Against Internally Displaced Persons in Receiving Pensions (</w:t>
      </w:r>
      <w:r w:rsidR="006D3033" w:rsidRPr="00AE32DF">
        <w:rPr>
          <w:rFonts w:ascii="MetaPro-Norm" w:eastAsia="SimSun" w:hAnsi="MetaPro-Norm" w:cs="Times New Roman"/>
          <w:b/>
          <w:sz w:val="24"/>
          <w:szCs w:val="24"/>
          <w:lang w:val="en-US" w:eastAsia="zh-CN"/>
        </w:rPr>
        <w:t>a</w:t>
      </w:r>
      <w:r w:rsidRPr="00AE32DF">
        <w:rPr>
          <w:rFonts w:ascii="MetaPro-Norm" w:eastAsia="SimSun" w:hAnsi="MetaPro-Norm" w:cs="Times New Roman"/>
          <w:b/>
          <w:sz w:val="24"/>
          <w:szCs w:val="24"/>
          <w:lang w:val="en-US" w:eastAsia="zh-CN"/>
        </w:rPr>
        <w:t>rticle</w:t>
      </w:r>
      <w:r w:rsidR="006D3033" w:rsidRPr="00AE32DF">
        <w:rPr>
          <w:rFonts w:ascii="MetaPro-Norm" w:eastAsia="SimSun" w:hAnsi="MetaPro-Norm" w:cs="Times New Roman"/>
          <w:b/>
          <w:sz w:val="24"/>
          <w:szCs w:val="24"/>
          <w:lang w:val="en-US" w:eastAsia="zh-CN"/>
        </w:rPr>
        <w:t>s</w:t>
      </w:r>
      <w:r w:rsidRPr="00AE32DF">
        <w:rPr>
          <w:rFonts w:ascii="MetaPro-Norm" w:eastAsia="SimSun" w:hAnsi="MetaPro-Norm" w:cs="Times New Roman"/>
          <w:b/>
          <w:sz w:val="24"/>
          <w:szCs w:val="24"/>
          <w:lang w:val="en-US" w:eastAsia="zh-CN"/>
        </w:rPr>
        <w:t xml:space="preserve"> 2 </w:t>
      </w:r>
      <w:r w:rsidR="000D1B96" w:rsidRPr="00AE32DF">
        <w:rPr>
          <w:rFonts w:ascii="MetaPro-Norm" w:eastAsia="SimSun" w:hAnsi="MetaPro-Norm" w:cs="Times New Roman"/>
          <w:b/>
          <w:sz w:val="24"/>
          <w:szCs w:val="24"/>
          <w:lang w:val="en-US" w:eastAsia="zh-CN"/>
        </w:rPr>
        <w:t>&amp;</w:t>
      </w:r>
      <w:r w:rsidRPr="00AE32DF">
        <w:rPr>
          <w:rFonts w:ascii="MetaPro-Norm" w:eastAsia="SimSun" w:hAnsi="MetaPro-Norm" w:cs="Times New Roman"/>
          <w:b/>
          <w:sz w:val="24"/>
          <w:szCs w:val="24"/>
          <w:lang w:val="en-US" w:eastAsia="zh-CN"/>
        </w:rPr>
        <w:t xml:space="preserve"> 9)</w:t>
      </w:r>
    </w:p>
    <w:p w14:paraId="4601ECF6" w14:textId="2E432DD1" w:rsidR="007322EE" w:rsidRPr="00AE32DF" w:rsidRDefault="00895032" w:rsidP="002176B7">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Currently,</w:t>
      </w:r>
      <w:r w:rsidR="007322EE" w:rsidRPr="00AE32DF">
        <w:rPr>
          <w:rFonts w:ascii="MetaPro-Norm" w:eastAsia="SimSun" w:hAnsi="MetaPro-Norm" w:cs="Times New Roman"/>
          <w:sz w:val="24"/>
          <w:szCs w:val="24"/>
          <w:lang w:val="en-US" w:eastAsia="zh-CN"/>
        </w:rPr>
        <w:t xml:space="preserve"> government policy requires pensioners from parts of eastern Ukraine under Russia-backed </w:t>
      </w:r>
      <w:r w:rsidR="007175CF" w:rsidRPr="00AE32DF">
        <w:rPr>
          <w:rFonts w:ascii="MetaPro-Norm" w:eastAsia="SimSun" w:hAnsi="MetaPro-Norm" w:cs="Times New Roman"/>
          <w:sz w:val="24"/>
          <w:szCs w:val="24"/>
          <w:lang w:val="en-US" w:eastAsia="zh-CN"/>
        </w:rPr>
        <w:t>“</w:t>
      </w:r>
      <w:r w:rsidR="007322EE" w:rsidRPr="00AE32DF">
        <w:rPr>
          <w:rFonts w:ascii="MetaPro-Norm" w:eastAsia="SimSun" w:hAnsi="MetaPro-Norm" w:cs="Times New Roman"/>
          <w:sz w:val="24"/>
          <w:szCs w:val="24"/>
          <w:lang w:val="en-US" w:eastAsia="zh-CN"/>
        </w:rPr>
        <w:t>separatists’</w:t>
      </w:r>
      <w:r w:rsidR="007175CF" w:rsidRPr="00AE32DF">
        <w:rPr>
          <w:rFonts w:ascii="MetaPro-Norm" w:eastAsia="SimSun" w:hAnsi="MetaPro-Norm" w:cs="Times New Roman"/>
          <w:sz w:val="24"/>
          <w:szCs w:val="24"/>
          <w:lang w:val="en-US" w:eastAsia="zh-CN"/>
        </w:rPr>
        <w:t>”</w:t>
      </w:r>
      <w:r w:rsidR="007322EE" w:rsidRPr="00AE32DF">
        <w:rPr>
          <w:rFonts w:ascii="MetaPro-Norm" w:eastAsia="SimSun" w:hAnsi="MetaPro-Norm" w:cs="Times New Roman"/>
          <w:sz w:val="24"/>
          <w:szCs w:val="24"/>
          <w:lang w:val="en-US" w:eastAsia="zh-CN"/>
        </w:rPr>
        <w:t xml:space="preserve"> control to register as </w:t>
      </w:r>
      <w:r w:rsidR="00A50F1E" w:rsidRPr="00AE32DF">
        <w:rPr>
          <w:rFonts w:ascii="MetaPro-Norm" w:eastAsia="SimSun" w:hAnsi="MetaPro-Norm" w:cs="Times New Roman"/>
          <w:sz w:val="24"/>
          <w:szCs w:val="24"/>
          <w:lang w:val="en-US" w:eastAsia="zh-CN"/>
        </w:rPr>
        <w:t>internall</w:t>
      </w:r>
      <w:r w:rsidR="000110F8" w:rsidRPr="00AE32DF">
        <w:rPr>
          <w:rFonts w:ascii="MetaPro-Norm" w:eastAsia="SimSun" w:hAnsi="MetaPro-Norm" w:cs="Times New Roman"/>
          <w:sz w:val="24"/>
          <w:szCs w:val="24"/>
          <w:lang w:val="en-US" w:eastAsia="zh-CN"/>
        </w:rPr>
        <w:t>y</w:t>
      </w:r>
      <w:r w:rsidR="00A50F1E" w:rsidRPr="00AE32DF">
        <w:rPr>
          <w:rFonts w:ascii="MetaPro-Norm" w:eastAsia="SimSun" w:hAnsi="MetaPro-Norm" w:cs="Times New Roman"/>
          <w:sz w:val="24"/>
          <w:szCs w:val="24"/>
          <w:lang w:val="en-US" w:eastAsia="zh-CN"/>
        </w:rPr>
        <w:t xml:space="preserve"> </w:t>
      </w:r>
      <w:r w:rsidR="007322EE" w:rsidRPr="00AE32DF">
        <w:rPr>
          <w:rFonts w:ascii="MetaPro-Norm" w:eastAsia="SimSun" w:hAnsi="MetaPro-Norm" w:cs="Times New Roman"/>
          <w:sz w:val="24"/>
          <w:szCs w:val="24"/>
          <w:lang w:val="en-US" w:eastAsia="zh-CN"/>
        </w:rPr>
        <w:t>displaced persons</w:t>
      </w:r>
      <w:r w:rsidR="00C858B4" w:rsidRPr="00AE32DF">
        <w:rPr>
          <w:rFonts w:ascii="MetaPro-Norm" w:eastAsia="SimSun" w:hAnsi="MetaPro-Norm" w:cs="Times New Roman"/>
          <w:sz w:val="24"/>
          <w:szCs w:val="24"/>
          <w:lang w:val="en-US" w:eastAsia="zh-CN"/>
        </w:rPr>
        <w:t xml:space="preserve"> (IDPs)</w:t>
      </w:r>
      <w:r w:rsidR="007322EE" w:rsidRPr="00AE32DF">
        <w:rPr>
          <w:rFonts w:ascii="MetaPro-Norm" w:eastAsia="SimSun" w:hAnsi="MetaPro-Norm" w:cs="Times New Roman"/>
          <w:sz w:val="24"/>
          <w:szCs w:val="24"/>
          <w:lang w:val="en-US" w:eastAsia="zh-CN"/>
        </w:rPr>
        <w:t xml:space="preserve"> in</w:t>
      </w:r>
      <w:r w:rsidR="002176B7" w:rsidRPr="00AE32DF">
        <w:rPr>
          <w:rFonts w:ascii="MetaPro-Norm" w:eastAsia="SimSun" w:hAnsi="MetaPro-Norm" w:cs="Times New Roman"/>
          <w:sz w:val="24"/>
          <w:szCs w:val="24"/>
          <w:lang w:val="en-US" w:eastAsia="zh-CN"/>
        </w:rPr>
        <w:t xml:space="preserve"> </w:t>
      </w:r>
      <w:r w:rsidR="007322EE" w:rsidRPr="00AE32DF">
        <w:rPr>
          <w:rFonts w:ascii="MetaPro-Norm" w:eastAsia="SimSun" w:hAnsi="MetaPro-Norm" w:cs="Times New Roman"/>
          <w:sz w:val="24"/>
          <w:szCs w:val="24"/>
          <w:lang w:val="en-US" w:eastAsia="zh-CN"/>
        </w:rPr>
        <w:t>government-controlled areas</w:t>
      </w:r>
      <w:r w:rsidR="00EA6286" w:rsidRPr="00AE32DF">
        <w:rPr>
          <w:rFonts w:ascii="MetaPro-Norm" w:eastAsia="SimSun" w:hAnsi="MetaPro-Norm" w:cs="Times New Roman"/>
          <w:sz w:val="24"/>
          <w:szCs w:val="24"/>
          <w:lang w:val="en-US" w:eastAsia="zh-CN"/>
        </w:rPr>
        <w:t xml:space="preserve">, maintain </w:t>
      </w:r>
      <w:r w:rsidR="005F507D" w:rsidRPr="00AE32DF">
        <w:rPr>
          <w:rFonts w:ascii="MetaPro-Norm" w:eastAsia="SimSun" w:hAnsi="MetaPro-Norm" w:cs="Times New Roman"/>
          <w:sz w:val="24"/>
          <w:szCs w:val="24"/>
          <w:lang w:val="en-US" w:eastAsia="zh-CN"/>
        </w:rPr>
        <w:t>residential address</w:t>
      </w:r>
      <w:r w:rsidR="000B0B1C" w:rsidRPr="00AE32DF">
        <w:rPr>
          <w:rFonts w:ascii="MetaPro-Norm" w:eastAsia="SimSun" w:hAnsi="MetaPro-Norm" w:cs="Times New Roman"/>
          <w:sz w:val="24"/>
          <w:szCs w:val="24"/>
          <w:lang w:val="en-US" w:eastAsia="zh-CN"/>
        </w:rPr>
        <w:t>es</w:t>
      </w:r>
      <w:r w:rsidR="00D93192" w:rsidRPr="00AE32DF">
        <w:rPr>
          <w:rFonts w:ascii="MetaPro-Norm" w:eastAsia="SimSun" w:hAnsi="MetaPro-Norm" w:cs="Times New Roman"/>
          <w:sz w:val="24"/>
          <w:szCs w:val="24"/>
          <w:lang w:val="en-US" w:eastAsia="zh-CN"/>
        </w:rPr>
        <w:t xml:space="preserve"> there</w:t>
      </w:r>
      <w:r w:rsidR="000B0B1C" w:rsidRPr="00AE32DF">
        <w:rPr>
          <w:rFonts w:ascii="MetaPro-Norm" w:eastAsia="SimSun" w:hAnsi="MetaPro-Norm" w:cs="Times New Roman"/>
          <w:sz w:val="24"/>
          <w:szCs w:val="24"/>
          <w:lang w:val="en-US" w:eastAsia="zh-CN"/>
        </w:rPr>
        <w:t>,</w:t>
      </w:r>
      <w:r w:rsidR="00EA6286" w:rsidRPr="00AE32DF">
        <w:rPr>
          <w:rFonts w:ascii="MetaPro-Norm" w:eastAsia="SimSun" w:hAnsi="MetaPro-Norm" w:cs="Times New Roman"/>
          <w:sz w:val="24"/>
          <w:szCs w:val="24"/>
          <w:lang w:val="en-US" w:eastAsia="zh-CN"/>
        </w:rPr>
        <w:t xml:space="preserve"> and regularly travel to those areas</w:t>
      </w:r>
      <w:r w:rsidR="007322EE" w:rsidRPr="00AE32DF">
        <w:rPr>
          <w:rFonts w:ascii="MetaPro-Norm" w:eastAsia="SimSun" w:hAnsi="MetaPro-Norm" w:cs="Times New Roman"/>
          <w:sz w:val="24"/>
          <w:szCs w:val="24"/>
          <w:lang w:val="en-US" w:eastAsia="zh-CN"/>
        </w:rPr>
        <w:t xml:space="preserve"> in order to receive their </w:t>
      </w:r>
      <w:r w:rsidR="00AE32DF" w:rsidRPr="00AE32DF">
        <w:rPr>
          <w:rFonts w:ascii="MetaPro-Norm" w:eastAsia="SimSun" w:hAnsi="MetaPro-Norm" w:cs="Times New Roman"/>
          <w:sz w:val="24"/>
          <w:szCs w:val="24"/>
          <w:lang w:val="en-US" w:eastAsia="zh-CN"/>
        </w:rPr>
        <w:t>pensions</w:t>
      </w:r>
      <w:r w:rsidR="007322EE" w:rsidRPr="00AE32DF">
        <w:rPr>
          <w:rFonts w:ascii="MetaPro-Norm" w:eastAsia="SimSun" w:hAnsi="MetaPro-Norm" w:cs="Times New Roman"/>
          <w:sz w:val="24"/>
          <w:szCs w:val="24"/>
          <w:lang w:val="en-US" w:eastAsia="zh-CN"/>
        </w:rPr>
        <w:t xml:space="preserve">. </w:t>
      </w:r>
    </w:p>
    <w:p w14:paraId="52EC7681" w14:textId="77777777" w:rsidR="007322EE" w:rsidRPr="00AE32DF" w:rsidRDefault="007322EE" w:rsidP="007322EE">
      <w:pPr>
        <w:rPr>
          <w:rFonts w:ascii="MetaPro-Norm" w:eastAsia="SimSun" w:hAnsi="MetaPro-Norm" w:cs="Times New Roman"/>
          <w:sz w:val="24"/>
          <w:szCs w:val="24"/>
          <w:lang w:val="en-US" w:eastAsia="zh-CN"/>
        </w:rPr>
      </w:pPr>
    </w:p>
    <w:p w14:paraId="548B043C" w14:textId="0BA715E8" w:rsidR="007322EE"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The requirement to register as an IDP</w:t>
      </w:r>
      <w:r w:rsidR="00F36454" w:rsidRPr="00AE32DF">
        <w:rPr>
          <w:rFonts w:ascii="MetaPro-Norm" w:eastAsia="SimSun" w:hAnsi="MetaPro-Norm" w:cs="Times New Roman"/>
          <w:sz w:val="24"/>
          <w:szCs w:val="24"/>
          <w:lang w:val="en-US" w:eastAsia="zh-CN"/>
        </w:rPr>
        <w:t xml:space="preserve"> as a condition for </w:t>
      </w:r>
      <w:r w:rsidR="00C82479" w:rsidRPr="00AE32DF">
        <w:rPr>
          <w:rFonts w:ascii="MetaPro-Norm" w:eastAsia="SimSun" w:hAnsi="MetaPro-Norm" w:cs="Times New Roman"/>
          <w:sz w:val="24"/>
          <w:szCs w:val="24"/>
          <w:lang w:val="en-US" w:eastAsia="zh-CN"/>
        </w:rPr>
        <w:t>maintaining</w:t>
      </w:r>
      <w:r w:rsidR="00F36454" w:rsidRPr="00AE32DF">
        <w:rPr>
          <w:rFonts w:ascii="MetaPro-Norm" w:eastAsia="SimSun" w:hAnsi="MetaPro-Norm" w:cs="Times New Roman"/>
          <w:sz w:val="24"/>
          <w:szCs w:val="24"/>
          <w:lang w:val="en-US" w:eastAsia="zh-CN"/>
        </w:rPr>
        <w:t xml:space="preserve"> pension eligibility</w:t>
      </w:r>
      <w:r w:rsidRPr="00AE32DF">
        <w:rPr>
          <w:rFonts w:ascii="MetaPro-Norm" w:eastAsia="SimSun" w:hAnsi="MetaPro-Norm" w:cs="Times New Roman"/>
          <w:sz w:val="24"/>
          <w:szCs w:val="24"/>
          <w:lang w:val="en-US" w:eastAsia="zh-CN"/>
        </w:rPr>
        <w:t xml:space="preserve"> is set out in Cabinet of Ministers’ decrees adopted in 2014 and 2016.</w:t>
      </w:r>
      <w:r w:rsidRPr="00AE32DF">
        <w:rPr>
          <w:rFonts w:ascii="MetaPro-Norm" w:eastAsia="Arial Unicode MS" w:hAnsi="MetaPro-Norm" w:cs="Arial"/>
          <w:sz w:val="24"/>
          <w:szCs w:val="24"/>
          <w:vertAlign w:val="superscript"/>
          <w:lang w:val="en-US" w:eastAsia="zh-CN"/>
        </w:rPr>
        <w:footnoteReference w:id="1"/>
      </w:r>
      <w:r w:rsidRPr="00AE32DF">
        <w:rPr>
          <w:rFonts w:ascii="MetaPro-Norm" w:eastAsia="SimSun" w:hAnsi="MetaPro-Norm" w:cs="Times New Roman"/>
          <w:sz w:val="24"/>
          <w:szCs w:val="24"/>
          <w:lang w:val="en-US" w:eastAsia="zh-CN"/>
        </w:rPr>
        <w:t xml:space="preserve"> Older people eligible to receive pensions must prove and maintain residency in government-controlled areas, and they</w:t>
      </w:r>
      <w:r w:rsidR="00F64AA5" w:rsidRPr="00AE32DF">
        <w:rPr>
          <w:rFonts w:ascii="MetaPro-Norm" w:eastAsia="SimSun" w:hAnsi="MetaPro-Norm" w:cs="Times New Roman"/>
          <w:sz w:val="24"/>
          <w:szCs w:val="24"/>
          <w:lang w:val="en-US" w:eastAsia="zh-CN"/>
        </w:rPr>
        <w:t xml:space="preserve"> are</w:t>
      </w:r>
      <w:r w:rsidRPr="00AE32DF">
        <w:rPr>
          <w:rFonts w:ascii="MetaPro-Norm" w:eastAsia="SimSun" w:hAnsi="MetaPro-Norm" w:cs="Times New Roman"/>
          <w:sz w:val="24"/>
          <w:szCs w:val="24"/>
          <w:lang w:val="en-US" w:eastAsia="zh-CN"/>
        </w:rPr>
        <w:t xml:space="preserve"> </w:t>
      </w:r>
      <w:r w:rsidR="00F36454" w:rsidRPr="00AE32DF">
        <w:rPr>
          <w:rFonts w:ascii="MetaPro-Norm" w:eastAsia="SimSun" w:hAnsi="MetaPro-Norm" w:cs="Times New Roman"/>
          <w:sz w:val="24"/>
          <w:szCs w:val="24"/>
          <w:lang w:val="en-US" w:eastAsia="zh-CN"/>
        </w:rPr>
        <w:t>required to cross into government-controlled areas every</w:t>
      </w:r>
      <w:r w:rsidRPr="00AE32DF">
        <w:rPr>
          <w:rFonts w:ascii="MetaPro-Norm" w:eastAsia="SimSun" w:hAnsi="MetaPro-Norm" w:cs="Times New Roman"/>
          <w:sz w:val="24"/>
          <w:szCs w:val="24"/>
          <w:lang w:val="en-US" w:eastAsia="zh-CN"/>
        </w:rPr>
        <w:t xml:space="preserve"> 60 consecutive days. Unlike other pensioners living elsewhere in the country, they may not appoint an authorized representative to collect their pensions for them at the state bank. In practice, this means older people</w:t>
      </w:r>
      <w:r w:rsidR="00F069DA" w:rsidRPr="00AE32DF">
        <w:rPr>
          <w:rFonts w:ascii="MetaPro-Norm" w:eastAsia="SimSun" w:hAnsi="MetaPro-Norm" w:cs="Times New Roman"/>
          <w:sz w:val="24"/>
          <w:szCs w:val="24"/>
          <w:lang w:val="en-US" w:eastAsia="zh-CN"/>
        </w:rPr>
        <w:t>,</w:t>
      </w:r>
      <w:r w:rsidR="00C27738" w:rsidRPr="00AE32DF">
        <w:rPr>
          <w:rFonts w:ascii="MetaPro-Norm" w:eastAsia="SimSun" w:hAnsi="MetaPro-Norm" w:cs="Times New Roman"/>
          <w:sz w:val="24"/>
          <w:szCs w:val="24"/>
          <w:lang w:val="en-US" w:eastAsia="zh-CN"/>
        </w:rPr>
        <w:t xml:space="preserve"> many of whom have physical disabilities that impede their ability to walk easily</w:t>
      </w:r>
      <w:r w:rsidR="009E62C1" w:rsidRPr="00AE32DF">
        <w:rPr>
          <w:rFonts w:ascii="MetaPro-Norm" w:eastAsia="SimSun" w:hAnsi="MetaPro-Norm" w:cs="Times New Roman"/>
          <w:sz w:val="24"/>
          <w:szCs w:val="24"/>
          <w:lang w:val="en-US" w:eastAsia="zh-CN"/>
        </w:rPr>
        <w:t>,</w:t>
      </w:r>
      <w:r w:rsidRPr="00AE32DF">
        <w:rPr>
          <w:rFonts w:ascii="MetaPro-Norm" w:eastAsia="SimSun" w:hAnsi="MetaPro-Norm" w:cs="Times New Roman"/>
          <w:sz w:val="24"/>
          <w:szCs w:val="24"/>
          <w:lang w:val="en-US" w:eastAsia="zh-CN"/>
        </w:rPr>
        <w:t xml:space="preserve"> face repeated journeys across the separation line to collect their pensions (see section on border crossings below) or else have to leave their homes for the foreseeable future. </w:t>
      </w:r>
      <w:r w:rsidR="007306E9" w:rsidRPr="00AE32DF">
        <w:rPr>
          <w:rFonts w:ascii="MetaPro-Norm" w:eastAsia="SimSun" w:hAnsi="MetaPro-Norm" w:cs="Times New Roman"/>
          <w:sz w:val="24"/>
          <w:szCs w:val="24"/>
          <w:lang w:val="en-US" w:eastAsia="zh-CN"/>
        </w:rPr>
        <w:t>Older people</w:t>
      </w:r>
      <w:r w:rsidR="00BC5960">
        <w:rPr>
          <w:rFonts w:ascii="MetaPro-Norm" w:eastAsia="SimSun" w:hAnsi="MetaPro-Norm" w:cs="Times New Roman"/>
          <w:sz w:val="24"/>
          <w:szCs w:val="24"/>
          <w:lang w:val="en-US" w:eastAsia="zh-CN"/>
        </w:rPr>
        <w:t>,</w:t>
      </w:r>
      <w:r w:rsidR="007306E9" w:rsidRPr="00AE32DF">
        <w:rPr>
          <w:rFonts w:ascii="MetaPro-Norm" w:eastAsia="SimSun" w:hAnsi="MetaPro-Norm" w:cs="Times New Roman"/>
          <w:sz w:val="24"/>
          <w:szCs w:val="24"/>
          <w:lang w:val="en-US" w:eastAsia="zh-CN"/>
        </w:rPr>
        <w:t xml:space="preserve"> who </w:t>
      </w:r>
      <w:r w:rsidR="00585305" w:rsidRPr="00AE32DF">
        <w:rPr>
          <w:rFonts w:ascii="MetaPro-Norm" w:eastAsia="SimSun" w:hAnsi="MetaPro-Norm" w:cs="Times New Roman"/>
          <w:sz w:val="24"/>
          <w:szCs w:val="24"/>
          <w:lang w:val="en-US" w:eastAsia="zh-CN"/>
        </w:rPr>
        <w:t xml:space="preserve">due to </w:t>
      </w:r>
      <w:r w:rsidR="007306E9" w:rsidRPr="00AE32DF">
        <w:rPr>
          <w:rFonts w:ascii="MetaPro-Norm" w:eastAsia="SimSun" w:hAnsi="MetaPro-Norm" w:cs="Times New Roman"/>
          <w:sz w:val="24"/>
          <w:szCs w:val="24"/>
          <w:lang w:val="en-US" w:eastAsia="zh-CN"/>
        </w:rPr>
        <w:t>limited mobility</w:t>
      </w:r>
      <w:r w:rsidR="00BC5960">
        <w:rPr>
          <w:rFonts w:ascii="MetaPro-Norm" w:eastAsia="SimSun" w:hAnsi="MetaPro-Norm" w:cs="Times New Roman"/>
          <w:sz w:val="24"/>
          <w:szCs w:val="24"/>
          <w:lang w:val="en-US" w:eastAsia="zh-CN"/>
        </w:rPr>
        <w:t>,</w:t>
      </w:r>
      <w:r w:rsidR="007306E9" w:rsidRPr="00AE32DF">
        <w:rPr>
          <w:rFonts w:ascii="MetaPro-Norm" w:eastAsia="SimSun" w:hAnsi="MetaPro-Norm" w:cs="Times New Roman"/>
          <w:sz w:val="24"/>
          <w:szCs w:val="24"/>
          <w:lang w:val="en-US" w:eastAsia="zh-CN"/>
        </w:rPr>
        <w:t xml:space="preserve"> </w:t>
      </w:r>
      <w:r w:rsidR="00585305" w:rsidRPr="00AE32DF">
        <w:rPr>
          <w:rFonts w:ascii="MetaPro-Norm" w:eastAsia="SimSun" w:hAnsi="MetaPro-Norm" w:cs="Times New Roman"/>
          <w:sz w:val="24"/>
          <w:szCs w:val="24"/>
          <w:lang w:val="en-US" w:eastAsia="zh-CN"/>
        </w:rPr>
        <w:t>have not been able to cross into government-controlled areas to obtain displaced person status have had to forego their pensions altogether.</w:t>
      </w:r>
    </w:p>
    <w:p w14:paraId="742E55AC" w14:textId="77777777" w:rsidR="007322EE" w:rsidRPr="00AE32DF" w:rsidRDefault="007322EE" w:rsidP="007322EE">
      <w:pPr>
        <w:rPr>
          <w:rFonts w:ascii="MetaPro-Norm" w:eastAsia="SimSun" w:hAnsi="MetaPro-Norm" w:cs="Times New Roman"/>
          <w:sz w:val="24"/>
          <w:szCs w:val="24"/>
          <w:lang w:val="en-US" w:eastAsia="zh-CN"/>
        </w:rPr>
      </w:pPr>
    </w:p>
    <w:p w14:paraId="3099AC8F" w14:textId="1502F91A" w:rsidR="007322EE"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In July 2018, the Kyiv Administrative Court of Appeals upheld a lower court’s ruling finding several provisions of the Cabinet of Ministers decrees to be discriminatory on </w:t>
      </w:r>
      <w:r w:rsidRPr="00AE32DF">
        <w:rPr>
          <w:rFonts w:ascii="MetaPro-Norm" w:eastAsia="SimSun" w:hAnsi="MetaPro-Norm" w:cs="Times New Roman"/>
          <w:sz w:val="24"/>
          <w:szCs w:val="24"/>
          <w:lang w:val="en-US" w:eastAsia="zh-CN"/>
        </w:rPr>
        <w:lastRenderedPageBreak/>
        <w:t xml:space="preserve">“territorial and displacement grounds” and in violation of IDPs’ rights to pensions and social protection. These included the decrees’ provisions authorizing social protection officials to visit an individual’s registered address any time if they have reason to believe that the displaced person might not live there. Under this inspection regime, if the person is not at home, officials leave a notice instructing the person to come in person to verify their residence address within </w:t>
      </w:r>
      <w:r w:rsidR="00B1675B" w:rsidRPr="00AE32DF">
        <w:rPr>
          <w:rFonts w:ascii="MetaPro-Norm" w:eastAsia="SimSun" w:hAnsi="MetaPro-Norm" w:cs="Times New Roman"/>
          <w:sz w:val="24"/>
          <w:szCs w:val="24"/>
          <w:lang w:val="en-US" w:eastAsia="zh-CN"/>
        </w:rPr>
        <w:t xml:space="preserve">three </w:t>
      </w:r>
      <w:r w:rsidRPr="00AE32DF">
        <w:rPr>
          <w:rFonts w:ascii="MetaPro-Norm" w:eastAsia="SimSun" w:hAnsi="MetaPro-Norm" w:cs="Times New Roman"/>
          <w:sz w:val="24"/>
          <w:szCs w:val="24"/>
          <w:lang w:val="en-US" w:eastAsia="zh-CN"/>
        </w:rPr>
        <w:t xml:space="preserve">days. If they fail to do so, the government can stop paying pensions and other social benefits. Older people and local activists told Human Rights Watch that in practice, the authorities </w:t>
      </w:r>
      <w:r w:rsidR="007175CF" w:rsidRPr="00AE32DF">
        <w:rPr>
          <w:rFonts w:ascii="MetaPro-Norm" w:eastAsia="SimSun" w:hAnsi="MetaPro-Norm" w:cs="Times New Roman"/>
          <w:sz w:val="24"/>
          <w:szCs w:val="24"/>
          <w:lang w:val="en-US" w:eastAsia="zh-CN"/>
        </w:rPr>
        <w:t xml:space="preserve">would </w:t>
      </w:r>
      <w:r w:rsidRPr="00AE32DF">
        <w:rPr>
          <w:rFonts w:ascii="MetaPro-Norm" w:eastAsia="SimSun" w:hAnsi="MetaPro-Norm" w:cs="Times New Roman"/>
          <w:sz w:val="24"/>
          <w:szCs w:val="24"/>
          <w:lang w:val="en-US" w:eastAsia="zh-CN"/>
        </w:rPr>
        <w:t xml:space="preserve">suspend pensions and other welfare payments after the first visit without waiting for the individual to appear in person. Once an individual’s pension has been suspended, they have to reapply for it to be reinstated, an onerous process which </w:t>
      </w:r>
      <w:r w:rsidR="000B179F" w:rsidRPr="00AE32DF">
        <w:rPr>
          <w:rFonts w:ascii="MetaPro-Norm" w:eastAsia="SimSun" w:hAnsi="MetaPro-Norm" w:cs="Times New Roman"/>
          <w:sz w:val="24"/>
          <w:szCs w:val="24"/>
          <w:lang w:val="en-US" w:eastAsia="zh-CN"/>
        </w:rPr>
        <w:t xml:space="preserve">can take </w:t>
      </w:r>
      <w:r w:rsidRPr="00AE32DF">
        <w:rPr>
          <w:rFonts w:ascii="MetaPro-Norm" w:eastAsia="SimSun" w:hAnsi="MetaPro-Norm" w:cs="Times New Roman"/>
          <w:sz w:val="24"/>
          <w:szCs w:val="24"/>
          <w:lang w:val="en-US" w:eastAsia="zh-CN"/>
        </w:rPr>
        <w:t xml:space="preserve">months. </w:t>
      </w:r>
    </w:p>
    <w:p w14:paraId="127DB435" w14:textId="77777777" w:rsidR="007322EE" w:rsidRPr="00AE32DF" w:rsidRDefault="007322EE" w:rsidP="007322EE">
      <w:pPr>
        <w:rPr>
          <w:rFonts w:ascii="MetaPro-Norm" w:eastAsia="SimSun" w:hAnsi="MetaPro-Norm" w:cs="Times New Roman"/>
          <w:sz w:val="24"/>
          <w:szCs w:val="24"/>
          <w:lang w:val="en-US" w:eastAsia="zh-CN"/>
        </w:rPr>
      </w:pPr>
    </w:p>
    <w:p w14:paraId="7B7708F3" w14:textId="38FEF5F3" w:rsidR="007322EE"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Following the court’s ruling, the Ministry of Social Policy stated that it would continue to verify displaced persons’ residences prior to granting them pensions or social benefits but that it would stop inspection visits to displaced persons’ homes.</w:t>
      </w:r>
      <w:r w:rsidRPr="00AE32DF">
        <w:rPr>
          <w:rFonts w:ascii="MetaPro-Norm" w:eastAsia="Arial Unicode MS" w:hAnsi="MetaPro-Norm" w:cs="Arial"/>
          <w:sz w:val="24"/>
          <w:szCs w:val="24"/>
          <w:vertAlign w:val="superscript"/>
          <w:lang w:val="en-US" w:eastAsia="zh-CN"/>
        </w:rPr>
        <w:footnoteReference w:id="2"/>
      </w:r>
      <w:r w:rsidRPr="00AE32DF">
        <w:rPr>
          <w:rFonts w:ascii="MetaPro-Norm" w:eastAsia="SimSun" w:hAnsi="MetaPro-Norm" w:cs="Times New Roman"/>
          <w:sz w:val="24"/>
          <w:szCs w:val="24"/>
          <w:lang w:val="en-US" w:eastAsia="zh-CN"/>
        </w:rPr>
        <w:t xml:space="preserve"> </w:t>
      </w:r>
      <w:r w:rsidR="007175CF" w:rsidRPr="00AE32DF">
        <w:rPr>
          <w:rFonts w:ascii="MetaPro-Norm" w:eastAsia="SimSun" w:hAnsi="MetaPro-Norm" w:cs="Times New Roman"/>
          <w:sz w:val="24"/>
          <w:szCs w:val="24"/>
          <w:lang w:val="en-US" w:eastAsia="zh-CN"/>
        </w:rPr>
        <w:t xml:space="preserve">In </w:t>
      </w:r>
      <w:r w:rsidR="00227E0E" w:rsidRPr="00AE32DF">
        <w:rPr>
          <w:rFonts w:ascii="MetaPro-Norm" w:eastAsia="SimSun" w:hAnsi="MetaPro-Norm" w:cs="Times New Roman"/>
          <w:sz w:val="24"/>
          <w:szCs w:val="24"/>
          <w:lang w:val="en-US" w:eastAsia="zh-CN"/>
        </w:rPr>
        <w:t>2018</w:t>
      </w:r>
      <w:r w:rsidR="007175CF" w:rsidRPr="00AE32DF">
        <w:rPr>
          <w:rFonts w:ascii="MetaPro-Norm" w:eastAsia="SimSun" w:hAnsi="MetaPro-Norm" w:cs="Times New Roman"/>
          <w:sz w:val="24"/>
          <w:szCs w:val="24"/>
          <w:lang w:val="en-US" w:eastAsia="zh-CN"/>
        </w:rPr>
        <w:t>, a</w:t>
      </w:r>
      <w:r w:rsidRPr="00AE32DF">
        <w:rPr>
          <w:rFonts w:ascii="MetaPro-Norm" w:eastAsia="SimSun" w:hAnsi="MetaPro-Norm" w:cs="Times New Roman"/>
          <w:sz w:val="24"/>
          <w:szCs w:val="24"/>
          <w:lang w:val="en-US" w:eastAsia="zh-CN"/>
        </w:rPr>
        <w:t xml:space="preserve"> lawyer with a Ukrainian human rights organization told Human Rights Watch that, to his knowledge, despite this statement</w:t>
      </w:r>
      <w:r w:rsidR="00B1675B" w:rsidRPr="00AE32DF">
        <w:rPr>
          <w:rFonts w:ascii="MetaPro-Norm" w:eastAsia="SimSun" w:hAnsi="MetaPro-Norm" w:cs="Times New Roman"/>
          <w:sz w:val="24"/>
          <w:szCs w:val="24"/>
          <w:lang w:val="en-US" w:eastAsia="zh-CN"/>
        </w:rPr>
        <w:t>,</w:t>
      </w:r>
      <w:r w:rsidRPr="00AE32DF">
        <w:rPr>
          <w:rFonts w:ascii="MetaPro-Norm" w:eastAsia="SimSun" w:hAnsi="MetaPro-Norm" w:cs="Times New Roman"/>
          <w:sz w:val="24"/>
          <w:szCs w:val="24"/>
          <w:lang w:val="en-US" w:eastAsia="zh-CN"/>
        </w:rPr>
        <w:t xml:space="preserve"> the ministry continue</w:t>
      </w:r>
      <w:r w:rsidR="007175CF" w:rsidRPr="00AE32DF">
        <w:rPr>
          <w:rFonts w:ascii="MetaPro-Norm" w:eastAsia="SimSun" w:hAnsi="MetaPro-Norm" w:cs="Times New Roman"/>
          <w:sz w:val="24"/>
          <w:szCs w:val="24"/>
          <w:lang w:val="en-US" w:eastAsia="zh-CN"/>
        </w:rPr>
        <w:t>d</w:t>
      </w:r>
      <w:r w:rsidRPr="00AE32DF">
        <w:rPr>
          <w:rFonts w:ascii="MetaPro-Norm" w:eastAsia="SimSun" w:hAnsi="MetaPro-Norm" w:cs="Times New Roman"/>
          <w:sz w:val="24"/>
          <w:szCs w:val="24"/>
          <w:lang w:val="en-US" w:eastAsia="zh-CN"/>
        </w:rPr>
        <w:t xml:space="preserve"> to inspect displaced persons’ registered residences.</w:t>
      </w:r>
      <w:r w:rsidR="00AE32DF" w:rsidRPr="00AE32DF">
        <w:rPr>
          <w:rStyle w:val="FootnoteReference"/>
          <w:rFonts w:ascii="MetaPro-Norm" w:eastAsia="SimSun" w:hAnsi="MetaPro-Norm" w:cs="Times New Roman"/>
          <w:sz w:val="24"/>
          <w:szCs w:val="24"/>
          <w:lang w:val="en-US" w:eastAsia="zh-CN"/>
        </w:rPr>
        <w:footnoteReference w:id="3"/>
      </w:r>
      <w:r w:rsidRPr="00AE32DF">
        <w:rPr>
          <w:rFonts w:ascii="MetaPro-Norm" w:eastAsia="SimSun" w:hAnsi="MetaPro-Norm" w:cs="Times New Roman"/>
          <w:sz w:val="24"/>
          <w:szCs w:val="24"/>
          <w:lang w:val="en-US" w:eastAsia="zh-CN"/>
        </w:rPr>
        <w:t xml:space="preserve"> </w:t>
      </w:r>
    </w:p>
    <w:p w14:paraId="4E9DE21E" w14:textId="19F86CAC" w:rsidR="00A65F40" w:rsidRPr="00AE32DF" w:rsidRDefault="00A65F40" w:rsidP="007322EE">
      <w:pPr>
        <w:rPr>
          <w:rFonts w:ascii="MetaPro-Norm" w:eastAsia="SimSun" w:hAnsi="MetaPro-Norm" w:cs="Times New Roman"/>
          <w:sz w:val="24"/>
          <w:szCs w:val="24"/>
          <w:lang w:val="en-US" w:eastAsia="zh-CN"/>
        </w:rPr>
      </w:pPr>
    </w:p>
    <w:p w14:paraId="6A6DB8CE" w14:textId="0038CF1C" w:rsidR="00A65F40" w:rsidRPr="00AE32DF" w:rsidRDefault="00A65F40"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In March 2019, </w:t>
      </w:r>
      <w:r w:rsidR="001E2FEF" w:rsidRPr="00AE32DF">
        <w:rPr>
          <w:rFonts w:ascii="MetaPro-Norm" w:eastAsia="SimSun" w:hAnsi="MetaPro-Norm" w:cs="Times New Roman"/>
          <w:sz w:val="24"/>
          <w:szCs w:val="24"/>
          <w:lang w:val="en-US" w:eastAsia="zh-CN"/>
        </w:rPr>
        <w:t>the government of Ukraine</w:t>
      </w:r>
      <w:r w:rsidRPr="00AE32DF">
        <w:rPr>
          <w:rFonts w:ascii="MetaPro-Norm" w:eastAsia="SimSun" w:hAnsi="MetaPro-Norm" w:cs="Times New Roman"/>
          <w:sz w:val="24"/>
          <w:szCs w:val="24"/>
          <w:lang w:val="en-US" w:eastAsia="zh-CN"/>
        </w:rPr>
        <w:t xml:space="preserve"> </w:t>
      </w:r>
      <w:r w:rsidR="001E2FEF" w:rsidRPr="00AE32DF">
        <w:rPr>
          <w:rFonts w:ascii="MetaPro-Norm" w:eastAsia="SimSun" w:hAnsi="MetaPro-Norm" w:cs="Times New Roman"/>
          <w:sz w:val="24"/>
          <w:szCs w:val="24"/>
          <w:lang w:val="en-US" w:eastAsia="zh-CN"/>
        </w:rPr>
        <w:t>removed</w:t>
      </w:r>
      <w:r w:rsidRPr="00AE32DF">
        <w:rPr>
          <w:rFonts w:ascii="MetaPro-Norm" w:eastAsia="SimSun" w:hAnsi="MetaPro-Norm" w:cs="Times New Roman"/>
          <w:sz w:val="24"/>
          <w:szCs w:val="24"/>
          <w:lang w:val="en-US" w:eastAsia="zh-CN"/>
        </w:rPr>
        <w:t xml:space="preserve"> expiration dates for electronic passes that allow civilians to travel between government-controlled territory and areas controlled by Russia-backed armed groups in the country’s east. This </w:t>
      </w:r>
      <w:r w:rsidR="0021725B" w:rsidRPr="00AE32DF">
        <w:rPr>
          <w:rFonts w:ascii="MetaPro-Norm" w:eastAsia="SimSun" w:hAnsi="MetaPro-Norm" w:cs="Times New Roman"/>
          <w:sz w:val="24"/>
          <w:szCs w:val="24"/>
          <w:lang w:val="en-US" w:eastAsia="zh-CN"/>
        </w:rPr>
        <w:t>is a</w:t>
      </w:r>
      <w:r w:rsidRPr="00AE32DF">
        <w:rPr>
          <w:rFonts w:ascii="MetaPro-Norm" w:eastAsia="SimSun" w:hAnsi="MetaPro-Norm" w:cs="Times New Roman"/>
          <w:sz w:val="24"/>
          <w:szCs w:val="24"/>
          <w:lang w:val="en-US" w:eastAsia="zh-CN"/>
        </w:rPr>
        <w:t xml:space="preserve"> small but important step toward easing the lives of the estimated one million people who journey across the front lines dividing the conflicting parties every month.</w:t>
      </w:r>
      <w:r w:rsidR="005A4786" w:rsidRPr="00AE32DF">
        <w:rPr>
          <w:rStyle w:val="FootnoteReference"/>
          <w:rFonts w:ascii="MetaPro-Norm" w:eastAsia="SimSun" w:hAnsi="MetaPro-Norm" w:cs="Times New Roman"/>
          <w:sz w:val="24"/>
          <w:szCs w:val="24"/>
          <w:lang w:val="en-US" w:eastAsia="zh-CN"/>
        </w:rPr>
        <w:footnoteReference w:id="4"/>
      </w:r>
    </w:p>
    <w:p w14:paraId="1555E571" w14:textId="77777777" w:rsidR="00563714" w:rsidRPr="00AE32DF" w:rsidRDefault="00563714" w:rsidP="000D1B96">
      <w:pPr>
        <w:rPr>
          <w:rFonts w:ascii="MetaPro-Norm" w:eastAsia="SimSun" w:hAnsi="MetaPro-Norm" w:cs="Times New Roman"/>
          <w:sz w:val="24"/>
          <w:szCs w:val="24"/>
          <w:lang w:val="en-US" w:eastAsia="zh-CN"/>
        </w:rPr>
      </w:pPr>
    </w:p>
    <w:p w14:paraId="3F3A936F" w14:textId="185E041C" w:rsidR="00161E86" w:rsidRPr="00AE32DF" w:rsidRDefault="001B3F74" w:rsidP="000E39D4">
      <w:pPr>
        <w:rPr>
          <w:rFonts w:ascii="MetaPro-Norm" w:hAnsi="MetaPro-Norm"/>
          <w:i/>
          <w:iCs/>
          <w:sz w:val="24"/>
          <w:szCs w:val="24"/>
        </w:rPr>
      </w:pPr>
      <w:r w:rsidRPr="00AE32DF">
        <w:rPr>
          <w:rFonts w:ascii="MetaPro-Norm" w:hAnsi="MetaPro-Norm"/>
          <w:i/>
          <w:iCs/>
          <w:sz w:val="24"/>
          <w:szCs w:val="24"/>
        </w:rPr>
        <w:t>We encourage the Committee to make the following recommendations to the government:</w:t>
      </w:r>
    </w:p>
    <w:p w14:paraId="6D4B34AF" w14:textId="027DD98C" w:rsidR="000D1B96" w:rsidRPr="00AE32DF" w:rsidRDefault="00563714" w:rsidP="007322EE">
      <w:pPr>
        <w:numPr>
          <w:ilvl w:val="0"/>
          <w:numId w:val="6"/>
        </w:num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Initiate</w:t>
      </w:r>
      <w:r w:rsidR="007322EE" w:rsidRPr="00AE32DF">
        <w:rPr>
          <w:rFonts w:ascii="MetaPro-Norm" w:eastAsia="SimSun" w:hAnsi="MetaPro-Norm" w:cs="Times New Roman"/>
          <w:sz w:val="24"/>
          <w:szCs w:val="24"/>
          <w:lang w:val="en-US" w:eastAsia="zh-CN"/>
        </w:rPr>
        <w:t xml:space="preserve"> or support legislation to drop th</w:t>
      </w:r>
      <w:r w:rsidR="000D1B96" w:rsidRPr="00AE32DF">
        <w:rPr>
          <w:rFonts w:ascii="MetaPro-Norm" w:eastAsia="SimSun" w:hAnsi="MetaPro-Norm" w:cs="Times New Roman"/>
          <w:sz w:val="24"/>
          <w:szCs w:val="24"/>
          <w:lang w:val="en-US" w:eastAsia="zh-CN"/>
        </w:rPr>
        <w:t>e</w:t>
      </w:r>
      <w:r w:rsidR="007322EE" w:rsidRPr="00AE32DF">
        <w:rPr>
          <w:rFonts w:ascii="MetaPro-Norm" w:eastAsia="SimSun" w:hAnsi="MetaPro-Norm" w:cs="Times New Roman"/>
          <w:sz w:val="24"/>
          <w:szCs w:val="24"/>
          <w:lang w:val="en-US" w:eastAsia="zh-CN"/>
        </w:rPr>
        <w:t xml:space="preserve"> requirement </w:t>
      </w:r>
      <w:r w:rsidR="000D1B96" w:rsidRPr="00AE32DF">
        <w:rPr>
          <w:rFonts w:ascii="MetaPro-Norm" w:eastAsia="SimSun" w:hAnsi="MetaPro-Norm" w:cs="Times New Roman"/>
          <w:sz w:val="24"/>
          <w:szCs w:val="24"/>
          <w:lang w:val="en-US" w:eastAsia="zh-CN"/>
        </w:rPr>
        <w:t>for people from non-government-controlled areas to register as</w:t>
      </w:r>
      <w:r w:rsidR="005D3306" w:rsidRPr="00AE32DF">
        <w:rPr>
          <w:rFonts w:ascii="MetaPro-Norm" w:eastAsia="SimSun" w:hAnsi="MetaPro-Norm" w:cs="Times New Roman"/>
          <w:sz w:val="24"/>
          <w:szCs w:val="24"/>
          <w:lang w:val="en-US" w:eastAsia="zh-CN"/>
        </w:rPr>
        <w:t xml:space="preserve"> internally</w:t>
      </w:r>
      <w:r w:rsidR="000D1B96" w:rsidRPr="00AE32DF">
        <w:rPr>
          <w:rFonts w:ascii="MetaPro-Norm" w:eastAsia="SimSun" w:hAnsi="MetaPro-Norm" w:cs="Times New Roman"/>
          <w:sz w:val="24"/>
          <w:szCs w:val="24"/>
          <w:lang w:val="en-US" w:eastAsia="zh-CN"/>
        </w:rPr>
        <w:t xml:space="preserve"> displaced </w:t>
      </w:r>
      <w:r w:rsidR="00B1675B" w:rsidRPr="00AE32DF">
        <w:rPr>
          <w:rFonts w:ascii="MetaPro-Norm" w:eastAsia="SimSun" w:hAnsi="MetaPro-Norm" w:cs="Times New Roman"/>
          <w:sz w:val="24"/>
          <w:szCs w:val="24"/>
          <w:lang w:val="en-US" w:eastAsia="zh-CN"/>
        </w:rPr>
        <w:t xml:space="preserve">persons </w:t>
      </w:r>
      <w:r w:rsidR="000D1B96" w:rsidRPr="00AE32DF">
        <w:rPr>
          <w:rFonts w:ascii="MetaPro-Norm" w:eastAsia="SimSun" w:hAnsi="MetaPro-Norm" w:cs="Times New Roman"/>
          <w:sz w:val="24"/>
          <w:szCs w:val="24"/>
          <w:lang w:val="en-US" w:eastAsia="zh-CN"/>
        </w:rPr>
        <w:t>in order to receive pensions.</w:t>
      </w:r>
    </w:p>
    <w:p w14:paraId="73315AE5" w14:textId="08F8C65F" w:rsidR="00514A76" w:rsidRPr="00AE32DF" w:rsidRDefault="000D1B96" w:rsidP="0021725B">
      <w:pPr>
        <w:numPr>
          <w:ilvl w:val="0"/>
          <w:numId w:val="6"/>
        </w:num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I</w:t>
      </w:r>
      <w:r w:rsidR="007322EE" w:rsidRPr="00AE32DF">
        <w:rPr>
          <w:rFonts w:ascii="MetaPro-Norm" w:eastAsia="SimSun" w:hAnsi="MetaPro-Norm" w:cs="Times New Roman"/>
          <w:sz w:val="24"/>
          <w:szCs w:val="24"/>
          <w:lang w:val="en-US" w:eastAsia="zh-CN"/>
        </w:rPr>
        <w:t xml:space="preserve">n the interim, </w:t>
      </w:r>
      <w:r w:rsidR="007175CF" w:rsidRPr="00AE32DF">
        <w:rPr>
          <w:rFonts w:ascii="MetaPro-Norm" w:eastAsia="SimSun" w:hAnsi="MetaPro-Norm" w:cs="Times New Roman"/>
          <w:sz w:val="24"/>
          <w:szCs w:val="24"/>
          <w:lang w:val="en-US" w:eastAsia="zh-CN"/>
        </w:rPr>
        <w:t>drop the requirement to cross ever</w:t>
      </w:r>
      <w:r w:rsidR="00B1675B" w:rsidRPr="00AE32DF">
        <w:rPr>
          <w:rFonts w:ascii="MetaPro-Norm" w:eastAsia="SimSun" w:hAnsi="MetaPro-Norm" w:cs="Times New Roman"/>
          <w:sz w:val="24"/>
          <w:szCs w:val="24"/>
          <w:lang w:val="en-US" w:eastAsia="zh-CN"/>
        </w:rPr>
        <w:t>y</w:t>
      </w:r>
      <w:r w:rsidR="007175CF" w:rsidRPr="00AE32DF">
        <w:rPr>
          <w:rFonts w:ascii="MetaPro-Norm" w:eastAsia="SimSun" w:hAnsi="MetaPro-Norm" w:cs="Times New Roman"/>
          <w:sz w:val="24"/>
          <w:szCs w:val="24"/>
          <w:lang w:val="en-US" w:eastAsia="zh-CN"/>
        </w:rPr>
        <w:t xml:space="preserve"> 60 consecutive days and </w:t>
      </w:r>
      <w:r w:rsidR="007322EE" w:rsidRPr="00AE32DF">
        <w:rPr>
          <w:rFonts w:ascii="MetaPro-Norm" w:eastAsia="SimSun" w:hAnsi="MetaPro-Norm" w:cs="Times New Roman"/>
          <w:sz w:val="24"/>
          <w:szCs w:val="24"/>
          <w:lang w:val="en-US" w:eastAsia="zh-CN"/>
        </w:rPr>
        <w:t xml:space="preserve">allow the appointment of an authorized representative to collect pensions for </w:t>
      </w:r>
      <w:r w:rsidR="007322EE" w:rsidRPr="00AE32DF">
        <w:rPr>
          <w:rFonts w:ascii="MetaPro-Norm" w:eastAsia="SimSun" w:hAnsi="MetaPro-Norm" w:cs="Times New Roman"/>
          <w:sz w:val="24"/>
          <w:szCs w:val="24"/>
          <w:lang w:val="en-US" w:eastAsia="zh-CN"/>
        </w:rPr>
        <w:lastRenderedPageBreak/>
        <w:t>older people who continue to reside in separatist-controlled areas in order to alleviate the burden of making frequent trips across the separation line.</w:t>
      </w:r>
    </w:p>
    <w:p w14:paraId="2E1A71CF" w14:textId="77777777" w:rsidR="0021725B" w:rsidRPr="00AE32DF" w:rsidRDefault="0021725B" w:rsidP="0021725B">
      <w:pPr>
        <w:ind w:left="720"/>
        <w:rPr>
          <w:rFonts w:ascii="MetaPro-Norm" w:eastAsia="SimSun" w:hAnsi="MetaPro-Norm" w:cs="Times New Roman"/>
          <w:sz w:val="24"/>
          <w:szCs w:val="24"/>
          <w:lang w:val="en-US" w:eastAsia="zh-CN"/>
        </w:rPr>
      </w:pPr>
    </w:p>
    <w:p w14:paraId="500E9C5D" w14:textId="5B118168" w:rsidR="007322EE" w:rsidRPr="00AE32DF" w:rsidRDefault="007322EE" w:rsidP="007322EE">
      <w:pPr>
        <w:rPr>
          <w:rFonts w:ascii="MetaPro-Norm" w:eastAsia="SimSun" w:hAnsi="MetaPro-Norm" w:cs="Times New Roman"/>
          <w:b/>
          <w:sz w:val="24"/>
          <w:szCs w:val="24"/>
          <w:lang w:val="en-US" w:eastAsia="zh-CN"/>
        </w:rPr>
      </w:pPr>
      <w:r w:rsidRPr="00AE32DF">
        <w:rPr>
          <w:rFonts w:ascii="MetaPro-Norm" w:eastAsia="SimSun" w:hAnsi="MetaPro-Norm" w:cs="Times New Roman"/>
          <w:b/>
          <w:sz w:val="24"/>
          <w:szCs w:val="24"/>
          <w:lang w:val="en-US" w:eastAsia="zh-CN"/>
        </w:rPr>
        <w:t>Poor and Dangerous Conditions at Border Crossings</w:t>
      </w:r>
      <w:r w:rsidR="000D1B96" w:rsidRPr="00AE32DF">
        <w:rPr>
          <w:rFonts w:ascii="MetaPro-Norm" w:eastAsia="SimSun" w:hAnsi="MetaPro-Norm" w:cs="Times New Roman"/>
          <w:b/>
          <w:sz w:val="24"/>
          <w:szCs w:val="24"/>
          <w:lang w:val="en-US" w:eastAsia="zh-CN"/>
        </w:rPr>
        <w:t xml:space="preserve"> </w:t>
      </w:r>
      <w:r w:rsidRPr="00AE32DF">
        <w:rPr>
          <w:rFonts w:ascii="MetaPro-Norm" w:eastAsia="SimSun" w:hAnsi="MetaPro-Norm" w:cs="Times New Roman"/>
          <w:b/>
          <w:sz w:val="24"/>
          <w:szCs w:val="24"/>
          <w:lang w:val="en-US" w:eastAsia="zh-CN"/>
        </w:rPr>
        <w:t>(</w:t>
      </w:r>
      <w:r w:rsidR="006D3033" w:rsidRPr="00AE32DF">
        <w:rPr>
          <w:rFonts w:ascii="MetaPro-Norm" w:eastAsia="SimSun" w:hAnsi="MetaPro-Norm" w:cs="Times New Roman"/>
          <w:b/>
          <w:sz w:val="24"/>
          <w:szCs w:val="24"/>
          <w:lang w:val="en-US" w:eastAsia="zh-CN"/>
        </w:rPr>
        <w:t>a</w:t>
      </w:r>
      <w:r w:rsidRPr="00AE32DF">
        <w:rPr>
          <w:rFonts w:ascii="MetaPro-Norm" w:eastAsia="SimSun" w:hAnsi="MetaPro-Norm" w:cs="Times New Roman"/>
          <w:b/>
          <w:sz w:val="24"/>
          <w:szCs w:val="24"/>
          <w:lang w:val="en-US" w:eastAsia="zh-CN"/>
        </w:rPr>
        <w:t>rticle</w:t>
      </w:r>
      <w:r w:rsidR="000D1B96" w:rsidRPr="00AE32DF">
        <w:rPr>
          <w:rFonts w:ascii="MetaPro-Norm" w:eastAsia="SimSun" w:hAnsi="MetaPro-Norm" w:cs="Times New Roman"/>
          <w:b/>
          <w:sz w:val="24"/>
          <w:szCs w:val="24"/>
          <w:lang w:val="en-US" w:eastAsia="zh-CN"/>
        </w:rPr>
        <w:t>s</w:t>
      </w:r>
      <w:r w:rsidRPr="00AE32DF">
        <w:rPr>
          <w:rFonts w:ascii="MetaPro-Norm" w:eastAsia="SimSun" w:hAnsi="MetaPro-Norm" w:cs="Times New Roman"/>
          <w:b/>
          <w:sz w:val="24"/>
          <w:szCs w:val="24"/>
          <w:lang w:val="en-US" w:eastAsia="zh-CN"/>
        </w:rPr>
        <w:t xml:space="preserve"> 2 </w:t>
      </w:r>
      <w:r w:rsidR="000D1B96" w:rsidRPr="00AE32DF">
        <w:rPr>
          <w:rFonts w:ascii="MetaPro-Norm" w:eastAsia="SimSun" w:hAnsi="MetaPro-Norm" w:cs="Times New Roman"/>
          <w:b/>
          <w:sz w:val="24"/>
          <w:szCs w:val="24"/>
          <w:lang w:val="en-US" w:eastAsia="zh-CN"/>
        </w:rPr>
        <w:t>&amp;</w:t>
      </w:r>
      <w:r w:rsidRPr="00AE32DF">
        <w:rPr>
          <w:rFonts w:ascii="MetaPro-Norm" w:eastAsia="SimSun" w:hAnsi="MetaPro-Norm" w:cs="Times New Roman"/>
          <w:b/>
          <w:sz w:val="24"/>
          <w:szCs w:val="24"/>
          <w:lang w:val="en-US" w:eastAsia="zh-CN"/>
        </w:rPr>
        <w:t xml:space="preserve"> 12)</w:t>
      </w:r>
    </w:p>
    <w:p w14:paraId="46456BB9" w14:textId="77777777" w:rsidR="006B18C3"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Ukrainian citizens </w:t>
      </w:r>
      <w:r w:rsidR="007175CF" w:rsidRPr="00AE32DF">
        <w:rPr>
          <w:rFonts w:ascii="MetaPro-Norm" w:eastAsia="SimSun" w:hAnsi="MetaPro-Norm" w:cs="Times New Roman"/>
          <w:sz w:val="24"/>
          <w:szCs w:val="24"/>
          <w:lang w:val="en-US" w:eastAsia="zh-CN"/>
        </w:rPr>
        <w:t xml:space="preserve">have </w:t>
      </w:r>
      <w:r w:rsidRPr="00AE32DF">
        <w:rPr>
          <w:rFonts w:ascii="MetaPro-Norm" w:eastAsia="SimSun" w:hAnsi="MetaPro-Norm" w:cs="Times New Roman"/>
          <w:sz w:val="24"/>
          <w:szCs w:val="24"/>
          <w:lang w:val="en-US" w:eastAsia="zh-CN"/>
        </w:rPr>
        <w:t>face</w:t>
      </w:r>
      <w:r w:rsidR="007175CF" w:rsidRPr="00AE32DF">
        <w:rPr>
          <w:rFonts w:ascii="MetaPro-Norm" w:eastAsia="SimSun" w:hAnsi="MetaPro-Norm" w:cs="Times New Roman"/>
          <w:sz w:val="24"/>
          <w:szCs w:val="24"/>
          <w:lang w:val="en-US" w:eastAsia="zh-CN"/>
        </w:rPr>
        <w:t>d</w:t>
      </w:r>
      <w:r w:rsidRPr="00AE32DF">
        <w:rPr>
          <w:rFonts w:ascii="MetaPro-Norm" w:eastAsia="SimSun" w:hAnsi="MetaPro-Norm" w:cs="Times New Roman"/>
          <w:sz w:val="24"/>
          <w:szCs w:val="24"/>
          <w:lang w:val="en-US" w:eastAsia="zh-CN"/>
        </w:rPr>
        <w:t xml:space="preserve"> significant risks to their health and safety as they face extremely long waits when they cross the separation line between government-controlled and separatist-controlled areas.</w:t>
      </w:r>
      <w:r w:rsidR="009D2E9E" w:rsidRPr="00AE32DF">
        <w:rPr>
          <w:rFonts w:ascii="MetaPro-Norm" w:eastAsia="SimSun" w:hAnsi="MetaPro-Norm" w:cs="Times New Roman"/>
          <w:sz w:val="24"/>
          <w:szCs w:val="24"/>
          <w:lang w:val="en-US" w:eastAsia="zh-CN"/>
        </w:rPr>
        <w:t xml:space="preserve"> </w:t>
      </w:r>
    </w:p>
    <w:p w14:paraId="3F99CDFB" w14:textId="77777777" w:rsidR="006B18C3" w:rsidRPr="00AE32DF" w:rsidRDefault="006B18C3" w:rsidP="007322EE">
      <w:pPr>
        <w:rPr>
          <w:rFonts w:ascii="MetaPro-Norm" w:eastAsia="SimSun" w:hAnsi="MetaPro-Norm" w:cs="Times New Roman"/>
          <w:sz w:val="24"/>
          <w:szCs w:val="24"/>
          <w:lang w:val="en-US" w:eastAsia="zh-CN"/>
        </w:rPr>
      </w:pPr>
    </w:p>
    <w:p w14:paraId="5B91770C" w14:textId="79AA780D" w:rsidR="007322EE" w:rsidRPr="00AE32DF" w:rsidRDefault="009D2E9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Human Rights Watch observed in 2016-2017 that </w:t>
      </w:r>
      <w:r w:rsidR="006B18C3" w:rsidRPr="00AE32DF">
        <w:rPr>
          <w:rFonts w:ascii="MetaPro-Norm" w:eastAsia="SimSun" w:hAnsi="MetaPro-Norm" w:cs="Times New Roman"/>
          <w:sz w:val="24"/>
          <w:szCs w:val="24"/>
          <w:lang w:val="en-US" w:eastAsia="zh-CN"/>
        </w:rPr>
        <w:t>t</w:t>
      </w:r>
      <w:r w:rsidR="00F90977" w:rsidRPr="00AE32DF">
        <w:rPr>
          <w:rFonts w:ascii="MetaPro-Norm" w:eastAsia="SimSun" w:hAnsi="MetaPro-Norm" w:cs="Times New Roman"/>
          <w:sz w:val="24"/>
          <w:szCs w:val="24"/>
          <w:lang w:val="en-US" w:eastAsia="zh-CN"/>
        </w:rPr>
        <w:t>here is a</w:t>
      </w:r>
      <w:r w:rsidR="007322EE" w:rsidRPr="00AE32DF">
        <w:rPr>
          <w:rFonts w:ascii="MetaPro-Norm" w:eastAsia="SimSun" w:hAnsi="MetaPro-Norm" w:cs="Times New Roman"/>
          <w:sz w:val="24"/>
          <w:szCs w:val="24"/>
          <w:lang w:val="en-US" w:eastAsia="zh-CN"/>
        </w:rPr>
        <w:t xml:space="preserve"> general lack of infrastructure in the “grey zones” (the uncontrolled territory that lies between </w:t>
      </w:r>
      <w:r w:rsidR="00B1675B" w:rsidRPr="00AE32DF">
        <w:rPr>
          <w:rFonts w:ascii="MetaPro-Norm" w:eastAsia="SimSun" w:hAnsi="MetaPro-Norm" w:cs="Times New Roman"/>
          <w:sz w:val="24"/>
          <w:szCs w:val="24"/>
          <w:lang w:val="en-US" w:eastAsia="zh-CN"/>
        </w:rPr>
        <w:t xml:space="preserve">the </w:t>
      </w:r>
      <w:r w:rsidR="007322EE" w:rsidRPr="00AE32DF">
        <w:rPr>
          <w:rFonts w:ascii="MetaPro-Norm" w:eastAsia="SimSun" w:hAnsi="MetaPro-Norm" w:cs="Times New Roman"/>
          <w:sz w:val="24"/>
          <w:szCs w:val="24"/>
          <w:lang w:val="en-US" w:eastAsia="zh-CN"/>
        </w:rPr>
        <w:t>two sides’ checkpoints)</w:t>
      </w:r>
      <w:r w:rsidR="0064253F" w:rsidRPr="00AE32DF">
        <w:rPr>
          <w:rFonts w:ascii="MetaPro-Norm" w:eastAsia="SimSun" w:hAnsi="MetaPro-Norm" w:cs="Times New Roman"/>
          <w:sz w:val="24"/>
          <w:szCs w:val="24"/>
          <w:lang w:val="en-US" w:eastAsia="zh-CN"/>
        </w:rPr>
        <w:t xml:space="preserve"> and crossing points did not have enough well-maintained toilets, shelters from inclement weather, and potable water stations</w:t>
      </w:r>
      <w:r w:rsidR="007322EE" w:rsidRPr="00AE32DF">
        <w:rPr>
          <w:rFonts w:ascii="MetaPro-Norm" w:eastAsia="SimSun" w:hAnsi="MetaPro-Norm" w:cs="Times New Roman"/>
          <w:sz w:val="24"/>
          <w:szCs w:val="24"/>
          <w:lang w:val="en-US" w:eastAsia="zh-CN"/>
        </w:rPr>
        <w:t xml:space="preserve">. In addition, civilians waiting in line have faced risks to their lives as they </w:t>
      </w:r>
      <w:r w:rsidR="005F759F" w:rsidRPr="00AE32DF">
        <w:rPr>
          <w:rFonts w:ascii="MetaPro-Norm" w:eastAsia="SimSun" w:hAnsi="MetaPro-Norm" w:cs="Times New Roman"/>
          <w:sz w:val="24"/>
          <w:szCs w:val="24"/>
          <w:lang w:val="en-US" w:eastAsia="zh-CN"/>
        </w:rPr>
        <w:t>were potentially</w:t>
      </w:r>
      <w:r w:rsidR="007322EE" w:rsidRPr="00AE32DF">
        <w:rPr>
          <w:rFonts w:ascii="MetaPro-Norm" w:eastAsia="SimSun" w:hAnsi="MetaPro-Norm" w:cs="Times New Roman"/>
          <w:sz w:val="24"/>
          <w:szCs w:val="24"/>
          <w:lang w:val="en-US" w:eastAsia="zh-CN"/>
        </w:rPr>
        <w:t xml:space="preserve"> exposed to shooting and shelling from fighting near the contact line and landmines in open fields near crossing points in the grey zone.</w:t>
      </w:r>
      <w:r w:rsidR="0064253F" w:rsidRPr="00AE32DF">
        <w:rPr>
          <w:rStyle w:val="FootnoteReference"/>
          <w:rFonts w:ascii="MetaPro-Norm" w:eastAsia="SimSun" w:hAnsi="MetaPro-Norm" w:cs="Times New Roman"/>
          <w:sz w:val="24"/>
          <w:szCs w:val="24"/>
          <w:lang w:val="en-US" w:eastAsia="zh-CN"/>
        </w:rPr>
        <w:footnoteReference w:id="5"/>
      </w:r>
    </w:p>
    <w:p w14:paraId="51C06CAC" w14:textId="77777777" w:rsidR="00E87C87" w:rsidRPr="00AE32DF" w:rsidRDefault="00E87C87" w:rsidP="00373AE1">
      <w:pPr>
        <w:rPr>
          <w:rFonts w:ascii="MetaPro-Norm" w:eastAsia="SimSun" w:hAnsi="MetaPro-Norm" w:cs="Times New Roman"/>
          <w:sz w:val="24"/>
          <w:szCs w:val="24"/>
          <w:lang w:val="en-US" w:eastAsia="zh-CN"/>
        </w:rPr>
      </w:pPr>
    </w:p>
    <w:p w14:paraId="67BE5180" w14:textId="1BCC94E5" w:rsidR="007322EE" w:rsidRPr="00AE32DF" w:rsidRDefault="007322EE" w:rsidP="00373AE1">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Since then, the basic infrastructure has improved on the Ukrainian side through the support of international aid organizations and Ukraine’s international partners, such as the European Union, Canada, the United States, and others. However, the responsibility to maintain these facilities lies with the local administrations of the government-controlled Luhansk and Donetsk regions</w:t>
      </w:r>
      <w:r w:rsidR="00373AE1" w:rsidRPr="00AE32DF">
        <w:rPr>
          <w:rFonts w:ascii="MetaPro-Norm" w:eastAsia="SimSun" w:hAnsi="MetaPro-Norm" w:cs="Times New Roman"/>
          <w:sz w:val="24"/>
          <w:szCs w:val="24"/>
          <w:lang w:val="en-US" w:eastAsia="zh-CN"/>
        </w:rPr>
        <w:t>.</w:t>
      </w:r>
      <w:r w:rsidRPr="00AE32DF">
        <w:rPr>
          <w:rFonts w:ascii="MetaPro-Norm" w:eastAsia="SimSun" w:hAnsi="MetaPro-Norm" w:cs="Times New Roman"/>
          <w:sz w:val="24"/>
          <w:szCs w:val="24"/>
          <w:lang w:val="en-US" w:eastAsia="zh-CN"/>
        </w:rPr>
        <w:t xml:space="preserve"> There is an almost total absence of such infrastructure at the </w:t>
      </w:r>
      <w:r w:rsidR="001829D7" w:rsidRPr="00AE32DF">
        <w:rPr>
          <w:rFonts w:ascii="MetaPro-Norm" w:eastAsia="SimSun" w:hAnsi="MetaPro-Norm" w:cs="Times New Roman"/>
          <w:sz w:val="24"/>
          <w:szCs w:val="24"/>
          <w:lang w:val="en-US" w:eastAsia="zh-CN"/>
        </w:rPr>
        <w:t>“</w:t>
      </w:r>
      <w:r w:rsidRPr="00AE32DF">
        <w:rPr>
          <w:rFonts w:ascii="MetaPro-Norm" w:eastAsia="SimSun" w:hAnsi="MetaPro-Norm" w:cs="Times New Roman"/>
          <w:sz w:val="24"/>
          <w:szCs w:val="24"/>
          <w:lang w:val="en-US" w:eastAsia="zh-CN"/>
        </w:rPr>
        <w:t>separatists’</w:t>
      </w:r>
      <w:r w:rsidR="001829D7" w:rsidRPr="00AE32DF">
        <w:rPr>
          <w:rFonts w:ascii="MetaPro-Norm" w:eastAsia="SimSun" w:hAnsi="MetaPro-Norm" w:cs="Times New Roman"/>
          <w:sz w:val="24"/>
          <w:szCs w:val="24"/>
          <w:lang w:val="en-US" w:eastAsia="zh-CN"/>
        </w:rPr>
        <w:t>”</w:t>
      </w:r>
      <w:r w:rsidRPr="00AE32DF">
        <w:rPr>
          <w:rFonts w:ascii="MetaPro-Norm" w:eastAsia="SimSun" w:hAnsi="MetaPro-Norm" w:cs="Times New Roman"/>
          <w:sz w:val="24"/>
          <w:szCs w:val="24"/>
          <w:lang w:val="en-US" w:eastAsia="zh-CN"/>
        </w:rPr>
        <w:t xml:space="preserve"> checkpoints, which causes serious difficulties for civilians with </w:t>
      </w:r>
      <w:r w:rsidR="00B1675B" w:rsidRPr="00AE32DF">
        <w:rPr>
          <w:rFonts w:ascii="MetaPro-Norm" w:eastAsia="SimSun" w:hAnsi="MetaPro-Norm" w:cs="Times New Roman"/>
          <w:sz w:val="24"/>
          <w:szCs w:val="24"/>
          <w:lang w:val="en-US" w:eastAsia="zh-CN"/>
        </w:rPr>
        <w:t xml:space="preserve">certain </w:t>
      </w:r>
      <w:r w:rsidRPr="00AE32DF">
        <w:rPr>
          <w:rFonts w:ascii="MetaPro-Norm" w:eastAsia="SimSun" w:hAnsi="MetaPro-Norm" w:cs="Times New Roman"/>
          <w:sz w:val="24"/>
          <w:szCs w:val="24"/>
          <w:lang w:val="en-US" w:eastAsia="zh-CN"/>
        </w:rPr>
        <w:t xml:space="preserve">health conditions </w:t>
      </w:r>
      <w:r w:rsidR="00B1675B" w:rsidRPr="00AE32DF">
        <w:rPr>
          <w:rFonts w:ascii="MetaPro-Norm" w:eastAsia="SimSun" w:hAnsi="MetaPro-Norm" w:cs="Times New Roman"/>
          <w:sz w:val="24"/>
          <w:szCs w:val="24"/>
          <w:lang w:val="en-US" w:eastAsia="zh-CN"/>
        </w:rPr>
        <w:t xml:space="preserve">or </w:t>
      </w:r>
      <w:r w:rsidRPr="00AE32DF">
        <w:rPr>
          <w:rFonts w:ascii="MetaPro-Norm" w:eastAsia="SimSun" w:hAnsi="MetaPro-Norm" w:cs="Times New Roman"/>
          <w:sz w:val="24"/>
          <w:szCs w:val="24"/>
          <w:lang w:val="en-US" w:eastAsia="zh-CN"/>
        </w:rPr>
        <w:t>limited mobility and those with young children.</w:t>
      </w:r>
    </w:p>
    <w:p w14:paraId="235CE8C3" w14:textId="77777777" w:rsidR="00373AE1" w:rsidRPr="00AE32DF" w:rsidRDefault="00373AE1" w:rsidP="00373AE1">
      <w:pPr>
        <w:rPr>
          <w:rFonts w:ascii="MetaPro-Norm" w:eastAsia="SimSun" w:hAnsi="MetaPro-Norm" w:cs="Times New Roman"/>
          <w:sz w:val="24"/>
          <w:szCs w:val="24"/>
          <w:lang w:val="en-US" w:eastAsia="zh-CN"/>
        </w:rPr>
      </w:pPr>
    </w:p>
    <w:p w14:paraId="0B49878D" w14:textId="46879AB1" w:rsidR="007322EE"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Human Rights Watch is particularly concerned about conditions at border crossings that place disproportionate hardships on </w:t>
      </w:r>
      <w:r w:rsidR="007420E5" w:rsidRPr="00AE32DF">
        <w:rPr>
          <w:rFonts w:ascii="MetaPro-Norm" w:eastAsia="SimSun" w:hAnsi="MetaPro-Norm" w:cs="Times New Roman"/>
          <w:sz w:val="24"/>
          <w:szCs w:val="24"/>
          <w:lang w:val="en-US" w:eastAsia="zh-CN"/>
        </w:rPr>
        <w:t xml:space="preserve">older people, people with disabilities, </w:t>
      </w:r>
      <w:r w:rsidR="00E50346" w:rsidRPr="00AE32DF">
        <w:rPr>
          <w:rFonts w:ascii="MetaPro-Norm" w:eastAsia="SimSun" w:hAnsi="MetaPro-Norm" w:cs="Times New Roman"/>
          <w:sz w:val="24"/>
          <w:szCs w:val="24"/>
          <w:lang w:val="en-US" w:eastAsia="zh-CN"/>
        </w:rPr>
        <w:t>pregnant women</w:t>
      </w:r>
      <w:r w:rsidR="00B1675B" w:rsidRPr="00AE32DF">
        <w:rPr>
          <w:rFonts w:ascii="MetaPro-Norm" w:eastAsia="SimSun" w:hAnsi="MetaPro-Norm" w:cs="Times New Roman"/>
          <w:sz w:val="24"/>
          <w:szCs w:val="24"/>
          <w:lang w:val="en-US" w:eastAsia="zh-CN"/>
        </w:rPr>
        <w:t>,</w:t>
      </w:r>
      <w:r w:rsidR="00E50346" w:rsidRPr="00AE32DF">
        <w:rPr>
          <w:rFonts w:ascii="MetaPro-Norm" w:eastAsia="SimSun" w:hAnsi="MetaPro-Norm" w:cs="Times New Roman"/>
          <w:sz w:val="24"/>
          <w:szCs w:val="24"/>
          <w:lang w:val="en-US" w:eastAsia="zh-CN"/>
        </w:rPr>
        <w:t xml:space="preserve"> and new mothers</w:t>
      </w:r>
      <w:r w:rsidRPr="00AE32DF">
        <w:rPr>
          <w:rFonts w:ascii="MetaPro-Norm" w:eastAsia="SimSun" w:hAnsi="MetaPro-Norm" w:cs="Times New Roman"/>
          <w:sz w:val="24"/>
          <w:szCs w:val="24"/>
          <w:lang w:val="en-US" w:eastAsia="zh-CN"/>
        </w:rPr>
        <w:t xml:space="preserve">. During </w:t>
      </w:r>
      <w:r w:rsidR="00AE32DF" w:rsidRPr="00AE32DF">
        <w:rPr>
          <w:rFonts w:ascii="MetaPro-Norm" w:eastAsia="SimSun" w:hAnsi="MetaPro-Norm" w:cs="Times New Roman"/>
          <w:sz w:val="24"/>
          <w:szCs w:val="24"/>
          <w:lang w:val="en-US" w:eastAsia="zh-CN"/>
        </w:rPr>
        <w:t xml:space="preserve">two </w:t>
      </w:r>
      <w:r w:rsidRPr="00AE32DF">
        <w:rPr>
          <w:rFonts w:ascii="MetaPro-Norm" w:eastAsia="SimSun" w:hAnsi="MetaPro-Norm" w:cs="Times New Roman"/>
          <w:sz w:val="24"/>
          <w:szCs w:val="24"/>
          <w:lang w:val="en-US" w:eastAsia="zh-CN"/>
        </w:rPr>
        <w:t xml:space="preserve">research missions </w:t>
      </w:r>
      <w:r w:rsidR="00803F9D" w:rsidRPr="00AE32DF">
        <w:rPr>
          <w:rFonts w:ascii="MetaPro-Norm" w:eastAsia="SimSun" w:hAnsi="MetaPro-Norm" w:cs="Times New Roman"/>
          <w:sz w:val="24"/>
          <w:szCs w:val="24"/>
          <w:lang w:val="en-US" w:eastAsia="zh-CN"/>
        </w:rPr>
        <w:t xml:space="preserve">in 2018 </w:t>
      </w:r>
      <w:r w:rsidRPr="00AE32DF">
        <w:rPr>
          <w:rFonts w:ascii="MetaPro-Norm" w:eastAsia="SimSun" w:hAnsi="MetaPro-Norm" w:cs="Times New Roman"/>
          <w:sz w:val="24"/>
          <w:szCs w:val="24"/>
          <w:lang w:val="en-US" w:eastAsia="zh-CN"/>
        </w:rPr>
        <w:t xml:space="preserve">and </w:t>
      </w:r>
      <w:r w:rsidR="00AE32DF" w:rsidRPr="00AE32DF">
        <w:rPr>
          <w:rFonts w:ascii="MetaPro-Norm" w:eastAsia="SimSun" w:hAnsi="MetaPro-Norm" w:cs="Times New Roman"/>
          <w:sz w:val="24"/>
          <w:szCs w:val="24"/>
          <w:lang w:val="en-US" w:eastAsia="zh-CN"/>
        </w:rPr>
        <w:t xml:space="preserve">one </w:t>
      </w:r>
      <w:r w:rsidRPr="00AE32DF">
        <w:rPr>
          <w:rFonts w:ascii="MetaPro-Norm" w:eastAsia="SimSun" w:hAnsi="MetaPro-Norm" w:cs="Times New Roman"/>
          <w:sz w:val="24"/>
          <w:szCs w:val="24"/>
          <w:lang w:val="en-US" w:eastAsia="zh-CN"/>
        </w:rPr>
        <w:t xml:space="preserve">in </w:t>
      </w:r>
      <w:r w:rsidR="007306E9" w:rsidRPr="00AE32DF">
        <w:rPr>
          <w:rFonts w:ascii="MetaPro-Norm" w:eastAsia="SimSun" w:hAnsi="MetaPro-Norm" w:cs="Times New Roman"/>
          <w:sz w:val="24"/>
          <w:szCs w:val="24"/>
          <w:lang w:val="en-US" w:eastAsia="zh-CN"/>
        </w:rPr>
        <w:t xml:space="preserve">May </w:t>
      </w:r>
      <w:r w:rsidRPr="00AE32DF">
        <w:rPr>
          <w:rFonts w:ascii="MetaPro-Norm" w:eastAsia="SimSun" w:hAnsi="MetaPro-Norm" w:cs="Times New Roman"/>
          <w:sz w:val="24"/>
          <w:szCs w:val="24"/>
          <w:lang w:val="en-US" w:eastAsia="zh-CN"/>
        </w:rPr>
        <w:t>201</w:t>
      </w:r>
      <w:r w:rsidR="009C7843" w:rsidRPr="00AE32DF">
        <w:rPr>
          <w:rFonts w:ascii="MetaPro-Norm" w:eastAsia="SimSun" w:hAnsi="MetaPro-Norm" w:cs="Times New Roman"/>
          <w:sz w:val="24"/>
          <w:szCs w:val="24"/>
          <w:lang w:val="en-US" w:eastAsia="zh-CN"/>
        </w:rPr>
        <w:t>9</w:t>
      </w:r>
      <w:r w:rsidRPr="00AE32DF">
        <w:rPr>
          <w:rFonts w:ascii="MetaPro-Norm" w:eastAsia="SimSun" w:hAnsi="MetaPro-Norm" w:cs="Times New Roman"/>
          <w:sz w:val="24"/>
          <w:szCs w:val="24"/>
          <w:lang w:val="en-US" w:eastAsia="zh-CN"/>
        </w:rPr>
        <w:t xml:space="preserve">, Human Rights Watch learned that while priority crossing and assistance is available for older people, people with disabilities, women in advanced stages of pregnancy, and nursing women with infants, there </w:t>
      </w:r>
      <w:r w:rsidR="00803F9D" w:rsidRPr="00AE32DF">
        <w:rPr>
          <w:rFonts w:ascii="MetaPro-Norm" w:eastAsia="SimSun" w:hAnsi="MetaPro-Norm" w:cs="Times New Roman"/>
          <w:sz w:val="24"/>
          <w:szCs w:val="24"/>
          <w:lang w:val="en-US" w:eastAsia="zh-CN"/>
        </w:rPr>
        <w:t xml:space="preserve">was </w:t>
      </w:r>
      <w:r w:rsidRPr="00AE32DF">
        <w:rPr>
          <w:rFonts w:ascii="MetaPro-Norm" w:eastAsia="SimSun" w:hAnsi="MetaPro-Norm" w:cs="Times New Roman"/>
          <w:sz w:val="24"/>
          <w:szCs w:val="24"/>
          <w:lang w:val="en-US" w:eastAsia="zh-CN"/>
        </w:rPr>
        <w:t>a serious lack of information about this</w:t>
      </w:r>
      <w:r w:rsidR="00B1675B" w:rsidRPr="00AE32DF">
        <w:rPr>
          <w:rFonts w:ascii="MetaPro-Norm" w:eastAsia="SimSun" w:hAnsi="MetaPro-Norm" w:cs="Times New Roman"/>
          <w:sz w:val="24"/>
          <w:szCs w:val="24"/>
          <w:lang w:val="en-US" w:eastAsia="zh-CN"/>
        </w:rPr>
        <w:t>,</w:t>
      </w:r>
      <w:r w:rsidRPr="00AE32DF">
        <w:rPr>
          <w:rFonts w:ascii="MetaPro-Norm" w:eastAsia="SimSun" w:hAnsi="MetaPro-Norm" w:cs="Times New Roman"/>
          <w:sz w:val="24"/>
          <w:szCs w:val="24"/>
          <w:lang w:val="en-US" w:eastAsia="zh-CN"/>
        </w:rPr>
        <w:t xml:space="preserve"> and border guards fail</w:t>
      </w:r>
      <w:r w:rsidR="00803F9D" w:rsidRPr="00AE32DF">
        <w:rPr>
          <w:rFonts w:ascii="MetaPro-Norm" w:eastAsia="SimSun" w:hAnsi="MetaPro-Norm" w:cs="Times New Roman"/>
          <w:sz w:val="24"/>
          <w:szCs w:val="24"/>
          <w:lang w:val="en-US" w:eastAsia="zh-CN"/>
        </w:rPr>
        <w:t>ed</w:t>
      </w:r>
      <w:r w:rsidRPr="00AE32DF">
        <w:rPr>
          <w:rFonts w:ascii="MetaPro-Norm" w:eastAsia="SimSun" w:hAnsi="MetaPro-Norm" w:cs="Times New Roman"/>
          <w:sz w:val="24"/>
          <w:szCs w:val="24"/>
          <w:lang w:val="en-US" w:eastAsia="zh-CN"/>
        </w:rPr>
        <w:t xml:space="preserve"> to identify and ensure those eligible for priority crossing and assistance are provided with it.</w:t>
      </w:r>
      <w:r w:rsidR="00373AE1" w:rsidRPr="00AE32DF">
        <w:rPr>
          <w:rStyle w:val="FootnoteReference"/>
          <w:rFonts w:ascii="MetaPro-Norm" w:eastAsia="SimSun" w:hAnsi="MetaPro-Norm" w:cs="Times New Roman"/>
          <w:sz w:val="24"/>
          <w:szCs w:val="24"/>
          <w:lang w:val="en-US" w:eastAsia="zh-CN"/>
        </w:rPr>
        <w:footnoteReference w:id="6"/>
      </w:r>
      <w:r w:rsidRPr="00AE32DF">
        <w:rPr>
          <w:rFonts w:ascii="MetaPro-Norm" w:eastAsia="SimSun" w:hAnsi="MetaPro-Norm" w:cs="Times New Roman"/>
          <w:sz w:val="24"/>
          <w:szCs w:val="24"/>
          <w:lang w:val="en-US" w:eastAsia="zh-CN"/>
        </w:rPr>
        <w:t xml:space="preserve"> </w:t>
      </w:r>
    </w:p>
    <w:p w14:paraId="1EE1DCDA" w14:textId="77777777" w:rsidR="007322EE" w:rsidRPr="00AE32DF" w:rsidRDefault="007322EE" w:rsidP="007322EE">
      <w:pPr>
        <w:rPr>
          <w:rFonts w:ascii="MetaPro-Norm" w:eastAsia="SimSun" w:hAnsi="MetaPro-Norm" w:cs="Times New Roman"/>
          <w:sz w:val="24"/>
          <w:szCs w:val="24"/>
          <w:lang w:val="en-US" w:eastAsia="zh-CN"/>
        </w:rPr>
      </w:pPr>
    </w:p>
    <w:p w14:paraId="59E26C9D" w14:textId="317F9B22" w:rsidR="007322EE"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lastRenderedPageBreak/>
        <w:t xml:space="preserve">Because of regulations on payments of pensions for people from separatist-controlled regions as described in the section above, older people constitute over half of all people making frequent crossings across the line of contact. </w:t>
      </w:r>
    </w:p>
    <w:p w14:paraId="5E6D9F92" w14:textId="77777777" w:rsidR="007322EE" w:rsidRPr="00AE32DF" w:rsidRDefault="007322EE" w:rsidP="007322EE">
      <w:pPr>
        <w:rPr>
          <w:rFonts w:ascii="MetaPro-Norm" w:eastAsia="SimSun" w:hAnsi="MetaPro-Norm" w:cs="Times New Roman"/>
          <w:sz w:val="24"/>
          <w:szCs w:val="24"/>
          <w:lang w:val="en-US" w:eastAsia="zh-CN"/>
        </w:rPr>
      </w:pPr>
    </w:p>
    <w:p w14:paraId="2E8F8A64" w14:textId="076F3D73" w:rsidR="007322EE"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Older people with disabilities with whom Human Rights Watch spoke </w:t>
      </w:r>
      <w:r w:rsidR="00803F9D" w:rsidRPr="00AE32DF">
        <w:rPr>
          <w:rFonts w:ascii="MetaPro-Norm" w:eastAsia="SimSun" w:hAnsi="MetaPro-Norm" w:cs="Times New Roman"/>
          <w:sz w:val="24"/>
          <w:szCs w:val="24"/>
          <w:lang w:val="en-US" w:eastAsia="zh-CN"/>
        </w:rPr>
        <w:t xml:space="preserve">in 2018 </w:t>
      </w:r>
      <w:r w:rsidRPr="00AE32DF">
        <w:rPr>
          <w:rFonts w:ascii="MetaPro-Norm" w:eastAsia="SimSun" w:hAnsi="MetaPro-Norm" w:cs="Times New Roman"/>
          <w:sz w:val="24"/>
          <w:szCs w:val="24"/>
          <w:lang w:val="en-US" w:eastAsia="zh-CN"/>
        </w:rPr>
        <w:t xml:space="preserve">said that Ukrainian border guards often did not grant them priority crossing without a hard copy of a certificate confirming their disability. In fact, many older people from </w:t>
      </w:r>
      <w:r w:rsidR="00803F9D" w:rsidRPr="00AE32DF">
        <w:rPr>
          <w:rFonts w:ascii="MetaPro-Norm" w:eastAsia="SimSun" w:hAnsi="MetaPro-Norm" w:cs="Times New Roman"/>
          <w:sz w:val="24"/>
          <w:szCs w:val="24"/>
          <w:lang w:val="en-US" w:eastAsia="zh-CN"/>
        </w:rPr>
        <w:t>“</w:t>
      </w:r>
      <w:r w:rsidRPr="00AE32DF">
        <w:rPr>
          <w:rFonts w:ascii="MetaPro-Norm" w:eastAsia="SimSun" w:hAnsi="MetaPro-Norm" w:cs="Times New Roman"/>
          <w:sz w:val="24"/>
          <w:szCs w:val="24"/>
          <w:lang w:val="en-US" w:eastAsia="zh-CN"/>
        </w:rPr>
        <w:t>separatist</w:t>
      </w:r>
      <w:r w:rsidR="00803F9D" w:rsidRPr="00AE32DF">
        <w:rPr>
          <w:rFonts w:ascii="MetaPro-Norm" w:eastAsia="SimSun" w:hAnsi="MetaPro-Norm" w:cs="Times New Roman"/>
          <w:sz w:val="24"/>
          <w:szCs w:val="24"/>
          <w:lang w:val="en-US" w:eastAsia="zh-CN"/>
        </w:rPr>
        <w:t>”</w:t>
      </w:r>
      <w:r w:rsidRPr="00AE32DF">
        <w:rPr>
          <w:rFonts w:ascii="MetaPro-Norm" w:eastAsia="SimSun" w:hAnsi="MetaPro-Norm" w:cs="Times New Roman"/>
          <w:sz w:val="24"/>
          <w:szCs w:val="24"/>
          <w:lang w:val="en-US" w:eastAsia="zh-CN"/>
        </w:rPr>
        <w:t>-controlled areas of eastern Ukraine do not bother registering their disability status, as the procedure is time-intensive and overly bureaucratic. Additionally, staff at local and international aid groups told Human Rights Watch that Ukrainian border guards often say that priority crossing is not a part of legal provisions regulating the movement of people along the line of contact, and therefore they do not have to enforce it.</w:t>
      </w:r>
      <w:r w:rsidR="00BD2864" w:rsidRPr="00AE32DF">
        <w:rPr>
          <w:rStyle w:val="FootnoteReference"/>
          <w:rFonts w:ascii="MetaPro-Norm" w:eastAsia="SimSun" w:hAnsi="MetaPro-Norm" w:cs="Times New Roman"/>
          <w:sz w:val="24"/>
          <w:szCs w:val="24"/>
          <w:lang w:val="en-US" w:eastAsia="zh-CN"/>
        </w:rPr>
        <w:footnoteReference w:id="7"/>
      </w:r>
      <w:r w:rsidR="00BD2864" w:rsidRPr="00AE32DF">
        <w:rPr>
          <w:rFonts w:ascii="MetaPro-Norm" w:eastAsia="SimSun" w:hAnsi="MetaPro-Norm" w:cs="Times New Roman"/>
          <w:sz w:val="24"/>
          <w:szCs w:val="24"/>
          <w:lang w:val="en-US" w:eastAsia="zh-CN"/>
        </w:rPr>
        <w:t xml:space="preserve"> </w:t>
      </w:r>
      <w:r w:rsidRPr="00AE32DF">
        <w:rPr>
          <w:rFonts w:ascii="MetaPro-Norm" w:eastAsia="SimSun" w:hAnsi="MetaPro-Norm" w:cs="Times New Roman"/>
          <w:sz w:val="24"/>
          <w:szCs w:val="24"/>
          <w:lang w:val="en-US" w:eastAsia="zh-CN"/>
        </w:rPr>
        <w:t>However, during a meeting with Human Rights Watch in Kyiv in February 2017, several State Border Guard Service officials recognized the importance of priority lines for vulnerable categories of people and assured us that they would reinforce efforts to ensure that eligible individuals knew about their right to use them and had access to them.</w:t>
      </w:r>
      <w:r w:rsidR="00AE32DF" w:rsidRPr="00AE32DF">
        <w:rPr>
          <w:rStyle w:val="FootnoteReference"/>
          <w:rFonts w:ascii="MetaPro-Norm" w:eastAsia="SimSun" w:hAnsi="MetaPro-Norm" w:cs="Times New Roman"/>
          <w:sz w:val="24"/>
          <w:szCs w:val="24"/>
          <w:lang w:val="en-US" w:eastAsia="zh-CN"/>
        </w:rPr>
        <w:footnoteReference w:id="8"/>
      </w:r>
      <w:r w:rsidR="00BD2864" w:rsidRPr="00AE32DF">
        <w:rPr>
          <w:rStyle w:val="FootnoteReference"/>
          <w:rFonts w:ascii="MetaPro-Norm" w:eastAsia="SimSun" w:hAnsi="MetaPro-Norm" w:cs="Times New Roman"/>
          <w:sz w:val="24"/>
          <w:szCs w:val="24"/>
          <w:lang w:val="en-US" w:eastAsia="zh-CN"/>
        </w:rPr>
        <w:t xml:space="preserve"> </w:t>
      </w:r>
    </w:p>
    <w:p w14:paraId="53BCFCD0" w14:textId="77777777" w:rsidR="007322EE" w:rsidRPr="00AE32DF" w:rsidRDefault="007322EE" w:rsidP="007322EE">
      <w:pPr>
        <w:rPr>
          <w:rFonts w:ascii="MetaPro-Norm" w:eastAsia="SimSun" w:hAnsi="MetaPro-Norm" w:cs="Times New Roman"/>
          <w:sz w:val="24"/>
          <w:szCs w:val="24"/>
          <w:lang w:val="en-US" w:eastAsia="zh-CN"/>
        </w:rPr>
      </w:pPr>
    </w:p>
    <w:p w14:paraId="5AB133A7" w14:textId="74E429D1" w:rsidR="00267822" w:rsidRPr="00AE32DF" w:rsidRDefault="007306E9" w:rsidP="00267822">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During research missions in 2018 and May 2019, </w:t>
      </w:r>
      <w:r w:rsidR="007322EE" w:rsidRPr="00AE32DF">
        <w:rPr>
          <w:rFonts w:ascii="MetaPro-Norm" w:eastAsia="SimSun" w:hAnsi="MetaPro-Norm" w:cs="Times New Roman"/>
          <w:sz w:val="24"/>
          <w:szCs w:val="24"/>
          <w:lang w:val="en-US" w:eastAsia="zh-CN"/>
        </w:rPr>
        <w:t xml:space="preserve">Human Rights Watch found accessibility to be especially difficult for older people, particularly those with </w:t>
      </w:r>
      <w:r w:rsidR="000821E7" w:rsidRPr="00AE32DF">
        <w:rPr>
          <w:rFonts w:ascii="MetaPro-Norm" w:eastAsia="SimSun" w:hAnsi="MetaPro-Norm" w:cs="Times New Roman"/>
          <w:sz w:val="24"/>
          <w:szCs w:val="24"/>
          <w:lang w:val="en-US" w:eastAsia="zh-CN"/>
        </w:rPr>
        <w:t xml:space="preserve">limited mobility </w:t>
      </w:r>
      <w:r w:rsidR="00B1675B" w:rsidRPr="00AE32DF">
        <w:rPr>
          <w:rFonts w:ascii="MetaPro-Norm" w:eastAsia="SimSun" w:hAnsi="MetaPro-Norm" w:cs="Times New Roman"/>
          <w:sz w:val="24"/>
          <w:szCs w:val="24"/>
          <w:lang w:val="en-US" w:eastAsia="zh-CN"/>
        </w:rPr>
        <w:t xml:space="preserve">or </w:t>
      </w:r>
      <w:r w:rsidR="000821E7" w:rsidRPr="00AE32DF">
        <w:rPr>
          <w:rFonts w:ascii="MetaPro-Norm" w:eastAsia="SimSun" w:hAnsi="MetaPro-Norm" w:cs="Times New Roman"/>
          <w:sz w:val="24"/>
          <w:szCs w:val="24"/>
          <w:lang w:val="en-US" w:eastAsia="zh-CN"/>
        </w:rPr>
        <w:t xml:space="preserve">health </w:t>
      </w:r>
      <w:r w:rsidR="00B1675B" w:rsidRPr="00AE32DF">
        <w:rPr>
          <w:rFonts w:ascii="MetaPro-Norm" w:eastAsia="SimSun" w:hAnsi="MetaPro-Norm" w:cs="Times New Roman"/>
          <w:sz w:val="24"/>
          <w:szCs w:val="24"/>
          <w:lang w:val="en-US" w:eastAsia="zh-CN"/>
        </w:rPr>
        <w:t>conditions</w:t>
      </w:r>
      <w:r w:rsidR="007322EE" w:rsidRPr="00AE32DF">
        <w:rPr>
          <w:rFonts w:ascii="MetaPro-Norm" w:eastAsia="SimSun" w:hAnsi="MetaPro-Norm" w:cs="Times New Roman"/>
          <w:sz w:val="24"/>
          <w:szCs w:val="24"/>
          <w:lang w:val="en-US" w:eastAsia="zh-CN"/>
        </w:rPr>
        <w:t xml:space="preserve">, at the </w:t>
      </w:r>
      <w:proofErr w:type="spellStart"/>
      <w:r w:rsidR="007322EE" w:rsidRPr="00AE32DF">
        <w:rPr>
          <w:rFonts w:ascii="MetaPro-Norm" w:eastAsia="SimSun" w:hAnsi="MetaPro-Norm" w:cs="Times New Roman"/>
          <w:sz w:val="24"/>
          <w:szCs w:val="24"/>
          <w:lang w:val="en-US" w:eastAsia="zh-CN"/>
        </w:rPr>
        <w:t>Stanytsia</w:t>
      </w:r>
      <w:proofErr w:type="spellEnd"/>
      <w:r w:rsidR="007322EE" w:rsidRPr="00AE32DF">
        <w:rPr>
          <w:rFonts w:ascii="MetaPro-Norm" w:eastAsia="SimSun" w:hAnsi="MetaPro-Norm" w:cs="Times New Roman"/>
          <w:sz w:val="24"/>
          <w:szCs w:val="24"/>
          <w:lang w:val="en-US" w:eastAsia="zh-CN"/>
        </w:rPr>
        <w:t xml:space="preserve"> </w:t>
      </w:r>
      <w:proofErr w:type="spellStart"/>
      <w:r w:rsidR="007322EE" w:rsidRPr="00AE32DF">
        <w:rPr>
          <w:rFonts w:ascii="MetaPro-Norm" w:eastAsia="SimSun" w:hAnsi="MetaPro-Norm" w:cs="Times New Roman"/>
          <w:sz w:val="24"/>
          <w:szCs w:val="24"/>
          <w:lang w:val="en-US" w:eastAsia="zh-CN"/>
        </w:rPr>
        <w:t>Luhanska</w:t>
      </w:r>
      <w:proofErr w:type="spellEnd"/>
      <w:r w:rsidR="007322EE" w:rsidRPr="00AE32DF">
        <w:rPr>
          <w:rFonts w:ascii="MetaPro-Norm" w:eastAsia="SimSun" w:hAnsi="MetaPro-Norm" w:cs="Times New Roman"/>
          <w:sz w:val="24"/>
          <w:szCs w:val="24"/>
          <w:lang w:val="en-US" w:eastAsia="zh-CN"/>
        </w:rPr>
        <w:t xml:space="preserve"> crossing point, which is the only operational crossing point in Luhansk region. It is the sole crossing point in eastern Ukraine that is pedestrian only: all others can be crossed by motor vehicle. Civilians crossing at this point must walk 1.5 kilometers to a bridge </w:t>
      </w:r>
      <w:r w:rsidR="00267822" w:rsidRPr="00AE32DF">
        <w:rPr>
          <w:rFonts w:ascii="MetaPro-Norm" w:eastAsia="SimSun" w:hAnsi="MetaPro-Norm" w:cs="Times New Roman"/>
          <w:sz w:val="24"/>
          <w:szCs w:val="24"/>
          <w:lang w:val="en-US" w:eastAsia="zh-CN"/>
        </w:rPr>
        <w:t xml:space="preserve">which had until recently </w:t>
      </w:r>
      <w:r w:rsidR="00F60065" w:rsidRPr="00AE32DF">
        <w:rPr>
          <w:rFonts w:ascii="MetaPro-Norm" w:eastAsia="SimSun" w:hAnsi="MetaPro-Norm" w:cs="Times New Roman"/>
          <w:sz w:val="24"/>
          <w:szCs w:val="24"/>
          <w:lang w:val="en-US" w:eastAsia="zh-CN"/>
        </w:rPr>
        <w:t>needed</w:t>
      </w:r>
      <w:r w:rsidR="00267822" w:rsidRPr="00AE32DF">
        <w:rPr>
          <w:rFonts w:ascii="MetaPro-Norm" w:eastAsia="SimSun" w:hAnsi="MetaPro-Norm" w:cs="Times New Roman"/>
          <w:sz w:val="24"/>
          <w:szCs w:val="24"/>
          <w:lang w:val="en-US" w:eastAsia="zh-CN"/>
        </w:rPr>
        <w:t xml:space="preserve"> reconstruction.</w:t>
      </w:r>
      <w:r w:rsidR="00DF4B5A" w:rsidRPr="00AE32DF">
        <w:rPr>
          <w:rFonts w:ascii="MetaPro-Norm" w:eastAsia="SimSun" w:hAnsi="MetaPro-Norm" w:cs="Times New Roman"/>
          <w:sz w:val="24"/>
          <w:szCs w:val="24"/>
          <w:lang w:val="en-US" w:eastAsia="zh-CN"/>
        </w:rPr>
        <w:t xml:space="preserve"> </w:t>
      </w:r>
      <w:r w:rsidR="00DB480C" w:rsidRPr="00AE32DF">
        <w:rPr>
          <w:rFonts w:ascii="MetaPro-Norm" w:eastAsia="SimSun" w:hAnsi="MetaPro-Norm" w:cs="Times New Roman"/>
          <w:sz w:val="24"/>
          <w:szCs w:val="24"/>
          <w:lang w:val="en-US" w:eastAsia="zh-CN"/>
        </w:rPr>
        <w:t>Our</w:t>
      </w:r>
      <w:r w:rsidR="00DB480C" w:rsidRPr="00AE32DF">
        <w:rPr>
          <w:rFonts w:ascii="MetaPro-Norm" w:hAnsi="MetaPro-Norm" w:cs="Times New Roman"/>
          <w:sz w:val="24"/>
          <w:szCs w:val="24"/>
        </w:rPr>
        <w:t xml:space="preserve"> May 2019 </w:t>
      </w:r>
      <w:r w:rsidRPr="00AE32DF">
        <w:rPr>
          <w:rFonts w:ascii="MetaPro-Norm" w:hAnsi="MetaPro-Norm" w:cs="Times New Roman"/>
          <w:sz w:val="24"/>
          <w:szCs w:val="24"/>
        </w:rPr>
        <w:t xml:space="preserve">research </w:t>
      </w:r>
      <w:r w:rsidR="00DB480C" w:rsidRPr="00AE32DF">
        <w:rPr>
          <w:rFonts w:ascii="MetaPro-Norm" w:hAnsi="MetaPro-Norm" w:cs="Times New Roman"/>
          <w:sz w:val="24"/>
          <w:szCs w:val="24"/>
        </w:rPr>
        <w:t xml:space="preserve">found that although there were wheelchairs available on </w:t>
      </w:r>
      <w:r w:rsidR="00DB480C" w:rsidRPr="00AE32DF">
        <w:rPr>
          <w:rFonts w:ascii="MetaPro-Norm" w:hAnsi="MetaPro-Norm"/>
          <w:sz w:val="24"/>
          <w:szCs w:val="24"/>
        </w:rPr>
        <w:t>the government side of the crossing, there were only two State Emergency Service workers who are allowed to operate them and that they were mostly unused.</w:t>
      </w:r>
      <w:r w:rsidR="00BD2864" w:rsidRPr="00AE32DF">
        <w:rPr>
          <w:rStyle w:val="FootnoteReference"/>
          <w:rFonts w:ascii="MetaPro-Norm" w:eastAsia="SimSun" w:hAnsi="MetaPro-Norm" w:cs="Times New Roman"/>
          <w:sz w:val="24"/>
          <w:szCs w:val="24"/>
          <w:lang w:val="en-US" w:eastAsia="zh-CN"/>
        </w:rPr>
        <w:t xml:space="preserve"> </w:t>
      </w:r>
      <w:r w:rsidR="00BD2864" w:rsidRPr="00AE32DF">
        <w:rPr>
          <w:rStyle w:val="FootnoteReference"/>
          <w:rFonts w:ascii="MetaPro-Norm" w:eastAsia="SimSun" w:hAnsi="MetaPro-Norm" w:cs="Times New Roman"/>
          <w:sz w:val="24"/>
          <w:szCs w:val="24"/>
          <w:lang w:val="en-US" w:eastAsia="zh-CN"/>
        </w:rPr>
        <w:footnoteReference w:id="9"/>
      </w:r>
      <w:r w:rsidR="00BD2864" w:rsidRPr="00AE32DF">
        <w:rPr>
          <w:rFonts w:ascii="MetaPro-Norm" w:eastAsia="SimSun" w:hAnsi="MetaPro-Norm" w:cs="Times New Roman"/>
          <w:sz w:val="24"/>
          <w:szCs w:val="24"/>
          <w:lang w:val="en-US" w:eastAsia="zh-CN"/>
        </w:rPr>
        <w:t xml:space="preserve"> </w:t>
      </w:r>
      <w:r w:rsidR="00DB480C" w:rsidRPr="00AE32DF">
        <w:rPr>
          <w:rFonts w:ascii="MetaPro-Norm" w:hAnsi="MetaPro-Norm"/>
          <w:sz w:val="24"/>
          <w:szCs w:val="24"/>
        </w:rPr>
        <w:t xml:space="preserve"> In August 2019</w:t>
      </w:r>
      <w:r w:rsidR="00DF4B5A" w:rsidRPr="00AE32DF">
        <w:rPr>
          <w:rFonts w:ascii="MetaPro-Norm" w:hAnsi="MetaPro-Norm" w:cs="Times New Roman"/>
          <w:sz w:val="24"/>
          <w:szCs w:val="24"/>
        </w:rPr>
        <w:t xml:space="preserve">, an electric cart was </w:t>
      </w:r>
      <w:r w:rsidR="00755D5E" w:rsidRPr="00AE32DF">
        <w:rPr>
          <w:rFonts w:ascii="MetaPro-Norm" w:hAnsi="MetaPro-Norm" w:cs="Times New Roman"/>
          <w:sz w:val="24"/>
          <w:szCs w:val="24"/>
        </w:rPr>
        <w:t xml:space="preserve">reportedly </w:t>
      </w:r>
      <w:r w:rsidR="00DF4B5A" w:rsidRPr="00AE32DF">
        <w:rPr>
          <w:rFonts w:ascii="MetaPro-Norm" w:hAnsi="MetaPro-Norm" w:cs="Times New Roman"/>
          <w:sz w:val="24"/>
          <w:szCs w:val="24"/>
        </w:rPr>
        <w:t>introduced to drive older people and people with disabilities across the checkpoint</w:t>
      </w:r>
      <w:r w:rsidR="00755D5E" w:rsidRPr="00AE32DF">
        <w:rPr>
          <w:rFonts w:ascii="MetaPro-Norm" w:hAnsi="MetaPro-Norm" w:cs="Times New Roman"/>
          <w:sz w:val="24"/>
          <w:szCs w:val="24"/>
        </w:rPr>
        <w:t>.</w:t>
      </w:r>
      <w:r w:rsidR="006A3B28" w:rsidRPr="00AE32DF">
        <w:rPr>
          <w:rStyle w:val="FootnoteReference"/>
          <w:rFonts w:ascii="MetaPro-Norm" w:hAnsi="MetaPro-Norm" w:cs="Times New Roman"/>
          <w:sz w:val="24"/>
          <w:szCs w:val="24"/>
        </w:rPr>
        <w:footnoteReference w:id="10"/>
      </w:r>
      <w:r w:rsidR="00755D5E" w:rsidRPr="00AE32DF">
        <w:rPr>
          <w:rFonts w:ascii="MetaPro-Norm" w:hAnsi="MetaPro-Norm" w:cs="Times New Roman"/>
          <w:sz w:val="24"/>
          <w:szCs w:val="24"/>
        </w:rPr>
        <w:t xml:space="preserve"> </w:t>
      </w:r>
      <w:r w:rsidR="000D637D" w:rsidRPr="00AE32DF">
        <w:rPr>
          <w:rFonts w:ascii="MetaPro-Norm" w:eastAsia="SimSun" w:hAnsi="MetaPro-Norm" w:cs="Times New Roman"/>
          <w:sz w:val="24"/>
          <w:szCs w:val="24"/>
          <w:lang w:val="en-US" w:eastAsia="zh-CN"/>
        </w:rPr>
        <w:t>In November 2019, t</w:t>
      </w:r>
      <w:r w:rsidR="00267822" w:rsidRPr="00AE32DF">
        <w:rPr>
          <w:rFonts w:ascii="MetaPro-Norm" w:eastAsia="SimSun" w:hAnsi="MetaPro-Norm" w:cs="Times New Roman"/>
          <w:sz w:val="24"/>
          <w:szCs w:val="24"/>
          <w:lang w:val="en-US" w:eastAsia="zh-CN"/>
        </w:rPr>
        <w:t xml:space="preserve">he </w:t>
      </w:r>
      <w:r w:rsidR="00755D5E" w:rsidRPr="00AE32DF">
        <w:rPr>
          <w:rFonts w:ascii="MetaPro-Norm" w:eastAsia="SimSun" w:hAnsi="MetaPro-Norm" w:cs="Times New Roman"/>
          <w:sz w:val="24"/>
          <w:szCs w:val="24"/>
          <w:lang w:val="en-US" w:eastAsia="zh-CN"/>
        </w:rPr>
        <w:t xml:space="preserve">major repairs to the </w:t>
      </w:r>
      <w:r w:rsidR="00267822" w:rsidRPr="00AE32DF">
        <w:rPr>
          <w:rFonts w:ascii="MetaPro-Norm" w:eastAsia="SimSun" w:hAnsi="MetaPro-Norm" w:cs="Times New Roman"/>
          <w:sz w:val="24"/>
          <w:szCs w:val="24"/>
          <w:lang w:val="en-US" w:eastAsia="zh-CN"/>
        </w:rPr>
        <w:t xml:space="preserve">bridge </w:t>
      </w:r>
      <w:r w:rsidR="00755D5E" w:rsidRPr="00AE32DF">
        <w:rPr>
          <w:rFonts w:ascii="MetaPro-Norm" w:eastAsia="SimSun" w:hAnsi="MetaPro-Norm" w:cs="Times New Roman"/>
          <w:sz w:val="24"/>
          <w:szCs w:val="24"/>
          <w:lang w:val="en-US" w:eastAsia="zh-CN"/>
        </w:rPr>
        <w:t>were completed. Both are positive developments</w:t>
      </w:r>
      <w:r w:rsidR="000D637D" w:rsidRPr="00AE32DF">
        <w:rPr>
          <w:rFonts w:ascii="MetaPro-Norm" w:eastAsia="SimSun" w:hAnsi="MetaPro-Norm" w:cs="Times New Roman"/>
          <w:sz w:val="24"/>
          <w:szCs w:val="24"/>
          <w:lang w:val="en-US" w:eastAsia="zh-CN"/>
        </w:rPr>
        <w:t>.</w:t>
      </w:r>
      <w:r w:rsidR="00E06BF3" w:rsidRPr="00AE32DF">
        <w:rPr>
          <w:rStyle w:val="FootnoteReference"/>
          <w:rFonts w:ascii="MetaPro-Norm" w:eastAsia="SimSun" w:hAnsi="MetaPro-Norm" w:cs="Times New Roman"/>
          <w:sz w:val="24"/>
          <w:szCs w:val="24"/>
          <w:lang w:val="en-US" w:eastAsia="zh-CN"/>
        </w:rPr>
        <w:footnoteReference w:id="11"/>
      </w:r>
      <w:r w:rsidR="00DF4B5A" w:rsidRPr="00AE32DF">
        <w:rPr>
          <w:rFonts w:ascii="MetaPro-Norm" w:eastAsia="SimSun" w:hAnsi="MetaPro-Norm" w:cs="Times New Roman"/>
          <w:sz w:val="24"/>
          <w:szCs w:val="24"/>
          <w:lang w:val="en-US" w:eastAsia="zh-CN"/>
        </w:rPr>
        <w:t xml:space="preserve"> </w:t>
      </w:r>
      <w:r w:rsidR="00DF4B5A" w:rsidRPr="00AE32DF">
        <w:rPr>
          <w:rFonts w:ascii="MetaPro-Norm" w:hAnsi="MetaPro-Norm" w:cs="Times New Roman"/>
          <w:sz w:val="24"/>
          <w:szCs w:val="24"/>
        </w:rPr>
        <w:t xml:space="preserve"> </w:t>
      </w:r>
    </w:p>
    <w:p w14:paraId="2C079DA3" w14:textId="77777777" w:rsidR="00795FCC" w:rsidRPr="00AE32DF" w:rsidRDefault="00795FCC" w:rsidP="00016EAE">
      <w:pPr>
        <w:rPr>
          <w:rFonts w:ascii="MetaPro-Norm" w:hAnsi="MetaPro-Norm"/>
          <w:i/>
          <w:sz w:val="24"/>
          <w:szCs w:val="24"/>
        </w:rPr>
      </w:pPr>
    </w:p>
    <w:p w14:paraId="381E5388" w14:textId="60C0FE42" w:rsidR="00016EAE" w:rsidRPr="00AE32DF" w:rsidRDefault="00016EAE" w:rsidP="00016EAE">
      <w:pPr>
        <w:rPr>
          <w:rFonts w:ascii="MetaPro-Norm" w:hAnsi="MetaPro-Norm"/>
          <w:i/>
          <w:sz w:val="24"/>
          <w:szCs w:val="24"/>
        </w:rPr>
      </w:pPr>
      <w:r w:rsidRPr="00AE32DF">
        <w:rPr>
          <w:rFonts w:ascii="MetaPro-Norm" w:hAnsi="MetaPro-Norm"/>
          <w:i/>
          <w:sz w:val="24"/>
          <w:szCs w:val="24"/>
        </w:rPr>
        <w:lastRenderedPageBreak/>
        <w:t>We encourage the Committee to pose the following questions</w:t>
      </w:r>
      <w:r w:rsidRPr="00AE32DF">
        <w:rPr>
          <w:rFonts w:ascii="MetaPro-Norm" w:hAnsi="MetaPro-Norm"/>
          <w:i/>
          <w:iCs/>
          <w:color w:val="000000" w:themeColor="text1"/>
          <w:sz w:val="24"/>
          <w:szCs w:val="24"/>
        </w:rPr>
        <w:t xml:space="preserve"> to the government</w:t>
      </w:r>
      <w:r w:rsidR="001B3F74" w:rsidRPr="00AE32DF">
        <w:rPr>
          <w:rFonts w:ascii="MetaPro-Norm" w:hAnsi="MetaPro-Norm"/>
          <w:i/>
          <w:iCs/>
          <w:color w:val="000000" w:themeColor="text1"/>
          <w:sz w:val="24"/>
          <w:szCs w:val="24"/>
        </w:rPr>
        <w:t>:</w:t>
      </w:r>
    </w:p>
    <w:p w14:paraId="5636077F" w14:textId="2F4CDC2D" w:rsidR="00DE7EFE" w:rsidRPr="00AE32DF" w:rsidRDefault="00C76F20" w:rsidP="00DE7EFE">
      <w:pPr>
        <w:numPr>
          <w:ilvl w:val="0"/>
          <w:numId w:val="6"/>
        </w:num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How does</w:t>
      </w:r>
      <w:r w:rsidR="00016EAE" w:rsidRPr="00AE32DF">
        <w:rPr>
          <w:rFonts w:ascii="MetaPro-Norm" w:eastAsia="SimSun" w:hAnsi="MetaPro-Norm" w:cs="Times New Roman"/>
          <w:sz w:val="24"/>
          <w:szCs w:val="24"/>
          <w:lang w:val="en-US" w:eastAsia="zh-CN"/>
        </w:rPr>
        <w:t xml:space="preserve"> </w:t>
      </w:r>
      <w:r w:rsidR="00DE7EFE" w:rsidRPr="00AE32DF">
        <w:rPr>
          <w:rFonts w:ascii="MetaPro-Norm" w:eastAsia="SimSun" w:hAnsi="MetaPro-Norm" w:cs="Times New Roman"/>
          <w:sz w:val="24"/>
          <w:szCs w:val="24"/>
          <w:lang w:val="en-US" w:eastAsia="zh-CN"/>
        </w:rPr>
        <w:t>the government</w:t>
      </w:r>
      <w:r w:rsidR="00016EAE" w:rsidRPr="00AE32DF">
        <w:rPr>
          <w:rFonts w:ascii="MetaPro-Norm" w:eastAsia="SimSun" w:hAnsi="MetaPro-Norm" w:cs="Times New Roman"/>
          <w:sz w:val="24"/>
          <w:szCs w:val="24"/>
          <w:lang w:val="en-US" w:eastAsia="zh-CN"/>
        </w:rPr>
        <w:t xml:space="preserve"> pla</w:t>
      </w:r>
      <w:r w:rsidR="00227C5A" w:rsidRPr="00AE32DF">
        <w:rPr>
          <w:rFonts w:ascii="MetaPro-Norm" w:eastAsia="SimSun" w:hAnsi="MetaPro-Norm" w:cs="Times New Roman"/>
          <w:sz w:val="24"/>
          <w:szCs w:val="24"/>
          <w:lang w:val="en-US" w:eastAsia="zh-CN"/>
        </w:rPr>
        <w:t>n</w:t>
      </w:r>
      <w:r w:rsidR="00016EAE" w:rsidRPr="00AE32DF">
        <w:rPr>
          <w:rFonts w:ascii="MetaPro-Norm" w:eastAsia="SimSun" w:hAnsi="MetaPro-Norm" w:cs="Times New Roman"/>
          <w:sz w:val="24"/>
          <w:szCs w:val="24"/>
          <w:lang w:val="en-US" w:eastAsia="zh-CN"/>
        </w:rPr>
        <w:t xml:space="preserve"> to improve maintenance and quantity of facilities at crossing points – such as shelters, toilets, and access to potable water</w:t>
      </w:r>
      <w:r w:rsidR="00DA204D" w:rsidRPr="00AE32DF">
        <w:rPr>
          <w:rFonts w:ascii="MetaPro-Norm" w:eastAsia="SimSun" w:hAnsi="MetaPro-Norm" w:cs="Times New Roman"/>
          <w:sz w:val="24"/>
          <w:szCs w:val="24"/>
          <w:lang w:val="en-US" w:eastAsia="zh-CN"/>
        </w:rPr>
        <w:t>?</w:t>
      </w:r>
    </w:p>
    <w:p w14:paraId="2CE8889E" w14:textId="32A77115" w:rsidR="00227C5A" w:rsidRPr="00AE32DF" w:rsidRDefault="00DE7EFE" w:rsidP="00227C5A">
      <w:pPr>
        <w:numPr>
          <w:ilvl w:val="0"/>
          <w:numId w:val="6"/>
        </w:num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W</w:t>
      </w:r>
      <w:r w:rsidR="007322EE" w:rsidRPr="00AE32DF">
        <w:rPr>
          <w:rFonts w:ascii="MetaPro-Norm" w:eastAsia="SimSun" w:hAnsi="MetaPro-Norm" w:cs="Times New Roman"/>
          <w:sz w:val="24"/>
          <w:szCs w:val="24"/>
          <w:lang w:val="en-US" w:eastAsia="zh-CN"/>
        </w:rPr>
        <w:t xml:space="preserve">hat steps </w:t>
      </w:r>
      <w:r w:rsidRPr="00AE32DF">
        <w:rPr>
          <w:rFonts w:ascii="MetaPro-Norm" w:eastAsia="SimSun" w:hAnsi="MetaPro-Norm" w:cs="Times New Roman"/>
          <w:sz w:val="24"/>
          <w:szCs w:val="24"/>
          <w:lang w:val="en-US" w:eastAsia="zh-CN"/>
        </w:rPr>
        <w:t xml:space="preserve">does the government </w:t>
      </w:r>
      <w:r w:rsidR="007322EE" w:rsidRPr="00AE32DF">
        <w:rPr>
          <w:rFonts w:ascii="MetaPro-Norm" w:eastAsia="SimSun" w:hAnsi="MetaPro-Norm" w:cs="Times New Roman"/>
          <w:sz w:val="24"/>
          <w:szCs w:val="24"/>
          <w:lang w:val="en-US" w:eastAsia="zh-CN"/>
        </w:rPr>
        <w:t>plan to take to ensure that priority crossing and assistive services are available to people with limited mobility at crossing points</w:t>
      </w:r>
      <w:r w:rsidR="00DA204D" w:rsidRPr="00AE32DF">
        <w:rPr>
          <w:rFonts w:ascii="MetaPro-Norm" w:eastAsia="SimSun" w:hAnsi="MetaPro-Norm" w:cs="Times New Roman"/>
          <w:sz w:val="24"/>
          <w:szCs w:val="24"/>
          <w:lang w:val="en-US" w:eastAsia="zh-CN"/>
        </w:rPr>
        <w:t>?</w:t>
      </w:r>
      <w:r w:rsidR="007322EE" w:rsidRPr="00AE32DF">
        <w:rPr>
          <w:rFonts w:ascii="MetaPro-Norm" w:eastAsia="SimSun" w:hAnsi="MetaPro-Norm" w:cs="Times New Roman"/>
          <w:sz w:val="24"/>
          <w:szCs w:val="24"/>
          <w:lang w:val="en-US" w:eastAsia="zh-CN"/>
        </w:rPr>
        <w:t xml:space="preserve"> </w:t>
      </w:r>
    </w:p>
    <w:p w14:paraId="1E361785" w14:textId="77777777" w:rsidR="00A42E09" w:rsidRPr="00AE32DF" w:rsidRDefault="00A42E09" w:rsidP="00A42E09">
      <w:pPr>
        <w:ind w:left="720"/>
        <w:rPr>
          <w:rFonts w:ascii="MetaPro-Norm" w:eastAsia="SimSun" w:hAnsi="MetaPro-Norm" w:cs="Times New Roman"/>
          <w:sz w:val="24"/>
          <w:szCs w:val="24"/>
          <w:lang w:val="en-US" w:eastAsia="zh-CN"/>
        </w:rPr>
      </w:pPr>
    </w:p>
    <w:p w14:paraId="7FB52F0D" w14:textId="77777777" w:rsidR="001B3F74" w:rsidRPr="00AE32DF" w:rsidRDefault="001B3F74" w:rsidP="001B3F74">
      <w:pPr>
        <w:rPr>
          <w:rFonts w:ascii="MetaPro-Norm" w:hAnsi="MetaPro-Norm"/>
          <w:i/>
          <w:iCs/>
          <w:sz w:val="24"/>
          <w:szCs w:val="24"/>
        </w:rPr>
      </w:pPr>
      <w:r w:rsidRPr="00AE32DF">
        <w:rPr>
          <w:rFonts w:ascii="MetaPro-Norm" w:hAnsi="MetaPro-Norm"/>
          <w:i/>
          <w:iCs/>
          <w:sz w:val="24"/>
          <w:szCs w:val="24"/>
        </w:rPr>
        <w:t>We encourage the Committee to make the following recommendations to the government:</w:t>
      </w:r>
    </w:p>
    <w:p w14:paraId="30D3C9B9" w14:textId="77777777" w:rsidR="008936A5" w:rsidRPr="00AE32DF" w:rsidRDefault="00571264" w:rsidP="008936A5">
      <w:pPr>
        <w:pStyle w:val="ListParagraph"/>
        <w:numPr>
          <w:ilvl w:val="0"/>
          <w:numId w:val="8"/>
        </w:numPr>
        <w:rPr>
          <w:rFonts w:ascii="MetaPro-Norm" w:hAnsi="MetaPro-Norm"/>
          <w:i/>
          <w:iCs/>
          <w:color w:val="000000" w:themeColor="text1"/>
          <w:sz w:val="24"/>
          <w:szCs w:val="24"/>
        </w:rPr>
      </w:pPr>
      <w:r w:rsidRPr="00AE32DF">
        <w:rPr>
          <w:rFonts w:ascii="MetaPro-Norm" w:hAnsi="MetaPro-Norm"/>
          <w:color w:val="000000" w:themeColor="text1"/>
          <w:sz w:val="24"/>
          <w:szCs w:val="24"/>
        </w:rPr>
        <w:t>Support existing legislation</w:t>
      </w:r>
      <w:r w:rsidR="00F248F6" w:rsidRPr="00AE32DF">
        <w:rPr>
          <w:rFonts w:ascii="MetaPro-Norm" w:hAnsi="MetaPro-Norm"/>
          <w:color w:val="000000" w:themeColor="text1"/>
          <w:sz w:val="24"/>
          <w:szCs w:val="24"/>
        </w:rPr>
        <w:t xml:space="preserve"> that would delink pension</w:t>
      </w:r>
      <w:r w:rsidR="00E3273F" w:rsidRPr="00AE32DF">
        <w:rPr>
          <w:rFonts w:ascii="MetaPro-Norm" w:hAnsi="MetaPro-Norm"/>
          <w:color w:val="000000" w:themeColor="text1"/>
          <w:sz w:val="24"/>
          <w:szCs w:val="24"/>
        </w:rPr>
        <w:t xml:space="preserve"> eligibility </w:t>
      </w:r>
      <w:r w:rsidR="00A42AF7" w:rsidRPr="00AE32DF">
        <w:rPr>
          <w:rFonts w:ascii="MetaPro-Norm" w:hAnsi="MetaPro-Norm"/>
          <w:color w:val="000000" w:themeColor="text1"/>
          <w:sz w:val="24"/>
          <w:szCs w:val="24"/>
        </w:rPr>
        <w:t>from displaced person status</w:t>
      </w:r>
      <w:r w:rsidR="00447C1E" w:rsidRPr="00AE32DF">
        <w:rPr>
          <w:rFonts w:ascii="MetaPro-Norm" w:hAnsi="MetaPro-Norm"/>
          <w:color w:val="000000" w:themeColor="text1"/>
          <w:sz w:val="24"/>
          <w:szCs w:val="24"/>
        </w:rPr>
        <w:t xml:space="preserve">, thereby eliminating the need </w:t>
      </w:r>
      <w:r w:rsidR="00BE212E" w:rsidRPr="00AE32DF">
        <w:rPr>
          <w:rFonts w:ascii="MetaPro-Norm" w:hAnsi="MetaPro-Norm"/>
          <w:color w:val="000000" w:themeColor="text1"/>
          <w:sz w:val="24"/>
          <w:szCs w:val="24"/>
        </w:rPr>
        <w:t xml:space="preserve">for pensioners to register </w:t>
      </w:r>
      <w:r w:rsidR="009B3C26" w:rsidRPr="00AE32DF">
        <w:rPr>
          <w:rFonts w:ascii="MetaPro-Norm" w:hAnsi="MetaPro-Norm"/>
          <w:color w:val="000000" w:themeColor="text1"/>
          <w:sz w:val="24"/>
          <w:szCs w:val="24"/>
        </w:rPr>
        <w:t xml:space="preserve">at addresses in government-controlled </w:t>
      </w:r>
      <w:r w:rsidR="00E21B44" w:rsidRPr="00AE32DF">
        <w:rPr>
          <w:rFonts w:ascii="MetaPro-Norm" w:hAnsi="MetaPro-Norm"/>
          <w:color w:val="000000" w:themeColor="text1"/>
          <w:sz w:val="24"/>
          <w:szCs w:val="24"/>
        </w:rPr>
        <w:t xml:space="preserve">territory and having to travel to </w:t>
      </w:r>
      <w:r w:rsidR="009E2046" w:rsidRPr="00AE32DF">
        <w:rPr>
          <w:rFonts w:ascii="MetaPro-Norm" w:hAnsi="MetaPro-Norm"/>
          <w:color w:val="000000" w:themeColor="text1"/>
          <w:sz w:val="24"/>
          <w:szCs w:val="24"/>
        </w:rPr>
        <w:t xml:space="preserve">government held territory every 60 days. </w:t>
      </w:r>
    </w:p>
    <w:p w14:paraId="7D7CFF2C" w14:textId="77777777" w:rsidR="008936A5" w:rsidRPr="00AE32DF" w:rsidRDefault="00A42E09" w:rsidP="008936A5">
      <w:pPr>
        <w:pStyle w:val="ListParagraph"/>
        <w:numPr>
          <w:ilvl w:val="0"/>
          <w:numId w:val="8"/>
        </w:numPr>
        <w:rPr>
          <w:rFonts w:ascii="MetaPro-Norm" w:hAnsi="MetaPro-Norm"/>
          <w:i/>
          <w:iCs/>
          <w:color w:val="000000" w:themeColor="text1"/>
          <w:sz w:val="24"/>
          <w:szCs w:val="24"/>
        </w:rPr>
      </w:pPr>
      <w:r w:rsidRPr="00AE32DF">
        <w:rPr>
          <w:rFonts w:ascii="MetaPro-Norm" w:eastAsia="SimSun" w:hAnsi="MetaPro-Norm" w:cs="Times New Roman"/>
          <w:sz w:val="24"/>
          <w:szCs w:val="24"/>
          <w:lang w:eastAsia="zh-CN"/>
        </w:rPr>
        <w:t>Increase the number of entry/exit crossing points and/or the number of staff at crossing points to alleviate long waits, which present particular hardships for older people, young children, pregnant women, and people with disabilities.</w:t>
      </w:r>
    </w:p>
    <w:p w14:paraId="1D98190F" w14:textId="13189F1F" w:rsidR="007322EE" w:rsidRPr="00AE32DF" w:rsidRDefault="007C4DC8" w:rsidP="00423377">
      <w:pPr>
        <w:pStyle w:val="ListParagraph"/>
        <w:numPr>
          <w:ilvl w:val="0"/>
          <w:numId w:val="8"/>
        </w:numPr>
        <w:rPr>
          <w:rFonts w:ascii="MetaPro-Norm" w:hAnsi="MetaPro-Norm"/>
          <w:i/>
          <w:iCs/>
          <w:color w:val="000000" w:themeColor="text1"/>
          <w:sz w:val="24"/>
          <w:szCs w:val="24"/>
        </w:rPr>
      </w:pPr>
      <w:r w:rsidRPr="00AE32DF">
        <w:rPr>
          <w:rFonts w:ascii="MetaPro-Norm" w:eastAsia="SimSun" w:hAnsi="MetaPro-Norm" w:cs="Times New Roman"/>
          <w:sz w:val="24"/>
          <w:szCs w:val="24"/>
          <w:lang w:eastAsia="zh-CN"/>
        </w:rPr>
        <w:t xml:space="preserve">Enforce court </w:t>
      </w:r>
      <w:r w:rsidR="00555CFD" w:rsidRPr="00AE32DF">
        <w:rPr>
          <w:rFonts w:ascii="MetaPro-Norm" w:eastAsia="SimSun" w:hAnsi="MetaPro-Norm" w:cs="Times New Roman"/>
          <w:sz w:val="24"/>
          <w:szCs w:val="24"/>
          <w:lang w:eastAsia="zh-CN"/>
        </w:rPr>
        <w:t>decisions</w:t>
      </w:r>
      <w:r w:rsidRPr="00AE32DF">
        <w:rPr>
          <w:rFonts w:ascii="MetaPro-Norm" w:eastAsia="SimSun" w:hAnsi="MetaPro-Norm" w:cs="Times New Roman"/>
          <w:sz w:val="24"/>
          <w:szCs w:val="24"/>
          <w:lang w:eastAsia="zh-CN"/>
        </w:rPr>
        <w:t>,</w:t>
      </w:r>
      <w:r w:rsidR="00BA4E9B" w:rsidRPr="00AE32DF">
        <w:rPr>
          <w:rFonts w:ascii="MetaPro-Norm" w:eastAsia="SimSun" w:hAnsi="MetaPro-Norm" w:cs="Times New Roman"/>
          <w:sz w:val="24"/>
          <w:szCs w:val="24"/>
          <w:lang w:eastAsia="zh-CN"/>
        </w:rPr>
        <w:t xml:space="preserve"> in</w:t>
      </w:r>
      <w:r w:rsidRPr="00AE32DF">
        <w:rPr>
          <w:rFonts w:ascii="MetaPro-Norm" w:eastAsia="SimSun" w:hAnsi="MetaPro-Norm" w:cs="Times New Roman"/>
          <w:sz w:val="24"/>
          <w:szCs w:val="24"/>
          <w:lang w:eastAsia="zh-CN"/>
        </w:rPr>
        <w:t xml:space="preserve"> particular by paying arrears </w:t>
      </w:r>
      <w:r w:rsidR="00555CFD" w:rsidRPr="00AE32DF">
        <w:rPr>
          <w:rFonts w:ascii="MetaPro-Norm" w:eastAsia="SimSun" w:hAnsi="MetaPro-Norm" w:cs="Times New Roman"/>
          <w:sz w:val="24"/>
          <w:szCs w:val="24"/>
          <w:lang w:eastAsia="zh-CN"/>
        </w:rPr>
        <w:t xml:space="preserve">to those pensioners denied their pensions </w:t>
      </w:r>
      <w:r w:rsidR="001B1535" w:rsidRPr="00AE32DF">
        <w:rPr>
          <w:rFonts w:ascii="MetaPro-Norm" w:eastAsia="SimSun" w:hAnsi="MetaPro-Norm" w:cs="Times New Roman"/>
          <w:sz w:val="24"/>
          <w:szCs w:val="24"/>
          <w:lang w:eastAsia="zh-CN"/>
        </w:rPr>
        <w:t xml:space="preserve">because of these and other rules. </w:t>
      </w:r>
    </w:p>
    <w:p w14:paraId="1071AB3E" w14:textId="77777777" w:rsidR="007322EE" w:rsidRPr="00AE32DF" w:rsidRDefault="007322EE" w:rsidP="007322EE">
      <w:pPr>
        <w:rPr>
          <w:rFonts w:ascii="MetaPro-Norm" w:eastAsia="SimSun" w:hAnsi="MetaPro-Norm" w:cs="Times New Roman"/>
          <w:b/>
          <w:sz w:val="24"/>
          <w:szCs w:val="24"/>
          <w:lang w:val="en-US" w:eastAsia="zh-CN"/>
        </w:rPr>
      </w:pPr>
    </w:p>
    <w:p w14:paraId="578A6204" w14:textId="6C188D7D" w:rsidR="00A206A3" w:rsidRPr="00AE32DF" w:rsidRDefault="00A206A3" w:rsidP="00A206A3">
      <w:pPr>
        <w:rPr>
          <w:rFonts w:ascii="MetaPro-Norm" w:hAnsi="MetaPro-Norm"/>
          <w:b/>
          <w:bCs/>
          <w:i/>
          <w:iCs/>
          <w:color w:val="000000" w:themeColor="text1"/>
          <w:sz w:val="24"/>
          <w:szCs w:val="24"/>
        </w:rPr>
      </w:pPr>
      <w:r w:rsidRPr="00AE32DF">
        <w:rPr>
          <w:rFonts w:ascii="MetaPro-Norm" w:hAnsi="MetaPro-Norm"/>
          <w:b/>
          <w:bCs/>
          <w:i/>
          <w:iCs/>
          <w:color w:val="000000" w:themeColor="text1"/>
          <w:sz w:val="24"/>
          <w:szCs w:val="24"/>
        </w:rPr>
        <w:t>Protection of Education During Armed Conflict (</w:t>
      </w:r>
      <w:r w:rsidR="00984F49" w:rsidRPr="00AE32DF">
        <w:rPr>
          <w:rFonts w:ascii="MetaPro-Norm" w:hAnsi="MetaPro-Norm"/>
          <w:b/>
          <w:bCs/>
          <w:i/>
          <w:iCs/>
          <w:color w:val="000000" w:themeColor="text1"/>
          <w:sz w:val="24"/>
          <w:szCs w:val="24"/>
        </w:rPr>
        <w:t>a</w:t>
      </w:r>
      <w:r w:rsidRPr="00AE32DF">
        <w:rPr>
          <w:rFonts w:ascii="MetaPro-Norm" w:hAnsi="MetaPro-Norm"/>
          <w:b/>
          <w:bCs/>
          <w:i/>
          <w:iCs/>
          <w:color w:val="000000" w:themeColor="text1"/>
          <w:sz w:val="24"/>
          <w:szCs w:val="24"/>
        </w:rPr>
        <w:t>rticle 13)</w:t>
      </w:r>
    </w:p>
    <w:p w14:paraId="19FF6915" w14:textId="6518F6BF" w:rsidR="00545F80" w:rsidRPr="00AE32DF" w:rsidRDefault="00545F80" w:rsidP="00545F80">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Since the beginning of the armed conflict in Ukraine, Human Rights Watch has extensively documented human rights violations by all parties to the conflict in eastern Ukraine. Hostilities have subsided since 201</w:t>
      </w:r>
      <w:r w:rsidR="005555F0" w:rsidRPr="00AE32DF">
        <w:rPr>
          <w:rFonts w:ascii="MetaPro-Norm" w:eastAsia="SimSun" w:hAnsi="MetaPro-Norm" w:cs="Times New Roman"/>
          <w:sz w:val="24"/>
          <w:szCs w:val="24"/>
          <w:lang w:val="en-US" w:eastAsia="zh-CN"/>
        </w:rPr>
        <w:t>6</w:t>
      </w:r>
      <w:r w:rsidRPr="00AE32DF">
        <w:rPr>
          <w:rFonts w:ascii="MetaPro-Norm" w:eastAsia="SimSun" w:hAnsi="MetaPro-Norm" w:cs="Times New Roman"/>
          <w:sz w:val="24"/>
          <w:szCs w:val="24"/>
          <w:lang w:val="en-US" w:eastAsia="zh-CN"/>
        </w:rPr>
        <w:t xml:space="preserve">, but the conflict has not </w:t>
      </w:r>
      <w:proofErr w:type="gramStart"/>
      <w:r w:rsidRPr="00AE32DF">
        <w:rPr>
          <w:rFonts w:ascii="MetaPro-Norm" w:eastAsia="SimSun" w:hAnsi="MetaPro-Norm" w:cs="Times New Roman"/>
          <w:sz w:val="24"/>
          <w:szCs w:val="24"/>
          <w:lang w:val="en-US" w:eastAsia="zh-CN"/>
        </w:rPr>
        <w:t>ended</w:t>
      </w:r>
      <w:proofErr w:type="gramEnd"/>
      <w:r w:rsidRPr="00AE32DF">
        <w:rPr>
          <w:rFonts w:ascii="MetaPro-Norm" w:eastAsia="SimSun" w:hAnsi="MetaPro-Norm" w:cs="Times New Roman"/>
          <w:sz w:val="24"/>
          <w:szCs w:val="24"/>
          <w:lang w:val="en-US" w:eastAsia="zh-CN"/>
        </w:rPr>
        <w:t xml:space="preserve"> and many concerns remain.</w:t>
      </w:r>
    </w:p>
    <w:p w14:paraId="1E2601FA" w14:textId="14A188AC" w:rsidR="00545F80" w:rsidRPr="00AE32DF" w:rsidRDefault="00545F80" w:rsidP="00545F80">
      <w:pPr>
        <w:rPr>
          <w:rFonts w:ascii="MetaPro-Norm" w:eastAsia="SimSun" w:hAnsi="MetaPro-Norm" w:cs="Times New Roman"/>
          <w:sz w:val="24"/>
          <w:szCs w:val="24"/>
          <w:lang w:val="en-US" w:eastAsia="zh-CN"/>
        </w:rPr>
      </w:pPr>
    </w:p>
    <w:p w14:paraId="1404EF27" w14:textId="4DE048B8" w:rsidR="00965B0A" w:rsidRPr="00AE32DF" w:rsidRDefault="00965B0A" w:rsidP="00545F80">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Numerous schools in conflict-affected areas made commendable efforts to minimize disruptions to children’s education by switching to either distance learning or a hybrid of classroom and distance learning during intense periods of fighting. Distance education generally involved teachers providing assignments and collecting homework at the school or at student’s homes, and then using methods such as telephone, email, and Skype to reach students to answer questions. Yet students and educators alike acknowledged that the quality of education children receive through distance learning </w:t>
      </w:r>
      <w:r w:rsidR="001E4172" w:rsidRPr="00AE32DF">
        <w:rPr>
          <w:rFonts w:ascii="MetaPro-Norm" w:eastAsia="SimSun" w:hAnsi="MetaPro-Norm" w:cs="Times New Roman"/>
          <w:sz w:val="24"/>
          <w:szCs w:val="24"/>
          <w:lang w:val="en-US" w:eastAsia="zh-CN"/>
        </w:rPr>
        <w:t>wa</w:t>
      </w:r>
      <w:r w:rsidRPr="00AE32DF">
        <w:rPr>
          <w:rFonts w:ascii="MetaPro-Norm" w:eastAsia="SimSun" w:hAnsi="MetaPro-Norm" w:cs="Times New Roman"/>
          <w:sz w:val="24"/>
          <w:szCs w:val="24"/>
          <w:lang w:val="en-US" w:eastAsia="zh-CN"/>
        </w:rPr>
        <w:t>s inferior to the quality of education receive</w:t>
      </w:r>
      <w:r w:rsidR="001E4172" w:rsidRPr="00AE32DF">
        <w:rPr>
          <w:rFonts w:ascii="MetaPro-Norm" w:eastAsia="SimSun" w:hAnsi="MetaPro-Norm" w:cs="Times New Roman"/>
          <w:sz w:val="24"/>
          <w:szCs w:val="24"/>
          <w:lang w:val="en-US" w:eastAsia="zh-CN"/>
        </w:rPr>
        <w:t>d</w:t>
      </w:r>
      <w:r w:rsidRPr="00AE32DF">
        <w:rPr>
          <w:rFonts w:ascii="MetaPro-Norm" w:eastAsia="SimSun" w:hAnsi="MetaPro-Norm" w:cs="Times New Roman"/>
          <w:sz w:val="24"/>
          <w:szCs w:val="24"/>
          <w:lang w:val="en-US" w:eastAsia="zh-CN"/>
        </w:rPr>
        <w:t xml:space="preserve"> through classroom learning.</w:t>
      </w:r>
    </w:p>
    <w:p w14:paraId="1506F918" w14:textId="77777777" w:rsidR="00965B0A" w:rsidRPr="00AE32DF" w:rsidRDefault="00965B0A" w:rsidP="00545F80">
      <w:pPr>
        <w:rPr>
          <w:rFonts w:ascii="MetaPro-Norm" w:eastAsia="SimSun" w:hAnsi="MetaPro-Norm" w:cs="Times New Roman"/>
          <w:sz w:val="24"/>
          <w:szCs w:val="24"/>
          <w:lang w:val="en-US" w:eastAsia="zh-CN"/>
        </w:rPr>
      </w:pPr>
    </w:p>
    <w:p w14:paraId="76CB6933" w14:textId="4837A1A6" w:rsidR="007322EE"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Human Rights Watch documented attacks on schools and military use of schools in Ukraine in 2016 and found that both sides of the conflict have carried out </w:t>
      </w:r>
      <w:r w:rsidRPr="00AE32DF">
        <w:rPr>
          <w:rFonts w:ascii="MetaPro-Norm" w:eastAsia="SimSun" w:hAnsi="MetaPro-Norm" w:cs="Times New Roman"/>
          <w:sz w:val="24"/>
          <w:szCs w:val="24"/>
          <w:lang w:val="en-US" w:eastAsia="zh-CN"/>
        </w:rPr>
        <w:lastRenderedPageBreak/>
        <w:t>indiscriminate or deliberate attacks on schools and used schools for military purposes.</w:t>
      </w:r>
      <w:r w:rsidRPr="00AE32DF">
        <w:rPr>
          <w:rFonts w:ascii="MetaPro-Norm" w:eastAsia="Arial Unicode MS" w:hAnsi="MetaPro-Norm" w:cs="Arial"/>
          <w:sz w:val="24"/>
          <w:szCs w:val="24"/>
          <w:vertAlign w:val="superscript"/>
          <w:lang w:val="en-US" w:eastAsia="zh-CN"/>
        </w:rPr>
        <w:footnoteReference w:id="12"/>
      </w:r>
      <w:r w:rsidRPr="00AE32DF">
        <w:rPr>
          <w:rFonts w:ascii="MetaPro-Norm" w:eastAsia="SimSun" w:hAnsi="MetaPro-Norm" w:cs="Times New Roman"/>
          <w:sz w:val="24"/>
          <w:szCs w:val="24"/>
          <w:lang w:val="en-US" w:eastAsia="zh-CN"/>
        </w:rPr>
        <w:t xml:space="preserve"> Human Rights Watch recognizes that the government is not responsible for attacks on schools and military use of schools by Russia-backed separatists and that schools in separatist-controlled regions are not under its control. Below, we summarize our findings on infringements on the right to education in government-controlled areas, where the government has the power to make improvements. </w:t>
      </w:r>
    </w:p>
    <w:p w14:paraId="4BE1952E" w14:textId="60FD5F82" w:rsidR="007322EE"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Human Rights Watch found that the destruction of vital educational infrastructure has affected access to education, with many children facing interruptions to their schooling due to evacuations and unsafe conditions. This destruction has also affected the quality of education, for example by causing overcrowding in classrooms as damaged schools await repairs. According to the U</w:t>
      </w:r>
      <w:r w:rsidR="001E4172" w:rsidRPr="00AE32DF">
        <w:rPr>
          <w:rFonts w:ascii="MetaPro-Norm" w:eastAsia="SimSun" w:hAnsi="MetaPro-Norm" w:cs="Times New Roman"/>
          <w:sz w:val="24"/>
          <w:szCs w:val="24"/>
          <w:lang w:val="en-US" w:eastAsia="zh-CN"/>
        </w:rPr>
        <w:t xml:space="preserve">N’s </w:t>
      </w:r>
      <w:r w:rsidRPr="00AE32DF">
        <w:rPr>
          <w:rFonts w:ascii="MetaPro-Norm" w:eastAsia="SimSun" w:hAnsi="MetaPro-Norm" w:cs="Times New Roman"/>
          <w:sz w:val="24"/>
          <w:szCs w:val="24"/>
          <w:lang w:val="en-US" w:eastAsia="zh-CN"/>
        </w:rPr>
        <w:t>Office for the Coordination of Humanitarian Affairs, the temporary closing of schools in government-controlled areas in the first half of 2018 alone has affected the education of over 6,000 children.</w:t>
      </w:r>
      <w:r w:rsidRPr="00AE32DF">
        <w:rPr>
          <w:rFonts w:ascii="MetaPro-Norm" w:eastAsia="Arial Unicode MS" w:hAnsi="MetaPro-Norm" w:cs="Arial"/>
          <w:sz w:val="24"/>
          <w:szCs w:val="24"/>
          <w:vertAlign w:val="superscript"/>
          <w:lang w:val="en-US" w:eastAsia="zh-CN"/>
        </w:rPr>
        <w:footnoteReference w:id="13"/>
      </w:r>
      <w:r w:rsidRPr="00AE32DF">
        <w:rPr>
          <w:rFonts w:ascii="MetaPro-Norm" w:eastAsia="SimSun" w:hAnsi="MetaPro-Norm" w:cs="Times New Roman"/>
          <w:sz w:val="24"/>
          <w:szCs w:val="24"/>
          <w:lang w:val="en-US" w:eastAsia="zh-CN"/>
        </w:rPr>
        <w:t xml:space="preserve"> </w:t>
      </w:r>
    </w:p>
    <w:p w14:paraId="2824DD4E" w14:textId="77777777" w:rsidR="007322EE" w:rsidRPr="00AE32DF" w:rsidRDefault="007322EE" w:rsidP="007322EE">
      <w:pPr>
        <w:rPr>
          <w:rFonts w:ascii="MetaPro-Norm" w:eastAsia="SimSun" w:hAnsi="MetaPro-Norm" w:cs="Times New Roman"/>
          <w:sz w:val="24"/>
          <w:szCs w:val="24"/>
          <w:highlight w:val="yellow"/>
          <w:lang w:val="en-US" w:eastAsia="zh-CN"/>
        </w:rPr>
      </w:pPr>
    </w:p>
    <w:p w14:paraId="294AB9C7" w14:textId="77777777" w:rsidR="007322EE"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Human Rights Watch documented 15 attacks on schools that were not being occupied or used by the military and therefore did not appear to constitute military objects. Some of these attacks were carried out by government forces. A Ukrainian soldier told Human Rights Watch that a fire that destroyed a school building in </w:t>
      </w:r>
      <w:proofErr w:type="spellStart"/>
      <w:r w:rsidRPr="00AE32DF">
        <w:rPr>
          <w:rFonts w:ascii="MetaPro-Norm" w:eastAsia="SimSun" w:hAnsi="MetaPro-Norm" w:cs="Times New Roman"/>
          <w:sz w:val="24"/>
          <w:szCs w:val="24"/>
          <w:lang w:val="en-US" w:eastAsia="zh-CN"/>
        </w:rPr>
        <w:t>Stanytsia</w:t>
      </w:r>
      <w:proofErr w:type="spellEnd"/>
      <w:r w:rsidRPr="00AE32DF">
        <w:rPr>
          <w:rFonts w:ascii="MetaPro-Norm" w:eastAsia="SimSun" w:hAnsi="MetaPro-Norm" w:cs="Times New Roman"/>
          <w:sz w:val="24"/>
          <w:szCs w:val="24"/>
          <w:lang w:val="en-US" w:eastAsia="zh-CN"/>
        </w:rPr>
        <w:t xml:space="preserve"> </w:t>
      </w:r>
      <w:proofErr w:type="spellStart"/>
      <w:r w:rsidRPr="00AE32DF">
        <w:rPr>
          <w:rFonts w:ascii="MetaPro-Norm" w:eastAsia="SimSun" w:hAnsi="MetaPro-Norm" w:cs="Times New Roman"/>
          <w:sz w:val="24"/>
          <w:szCs w:val="24"/>
          <w:lang w:val="en-US" w:eastAsia="zh-CN"/>
        </w:rPr>
        <w:t>Luhanska</w:t>
      </w:r>
      <w:proofErr w:type="spellEnd"/>
      <w:r w:rsidRPr="00AE32DF">
        <w:rPr>
          <w:rFonts w:ascii="MetaPro-Norm" w:eastAsia="SimSun" w:hAnsi="MetaPro-Norm" w:cs="Times New Roman"/>
          <w:sz w:val="24"/>
          <w:szCs w:val="24"/>
          <w:lang w:val="en-US" w:eastAsia="zh-CN"/>
        </w:rPr>
        <w:t>, a government-controlled area approximately 25 kilometers from Luhansk, was started by an airstrike carried out by Ukrainian government forces in August 2014.</w:t>
      </w:r>
      <w:r w:rsidRPr="00AE32DF">
        <w:rPr>
          <w:rFonts w:ascii="MetaPro-Norm" w:eastAsia="Arial Unicode MS" w:hAnsi="MetaPro-Norm" w:cs="Arial"/>
          <w:sz w:val="24"/>
          <w:szCs w:val="24"/>
          <w:vertAlign w:val="superscript"/>
          <w:lang w:val="en-US" w:eastAsia="zh-CN"/>
        </w:rPr>
        <w:footnoteReference w:id="14"/>
      </w:r>
      <w:r w:rsidRPr="00AE32DF">
        <w:rPr>
          <w:rFonts w:ascii="MetaPro-Norm" w:eastAsia="SimSun" w:hAnsi="MetaPro-Norm" w:cs="Times New Roman"/>
          <w:sz w:val="24"/>
          <w:szCs w:val="24"/>
          <w:lang w:val="en-US" w:eastAsia="zh-CN"/>
        </w:rPr>
        <w:t xml:space="preserve"> When Human Rights Watch visited the school in November 2015, it was still in ruins. </w:t>
      </w:r>
    </w:p>
    <w:p w14:paraId="32C5C2DD" w14:textId="77777777" w:rsidR="007322EE" w:rsidRPr="00AE32DF" w:rsidRDefault="007322EE" w:rsidP="007322EE">
      <w:pPr>
        <w:rPr>
          <w:rFonts w:ascii="MetaPro-Norm" w:eastAsia="SimSun" w:hAnsi="MetaPro-Norm" w:cs="Times New Roman"/>
          <w:sz w:val="24"/>
          <w:szCs w:val="24"/>
          <w:highlight w:val="yellow"/>
          <w:lang w:val="en-US" w:eastAsia="zh-CN"/>
        </w:rPr>
      </w:pPr>
    </w:p>
    <w:p w14:paraId="67D15B45" w14:textId="5BE03A6E" w:rsidR="007322EE"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Military use of schools not only infringes upon the right to education but also places students at risk. Ukrainian government forces have deployed in and near schools and used schools for various military purposes, including to deploy fighters, store weaponry, and use them directly as bases of operation due to their strategic locations. In a November 2015 meeting with the Ministry of Education and Science, officials told Human Rights Watch that they were aware that Ukrainian government forces have used schools for military purposes but said they did not collect data on it.</w:t>
      </w:r>
      <w:r w:rsidRPr="00AE32DF">
        <w:rPr>
          <w:rFonts w:ascii="MetaPro-Norm" w:eastAsia="Arial Unicode MS" w:hAnsi="MetaPro-Norm" w:cs="Arial"/>
          <w:sz w:val="24"/>
          <w:szCs w:val="24"/>
          <w:vertAlign w:val="superscript"/>
          <w:lang w:val="en-US" w:eastAsia="zh-CN"/>
        </w:rPr>
        <w:footnoteReference w:id="15"/>
      </w:r>
      <w:r w:rsidRPr="00AE32DF">
        <w:rPr>
          <w:rFonts w:ascii="MetaPro-Norm" w:eastAsia="SimSun" w:hAnsi="MetaPro-Norm" w:cs="Times New Roman"/>
          <w:sz w:val="24"/>
          <w:szCs w:val="24"/>
          <w:lang w:val="en-US" w:eastAsia="zh-CN"/>
        </w:rPr>
        <w:t xml:space="preserve">  </w:t>
      </w:r>
    </w:p>
    <w:p w14:paraId="65A74EBD" w14:textId="77777777" w:rsidR="007322EE" w:rsidRPr="00AE32DF" w:rsidRDefault="007322EE" w:rsidP="007322EE">
      <w:pPr>
        <w:rPr>
          <w:rFonts w:ascii="MetaPro-Norm" w:eastAsia="SimSun" w:hAnsi="MetaPro-Norm" w:cs="Times New Roman"/>
          <w:sz w:val="24"/>
          <w:szCs w:val="24"/>
          <w:highlight w:val="yellow"/>
          <w:lang w:val="en-US" w:eastAsia="zh-CN"/>
        </w:rPr>
      </w:pPr>
    </w:p>
    <w:p w14:paraId="5E849F58" w14:textId="71AD5453" w:rsidR="007322EE" w:rsidRPr="00AE32DF" w:rsidRDefault="007322EE"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During a Human Rights Watch mission to </w:t>
      </w:r>
      <w:proofErr w:type="spellStart"/>
      <w:r w:rsidRPr="00AE32DF">
        <w:rPr>
          <w:rFonts w:ascii="MetaPro-Norm" w:eastAsia="SimSun" w:hAnsi="MetaPro-Norm" w:cs="Times New Roman"/>
          <w:sz w:val="24"/>
          <w:szCs w:val="24"/>
          <w:lang w:val="en-US" w:eastAsia="zh-CN"/>
        </w:rPr>
        <w:t>Novosvitlivka</w:t>
      </w:r>
      <w:proofErr w:type="spellEnd"/>
      <w:r w:rsidRPr="00AE32DF">
        <w:rPr>
          <w:rFonts w:ascii="MetaPro-Norm" w:eastAsia="SimSun" w:hAnsi="MetaPro-Norm" w:cs="Times New Roman"/>
          <w:sz w:val="24"/>
          <w:szCs w:val="24"/>
          <w:lang w:val="en-US" w:eastAsia="zh-CN"/>
        </w:rPr>
        <w:t xml:space="preserve"> </w:t>
      </w:r>
      <w:r w:rsidR="00A14C51" w:rsidRPr="00AE32DF">
        <w:rPr>
          <w:rFonts w:ascii="MetaPro-Norm" w:eastAsia="SimSun" w:hAnsi="MetaPro-Norm" w:cs="Times New Roman"/>
          <w:sz w:val="24"/>
          <w:szCs w:val="24"/>
          <w:lang w:val="en-US" w:eastAsia="zh-CN"/>
        </w:rPr>
        <w:t xml:space="preserve">village, </w:t>
      </w:r>
      <w:r w:rsidRPr="00AE32DF">
        <w:rPr>
          <w:rFonts w:ascii="MetaPro-Norm" w:eastAsia="SimSun" w:hAnsi="MetaPro-Norm" w:cs="Times New Roman"/>
          <w:sz w:val="24"/>
          <w:szCs w:val="24"/>
          <w:lang w:val="en-US" w:eastAsia="zh-CN"/>
        </w:rPr>
        <w:t xml:space="preserve">local residents said that in August 2014 Ukrainian military </w:t>
      </w:r>
      <w:r w:rsidR="00A14C51" w:rsidRPr="00AE32DF">
        <w:rPr>
          <w:rFonts w:ascii="MetaPro-Norm" w:eastAsia="SimSun" w:hAnsi="MetaPro-Norm" w:cs="Times New Roman"/>
          <w:sz w:val="24"/>
          <w:szCs w:val="24"/>
          <w:lang w:val="en-US" w:eastAsia="zh-CN"/>
        </w:rPr>
        <w:t xml:space="preserve">used </w:t>
      </w:r>
      <w:r w:rsidRPr="00AE32DF">
        <w:rPr>
          <w:rFonts w:ascii="MetaPro-Norm" w:eastAsia="SimSun" w:hAnsi="MetaPro-Norm" w:cs="Times New Roman"/>
          <w:sz w:val="24"/>
          <w:szCs w:val="24"/>
          <w:lang w:val="en-US" w:eastAsia="zh-CN"/>
        </w:rPr>
        <w:t xml:space="preserve">the village’s school as a base. When Human Rights Watch visited the school in September 2015, a school guard said that the school was destroyed by Grad rocket attacks </w:t>
      </w:r>
      <w:r w:rsidR="00A14C51" w:rsidRPr="00AE32DF">
        <w:rPr>
          <w:rFonts w:ascii="MetaPro-Norm" w:eastAsia="SimSun" w:hAnsi="MetaPro-Norm" w:cs="Times New Roman"/>
          <w:sz w:val="24"/>
          <w:szCs w:val="24"/>
          <w:lang w:val="en-US" w:eastAsia="zh-CN"/>
        </w:rPr>
        <w:t xml:space="preserve">during </w:t>
      </w:r>
      <w:r w:rsidRPr="00AE32DF">
        <w:rPr>
          <w:rFonts w:ascii="MetaPro-Norm" w:eastAsia="SimSun" w:hAnsi="MetaPro-Norm" w:cs="Times New Roman"/>
          <w:sz w:val="24"/>
          <w:szCs w:val="24"/>
          <w:lang w:val="en-US" w:eastAsia="zh-CN"/>
        </w:rPr>
        <w:t xml:space="preserve">Ukrainian soldiers </w:t>
      </w:r>
      <w:r w:rsidR="00A14C51" w:rsidRPr="00AE32DF">
        <w:rPr>
          <w:rFonts w:ascii="MetaPro-Norm" w:eastAsia="SimSun" w:hAnsi="MetaPro-Norm" w:cs="Times New Roman"/>
          <w:sz w:val="24"/>
          <w:szCs w:val="24"/>
          <w:lang w:val="en-US" w:eastAsia="zh-CN"/>
        </w:rPr>
        <w:t xml:space="preserve">use of </w:t>
      </w:r>
      <w:r w:rsidRPr="00AE32DF">
        <w:rPr>
          <w:rFonts w:ascii="MetaPro-Norm" w:eastAsia="SimSun" w:hAnsi="MetaPro-Norm" w:cs="Times New Roman"/>
          <w:sz w:val="24"/>
          <w:szCs w:val="24"/>
          <w:lang w:val="en-US" w:eastAsia="zh-CN"/>
        </w:rPr>
        <w:t xml:space="preserve">the </w:t>
      </w:r>
      <w:r w:rsidRPr="00AE32DF">
        <w:rPr>
          <w:rFonts w:ascii="MetaPro-Norm" w:eastAsia="SimSun" w:hAnsi="MetaPro-Norm" w:cs="Times New Roman"/>
          <w:sz w:val="24"/>
          <w:szCs w:val="24"/>
          <w:lang w:val="en-US" w:eastAsia="zh-CN"/>
        </w:rPr>
        <w:lastRenderedPageBreak/>
        <w:t>school. More than one year after the attacks, the school building was still largely destroyed. The guard said that the number of children attending the school was reduced by half and that the remaining children were attending a smaller school at the other end of the village, which was getting overcrowded as more children returned.</w:t>
      </w:r>
      <w:r w:rsidRPr="00AE32DF">
        <w:rPr>
          <w:rFonts w:ascii="MetaPro-Norm" w:eastAsia="Arial Unicode MS" w:hAnsi="MetaPro-Norm" w:cs="Arial"/>
          <w:sz w:val="24"/>
          <w:szCs w:val="24"/>
          <w:vertAlign w:val="superscript"/>
          <w:lang w:val="en-US" w:eastAsia="zh-CN"/>
        </w:rPr>
        <w:footnoteReference w:id="16"/>
      </w:r>
    </w:p>
    <w:p w14:paraId="20E1E862" w14:textId="304DF0F4" w:rsidR="007322EE" w:rsidRPr="00AE32DF" w:rsidRDefault="007322EE" w:rsidP="007322EE">
      <w:pPr>
        <w:rPr>
          <w:rFonts w:ascii="MetaPro-Norm" w:eastAsia="SimSun" w:hAnsi="MetaPro-Norm" w:cs="Times New Roman"/>
          <w:sz w:val="24"/>
          <w:szCs w:val="24"/>
          <w:highlight w:val="yellow"/>
          <w:lang w:val="en-US" w:eastAsia="zh-CN"/>
        </w:rPr>
      </w:pPr>
    </w:p>
    <w:p w14:paraId="1ECA7708" w14:textId="1B0B5AB4" w:rsidR="00A14C51" w:rsidRPr="00AE32DF" w:rsidRDefault="00A14C51" w:rsidP="00A14C51">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The director of Kindergarten Number 3 in Ilovaisk, </w:t>
      </w:r>
      <w:r w:rsidR="006D3033" w:rsidRPr="00AE32DF">
        <w:rPr>
          <w:rFonts w:ascii="MetaPro-Norm" w:eastAsia="SimSun" w:hAnsi="MetaPro-Norm" w:cs="Times New Roman"/>
          <w:sz w:val="24"/>
          <w:szCs w:val="24"/>
          <w:lang w:val="en-US" w:eastAsia="zh-CN"/>
        </w:rPr>
        <w:t>currently</w:t>
      </w:r>
      <w:r w:rsidRPr="00AE32DF">
        <w:rPr>
          <w:rFonts w:ascii="MetaPro-Norm" w:eastAsia="SimSun" w:hAnsi="MetaPro-Norm" w:cs="Times New Roman"/>
          <w:sz w:val="24"/>
          <w:szCs w:val="24"/>
          <w:lang w:val="en-US" w:eastAsia="zh-CN"/>
        </w:rPr>
        <w:t xml:space="preserve"> under rebel control, told Human Rights Watch that the Ukrainian military started using the kindergarten on August 7, 2014 and occupied it for 23 days</w:t>
      </w:r>
      <w:r w:rsidR="006D3033" w:rsidRPr="00AE32DF">
        <w:rPr>
          <w:rFonts w:ascii="MetaPro-Norm" w:eastAsia="SimSun" w:hAnsi="MetaPro-Norm" w:cs="Times New Roman"/>
          <w:sz w:val="24"/>
          <w:szCs w:val="24"/>
          <w:lang w:val="en-US" w:eastAsia="zh-CN"/>
        </w:rPr>
        <w:t>: “</w:t>
      </w:r>
      <w:r w:rsidRPr="00AE32DF">
        <w:rPr>
          <w:rFonts w:ascii="MetaPro-Norm" w:eastAsia="SimSun" w:hAnsi="MetaPro-Norm" w:cs="Times New Roman"/>
          <w:sz w:val="24"/>
          <w:szCs w:val="24"/>
          <w:lang w:val="en-US" w:eastAsia="zh-CN"/>
        </w:rPr>
        <w:t>When the soldiers came, we opened the doors and showed them that there was no enemy inside and that we were not hiding anyone. But still the armed men walked in and stayed. They broke all the doors, sinks, practically all the dishes. Furniture, kids’ beds – everything was either stolen or broken.</w:t>
      </w:r>
      <w:r w:rsidR="006D3033" w:rsidRPr="00AE32DF">
        <w:rPr>
          <w:rFonts w:ascii="MetaPro-Norm" w:eastAsia="SimSun" w:hAnsi="MetaPro-Norm" w:cs="Times New Roman"/>
          <w:sz w:val="24"/>
          <w:szCs w:val="24"/>
          <w:lang w:val="en-US" w:eastAsia="zh-CN"/>
        </w:rPr>
        <w:t xml:space="preserve">” </w:t>
      </w:r>
      <w:r w:rsidRPr="00AE32DF">
        <w:rPr>
          <w:rFonts w:ascii="MetaPro-Norm" w:eastAsia="SimSun" w:hAnsi="MetaPro-Norm" w:cs="Times New Roman"/>
          <w:sz w:val="24"/>
          <w:szCs w:val="24"/>
          <w:lang w:val="en-US" w:eastAsia="zh-CN"/>
        </w:rPr>
        <w:t>The principal said that while the kindergarten was being used by Ukrainian government forces, it sustained several direct hits, severely damaged the building</w:t>
      </w:r>
      <w:r w:rsidR="006D3033" w:rsidRPr="00AE32DF">
        <w:rPr>
          <w:rFonts w:ascii="MetaPro-Norm" w:eastAsia="SimSun" w:hAnsi="MetaPro-Norm" w:cs="Times New Roman"/>
          <w:sz w:val="24"/>
          <w:szCs w:val="24"/>
          <w:lang w:val="en-US" w:eastAsia="zh-CN"/>
        </w:rPr>
        <w:t>.</w:t>
      </w:r>
      <w:r w:rsidR="006D3033" w:rsidRPr="00AE32DF">
        <w:rPr>
          <w:rStyle w:val="FootnoteReference"/>
          <w:rFonts w:ascii="MetaPro-Norm" w:eastAsia="SimSun" w:hAnsi="MetaPro-Norm" w:cs="Times New Roman"/>
          <w:sz w:val="24"/>
          <w:szCs w:val="24"/>
          <w:lang w:val="en-US" w:eastAsia="zh-CN"/>
        </w:rPr>
        <w:footnoteReference w:id="17"/>
      </w:r>
      <w:r w:rsidR="006D3033" w:rsidRPr="00AE32DF">
        <w:rPr>
          <w:rFonts w:ascii="MetaPro-Norm" w:eastAsia="SimSun" w:hAnsi="MetaPro-Norm" w:cs="Times New Roman"/>
          <w:sz w:val="24"/>
          <w:szCs w:val="24"/>
          <w:lang w:val="en-US" w:eastAsia="zh-CN"/>
        </w:rPr>
        <w:t xml:space="preserve"> </w:t>
      </w:r>
    </w:p>
    <w:p w14:paraId="58453157" w14:textId="77777777" w:rsidR="00A14C51" w:rsidRPr="00AE32DF" w:rsidRDefault="00A14C51" w:rsidP="00A14C51">
      <w:pPr>
        <w:rPr>
          <w:rFonts w:ascii="MetaPro-Norm" w:eastAsia="SimSun" w:hAnsi="MetaPro-Norm" w:cs="Times New Roman"/>
          <w:sz w:val="24"/>
          <w:szCs w:val="24"/>
          <w:lang w:val="en-US" w:eastAsia="zh-CN"/>
        </w:rPr>
      </w:pPr>
    </w:p>
    <w:p w14:paraId="124BEF0C" w14:textId="6BB5EAA8" w:rsidR="00A14C51" w:rsidRPr="00AE32DF" w:rsidRDefault="00A14C51" w:rsidP="00A14C51">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On August 18, 2014, government forces entered School Number 14 in Ilovaisk and set up a headquarters. The school principal told Human Rights Watch that soldiers remained </w:t>
      </w:r>
      <w:r w:rsidR="001E4172" w:rsidRPr="00AE32DF">
        <w:rPr>
          <w:rFonts w:ascii="MetaPro-Norm" w:eastAsia="SimSun" w:hAnsi="MetaPro-Norm" w:cs="Times New Roman"/>
          <w:sz w:val="24"/>
          <w:szCs w:val="24"/>
          <w:lang w:val="en-US" w:eastAsia="zh-CN"/>
        </w:rPr>
        <w:t>there</w:t>
      </w:r>
      <w:r w:rsidRPr="00AE32DF">
        <w:rPr>
          <w:rFonts w:ascii="MetaPro-Norm" w:eastAsia="SimSun" w:hAnsi="MetaPro-Norm" w:cs="Times New Roman"/>
          <w:sz w:val="24"/>
          <w:szCs w:val="24"/>
          <w:lang w:val="en-US" w:eastAsia="zh-CN"/>
        </w:rPr>
        <w:t xml:space="preserve"> for three weeks.</w:t>
      </w:r>
      <w:r w:rsidR="006D3033" w:rsidRPr="00AE32DF">
        <w:rPr>
          <w:rFonts w:ascii="MetaPro-Norm" w:eastAsia="SimSun" w:hAnsi="MetaPro-Norm" w:cs="Times New Roman"/>
          <w:sz w:val="24"/>
          <w:szCs w:val="24"/>
          <w:lang w:val="en-US" w:eastAsia="zh-CN"/>
        </w:rPr>
        <w:t xml:space="preserve"> </w:t>
      </w:r>
      <w:r w:rsidRPr="00AE32DF">
        <w:rPr>
          <w:rFonts w:ascii="MetaPro-Norm" w:eastAsia="SimSun" w:hAnsi="MetaPro-Norm" w:cs="Times New Roman"/>
          <w:sz w:val="24"/>
          <w:szCs w:val="24"/>
          <w:lang w:val="en-US" w:eastAsia="zh-CN"/>
        </w:rPr>
        <w:t>During their stay, the principal said, the soldiers damaged furniture, broke doors</w:t>
      </w:r>
      <w:r w:rsidR="001E4172" w:rsidRPr="00AE32DF">
        <w:rPr>
          <w:rFonts w:ascii="MetaPro-Norm" w:eastAsia="SimSun" w:hAnsi="MetaPro-Norm" w:cs="Times New Roman"/>
          <w:sz w:val="24"/>
          <w:szCs w:val="24"/>
          <w:lang w:val="en-US" w:eastAsia="zh-CN"/>
        </w:rPr>
        <w:t>,</w:t>
      </w:r>
      <w:r w:rsidRPr="00AE32DF">
        <w:rPr>
          <w:rFonts w:ascii="MetaPro-Norm" w:eastAsia="SimSun" w:hAnsi="MetaPro-Norm" w:cs="Times New Roman"/>
          <w:sz w:val="24"/>
          <w:szCs w:val="24"/>
          <w:lang w:val="en-US" w:eastAsia="zh-CN"/>
        </w:rPr>
        <w:t xml:space="preserve"> and smashed computers. Researchers found several unexploded landmines on the school grounds, apparently ejected from </w:t>
      </w:r>
      <w:r w:rsidR="001E4172" w:rsidRPr="00AE32DF">
        <w:rPr>
          <w:rFonts w:ascii="MetaPro-Norm" w:eastAsia="SimSun" w:hAnsi="MetaPro-Norm" w:cs="Times New Roman"/>
          <w:sz w:val="24"/>
          <w:szCs w:val="24"/>
          <w:lang w:val="en-US" w:eastAsia="zh-CN"/>
        </w:rPr>
        <w:t xml:space="preserve">a </w:t>
      </w:r>
      <w:r w:rsidRPr="00AE32DF">
        <w:rPr>
          <w:rFonts w:ascii="MetaPro-Norm" w:eastAsia="SimSun" w:hAnsi="MetaPro-Norm" w:cs="Times New Roman"/>
          <w:sz w:val="24"/>
          <w:szCs w:val="24"/>
          <w:lang w:val="en-US" w:eastAsia="zh-CN"/>
        </w:rPr>
        <w:t>supply truck they were stored on when the truck was attacked while parked in the schoolyard.</w:t>
      </w:r>
      <w:r w:rsidR="006D3033" w:rsidRPr="00AE32DF">
        <w:rPr>
          <w:rStyle w:val="FootnoteReference"/>
          <w:rFonts w:ascii="MetaPro-Norm" w:eastAsia="SimSun" w:hAnsi="MetaPro-Norm" w:cs="Times New Roman"/>
          <w:sz w:val="24"/>
          <w:szCs w:val="24"/>
          <w:lang w:val="en-US" w:eastAsia="zh-CN"/>
        </w:rPr>
        <w:footnoteReference w:id="18"/>
      </w:r>
    </w:p>
    <w:p w14:paraId="061E53BD" w14:textId="77777777" w:rsidR="00A14C51" w:rsidRPr="00AE32DF" w:rsidRDefault="00A14C51" w:rsidP="00A14C51">
      <w:pPr>
        <w:rPr>
          <w:rFonts w:ascii="MetaPro-Norm" w:eastAsia="SimSun" w:hAnsi="MetaPro-Norm" w:cs="Times New Roman"/>
          <w:sz w:val="24"/>
          <w:szCs w:val="24"/>
          <w:lang w:val="en-US" w:eastAsia="zh-CN"/>
        </w:rPr>
      </w:pPr>
    </w:p>
    <w:p w14:paraId="6A486131" w14:textId="030F5055" w:rsidR="00A14C51" w:rsidRPr="00AE32DF" w:rsidRDefault="00A14C51" w:rsidP="00A14C51">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A staff member of the </w:t>
      </w:r>
      <w:proofErr w:type="spellStart"/>
      <w:r w:rsidRPr="00AE32DF">
        <w:rPr>
          <w:rFonts w:ascii="MetaPro-Norm" w:eastAsia="SimSun" w:hAnsi="MetaPro-Norm" w:cs="Times New Roman"/>
          <w:sz w:val="24"/>
          <w:szCs w:val="24"/>
          <w:lang w:val="en-US" w:eastAsia="zh-CN"/>
        </w:rPr>
        <w:t>Yenakiieve</w:t>
      </w:r>
      <w:proofErr w:type="spellEnd"/>
      <w:r w:rsidRPr="00AE32DF">
        <w:rPr>
          <w:rFonts w:ascii="MetaPro-Norm" w:eastAsia="SimSun" w:hAnsi="MetaPro-Norm" w:cs="Times New Roman"/>
          <w:sz w:val="24"/>
          <w:szCs w:val="24"/>
          <w:lang w:val="en-US" w:eastAsia="zh-CN"/>
        </w:rPr>
        <w:t xml:space="preserve"> Specialized School Number 1 for Orphans with Impaired Vision, in </w:t>
      </w:r>
      <w:proofErr w:type="spellStart"/>
      <w:r w:rsidRPr="00AE32DF">
        <w:rPr>
          <w:rFonts w:ascii="MetaPro-Norm" w:eastAsia="SimSun" w:hAnsi="MetaPro-Norm" w:cs="Times New Roman"/>
          <w:sz w:val="24"/>
          <w:szCs w:val="24"/>
          <w:lang w:val="en-US" w:eastAsia="zh-CN"/>
        </w:rPr>
        <w:t>Yenakiieve</w:t>
      </w:r>
      <w:proofErr w:type="spellEnd"/>
      <w:r w:rsidRPr="00AE32DF">
        <w:rPr>
          <w:rFonts w:ascii="MetaPro-Norm" w:eastAsia="SimSun" w:hAnsi="MetaPro-Norm" w:cs="Times New Roman"/>
          <w:sz w:val="24"/>
          <w:szCs w:val="24"/>
          <w:lang w:val="en-US" w:eastAsia="zh-CN"/>
        </w:rPr>
        <w:t>, told Human Rights Watch that government forces deployed in the school in August 2014 and remained there for six months.</w:t>
      </w:r>
      <w:r w:rsidR="006D3033" w:rsidRPr="00AE32DF">
        <w:rPr>
          <w:rFonts w:ascii="MetaPro-Norm" w:eastAsia="SimSun" w:hAnsi="MetaPro-Norm" w:cs="Times New Roman"/>
          <w:sz w:val="24"/>
          <w:szCs w:val="24"/>
          <w:lang w:val="en-US" w:eastAsia="zh-CN"/>
        </w:rPr>
        <w:t xml:space="preserve"> All the children were evacuated. </w:t>
      </w:r>
      <w:r w:rsidRPr="00AE32DF">
        <w:rPr>
          <w:rFonts w:ascii="MetaPro-Norm" w:eastAsia="SimSun" w:hAnsi="MetaPro-Norm" w:cs="Times New Roman"/>
          <w:sz w:val="24"/>
          <w:szCs w:val="24"/>
          <w:lang w:val="en-US" w:eastAsia="zh-CN"/>
        </w:rPr>
        <w:t xml:space="preserve">The school was severely damaged during fighting in February 2015 and was not operational when Human Rights Watch visited </w:t>
      </w:r>
      <w:r w:rsidR="006D3033" w:rsidRPr="00AE32DF">
        <w:rPr>
          <w:rFonts w:ascii="MetaPro-Norm" w:eastAsia="SimSun" w:hAnsi="MetaPro-Norm" w:cs="Times New Roman"/>
          <w:sz w:val="24"/>
          <w:szCs w:val="24"/>
          <w:lang w:val="en-US" w:eastAsia="zh-CN"/>
        </w:rPr>
        <w:t>i</w:t>
      </w:r>
      <w:r w:rsidRPr="00AE32DF">
        <w:rPr>
          <w:rFonts w:ascii="MetaPro-Norm" w:eastAsia="SimSun" w:hAnsi="MetaPro-Norm" w:cs="Times New Roman"/>
          <w:sz w:val="24"/>
          <w:szCs w:val="24"/>
          <w:lang w:val="en-US" w:eastAsia="zh-CN"/>
        </w:rPr>
        <w:t>n September 2015.</w:t>
      </w:r>
      <w:r w:rsidR="006D3033" w:rsidRPr="00AE32DF">
        <w:rPr>
          <w:rStyle w:val="FootnoteReference"/>
          <w:rFonts w:ascii="MetaPro-Norm" w:eastAsia="SimSun" w:hAnsi="MetaPro-Norm" w:cs="Times New Roman"/>
          <w:sz w:val="24"/>
          <w:szCs w:val="24"/>
          <w:lang w:val="en-US" w:eastAsia="zh-CN"/>
        </w:rPr>
        <w:footnoteReference w:id="19"/>
      </w:r>
    </w:p>
    <w:p w14:paraId="75C58A6F" w14:textId="77777777" w:rsidR="00A14C51" w:rsidRPr="00AE32DF" w:rsidRDefault="00A14C51" w:rsidP="00A14C51">
      <w:pPr>
        <w:rPr>
          <w:rFonts w:ascii="MetaPro-Norm" w:eastAsia="SimSun" w:hAnsi="MetaPro-Norm" w:cs="Times New Roman"/>
          <w:sz w:val="24"/>
          <w:szCs w:val="24"/>
          <w:lang w:val="en-US" w:eastAsia="zh-CN"/>
        </w:rPr>
      </w:pPr>
    </w:p>
    <w:p w14:paraId="6D2D78A5" w14:textId="4AB417F9" w:rsidR="00A14C51" w:rsidRPr="00AE32DF" w:rsidRDefault="00A14C51" w:rsidP="006D3033">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 xml:space="preserve">Rebel fighters broke down the front door to School Number 4 in </w:t>
      </w:r>
      <w:proofErr w:type="spellStart"/>
      <w:r w:rsidRPr="00AE32DF">
        <w:rPr>
          <w:rFonts w:ascii="MetaPro-Norm" w:eastAsia="SimSun" w:hAnsi="MetaPro-Norm" w:cs="Times New Roman"/>
          <w:sz w:val="24"/>
          <w:szCs w:val="24"/>
          <w:lang w:val="en-US" w:eastAsia="zh-CN"/>
        </w:rPr>
        <w:t>Krasnohorivka</w:t>
      </w:r>
      <w:proofErr w:type="spellEnd"/>
      <w:r w:rsidRPr="00AE32DF">
        <w:rPr>
          <w:rFonts w:ascii="MetaPro-Norm" w:eastAsia="SimSun" w:hAnsi="MetaPro-Norm" w:cs="Times New Roman"/>
          <w:sz w:val="24"/>
          <w:szCs w:val="24"/>
          <w:lang w:val="en-US" w:eastAsia="zh-CN"/>
        </w:rPr>
        <w:t xml:space="preserve"> during the summer holidays in </w:t>
      </w:r>
      <w:proofErr w:type="gramStart"/>
      <w:r w:rsidRPr="00AE32DF">
        <w:rPr>
          <w:rFonts w:ascii="MetaPro-Norm" w:eastAsia="SimSun" w:hAnsi="MetaPro-Norm" w:cs="Times New Roman"/>
          <w:sz w:val="24"/>
          <w:szCs w:val="24"/>
          <w:lang w:val="en-US" w:eastAsia="zh-CN"/>
        </w:rPr>
        <w:t>July 2014, and</w:t>
      </w:r>
      <w:proofErr w:type="gramEnd"/>
      <w:r w:rsidRPr="00AE32DF">
        <w:rPr>
          <w:rFonts w:ascii="MetaPro-Norm" w:eastAsia="SimSun" w:hAnsi="MetaPro-Norm" w:cs="Times New Roman"/>
          <w:sz w:val="24"/>
          <w:szCs w:val="24"/>
          <w:lang w:val="en-US" w:eastAsia="zh-CN"/>
        </w:rPr>
        <w:t xml:space="preserve"> deployed inside the school for approximately one week. After they left, soldiers from the Ukrainian army entered the school one Saturday in either late August or early September, and remained there for more than one year, until September 29, 2015. They told the teachers who tried to return to school that they could not enter their school because it was now a military site, made them stand on the roadside, and delivered their personal belongings to them. Tracks left in </w:t>
      </w:r>
      <w:r w:rsidRPr="00AE32DF">
        <w:rPr>
          <w:rFonts w:ascii="MetaPro-Norm" w:eastAsia="SimSun" w:hAnsi="MetaPro-Norm" w:cs="Times New Roman"/>
          <w:sz w:val="24"/>
          <w:szCs w:val="24"/>
          <w:lang w:val="en-US" w:eastAsia="zh-CN"/>
        </w:rPr>
        <w:lastRenderedPageBreak/>
        <w:t>the asphalt of the school basketball court indicate that a tank may have been parked there, and a teacher at the school speculated that the askew concrete column at the school exit may have been caused by poor tank driving.</w:t>
      </w:r>
      <w:r w:rsidR="006D3033" w:rsidRPr="00AE32DF">
        <w:rPr>
          <w:rFonts w:ascii="MetaPro-Norm" w:eastAsia="SimSun" w:hAnsi="MetaPro-Norm" w:cs="Times New Roman"/>
          <w:sz w:val="24"/>
          <w:szCs w:val="24"/>
          <w:lang w:val="en-US" w:eastAsia="zh-CN"/>
        </w:rPr>
        <w:t xml:space="preserve"> </w:t>
      </w:r>
      <w:r w:rsidRPr="00AE32DF">
        <w:rPr>
          <w:rFonts w:ascii="MetaPro-Norm" w:eastAsia="SimSun" w:hAnsi="MetaPro-Norm" w:cs="Times New Roman"/>
          <w:sz w:val="24"/>
          <w:szCs w:val="24"/>
          <w:lang w:val="en-US" w:eastAsia="zh-CN"/>
        </w:rPr>
        <w:t>“We wrote to the administration, we complained about it, we even wrote to Kiev,” a teacher told Human Rights Watch, who also showed us a copy of a letter to the regional authorities, signed by dozens of parents and most of the school staff. Teachers at the school provided a long list of property looted during the occupation of their school by Ukrainian forces.</w:t>
      </w:r>
      <w:r w:rsidR="006D3033" w:rsidRPr="00AE32DF">
        <w:rPr>
          <w:rStyle w:val="FootnoteReference"/>
          <w:rFonts w:ascii="MetaPro-Norm" w:eastAsia="SimSun" w:hAnsi="MetaPro-Norm" w:cs="Times New Roman"/>
          <w:sz w:val="24"/>
          <w:szCs w:val="24"/>
          <w:lang w:val="en-US" w:eastAsia="zh-CN"/>
        </w:rPr>
        <w:footnoteReference w:id="20"/>
      </w:r>
    </w:p>
    <w:p w14:paraId="047A53B9" w14:textId="77777777" w:rsidR="00A14C51" w:rsidRPr="00AE32DF" w:rsidRDefault="00A14C51" w:rsidP="00A14C51">
      <w:pPr>
        <w:rPr>
          <w:rFonts w:ascii="MetaPro-Norm" w:eastAsia="SimSun" w:hAnsi="MetaPro-Norm" w:cs="Times New Roman"/>
          <w:sz w:val="24"/>
          <w:szCs w:val="24"/>
          <w:lang w:val="en-US" w:eastAsia="zh-CN"/>
        </w:rPr>
      </w:pPr>
    </w:p>
    <w:p w14:paraId="5732B727" w14:textId="64032EB8" w:rsidR="00965B0A" w:rsidRPr="00AE32DF" w:rsidRDefault="00965B0A" w:rsidP="007322EE">
      <w:pPr>
        <w:rPr>
          <w:rFonts w:ascii="MetaPro-Norm" w:eastAsia="SimSun" w:hAnsi="MetaPro-Norm" w:cs="Times New Roman"/>
          <w:sz w:val="24"/>
          <w:szCs w:val="24"/>
          <w:lang w:val="en-US" w:eastAsia="zh-CN"/>
        </w:rPr>
      </w:pPr>
      <w:r w:rsidRPr="00AE32DF">
        <w:rPr>
          <w:rFonts w:ascii="MetaPro-Norm" w:eastAsia="SimSun" w:hAnsi="MetaPro-Norm" w:cs="Times New Roman"/>
          <w:sz w:val="24"/>
          <w:szCs w:val="24"/>
          <w:lang w:val="en-US" w:eastAsia="zh-CN"/>
        </w:rPr>
        <w:t>Under Ukraine’s constitution, “Everyone has the right to education</w:t>
      </w:r>
      <w:r w:rsidR="00A14C51" w:rsidRPr="00AE32DF">
        <w:rPr>
          <w:rFonts w:ascii="MetaPro-Norm" w:eastAsia="SimSun" w:hAnsi="MetaPro-Norm" w:cs="Times New Roman"/>
          <w:sz w:val="24"/>
          <w:szCs w:val="24"/>
          <w:lang w:val="en-US" w:eastAsia="zh-CN"/>
        </w:rPr>
        <w:t>,</w:t>
      </w:r>
      <w:r w:rsidRPr="00AE32DF">
        <w:rPr>
          <w:rFonts w:ascii="MetaPro-Norm" w:eastAsia="SimSun" w:hAnsi="MetaPro-Norm" w:cs="Times New Roman"/>
          <w:sz w:val="24"/>
          <w:szCs w:val="24"/>
          <w:lang w:val="en-US" w:eastAsia="zh-CN"/>
        </w:rPr>
        <w:t>”</w:t>
      </w:r>
      <w:r w:rsidR="00A14C51" w:rsidRPr="00AE32DF">
        <w:rPr>
          <w:rFonts w:ascii="MetaPro-Norm" w:eastAsia="SimSun" w:hAnsi="MetaPro-Norm" w:cs="Times New Roman"/>
          <w:sz w:val="24"/>
          <w:szCs w:val="24"/>
          <w:lang w:val="en-US" w:eastAsia="zh-CN"/>
        </w:rPr>
        <w:t xml:space="preserve"> and that </w:t>
      </w:r>
      <w:r w:rsidRPr="00AE32DF">
        <w:rPr>
          <w:rFonts w:ascii="MetaPro-Norm" w:eastAsia="SimSun" w:hAnsi="MetaPro-Norm" w:cs="Times New Roman"/>
          <w:sz w:val="24"/>
          <w:szCs w:val="24"/>
          <w:lang w:val="en-US" w:eastAsia="zh-CN"/>
        </w:rPr>
        <w:t>“complete general secondary education is compulsory,” and that the state is responsible for ensuring “accessible and free pre-school, complete general secondary, vocational and higher education in state and communal educational establishments.”</w:t>
      </w:r>
      <w:r w:rsidR="00A14C51" w:rsidRPr="00AE32DF">
        <w:rPr>
          <w:rStyle w:val="FootnoteReference"/>
          <w:rFonts w:ascii="MetaPro-Norm" w:eastAsia="SimSun" w:hAnsi="MetaPro-Norm" w:cs="Times New Roman"/>
          <w:sz w:val="24"/>
          <w:szCs w:val="24"/>
          <w:lang w:val="en-US" w:eastAsia="zh-CN"/>
        </w:rPr>
        <w:footnoteReference w:id="21"/>
      </w:r>
      <w:r w:rsidR="00A14C51" w:rsidRPr="00AE32DF">
        <w:rPr>
          <w:rFonts w:ascii="MetaPro-Norm" w:eastAsia="SimSun" w:hAnsi="MetaPro-Norm" w:cs="Times New Roman"/>
          <w:sz w:val="24"/>
          <w:szCs w:val="24"/>
          <w:lang w:val="en-US" w:eastAsia="zh-CN"/>
        </w:rPr>
        <w:t xml:space="preserve"> Ukraine’s “Law on Education” obliges the state to guarantee all students’ right “to have a safe and hazard-free conditions of studies.”</w:t>
      </w:r>
      <w:r w:rsidR="00A14C51" w:rsidRPr="00AE32DF">
        <w:rPr>
          <w:rStyle w:val="FootnoteReference"/>
          <w:rFonts w:ascii="MetaPro-Norm" w:eastAsia="SimSun" w:hAnsi="MetaPro-Norm" w:cs="Times New Roman"/>
          <w:sz w:val="24"/>
          <w:szCs w:val="24"/>
          <w:lang w:val="en-US" w:eastAsia="zh-CN"/>
        </w:rPr>
        <w:footnoteReference w:id="22"/>
      </w:r>
      <w:r w:rsidR="00A14C51" w:rsidRPr="00AE32DF">
        <w:rPr>
          <w:rFonts w:ascii="MetaPro-Norm" w:eastAsia="SimSun" w:hAnsi="MetaPro-Norm" w:cs="Times New Roman"/>
          <w:sz w:val="24"/>
          <w:szCs w:val="24"/>
          <w:lang w:val="en-US" w:eastAsia="zh-CN"/>
        </w:rPr>
        <w:t xml:space="preserve"> Ukraine’s Manual on the Implementation of the Rules of International Humanitarian Law in the Armed Forces states “As concerns children, international humanitarian law envisages the following: … the right of children to receive an education shall be guaranteed.”</w:t>
      </w:r>
      <w:r w:rsidR="00A14C51" w:rsidRPr="00AE32DF">
        <w:rPr>
          <w:rStyle w:val="FootnoteReference"/>
          <w:rFonts w:ascii="MetaPro-Norm" w:eastAsia="SimSun" w:hAnsi="MetaPro-Norm" w:cs="Times New Roman"/>
          <w:sz w:val="24"/>
          <w:szCs w:val="24"/>
          <w:lang w:val="en-US" w:eastAsia="zh-CN"/>
        </w:rPr>
        <w:footnoteReference w:id="23"/>
      </w:r>
    </w:p>
    <w:p w14:paraId="1E3EE0E9" w14:textId="77777777" w:rsidR="00965B0A" w:rsidRPr="00AE32DF" w:rsidRDefault="00965B0A" w:rsidP="007322EE">
      <w:pPr>
        <w:rPr>
          <w:rFonts w:ascii="MetaPro-Norm" w:eastAsia="SimSun" w:hAnsi="MetaPro-Norm" w:cs="Times New Roman"/>
          <w:sz w:val="24"/>
          <w:szCs w:val="24"/>
          <w:highlight w:val="yellow"/>
          <w:lang w:val="en-US" w:eastAsia="zh-CN"/>
        </w:rPr>
      </w:pPr>
    </w:p>
    <w:p w14:paraId="63664831" w14:textId="526CF98D" w:rsidR="00EF455D" w:rsidRPr="00AE32DF" w:rsidRDefault="00A27DA1" w:rsidP="00A27DA1">
      <w:pPr>
        <w:rPr>
          <w:rFonts w:ascii="MetaPro-Norm" w:eastAsia="SimSun" w:hAnsi="MetaPro-Norm" w:cs="Times New Roman"/>
          <w:b/>
          <w:bCs/>
          <w:sz w:val="24"/>
          <w:szCs w:val="24"/>
          <w:lang w:val="en-US" w:eastAsia="zh-CN"/>
        </w:rPr>
      </w:pPr>
      <w:r w:rsidRPr="00AE32DF">
        <w:rPr>
          <w:rFonts w:ascii="MetaPro-Norm" w:eastAsia="SimSun" w:hAnsi="MetaPro-Norm" w:cs="Times New Roman"/>
          <w:sz w:val="24"/>
          <w:szCs w:val="24"/>
          <w:lang w:val="en-US" w:eastAsia="zh-CN"/>
        </w:rPr>
        <w:t xml:space="preserve">On November 20, 2019, </w:t>
      </w:r>
      <w:r w:rsidR="00EF455D" w:rsidRPr="00AE32DF">
        <w:rPr>
          <w:rFonts w:ascii="MetaPro-Norm" w:eastAsia="SimSun" w:hAnsi="MetaPro-Norm" w:cs="Times New Roman"/>
          <w:sz w:val="24"/>
          <w:szCs w:val="24"/>
          <w:lang w:val="en-US" w:eastAsia="zh-CN"/>
        </w:rPr>
        <w:t>Ukraine became the 100</w:t>
      </w:r>
      <w:r w:rsidR="00EF455D" w:rsidRPr="00AE32DF">
        <w:rPr>
          <w:rFonts w:ascii="MetaPro-Norm" w:eastAsia="SimSun" w:hAnsi="MetaPro-Norm" w:cs="Times New Roman"/>
          <w:sz w:val="24"/>
          <w:szCs w:val="24"/>
          <w:vertAlign w:val="superscript"/>
          <w:lang w:val="en-US" w:eastAsia="zh-CN"/>
        </w:rPr>
        <w:t>th</w:t>
      </w:r>
      <w:r w:rsidR="00EF455D" w:rsidRPr="00AE32DF">
        <w:rPr>
          <w:rFonts w:ascii="MetaPro-Norm" w:eastAsia="SimSun" w:hAnsi="MetaPro-Norm" w:cs="Times New Roman"/>
          <w:sz w:val="24"/>
          <w:szCs w:val="24"/>
          <w:lang w:val="en-US" w:eastAsia="zh-CN"/>
        </w:rPr>
        <w:t xml:space="preserve"> country to endorse the</w:t>
      </w:r>
      <w:r w:rsidRPr="00AE32DF">
        <w:rPr>
          <w:rFonts w:ascii="MetaPro-Norm" w:eastAsia="SimSun" w:hAnsi="MetaPro-Norm" w:cs="Times New Roman"/>
          <w:sz w:val="24"/>
          <w:szCs w:val="24"/>
          <w:lang w:val="en-US" w:eastAsia="zh-CN"/>
        </w:rPr>
        <w:t xml:space="preserve"> Safe Schools Declaration, an inter-governmental international commitment to protect education in armed conflict.</w:t>
      </w:r>
      <w:r w:rsidR="00C53047" w:rsidRPr="00AE32DF">
        <w:rPr>
          <w:rStyle w:val="FootnoteReference"/>
          <w:rFonts w:ascii="MetaPro-Norm" w:eastAsia="SimSun" w:hAnsi="MetaPro-Norm" w:cs="Times New Roman"/>
          <w:sz w:val="24"/>
          <w:szCs w:val="24"/>
          <w:lang w:val="en-US" w:eastAsia="zh-CN"/>
        </w:rPr>
        <w:footnoteReference w:id="24"/>
      </w:r>
      <w:r w:rsidRPr="00AE32DF">
        <w:rPr>
          <w:rFonts w:ascii="MetaPro-Norm" w:eastAsia="SimSun" w:hAnsi="MetaPro-Norm" w:cs="Times New Roman"/>
          <w:sz w:val="24"/>
          <w:szCs w:val="24"/>
          <w:lang w:val="en-US" w:eastAsia="zh-CN"/>
        </w:rPr>
        <w:t xml:space="preserve"> The declaration includes a pledge to use the </w:t>
      </w:r>
      <w:r w:rsidRPr="00AE32DF">
        <w:rPr>
          <w:rFonts w:ascii="MetaPro-Norm" w:eastAsia="SimSun" w:hAnsi="MetaPro-Norm" w:cs="Times New Roman"/>
          <w:i/>
          <w:iCs/>
          <w:sz w:val="24"/>
          <w:szCs w:val="24"/>
          <w:lang w:val="en-US" w:eastAsia="zh-CN"/>
        </w:rPr>
        <w:t>Guidelines for Protecting Schools and Universities from Military Use during Armed Conflict.</w:t>
      </w:r>
      <w:r w:rsidR="00C53047" w:rsidRPr="00AE32DF">
        <w:rPr>
          <w:rStyle w:val="FootnoteReference"/>
          <w:rFonts w:ascii="MetaPro-Norm" w:eastAsia="SimSun" w:hAnsi="MetaPro-Norm" w:cs="Times New Roman"/>
          <w:i/>
          <w:iCs/>
          <w:sz w:val="24"/>
          <w:szCs w:val="24"/>
          <w:lang w:val="en-US" w:eastAsia="zh-CN"/>
        </w:rPr>
        <w:footnoteReference w:id="25"/>
      </w:r>
    </w:p>
    <w:p w14:paraId="0E751CEA" w14:textId="3DE30610" w:rsidR="00AF426A" w:rsidRPr="00AE32DF" w:rsidRDefault="00AF426A" w:rsidP="007322EE">
      <w:pPr>
        <w:rPr>
          <w:rFonts w:ascii="MetaPro-Norm" w:eastAsia="SimSun" w:hAnsi="MetaPro-Norm" w:cs="Times New Roman"/>
          <w:sz w:val="24"/>
          <w:szCs w:val="24"/>
          <w:highlight w:val="yellow"/>
          <w:lang w:val="en-US" w:eastAsia="zh-CN"/>
        </w:rPr>
      </w:pPr>
    </w:p>
    <w:p w14:paraId="604A0ABE" w14:textId="60E3FF16" w:rsidR="00AF426A" w:rsidRPr="00AE32DF" w:rsidRDefault="00AF426A" w:rsidP="00AF426A">
      <w:pPr>
        <w:rPr>
          <w:rFonts w:ascii="MetaPro-Norm" w:hAnsi="MetaPro-Norm"/>
          <w:i/>
          <w:sz w:val="24"/>
          <w:szCs w:val="24"/>
        </w:rPr>
      </w:pPr>
      <w:r w:rsidRPr="00AE32DF">
        <w:rPr>
          <w:rFonts w:ascii="MetaPro-Norm" w:hAnsi="MetaPro-Norm"/>
          <w:i/>
          <w:sz w:val="24"/>
          <w:szCs w:val="24"/>
        </w:rPr>
        <w:t>We encourage the Committee to pose the following questions</w:t>
      </w:r>
      <w:r w:rsidRPr="00AE32DF">
        <w:rPr>
          <w:rFonts w:ascii="MetaPro-Norm" w:hAnsi="MetaPro-Norm"/>
          <w:i/>
          <w:iCs/>
          <w:color w:val="000000" w:themeColor="text1"/>
          <w:sz w:val="24"/>
          <w:szCs w:val="24"/>
        </w:rPr>
        <w:t xml:space="preserve"> to the government</w:t>
      </w:r>
      <w:r w:rsidR="001B3F74" w:rsidRPr="00AE32DF">
        <w:rPr>
          <w:rFonts w:ascii="MetaPro-Norm" w:hAnsi="MetaPro-Norm"/>
          <w:i/>
          <w:iCs/>
          <w:color w:val="000000" w:themeColor="text1"/>
          <w:sz w:val="24"/>
          <w:szCs w:val="24"/>
        </w:rPr>
        <w:t xml:space="preserve">: </w:t>
      </w:r>
    </w:p>
    <w:p w14:paraId="377C6611" w14:textId="0E851B38" w:rsidR="004F43E4" w:rsidRPr="00AE32DF" w:rsidRDefault="004F43E4" w:rsidP="004F43E4">
      <w:pPr>
        <w:pStyle w:val="ListParagraph"/>
        <w:numPr>
          <w:ilvl w:val="0"/>
          <w:numId w:val="11"/>
        </w:numPr>
        <w:rPr>
          <w:rFonts w:ascii="MetaPro-Norm" w:hAnsi="MetaPro-Norm"/>
          <w:sz w:val="24"/>
          <w:szCs w:val="24"/>
        </w:rPr>
      </w:pPr>
      <w:r w:rsidRPr="00AE32DF">
        <w:rPr>
          <w:rFonts w:ascii="MetaPro-Norm" w:hAnsi="MetaPro-Norm"/>
          <w:sz w:val="24"/>
          <w:szCs w:val="24"/>
        </w:rPr>
        <w:t xml:space="preserve">Are </w:t>
      </w:r>
      <w:r w:rsidR="00A14C51" w:rsidRPr="00AE32DF">
        <w:rPr>
          <w:rFonts w:ascii="MetaPro-Norm" w:hAnsi="MetaPro-Norm"/>
          <w:sz w:val="24"/>
          <w:szCs w:val="24"/>
        </w:rPr>
        <w:t xml:space="preserve">explicit </w:t>
      </w:r>
      <w:r w:rsidRPr="00AE32DF">
        <w:rPr>
          <w:rFonts w:ascii="MetaPro-Norm" w:hAnsi="MetaPro-Norm"/>
          <w:sz w:val="24"/>
          <w:szCs w:val="24"/>
        </w:rPr>
        <w:t xml:space="preserve">protections for schools </w:t>
      </w:r>
      <w:r w:rsidR="00A14C51" w:rsidRPr="00AE32DF">
        <w:rPr>
          <w:rFonts w:ascii="MetaPro-Norm" w:hAnsi="MetaPro-Norm"/>
          <w:sz w:val="24"/>
          <w:szCs w:val="24"/>
        </w:rPr>
        <w:t xml:space="preserve">or universities </w:t>
      </w:r>
      <w:r w:rsidRPr="00AE32DF">
        <w:rPr>
          <w:rFonts w:ascii="MetaPro-Norm" w:hAnsi="MetaPro-Norm"/>
          <w:sz w:val="24"/>
          <w:szCs w:val="24"/>
        </w:rPr>
        <w:t xml:space="preserve">from military use included in any policies, rules, or trainings for Ukraine’s armed forces? </w:t>
      </w:r>
    </w:p>
    <w:p w14:paraId="57CED234" w14:textId="77777777" w:rsidR="00AF426A" w:rsidRPr="00AE32DF" w:rsidRDefault="00AF426A" w:rsidP="00AF426A">
      <w:pPr>
        <w:ind w:left="720"/>
        <w:rPr>
          <w:rFonts w:ascii="MetaPro-Norm" w:eastAsia="SimSun" w:hAnsi="MetaPro-Norm" w:cs="Times New Roman"/>
          <w:sz w:val="24"/>
          <w:szCs w:val="24"/>
          <w:lang w:val="en-US" w:eastAsia="zh-CN"/>
        </w:rPr>
      </w:pPr>
    </w:p>
    <w:p w14:paraId="4BD2BCE8" w14:textId="68DB97F4" w:rsidR="001B3F74" w:rsidRPr="00AE32DF" w:rsidRDefault="001B3F74" w:rsidP="000E39D4">
      <w:pPr>
        <w:rPr>
          <w:rFonts w:ascii="MetaPro-Norm" w:hAnsi="MetaPro-Norm"/>
          <w:i/>
          <w:iCs/>
          <w:sz w:val="24"/>
          <w:szCs w:val="24"/>
        </w:rPr>
      </w:pPr>
      <w:r w:rsidRPr="00AE32DF">
        <w:rPr>
          <w:rFonts w:ascii="MetaPro-Norm" w:hAnsi="MetaPro-Norm"/>
          <w:i/>
          <w:iCs/>
          <w:sz w:val="24"/>
          <w:szCs w:val="24"/>
        </w:rPr>
        <w:t>We encourage the Committee to make the following recommendations to the government:</w:t>
      </w:r>
    </w:p>
    <w:p w14:paraId="58BB9339" w14:textId="60C4C89C" w:rsidR="007322EE" w:rsidRPr="00AE32DF" w:rsidRDefault="001B3F74" w:rsidP="00D861FF">
      <w:pPr>
        <w:pStyle w:val="ListParagraph"/>
        <w:numPr>
          <w:ilvl w:val="0"/>
          <w:numId w:val="10"/>
        </w:numPr>
        <w:rPr>
          <w:rFonts w:ascii="MetaPro-Norm" w:hAnsi="MetaPro-Norm"/>
          <w:iCs/>
          <w:sz w:val="24"/>
          <w:szCs w:val="24"/>
        </w:rPr>
      </w:pPr>
      <w:r w:rsidRPr="00AE32DF">
        <w:rPr>
          <w:rFonts w:ascii="MetaPro-Norm" w:eastAsia="SimSun" w:hAnsi="MetaPro-Norm" w:cs="Times New Roman"/>
          <w:sz w:val="24"/>
          <w:szCs w:val="24"/>
          <w:lang w:eastAsia="zh-CN"/>
        </w:rPr>
        <w:t>Commend</w:t>
      </w:r>
      <w:r w:rsidR="00AA7E3E" w:rsidRPr="00AE32DF">
        <w:rPr>
          <w:rFonts w:ascii="MetaPro-Norm" w:hAnsi="MetaPro-Norm"/>
          <w:iCs/>
          <w:sz w:val="24"/>
          <w:szCs w:val="24"/>
        </w:rPr>
        <w:t xml:space="preserve"> the government of Ukraine on endorsing the Safe Schools Declaration, thereby committing to use the </w:t>
      </w:r>
      <w:r w:rsidR="00AA7E3E" w:rsidRPr="00AE32DF">
        <w:rPr>
          <w:rFonts w:ascii="MetaPro-Norm" w:hAnsi="MetaPro-Norm"/>
          <w:i/>
          <w:sz w:val="24"/>
          <w:szCs w:val="24"/>
        </w:rPr>
        <w:t>Guidelines for Protecting Schools and Universities from Military Use in Armed Conflict.</w:t>
      </w:r>
    </w:p>
    <w:p w14:paraId="1E6D609C" w14:textId="77777777" w:rsidR="008E3038" w:rsidRPr="00AE32DF" w:rsidRDefault="008E3038" w:rsidP="008E3038">
      <w:pPr>
        <w:pStyle w:val="ListParagraph"/>
        <w:numPr>
          <w:ilvl w:val="0"/>
          <w:numId w:val="12"/>
        </w:numPr>
        <w:jc w:val="both"/>
        <w:rPr>
          <w:rFonts w:ascii="MetaPro-Norm" w:hAnsi="MetaPro-Norm"/>
          <w:iCs/>
          <w:sz w:val="24"/>
          <w:szCs w:val="24"/>
        </w:rPr>
      </w:pPr>
      <w:r w:rsidRPr="00AE32DF">
        <w:rPr>
          <w:rFonts w:ascii="MetaPro-Norm" w:hAnsi="MetaPro-Norm"/>
          <w:iCs/>
          <w:sz w:val="24"/>
          <w:szCs w:val="24"/>
        </w:rPr>
        <w:lastRenderedPageBreak/>
        <w:t>Ensure that students deprived of educational facilities as a result of hostilities, the military use of their school, or the need for their school to be repaired or reconstructed, are promptly provided access to nearby alternative schools.</w:t>
      </w:r>
    </w:p>
    <w:p w14:paraId="65200707" w14:textId="491DCEED" w:rsidR="008E3038" w:rsidRPr="00AE32DF" w:rsidRDefault="00965B0A" w:rsidP="008E3038">
      <w:pPr>
        <w:pStyle w:val="ListParagraph"/>
        <w:numPr>
          <w:ilvl w:val="0"/>
          <w:numId w:val="12"/>
        </w:numPr>
        <w:jc w:val="both"/>
        <w:rPr>
          <w:rFonts w:ascii="MetaPro-Norm" w:hAnsi="MetaPro-Norm"/>
          <w:iCs/>
          <w:sz w:val="24"/>
          <w:szCs w:val="24"/>
        </w:rPr>
      </w:pPr>
      <w:r w:rsidRPr="00AE32DF">
        <w:rPr>
          <w:rFonts w:ascii="MetaPro-Norm" w:hAnsi="MetaPro-Norm"/>
          <w:iCs/>
          <w:sz w:val="24"/>
          <w:szCs w:val="24"/>
        </w:rPr>
        <w:t>C</w:t>
      </w:r>
      <w:r w:rsidR="008E3038" w:rsidRPr="00AE32DF">
        <w:rPr>
          <w:rFonts w:ascii="MetaPro-Norm" w:hAnsi="MetaPro-Norm"/>
          <w:iCs/>
          <w:sz w:val="24"/>
          <w:szCs w:val="24"/>
        </w:rPr>
        <w:t xml:space="preserve">ollect data on military use of schools by </w:t>
      </w:r>
      <w:r w:rsidR="00D861FF" w:rsidRPr="00AE32DF">
        <w:rPr>
          <w:rFonts w:ascii="MetaPro-Norm" w:hAnsi="MetaPro-Norm"/>
          <w:iCs/>
          <w:sz w:val="24"/>
          <w:szCs w:val="24"/>
        </w:rPr>
        <w:t>government forces</w:t>
      </w:r>
      <w:r w:rsidR="008E3038" w:rsidRPr="00AE32DF">
        <w:rPr>
          <w:rFonts w:ascii="MetaPro-Norm" w:hAnsi="MetaPro-Norm"/>
          <w:iCs/>
          <w:sz w:val="24"/>
          <w:szCs w:val="24"/>
        </w:rPr>
        <w:t xml:space="preserve"> and armed groups. Data should include the names and locations of the school; the purpose for which they are being used; the duration of the use; the specific security force unit or armed group us</w:t>
      </w:r>
      <w:r w:rsidR="001E4172" w:rsidRPr="00AE32DF">
        <w:rPr>
          <w:rFonts w:ascii="MetaPro-Norm" w:hAnsi="MetaPro-Norm"/>
          <w:iCs/>
          <w:sz w:val="24"/>
          <w:szCs w:val="24"/>
        </w:rPr>
        <w:t>ing</w:t>
      </w:r>
      <w:r w:rsidR="008E3038" w:rsidRPr="00AE32DF">
        <w:rPr>
          <w:rFonts w:ascii="MetaPro-Norm" w:hAnsi="MetaPro-Norm"/>
          <w:iCs/>
          <w:sz w:val="24"/>
          <w:szCs w:val="24"/>
        </w:rPr>
        <w:t xml:space="preserve"> the school; impact on students unable to attend school; actions taken by the authorities to end military use of the school; and the damages sustained during the military use of the school. </w:t>
      </w:r>
    </w:p>
    <w:p w14:paraId="19314699" w14:textId="0AAC203A" w:rsidR="004F212F" w:rsidRPr="00AE32DF" w:rsidRDefault="008E3038" w:rsidP="00026A91">
      <w:pPr>
        <w:pStyle w:val="ListParagraph"/>
        <w:numPr>
          <w:ilvl w:val="0"/>
          <w:numId w:val="12"/>
        </w:numPr>
        <w:jc w:val="both"/>
        <w:rPr>
          <w:rFonts w:ascii="MetaPro-Norm" w:hAnsi="MetaPro-Norm"/>
          <w:sz w:val="24"/>
          <w:szCs w:val="24"/>
        </w:rPr>
      </w:pPr>
      <w:r w:rsidRPr="00AE32DF">
        <w:rPr>
          <w:rFonts w:ascii="MetaPro-Norm" w:hAnsi="MetaPro-Norm"/>
          <w:color w:val="000000" w:themeColor="text1"/>
          <w:sz w:val="24"/>
          <w:szCs w:val="24"/>
        </w:rPr>
        <w:t xml:space="preserve">Continue to develop and share examples of its implementation of the declaration’s commitments—including </w:t>
      </w:r>
      <w:r w:rsidR="00A14C51" w:rsidRPr="00AE32DF">
        <w:rPr>
          <w:rFonts w:ascii="MetaPro-Norm" w:hAnsi="MetaPro-Norm"/>
          <w:color w:val="000000" w:themeColor="text1"/>
          <w:sz w:val="24"/>
          <w:szCs w:val="24"/>
        </w:rPr>
        <w:t xml:space="preserve">ensuring the continuation of education during armed conflict, and </w:t>
      </w:r>
      <w:r w:rsidRPr="00AE32DF">
        <w:rPr>
          <w:rFonts w:ascii="MetaPro-Norm" w:hAnsi="MetaPro-Norm"/>
          <w:color w:val="000000" w:themeColor="text1"/>
          <w:sz w:val="24"/>
          <w:szCs w:val="24"/>
        </w:rPr>
        <w:t>concrete measures to deter the military use of schools—with this Committee and other countries that have endorsed the Safe Schools Declaration.</w:t>
      </w:r>
    </w:p>
    <w:sectPr w:rsidR="004F212F" w:rsidRPr="00AE32DF">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C968D5" w16cex:dateUtc="2020-01-15T15:32:00Z"/>
  <w16cex:commentExtensible w16cex:durableId="21C96A14" w16cex:dateUtc="2020-01-15T15:38:00Z"/>
  <w16cex:commentExtensible w16cex:durableId="21C968FC" w16cex:dateUtc="2020-01-15T15:33:00Z"/>
  <w16cex:commentExtensible w16cex:durableId="21C8015C" w16cex:dateUtc="2020-01-14T13:59:00Z"/>
  <w16cex:commentExtensible w16cex:durableId="21C96937" w16cex:dateUtc="2020-01-15T15:34:00Z"/>
  <w16cex:commentExtensible w16cex:durableId="21C969E0" w16cex:dateUtc="2020-01-15T15:37:00Z"/>
  <w16cex:commentExtensible w16cex:durableId="21C9698C" w16cex:dateUtc="2020-01-15T15: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D865B" w14:textId="77777777" w:rsidR="00CB05FB" w:rsidRDefault="00CB05FB" w:rsidP="00FE7EAA">
      <w:r>
        <w:separator/>
      </w:r>
    </w:p>
  </w:endnote>
  <w:endnote w:type="continuationSeparator" w:id="0">
    <w:p w14:paraId="3E067469" w14:textId="77777777" w:rsidR="00CB05FB" w:rsidRDefault="00CB05FB" w:rsidP="00FE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Norm">
    <w:panose1 w:val="020B0504030101020102"/>
    <w:charset w:val="00"/>
    <w:family w:val="swiss"/>
    <w:notTrueType/>
    <w:pitch w:val="variable"/>
    <w:sig w:usb0="A00002F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679684"/>
      <w:docPartObj>
        <w:docPartGallery w:val="Page Numbers (Bottom of Page)"/>
        <w:docPartUnique/>
      </w:docPartObj>
    </w:sdtPr>
    <w:sdtEndPr>
      <w:rPr>
        <w:noProof/>
      </w:rPr>
    </w:sdtEndPr>
    <w:sdtContent>
      <w:p w14:paraId="0E4B90A8" w14:textId="77777777" w:rsidR="004877E8" w:rsidRDefault="006618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93682" w14:textId="77777777" w:rsidR="004877E8" w:rsidRDefault="002A5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36B5A" w14:textId="77777777" w:rsidR="00CB05FB" w:rsidRDefault="00CB05FB" w:rsidP="00FE7EAA">
      <w:r>
        <w:separator/>
      </w:r>
    </w:p>
  </w:footnote>
  <w:footnote w:type="continuationSeparator" w:id="0">
    <w:p w14:paraId="7AF9C8FF" w14:textId="77777777" w:rsidR="00CB05FB" w:rsidRDefault="00CB05FB" w:rsidP="00FE7EAA">
      <w:r>
        <w:continuationSeparator/>
      </w:r>
    </w:p>
  </w:footnote>
  <w:footnote w:id="1">
    <w:p w14:paraId="42A9647C" w14:textId="77777777" w:rsidR="007322EE" w:rsidRPr="00AE32DF" w:rsidRDefault="007322EE" w:rsidP="007322EE">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Cabinet of Ministers of Ukraine Decree No. 637, entered into force November 5, 2014, </w:t>
      </w:r>
      <w:hyperlink r:id="rId1" w:history="1">
        <w:r w:rsidRPr="00AE32DF">
          <w:rPr>
            <w:rStyle w:val="Hyperlink"/>
            <w:rFonts w:ascii="MetaPro-Norm" w:hAnsi="MetaPro-Norm"/>
            <w:sz w:val="16"/>
            <w:szCs w:val="16"/>
          </w:rPr>
          <w:t>http://zakon2.rada.gov.ua/laws/show/637-2014-%D0%BF</w:t>
        </w:r>
      </w:hyperlink>
      <w:r w:rsidRPr="00AE32DF">
        <w:rPr>
          <w:rFonts w:ascii="MetaPro-Norm" w:hAnsi="MetaPro-Norm"/>
          <w:sz w:val="16"/>
          <w:szCs w:val="16"/>
        </w:rPr>
        <w:t xml:space="preserve"> (accessed August 29, 2018). Cabinet of Ministers of Ukraine Decree No. 365, entered into force June 8, 2016, </w:t>
      </w:r>
      <w:hyperlink r:id="rId2" w:history="1">
        <w:r w:rsidRPr="00AE32DF">
          <w:rPr>
            <w:rStyle w:val="Hyperlink"/>
            <w:rFonts w:ascii="MetaPro-Norm" w:hAnsi="MetaPro-Norm"/>
            <w:sz w:val="16"/>
            <w:szCs w:val="16"/>
          </w:rPr>
          <w:t>http://zakon3.rada.gov.ua/laws/show/365-2016-%D0%BF</w:t>
        </w:r>
      </w:hyperlink>
      <w:r w:rsidRPr="00AE32DF">
        <w:rPr>
          <w:rFonts w:ascii="MetaPro-Norm" w:hAnsi="MetaPro-Norm"/>
          <w:sz w:val="16"/>
          <w:szCs w:val="16"/>
        </w:rPr>
        <w:t xml:space="preserve"> (accessed August 31, 2018).</w:t>
      </w:r>
    </w:p>
  </w:footnote>
  <w:footnote w:id="2">
    <w:p w14:paraId="7780C235" w14:textId="77777777" w:rsidR="007322EE" w:rsidRPr="00AE32DF" w:rsidRDefault="007322EE" w:rsidP="007322EE">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Ministry of Social Protection of Ukraine,  </w:t>
      </w:r>
      <w:hyperlink r:id="rId3" w:history="1">
        <w:r w:rsidRPr="00AE32DF">
          <w:rPr>
            <w:rStyle w:val="Hyperlink"/>
            <w:rFonts w:ascii="MetaPro-Norm" w:hAnsi="MetaPro-Norm"/>
            <w:sz w:val="16"/>
            <w:szCs w:val="16"/>
          </w:rPr>
          <w:t>https://www.msp.gov.ua/news/15636.html?PrintVersion</w:t>
        </w:r>
      </w:hyperlink>
      <w:r w:rsidRPr="00AE32DF">
        <w:rPr>
          <w:rFonts w:ascii="MetaPro-Norm" w:hAnsi="MetaPro-Norm"/>
          <w:sz w:val="16"/>
          <w:szCs w:val="16"/>
        </w:rPr>
        <w:t xml:space="preserve"> (accessed August 30, 2018).</w:t>
      </w:r>
    </w:p>
  </w:footnote>
  <w:footnote w:id="3">
    <w:p w14:paraId="282E4DBC" w14:textId="4E66A716" w:rsidR="00AE32DF" w:rsidRPr="00AE32DF" w:rsidRDefault="00AE32DF" w:rsidP="00AE32DF">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“Ukraine: Ensure All Pensioners Have Access to Benefits: Discriminatory Policies Restrict Older People’s Access to Pensions,” Human Rights Watch news release, August 31, 2018, </w:t>
      </w:r>
      <w:hyperlink r:id="rId4" w:history="1">
        <w:r w:rsidRPr="00AE32DF">
          <w:rPr>
            <w:rStyle w:val="Hyperlink"/>
            <w:rFonts w:ascii="MetaPro-Norm" w:hAnsi="MetaPro-Norm"/>
            <w:sz w:val="16"/>
            <w:szCs w:val="16"/>
          </w:rPr>
          <w:t>https://www.hrw.org/news/2018/08/31/ukraine-ensure-all-pensioners-have-access-benefits</w:t>
        </w:r>
      </w:hyperlink>
    </w:p>
  </w:footnote>
  <w:footnote w:id="4">
    <w:p w14:paraId="4CDF56BC" w14:textId="661F2B7F" w:rsidR="00C21D70" w:rsidRPr="00AE32DF" w:rsidRDefault="005A4786" w:rsidP="0083683E">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w:t>
      </w:r>
      <w:r w:rsidR="00C21D70" w:rsidRPr="00AE32DF">
        <w:rPr>
          <w:rFonts w:ascii="MetaPro-Norm" w:hAnsi="MetaPro-Norm"/>
          <w:sz w:val="16"/>
          <w:szCs w:val="16"/>
        </w:rPr>
        <w:t>Laura Mills, “</w:t>
      </w:r>
      <w:r w:rsidRPr="00AE32DF">
        <w:rPr>
          <w:rFonts w:ascii="MetaPro-Norm" w:hAnsi="MetaPro-Norm"/>
          <w:sz w:val="16"/>
          <w:szCs w:val="16"/>
        </w:rPr>
        <w:t>Making Life a Little Easier on Ukraine’s Front Lines: Government Eases Crossing Pass Requirements, Should Stop Pension Discrimination</w:t>
      </w:r>
      <w:r w:rsidR="00C21D70" w:rsidRPr="00AE32DF">
        <w:rPr>
          <w:rFonts w:ascii="MetaPro-Norm" w:hAnsi="MetaPro-Norm"/>
          <w:sz w:val="16"/>
          <w:szCs w:val="16"/>
        </w:rPr>
        <w:t>,” commentary, Human Rights</w:t>
      </w:r>
      <w:r w:rsidR="0065666F" w:rsidRPr="00AE32DF">
        <w:rPr>
          <w:rFonts w:ascii="MetaPro-Norm" w:hAnsi="MetaPro-Norm"/>
          <w:sz w:val="16"/>
          <w:szCs w:val="16"/>
        </w:rPr>
        <w:t xml:space="preserve"> Dispatch, April 10, 2019, </w:t>
      </w:r>
      <w:hyperlink r:id="rId5" w:history="1">
        <w:r w:rsidR="0083683E" w:rsidRPr="00AE32DF">
          <w:rPr>
            <w:rStyle w:val="Hyperlink"/>
            <w:rFonts w:ascii="MetaPro-Norm" w:hAnsi="MetaPro-Norm"/>
            <w:sz w:val="16"/>
            <w:szCs w:val="16"/>
          </w:rPr>
          <w:t>https://www.hrw.org/news/2019/04/10/making-life-little-easier-ukraines-front-lines</w:t>
        </w:r>
      </w:hyperlink>
    </w:p>
  </w:footnote>
  <w:footnote w:id="5">
    <w:p w14:paraId="2CB93A65" w14:textId="77777777" w:rsidR="0064253F" w:rsidRPr="00AE32DF" w:rsidRDefault="0064253F" w:rsidP="0064253F">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Ukraine: Dangers, Unnecessary Delays at Crossing Points: Improve Security, Facilities Along the Line of Contact, Facilitate Better Crossing for Civilians,” Human Rights Watch news release, February 17, 2017 </w:t>
      </w:r>
      <w:hyperlink r:id="rId6" w:history="1">
        <w:r w:rsidRPr="00AE32DF">
          <w:rPr>
            <w:rStyle w:val="Hyperlink"/>
            <w:rFonts w:ascii="MetaPro-Norm" w:hAnsi="MetaPro-Norm"/>
            <w:sz w:val="16"/>
            <w:szCs w:val="16"/>
          </w:rPr>
          <w:t>https://www.hrw.org/news/2017/02/17/ukraine-dangers-unnecessary-delays-crossing-points</w:t>
        </w:r>
      </w:hyperlink>
    </w:p>
  </w:footnote>
  <w:footnote w:id="6">
    <w:p w14:paraId="2138BD43" w14:textId="2D02AC9F" w:rsidR="00373AE1" w:rsidRPr="00AE32DF" w:rsidRDefault="00373AE1" w:rsidP="00373AE1">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w:t>
      </w:r>
      <w:r w:rsidR="00AE32DF" w:rsidRPr="00AE32DF">
        <w:rPr>
          <w:rFonts w:ascii="MetaPro-Norm" w:hAnsi="MetaPro-Norm"/>
          <w:sz w:val="16"/>
          <w:szCs w:val="16"/>
        </w:rPr>
        <w:t>“</w:t>
      </w:r>
      <w:r w:rsidRPr="00AE32DF">
        <w:rPr>
          <w:rFonts w:ascii="MetaPro-Norm" w:hAnsi="MetaPro-Norm"/>
          <w:sz w:val="16"/>
          <w:szCs w:val="16"/>
        </w:rPr>
        <w:t xml:space="preserve">Ukraine: Barriers to Free Movement for Older People: Dangerous Bridge from Armed Group Area,” Human Rights Watch news release, November 29, 2018, </w:t>
      </w:r>
      <w:hyperlink r:id="rId7" w:history="1">
        <w:r w:rsidRPr="00AE32DF">
          <w:rPr>
            <w:rStyle w:val="Hyperlink"/>
            <w:rFonts w:ascii="MetaPro-Norm" w:hAnsi="MetaPro-Norm"/>
            <w:sz w:val="16"/>
            <w:szCs w:val="16"/>
          </w:rPr>
          <w:t>https://www.hrw.org/news/2018/11/29/ukraine-barriers-free-movement-older-people</w:t>
        </w:r>
      </w:hyperlink>
    </w:p>
  </w:footnote>
  <w:footnote w:id="7">
    <w:p w14:paraId="0D1485D5" w14:textId="77777777" w:rsidR="00BD2864" w:rsidRPr="00AE32DF" w:rsidRDefault="00BD2864" w:rsidP="00BD2864">
      <w:pPr>
        <w:pStyle w:val="FootnoteText"/>
        <w:rPr>
          <w:rFonts w:ascii="MetaPro-Norm" w:hAnsi="MetaPro-Norm"/>
          <w:sz w:val="16"/>
          <w:szCs w:val="16"/>
          <w:lang w:val="en-US"/>
        </w:rPr>
      </w:pPr>
      <w:r w:rsidRPr="00AE32DF">
        <w:rPr>
          <w:rStyle w:val="FootnoteReference"/>
          <w:rFonts w:ascii="MetaPro-Norm" w:hAnsi="MetaPro-Norm"/>
          <w:sz w:val="16"/>
          <w:szCs w:val="16"/>
        </w:rPr>
        <w:footnoteRef/>
      </w:r>
      <w:r w:rsidRPr="00AE32DF">
        <w:rPr>
          <w:rFonts w:ascii="MetaPro-Norm" w:hAnsi="MetaPro-Norm"/>
          <w:sz w:val="16"/>
          <w:szCs w:val="16"/>
        </w:rPr>
        <w:t xml:space="preserve"> </w:t>
      </w:r>
      <w:r w:rsidRPr="00AE32DF">
        <w:rPr>
          <w:rFonts w:ascii="MetaPro-Norm" w:hAnsi="MetaPro-Norm"/>
          <w:sz w:val="16"/>
          <w:szCs w:val="16"/>
          <w:lang w:val="en-US"/>
        </w:rPr>
        <w:t>Ibid.</w:t>
      </w:r>
    </w:p>
  </w:footnote>
  <w:footnote w:id="8">
    <w:p w14:paraId="51950CF0" w14:textId="03250992" w:rsidR="00AE32DF" w:rsidRPr="00AE32DF" w:rsidRDefault="00AE32DF" w:rsidP="00AE32DF">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“Ukraine: Dangers, Unnecessary Delays at Crossing Points: Improve Security, Facilities Along the Line of Contact, Facilitate Better Crossing for Civilians,” Human Rights Watch new release, February 17, 29017, </w:t>
      </w:r>
      <w:hyperlink r:id="rId8" w:history="1">
        <w:r w:rsidRPr="00AE32DF">
          <w:rPr>
            <w:rStyle w:val="Hyperlink"/>
            <w:rFonts w:ascii="MetaPro-Norm" w:hAnsi="MetaPro-Norm"/>
            <w:sz w:val="16"/>
            <w:szCs w:val="16"/>
          </w:rPr>
          <w:t>https://www.hrw.org/news/2017/02/17/ukraine-dangers-unnecessary-delays-crossing-points</w:t>
        </w:r>
      </w:hyperlink>
    </w:p>
  </w:footnote>
  <w:footnote w:id="9">
    <w:p w14:paraId="796CF944" w14:textId="75451E51" w:rsidR="00BD2864" w:rsidRPr="00AE32DF" w:rsidRDefault="00BD2864" w:rsidP="00BD2864">
      <w:pPr>
        <w:pStyle w:val="FootnoteText"/>
        <w:rPr>
          <w:rFonts w:ascii="MetaPro-Norm" w:hAnsi="MetaPro-Norm"/>
          <w:sz w:val="16"/>
          <w:szCs w:val="16"/>
          <w:lang w:val="en-US"/>
        </w:rPr>
      </w:pPr>
      <w:r w:rsidRPr="00AE32DF">
        <w:rPr>
          <w:rStyle w:val="FootnoteReference"/>
          <w:rFonts w:ascii="MetaPro-Norm" w:hAnsi="MetaPro-Norm"/>
          <w:sz w:val="16"/>
          <w:szCs w:val="16"/>
        </w:rPr>
        <w:footnoteRef/>
      </w:r>
      <w:r w:rsidRPr="00AE32DF">
        <w:rPr>
          <w:rFonts w:ascii="MetaPro-Norm" w:hAnsi="MetaPro-Norm"/>
          <w:sz w:val="16"/>
          <w:szCs w:val="16"/>
        </w:rPr>
        <w:t xml:space="preserve"> </w:t>
      </w:r>
      <w:r w:rsidR="00AE32DF" w:rsidRPr="00AE32DF">
        <w:rPr>
          <w:rFonts w:ascii="MetaPro-Norm" w:hAnsi="MetaPro-Norm"/>
          <w:sz w:val="16"/>
          <w:szCs w:val="16"/>
        </w:rPr>
        <w:t xml:space="preserve">“Ukraine: Barriers to Free Movement for Older People: Dangerous Bridge from Armed Group Area,” Human Rights Watch news release, November 29, 2018, </w:t>
      </w:r>
      <w:hyperlink r:id="rId9" w:history="1">
        <w:r w:rsidR="00AE32DF" w:rsidRPr="00AE32DF">
          <w:rPr>
            <w:rStyle w:val="Hyperlink"/>
            <w:rFonts w:ascii="MetaPro-Norm" w:hAnsi="MetaPro-Norm"/>
            <w:sz w:val="16"/>
            <w:szCs w:val="16"/>
          </w:rPr>
          <w:t>https://www.hrw.org/news/2018/11/29/ukraine-barriers-free-movement-older-people</w:t>
        </w:r>
      </w:hyperlink>
    </w:p>
  </w:footnote>
  <w:footnote w:id="10">
    <w:p w14:paraId="52953AE3" w14:textId="5FC44ED4" w:rsidR="006A3B28" w:rsidRPr="00AE32DF" w:rsidRDefault="006A3B28" w:rsidP="006A3B28">
      <w:pPr>
        <w:pStyle w:val="FootnoteText"/>
        <w:rPr>
          <w:rFonts w:ascii="MetaPro-Norm" w:hAnsi="MetaPro-Norm"/>
          <w:sz w:val="16"/>
          <w:szCs w:val="16"/>
          <w:lang w:val="en-US"/>
        </w:rPr>
      </w:pPr>
      <w:r w:rsidRPr="00AE32DF">
        <w:rPr>
          <w:rStyle w:val="FootnoteReference"/>
          <w:rFonts w:ascii="MetaPro-Norm" w:hAnsi="MetaPro-Norm"/>
          <w:sz w:val="16"/>
          <w:szCs w:val="16"/>
        </w:rPr>
        <w:footnoteRef/>
      </w:r>
      <w:r w:rsidRPr="00AE32DF">
        <w:rPr>
          <w:rFonts w:ascii="MetaPro-Norm" w:hAnsi="MetaPro-Norm"/>
          <w:sz w:val="16"/>
          <w:szCs w:val="16"/>
        </w:rPr>
        <w:t xml:space="preserve"> </w:t>
      </w:r>
      <w:r w:rsidRPr="00AE32DF">
        <w:rPr>
          <w:rFonts w:ascii="MetaPro-Norm" w:hAnsi="MetaPro-Norm"/>
          <w:sz w:val="16"/>
          <w:szCs w:val="16"/>
          <w:lang w:val="en-US"/>
        </w:rPr>
        <w:t xml:space="preserve">Letter from Human Rights Watch to Volodymyr </w:t>
      </w:r>
      <w:proofErr w:type="spellStart"/>
      <w:r w:rsidRPr="00AE32DF">
        <w:rPr>
          <w:rFonts w:ascii="MetaPro-Norm" w:hAnsi="MetaPro-Norm"/>
          <w:sz w:val="16"/>
          <w:szCs w:val="16"/>
          <w:lang w:val="en-US"/>
        </w:rPr>
        <w:t>Zelensky</w:t>
      </w:r>
      <w:proofErr w:type="spellEnd"/>
      <w:r w:rsidRPr="00AE32DF">
        <w:rPr>
          <w:rFonts w:ascii="MetaPro-Norm" w:hAnsi="MetaPro-Norm"/>
          <w:sz w:val="16"/>
          <w:szCs w:val="16"/>
          <w:lang w:val="en-US"/>
        </w:rPr>
        <w:t xml:space="preserve">, Ukrainian President, “Protection of Rights of Older Ukrainians in Donetsk and Luhansk,” July 1, 2019, </w:t>
      </w:r>
      <w:hyperlink r:id="rId10" w:history="1">
        <w:r w:rsidRPr="00AE32DF">
          <w:rPr>
            <w:rStyle w:val="Hyperlink"/>
            <w:rFonts w:ascii="MetaPro-Norm" w:hAnsi="MetaPro-Norm"/>
            <w:sz w:val="16"/>
            <w:szCs w:val="16"/>
          </w:rPr>
          <w:t>https://www.hrw.org/sites/default/files/supporting_resources/ukr_final_letter_zelenskiy_01july2019.pdf</w:t>
        </w:r>
      </w:hyperlink>
    </w:p>
  </w:footnote>
  <w:footnote w:id="11">
    <w:p w14:paraId="2EEA61F4" w14:textId="04F8D239" w:rsidR="00E06BF3" w:rsidRPr="00AE32DF" w:rsidRDefault="00E06BF3" w:rsidP="006A3B28">
      <w:pPr>
        <w:pStyle w:val="FootnoteText"/>
        <w:rPr>
          <w:rFonts w:ascii="MetaPro-Norm" w:hAnsi="MetaPro-Norm"/>
          <w:i/>
          <w:iCs/>
          <w:sz w:val="16"/>
          <w:szCs w:val="16"/>
          <w:lang w:val="ru-RU"/>
        </w:rPr>
      </w:pPr>
      <w:r w:rsidRPr="00AE32DF">
        <w:rPr>
          <w:rStyle w:val="FootnoteReference"/>
          <w:rFonts w:ascii="MetaPro-Norm" w:hAnsi="MetaPro-Norm"/>
          <w:sz w:val="16"/>
          <w:szCs w:val="16"/>
        </w:rPr>
        <w:footnoteRef/>
      </w:r>
      <w:r w:rsidR="00984F49" w:rsidRPr="00AE32DF">
        <w:rPr>
          <w:rFonts w:ascii="MetaPro-Norm" w:hAnsi="MetaPro-Norm"/>
          <w:sz w:val="16"/>
          <w:szCs w:val="16"/>
          <w:lang w:val="ru-RU"/>
        </w:rPr>
        <w:t xml:space="preserve"> </w:t>
      </w:r>
      <w:r w:rsidR="006A3B28" w:rsidRPr="00AE32DF">
        <w:rPr>
          <w:rFonts w:ascii="MetaPro-Norm" w:hAnsi="MetaPro-Norm"/>
          <w:sz w:val="16"/>
          <w:szCs w:val="16"/>
        </w:rPr>
        <w:t>Olga</w:t>
      </w:r>
      <w:r w:rsidR="006A3B28" w:rsidRPr="00AE32DF">
        <w:rPr>
          <w:rFonts w:ascii="MetaPro-Norm" w:hAnsi="MetaPro-Norm"/>
          <w:sz w:val="16"/>
          <w:szCs w:val="16"/>
          <w:lang w:val="ru-RU"/>
        </w:rPr>
        <w:t xml:space="preserve"> </w:t>
      </w:r>
      <w:proofErr w:type="spellStart"/>
      <w:r w:rsidR="006A3B28" w:rsidRPr="00AE32DF">
        <w:rPr>
          <w:rFonts w:ascii="MetaPro-Norm" w:hAnsi="MetaPro-Norm"/>
          <w:sz w:val="16"/>
          <w:szCs w:val="16"/>
        </w:rPr>
        <w:t>Mishchenko</w:t>
      </w:r>
      <w:proofErr w:type="spellEnd"/>
      <w:r w:rsidR="00A71CD7" w:rsidRPr="00AE32DF">
        <w:rPr>
          <w:rFonts w:ascii="MetaPro-Norm" w:hAnsi="MetaPro-Norm"/>
          <w:sz w:val="16"/>
          <w:szCs w:val="16"/>
          <w:lang w:val="ru-RU"/>
        </w:rPr>
        <w:t>,</w:t>
      </w:r>
      <w:r w:rsidRPr="00AE32DF">
        <w:rPr>
          <w:rFonts w:ascii="MetaPro-Norm" w:hAnsi="MetaPro-Norm"/>
          <w:sz w:val="16"/>
          <w:szCs w:val="16"/>
          <w:lang w:val="ru-RU"/>
        </w:rPr>
        <w:t xml:space="preserve"> “</w:t>
      </w:r>
      <w:r w:rsidR="006A3B28" w:rsidRPr="00AE32DF">
        <w:rPr>
          <w:rFonts w:ascii="MetaPro-Norm" w:hAnsi="MetaPro-Norm"/>
          <w:sz w:val="16"/>
          <w:szCs w:val="16"/>
          <w:lang w:val="ru-RU"/>
        </w:rPr>
        <w:t>На линии разграничения у Станицы Луганской восстановлен мост</w:t>
      </w:r>
      <w:r w:rsidRPr="00AE32DF">
        <w:rPr>
          <w:rFonts w:ascii="MetaPro-Norm" w:hAnsi="MetaPro-Norm"/>
          <w:sz w:val="16"/>
          <w:szCs w:val="16"/>
          <w:lang w:val="ru-RU"/>
        </w:rPr>
        <w:t>”</w:t>
      </w:r>
      <w:r w:rsidR="001671DB" w:rsidRPr="00AE32DF">
        <w:rPr>
          <w:rFonts w:ascii="MetaPro-Norm" w:hAnsi="MetaPro-Norm"/>
          <w:sz w:val="16"/>
          <w:szCs w:val="16"/>
          <w:lang w:val="ru-RU"/>
        </w:rPr>
        <w:t xml:space="preserve"> </w:t>
      </w:r>
      <w:r w:rsidR="006A3B28" w:rsidRPr="00AE32DF">
        <w:rPr>
          <w:rFonts w:ascii="MetaPro-Norm" w:hAnsi="MetaPro-Norm"/>
          <w:i/>
          <w:iCs/>
          <w:sz w:val="16"/>
          <w:szCs w:val="16"/>
        </w:rPr>
        <w:t>DW</w:t>
      </w:r>
      <w:r w:rsidR="00423377" w:rsidRPr="00AE32DF">
        <w:rPr>
          <w:rFonts w:ascii="MetaPro-Norm" w:hAnsi="MetaPro-Norm"/>
          <w:i/>
          <w:iCs/>
          <w:sz w:val="16"/>
          <w:szCs w:val="16"/>
          <w:lang w:val="ru-RU"/>
        </w:rPr>
        <w:t xml:space="preserve">, </w:t>
      </w:r>
      <w:r w:rsidR="006A3B28" w:rsidRPr="00AE32DF">
        <w:rPr>
          <w:rFonts w:ascii="MetaPro-Norm" w:hAnsi="MetaPro-Norm"/>
          <w:sz w:val="16"/>
          <w:szCs w:val="16"/>
        </w:rPr>
        <w:t>November</w:t>
      </w:r>
      <w:r w:rsidR="006A3B28" w:rsidRPr="00AE32DF">
        <w:rPr>
          <w:rFonts w:ascii="MetaPro-Norm" w:hAnsi="MetaPro-Norm"/>
          <w:sz w:val="16"/>
          <w:szCs w:val="16"/>
          <w:lang w:val="ru-RU"/>
        </w:rPr>
        <w:t xml:space="preserve"> 20</w:t>
      </w:r>
      <w:r w:rsidR="00423377" w:rsidRPr="00AE32DF">
        <w:rPr>
          <w:rFonts w:ascii="MetaPro-Norm" w:hAnsi="MetaPro-Norm"/>
          <w:sz w:val="16"/>
          <w:szCs w:val="16"/>
          <w:lang w:val="ru-RU"/>
        </w:rPr>
        <w:t>, 2019</w:t>
      </w:r>
      <w:r w:rsidR="006A3B28" w:rsidRPr="00AE32DF">
        <w:rPr>
          <w:rFonts w:ascii="MetaPro-Norm" w:hAnsi="MetaPro-Norm"/>
          <w:sz w:val="16"/>
          <w:szCs w:val="16"/>
          <w:lang w:val="ru-RU"/>
        </w:rPr>
        <w:t>.</w:t>
      </w:r>
    </w:p>
  </w:footnote>
  <w:footnote w:id="12">
    <w:p w14:paraId="475B9697" w14:textId="77777777" w:rsidR="007322EE" w:rsidRPr="00AE32DF" w:rsidRDefault="007322EE" w:rsidP="007322EE">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w:t>
      </w:r>
      <w:bookmarkStart w:id="1" w:name="_Hlk523387148"/>
      <w:r w:rsidRPr="00AE32DF">
        <w:rPr>
          <w:rFonts w:ascii="MetaPro-Norm" w:hAnsi="MetaPro-Norm"/>
          <w:sz w:val="16"/>
          <w:szCs w:val="16"/>
        </w:rPr>
        <w:t xml:space="preserve">See Human Rights Watch’s report, </w:t>
      </w:r>
      <w:r w:rsidRPr="00AE32DF">
        <w:rPr>
          <w:rFonts w:ascii="MetaPro-Norm" w:hAnsi="MetaPro-Norm"/>
          <w:i/>
          <w:sz w:val="16"/>
          <w:szCs w:val="16"/>
        </w:rPr>
        <w:t xml:space="preserve">Studying Under Fire: Attacks on Schools, Military Use of Schools During the Armed Conflict in Eastern Ukraine, </w:t>
      </w:r>
      <w:r w:rsidRPr="00AE32DF">
        <w:rPr>
          <w:rFonts w:ascii="MetaPro-Norm" w:hAnsi="MetaPro-Norm"/>
          <w:sz w:val="16"/>
          <w:szCs w:val="16"/>
        </w:rPr>
        <w:t>February 2016</w:t>
      </w:r>
      <w:bookmarkEnd w:id="1"/>
      <w:r w:rsidRPr="00AE32DF">
        <w:rPr>
          <w:rFonts w:ascii="MetaPro-Norm" w:hAnsi="MetaPro-Norm"/>
          <w:sz w:val="16"/>
          <w:szCs w:val="16"/>
        </w:rPr>
        <w:t xml:space="preserve">, </w:t>
      </w:r>
      <w:hyperlink r:id="rId11" w:history="1">
        <w:r w:rsidRPr="00AE32DF">
          <w:rPr>
            <w:rStyle w:val="Hyperlink"/>
            <w:rFonts w:ascii="MetaPro-Norm" w:hAnsi="MetaPro-Norm"/>
            <w:sz w:val="16"/>
            <w:szCs w:val="16"/>
          </w:rPr>
          <w:t>https://www.hrw.org/report/2016/02/11/studying-under-fire/attacks-schools-military-use-schools-during-armed-conflict</w:t>
        </w:r>
      </w:hyperlink>
      <w:r w:rsidRPr="00AE32DF">
        <w:rPr>
          <w:rFonts w:ascii="MetaPro-Norm" w:hAnsi="MetaPro-Norm"/>
          <w:sz w:val="16"/>
          <w:szCs w:val="16"/>
        </w:rPr>
        <w:t xml:space="preserve">. </w:t>
      </w:r>
    </w:p>
  </w:footnote>
  <w:footnote w:id="13">
    <w:p w14:paraId="1FAD0B47" w14:textId="59068B14" w:rsidR="007322EE" w:rsidRPr="00AE32DF" w:rsidRDefault="007322EE" w:rsidP="007322EE">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“Attacks on Schools in Ukraine,” </w:t>
      </w:r>
      <w:r w:rsidRPr="00AE32DF">
        <w:rPr>
          <w:rFonts w:ascii="MetaPro-Norm" w:hAnsi="MetaPro-Norm"/>
          <w:i/>
          <w:sz w:val="16"/>
          <w:szCs w:val="16"/>
        </w:rPr>
        <w:t xml:space="preserve">Ukraine Education Cluster, </w:t>
      </w:r>
      <w:r w:rsidRPr="00AE32DF">
        <w:rPr>
          <w:rFonts w:ascii="MetaPro-Norm" w:hAnsi="MetaPro-Norm"/>
          <w:sz w:val="16"/>
          <w:szCs w:val="16"/>
        </w:rPr>
        <w:t>July 11, 2018.</w:t>
      </w:r>
    </w:p>
  </w:footnote>
  <w:footnote w:id="14">
    <w:p w14:paraId="4C967643" w14:textId="6B12594D" w:rsidR="007322EE" w:rsidRPr="00AE32DF" w:rsidRDefault="007322EE" w:rsidP="007322EE">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Human Rights Watch interview with soldier, </w:t>
      </w:r>
      <w:proofErr w:type="spellStart"/>
      <w:r w:rsidRPr="00AE32DF">
        <w:rPr>
          <w:rFonts w:ascii="MetaPro-Norm" w:hAnsi="MetaPro-Norm"/>
          <w:sz w:val="16"/>
          <w:szCs w:val="16"/>
        </w:rPr>
        <w:t>Stanytsia</w:t>
      </w:r>
      <w:proofErr w:type="spellEnd"/>
      <w:r w:rsidRPr="00AE32DF">
        <w:rPr>
          <w:rFonts w:ascii="MetaPro-Norm" w:hAnsi="MetaPro-Norm"/>
          <w:sz w:val="16"/>
          <w:szCs w:val="16"/>
        </w:rPr>
        <w:t xml:space="preserve"> </w:t>
      </w:r>
      <w:proofErr w:type="spellStart"/>
      <w:r w:rsidRPr="00AE32DF">
        <w:rPr>
          <w:rFonts w:ascii="MetaPro-Norm" w:hAnsi="MetaPro-Norm"/>
          <w:sz w:val="16"/>
          <w:szCs w:val="16"/>
        </w:rPr>
        <w:t>Luhanska</w:t>
      </w:r>
      <w:proofErr w:type="spellEnd"/>
      <w:r w:rsidRPr="00AE32DF">
        <w:rPr>
          <w:rFonts w:ascii="MetaPro-Norm" w:hAnsi="MetaPro-Norm"/>
          <w:sz w:val="16"/>
          <w:szCs w:val="16"/>
        </w:rPr>
        <w:t>, November 9, 2015.</w:t>
      </w:r>
    </w:p>
  </w:footnote>
  <w:footnote w:id="15">
    <w:p w14:paraId="4343CF84" w14:textId="77777777" w:rsidR="007322EE" w:rsidRPr="00AE32DF" w:rsidRDefault="007322EE" w:rsidP="007322EE">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Human Rights Watch meeting with the Ministry of Education and Science, November 2015.</w:t>
      </w:r>
    </w:p>
  </w:footnote>
  <w:footnote w:id="16">
    <w:p w14:paraId="1B7CD95E" w14:textId="77777777" w:rsidR="007322EE" w:rsidRPr="00AE32DF" w:rsidRDefault="007322EE" w:rsidP="007322EE">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Human Rights Watch interview with Vladimir, school guard, </w:t>
      </w:r>
      <w:proofErr w:type="spellStart"/>
      <w:r w:rsidRPr="00AE32DF">
        <w:rPr>
          <w:rFonts w:ascii="MetaPro-Norm" w:hAnsi="MetaPro-Norm"/>
          <w:sz w:val="16"/>
          <w:szCs w:val="16"/>
        </w:rPr>
        <w:t>Novosvitlivka</w:t>
      </w:r>
      <w:proofErr w:type="spellEnd"/>
      <w:r w:rsidRPr="00AE32DF">
        <w:rPr>
          <w:rFonts w:ascii="MetaPro-Norm" w:hAnsi="MetaPro-Norm"/>
          <w:sz w:val="16"/>
          <w:szCs w:val="16"/>
        </w:rPr>
        <w:t xml:space="preserve"> gymnasium, September 4, 2015. </w:t>
      </w:r>
    </w:p>
  </w:footnote>
  <w:footnote w:id="17">
    <w:p w14:paraId="1DA3768C" w14:textId="727685EC" w:rsidR="006D3033" w:rsidRPr="00AE32DF" w:rsidRDefault="006D3033">
      <w:pPr>
        <w:pStyle w:val="FootnoteText"/>
        <w:rPr>
          <w:rFonts w:ascii="MetaPro-Norm" w:hAnsi="MetaPro-Norm"/>
          <w:sz w:val="16"/>
          <w:szCs w:val="16"/>
          <w:lang w:val="en-US"/>
        </w:rPr>
      </w:pPr>
      <w:r w:rsidRPr="00AE32DF">
        <w:rPr>
          <w:rStyle w:val="FootnoteReference"/>
          <w:rFonts w:ascii="MetaPro-Norm" w:hAnsi="MetaPro-Norm"/>
          <w:sz w:val="16"/>
          <w:szCs w:val="16"/>
        </w:rPr>
        <w:footnoteRef/>
      </w:r>
      <w:r w:rsidRPr="00AE32DF">
        <w:rPr>
          <w:rFonts w:ascii="MetaPro-Norm" w:hAnsi="MetaPro-Norm"/>
          <w:sz w:val="16"/>
          <w:szCs w:val="16"/>
        </w:rPr>
        <w:t xml:space="preserve"> Human Rights Watch interview with </w:t>
      </w:r>
      <w:proofErr w:type="spellStart"/>
      <w:r w:rsidRPr="00AE32DF">
        <w:rPr>
          <w:rFonts w:ascii="MetaPro-Norm" w:hAnsi="MetaPro-Norm"/>
          <w:sz w:val="16"/>
          <w:szCs w:val="16"/>
        </w:rPr>
        <w:t>Lubov</w:t>
      </w:r>
      <w:proofErr w:type="spellEnd"/>
      <w:r w:rsidRPr="00AE32DF">
        <w:rPr>
          <w:rFonts w:ascii="MetaPro-Norm" w:hAnsi="MetaPro-Norm"/>
          <w:sz w:val="16"/>
          <w:szCs w:val="16"/>
        </w:rPr>
        <w:t xml:space="preserve"> Petrovna </w:t>
      </w:r>
      <w:proofErr w:type="spellStart"/>
      <w:r w:rsidRPr="00AE32DF">
        <w:rPr>
          <w:rFonts w:ascii="MetaPro-Norm" w:hAnsi="MetaPro-Norm"/>
          <w:sz w:val="16"/>
          <w:szCs w:val="16"/>
        </w:rPr>
        <w:t>Strokina</w:t>
      </w:r>
      <w:proofErr w:type="spellEnd"/>
      <w:r w:rsidRPr="00AE32DF">
        <w:rPr>
          <w:rFonts w:ascii="MetaPro-Norm" w:hAnsi="MetaPro-Norm"/>
          <w:sz w:val="16"/>
          <w:szCs w:val="16"/>
        </w:rPr>
        <w:t>, principal, Kindergarten Number Three, Ilovaisk, September 3, 2015.</w:t>
      </w:r>
    </w:p>
  </w:footnote>
  <w:footnote w:id="18">
    <w:p w14:paraId="4F7E596F" w14:textId="6606F72B" w:rsidR="006D3033" w:rsidRPr="00AE32DF" w:rsidRDefault="006D3033">
      <w:pPr>
        <w:pStyle w:val="FootnoteText"/>
        <w:rPr>
          <w:rFonts w:ascii="MetaPro-Norm" w:hAnsi="MetaPro-Norm"/>
          <w:sz w:val="16"/>
          <w:szCs w:val="16"/>
          <w:lang w:val="en-US"/>
        </w:rPr>
      </w:pPr>
      <w:r w:rsidRPr="00AE32DF">
        <w:rPr>
          <w:rStyle w:val="FootnoteReference"/>
          <w:rFonts w:ascii="MetaPro-Norm" w:hAnsi="MetaPro-Norm"/>
          <w:sz w:val="16"/>
          <w:szCs w:val="16"/>
        </w:rPr>
        <w:footnoteRef/>
      </w:r>
      <w:r w:rsidRPr="00AE32DF">
        <w:rPr>
          <w:rFonts w:ascii="MetaPro-Norm" w:hAnsi="MetaPro-Norm"/>
          <w:sz w:val="16"/>
          <w:szCs w:val="16"/>
        </w:rPr>
        <w:t xml:space="preserve"> Human Rights Watch interviews and visit, October 2014.</w:t>
      </w:r>
    </w:p>
  </w:footnote>
  <w:footnote w:id="19">
    <w:p w14:paraId="50802A9A" w14:textId="6FCCC9D4" w:rsidR="006D3033" w:rsidRPr="00AE32DF" w:rsidRDefault="006D3033">
      <w:pPr>
        <w:pStyle w:val="FootnoteText"/>
        <w:rPr>
          <w:rFonts w:ascii="MetaPro-Norm" w:hAnsi="MetaPro-Norm"/>
          <w:sz w:val="16"/>
          <w:szCs w:val="16"/>
          <w:lang w:val="en-US"/>
        </w:rPr>
      </w:pPr>
      <w:r w:rsidRPr="00AE32DF">
        <w:rPr>
          <w:rStyle w:val="FootnoteReference"/>
          <w:rFonts w:ascii="MetaPro-Norm" w:hAnsi="MetaPro-Norm"/>
          <w:sz w:val="16"/>
          <w:szCs w:val="16"/>
        </w:rPr>
        <w:footnoteRef/>
      </w:r>
      <w:r w:rsidRPr="00AE32DF">
        <w:rPr>
          <w:rFonts w:ascii="MetaPro-Norm" w:hAnsi="MetaPro-Norm"/>
          <w:sz w:val="16"/>
          <w:szCs w:val="16"/>
        </w:rPr>
        <w:t xml:space="preserve"> Human Rights Watch interview, Specialized School Number 1 for Orphans with Impaired Vision, staff member, </w:t>
      </w:r>
      <w:proofErr w:type="spellStart"/>
      <w:r w:rsidRPr="00AE32DF">
        <w:rPr>
          <w:rFonts w:ascii="MetaPro-Norm" w:hAnsi="MetaPro-Norm"/>
          <w:sz w:val="16"/>
          <w:szCs w:val="16"/>
        </w:rPr>
        <w:t>Yenakiieve</w:t>
      </w:r>
      <w:proofErr w:type="spellEnd"/>
      <w:r w:rsidRPr="00AE32DF">
        <w:rPr>
          <w:rFonts w:ascii="MetaPro-Norm" w:hAnsi="MetaPro-Norm"/>
          <w:sz w:val="16"/>
          <w:szCs w:val="16"/>
        </w:rPr>
        <w:t>, September 4, 2015.</w:t>
      </w:r>
    </w:p>
  </w:footnote>
  <w:footnote w:id="20">
    <w:p w14:paraId="7A089AA6" w14:textId="055731FC" w:rsidR="006D3033" w:rsidRPr="00AE32DF" w:rsidRDefault="006D3033">
      <w:pPr>
        <w:pStyle w:val="FootnoteText"/>
        <w:rPr>
          <w:rFonts w:ascii="MetaPro-Norm" w:hAnsi="MetaPro-Norm"/>
          <w:sz w:val="16"/>
          <w:szCs w:val="16"/>
          <w:lang w:val="en-US"/>
        </w:rPr>
      </w:pPr>
      <w:r w:rsidRPr="00AE32DF">
        <w:rPr>
          <w:rStyle w:val="FootnoteReference"/>
          <w:rFonts w:ascii="MetaPro-Norm" w:hAnsi="MetaPro-Norm"/>
          <w:sz w:val="16"/>
          <w:szCs w:val="16"/>
        </w:rPr>
        <w:footnoteRef/>
      </w:r>
      <w:r w:rsidRPr="00AE32DF">
        <w:rPr>
          <w:rFonts w:ascii="MetaPro-Norm" w:hAnsi="MetaPro-Norm"/>
          <w:sz w:val="16"/>
          <w:szCs w:val="16"/>
        </w:rPr>
        <w:t xml:space="preserve"> Human Rights Watch interviews with four teachers, School Number Four, </w:t>
      </w:r>
      <w:proofErr w:type="spellStart"/>
      <w:r w:rsidRPr="00AE32DF">
        <w:rPr>
          <w:rFonts w:ascii="MetaPro-Norm" w:hAnsi="MetaPro-Norm"/>
          <w:sz w:val="16"/>
          <w:szCs w:val="16"/>
        </w:rPr>
        <w:t>Krasnohorivka</w:t>
      </w:r>
      <w:proofErr w:type="spellEnd"/>
      <w:r w:rsidRPr="00AE32DF">
        <w:rPr>
          <w:rFonts w:ascii="MetaPro-Norm" w:hAnsi="MetaPro-Norm"/>
          <w:sz w:val="16"/>
          <w:szCs w:val="16"/>
        </w:rPr>
        <w:t>, November 6, 2015.</w:t>
      </w:r>
    </w:p>
  </w:footnote>
  <w:footnote w:id="21">
    <w:p w14:paraId="20207496" w14:textId="77777777" w:rsidR="00A14C51" w:rsidRPr="00AE32DF" w:rsidRDefault="00A14C51" w:rsidP="00A14C51">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Constitution of Ukraine, art. 53.</w:t>
      </w:r>
    </w:p>
  </w:footnote>
  <w:footnote w:id="22">
    <w:p w14:paraId="35F2E5BD" w14:textId="48BF888F" w:rsidR="00A14C51" w:rsidRPr="00AE32DF" w:rsidRDefault="00A14C51">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Law on Education, May 23, 1991, art. 51(1).</w:t>
      </w:r>
    </w:p>
  </w:footnote>
  <w:footnote w:id="23">
    <w:p w14:paraId="6924242E" w14:textId="556AEBE8" w:rsidR="00A14C51" w:rsidRPr="00AE32DF" w:rsidRDefault="00A14C51">
      <w:pPr>
        <w:pStyle w:val="FootnoteText"/>
        <w:rPr>
          <w:rFonts w:ascii="MetaPro-Norm" w:hAnsi="MetaPro-Norm"/>
          <w:sz w:val="16"/>
          <w:szCs w:val="16"/>
        </w:rPr>
      </w:pPr>
      <w:r w:rsidRPr="00AE32DF">
        <w:rPr>
          <w:rStyle w:val="FootnoteReference"/>
          <w:rFonts w:ascii="MetaPro-Norm" w:hAnsi="MetaPro-Norm"/>
          <w:sz w:val="16"/>
          <w:szCs w:val="16"/>
        </w:rPr>
        <w:footnoteRef/>
      </w:r>
      <w:r w:rsidRPr="00AE32DF">
        <w:rPr>
          <w:rFonts w:ascii="MetaPro-Norm" w:hAnsi="MetaPro-Norm"/>
          <w:sz w:val="16"/>
          <w:szCs w:val="16"/>
        </w:rPr>
        <w:t xml:space="preserve"> Manual on the Implementation of the Rules of International Humanitarian Law in the Armed Forces, 2004, sec. 1.4.11.</w:t>
      </w:r>
    </w:p>
  </w:footnote>
  <w:footnote w:id="24">
    <w:p w14:paraId="39AE76A8" w14:textId="19D3477A" w:rsidR="00C53047" w:rsidRPr="00AE32DF" w:rsidRDefault="00C53047" w:rsidP="00D87341">
      <w:pPr>
        <w:pStyle w:val="FootnoteText"/>
        <w:rPr>
          <w:rFonts w:ascii="MetaPro-Norm" w:hAnsi="MetaPro-Norm"/>
          <w:sz w:val="16"/>
          <w:szCs w:val="16"/>
          <w:lang w:val="en-US"/>
        </w:rPr>
      </w:pPr>
      <w:r w:rsidRPr="00AE32DF">
        <w:rPr>
          <w:rStyle w:val="FootnoteReference"/>
          <w:rFonts w:ascii="MetaPro-Norm" w:hAnsi="MetaPro-Norm"/>
          <w:sz w:val="16"/>
          <w:szCs w:val="16"/>
        </w:rPr>
        <w:footnoteRef/>
      </w:r>
      <w:r w:rsidRPr="00AE32DF">
        <w:rPr>
          <w:rFonts w:ascii="MetaPro-Norm" w:hAnsi="MetaPro-Norm"/>
          <w:sz w:val="16"/>
          <w:szCs w:val="16"/>
        </w:rPr>
        <w:t xml:space="preserve"> </w:t>
      </w:r>
      <w:r w:rsidR="00D87341" w:rsidRPr="00AE32DF">
        <w:rPr>
          <w:rFonts w:ascii="MetaPro-Norm" w:hAnsi="MetaPro-Norm"/>
          <w:sz w:val="16"/>
          <w:szCs w:val="16"/>
          <w:lang w:val="en-US"/>
        </w:rPr>
        <w:t>Yulia Gorbunova, “Ukraine Becomes 100th Country to Endorse Safe Schools Declaration: Over 750 Ukrainian Education Facilities Damaged, Destroyed in Fighting</w:t>
      </w:r>
      <w:r w:rsidR="001E4172" w:rsidRPr="00AE32DF">
        <w:rPr>
          <w:rFonts w:ascii="MetaPro-Norm" w:hAnsi="MetaPro-Norm"/>
          <w:sz w:val="16"/>
          <w:szCs w:val="16"/>
          <w:lang w:val="en-US"/>
        </w:rPr>
        <w:t>,</w:t>
      </w:r>
      <w:r w:rsidR="00D87341" w:rsidRPr="00AE32DF">
        <w:rPr>
          <w:rFonts w:ascii="MetaPro-Norm" w:hAnsi="MetaPro-Norm"/>
          <w:sz w:val="16"/>
          <w:szCs w:val="16"/>
          <w:lang w:val="en-US"/>
        </w:rPr>
        <w:t>”</w:t>
      </w:r>
      <w:r w:rsidR="00473450" w:rsidRPr="00AE32DF">
        <w:rPr>
          <w:rFonts w:ascii="MetaPro-Norm" w:hAnsi="MetaPro-Norm"/>
          <w:sz w:val="16"/>
          <w:szCs w:val="16"/>
          <w:lang w:val="en-US"/>
        </w:rPr>
        <w:t xml:space="preserve"> Human Rights </w:t>
      </w:r>
      <w:r w:rsidR="001E4172" w:rsidRPr="00AE32DF">
        <w:rPr>
          <w:rFonts w:ascii="MetaPro-Norm" w:hAnsi="MetaPro-Norm"/>
          <w:sz w:val="16"/>
          <w:szCs w:val="16"/>
          <w:lang w:val="en-US"/>
        </w:rPr>
        <w:t>Watch d</w:t>
      </w:r>
      <w:r w:rsidR="00473450" w:rsidRPr="00AE32DF">
        <w:rPr>
          <w:rFonts w:ascii="MetaPro-Norm" w:hAnsi="MetaPro-Norm"/>
          <w:sz w:val="16"/>
          <w:szCs w:val="16"/>
          <w:lang w:val="en-US"/>
        </w:rPr>
        <w:t>ispatch, November 20, 2019</w:t>
      </w:r>
      <w:r w:rsidR="00B75E45" w:rsidRPr="00AE32DF">
        <w:rPr>
          <w:rFonts w:ascii="MetaPro-Norm" w:hAnsi="MetaPro-Norm"/>
          <w:sz w:val="16"/>
          <w:szCs w:val="16"/>
          <w:lang w:val="en-US"/>
        </w:rPr>
        <w:t xml:space="preserve">, </w:t>
      </w:r>
      <w:hyperlink r:id="rId12" w:history="1">
        <w:r w:rsidR="00E875EA" w:rsidRPr="00AE32DF">
          <w:rPr>
            <w:rStyle w:val="Hyperlink"/>
            <w:rFonts w:ascii="MetaPro-Norm" w:hAnsi="MetaPro-Norm"/>
            <w:sz w:val="16"/>
            <w:szCs w:val="16"/>
          </w:rPr>
          <w:t>https://www.hrw.org/news/2019/11/20/ukraine-becomes-100th-country-endorse-safe-schools-declaration</w:t>
        </w:r>
      </w:hyperlink>
    </w:p>
  </w:footnote>
  <w:footnote w:id="25">
    <w:p w14:paraId="4A75855C" w14:textId="406228E9" w:rsidR="00C53047" w:rsidRPr="00AE32DF" w:rsidRDefault="00C53047">
      <w:pPr>
        <w:pStyle w:val="FootnoteText"/>
        <w:rPr>
          <w:rFonts w:ascii="MetaPro-Norm" w:hAnsi="MetaPro-Norm"/>
          <w:sz w:val="16"/>
          <w:szCs w:val="16"/>
          <w:lang w:val="en-US"/>
        </w:rPr>
      </w:pPr>
      <w:r w:rsidRPr="00AE32DF">
        <w:rPr>
          <w:rStyle w:val="FootnoteReference"/>
          <w:rFonts w:ascii="MetaPro-Norm" w:hAnsi="MetaPro-Norm"/>
          <w:sz w:val="16"/>
          <w:szCs w:val="16"/>
        </w:rPr>
        <w:footnoteRef/>
      </w:r>
      <w:r w:rsidRPr="00AE32DF">
        <w:rPr>
          <w:rFonts w:ascii="MetaPro-Norm" w:hAnsi="MetaPro-Norm"/>
          <w:sz w:val="16"/>
          <w:szCs w:val="16"/>
        </w:rPr>
        <w:t xml:space="preserve"> Guidelines for Protecting Schools and Universities from Military Use during Armed Conflict, March 18,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391"/>
    <w:multiLevelType w:val="hybridMultilevel"/>
    <w:tmpl w:val="EE56FA2C"/>
    <w:lvl w:ilvl="0" w:tplc="2CB213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B7381"/>
    <w:multiLevelType w:val="hybridMultilevel"/>
    <w:tmpl w:val="E20A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608C2"/>
    <w:multiLevelType w:val="hybridMultilevel"/>
    <w:tmpl w:val="F748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80E08"/>
    <w:multiLevelType w:val="hybridMultilevel"/>
    <w:tmpl w:val="F440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C6924"/>
    <w:multiLevelType w:val="hybridMultilevel"/>
    <w:tmpl w:val="89A8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82C51"/>
    <w:multiLevelType w:val="hybridMultilevel"/>
    <w:tmpl w:val="A69C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34038"/>
    <w:multiLevelType w:val="hybridMultilevel"/>
    <w:tmpl w:val="E452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E7798"/>
    <w:multiLevelType w:val="hybridMultilevel"/>
    <w:tmpl w:val="90D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705E8"/>
    <w:multiLevelType w:val="hybridMultilevel"/>
    <w:tmpl w:val="77B8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47C77"/>
    <w:multiLevelType w:val="hybridMultilevel"/>
    <w:tmpl w:val="49E8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D51FC"/>
    <w:multiLevelType w:val="hybridMultilevel"/>
    <w:tmpl w:val="CDAE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F513A"/>
    <w:multiLevelType w:val="hybridMultilevel"/>
    <w:tmpl w:val="B194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0"/>
  </w:num>
  <w:num w:numId="5">
    <w:abstractNumId w:val="2"/>
  </w:num>
  <w:num w:numId="6">
    <w:abstractNumId w:val="7"/>
  </w:num>
  <w:num w:numId="7">
    <w:abstractNumId w:val="2"/>
  </w:num>
  <w:num w:numId="8">
    <w:abstractNumId w:val="1"/>
  </w:num>
  <w:num w:numId="9">
    <w:abstractNumId w:val="11"/>
  </w:num>
  <w:num w:numId="10">
    <w:abstractNumId w:val="4"/>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AA"/>
    <w:rsid w:val="000110F8"/>
    <w:rsid w:val="00016EAE"/>
    <w:rsid w:val="00026A91"/>
    <w:rsid w:val="00033316"/>
    <w:rsid w:val="0003514B"/>
    <w:rsid w:val="00073A70"/>
    <w:rsid w:val="000821E7"/>
    <w:rsid w:val="00096323"/>
    <w:rsid w:val="000B0B1C"/>
    <w:rsid w:val="000B179F"/>
    <w:rsid w:val="000C30BD"/>
    <w:rsid w:val="000D1B96"/>
    <w:rsid w:val="000D637D"/>
    <w:rsid w:val="000E39D4"/>
    <w:rsid w:val="00161E86"/>
    <w:rsid w:val="001671DB"/>
    <w:rsid w:val="00181414"/>
    <w:rsid w:val="001829D7"/>
    <w:rsid w:val="0019127D"/>
    <w:rsid w:val="00192A3B"/>
    <w:rsid w:val="001A1F12"/>
    <w:rsid w:val="001B1535"/>
    <w:rsid w:val="001B3F74"/>
    <w:rsid w:val="001C2267"/>
    <w:rsid w:val="001C6431"/>
    <w:rsid w:val="001D0B85"/>
    <w:rsid w:val="001E2FEF"/>
    <w:rsid w:val="001E4172"/>
    <w:rsid w:val="00216E81"/>
    <w:rsid w:val="0021725B"/>
    <w:rsid w:val="002176B7"/>
    <w:rsid w:val="00227C5A"/>
    <w:rsid w:val="00227E0E"/>
    <w:rsid w:val="00267822"/>
    <w:rsid w:val="00283B0E"/>
    <w:rsid w:val="002866B8"/>
    <w:rsid w:val="00294213"/>
    <w:rsid w:val="002A57FB"/>
    <w:rsid w:val="002A6AB3"/>
    <w:rsid w:val="002E49F3"/>
    <w:rsid w:val="00306152"/>
    <w:rsid w:val="00373AE1"/>
    <w:rsid w:val="00396697"/>
    <w:rsid w:val="003E0E43"/>
    <w:rsid w:val="003F3617"/>
    <w:rsid w:val="00423377"/>
    <w:rsid w:val="00447C1E"/>
    <w:rsid w:val="00453D8E"/>
    <w:rsid w:val="00466E64"/>
    <w:rsid w:val="00473450"/>
    <w:rsid w:val="00473FB8"/>
    <w:rsid w:val="004A45D6"/>
    <w:rsid w:val="004A4C03"/>
    <w:rsid w:val="004A77CD"/>
    <w:rsid w:val="004E4487"/>
    <w:rsid w:val="004F0D40"/>
    <w:rsid w:val="004F212F"/>
    <w:rsid w:val="004F43E4"/>
    <w:rsid w:val="004F5450"/>
    <w:rsid w:val="00514A76"/>
    <w:rsid w:val="00545F80"/>
    <w:rsid w:val="0054690F"/>
    <w:rsid w:val="005555F0"/>
    <w:rsid w:val="00555CFD"/>
    <w:rsid w:val="005577FE"/>
    <w:rsid w:val="00563714"/>
    <w:rsid w:val="00571264"/>
    <w:rsid w:val="00585305"/>
    <w:rsid w:val="005911A4"/>
    <w:rsid w:val="005A4786"/>
    <w:rsid w:val="005B62EB"/>
    <w:rsid w:val="005D3306"/>
    <w:rsid w:val="005F4880"/>
    <w:rsid w:val="005F507D"/>
    <w:rsid w:val="005F759F"/>
    <w:rsid w:val="00625D26"/>
    <w:rsid w:val="006338FC"/>
    <w:rsid w:val="0064253F"/>
    <w:rsid w:val="0065666F"/>
    <w:rsid w:val="0065725F"/>
    <w:rsid w:val="00661813"/>
    <w:rsid w:val="006669E4"/>
    <w:rsid w:val="00682D99"/>
    <w:rsid w:val="006914E5"/>
    <w:rsid w:val="00692355"/>
    <w:rsid w:val="006A3B28"/>
    <w:rsid w:val="006A632A"/>
    <w:rsid w:val="006B18C3"/>
    <w:rsid w:val="006C6B80"/>
    <w:rsid w:val="006D3033"/>
    <w:rsid w:val="007175CF"/>
    <w:rsid w:val="007306E9"/>
    <w:rsid w:val="007322EE"/>
    <w:rsid w:val="007420E5"/>
    <w:rsid w:val="007508E1"/>
    <w:rsid w:val="00755D5E"/>
    <w:rsid w:val="00795FCC"/>
    <w:rsid w:val="0079692D"/>
    <w:rsid w:val="00797319"/>
    <w:rsid w:val="007C0839"/>
    <w:rsid w:val="007C4DC8"/>
    <w:rsid w:val="007F5808"/>
    <w:rsid w:val="00803F9D"/>
    <w:rsid w:val="00814C32"/>
    <w:rsid w:val="00821C9B"/>
    <w:rsid w:val="008340B0"/>
    <w:rsid w:val="00834B9C"/>
    <w:rsid w:val="0083683E"/>
    <w:rsid w:val="00837332"/>
    <w:rsid w:val="00857589"/>
    <w:rsid w:val="00862290"/>
    <w:rsid w:val="008936A5"/>
    <w:rsid w:val="00895032"/>
    <w:rsid w:val="008E3038"/>
    <w:rsid w:val="008F74BE"/>
    <w:rsid w:val="0095757B"/>
    <w:rsid w:val="00965B0A"/>
    <w:rsid w:val="00984F49"/>
    <w:rsid w:val="009A651E"/>
    <w:rsid w:val="009B3C26"/>
    <w:rsid w:val="009C7843"/>
    <w:rsid w:val="009D2E9E"/>
    <w:rsid w:val="009E2046"/>
    <w:rsid w:val="009E3A4B"/>
    <w:rsid w:val="009E62C1"/>
    <w:rsid w:val="00A1029A"/>
    <w:rsid w:val="00A14C51"/>
    <w:rsid w:val="00A206A3"/>
    <w:rsid w:val="00A2234D"/>
    <w:rsid w:val="00A27DA1"/>
    <w:rsid w:val="00A401EB"/>
    <w:rsid w:val="00A42AF7"/>
    <w:rsid w:val="00A42E09"/>
    <w:rsid w:val="00A442D2"/>
    <w:rsid w:val="00A50F1E"/>
    <w:rsid w:val="00A6056A"/>
    <w:rsid w:val="00A65F40"/>
    <w:rsid w:val="00A71CD7"/>
    <w:rsid w:val="00A85860"/>
    <w:rsid w:val="00AA7E3E"/>
    <w:rsid w:val="00AD30AE"/>
    <w:rsid w:val="00AE32DF"/>
    <w:rsid w:val="00AF426A"/>
    <w:rsid w:val="00B1675B"/>
    <w:rsid w:val="00B35764"/>
    <w:rsid w:val="00B4175A"/>
    <w:rsid w:val="00B61BFD"/>
    <w:rsid w:val="00B75E45"/>
    <w:rsid w:val="00BA4E9B"/>
    <w:rsid w:val="00BB5CC0"/>
    <w:rsid w:val="00BB76D9"/>
    <w:rsid w:val="00BC4299"/>
    <w:rsid w:val="00BC5960"/>
    <w:rsid w:val="00BD2864"/>
    <w:rsid w:val="00BE212E"/>
    <w:rsid w:val="00C106C4"/>
    <w:rsid w:val="00C21D70"/>
    <w:rsid w:val="00C27738"/>
    <w:rsid w:val="00C53047"/>
    <w:rsid w:val="00C76F20"/>
    <w:rsid w:val="00C81B61"/>
    <w:rsid w:val="00C82479"/>
    <w:rsid w:val="00C83318"/>
    <w:rsid w:val="00C84B44"/>
    <w:rsid w:val="00C858B4"/>
    <w:rsid w:val="00CB05FB"/>
    <w:rsid w:val="00CB3023"/>
    <w:rsid w:val="00CB47B2"/>
    <w:rsid w:val="00CC5444"/>
    <w:rsid w:val="00D22ACD"/>
    <w:rsid w:val="00D729EC"/>
    <w:rsid w:val="00D8565C"/>
    <w:rsid w:val="00D861FF"/>
    <w:rsid w:val="00D87341"/>
    <w:rsid w:val="00D93192"/>
    <w:rsid w:val="00DA204D"/>
    <w:rsid w:val="00DB480C"/>
    <w:rsid w:val="00DC2249"/>
    <w:rsid w:val="00DD1382"/>
    <w:rsid w:val="00DD2F5C"/>
    <w:rsid w:val="00DD7C04"/>
    <w:rsid w:val="00DE7EFE"/>
    <w:rsid w:val="00DF0176"/>
    <w:rsid w:val="00DF4B5A"/>
    <w:rsid w:val="00DF5DA5"/>
    <w:rsid w:val="00E018F5"/>
    <w:rsid w:val="00E05145"/>
    <w:rsid w:val="00E06BF3"/>
    <w:rsid w:val="00E167DD"/>
    <w:rsid w:val="00E170EF"/>
    <w:rsid w:val="00E21B44"/>
    <w:rsid w:val="00E2259C"/>
    <w:rsid w:val="00E3273F"/>
    <w:rsid w:val="00E40B94"/>
    <w:rsid w:val="00E50346"/>
    <w:rsid w:val="00E57B08"/>
    <w:rsid w:val="00E62D75"/>
    <w:rsid w:val="00E86B30"/>
    <w:rsid w:val="00E875EA"/>
    <w:rsid w:val="00E87C87"/>
    <w:rsid w:val="00E97C28"/>
    <w:rsid w:val="00EA1240"/>
    <w:rsid w:val="00EA6286"/>
    <w:rsid w:val="00ED02E9"/>
    <w:rsid w:val="00ED741E"/>
    <w:rsid w:val="00EE1002"/>
    <w:rsid w:val="00EE5501"/>
    <w:rsid w:val="00EF455D"/>
    <w:rsid w:val="00F069DA"/>
    <w:rsid w:val="00F248F6"/>
    <w:rsid w:val="00F36454"/>
    <w:rsid w:val="00F504B9"/>
    <w:rsid w:val="00F55E52"/>
    <w:rsid w:val="00F60065"/>
    <w:rsid w:val="00F64AA5"/>
    <w:rsid w:val="00F671BC"/>
    <w:rsid w:val="00F90977"/>
    <w:rsid w:val="00FA60CD"/>
    <w:rsid w:val="00FC0C81"/>
    <w:rsid w:val="00FC6056"/>
    <w:rsid w:val="00FD55EC"/>
    <w:rsid w:val="00FE7E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6A42"/>
  <w15:chartTrackingRefBased/>
  <w15:docId w15:val="{1668EA14-8892-4071-A3AC-BAA95C29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A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AA"/>
    <w:pPr>
      <w:spacing w:after="160" w:line="259" w:lineRule="auto"/>
      <w:ind w:left="720"/>
      <w:contextualSpacing/>
    </w:pPr>
    <w:rPr>
      <w:rFonts w:asciiTheme="minorHAnsi" w:hAnsiTheme="minorHAnsi" w:cstheme="minorBidi"/>
      <w:lang w:val="en-US" w:eastAsia="en-US"/>
    </w:rPr>
  </w:style>
  <w:style w:type="character" w:styleId="FootnoteReference">
    <w:name w:val="footnote reference"/>
    <w:basedOn w:val="DefaultParagraphFont"/>
    <w:uiPriority w:val="99"/>
    <w:semiHidden/>
    <w:unhideWhenUsed/>
    <w:rsid w:val="00FE7EAA"/>
    <w:rPr>
      <w:vertAlign w:val="superscript"/>
    </w:rPr>
  </w:style>
  <w:style w:type="paragraph" w:styleId="FootnoteText">
    <w:name w:val="footnote text"/>
    <w:basedOn w:val="Normal"/>
    <w:link w:val="FootnoteTextChar"/>
    <w:uiPriority w:val="99"/>
    <w:unhideWhenUsed/>
    <w:rsid w:val="00FE7EAA"/>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FE7EAA"/>
    <w:rPr>
      <w:sz w:val="20"/>
      <w:szCs w:val="20"/>
    </w:rPr>
  </w:style>
  <w:style w:type="character" w:styleId="Emphasis">
    <w:name w:val="Emphasis"/>
    <w:basedOn w:val="DefaultParagraphFont"/>
    <w:uiPriority w:val="20"/>
    <w:qFormat/>
    <w:rsid w:val="00FE7EAA"/>
    <w:rPr>
      <w:i/>
      <w:iCs/>
    </w:rPr>
  </w:style>
  <w:style w:type="character" w:styleId="CommentReference">
    <w:name w:val="annotation reference"/>
    <w:basedOn w:val="DefaultParagraphFont"/>
    <w:uiPriority w:val="99"/>
    <w:semiHidden/>
    <w:unhideWhenUsed/>
    <w:rsid w:val="00FE7EAA"/>
    <w:rPr>
      <w:sz w:val="16"/>
      <w:szCs w:val="16"/>
    </w:rPr>
  </w:style>
  <w:style w:type="paragraph" w:styleId="CommentText">
    <w:name w:val="annotation text"/>
    <w:basedOn w:val="Normal"/>
    <w:link w:val="CommentTextChar"/>
    <w:uiPriority w:val="99"/>
    <w:semiHidden/>
    <w:unhideWhenUsed/>
    <w:rsid w:val="00FE7EAA"/>
    <w:rPr>
      <w:sz w:val="20"/>
      <w:szCs w:val="20"/>
    </w:rPr>
  </w:style>
  <w:style w:type="character" w:customStyle="1" w:styleId="CommentTextChar">
    <w:name w:val="Comment Text Char"/>
    <w:basedOn w:val="DefaultParagraphFont"/>
    <w:link w:val="CommentText"/>
    <w:uiPriority w:val="99"/>
    <w:semiHidden/>
    <w:rsid w:val="00FE7EAA"/>
    <w:rPr>
      <w:rFonts w:ascii="Calibri" w:hAnsi="Calibri" w:cs="Calibri"/>
      <w:sz w:val="20"/>
      <w:szCs w:val="20"/>
      <w:lang w:eastAsia="en-GB"/>
    </w:rPr>
  </w:style>
  <w:style w:type="paragraph" w:styleId="Footer">
    <w:name w:val="footer"/>
    <w:basedOn w:val="Normal"/>
    <w:link w:val="FooterChar"/>
    <w:uiPriority w:val="99"/>
    <w:unhideWhenUsed/>
    <w:rsid w:val="00FE7EAA"/>
    <w:pPr>
      <w:tabs>
        <w:tab w:val="center" w:pos="4513"/>
        <w:tab w:val="right" w:pos="9026"/>
      </w:tabs>
    </w:pPr>
  </w:style>
  <w:style w:type="character" w:customStyle="1" w:styleId="FooterChar">
    <w:name w:val="Footer Char"/>
    <w:basedOn w:val="DefaultParagraphFont"/>
    <w:link w:val="Footer"/>
    <w:uiPriority w:val="99"/>
    <w:rsid w:val="00FE7EAA"/>
    <w:rPr>
      <w:rFonts w:ascii="Calibri" w:hAnsi="Calibri" w:cs="Calibri"/>
      <w:lang w:eastAsia="en-GB"/>
    </w:rPr>
  </w:style>
  <w:style w:type="paragraph" w:styleId="BalloonText">
    <w:name w:val="Balloon Text"/>
    <w:basedOn w:val="Normal"/>
    <w:link w:val="BalloonTextChar"/>
    <w:uiPriority w:val="99"/>
    <w:semiHidden/>
    <w:unhideWhenUsed/>
    <w:rsid w:val="00FE7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EAA"/>
    <w:rPr>
      <w:rFonts w:ascii="Segoe UI" w:hAnsi="Segoe UI" w:cs="Segoe UI"/>
      <w:sz w:val="18"/>
      <w:szCs w:val="18"/>
      <w:lang w:eastAsia="en-GB"/>
    </w:rPr>
  </w:style>
  <w:style w:type="character" w:styleId="Hyperlink">
    <w:name w:val="Hyperlink"/>
    <w:rsid w:val="007322EE"/>
    <w:rPr>
      <w:color w:val="0000FF"/>
      <w:u w:val="single"/>
    </w:rPr>
  </w:style>
  <w:style w:type="paragraph" w:styleId="CommentSubject">
    <w:name w:val="annotation subject"/>
    <w:basedOn w:val="CommentText"/>
    <w:next w:val="CommentText"/>
    <w:link w:val="CommentSubjectChar"/>
    <w:uiPriority w:val="99"/>
    <w:semiHidden/>
    <w:unhideWhenUsed/>
    <w:rsid w:val="00ED02E9"/>
    <w:rPr>
      <w:b/>
      <w:bCs/>
    </w:rPr>
  </w:style>
  <w:style w:type="character" w:customStyle="1" w:styleId="CommentSubjectChar">
    <w:name w:val="Comment Subject Char"/>
    <w:basedOn w:val="CommentTextChar"/>
    <w:link w:val="CommentSubject"/>
    <w:uiPriority w:val="99"/>
    <w:semiHidden/>
    <w:rsid w:val="00ED02E9"/>
    <w:rPr>
      <w:rFonts w:ascii="Calibri" w:hAnsi="Calibri" w:cs="Calibri"/>
      <w:b/>
      <w:bCs/>
      <w:sz w:val="20"/>
      <w:szCs w:val="20"/>
      <w:lang w:eastAsia="en-GB"/>
    </w:rPr>
  </w:style>
  <w:style w:type="character" w:styleId="UnresolvedMention">
    <w:name w:val="Unresolved Mention"/>
    <w:basedOn w:val="DefaultParagraphFont"/>
    <w:uiPriority w:val="99"/>
    <w:semiHidden/>
    <w:unhideWhenUsed/>
    <w:rsid w:val="006A3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news/2017/02/17/ukraine-dangers-unnecessary-delays-crossing-points" TargetMode="External"/><Relationship Id="rId3" Type="http://schemas.openxmlformats.org/officeDocument/2006/relationships/hyperlink" Target="https://www.msp.gov.ua/news/15636.html?PrintVersion" TargetMode="External"/><Relationship Id="rId7" Type="http://schemas.openxmlformats.org/officeDocument/2006/relationships/hyperlink" Target="https://www.hrw.org/news/2018/11/29/ukraine-barriers-free-movement-older-people" TargetMode="External"/><Relationship Id="rId12" Type="http://schemas.openxmlformats.org/officeDocument/2006/relationships/hyperlink" Target="https://www.hrw.org/news/2019/11/20/ukraine-becomes-100th-country-endorse-safe-schools-declaration" TargetMode="External"/><Relationship Id="rId2" Type="http://schemas.openxmlformats.org/officeDocument/2006/relationships/hyperlink" Target="http://zakon3.rada.gov.ua/laws/show/365-2016-%D0%BF" TargetMode="External"/><Relationship Id="rId1" Type="http://schemas.openxmlformats.org/officeDocument/2006/relationships/hyperlink" Target="http://zakon2.rada.gov.ua/laws/show/637-2014-%D0%BF" TargetMode="External"/><Relationship Id="rId6" Type="http://schemas.openxmlformats.org/officeDocument/2006/relationships/hyperlink" Target="https://www.hrw.org/news/2017/02/17/ukraine-dangers-unnecessary-delays-crossing-points" TargetMode="External"/><Relationship Id="rId11" Type="http://schemas.openxmlformats.org/officeDocument/2006/relationships/hyperlink" Target="https://www.hrw.org/report/2016/02/11/studying-under-fire/attacks-schools-military-use-schools-during-armed-conflict" TargetMode="External"/><Relationship Id="rId5" Type="http://schemas.openxmlformats.org/officeDocument/2006/relationships/hyperlink" Target="https://www.hrw.org/news/2019/04/10/making-life-little-easier-ukraines-front-lines" TargetMode="External"/><Relationship Id="rId10" Type="http://schemas.openxmlformats.org/officeDocument/2006/relationships/hyperlink" Target="https://www.hrw.org/sites/default/files/supporting_resources/ukr_final_letter_zelenskiy_01july2019.pdf" TargetMode="External"/><Relationship Id="rId4" Type="http://schemas.openxmlformats.org/officeDocument/2006/relationships/hyperlink" Target="https://www.hrw.org/news/2018/08/31/ukraine-ensure-all-pensioners-have-access-benefits" TargetMode="External"/><Relationship Id="rId9" Type="http://schemas.openxmlformats.org/officeDocument/2006/relationships/hyperlink" Target="https://www.hrw.org/news/2018/11/29/ukraine-barriers-free-movement-older-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532D-1B4C-41F1-ACDE-B5DACDC9B8FD}">
  <ds:schemaRefs>
    <ds:schemaRef ds:uri="http://schemas.microsoft.com/sharepoint/v3/contenttype/forms"/>
  </ds:schemaRefs>
</ds:datastoreItem>
</file>

<file path=customXml/itemProps2.xml><?xml version="1.0" encoding="utf-8"?>
<ds:datastoreItem xmlns:ds="http://schemas.openxmlformats.org/officeDocument/2006/customXml" ds:itemID="{1F73B206-F226-4BC0-97D1-079FE76AF92E}">
  <ds:schemaRefs>
    <ds:schemaRef ds:uri="http://schemas.microsoft.com/office/2006/metadata/properties"/>
    <ds:schemaRef ds:uri="fc5a96c5-3697-4160-9c89-54e9413c3582"/>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dc833447-6ca5-4693-9484-515f2f4c2cdb"/>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2849BFF-7978-4CDA-B0AC-865C5B0344D2}"/>
</file>

<file path=customXml/itemProps4.xml><?xml version="1.0" encoding="utf-8"?>
<ds:datastoreItem xmlns:ds="http://schemas.openxmlformats.org/officeDocument/2006/customXml" ds:itemID="{F5FA1E67-46FD-4C00-B413-8C69C27D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2925</Words>
  <Characters>16351</Characters>
  <Application>Microsoft Office Word</Application>
  <DocSecurity>0</DocSecurity>
  <Lines>286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Firth</dc:creator>
  <cp:keywords/>
  <dc:description/>
  <cp:lastModifiedBy>Alex Firth</cp:lastModifiedBy>
  <cp:revision>2</cp:revision>
  <dcterms:created xsi:type="dcterms:W3CDTF">2020-01-17T15:10:00Z</dcterms:created>
  <dcterms:modified xsi:type="dcterms:W3CDTF">2020-01-17T15:10:00Z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