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5C8A2" w14:textId="77777777" w:rsidR="00B24007" w:rsidRPr="00903E93" w:rsidRDefault="00B24007" w:rsidP="00B8245C">
      <w:pPr>
        <w:spacing w:line="276" w:lineRule="auto"/>
        <w:rPr>
          <w:rFonts w:ascii="MetaPro-Norm" w:hAnsi="MetaPro-Norm"/>
          <w:color w:val="000000" w:themeColor="text1"/>
          <w:sz w:val="24"/>
          <w:szCs w:val="24"/>
        </w:rPr>
      </w:pPr>
      <w:r w:rsidRPr="00903E93">
        <w:rPr>
          <w:rFonts w:ascii="MetaPro-Norm" w:hAnsi="MetaPro-Norm"/>
          <w:b/>
          <w:noProof/>
          <w:color w:val="000000" w:themeColor="text1"/>
          <w:sz w:val="24"/>
          <w:szCs w:val="24"/>
          <w:lang w:val="en-US"/>
        </w:rPr>
        <w:drawing>
          <wp:anchor distT="0" distB="0" distL="114300" distR="114300" simplePos="0" relativeHeight="251659264" behindDoc="1" locked="0" layoutInCell="1" allowOverlap="1" wp14:anchorId="7096B5A2" wp14:editId="34718E2C">
            <wp:simplePos x="0" y="0"/>
            <wp:positionH relativeFrom="margin">
              <wp:align>center</wp:align>
            </wp:positionH>
            <wp:positionV relativeFrom="paragraph">
              <wp:posOffset>0</wp:posOffset>
            </wp:positionV>
            <wp:extent cx="1341120" cy="1341120"/>
            <wp:effectExtent l="0" t="0" r="0" b="0"/>
            <wp:wrapTight wrapText="bothSides">
              <wp:wrapPolygon edited="0">
                <wp:start x="0" y="0"/>
                <wp:lineTo x="0" y="21170"/>
                <wp:lineTo x="21170" y="21170"/>
                <wp:lineTo x="21170" y="0"/>
                <wp:lineTo x="0" y="0"/>
              </wp:wrapPolygon>
            </wp:wrapTight>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E9896" w14:textId="77777777" w:rsidR="00B24007" w:rsidRPr="00903E93" w:rsidRDefault="00B24007" w:rsidP="00B8245C">
      <w:pPr>
        <w:spacing w:line="276" w:lineRule="auto"/>
        <w:rPr>
          <w:rFonts w:ascii="MetaPro-Norm" w:hAnsi="MetaPro-Norm"/>
          <w:color w:val="000000" w:themeColor="text1"/>
          <w:sz w:val="24"/>
          <w:szCs w:val="24"/>
        </w:rPr>
      </w:pPr>
    </w:p>
    <w:p w14:paraId="08809302" w14:textId="77777777" w:rsidR="00B24007" w:rsidRPr="00903E93" w:rsidRDefault="00B24007" w:rsidP="00B8245C">
      <w:pPr>
        <w:spacing w:line="276" w:lineRule="auto"/>
        <w:rPr>
          <w:rFonts w:ascii="MetaPro-Norm" w:hAnsi="MetaPro-Norm"/>
          <w:color w:val="000000" w:themeColor="text1"/>
          <w:sz w:val="24"/>
          <w:szCs w:val="24"/>
        </w:rPr>
      </w:pPr>
    </w:p>
    <w:p w14:paraId="4794560B" w14:textId="77777777" w:rsidR="00B24007" w:rsidRPr="00903E93" w:rsidRDefault="00B24007" w:rsidP="00B8245C">
      <w:pPr>
        <w:spacing w:line="276" w:lineRule="auto"/>
        <w:rPr>
          <w:rFonts w:ascii="MetaPro-Norm" w:hAnsi="MetaPro-Norm"/>
          <w:color w:val="000000" w:themeColor="text1"/>
          <w:sz w:val="24"/>
          <w:szCs w:val="24"/>
        </w:rPr>
      </w:pPr>
    </w:p>
    <w:p w14:paraId="20B5C52E" w14:textId="77777777" w:rsidR="00B24007" w:rsidRPr="00903E93" w:rsidRDefault="00B24007" w:rsidP="00B8245C">
      <w:pPr>
        <w:spacing w:line="276" w:lineRule="auto"/>
        <w:rPr>
          <w:rFonts w:ascii="MetaPro-Norm" w:hAnsi="MetaPro-Norm"/>
          <w:color w:val="000000" w:themeColor="text1"/>
          <w:sz w:val="24"/>
          <w:szCs w:val="24"/>
        </w:rPr>
      </w:pPr>
    </w:p>
    <w:p w14:paraId="785A3FBD" w14:textId="77777777" w:rsidR="00B24007" w:rsidRPr="00903E93" w:rsidRDefault="00B24007" w:rsidP="00B8245C">
      <w:pPr>
        <w:spacing w:line="276" w:lineRule="auto"/>
        <w:rPr>
          <w:rFonts w:ascii="MetaPro-Norm" w:hAnsi="MetaPro-Norm"/>
          <w:color w:val="000000" w:themeColor="text1"/>
          <w:sz w:val="24"/>
          <w:szCs w:val="24"/>
        </w:rPr>
      </w:pPr>
    </w:p>
    <w:p w14:paraId="4EB6F54E" w14:textId="77777777" w:rsidR="00B24007" w:rsidRPr="00903E93" w:rsidRDefault="00B24007" w:rsidP="00B8245C">
      <w:pPr>
        <w:spacing w:line="276" w:lineRule="auto"/>
        <w:jc w:val="center"/>
        <w:rPr>
          <w:rFonts w:ascii="MetaPro-Norm" w:hAnsi="MetaPro-Norm"/>
          <w:b/>
          <w:color w:val="000000" w:themeColor="text1"/>
          <w:sz w:val="24"/>
          <w:szCs w:val="24"/>
        </w:rPr>
      </w:pPr>
    </w:p>
    <w:p w14:paraId="2842B616" w14:textId="6E3D98E6" w:rsidR="00DC7054" w:rsidRDefault="00B24007" w:rsidP="00B8245C">
      <w:pPr>
        <w:spacing w:line="276" w:lineRule="auto"/>
        <w:jc w:val="center"/>
        <w:rPr>
          <w:rFonts w:ascii="MetaPro-Norm" w:hAnsi="MetaPro-Norm"/>
          <w:b/>
          <w:color w:val="000000" w:themeColor="text1"/>
          <w:sz w:val="24"/>
          <w:szCs w:val="24"/>
        </w:rPr>
      </w:pPr>
      <w:r w:rsidRPr="00903E93">
        <w:rPr>
          <w:rFonts w:ascii="MetaPro-Norm" w:hAnsi="MetaPro-Norm"/>
          <w:b/>
          <w:color w:val="000000" w:themeColor="text1"/>
          <w:sz w:val="24"/>
          <w:szCs w:val="24"/>
        </w:rPr>
        <w:t xml:space="preserve">Human Rights Watch </w:t>
      </w:r>
      <w:r w:rsidR="00DC7054">
        <w:rPr>
          <w:rFonts w:ascii="MetaPro-Norm" w:hAnsi="MetaPro-Norm"/>
          <w:b/>
          <w:color w:val="000000" w:themeColor="text1"/>
          <w:sz w:val="24"/>
          <w:szCs w:val="24"/>
        </w:rPr>
        <w:t xml:space="preserve">Submission </w:t>
      </w:r>
      <w:r w:rsidRPr="00903E93">
        <w:rPr>
          <w:rFonts w:ascii="MetaPro-Norm" w:hAnsi="MetaPro-Norm"/>
          <w:b/>
          <w:color w:val="000000" w:themeColor="text1"/>
          <w:sz w:val="24"/>
          <w:szCs w:val="24"/>
        </w:rPr>
        <w:t xml:space="preserve">to the </w:t>
      </w:r>
      <w:r w:rsidR="00DC7054">
        <w:rPr>
          <w:rFonts w:ascii="MetaPro-Norm" w:hAnsi="MetaPro-Norm"/>
          <w:b/>
          <w:color w:val="000000" w:themeColor="text1"/>
          <w:sz w:val="24"/>
          <w:szCs w:val="24"/>
        </w:rPr>
        <w:t xml:space="preserve">United Nations </w:t>
      </w:r>
      <w:r w:rsidRPr="00903E93">
        <w:rPr>
          <w:rFonts w:ascii="MetaPro-Norm" w:hAnsi="MetaPro-Norm"/>
          <w:b/>
          <w:color w:val="000000" w:themeColor="text1"/>
          <w:sz w:val="24"/>
          <w:szCs w:val="24"/>
        </w:rPr>
        <w:t xml:space="preserve">Committee on Economic, Social and Cultural Rights </w:t>
      </w:r>
    </w:p>
    <w:p w14:paraId="20A3220D" w14:textId="2CF26A66" w:rsidR="00B24007" w:rsidRPr="00903E93" w:rsidRDefault="00DC7054" w:rsidP="00B8245C">
      <w:pPr>
        <w:spacing w:line="276" w:lineRule="auto"/>
        <w:jc w:val="center"/>
        <w:rPr>
          <w:rFonts w:ascii="MetaPro-Norm" w:hAnsi="MetaPro-Norm"/>
          <w:b/>
          <w:color w:val="000000" w:themeColor="text1"/>
          <w:sz w:val="24"/>
          <w:szCs w:val="24"/>
        </w:rPr>
      </w:pPr>
      <w:r>
        <w:rPr>
          <w:rFonts w:ascii="MetaPro-Norm" w:hAnsi="MetaPro-Norm"/>
          <w:b/>
          <w:color w:val="000000" w:themeColor="text1"/>
          <w:sz w:val="24"/>
          <w:szCs w:val="24"/>
        </w:rPr>
        <w:t xml:space="preserve">Review of </w:t>
      </w:r>
      <w:r w:rsidR="00697461" w:rsidRPr="00903E93">
        <w:rPr>
          <w:rFonts w:ascii="MetaPro-Norm" w:hAnsi="MetaPro-Norm"/>
          <w:b/>
          <w:color w:val="000000" w:themeColor="text1"/>
          <w:sz w:val="24"/>
          <w:szCs w:val="24"/>
        </w:rPr>
        <w:t>Guinea</w:t>
      </w:r>
    </w:p>
    <w:p w14:paraId="07144CD6" w14:textId="77777777" w:rsidR="00B24007" w:rsidRPr="00903E93" w:rsidRDefault="00B24007" w:rsidP="00B8245C">
      <w:pPr>
        <w:spacing w:line="276" w:lineRule="auto"/>
        <w:jc w:val="center"/>
        <w:rPr>
          <w:rFonts w:ascii="MetaPro-Norm" w:hAnsi="MetaPro-Norm"/>
          <w:b/>
          <w:color w:val="000000" w:themeColor="text1"/>
          <w:sz w:val="24"/>
          <w:szCs w:val="24"/>
        </w:rPr>
      </w:pPr>
    </w:p>
    <w:p w14:paraId="2D5E05D2" w14:textId="4C1FAAD0" w:rsidR="00B24007" w:rsidRPr="00DA3C79" w:rsidRDefault="00697461" w:rsidP="00B8245C">
      <w:pPr>
        <w:spacing w:line="276" w:lineRule="auto"/>
        <w:jc w:val="center"/>
        <w:rPr>
          <w:rFonts w:ascii="MetaPro-Norm" w:hAnsi="MetaPro-Norm"/>
          <w:b/>
          <w:iCs/>
          <w:color w:val="000000" w:themeColor="text1"/>
          <w:sz w:val="24"/>
          <w:szCs w:val="24"/>
        </w:rPr>
      </w:pPr>
      <w:r w:rsidRPr="00DA3C79">
        <w:rPr>
          <w:rFonts w:ascii="MetaPro-Norm" w:hAnsi="MetaPro-Norm"/>
          <w:b/>
          <w:iCs/>
          <w:color w:val="000000" w:themeColor="text1"/>
          <w:sz w:val="24"/>
          <w:szCs w:val="24"/>
        </w:rPr>
        <w:t>67</w:t>
      </w:r>
      <w:r w:rsidR="00B24007" w:rsidRPr="00DA3C79">
        <w:rPr>
          <w:rFonts w:ascii="MetaPro-Norm" w:hAnsi="MetaPro-Norm"/>
          <w:b/>
          <w:iCs/>
          <w:color w:val="000000" w:themeColor="text1"/>
          <w:sz w:val="24"/>
          <w:szCs w:val="24"/>
          <w:vertAlign w:val="superscript"/>
        </w:rPr>
        <w:t>th</w:t>
      </w:r>
      <w:r w:rsidR="00B24007" w:rsidRPr="00DA3C79">
        <w:rPr>
          <w:rFonts w:ascii="MetaPro-Norm" w:hAnsi="MetaPro-Norm"/>
          <w:b/>
          <w:iCs/>
          <w:color w:val="000000" w:themeColor="text1"/>
          <w:sz w:val="24"/>
          <w:szCs w:val="24"/>
        </w:rPr>
        <w:t xml:space="preserve"> session</w:t>
      </w:r>
      <w:r w:rsidR="00DC7054" w:rsidRPr="00DA3C79">
        <w:rPr>
          <w:rFonts w:ascii="MetaPro-Norm" w:hAnsi="MetaPro-Norm"/>
          <w:b/>
          <w:iCs/>
          <w:color w:val="000000" w:themeColor="text1"/>
          <w:sz w:val="24"/>
          <w:szCs w:val="24"/>
        </w:rPr>
        <w:t xml:space="preserve"> -</w:t>
      </w:r>
      <w:r w:rsidR="00B24007" w:rsidRPr="00DA3C79">
        <w:rPr>
          <w:rFonts w:ascii="MetaPro-Norm" w:hAnsi="MetaPro-Norm"/>
          <w:b/>
          <w:iCs/>
          <w:color w:val="000000" w:themeColor="text1"/>
          <w:sz w:val="24"/>
          <w:szCs w:val="24"/>
        </w:rPr>
        <w:t xml:space="preserve"> </w:t>
      </w:r>
      <w:r w:rsidR="00DC7054" w:rsidRPr="00DA3C79">
        <w:rPr>
          <w:rFonts w:ascii="MetaPro-Norm" w:hAnsi="MetaPro-Norm"/>
          <w:b/>
          <w:iCs/>
          <w:color w:val="000000" w:themeColor="text1"/>
          <w:sz w:val="24"/>
          <w:szCs w:val="24"/>
        </w:rPr>
        <w:t xml:space="preserve">January </w:t>
      </w:r>
      <w:r w:rsidR="007B4821" w:rsidRPr="00DA3C79">
        <w:rPr>
          <w:rFonts w:ascii="MetaPro-Norm" w:hAnsi="MetaPro-Norm"/>
          <w:b/>
          <w:iCs/>
          <w:color w:val="000000" w:themeColor="text1"/>
          <w:sz w:val="24"/>
          <w:szCs w:val="24"/>
        </w:rPr>
        <w:t>2020</w:t>
      </w:r>
    </w:p>
    <w:p w14:paraId="5DC7FCD8" w14:textId="77777777" w:rsidR="00B24007" w:rsidRPr="00903E93" w:rsidRDefault="00B24007" w:rsidP="00B8245C">
      <w:pPr>
        <w:spacing w:line="276" w:lineRule="auto"/>
        <w:jc w:val="center"/>
        <w:rPr>
          <w:rFonts w:ascii="MetaPro-Norm" w:hAnsi="MetaPro-Norm"/>
          <w:b/>
          <w:i/>
          <w:color w:val="000000" w:themeColor="text1"/>
          <w:sz w:val="24"/>
          <w:szCs w:val="24"/>
        </w:rPr>
      </w:pPr>
    </w:p>
    <w:p w14:paraId="0B121801" w14:textId="34DEBBDE" w:rsidR="00B24007" w:rsidRPr="00903E93" w:rsidRDefault="00B24007" w:rsidP="00DA3C79">
      <w:p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 xml:space="preserve">This submission relates to the review of </w:t>
      </w:r>
      <w:r w:rsidR="00697461" w:rsidRPr="00903E93">
        <w:rPr>
          <w:rFonts w:ascii="MetaPro-Norm" w:hAnsi="MetaPro-Norm"/>
          <w:color w:val="000000" w:themeColor="text1"/>
          <w:sz w:val="24"/>
          <w:szCs w:val="24"/>
        </w:rPr>
        <w:t>Guinea</w:t>
      </w:r>
      <w:r w:rsidRPr="00903E93">
        <w:rPr>
          <w:rFonts w:ascii="MetaPro-Norm" w:hAnsi="MetaPro-Norm"/>
          <w:color w:val="000000" w:themeColor="text1"/>
          <w:sz w:val="24"/>
          <w:szCs w:val="24"/>
        </w:rPr>
        <w:t xml:space="preserve"> under the </w:t>
      </w:r>
      <w:r w:rsidR="00880619">
        <w:rPr>
          <w:rFonts w:ascii="MetaPro-Norm" w:hAnsi="MetaPro-Norm"/>
          <w:color w:val="000000" w:themeColor="text1"/>
          <w:sz w:val="24"/>
          <w:szCs w:val="24"/>
        </w:rPr>
        <w:t xml:space="preserve">International </w:t>
      </w:r>
      <w:r w:rsidR="009E7716" w:rsidRPr="00903E93">
        <w:rPr>
          <w:rFonts w:ascii="MetaPro-Norm" w:hAnsi="MetaPro-Norm"/>
          <w:color w:val="000000" w:themeColor="text1"/>
          <w:sz w:val="24"/>
          <w:szCs w:val="24"/>
        </w:rPr>
        <w:t>Coven</w:t>
      </w:r>
      <w:r w:rsidR="00880619">
        <w:rPr>
          <w:rFonts w:ascii="MetaPro-Norm" w:hAnsi="MetaPro-Norm"/>
          <w:color w:val="000000" w:themeColor="text1"/>
          <w:sz w:val="24"/>
          <w:szCs w:val="24"/>
        </w:rPr>
        <w:t xml:space="preserve">ant </w:t>
      </w:r>
      <w:r w:rsidRPr="00903E93">
        <w:rPr>
          <w:rFonts w:ascii="MetaPro-Norm" w:hAnsi="MetaPro-Norm"/>
          <w:color w:val="000000" w:themeColor="text1"/>
          <w:sz w:val="24"/>
          <w:szCs w:val="24"/>
        </w:rPr>
        <w:t>on Economic, Social</w:t>
      </w:r>
      <w:r w:rsidR="009E7716" w:rsidRPr="00903E93">
        <w:rPr>
          <w:rFonts w:ascii="MetaPro-Norm" w:hAnsi="MetaPro-Norm"/>
          <w:color w:val="000000" w:themeColor="text1"/>
          <w:sz w:val="24"/>
          <w:szCs w:val="24"/>
        </w:rPr>
        <w:t>,</w:t>
      </w:r>
      <w:r w:rsidRPr="00903E93">
        <w:rPr>
          <w:rFonts w:ascii="MetaPro-Norm" w:hAnsi="MetaPro-Norm"/>
          <w:color w:val="000000" w:themeColor="text1"/>
          <w:sz w:val="24"/>
          <w:szCs w:val="24"/>
        </w:rPr>
        <w:t xml:space="preserve"> and </w:t>
      </w:r>
      <w:r w:rsidRPr="00C451B6">
        <w:rPr>
          <w:rFonts w:ascii="MetaPro-Norm" w:hAnsi="MetaPro-Norm"/>
          <w:color w:val="000000" w:themeColor="text1"/>
          <w:sz w:val="24"/>
          <w:szCs w:val="24"/>
        </w:rPr>
        <w:t xml:space="preserve">Cultural Rights. It focuses on </w:t>
      </w:r>
      <w:r w:rsidR="00916619" w:rsidRPr="00C451B6">
        <w:rPr>
          <w:rFonts w:ascii="MetaPro-Norm" w:hAnsi="MetaPro-Norm"/>
          <w:color w:val="000000" w:themeColor="text1"/>
          <w:sz w:val="24"/>
          <w:szCs w:val="24"/>
        </w:rPr>
        <w:t xml:space="preserve">the </w:t>
      </w:r>
      <w:r w:rsidR="00880619">
        <w:rPr>
          <w:rFonts w:ascii="MetaPro-Norm" w:hAnsi="MetaPro-Norm"/>
          <w:color w:val="000000" w:themeColor="text1"/>
          <w:sz w:val="24"/>
          <w:szCs w:val="24"/>
        </w:rPr>
        <w:t xml:space="preserve">human rights </w:t>
      </w:r>
      <w:r w:rsidR="00916619" w:rsidRPr="00C451B6">
        <w:rPr>
          <w:rFonts w:ascii="MetaPro-Norm" w:hAnsi="MetaPro-Norm"/>
          <w:color w:val="000000" w:themeColor="text1"/>
          <w:sz w:val="24"/>
          <w:szCs w:val="24"/>
        </w:rPr>
        <w:t>implications of largescale mining</w:t>
      </w:r>
      <w:r w:rsidR="00167E82">
        <w:rPr>
          <w:rFonts w:ascii="MetaPro-Norm" w:hAnsi="MetaPro-Norm"/>
          <w:color w:val="000000" w:themeColor="text1"/>
          <w:sz w:val="24"/>
          <w:szCs w:val="24"/>
        </w:rPr>
        <w:t xml:space="preserve"> and</w:t>
      </w:r>
      <w:r w:rsidR="00916619" w:rsidRPr="00C451B6">
        <w:rPr>
          <w:rFonts w:ascii="MetaPro-Norm" w:hAnsi="MetaPro-Norm"/>
          <w:color w:val="000000" w:themeColor="text1"/>
          <w:sz w:val="24"/>
          <w:szCs w:val="24"/>
        </w:rPr>
        <w:t xml:space="preserve"> hydro</w:t>
      </w:r>
      <w:r w:rsidR="00880619">
        <w:rPr>
          <w:rFonts w:ascii="MetaPro-Norm" w:hAnsi="MetaPro-Norm"/>
          <w:color w:val="000000" w:themeColor="text1"/>
          <w:sz w:val="24"/>
          <w:szCs w:val="24"/>
        </w:rPr>
        <w:t>electric</w:t>
      </w:r>
      <w:r w:rsidR="00916619" w:rsidRPr="00C451B6">
        <w:rPr>
          <w:rFonts w:ascii="MetaPro-Norm" w:hAnsi="MetaPro-Norm"/>
          <w:color w:val="000000" w:themeColor="text1"/>
          <w:sz w:val="24"/>
          <w:szCs w:val="24"/>
        </w:rPr>
        <w:t xml:space="preserve"> dams, forced relocation from land in Conakry, </w:t>
      </w:r>
      <w:r w:rsidR="00AE389A" w:rsidRPr="00C451B6">
        <w:rPr>
          <w:rFonts w:ascii="MetaPro-Norm" w:hAnsi="MetaPro-Norm"/>
          <w:color w:val="000000" w:themeColor="text1"/>
          <w:sz w:val="24"/>
          <w:szCs w:val="24"/>
        </w:rPr>
        <w:t xml:space="preserve">and </w:t>
      </w:r>
      <w:r w:rsidR="004E65D3">
        <w:rPr>
          <w:rFonts w:ascii="MetaPro-Norm" w:hAnsi="MetaPro-Norm"/>
          <w:color w:val="000000" w:themeColor="text1"/>
          <w:sz w:val="24"/>
          <w:szCs w:val="24"/>
        </w:rPr>
        <w:t xml:space="preserve">the </w:t>
      </w:r>
      <w:r w:rsidR="004F207F">
        <w:rPr>
          <w:rFonts w:ascii="MetaPro-Norm" w:hAnsi="MetaPro-Norm"/>
          <w:color w:val="000000" w:themeColor="text1"/>
          <w:sz w:val="24"/>
          <w:szCs w:val="24"/>
        </w:rPr>
        <w:t xml:space="preserve">Safe Schools </w:t>
      </w:r>
      <w:r w:rsidR="00DB519C">
        <w:rPr>
          <w:rFonts w:ascii="MetaPro-Norm" w:hAnsi="MetaPro-Norm"/>
          <w:color w:val="000000" w:themeColor="text1"/>
          <w:sz w:val="24"/>
          <w:szCs w:val="24"/>
        </w:rPr>
        <w:t>D</w:t>
      </w:r>
      <w:r w:rsidR="004F207F">
        <w:rPr>
          <w:rFonts w:ascii="MetaPro-Norm" w:hAnsi="MetaPro-Norm"/>
          <w:color w:val="000000" w:themeColor="text1"/>
          <w:sz w:val="24"/>
          <w:szCs w:val="24"/>
        </w:rPr>
        <w:t xml:space="preserve">eclaration. </w:t>
      </w:r>
    </w:p>
    <w:p w14:paraId="39BB259F" w14:textId="5B9F05A7" w:rsidR="003453FB" w:rsidRPr="00903E93" w:rsidRDefault="003453FB" w:rsidP="00B8245C">
      <w:pPr>
        <w:spacing w:line="276" w:lineRule="auto"/>
        <w:rPr>
          <w:rFonts w:ascii="MetaPro-Norm" w:hAnsi="MetaPro-Norm"/>
          <w:color w:val="000000" w:themeColor="text1"/>
          <w:sz w:val="24"/>
          <w:szCs w:val="24"/>
        </w:rPr>
      </w:pPr>
    </w:p>
    <w:p w14:paraId="08C45BEA" w14:textId="75E8BFC2" w:rsidR="0067229D" w:rsidRPr="00DA3C79" w:rsidRDefault="0067229D" w:rsidP="00DA3C79">
      <w:pPr>
        <w:pStyle w:val="ListParagraph"/>
        <w:numPr>
          <w:ilvl w:val="0"/>
          <w:numId w:val="7"/>
        </w:numPr>
        <w:spacing w:line="276" w:lineRule="auto"/>
        <w:rPr>
          <w:rFonts w:ascii="MetaPro-Norm" w:hAnsi="MetaPro-Norm"/>
          <w:b/>
          <w:bCs/>
          <w:color w:val="000000" w:themeColor="text1"/>
          <w:sz w:val="24"/>
          <w:szCs w:val="24"/>
        </w:rPr>
      </w:pPr>
      <w:r w:rsidRPr="00DA3C79">
        <w:rPr>
          <w:rFonts w:ascii="MetaPro-Norm" w:hAnsi="MetaPro-Norm"/>
          <w:b/>
          <w:bCs/>
          <w:color w:val="000000" w:themeColor="text1"/>
          <w:sz w:val="24"/>
          <w:szCs w:val="24"/>
        </w:rPr>
        <w:t>Natural Resources</w:t>
      </w:r>
      <w:r w:rsidR="001C1B8E" w:rsidRPr="00DA3C79">
        <w:rPr>
          <w:rFonts w:ascii="MetaPro-Norm" w:hAnsi="MetaPro-Norm"/>
          <w:b/>
          <w:bCs/>
          <w:color w:val="000000" w:themeColor="text1"/>
          <w:sz w:val="24"/>
          <w:szCs w:val="24"/>
        </w:rPr>
        <w:t xml:space="preserve"> (</w:t>
      </w:r>
      <w:r w:rsidR="00DC7054">
        <w:rPr>
          <w:rFonts w:ascii="MetaPro-Norm" w:hAnsi="MetaPro-Norm"/>
          <w:b/>
          <w:bCs/>
          <w:color w:val="000000" w:themeColor="text1"/>
          <w:sz w:val="24"/>
          <w:szCs w:val="24"/>
        </w:rPr>
        <w:t>A</w:t>
      </w:r>
      <w:r w:rsidR="001C1B8E" w:rsidRPr="00DA3C79">
        <w:rPr>
          <w:rFonts w:ascii="MetaPro-Norm" w:hAnsi="MetaPro-Norm"/>
          <w:b/>
          <w:bCs/>
          <w:color w:val="000000" w:themeColor="text1"/>
          <w:sz w:val="24"/>
          <w:szCs w:val="24"/>
        </w:rPr>
        <w:t>rticles 11, 12, 25)</w:t>
      </w:r>
    </w:p>
    <w:p w14:paraId="4356ABE2" w14:textId="65B6D2EE" w:rsidR="0067229D" w:rsidRPr="00903E93" w:rsidRDefault="0067229D" w:rsidP="00DA3C79">
      <w:p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 xml:space="preserve">Guinea possesses the world’s largest bauxite reserves, as well </w:t>
      </w:r>
      <w:r w:rsidR="00DC7054">
        <w:rPr>
          <w:rFonts w:ascii="MetaPro-Norm" w:hAnsi="MetaPro-Norm"/>
          <w:color w:val="000000" w:themeColor="text1"/>
          <w:sz w:val="24"/>
          <w:szCs w:val="24"/>
        </w:rPr>
        <w:t xml:space="preserve">as </w:t>
      </w:r>
      <w:r w:rsidRPr="00903E93">
        <w:rPr>
          <w:rFonts w:ascii="MetaPro-Norm" w:hAnsi="MetaPro-Norm"/>
          <w:color w:val="000000" w:themeColor="text1"/>
          <w:sz w:val="24"/>
          <w:szCs w:val="24"/>
        </w:rPr>
        <w:t>large amounts of iron ore, gold</w:t>
      </w:r>
      <w:r w:rsidR="00CA7AD1">
        <w:rPr>
          <w:rFonts w:ascii="MetaPro-Norm" w:hAnsi="MetaPro-Norm"/>
          <w:color w:val="000000" w:themeColor="text1"/>
          <w:sz w:val="24"/>
          <w:szCs w:val="24"/>
        </w:rPr>
        <w:t>,</w:t>
      </w:r>
      <w:r w:rsidRPr="00903E93">
        <w:rPr>
          <w:rFonts w:ascii="MetaPro-Norm" w:hAnsi="MetaPro-Norm"/>
          <w:color w:val="000000" w:themeColor="text1"/>
          <w:sz w:val="24"/>
          <w:szCs w:val="24"/>
        </w:rPr>
        <w:t xml:space="preserve"> and diamonds.</w:t>
      </w:r>
      <w:r w:rsidR="006348B0">
        <w:rPr>
          <w:rStyle w:val="FootnoteReference"/>
          <w:rFonts w:ascii="MetaPro-Norm" w:hAnsi="MetaPro-Norm"/>
          <w:color w:val="000000" w:themeColor="text1"/>
          <w:sz w:val="24"/>
          <w:szCs w:val="24"/>
        </w:rPr>
        <w:footnoteReference w:id="1"/>
      </w:r>
      <w:r w:rsidRPr="00903E93">
        <w:rPr>
          <w:rFonts w:ascii="MetaPro-Norm" w:hAnsi="MetaPro-Norm"/>
          <w:color w:val="000000" w:themeColor="text1"/>
          <w:sz w:val="24"/>
          <w:szCs w:val="24"/>
        </w:rPr>
        <w:t xml:space="preserve"> Guinea’s bauxite sector has grown rapidly since 2015, with Guinea</w:t>
      </w:r>
      <w:r w:rsidR="00DC7054">
        <w:rPr>
          <w:rFonts w:ascii="MetaPro-Norm" w:hAnsi="MetaPro-Norm"/>
          <w:color w:val="000000" w:themeColor="text1"/>
          <w:sz w:val="24"/>
          <w:szCs w:val="24"/>
        </w:rPr>
        <w:t xml:space="preserve"> being</w:t>
      </w:r>
      <w:r w:rsidRPr="00903E93">
        <w:rPr>
          <w:rFonts w:ascii="MetaPro-Norm" w:hAnsi="MetaPro-Norm"/>
          <w:color w:val="000000" w:themeColor="text1"/>
          <w:sz w:val="24"/>
          <w:szCs w:val="24"/>
        </w:rPr>
        <w:t xml:space="preserve"> the largest supplier </w:t>
      </w:r>
      <w:r w:rsidR="00B93E9D">
        <w:rPr>
          <w:rFonts w:ascii="MetaPro-Norm" w:hAnsi="MetaPro-Norm"/>
          <w:color w:val="000000" w:themeColor="text1"/>
          <w:sz w:val="24"/>
          <w:szCs w:val="24"/>
        </w:rPr>
        <w:t>of</w:t>
      </w:r>
      <w:r w:rsidRPr="00903E93">
        <w:rPr>
          <w:rFonts w:ascii="MetaPro-Norm" w:hAnsi="MetaPro-Norm"/>
          <w:color w:val="000000" w:themeColor="text1"/>
          <w:sz w:val="24"/>
          <w:szCs w:val="24"/>
        </w:rPr>
        <w:t xml:space="preserve"> bauxite to China, the world’s largest </w:t>
      </w:r>
      <w:proofErr w:type="spellStart"/>
      <w:r w:rsidRPr="00903E93">
        <w:rPr>
          <w:rFonts w:ascii="MetaPro-Norm" w:hAnsi="MetaPro-Norm"/>
          <w:color w:val="000000" w:themeColor="text1"/>
          <w:sz w:val="24"/>
          <w:szCs w:val="24"/>
        </w:rPr>
        <w:t>aluminum</w:t>
      </w:r>
      <w:proofErr w:type="spellEnd"/>
      <w:r w:rsidRPr="00903E93">
        <w:rPr>
          <w:rFonts w:ascii="MetaPro-Norm" w:hAnsi="MetaPro-Norm"/>
          <w:color w:val="000000" w:themeColor="text1"/>
          <w:sz w:val="24"/>
          <w:szCs w:val="24"/>
        </w:rPr>
        <w:t xml:space="preserve"> producer.</w:t>
      </w:r>
      <w:r w:rsidR="00E33546">
        <w:rPr>
          <w:rStyle w:val="FootnoteReference"/>
          <w:rFonts w:ascii="MetaPro-Norm" w:hAnsi="MetaPro-Norm"/>
          <w:color w:val="000000" w:themeColor="text1"/>
          <w:sz w:val="24"/>
          <w:szCs w:val="24"/>
        </w:rPr>
        <w:footnoteReference w:id="2"/>
      </w:r>
    </w:p>
    <w:p w14:paraId="6F0CE71F" w14:textId="77777777" w:rsidR="0067229D" w:rsidRPr="00903E93" w:rsidRDefault="0067229D" w:rsidP="00DA3C79">
      <w:pPr>
        <w:spacing w:line="276" w:lineRule="auto"/>
        <w:jc w:val="both"/>
        <w:rPr>
          <w:rFonts w:ascii="MetaPro-Norm" w:hAnsi="MetaPro-Norm"/>
          <w:color w:val="000000" w:themeColor="text1"/>
          <w:sz w:val="24"/>
          <w:szCs w:val="24"/>
        </w:rPr>
      </w:pPr>
    </w:p>
    <w:p w14:paraId="5D0B9149" w14:textId="0BEC8357" w:rsidR="0067229D" w:rsidRPr="00903E93" w:rsidRDefault="00CA7AD1" w:rsidP="00DA3C79">
      <w:pPr>
        <w:spacing w:line="276" w:lineRule="auto"/>
        <w:jc w:val="both"/>
        <w:rPr>
          <w:rFonts w:ascii="MetaPro-Norm" w:hAnsi="MetaPro-Norm"/>
          <w:color w:val="000000" w:themeColor="text1"/>
          <w:sz w:val="24"/>
          <w:szCs w:val="24"/>
        </w:rPr>
      </w:pPr>
      <w:r>
        <w:rPr>
          <w:rFonts w:ascii="MetaPro-Norm" w:hAnsi="MetaPro-Norm"/>
          <w:color w:val="000000" w:themeColor="text1"/>
          <w:sz w:val="24"/>
          <w:szCs w:val="24"/>
        </w:rPr>
        <w:t>W</w:t>
      </w:r>
      <w:r w:rsidR="0067229D" w:rsidRPr="00903E93">
        <w:rPr>
          <w:rFonts w:ascii="MetaPro-Norm" w:hAnsi="MetaPro-Norm"/>
          <w:color w:val="000000" w:themeColor="text1"/>
          <w:sz w:val="24"/>
          <w:szCs w:val="24"/>
        </w:rPr>
        <w:t xml:space="preserve">hile Guinea’s bauxite boom provides much-needed tax revenue for the government and has created thousands of jobs, the government has failed to adequately regulate the industry and ensure companies respect the environment and the rights of local communities. Mining companies have expropriated ancestral farmlands without </w:t>
      </w:r>
      <w:r w:rsidR="0067229D" w:rsidRPr="00903E93">
        <w:rPr>
          <w:rFonts w:ascii="MetaPro-Norm" w:hAnsi="MetaPro-Norm"/>
          <w:color w:val="000000" w:themeColor="text1"/>
          <w:sz w:val="24"/>
          <w:szCs w:val="24"/>
        </w:rPr>
        <w:lastRenderedPageBreak/>
        <w:t>adequate compensation, threatening tens of thousands of people’s livelihoods.</w:t>
      </w:r>
      <w:r w:rsidR="00F90AC4">
        <w:rPr>
          <w:rStyle w:val="FootnoteReference"/>
          <w:rFonts w:ascii="MetaPro-Norm" w:hAnsi="MetaPro-Norm"/>
          <w:color w:val="000000" w:themeColor="text1"/>
          <w:sz w:val="24"/>
          <w:szCs w:val="24"/>
        </w:rPr>
        <w:footnoteReference w:id="3"/>
      </w:r>
      <w:r w:rsidR="00F933E6">
        <w:rPr>
          <w:rFonts w:ascii="MetaPro-Norm" w:hAnsi="MetaPro-Norm"/>
          <w:color w:val="000000" w:themeColor="text1"/>
          <w:sz w:val="24"/>
          <w:szCs w:val="24"/>
        </w:rPr>
        <w:t xml:space="preserve"> </w:t>
      </w:r>
      <w:r w:rsidR="0067229D" w:rsidRPr="00903E93">
        <w:rPr>
          <w:rFonts w:ascii="MetaPro-Norm" w:hAnsi="MetaPro-Norm"/>
          <w:color w:val="000000" w:themeColor="text1"/>
          <w:sz w:val="24"/>
          <w:szCs w:val="24"/>
        </w:rPr>
        <w:t>Damage to water sources, as well as increased demand due to population migration to mining sites, has reduced communities’ access to water for drinking, washing</w:t>
      </w:r>
      <w:r>
        <w:rPr>
          <w:rFonts w:ascii="MetaPro-Norm" w:hAnsi="MetaPro-Norm"/>
          <w:color w:val="000000" w:themeColor="text1"/>
          <w:sz w:val="24"/>
          <w:szCs w:val="24"/>
        </w:rPr>
        <w:t>,</w:t>
      </w:r>
      <w:r w:rsidR="0067229D" w:rsidRPr="00903E93">
        <w:rPr>
          <w:rFonts w:ascii="MetaPro-Norm" w:hAnsi="MetaPro-Norm"/>
          <w:color w:val="000000" w:themeColor="text1"/>
          <w:sz w:val="24"/>
          <w:szCs w:val="24"/>
        </w:rPr>
        <w:t xml:space="preserve"> and cooking.</w:t>
      </w:r>
      <w:r w:rsidR="00F90AC4">
        <w:rPr>
          <w:rStyle w:val="FootnoteReference"/>
          <w:rFonts w:ascii="MetaPro-Norm" w:hAnsi="MetaPro-Norm"/>
          <w:color w:val="000000" w:themeColor="text1"/>
          <w:sz w:val="24"/>
          <w:szCs w:val="24"/>
        </w:rPr>
        <w:footnoteReference w:id="4"/>
      </w:r>
      <w:r w:rsidR="0067229D" w:rsidRPr="00903E93">
        <w:rPr>
          <w:rFonts w:ascii="MetaPro-Norm" w:hAnsi="MetaPro-Norm"/>
          <w:color w:val="000000" w:themeColor="text1"/>
          <w:sz w:val="24"/>
          <w:szCs w:val="24"/>
        </w:rPr>
        <w:t xml:space="preserve"> Dust produced by bauxite mining and transport has left families and health workers worried that reduced air quality threatens their health and environment.</w:t>
      </w:r>
      <w:r w:rsidR="00F90AC4">
        <w:rPr>
          <w:rStyle w:val="FootnoteReference"/>
          <w:rFonts w:ascii="MetaPro-Norm" w:hAnsi="MetaPro-Norm"/>
          <w:color w:val="000000" w:themeColor="text1"/>
          <w:sz w:val="24"/>
          <w:szCs w:val="24"/>
        </w:rPr>
        <w:footnoteReference w:id="5"/>
      </w:r>
    </w:p>
    <w:p w14:paraId="1FD195A2" w14:textId="77777777" w:rsidR="0067229D" w:rsidRPr="00903E93" w:rsidRDefault="0067229D" w:rsidP="00B8245C">
      <w:pPr>
        <w:spacing w:line="276" w:lineRule="auto"/>
        <w:rPr>
          <w:rFonts w:ascii="MetaPro-Norm" w:hAnsi="MetaPro-Norm"/>
          <w:color w:val="000000" w:themeColor="text1"/>
          <w:sz w:val="24"/>
          <w:szCs w:val="24"/>
        </w:rPr>
      </w:pPr>
    </w:p>
    <w:p w14:paraId="5CD90D68" w14:textId="3E4A96F5" w:rsidR="00D516AD" w:rsidRDefault="0067229D" w:rsidP="00DA3C79">
      <w:p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Guinea has also, since 2015, begun to more rapidly develop its enormous potential for hydroelectric power</w:t>
      </w:r>
      <w:r w:rsidR="00D516AD">
        <w:rPr>
          <w:rFonts w:ascii="MetaPro-Norm" w:hAnsi="MetaPro-Norm"/>
          <w:color w:val="000000" w:themeColor="text1"/>
          <w:sz w:val="24"/>
          <w:szCs w:val="24"/>
        </w:rPr>
        <w:t xml:space="preserve">. </w:t>
      </w:r>
      <w:r w:rsidRPr="00903E93">
        <w:rPr>
          <w:rFonts w:ascii="MetaPro-Norm" w:hAnsi="MetaPro-Norm"/>
          <w:color w:val="000000" w:themeColor="text1"/>
          <w:sz w:val="24"/>
          <w:szCs w:val="24"/>
        </w:rPr>
        <w:t xml:space="preserve">Guinea opened the </w:t>
      </w:r>
      <w:proofErr w:type="spellStart"/>
      <w:r w:rsidRPr="00903E93">
        <w:rPr>
          <w:rFonts w:ascii="MetaPro-Norm" w:hAnsi="MetaPro-Norm"/>
          <w:color w:val="000000" w:themeColor="text1"/>
          <w:sz w:val="24"/>
          <w:szCs w:val="24"/>
        </w:rPr>
        <w:t>Kaleta</w:t>
      </w:r>
      <w:proofErr w:type="spellEnd"/>
      <w:r w:rsidRPr="00903E93">
        <w:rPr>
          <w:rFonts w:ascii="MetaPro-Norm" w:hAnsi="MetaPro-Norm"/>
          <w:color w:val="000000" w:themeColor="text1"/>
          <w:sz w:val="24"/>
          <w:szCs w:val="24"/>
        </w:rPr>
        <w:t xml:space="preserve"> dam in 2015, and </w:t>
      </w:r>
      <w:r w:rsidR="00D516AD">
        <w:rPr>
          <w:rFonts w:ascii="MetaPro-Norm" w:hAnsi="MetaPro-Norm"/>
          <w:color w:val="000000" w:themeColor="text1"/>
          <w:sz w:val="24"/>
          <w:szCs w:val="24"/>
        </w:rPr>
        <w:t xml:space="preserve">is currently constructing at least three other hydropower dams, the most advanced of which, </w:t>
      </w:r>
      <w:proofErr w:type="spellStart"/>
      <w:r w:rsidR="00D516AD">
        <w:rPr>
          <w:rFonts w:ascii="MetaPro-Norm" w:hAnsi="MetaPro-Norm"/>
          <w:color w:val="000000" w:themeColor="text1"/>
          <w:sz w:val="24"/>
          <w:szCs w:val="24"/>
        </w:rPr>
        <w:t>Souapiti</w:t>
      </w:r>
      <w:proofErr w:type="spellEnd"/>
      <w:r w:rsidR="00D516AD">
        <w:rPr>
          <w:rFonts w:ascii="MetaPro-Norm" w:hAnsi="MetaPro-Norm"/>
          <w:color w:val="000000" w:themeColor="text1"/>
          <w:sz w:val="24"/>
          <w:szCs w:val="24"/>
        </w:rPr>
        <w:t>, will be operational in 2020.</w:t>
      </w:r>
      <w:r w:rsidR="002C423F">
        <w:rPr>
          <w:rStyle w:val="FootnoteReference"/>
          <w:rFonts w:ascii="MetaPro-Norm" w:hAnsi="MetaPro-Norm"/>
          <w:color w:val="000000" w:themeColor="text1"/>
          <w:sz w:val="24"/>
          <w:szCs w:val="24"/>
        </w:rPr>
        <w:footnoteReference w:id="6"/>
      </w:r>
      <w:r w:rsidR="00D516AD">
        <w:rPr>
          <w:rFonts w:ascii="MetaPro-Norm" w:hAnsi="MetaPro-Norm"/>
          <w:color w:val="000000" w:themeColor="text1"/>
          <w:sz w:val="24"/>
          <w:szCs w:val="24"/>
        </w:rPr>
        <w:t xml:space="preserve"> Hydropower projects have the potential to increase </w:t>
      </w:r>
      <w:r w:rsidR="00D516AD" w:rsidRPr="00903E93">
        <w:rPr>
          <w:rFonts w:ascii="MetaPro-Norm" w:hAnsi="MetaPro-Norm"/>
          <w:color w:val="000000" w:themeColor="text1"/>
          <w:sz w:val="24"/>
          <w:szCs w:val="24"/>
        </w:rPr>
        <w:t xml:space="preserve">access to electricity </w:t>
      </w:r>
      <w:r w:rsidR="00D516AD">
        <w:rPr>
          <w:rFonts w:ascii="MetaPro-Norm" w:hAnsi="MetaPro-Norm"/>
          <w:color w:val="000000" w:themeColor="text1"/>
          <w:sz w:val="24"/>
          <w:szCs w:val="24"/>
        </w:rPr>
        <w:t>in a country in desperate need of reliable power.</w:t>
      </w:r>
      <w:r w:rsidR="002C423F">
        <w:rPr>
          <w:rStyle w:val="FootnoteReference"/>
          <w:rFonts w:ascii="MetaPro-Norm" w:hAnsi="MetaPro-Norm"/>
          <w:color w:val="000000" w:themeColor="text1"/>
          <w:sz w:val="24"/>
          <w:szCs w:val="24"/>
        </w:rPr>
        <w:footnoteReference w:id="7"/>
      </w:r>
      <w:r w:rsidR="00D516AD">
        <w:rPr>
          <w:rFonts w:ascii="MetaPro-Norm" w:hAnsi="MetaPro-Norm"/>
          <w:color w:val="000000" w:themeColor="text1"/>
          <w:sz w:val="24"/>
          <w:szCs w:val="24"/>
        </w:rPr>
        <w:t xml:space="preserve"> The Guinean government has </w:t>
      </w:r>
      <w:r w:rsidR="00107761">
        <w:rPr>
          <w:rFonts w:ascii="MetaPro-Norm" w:hAnsi="MetaPro-Norm"/>
          <w:color w:val="000000" w:themeColor="text1"/>
          <w:sz w:val="24"/>
          <w:szCs w:val="24"/>
        </w:rPr>
        <w:t xml:space="preserve">so far </w:t>
      </w:r>
      <w:r w:rsidR="00D516AD">
        <w:rPr>
          <w:rFonts w:ascii="MetaPro-Norm" w:hAnsi="MetaPro-Norm"/>
          <w:color w:val="000000" w:themeColor="text1"/>
          <w:sz w:val="24"/>
          <w:szCs w:val="24"/>
        </w:rPr>
        <w:t xml:space="preserve">failed, however, to adequately protect the rights of the </w:t>
      </w:r>
      <w:r w:rsidR="00D516AD" w:rsidRPr="00903E93">
        <w:rPr>
          <w:rFonts w:ascii="MetaPro-Norm" w:hAnsi="MetaPro-Norm"/>
          <w:color w:val="000000" w:themeColor="text1"/>
          <w:sz w:val="24"/>
          <w:szCs w:val="24"/>
        </w:rPr>
        <w:t xml:space="preserve">thousands of </w:t>
      </w:r>
      <w:r w:rsidR="00D516AD">
        <w:rPr>
          <w:rFonts w:ascii="MetaPro-Norm" w:hAnsi="MetaPro-Norm"/>
          <w:color w:val="000000" w:themeColor="text1"/>
          <w:sz w:val="24"/>
          <w:szCs w:val="24"/>
        </w:rPr>
        <w:t xml:space="preserve">people displaced by dams. </w:t>
      </w:r>
    </w:p>
    <w:p w14:paraId="4E8E1463" w14:textId="77777777" w:rsidR="00F933E6" w:rsidRDefault="00F933E6" w:rsidP="00B8245C">
      <w:pPr>
        <w:spacing w:line="276" w:lineRule="auto"/>
        <w:rPr>
          <w:rFonts w:ascii="MetaPro-Norm" w:hAnsi="MetaPro-Norm"/>
          <w:color w:val="000000" w:themeColor="text1"/>
          <w:sz w:val="24"/>
          <w:szCs w:val="24"/>
        </w:rPr>
      </w:pPr>
    </w:p>
    <w:p w14:paraId="466621D9" w14:textId="42FF5982" w:rsidR="0067229D" w:rsidRPr="00903E93" w:rsidRDefault="00D516AD" w:rsidP="00DA3C79">
      <w:pPr>
        <w:spacing w:line="276" w:lineRule="auto"/>
        <w:jc w:val="both"/>
        <w:rPr>
          <w:rFonts w:ascii="MetaPro-Norm" w:hAnsi="MetaPro-Norm"/>
          <w:color w:val="000000" w:themeColor="text1"/>
          <w:sz w:val="24"/>
          <w:szCs w:val="24"/>
        </w:rPr>
      </w:pPr>
      <w:r>
        <w:rPr>
          <w:rFonts w:ascii="MetaPro-Norm" w:hAnsi="MetaPro-Norm"/>
          <w:color w:val="000000" w:themeColor="text1"/>
          <w:sz w:val="24"/>
          <w:szCs w:val="24"/>
        </w:rPr>
        <w:t xml:space="preserve">The more than 16,000 people to be displaced by </w:t>
      </w:r>
      <w:proofErr w:type="spellStart"/>
      <w:r w:rsidR="0067229D" w:rsidRPr="00903E93">
        <w:rPr>
          <w:rFonts w:ascii="MetaPro-Norm" w:hAnsi="MetaPro-Norm"/>
          <w:color w:val="000000" w:themeColor="text1"/>
          <w:sz w:val="24"/>
          <w:szCs w:val="24"/>
        </w:rPr>
        <w:t>Souapiti</w:t>
      </w:r>
      <w:proofErr w:type="spellEnd"/>
      <w:r>
        <w:rPr>
          <w:rFonts w:ascii="MetaPro-Norm" w:hAnsi="MetaPro-Norm"/>
          <w:color w:val="000000" w:themeColor="text1"/>
          <w:sz w:val="24"/>
          <w:szCs w:val="24"/>
        </w:rPr>
        <w:t>, for example,</w:t>
      </w:r>
      <w:r w:rsidR="0067229D" w:rsidRPr="00903E93">
        <w:rPr>
          <w:rFonts w:ascii="MetaPro-Norm" w:hAnsi="MetaPro-Norm"/>
          <w:color w:val="000000" w:themeColor="text1"/>
          <w:sz w:val="24"/>
          <w:szCs w:val="24"/>
        </w:rPr>
        <w:t xml:space="preserve"> have received inadequate compensation</w:t>
      </w:r>
      <w:r w:rsidR="002C423F">
        <w:rPr>
          <w:rFonts w:ascii="MetaPro-Norm" w:hAnsi="MetaPro-Norm"/>
          <w:color w:val="000000" w:themeColor="text1"/>
          <w:sz w:val="24"/>
          <w:szCs w:val="24"/>
        </w:rPr>
        <w:t xml:space="preserve"> or</w:t>
      </w:r>
      <w:r>
        <w:rPr>
          <w:rFonts w:ascii="MetaPro-Norm" w:hAnsi="MetaPro-Norm"/>
          <w:color w:val="000000" w:themeColor="text1"/>
          <w:sz w:val="24"/>
          <w:szCs w:val="24"/>
        </w:rPr>
        <w:t xml:space="preserve"> replacement land, leaving them struggling to feed their families</w:t>
      </w:r>
      <w:r w:rsidR="00107761">
        <w:rPr>
          <w:rFonts w:ascii="MetaPro-Norm" w:hAnsi="MetaPro-Norm"/>
          <w:color w:val="000000" w:themeColor="text1"/>
          <w:sz w:val="24"/>
          <w:szCs w:val="24"/>
        </w:rPr>
        <w:t>, re-establish their livelihoods, and live with dignity</w:t>
      </w:r>
      <w:r w:rsidR="0067229D" w:rsidRPr="00903E93">
        <w:rPr>
          <w:rFonts w:ascii="MetaPro-Norm" w:hAnsi="MetaPro-Norm"/>
          <w:color w:val="000000" w:themeColor="text1"/>
          <w:sz w:val="24"/>
          <w:szCs w:val="24"/>
        </w:rPr>
        <w:t>.</w:t>
      </w:r>
      <w:r w:rsidRPr="00903E93" w:rsidDel="00D516AD">
        <w:rPr>
          <w:rFonts w:ascii="MetaPro-Norm" w:hAnsi="MetaPro-Norm"/>
          <w:color w:val="000000" w:themeColor="text1"/>
          <w:sz w:val="24"/>
          <w:szCs w:val="24"/>
        </w:rPr>
        <w:t xml:space="preserve"> </w:t>
      </w:r>
    </w:p>
    <w:p w14:paraId="48B84866" w14:textId="1FF1B0A1" w:rsidR="0067229D" w:rsidRDefault="0067229D" w:rsidP="00B8245C">
      <w:pPr>
        <w:spacing w:line="276" w:lineRule="auto"/>
        <w:rPr>
          <w:rFonts w:ascii="MetaPro-Norm" w:hAnsi="MetaPro-Norm"/>
          <w:i/>
          <w:iCs/>
          <w:color w:val="000000" w:themeColor="text1"/>
          <w:sz w:val="24"/>
          <w:szCs w:val="24"/>
        </w:rPr>
      </w:pPr>
    </w:p>
    <w:p w14:paraId="47BC312C" w14:textId="200A1BD9" w:rsidR="00D35094" w:rsidRPr="00107761" w:rsidRDefault="00D35094" w:rsidP="00B8245C">
      <w:pPr>
        <w:spacing w:line="276" w:lineRule="auto"/>
        <w:rPr>
          <w:rFonts w:ascii="MetaPro-Norm" w:hAnsi="MetaPro-Norm"/>
          <w:i/>
          <w:iCs/>
          <w:color w:val="000000" w:themeColor="text1"/>
          <w:sz w:val="24"/>
          <w:szCs w:val="24"/>
        </w:rPr>
      </w:pPr>
      <w:r w:rsidRPr="00107761">
        <w:rPr>
          <w:rFonts w:ascii="MetaPro-Norm" w:hAnsi="MetaPro-Norm"/>
          <w:i/>
          <w:iCs/>
          <w:color w:val="000000" w:themeColor="text1"/>
          <w:sz w:val="24"/>
          <w:szCs w:val="24"/>
        </w:rPr>
        <w:t xml:space="preserve">Human Rights Watch recommends that the Committee </w:t>
      </w:r>
      <w:r w:rsidR="005970B1">
        <w:rPr>
          <w:rFonts w:ascii="MetaPro-Norm" w:hAnsi="MetaPro-Norm"/>
          <w:i/>
          <w:iCs/>
          <w:color w:val="000000" w:themeColor="text1"/>
          <w:sz w:val="24"/>
          <w:szCs w:val="24"/>
        </w:rPr>
        <w:t>pose</w:t>
      </w:r>
      <w:r w:rsidRPr="00107761">
        <w:rPr>
          <w:rFonts w:ascii="MetaPro-Norm" w:hAnsi="MetaPro-Norm"/>
          <w:i/>
          <w:iCs/>
          <w:color w:val="000000" w:themeColor="text1"/>
          <w:sz w:val="24"/>
          <w:szCs w:val="24"/>
        </w:rPr>
        <w:t xml:space="preserve"> the </w:t>
      </w:r>
      <w:r w:rsidR="005970B1">
        <w:rPr>
          <w:rFonts w:ascii="MetaPro-Norm" w:hAnsi="MetaPro-Norm"/>
          <w:i/>
          <w:iCs/>
          <w:color w:val="000000" w:themeColor="text1"/>
          <w:sz w:val="24"/>
          <w:szCs w:val="24"/>
        </w:rPr>
        <w:t xml:space="preserve">following questions to the </w:t>
      </w:r>
      <w:r w:rsidRPr="00107761">
        <w:rPr>
          <w:rFonts w:ascii="MetaPro-Norm" w:hAnsi="MetaPro-Norm"/>
          <w:i/>
          <w:iCs/>
          <w:color w:val="000000" w:themeColor="text1"/>
          <w:sz w:val="24"/>
          <w:szCs w:val="24"/>
        </w:rPr>
        <w:t>government of Guinea:</w:t>
      </w:r>
    </w:p>
    <w:p w14:paraId="5EF0EE6E" w14:textId="2AEB3C44" w:rsidR="00107761" w:rsidRPr="00F933E6" w:rsidRDefault="00107761" w:rsidP="00DA3C79">
      <w:pPr>
        <w:pStyle w:val="ListParagraph"/>
        <w:numPr>
          <w:ilvl w:val="0"/>
          <w:numId w:val="6"/>
        </w:numPr>
        <w:spacing w:line="276" w:lineRule="auto"/>
        <w:jc w:val="both"/>
        <w:rPr>
          <w:rFonts w:ascii="MetaPro-Norm" w:hAnsi="MetaPro-Norm"/>
          <w:sz w:val="24"/>
          <w:szCs w:val="24"/>
        </w:rPr>
      </w:pPr>
      <w:r w:rsidRPr="00F933E6">
        <w:rPr>
          <w:rFonts w:ascii="MetaPro-Norm" w:hAnsi="MetaPro-Norm"/>
          <w:sz w:val="24"/>
          <w:szCs w:val="24"/>
        </w:rPr>
        <w:t>What steps is the government of Guinea taking to protect communities from the potentially negative impacts of bauxite and other forms of industrial mining?</w:t>
      </w:r>
    </w:p>
    <w:p w14:paraId="3A9E6DAD" w14:textId="3949B6B4" w:rsidR="00107761" w:rsidRPr="00F933E6" w:rsidRDefault="00107761" w:rsidP="00DA3C79">
      <w:pPr>
        <w:pStyle w:val="ListParagraph"/>
        <w:numPr>
          <w:ilvl w:val="0"/>
          <w:numId w:val="6"/>
        </w:numPr>
        <w:spacing w:line="276" w:lineRule="auto"/>
        <w:jc w:val="both"/>
        <w:rPr>
          <w:rFonts w:ascii="MetaPro-Norm" w:hAnsi="MetaPro-Norm"/>
          <w:sz w:val="24"/>
          <w:szCs w:val="24"/>
        </w:rPr>
      </w:pPr>
      <w:r w:rsidRPr="00F933E6">
        <w:rPr>
          <w:rFonts w:ascii="MetaPro-Norm" w:hAnsi="MetaPro-Norm"/>
          <w:sz w:val="24"/>
          <w:szCs w:val="24"/>
        </w:rPr>
        <w:t xml:space="preserve">What proportion of the electricity produced by new hydroelectric projects will be used for domestic consumption, including </w:t>
      </w:r>
      <w:r>
        <w:rPr>
          <w:rFonts w:ascii="MetaPro-Norm" w:hAnsi="MetaPro-Norm"/>
          <w:sz w:val="24"/>
          <w:szCs w:val="24"/>
        </w:rPr>
        <w:t xml:space="preserve">for </w:t>
      </w:r>
      <w:r w:rsidRPr="00F933E6">
        <w:rPr>
          <w:rFonts w:ascii="MetaPro-Norm" w:hAnsi="MetaPro-Norm"/>
          <w:sz w:val="24"/>
          <w:szCs w:val="24"/>
        </w:rPr>
        <w:t xml:space="preserve">essential services like schools and hospitals, and how much will be used by the mining industry or exported abroad? </w:t>
      </w:r>
    </w:p>
    <w:p w14:paraId="5E7961E8" w14:textId="378DE2A3" w:rsidR="00107761" w:rsidRPr="00F933E6" w:rsidRDefault="00646872" w:rsidP="00DA3C79">
      <w:pPr>
        <w:pStyle w:val="ListParagraph"/>
        <w:numPr>
          <w:ilvl w:val="0"/>
          <w:numId w:val="6"/>
        </w:numPr>
        <w:spacing w:line="276" w:lineRule="auto"/>
        <w:jc w:val="both"/>
        <w:rPr>
          <w:rFonts w:ascii="MetaPro-Norm" w:hAnsi="MetaPro-Norm"/>
          <w:sz w:val="24"/>
          <w:szCs w:val="24"/>
        </w:rPr>
      </w:pPr>
      <w:r w:rsidRPr="00F933E6">
        <w:rPr>
          <w:rFonts w:ascii="MetaPro-Norm" w:hAnsi="MetaPro-Norm"/>
          <w:sz w:val="24"/>
          <w:szCs w:val="24"/>
        </w:rPr>
        <w:t>What steps is the government of Guinea taking to ensure that communities displaced by hydroelectric dams are able to return to the standard of living they enjoyed prior to their displacement?</w:t>
      </w:r>
    </w:p>
    <w:p w14:paraId="7CBD6A23" w14:textId="77777777" w:rsidR="00FE79A9" w:rsidRPr="00FE79A9" w:rsidRDefault="00FE79A9" w:rsidP="00B8245C">
      <w:pPr>
        <w:pStyle w:val="ListParagraph"/>
        <w:spacing w:line="276" w:lineRule="auto"/>
        <w:rPr>
          <w:rFonts w:ascii="MetaPro-Norm" w:hAnsi="MetaPro-Norm"/>
          <w:sz w:val="24"/>
          <w:szCs w:val="24"/>
          <w:highlight w:val="yellow"/>
        </w:rPr>
      </w:pPr>
    </w:p>
    <w:p w14:paraId="7F3AC5A3" w14:textId="3EDB274D" w:rsidR="0067229D" w:rsidRPr="00903E93" w:rsidRDefault="0067229D" w:rsidP="00B8245C">
      <w:pPr>
        <w:spacing w:line="276" w:lineRule="auto"/>
        <w:rPr>
          <w:rFonts w:ascii="MetaPro-Norm" w:hAnsi="MetaPro-Norm"/>
          <w:i/>
          <w:iCs/>
          <w:color w:val="000000" w:themeColor="text1"/>
          <w:sz w:val="24"/>
          <w:szCs w:val="24"/>
        </w:rPr>
      </w:pPr>
      <w:r w:rsidRPr="00903E93">
        <w:rPr>
          <w:rFonts w:ascii="MetaPro-Norm" w:hAnsi="MetaPro-Norm"/>
          <w:i/>
          <w:iCs/>
          <w:color w:val="000000" w:themeColor="text1"/>
          <w:sz w:val="24"/>
          <w:szCs w:val="24"/>
        </w:rPr>
        <w:t xml:space="preserve">Human Rights Watch recommends that </w:t>
      </w:r>
      <w:r w:rsidR="00D35094">
        <w:rPr>
          <w:rFonts w:ascii="MetaPro-Norm" w:hAnsi="MetaPro-Norm"/>
          <w:i/>
          <w:iCs/>
          <w:color w:val="000000" w:themeColor="text1"/>
          <w:sz w:val="24"/>
          <w:szCs w:val="24"/>
        </w:rPr>
        <w:t xml:space="preserve">the Committee </w:t>
      </w:r>
      <w:r w:rsidRPr="00903E93">
        <w:rPr>
          <w:rFonts w:ascii="MetaPro-Norm" w:hAnsi="MetaPro-Norm"/>
          <w:i/>
          <w:iCs/>
          <w:color w:val="000000" w:themeColor="text1"/>
          <w:sz w:val="24"/>
          <w:szCs w:val="24"/>
        </w:rPr>
        <w:t xml:space="preserve">call upon the government of </w:t>
      </w:r>
      <w:r w:rsidR="0093413A" w:rsidRPr="00903E93">
        <w:rPr>
          <w:rFonts w:ascii="MetaPro-Norm" w:hAnsi="MetaPro-Norm"/>
          <w:i/>
          <w:iCs/>
          <w:color w:val="000000" w:themeColor="text1"/>
          <w:sz w:val="24"/>
          <w:szCs w:val="24"/>
        </w:rPr>
        <w:t>Guinea</w:t>
      </w:r>
      <w:r w:rsidRPr="00903E93">
        <w:rPr>
          <w:rFonts w:ascii="MetaPro-Norm" w:hAnsi="MetaPro-Norm"/>
          <w:i/>
          <w:iCs/>
          <w:color w:val="000000" w:themeColor="text1"/>
          <w:sz w:val="24"/>
          <w:szCs w:val="24"/>
        </w:rPr>
        <w:t xml:space="preserve"> to:</w:t>
      </w:r>
    </w:p>
    <w:p w14:paraId="339D2B3D" w14:textId="77777777" w:rsidR="0067229D" w:rsidRPr="00903E93" w:rsidRDefault="0067229D" w:rsidP="00DA3C79">
      <w:pPr>
        <w:pStyle w:val="ListParagraph"/>
        <w:numPr>
          <w:ilvl w:val="0"/>
          <w:numId w:val="3"/>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Enact detailed legislation to require that mining and hydroelectric companies provide fair compensation for land, including through replacement land where possible, to individuals and communities that lose land to natural resource exploitations;</w:t>
      </w:r>
    </w:p>
    <w:p w14:paraId="4EB260EC" w14:textId="4D2AE15D" w:rsidR="0067229D" w:rsidRPr="00903E93" w:rsidRDefault="0067229D" w:rsidP="00DA3C79">
      <w:pPr>
        <w:pStyle w:val="ListParagraph"/>
        <w:numPr>
          <w:ilvl w:val="0"/>
          <w:numId w:val="3"/>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Improve the access of affected communities and civil society organizations to environmental and social impact assessments, management plans</w:t>
      </w:r>
      <w:r w:rsidR="00D35094">
        <w:rPr>
          <w:rFonts w:ascii="MetaPro-Norm" w:hAnsi="MetaPro-Norm"/>
          <w:color w:val="000000" w:themeColor="text1"/>
          <w:sz w:val="24"/>
          <w:szCs w:val="24"/>
        </w:rPr>
        <w:t>,</w:t>
      </w:r>
      <w:r w:rsidRPr="00903E93">
        <w:rPr>
          <w:rFonts w:ascii="MetaPro-Norm" w:hAnsi="MetaPro-Norm"/>
          <w:color w:val="000000" w:themeColor="text1"/>
          <w:sz w:val="24"/>
          <w:szCs w:val="24"/>
        </w:rPr>
        <w:t xml:space="preserve"> and other government and company data related to the human rights, social and environmental impacts of mining and other natural resource projects;</w:t>
      </w:r>
    </w:p>
    <w:p w14:paraId="2B9A8479" w14:textId="77777777" w:rsidR="0067229D" w:rsidRPr="00903E93" w:rsidRDefault="0067229D" w:rsidP="00DA3C79">
      <w:pPr>
        <w:pStyle w:val="ListParagraph"/>
        <w:numPr>
          <w:ilvl w:val="0"/>
          <w:numId w:val="3"/>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Ensure that government regulators investigate and sanction companies that violate Guinean laws regarding social and environmental management;</w:t>
      </w:r>
    </w:p>
    <w:p w14:paraId="25A0A48C" w14:textId="4EC6D7BD" w:rsidR="0067229D" w:rsidRPr="00903E93" w:rsidRDefault="0067229D" w:rsidP="00DA3C79">
      <w:pPr>
        <w:pStyle w:val="ListParagraph"/>
        <w:numPr>
          <w:ilvl w:val="0"/>
          <w:numId w:val="3"/>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Adopt and fully implement the standards of the Voluntary Principles on Security and Human Rights, a multi-stakeholder initiative by governments, major multinational extractive companies, and NGOs that seek to address the risk of human rights abuses arising from security arrangements in the oil, gas and mining industries.</w:t>
      </w:r>
    </w:p>
    <w:p w14:paraId="3D4F5630" w14:textId="77777777" w:rsidR="0093413A" w:rsidRPr="00903E93" w:rsidRDefault="0093413A" w:rsidP="00B8245C">
      <w:pPr>
        <w:pStyle w:val="ListParagraph"/>
        <w:spacing w:line="276" w:lineRule="auto"/>
        <w:rPr>
          <w:rFonts w:ascii="MetaPro-Norm" w:hAnsi="MetaPro-Norm"/>
          <w:color w:val="000000" w:themeColor="text1"/>
          <w:sz w:val="24"/>
          <w:szCs w:val="24"/>
        </w:rPr>
      </w:pPr>
    </w:p>
    <w:p w14:paraId="595F0A6B" w14:textId="787F9C25" w:rsidR="0093413A" w:rsidRPr="00DA3C79" w:rsidRDefault="0093413A" w:rsidP="00DA3C79">
      <w:pPr>
        <w:pStyle w:val="ListParagraph"/>
        <w:numPr>
          <w:ilvl w:val="0"/>
          <w:numId w:val="7"/>
        </w:numPr>
        <w:spacing w:line="276" w:lineRule="auto"/>
        <w:rPr>
          <w:rFonts w:ascii="MetaPro-Norm" w:hAnsi="MetaPro-Norm"/>
          <w:b/>
          <w:bCs/>
          <w:color w:val="000000" w:themeColor="text1"/>
          <w:sz w:val="24"/>
          <w:szCs w:val="24"/>
        </w:rPr>
      </w:pPr>
      <w:r w:rsidRPr="00DA3C79">
        <w:rPr>
          <w:rFonts w:ascii="MetaPro-Norm" w:hAnsi="MetaPro-Norm"/>
          <w:b/>
          <w:bCs/>
          <w:color w:val="000000" w:themeColor="text1"/>
          <w:sz w:val="24"/>
          <w:szCs w:val="24"/>
        </w:rPr>
        <w:t>Forced Evictions</w:t>
      </w:r>
      <w:r w:rsidR="00BF07C6" w:rsidRPr="00DA3C79">
        <w:rPr>
          <w:rFonts w:ascii="MetaPro-Norm" w:hAnsi="MetaPro-Norm"/>
          <w:b/>
          <w:bCs/>
          <w:color w:val="000000" w:themeColor="text1"/>
          <w:sz w:val="24"/>
          <w:szCs w:val="24"/>
        </w:rPr>
        <w:t xml:space="preserve"> (</w:t>
      </w:r>
      <w:r w:rsidR="005970B1">
        <w:rPr>
          <w:rFonts w:ascii="MetaPro-Norm" w:hAnsi="MetaPro-Norm"/>
          <w:b/>
          <w:bCs/>
          <w:color w:val="000000" w:themeColor="text1"/>
          <w:sz w:val="24"/>
          <w:szCs w:val="24"/>
        </w:rPr>
        <w:t>A</w:t>
      </w:r>
      <w:r w:rsidR="00BF07C6" w:rsidRPr="00DA3C79">
        <w:rPr>
          <w:rFonts w:ascii="MetaPro-Norm" w:hAnsi="MetaPro-Norm"/>
          <w:b/>
          <w:bCs/>
          <w:color w:val="000000" w:themeColor="text1"/>
          <w:sz w:val="24"/>
          <w:szCs w:val="24"/>
        </w:rPr>
        <w:t xml:space="preserve">rticle </w:t>
      </w:r>
      <w:r w:rsidR="00C451B6" w:rsidRPr="00DA3C79">
        <w:rPr>
          <w:rFonts w:ascii="MetaPro-Norm" w:hAnsi="MetaPro-Norm"/>
          <w:b/>
          <w:bCs/>
          <w:color w:val="000000" w:themeColor="text1"/>
          <w:sz w:val="24"/>
          <w:szCs w:val="24"/>
        </w:rPr>
        <w:t>11</w:t>
      </w:r>
      <w:r w:rsidR="00BF07C6" w:rsidRPr="00DA3C79">
        <w:rPr>
          <w:rFonts w:ascii="MetaPro-Norm" w:hAnsi="MetaPro-Norm"/>
          <w:b/>
          <w:bCs/>
          <w:color w:val="000000" w:themeColor="text1"/>
          <w:sz w:val="24"/>
          <w:szCs w:val="24"/>
        </w:rPr>
        <w:t>)</w:t>
      </w:r>
    </w:p>
    <w:p w14:paraId="0DE7A11D" w14:textId="43581682" w:rsidR="0093413A" w:rsidRPr="00903E93" w:rsidRDefault="0093413A" w:rsidP="00DA3C79">
      <w:p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 xml:space="preserve">Between February and May 2019, the Guinean government forcibly evicted more than 20,000 people from </w:t>
      </w:r>
      <w:proofErr w:type="spellStart"/>
      <w:r w:rsidRPr="00903E93">
        <w:rPr>
          <w:rFonts w:ascii="MetaPro-Norm" w:hAnsi="MetaPro-Norm"/>
          <w:color w:val="000000" w:themeColor="text1"/>
          <w:sz w:val="24"/>
          <w:szCs w:val="24"/>
        </w:rPr>
        <w:t>neighborhoods</w:t>
      </w:r>
      <w:proofErr w:type="spellEnd"/>
      <w:r w:rsidRPr="00903E93">
        <w:rPr>
          <w:rFonts w:ascii="MetaPro-Norm" w:hAnsi="MetaPro-Norm"/>
          <w:color w:val="000000" w:themeColor="text1"/>
          <w:sz w:val="24"/>
          <w:szCs w:val="24"/>
        </w:rPr>
        <w:t xml:space="preserve"> in Conakry in order to provide land for government </w:t>
      </w:r>
      <w:r w:rsidRPr="00903E93">
        <w:rPr>
          <w:rFonts w:ascii="MetaPro-Norm" w:hAnsi="MetaPro-Norm"/>
          <w:color w:val="000000" w:themeColor="text1"/>
          <w:sz w:val="24"/>
          <w:szCs w:val="24"/>
        </w:rPr>
        <w:lastRenderedPageBreak/>
        <w:t>ministries, foreign embassies, businesses, and other public works.</w:t>
      </w:r>
      <w:r w:rsidR="009A59A5">
        <w:rPr>
          <w:rStyle w:val="FootnoteReference"/>
          <w:rFonts w:ascii="MetaPro-Norm" w:hAnsi="MetaPro-Norm"/>
          <w:color w:val="000000" w:themeColor="text1"/>
          <w:sz w:val="24"/>
          <w:szCs w:val="24"/>
        </w:rPr>
        <w:footnoteReference w:id="8"/>
      </w:r>
      <w:r w:rsidRPr="00903E93">
        <w:rPr>
          <w:rFonts w:ascii="MetaPro-Norm" w:hAnsi="MetaPro-Norm"/>
          <w:color w:val="000000" w:themeColor="text1"/>
          <w:sz w:val="24"/>
          <w:szCs w:val="24"/>
        </w:rPr>
        <w:t xml:space="preserve"> The government provided inadequate notice to the majority of those evicted and no alternative housing for demolished homes.</w:t>
      </w:r>
    </w:p>
    <w:p w14:paraId="0A1C9DB2" w14:textId="77777777" w:rsidR="0093413A" w:rsidRPr="00903E93" w:rsidRDefault="0093413A" w:rsidP="00DA3C79">
      <w:pPr>
        <w:spacing w:line="276" w:lineRule="auto"/>
        <w:jc w:val="both"/>
        <w:rPr>
          <w:rFonts w:ascii="MetaPro-Norm" w:hAnsi="MetaPro-Norm"/>
          <w:color w:val="000000" w:themeColor="text1"/>
          <w:sz w:val="24"/>
          <w:szCs w:val="24"/>
        </w:rPr>
      </w:pPr>
    </w:p>
    <w:p w14:paraId="0DB14F92" w14:textId="3DC256D2" w:rsidR="0067229D" w:rsidRDefault="0093413A" w:rsidP="00DA3C79">
      <w:p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Although the government maintains that the evicted areas were state land, many people said that they had documentary proof that their families had decades-old property rights over the land.</w:t>
      </w:r>
      <w:r w:rsidR="00233D08">
        <w:rPr>
          <w:rStyle w:val="FootnoteReference"/>
          <w:rFonts w:ascii="MetaPro-Norm" w:hAnsi="MetaPro-Norm"/>
          <w:color w:val="000000" w:themeColor="text1"/>
          <w:sz w:val="24"/>
          <w:szCs w:val="24"/>
        </w:rPr>
        <w:footnoteReference w:id="9"/>
      </w:r>
      <w:r w:rsidRPr="00903E93">
        <w:rPr>
          <w:rFonts w:ascii="MetaPro-Norm" w:hAnsi="MetaPro-Norm"/>
          <w:color w:val="000000" w:themeColor="text1"/>
          <w:sz w:val="24"/>
          <w:szCs w:val="24"/>
        </w:rPr>
        <w:t xml:space="preserve"> The government did not investigate the property claims of those affected before demolishing homes and</w:t>
      </w:r>
      <w:r w:rsidR="00D35094">
        <w:rPr>
          <w:rFonts w:ascii="MetaPro-Norm" w:hAnsi="MetaPro-Norm"/>
          <w:color w:val="000000" w:themeColor="text1"/>
          <w:sz w:val="24"/>
          <w:szCs w:val="24"/>
        </w:rPr>
        <w:t xml:space="preserve"> </w:t>
      </w:r>
      <w:r w:rsidRPr="00903E93">
        <w:rPr>
          <w:rFonts w:ascii="MetaPro-Norm" w:hAnsi="MetaPro-Norm"/>
          <w:color w:val="000000" w:themeColor="text1"/>
          <w:sz w:val="24"/>
          <w:szCs w:val="24"/>
        </w:rPr>
        <w:t>has provided virtually no compensation or humanitarian assistance to those evicted.</w:t>
      </w:r>
      <w:r w:rsidR="00494328">
        <w:rPr>
          <w:rStyle w:val="FootnoteReference"/>
          <w:rFonts w:ascii="MetaPro-Norm" w:hAnsi="MetaPro-Norm"/>
          <w:color w:val="000000" w:themeColor="text1"/>
          <w:sz w:val="24"/>
          <w:szCs w:val="24"/>
        </w:rPr>
        <w:footnoteReference w:id="10"/>
      </w:r>
    </w:p>
    <w:p w14:paraId="7385B89F" w14:textId="2910DA5F" w:rsidR="0093413A" w:rsidRPr="00903E93" w:rsidRDefault="0093413A" w:rsidP="00B8245C">
      <w:pPr>
        <w:spacing w:line="276" w:lineRule="auto"/>
        <w:rPr>
          <w:rFonts w:ascii="MetaPro-Norm" w:hAnsi="MetaPro-Norm"/>
          <w:color w:val="000000" w:themeColor="text1"/>
          <w:sz w:val="24"/>
          <w:szCs w:val="24"/>
        </w:rPr>
      </w:pPr>
    </w:p>
    <w:p w14:paraId="1DCB3BCA" w14:textId="52963C37" w:rsidR="0093413A" w:rsidRPr="005970B1" w:rsidRDefault="0093413A" w:rsidP="00B8245C">
      <w:pPr>
        <w:spacing w:line="276" w:lineRule="auto"/>
        <w:rPr>
          <w:rFonts w:ascii="MetaPro-Norm" w:hAnsi="MetaPro-Norm"/>
          <w:i/>
          <w:iCs/>
          <w:color w:val="000000" w:themeColor="text1"/>
          <w:sz w:val="24"/>
          <w:szCs w:val="24"/>
        </w:rPr>
      </w:pPr>
      <w:r w:rsidRPr="00903E93">
        <w:rPr>
          <w:rFonts w:ascii="MetaPro-Norm" w:hAnsi="MetaPro-Norm"/>
          <w:i/>
          <w:iCs/>
          <w:color w:val="000000" w:themeColor="text1"/>
          <w:sz w:val="24"/>
          <w:szCs w:val="24"/>
        </w:rPr>
        <w:t xml:space="preserve">Human Rights Watch recommends that </w:t>
      </w:r>
      <w:r w:rsidR="00D35094" w:rsidRPr="00903E93">
        <w:rPr>
          <w:rFonts w:ascii="MetaPro-Norm" w:hAnsi="MetaPro-Norm"/>
          <w:i/>
          <w:iCs/>
          <w:color w:val="000000" w:themeColor="text1"/>
          <w:sz w:val="24"/>
          <w:szCs w:val="24"/>
        </w:rPr>
        <w:t xml:space="preserve">the Committee </w:t>
      </w:r>
      <w:r w:rsidRPr="00903E93">
        <w:rPr>
          <w:rFonts w:ascii="MetaPro-Norm" w:hAnsi="MetaPro-Norm"/>
          <w:i/>
          <w:iCs/>
          <w:color w:val="000000" w:themeColor="text1"/>
          <w:sz w:val="24"/>
          <w:szCs w:val="24"/>
        </w:rPr>
        <w:t>call upon the government of Guinea to:</w:t>
      </w:r>
    </w:p>
    <w:p w14:paraId="231C057B" w14:textId="0E798D64" w:rsidR="0093413A" w:rsidRPr="00903E93" w:rsidRDefault="0093413A" w:rsidP="00DA3C79">
      <w:pPr>
        <w:pStyle w:val="ListParagraph"/>
        <w:numPr>
          <w:ilvl w:val="0"/>
          <w:numId w:val="4"/>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Halt any further evictions until it can guarantee respect for the rights of residents, including adequate notice, compensation</w:t>
      </w:r>
      <w:r w:rsidR="00761FC7">
        <w:rPr>
          <w:rFonts w:ascii="MetaPro-Norm" w:hAnsi="MetaPro-Norm"/>
          <w:color w:val="000000" w:themeColor="text1"/>
          <w:sz w:val="24"/>
          <w:szCs w:val="24"/>
        </w:rPr>
        <w:t>,</w:t>
      </w:r>
      <w:r w:rsidRPr="00903E93">
        <w:rPr>
          <w:rFonts w:ascii="MetaPro-Norm" w:hAnsi="MetaPro-Norm"/>
          <w:color w:val="000000" w:themeColor="text1"/>
          <w:sz w:val="24"/>
          <w:szCs w:val="24"/>
        </w:rPr>
        <w:t xml:space="preserve"> and resettlement prior to evictions;</w:t>
      </w:r>
    </w:p>
    <w:p w14:paraId="2F4D97D7" w14:textId="77777777" w:rsidR="0093413A" w:rsidRPr="00903E93" w:rsidRDefault="0093413A" w:rsidP="00DA3C79">
      <w:pPr>
        <w:pStyle w:val="ListParagraph"/>
        <w:numPr>
          <w:ilvl w:val="0"/>
          <w:numId w:val="4"/>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 xml:space="preserve">Take immediate steps to </w:t>
      </w:r>
      <w:proofErr w:type="gramStart"/>
      <w:r w:rsidRPr="00903E93">
        <w:rPr>
          <w:rFonts w:ascii="MetaPro-Norm" w:hAnsi="MetaPro-Norm"/>
          <w:color w:val="000000" w:themeColor="text1"/>
          <w:sz w:val="24"/>
          <w:szCs w:val="24"/>
        </w:rPr>
        <w:t>provide assistance</w:t>
      </w:r>
      <w:proofErr w:type="gramEnd"/>
      <w:r w:rsidRPr="00903E93">
        <w:rPr>
          <w:rFonts w:ascii="MetaPro-Norm" w:hAnsi="MetaPro-Norm"/>
          <w:color w:val="000000" w:themeColor="text1"/>
          <w:sz w:val="24"/>
          <w:szCs w:val="24"/>
        </w:rPr>
        <w:t>, including alternative accommodation and other remedies, to those affected by forced evictions;</w:t>
      </w:r>
    </w:p>
    <w:p w14:paraId="568EA1F0" w14:textId="2CA7F37A" w:rsidR="004D6DC2" w:rsidRDefault="0093413A" w:rsidP="00DA3C79">
      <w:pPr>
        <w:pStyle w:val="ListParagraph"/>
        <w:numPr>
          <w:ilvl w:val="0"/>
          <w:numId w:val="4"/>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Provide adequate compensation to all individuals forcibly evicted who have not received such compensation.</w:t>
      </w:r>
    </w:p>
    <w:p w14:paraId="423452AE" w14:textId="77777777" w:rsidR="00F933E6" w:rsidRPr="00F933E6" w:rsidRDefault="00F933E6" w:rsidP="00F933E6">
      <w:pPr>
        <w:spacing w:line="276" w:lineRule="auto"/>
        <w:ind w:left="360"/>
        <w:rPr>
          <w:rFonts w:ascii="MetaPro-Norm" w:hAnsi="MetaPro-Norm"/>
          <w:color w:val="000000" w:themeColor="text1"/>
          <w:sz w:val="24"/>
          <w:szCs w:val="24"/>
        </w:rPr>
      </w:pPr>
    </w:p>
    <w:p w14:paraId="728E7E5F" w14:textId="6890DEB9" w:rsidR="004E65D3" w:rsidRPr="00DA3C79" w:rsidRDefault="004E65D3" w:rsidP="00B8245C">
      <w:pPr>
        <w:spacing w:line="276" w:lineRule="auto"/>
        <w:rPr>
          <w:rFonts w:ascii="MetaPro-Norm" w:hAnsi="MetaPro-Norm"/>
          <w:b/>
          <w:bCs/>
          <w:color w:val="000000" w:themeColor="text1"/>
          <w:sz w:val="24"/>
          <w:szCs w:val="24"/>
        </w:rPr>
      </w:pPr>
      <w:r w:rsidRPr="00DA3C79">
        <w:rPr>
          <w:rFonts w:ascii="MetaPro-Norm" w:hAnsi="MetaPro-Norm"/>
          <w:b/>
          <w:bCs/>
          <w:color w:val="000000" w:themeColor="text1"/>
          <w:sz w:val="24"/>
          <w:szCs w:val="24"/>
        </w:rPr>
        <w:t xml:space="preserve">The Safe Schools Declaration </w:t>
      </w:r>
      <w:r w:rsidR="00EF6D14" w:rsidRPr="00DA3C79">
        <w:rPr>
          <w:rFonts w:ascii="MetaPro-Norm" w:hAnsi="MetaPro-Norm"/>
          <w:b/>
          <w:bCs/>
          <w:color w:val="000000" w:themeColor="text1"/>
          <w:sz w:val="24"/>
          <w:szCs w:val="24"/>
        </w:rPr>
        <w:t>(</w:t>
      </w:r>
      <w:r w:rsidR="005970B1">
        <w:rPr>
          <w:rFonts w:ascii="MetaPro-Norm" w:hAnsi="MetaPro-Norm"/>
          <w:b/>
          <w:bCs/>
          <w:color w:val="000000" w:themeColor="text1"/>
          <w:sz w:val="24"/>
          <w:szCs w:val="24"/>
        </w:rPr>
        <w:t>A</w:t>
      </w:r>
      <w:r w:rsidR="00EF6D14" w:rsidRPr="00DA3C79">
        <w:rPr>
          <w:rFonts w:ascii="MetaPro-Norm" w:hAnsi="MetaPro-Norm"/>
          <w:b/>
          <w:bCs/>
          <w:color w:val="000000" w:themeColor="text1"/>
          <w:sz w:val="24"/>
          <w:szCs w:val="24"/>
        </w:rPr>
        <w:t>rticle 13)</w:t>
      </w:r>
      <w:r w:rsidRPr="00DA3C79">
        <w:rPr>
          <w:rFonts w:ascii="MetaPro-Norm" w:hAnsi="MetaPro-Norm"/>
          <w:b/>
          <w:bCs/>
          <w:color w:val="000000" w:themeColor="text1"/>
          <w:sz w:val="24"/>
          <w:szCs w:val="24"/>
        </w:rPr>
        <w:t xml:space="preserve"> </w:t>
      </w:r>
    </w:p>
    <w:p w14:paraId="7F22DE46" w14:textId="77777777" w:rsidR="004E65D3" w:rsidRDefault="004E65D3" w:rsidP="00DA3C79">
      <w:pPr>
        <w:spacing w:line="276" w:lineRule="auto"/>
        <w:jc w:val="both"/>
        <w:rPr>
          <w:rFonts w:ascii="MetaPro-Norm" w:hAnsi="MetaPro-Norm"/>
          <w:color w:val="000000" w:themeColor="text1"/>
          <w:sz w:val="24"/>
          <w:szCs w:val="24"/>
          <w:shd w:val="clear" w:color="auto" w:fill="FFFFFF"/>
        </w:rPr>
      </w:pPr>
      <w:r w:rsidRPr="00903E93">
        <w:rPr>
          <w:rFonts w:ascii="MetaPro-Norm" w:hAnsi="MetaPro-Norm"/>
          <w:color w:val="000000" w:themeColor="text1"/>
          <w:sz w:val="24"/>
          <w:szCs w:val="24"/>
          <w:shd w:val="clear" w:color="auto" w:fill="FFFFFF"/>
        </w:rPr>
        <w:t>The Safe Schools Declaration is an inter-governmental political commitment that provides countries the opportunity to express political support for the protection of students, teachers, and schools during times of armed conflict;</w:t>
      </w:r>
      <w:r w:rsidRPr="00903E93">
        <w:rPr>
          <w:rStyle w:val="FootnoteReference"/>
          <w:rFonts w:ascii="MetaPro-Norm" w:hAnsi="MetaPro-Norm"/>
          <w:color w:val="000000" w:themeColor="text1"/>
          <w:sz w:val="24"/>
          <w:szCs w:val="24"/>
          <w:shd w:val="clear" w:color="auto" w:fill="FFFFFF"/>
        </w:rPr>
        <w:footnoteReference w:id="11"/>
      </w:r>
      <w:r w:rsidRPr="00903E93">
        <w:rPr>
          <w:rFonts w:ascii="MetaPro-Norm" w:hAnsi="MetaPro-Norm"/>
          <w:color w:val="000000" w:themeColor="text1"/>
          <w:sz w:val="24"/>
          <w:szCs w:val="24"/>
          <w:shd w:val="clear" w:color="auto" w:fill="FFFFFF"/>
        </w:rPr>
        <w:t> the importance of the continuation of education during armed conflict; and the implementation of the </w:t>
      </w:r>
      <w:r w:rsidRPr="00903E93">
        <w:rPr>
          <w:rStyle w:val="Emphasis"/>
          <w:rFonts w:ascii="MetaPro-Norm" w:hAnsi="MetaPro-Norm"/>
          <w:color w:val="000000" w:themeColor="text1"/>
          <w:sz w:val="24"/>
          <w:szCs w:val="24"/>
          <w:shd w:val="clear" w:color="auto" w:fill="FFFFFF"/>
        </w:rPr>
        <w:t xml:space="preserve">Guidelines for Protecting Schools and Universities from Military Use during Armed </w:t>
      </w:r>
      <w:r w:rsidRPr="00903E93">
        <w:rPr>
          <w:rStyle w:val="Emphasis"/>
          <w:rFonts w:ascii="MetaPro-Norm" w:hAnsi="MetaPro-Norm"/>
          <w:color w:val="000000" w:themeColor="text1"/>
          <w:sz w:val="24"/>
          <w:szCs w:val="24"/>
          <w:shd w:val="clear" w:color="auto" w:fill="FFFFFF"/>
        </w:rPr>
        <w:lastRenderedPageBreak/>
        <w:t>Conflict.</w:t>
      </w:r>
      <w:r w:rsidRPr="00903E93">
        <w:rPr>
          <w:rStyle w:val="FootnoteReference"/>
          <w:rFonts w:ascii="MetaPro-Norm" w:hAnsi="MetaPro-Norm"/>
          <w:i/>
          <w:iCs/>
          <w:color w:val="000000" w:themeColor="text1"/>
          <w:sz w:val="24"/>
          <w:szCs w:val="24"/>
          <w:shd w:val="clear" w:color="auto" w:fill="FFFFFF"/>
        </w:rPr>
        <w:footnoteReference w:id="12"/>
      </w:r>
      <w:r w:rsidRPr="00903E93">
        <w:rPr>
          <w:rFonts w:ascii="MetaPro-Norm" w:hAnsi="MetaPro-Norm"/>
          <w:color w:val="000000" w:themeColor="text1"/>
          <w:sz w:val="24"/>
          <w:szCs w:val="24"/>
          <w:shd w:val="clear" w:color="auto" w:fill="FFFFFF"/>
        </w:rPr>
        <w:t xml:space="preserve"> As of </w:t>
      </w:r>
      <w:r>
        <w:rPr>
          <w:rFonts w:ascii="MetaPro-Norm" w:hAnsi="MetaPro-Norm"/>
          <w:color w:val="000000" w:themeColor="text1"/>
          <w:sz w:val="24"/>
          <w:szCs w:val="24"/>
          <w:shd w:val="clear" w:color="auto" w:fill="FFFFFF"/>
        </w:rPr>
        <w:t>January</w:t>
      </w:r>
      <w:r w:rsidRPr="00903E93">
        <w:rPr>
          <w:rFonts w:ascii="MetaPro-Norm" w:hAnsi="MetaPro-Norm"/>
          <w:color w:val="000000" w:themeColor="text1"/>
          <w:sz w:val="24"/>
          <w:szCs w:val="24"/>
          <w:shd w:val="clear" w:color="auto" w:fill="FFFFFF"/>
        </w:rPr>
        <w:t xml:space="preserve"> 20</w:t>
      </w:r>
      <w:r>
        <w:rPr>
          <w:rFonts w:ascii="MetaPro-Norm" w:hAnsi="MetaPro-Norm"/>
          <w:color w:val="000000" w:themeColor="text1"/>
          <w:sz w:val="24"/>
          <w:szCs w:val="24"/>
          <w:shd w:val="clear" w:color="auto" w:fill="FFFFFF"/>
        </w:rPr>
        <w:t>20</w:t>
      </w:r>
      <w:r w:rsidRPr="00903E93">
        <w:rPr>
          <w:rFonts w:ascii="MetaPro-Norm" w:hAnsi="MetaPro-Norm"/>
          <w:color w:val="000000" w:themeColor="text1"/>
          <w:sz w:val="24"/>
          <w:szCs w:val="24"/>
          <w:shd w:val="clear" w:color="auto" w:fill="FFFFFF"/>
        </w:rPr>
        <w:t>, 101 countries have endorsed the Safe Schools Declaration, including 2</w:t>
      </w:r>
      <w:r>
        <w:rPr>
          <w:rFonts w:ascii="MetaPro-Norm" w:hAnsi="MetaPro-Norm"/>
          <w:color w:val="000000" w:themeColor="text1"/>
          <w:sz w:val="24"/>
          <w:szCs w:val="24"/>
          <w:shd w:val="clear" w:color="auto" w:fill="FFFFFF"/>
        </w:rPr>
        <w:t>7</w:t>
      </w:r>
      <w:r w:rsidRPr="00903E93">
        <w:rPr>
          <w:rFonts w:ascii="MetaPro-Norm" w:hAnsi="MetaPro-Norm"/>
          <w:color w:val="000000" w:themeColor="text1"/>
          <w:sz w:val="24"/>
          <w:szCs w:val="24"/>
          <w:shd w:val="clear" w:color="auto" w:fill="FFFFFF"/>
        </w:rPr>
        <w:t xml:space="preserve"> of Guinea’s fellow African Union members. </w:t>
      </w:r>
    </w:p>
    <w:p w14:paraId="77B6292C" w14:textId="77777777" w:rsidR="004E65D3" w:rsidRDefault="004E65D3" w:rsidP="00DA3C79">
      <w:pPr>
        <w:spacing w:line="276" w:lineRule="auto"/>
        <w:jc w:val="both"/>
        <w:rPr>
          <w:rFonts w:ascii="MetaPro-Norm" w:hAnsi="MetaPro-Norm"/>
          <w:color w:val="000000" w:themeColor="text1"/>
          <w:sz w:val="24"/>
          <w:szCs w:val="24"/>
          <w:shd w:val="clear" w:color="auto" w:fill="FFFFFF"/>
        </w:rPr>
      </w:pPr>
    </w:p>
    <w:p w14:paraId="22568608" w14:textId="77777777" w:rsidR="004E65D3" w:rsidRPr="00903E93" w:rsidRDefault="004E65D3" w:rsidP="00DA3C79">
      <w:pPr>
        <w:spacing w:line="276" w:lineRule="auto"/>
        <w:jc w:val="both"/>
        <w:rPr>
          <w:rFonts w:ascii="MetaPro-Norm" w:hAnsi="MetaPro-Norm"/>
          <w:color w:val="000000" w:themeColor="text1"/>
          <w:sz w:val="24"/>
          <w:szCs w:val="24"/>
        </w:rPr>
      </w:pPr>
      <w:r>
        <w:rPr>
          <w:rFonts w:ascii="MetaPro-Norm" w:hAnsi="MetaPro-Norm"/>
          <w:color w:val="000000" w:themeColor="text1"/>
          <w:sz w:val="24"/>
          <w:szCs w:val="24"/>
          <w:shd w:val="clear" w:color="auto" w:fill="FFFFFF"/>
        </w:rPr>
        <w:t>In November 2019, t</w:t>
      </w:r>
      <w:r w:rsidRPr="00B00244">
        <w:rPr>
          <w:rFonts w:ascii="MetaPro-Norm" w:hAnsi="MetaPro-Norm"/>
          <w:color w:val="000000" w:themeColor="text1"/>
          <w:sz w:val="24"/>
          <w:szCs w:val="24"/>
          <w:shd w:val="clear" w:color="auto" w:fill="FFFFFF"/>
        </w:rPr>
        <w:t xml:space="preserve">he African Committee of Experts </w:t>
      </w:r>
      <w:r>
        <w:rPr>
          <w:rFonts w:ascii="MetaPro-Norm" w:hAnsi="MetaPro-Norm"/>
          <w:color w:val="000000" w:themeColor="text1"/>
          <w:sz w:val="24"/>
          <w:szCs w:val="24"/>
          <w:shd w:val="clear" w:color="auto" w:fill="FFFFFF"/>
        </w:rPr>
        <w:t xml:space="preserve">on the Rights and Welfare of the Child </w:t>
      </w:r>
      <w:r w:rsidRPr="00B00244">
        <w:rPr>
          <w:rFonts w:ascii="MetaPro-Norm" w:hAnsi="MetaPro-Norm"/>
          <w:color w:val="000000" w:themeColor="text1"/>
          <w:sz w:val="24"/>
          <w:szCs w:val="24"/>
          <w:shd w:val="clear" w:color="auto" w:fill="FFFFFF"/>
        </w:rPr>
        <w:t>urged all A</w:t>
      </w:r>
      <w:r>
        <w:rPr>
          <w:rFonts w:ascii="MetaPro-Norm" w:hAnsi="MetaPro-Norm"/>
          <w:color w:val="000000" w:themeColor="text1"/>
          <w:sz w:val="24"/>
          <w:szCs w:val="24"/>
          <w:shd w:val="clear" w:color="auto" w:fill="FFFFFF"/>
        </w:rPr>
        <w:t xml:space="preserve">frican Union </w:t>
      </w:r>
      <w:r w:rsidRPr="00B00244">
        <w:rPr>
          <w:rFonts w:ascii="MetaPro-Norm" w:hAnsi="MetaPro-Norm"/>
          <w:color w:val="000000" w:themeColor="text1"/>
          <w:sz w:val="24"/>
          <w:szCs w:val="24"/>
          <w:shd w:val="clear" w:color="auto" w:fill="FFFFFF"/>
        </w:rPr>
        <w:t>member states to endorse the Safe</w:t>
      </w:r>
      <w:r>
        <w:rPr>
          <w:rFonts w:ascii="MetaPro-Norm" w:hAnsi="MetaPro-Norm"/>
          <w:color w:val="000000" w:themeColor="text1"/>
          <w:sz w:val="24"/>
          <w:szCs w:val="24"/>
          <w:shd w:val="clear" w:color="auto" w:fill="FFFFFF"/>
        </w:rPr>
        <w:t xml:space="preserve"> </w:t>
      </w:r>
      <w:r w:rsidRPr="00B00244">
        <w:rPr>
          <w:rFonts w:ascii="MetaPro-Norm" w:hAnsi="MetaPro-Norm"/>
          <w:color w:val="000000" w:themeColor="text1"/>
          <w:sz w:val="24"/>
          <w:szCs w:val="24"/>
          <w:shd w:val="clear" w:color="auto" w:fill="FFFFFF"/>
        </w:rPr>
        <w:t>Schools</w:t>
      </w:r>
      <w:r>
        <w:rPr>
          <w:rFonts w:ascii="MetaPro-Norm" w:hAnsi="MetaPro-Norm"/>
          <w:color w:val="000000" w:themeColor="text1"/>
          <w:sz w:val="24"/>
          <w:szCs w:val="24"/>
          <w:shd w:val="clear" w:color="auto" w:fill="FFFFFF"/>
        </w:rPr>
        <w:t xml:space="preserve"> </w:t>
      </w:r>
      <w:r w:rsidRPr="00B00244">
        <w:rPr>
          <w:rFonts w:ascii="MetaPro-Norm" w:hAnsi="MetaPro-Norm"/>
          <w:color w:val="000000" w:themeColor="text1"/>
          <w:sz w:val="24"/>
          <w:szCs w:val="24"/>
          <w:shd w:val="clear" w:color="auto" w:fill="FFFFFF"/>
        </w:rPr>
        <w:t xml:space="preserve">Declaration, </w:t>
      </w:r>
      <w:r>
        <w:rPr>
          <w:rFonts w:ascii="MetaPro-Norm" w:hAnsi="MetaPro-Norm"/>
          <w:color w:val="000000" w:themeColor="text1"/>
          <w:sz w:val="24"/>
          <w:szCs w:val="24"/>
          <w:shd w:val="clear" w:color="auto" w:fill="FFFFFF"/>
        </w:rPr>
        <w:t>“</w:t>
      </w:r>
      <w:r w:rsidRPr="00B00244">
        <w:rPr>
          <w:rFonts w:ascii="MetaPro-Norm" w:hAnsi="MetaPro-Norm"/>
          <w:color w:val="000000" w:themeColor="text1"/>
          <w:sz w:val="24"/>
          <w:szCs w:val="24"/>
          <w:shd w:val="clear" w:color="auto" w:fill="FFFFFF"/>
        </w:rPr>
        <w:t>realizing the dangers that the military use of schools poses</w:t>
      </w:r>
      <w:r>
        <w:rPr>
          <w:rFonts w:ascii="MetaPro-Norm" w:hAnsi="MetaPro-Norm"/>
          <w:color w:val="000000" w:themeColor="text1"/>
          <w:sz w:val="24"/>
          <w:szCs w:val="24"/>
          <w:shd w:val="clear" w:color="auto" w:fill="FFFFFF"/>
        </w:rPr>
        <w:t>.”</w:t>
      </w:r>
      <w:r>
        <w:rPr>
          <w:rStyle w:val="FootnoteReference"/>
          <w:rFonts w:ascii="MetaPro-Norm" w:hAnsi="MetaPro-Norm"/>
          <w:color w:val="000000" w:themeColor="text1"/>
          <w:sz w:val="24"/>
          <w:szCs w:val="24"/>
          <w:shd w:val="clear" w:color="auto" w:fill="FFFFFF"/>
        </w:rPr>
        <w:footnoteReference w:id="13"/>
      </w:r>
      <w:r>
        <w:rPr>
          <w:rFonts w:ascii="MetaPro-Norm" w:hAnsi="MetaPro-Norm"/>
          <w:color w:val="000000" w:themeColor="text1"/>
          <w:sz w:val="24"/>
          <w:szCs w:val="24"/>
          <w:shd w:val="clear" w:color="auto" w:fill="FFFFFF"/>
        </w:rPr>
        <w:t xml:space="preserve"> The African Union’s Peace and Security Council has also repeatedly urged all African Union member states to endorse the declaration.</w:t>
      </w:r>
      <w:r>
        <w:rPr>
          <w:rStyle w:val="FootnoteReference"/>
          <w:rFonts w:ascii="MetaPro-Norm" w:hAnsi="MetaPro-Norm"/>
          <w:color w:val="000000" w:themeColor="text1"/>
          <w:sz w:val="24"/>
          <w:szCs w:val="24"/>
          <w:shd w:val="clear" w:color="auto" w:fill="FFFFFF"/>
        </w:rPr>
        <w:footnoteReference w:id="14"/>
      </w:r>
      <w:r>
        <w:rPr>
          <w:rFonts w:ascii="MetaPro-Norm" w:hAnsi="MetaPro-Norm"/>
          <w:color w:val="000000" w:themeColor="text1"/>
          <w:sz w:val="24"/>
          <w:szCs w:val="24"/>
          <w:shd w:val="clear" w:color="auto" w:fill="FFFFFF"/>
        </w:rPr>
        <w:t xml:space="preserve"> </w:t>
      </w:r>
      <w:r w:rsidRPr="00903E93">
        <w:rPr>
          <w:rFonts w:ascii="MetaPro-Norm" w:hAnsi="MetaPro-Norm"/>
          <w:color w:val="000000" w:themeColor="text1"/>
          <w:sz w:val="24"/>
          <w:szCs w:val="24"/>
          <w:shd w:val="clear" w:color="auto" w:fill="FFFFFF"/>
        </w:rPr>
        <w:t>Guinea</w:t>
      </w:r>
      <w:r>
        <w:rPr>
          <w:rFonts w:ascii="MetaPro-Norm" w:hAnsi="MetaPro-Norm"/>
          <w:color w:val="000000" w:themeColor="text1"/>
          <w:sz w:val="24"/>
          <w:szCs w:val="24"/>
          <w:shd w:val="clear" w:color="auto" w:fill="FFFFFF"/>
        </w:rPr>
        <w:t>, however,</w:t>
      </w:r>
      <w:r w:rsidRPr="00903E93">
        <w:rPr>
          <w:rFonts w:ascii="MetaPro-Norm" w:hAnsi="MetaPro-Norm"/>
          <w:color w:val="000000" w:themeColor="text1"/>
          <w:sz w:val="24"/>
          <w:szCs w:val="24"/>
          <w:shd w:val="clear" w:color="auto" w:fill="FFFFFF"/>
        </w:rPr>
        <w:t xml:space="preserve"> has yet to endorse this important declaration.</w:t>
      </w:r>
      <w:r w:rsidRPr="00903E93">
        <w:rPr>
          <w:rStyle w:val="FootnoteReference"/>
          <w:rFonts w:ascii="MetaPro-Norm" w:hAnsi="MetaPro-Norm"/>
          <w:color w:val="000000" w:themeColor="text1"/>
          <w:sz w:val="24"/>
          <w:szCs w:val="24"/>
          <w:shd w:val="clear" w:color="auto" w:fill="FFFFFF"/>
        </w:rPr>
        <w:footnoteReference w:id="15"/>
      </w:r>
      <w:r w:rsidRPr="00903E93">
        <w:rPr>
          <w:rFonts w:ascii="MetaPro-Norm" w:hAnsi="MetaPro-Norm"/>
          <w:color w:val="000000" w:themeColor="text1"/>
          <w:sz w:val="24"/>
          <w:szCs w:val="24"/>
        </w:rPr>
        <w:t xml:space="preserve"> </w:t>
      </w:r>
    </w:p>
    <w:p w14:paraId="6C609CEC" w14:textId="77777777" w:rsidR="004E65D3" w:rsidRPr="00903E93" w:rsidRDefault="004E65D3" w:rsidP="00B8245C">
      <w:pPr>
        <w:spacing w:line="276" w:lineRule="auto"/>
        <w:rPr>
          <w:rFonts w:ascii="MetaPro-Norm" w:hAnsi="MetaPro-Norm"/>
          <w:color w:val="000000" w:themeColor="text1"/>
          <w:sz w:val="24"/>
          <w:szCs w:val="24"/>
        </w:rPr>
      </w:pPr>
    </w:p>
    <w:p w14:paraId="5170F688" w14:textId="18BD49C2" w:rsidR="004E65D3" w:rsidRPr="00903E93" w:rsidRDefault="004E65D3" w:rsidP="00B8245C">
      <w:pPr>
        <w:spacing w:line="276" w:lineRule="auto"/>
        <w:rPr>
          <w:rFonts w:ascii="MetaPro-Norm" w:hAnsi="MetaPro-Norm"/>
          <w:i/>
          <w:iCs/>
          <w:color w:val="000000" w:themeColor="text1"/>
          <w:sz w:val="24"/>
          <w:szCs w:val="24"/>
        </w:rPr>
      </w:pPr>
      <w:r w:rsidRPr="00903E93">
        <w:rPr>
          <w:rFonts w:ascii="MetaPro-Norm" w:hAnsi="MetaPro-Norm"/>
          <w:i/>
          <w:iCs/>
          <w:color w:val="000000" w:themeColor="text1"/>
          <w:sz w:val="24"/>
          <w:szCs w:val="24"/>
        </w:rPr>
        <w:t xml:space="preserve">Human Rights Watch recommends that the Committee </w:t>
      </w:r>
      <w:r w:rsidR="00E13916">
        <w:rPr>
          <w:rFonts w:ascii="MetaPro-Norm" w:hAnsi="MetaPro-Norm"/>
          <w:i/>
          <w:iCs/>
          <w:color w:val="000000" w:themeColor="text1"/>
          <w:sz w:val="24"/>
          <w:szCs w:val="24"/>
        </w:rPr>
        <w:t>pose</w:t>
      </w:r>
      <w:r w:rsidR="00E13916" w:rsidRPr="00903E93">
        <w:rPr>
          <w:rFonts w:ascii="MetaPro-Norm" w:hAnsi="MetaPro-Norm"/>
          <w:i/>
          <w:iCs/>
          <w:color w:val="000000" w:themeColor="text1"/>
          <w:sz w:val="24"/>
          <w:szCs w:val="24"/>
        </w:rPr>
        <w:t xml:space="preserve"> </w:t>
      </w:r>
      <w:r w:rsidRPr="00903E93">
        <w:rPr>
          <w:rFonts w:ascii="MetaPro-Norm" w:hAnsi="MetaPro-Norm"/>
          <w:i/>
          <w:iCs/>
          <w:color w:val="000000" w:themeColor="text1"/>
          <w:sz w:val="24"/>
          <w:szCs w:val="24"/>
        </w:rPr>
        <w:t xml:space="preserve">the </w:t>
      </w:r>
      <w:r w:rsidR="00E13916">
        <w:rPr>
          <w:rFonts w:ascii="MetaPro-Norm" w:hAnsi="MetaPro-Norm"/>
          <w:i/>
          <w:iCs/>
          <w:color w:val="000000" w:themeColor="text1"/>
          <w:sz w:val="24"/>
          <w:szCs w:val="24"/>
        </w:rPr>
        <w:t xml:space="preserve">following questions to the </w:t>
      </w:r>
      <w:r w:rsidRPr="00903E93">
        <w:rPr>
          <w:rFonts w:ascii="MetaPro-Norm" w:hAnsi="MetaPro-Norm"/>
          <w:i/>
          <w:iCs/>
          <w:color w:val="000000" w:themeColor="text1"/>
          <w:sz w:val="24"/>
          <w:szCs w:val="24"/>
        </w:rPr>
        <w:t>government of Guinea:</w:t>
      </w:r>
    </w:p>
    <w:p w14:paraId="75AE8F5A" w14:textId="77777777" w:rsidR="004E65D3" w:rsidRPr="00903E93" w:rsidRDefault="004E65D3" w:rsidP="00DA3C79">
      <w:pPr>
        <w:pStyle w:val="ListParagraph"/>
        <w:numPr>
          <w:ilvl w:val="0"/>
          <w:numId w:val="5"/>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Are protections for schools from military use included in the pre-deployment training provided to Guinean troops participating in peacekeeping missions?</w:t>
      </w:r>
    </w:p>
    <w:p w14:paraId="44BE68A1" w14:textId="77777777" w:rsidR="004E65D3" w:rsidRPr="00903E93" w:rsidRDefault="004E65D3" w:rsidP="00DA3C79">
      <w:pPr>
        <w:pStyle w:val="ListParagraph"/>
        <w:numPr>
          <w:ilvl w:val="0"/>
          <w:numId w:val="5"/>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Do any Guinean laws, policies, or trainings provide explicit protection for schools and universities from military use during armed conflict?</w:t>
      </w:r>
    </w:p>
    <w:p w14:paraId="57C0C8EB" w14:textId="77777777" w:rsidR="004E65D3" w:rsidRPr="00903E93" w:rsidRDefault="004E65D3" w:rsidP="00B8245C">
      <w:pPr>
        <w:spacing w:line="276" w:lineRule="auto"/>
        <w:rPr>
          <w:rFonts w:ascii="MetaPro-Norm" w:hAnsi="MetaPro-Norm"/>
          <w:color w:val="000000" w:themeColor="text1"/>
          <w:sz w:val="24"/>
          <w:szCs w:val="24"/>
        </w:rPr>
      </w:pPr>
    </w:p>
    <w:p w14:paraId="19E8D6CF" w14:textId="30C35631" w:rsidR="004E65D3" w:rsidRPr="00903E93" w:rsidRDefault="004E65D3" w:rsidP="00B8245C">
      <w:pPr>
        <w:spacing w:line="276" w:lineRule="auto"/>
        <w:rPr>
          <w:rFonts w:ascii="MetaPro-Norm" w:hAnsi="MetaPro-Norm"/>
          <w:i/>
          <w:iCs/>
          <w:color w:val="000000" w:themeColor="text1"/>
          <w:sz w:val="24"/>
          <w:szCs w:val="24"/>
        </w:rPr>
      </w:pPr>
      <w:r w:rsidRPr="00903E93">
        <w:rPr>
          <w:rFonts w:ascii="MetaPro-Norm" w:hAnsi="MetaPro-Norm"/>
          <w:i/>
          <w:iCs/>
          <w:color w:val="000000" w:themeColor="text1"/>
          <w:sz w:val="24"/>
          <w:szCs w:val="24"/>
        </w:rPr>
        <w:t xml:space="preserve">Human Rights Watch recommends that </w:t>
      </w:r>
      <w:r w:rsidRPr="00D35094">
        <w:rPr>
          <w:rFonts w:ascii="MetaPro-Norm" w:hAnsi="MetaPro-Norm"/>
          <w:i/>
          <w:iCs/>
          <w:color w:val="000000" w:themeColor="text1"/>
          <w:sz w:val="24"/>
          <w:szCs w:val="24"/>
        </w:rPr>
        <w:t xml:space="preserve">the Committee </w:t>
      </w:r>
      <w:r w:rsidRPr="00903E93">
        <w:rPr>
          <w:rFonts w:ascii="MetaPro-Norm" w:hAnsi="MetaPro-Norm"/>
          <w:i/>
          <w:iCs/>
          <w:color w:val="000000" w:themeColor="text1"/>
          <w:sz w:val="24"/>
          <w:szCs w:val="24"/>
        </w:rPr>
        <w:t>call upon the government of Guinea to:</w:t>
      </w:r>
    </w:p>
    <w:p w14:paraId="38905245" w14:textId="6D1A5550" w:rsidR="00EF6D14" w:rsidRPr="00DB519C" w:rsidRDefault="004E65D3" w:rsidP="00DA3C79">
      <w:pPr>
        <w:pStyle w:val="ListParagraph"/>
        <w:numPr>
          <w:ilvl w:val="0"/>
          <w:numId w:val="6"/>
        </w:numPr>
        <w:spacing w:line="276" w:lineRule="auto"/>
        <w:jc w:val="both"/>
        <w:rPr>
          <w:rFonts w:ascii="MetaPro-Norm" w:hAnsi="MetaPro-Norm"/>
          <w:color w:val="000000" w:themeColor="text1"/>
          <w:sz w:val="24"/>
          <w:szCs w:val="24"/>
        </w:rPr>
      </w:pPr>
      <w:r w:rsidRPr="00903E93">
        <w:rPr>
          <w:rFonts w:ascii="MetaPro-Norm" w:hAnsi="MetaPro-Norm"/>
          <w:color w:val="000000" w:themeColor="text1"/>
          <w:sz w:val="24"/>
          <w:szCs w:val="24"/>
        </w:rPr>
        <w:t>Endorse the Safe Schools Declaration and take concrete measures to deter the military use of schools</w:t>
      </w:r>
      <w:r w:rsidRPr="00DB519C">
        <w:rPr>
          <w:rFonts w:ascii="MetaPro-Norm" w:hAnsi="MetaPro-Norm"/>
          <w:color w:val="000000" w:themeColor="text1"/>
          <w:sz w:val="24"/>
          <w:szCs w:val="24"/>
        </w:rPr>
        <w:t xml:space="preserve">, including those in </w:t>
      </w:r>
      <w:r w:rsidR="00DB519C" w:rsidRPr="00DB519C">
        <w:rPr>
          <w:rFonts w:ascii="MetaPro-Norm" w:hAnsi="MetaPro-Norm"/>
          <w:color w:val="000000" w:themeColor="text1"/>
          <w:sz w:val="24"/>
          <w:szCs w:val="24"/>
        </w:rPr>
        <w:t>peacekeeping</w:t>
      </w:r>
      <w:r w:rsidRPr="00DB519C">
        <w:rPr>
          <w:rFonts w:ascii="MetaPro-Norm" w:hAnsi="MetaPro-Norm"/>
          <w:color w:val="000000" w:themeColor="text1"/>
          <w:sz w:val="24"/>
          <w:szCs w:val="24"/>
        </w:rPr>
        <w:t xml:space="preserve"> operations</w:t>
      </w:r>
      <w:r w:rsidR="00E13916">
        <w:rPr>
          <w:rFonts w:ascii="MetaPro-Norm" w:hAnsi="MetaPro-Norm"/>
          <w:color w:val="000000" w:themeColor="text1"/>
          <w:sz w:val="24"/>
          <w:szCs w:val="24"/>
        </w:rPr>
        <w:t>,</w:t>
      </w:r>
      <w:r w:rsidRPr="00DB519C">
        <w:rPr>
          <w:rFonts w:ascii="MetaPro-Norm" w:hAnsi="MetaPro-Norm"/>
          <w:color w:val="000000" w:themeColor="text1"/>
          <w:sz w:val="24"/>
          <w:szCs w:val="24"/>
        </w:rPr>
        <w:t xml:space="preserve"> some of which Guinea is supporting,</w:t>
      </w:r>
      <w:bookmarkStart w:id="1" w:name="_GoBack"/>
      <w:r w:rsidR="00E13916">
        <w:rPr>
          <w:rFonts w:ascii="MetaPro-Norm" w:hAnsi="MetaPro-Norm"/>
          <w:color w:val="000000" w:themeColor="text1"/>
          <w:sz w:val="24"/>
          <w:szCs w:val="24"/>
        </w:rPr>
        <w:t xml:space="preserve"> and</w:t>
      </w:r>
      <w:bookmarkEnd w:id="1"/>
      <w:r w:rsidRPr="00DB519C">
        <w:rPr>
          <w:rFonts w:ascii="MetaPro-Norm" w:hAnsi="MetaPro-Norm"/>
          <w:color w:val="000000" w:themeColor="text1"/>
          <w:sz w:val="24"/>
          <w:szCs w:val="24"/>
        </w:rPr>
        <w:t xml:space="preserve"> including</w:t>
      </w:r>
      <w:r w:rsidRPr="00903E93">
        <w:rPr>
          <w:rFonts w:ascii="MetaPro-Norm" w:hAnsi="MetaPro-Norm"/>
          <w:color w:val="000000" w:themeColor="text1"/>
          <w:sz w:val="24"/>
          <w:szCs w:val="24"/>
        </w:rPr>
        <w:t xml:space="preserve"> by bringing the </w:t>
      </w:r>
      <w:r w:rsidRPr="00C451B6">
        <w:rPr>
          <w:rFonts w:ascii="MetaPro-Norm" w:hAnsi="MetaPro-Norm"/>
          <w:i/>
          <w:iCs/>
          <w:color w:val="000000" w:themeColor="text1"/>
          <w:sz w:val="24"/>
          <w:szCs w:val="24"/>
        </w:rPr>
        <w:t xml:space="preserve">Guidelines for </w:t>
      </w:r>
      <w:r w:rsidRPr="00C451B6">
        <w:rPr>
          <w:rFonts w:ascii="MetaPro-Norm" w:hAnsi="MetaPro-Norm"/>
          <w:i/>
          <w:iCs/>
          <w:color w:val="000000" w:themeColor="text1"/>
          <w:sz w:val="24"/>
          <w:szCs w:val="24"/>
        </w:rPr>
        <w:lastRenderedPageBreak/>
        <w:t>Protecting Schools and Universities from Military Use during Armed Conflict</w:t>
      </w:r>
      <w:r w:rsidRPr="00903E93">
        <w:rPr>
          <w:rFonts w:ascii="MetaPro-Norm" w:hAnsi="MetaPro-Norm"/>
          <w:color w:val="000000" w:themeColor="text1"/>
          <w:sz w:val="24"/>
          <w:szCs w:val="24"/>
        </w:rPr>
        <w:t xml:space="preserve"> into domestic military policy and operational frameworks.</w:t>
      </w:r>
    </w:p>
    <w:sectPr w:rsidR="00EF6D14" w:rsidRPr="00DB519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89AD" w14:textId="77777777" w:rsidR="00131336" w:rsidRDefault="00131336" w:rsidP="00B24007">
      <w:r>
        <w:separator/>
      </w:r>
    </w:p>
  </w:endnote>
  <w:endnote w:type="continuationSeparator" w:id="0">
    <w:p w14:paraId="711D3C90" w14:textId="77777777" w:rsidR="00131336" w:rsidRDefault="00131336" w:rsidP="00B2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79684"/>
      <w:docPartObj>
        <w:docPartGallery w:val="Page Numbers (Bottom of Page)"/>
        <w:docPartUnique/>
      </w:docPartObj>
    </w:sdtPr>
    <w:sdtEndPr>
      <w:rPr>
        <w:noProof/>
      </w:rPr>
    </w:sdtEndPr>
    <w:sdtContent>
      <w:p w14:paraId="0C0320FD" w14:textId="1D034F16" w:rsidR="004877E8" w:rsidRDefault="004877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5C972" w14:textId="77777777" w:rsidR="004877E8" w:rsidRDefault="0048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97C4" w14:textId="77777777" w:rsidR="00131336" w:rsidRDefault="00131336" w:rsidP="00B24007">
      <w:r>
        <w:separator/>
      </w:r>
    </w:p>
  </w:footnote>
  <w:footnote w:type="continuationSeparator" w:id="0">
    <w:p w14:paraId="6C04C611" w14:textId="77777777" w:rsidR="00131336" w:rsidRDefault="00131336" w:rsidP="00B24007">
      <w:r>
        <w:continuationSeparator/>
      </w:r>
    </w:p>
  </w:footnote>
  <w:footnote w:id="1">
    <w:p w14:paraId="43226D06" w14:textId="5984E8F4" w:rsidR="006348B0" w:rsidRPr="00E33546" w:rsidRDefault="006348B0" w:rsidP="00E33546">
      <w:pPr>
        <w:pStyle w:val="FootnoteText"/>
      </w:pPr>
      <w:r>
        <w:rPr>
          <w:rStyle w:val="FootnoteReference"/>
        </w:rPr>
        <w:footnoteRef/>
      </w:r>
      <w:r>
        <w:t xml:space="preserve"> </w:t>
      </w:r>
      <w:r w:rsidR="00E33546">
        <w:t>Ministry of Mines and Geology, “Bauxite: Become a Leader in Global Production,” (Undated) http://mines.gov.gn/ressources/bauxite/ (accessed May 22, 2018).</w:t>
      </w:r>
    </w:p>
  </w:footnote>
  <w:footnote w:id="2">
    <w:p w14:paraId="21BFDAF3" w14:textId="5AE9C848" w:rsidR="00E33546" w:rsidRPr="00E33546" w:rsidRDefault="00E33546" w:rsidP="00E33546">
      <w:pPr>
        <w:pStyle w:val="FootnoteText"/>
      </w:pPr>
      <w:r>
        <w:rPr>
          <w:rStyle w:val="FootnoteReference"/>
        </w:rPr>
        <w:footnoteRef/>
      </w:r>
      <w:r>
        <w:t xml:space="preserve"> “China </w:t>
      </w:r>
      <w:proofErr w:type="spellStart"/>
      <w:r>
        <w:t>Aluminum</w:t>
      </w:r>
      <w:proofErr w:type="spellEnd"/>
      <w:r>
        <w:t xml:space="preserve"> Capacity Cuts Boost Market Leader, Prices,” Reuters, August 3, 2017, https://www.reuters.com/article/us-china-metals-aluminium/china-aluminum-capacity-cuts-boost-market-leaders-prices-idUSKBN1AJ0QO (accessed March 20, 2018); “Chinese bauxite imports in February down by 13.4% MOM,” Asian Metal, March 27, 2018.</w:t>
      </w:r>
    </w:p>
  </w:footnote>
  <w:footnote w:id="3">
    <w:p w14:paraId="5EAB145A" w14:textId="0B776385" w:rsidR="00F90AC4" w:rsidRPr="00F90AC4" w:rsidRDefault="00F90AC4" w:rsidP="00A369BA">
      <w:pPr>
        <w:pStyle w:val="FootnoteText"/>
      </w:pPr>
      <w:r>
        <w:rPr>
          <w:rStyle w:val="FootnoteReference"/>
        </w:rPr>
        <w:footnoteRef/>
      </w:r>
      <w:r>
        <w:t xml:space="preserve"> </w:t>
      </w:r>
      <w:r w:rsidR="00A369BA">
        <w:t xml:space="preserve">Human Rights Watch, “’What Do We Get Out of It?’: The Human Rights Impact of Bauxite Mining in Guinea,” October 2018, </w:t>
      </w:r>
      <w:r w:rsidR="000A3051" w:rsidRPr="000A3051">
        <w:t>https://www.hrw.org/report/2018/10/04/what-do-we-get-out-it/human-rights-impact-bauxite-mining-guinea</w:t>
      </w:r>
      <w:r w:rsidR="000A3051">
        <w:t xml:space="preserve"> (accessed January 1, 2020)</w:t>
      </w:r>
      <w:r w:rsidR="00F933E6">
        <w:t>.</w:t>
      </w:r>
    </w:p>
  </w:footnote>
  <w:footnote w:id="4">
    <w:p w14:paraId="600127B5" w14:textId="01B1F948" w:rsidR="00F90AC4" w:rsidRPr="00F90AC4" w:rsidRDefault="00F90AC4" w:rsidP="00F90AC4">
      <w:pPr>
        <w:pStyle w:val="FootnoteText"/>
      </w:pPr>
      <w:r>
        <w:rPr>
          <w:rStyle w:val="FootnoteReference"/>
        </w:rPr>
        <w:footnoteRef/>
      </w:r>
      <w:r>
        <w:t xml:space="preserve"> </w:t>
      </w:r>
      <w:proofErr w:type="spellStart"/>
      <w:r>
        <w:t>Αristeidis</w:t>
      </w:r>
      <w:proofErr w:type="spellEnd"/>
      <w:r>
        <w:t xml:space="preserve"> </w:t>
      </w:r>
      <w:proofErr w:type="spellStart"/>
      <w:r>
        <w:t>Mertzanis</w:t>
      </w:r>
      <w:proofErr w:type="spellEnd"/>
      <w:r>
        <w:t xml:space="preserve">, "The opencast bauxite mining in N.E. </w:t>
      </w:r>
      <w:proofErr w:type="spellStart"/>
      <w:r>
        <w:t>Ghiona</w:t>
      </w:r>
      <w:proofErr w:type="spellEnd"/>
      <w:r>
        <w:t xml:space="preserve">: </w:t>
      </w:r>
      <w:proofErr w:type="spellStart"/>
      <w:r>
        <w:t>Ecoenvironmental</w:t>
      </w:r>
      <w:proofErr w:type="spellEnd"/>
      <w:r>
        <w:t xml:space="preserve"> impacts and geomorphological changes (Central Greece)," Journal of Geography and Regional Planning, vol. 5 (2011), pp. 21-35; Noor Hisham Abdullah et. al, “Potential Health Impacts of Bauxite Mining in Kuantan,” The Malaysian Journal of Medical Sciences, vol. 23 (2016), pp. 1-8. https://www.ncbi.nlm.nih.gov/pmc/articles/PMC4934713/ (accessed March 26, 2018); Metro Mining Ltd, "Bauxite Hills Project: Initial Advice Statement," October 2015, https://www.ehp.qld.gov.au/management/impact-assessment/eisprocesses/documents/bauxite-hills-ias.pdf (accessed March 26, 2018), pp. 3-58.</w:t>
      </w:r>
    </w:p>
  </w:footnote>
  <w:footnote w:id="5">
    <w:p w14:paraId="6F2929E5" w14:textId="614A7805" w:rsidR="00F90AC4" w:rsidRPr="00F90AC4" w:rsidRDefault="00F90AC4" w:rsidP="00F90AC4">
      <w:pPr>
        <w:pStyle w:val="FootnoteText"/>
      </w:pPr>
      <w:r>
        <w:rPr>
          <w:rStyle w:val="FootnoteReference"/>
        </w:rPr>
        <w:footnoteRef/>
      </w:r>
      <w:r>
        <w:t xml:space="preserve">  “Tackling the global clean air challenge,” World Health Organization press release, accessed July 21, 2017, http://www.who.int/mediacentre/news/releases/2011/air_pollution_20110926/en/. World Health Organization, “Health Effects of Particulate Matter,” 2013, http://www.euro.who.int/__data/assets/pdf_file/0006/189051/Health-effects-of-particulatematter-final-Eng.pdf (accessed July 21, 2017), p. 6.</w:t>
      </w:r>
    </w:p>
  </w:footnote>
  <w:footnote w:id="6">
    <w:p w14:paraId="5AA03074" w14:textId="05CD84AD" w:rsidR="002C423F" w:rsidRPr="002C423F" w:rsidRDefault="002C423F">
      <w:pPr>
        <w:pStyle w:val="FootnoteText"/>
      </w:pPr>
      <w:r>
        <w:rPr>
          <w:rStyle w:val="FootnoteReference"/>
        </w:rPr>
        <w:footnoteRef/>
      </w:r>
      <w:r>
        <w:t xml:space="preserve"> At least two other dams are </w:t>
      </w:r>
      <w:r>
        <w:rPr>
          <w:color w:val="313131"/>
          <w:shd w:val="clear" w:color="auto" w:fill="FFFFFF"/>
        </w:rPr>
        <w:t xml:space="preserve">under construction – the 300 megawatt </w:t>
      </w:r>
      <w:proofErr w:type="spellStart"/>
      <w:r>
        <w:rPr>
          <w:color w:val="313131"/>
          <w:shd w:val="clear" w:color="auto" w:fill="FFFFFF"/>
        </w:rPr>
        <w:t>Amaria</w:t>
      </w:r>
      <w:proofErr w:type="spellEnd"/>
      <w:r>
        <w:rPr>
          <w:color w:val="313131"/>
          <w:shd w:val="clear" w:color="auto" w:fill="FFFFFF"/>
        </w:rPr>
        <w:t xml:space="preserve"> dam and the 300 MW </w:t>
      </w:r>
      <w:proofErr w:type="spellStart"/>
      <w:r>
        <w:rPr>
          <w:color w:val="313131"/>
          <w:shd w:val="clear" w:color="auto" w:fill="FFFFFF"/>
        </w:rPr>
        <w:t>Koukoutamba</w:t>
      </w:r>
      <w:proofErr w:type="spellEnd"/>
      <w:r>
        <w:rPr>
          <w:color w:val="313131"/>
          <w:shd w:val="clear" w:color="auto" w:fill="FFFFFF"/>
        </w:rPr>
        <w:t xml:space="preserve"> dam. </w:t>
      </w:r>
      <w:r w:rsidRPr="006515C5">
        <w:rPr>
          <w:lang w:val="fr-CD"/>
        </w:rPr>
        <w:t xml:space="preserve">“Présidence – Energie : La convention de concession du barrage </w:t>
      </w:r>
      <w:proofErr w:type="spellStart"/>
      <w:r w:rsidRPr="006515C5">
        <w:rPr>
          <w:lang w:val="fr-CD"/>
        </w:rPr>
        <w:t>Amaria</w:t>
      </w:r>
      <w:proofErr w:type="spellEnd"/>
      <w:r w:rsidRPr="006515C5">
        <w:rPr>
          <w:lang w:val="fr-CD"/>
        </w:rPr>
        <w:t xml:space="preserve"> signée," </w:t>
      </w:r>
      <w:r w:rsidRPr="006515C5">
        <w:rPr>
          <w:i/>
          <w:iCs/>
          <w:lang w:val="fr-CD"/>
        </w:rPr>
        <w:t xml:space="preserve">Guinée News, </w:t>
      </w:r>
      <w:r w:rsidRPr="006515C5">
        <w:rPr>
          <w:lang w:val="fr-CD"/>
        </w:rPr>
        <w:t>May 2, 2019, https://www.guineenews.org/presidence-energie-la-convention-de-concession-du-barrage-amaria-signee/ (</w:t>
      </w:r>
      <w:proofErr w:type="spellStart"/>
      <w:r w:rsidRPr="006515C5">
        <w:rPr>
          <w:lang w:val="fr-CD"/>
        </w:rPr>
        <w:t>accessed</w:t>
      </w:r>
      <w:proofErr w:type="spellEnd"/>
      <w:r w:rsidRPr="006515C5">
        <w:rPr>
          <w:lang w:val="fr-CD"/>
        </w:rPr>
        <w:t xml:space="preserve"> </w:t>
      </w:r>
      <w:proofErr w:type="spellStart"/>
      <w:r w:rsidRPr="006515C5">
        <w:rPr>
          <w:lang w:val="fr-CD"/>
        </w:rPr>
        <w:t>January</w:t>
      </w:r>
      <w:proofErr w:type="spellEnd"/>
      <w:r w:rsidRPr="006515C5">
        <w:rPr>
          <w:lang w:val="fr-CD"/>
        </w:rPr>
        <w:t xml:space="preserve"> 5, 2020). </w:t>
      </w:r>
      <w:r>
        <w:t>“</w:t>
      </w:r>
      <w:proofErr w:type="spellStart"/>
      <w:r w:rsidRPr="00416B7C">
        <w:t>Sinohydro</w:t>
      </w:r>
      <w:proofErr w:type="spellEnd"/>
      <w:r w:rsidRPr="00416B7C">
        <w:t xml:space="preserve"> to build the 294 MW </w:t>
      </w:r>
      <w:proofErr w:type="spellStart"/>
      <w:r w:rsidRPr="00416B7C">
        <w:t>Koukoutamba</w:t>
      </w:r>
      <w:proofErr w:type="spellEnd"/>
      <w:r w:rsidRPr="00416B7C">
        <w:t xml:space="preserve"> dam in Guinea</w:t>
      </w:r>
      <w:r>
        <w:t xml:space="preserve">,” </w:t>
      </w:r>
      <w:r w:rsidRPr="0003094F">
        <w:rPr>
          <w:i/>
          <w:iCs/>
        </w:rPr>
        <w:t>The International Journal on Hydropower &amp; Dams</w:t>
      </w:r>
      <w:r>
        <w:t xml:space="preserve">, March 13, 2019, </w:t>
      </w:r>
      <w:r w:rsidRPr="0003094F">
        <w:t>https://www.hydropower-dams.com/news/sinohydro-to-build-the-294-mw-koukoutamba-dam-in-guinea/</w:t>
      </w:r>
      <w:r>
        <w:t xml:space="preserve"> (accessed January 5, 2020).</w:t>
      </w:r>
    </w:p>
  </w:footnote>
  <w:footnote w:id="7">
    <w:p w14:paraId="067C739E" w14:textId="1AB21E8C" w:rsidR="002C423F" w:rsidRPr="002C423F" w:rsidRDefault="002C423F">
      <w:pPr>
        <w:pStyle w:val="FootnoteText"/>
      </w:pPr>
      <w:r>
        <w:rPr>
          <w:rStyle w:val="FootnoteReference"/>
        </w:rPr>
        <w:footnoteRef/>
      </w:r>
      <w:r>
        <w:t xml:space="preserve"> </w:t>
      </w:r>
      <w:bookmarkStart w:id="0" w:name="_Hlk28864246"/>
      <w:r w:rsidRPr="003F7217">
        <w:t>In 2017, Guinea had a rate of electricity access of about 29 percent</w:t>
      </w:r>
      <w:bookmarkEnd w:id="0"/>
      <w:r w:rsidRPr="003F7217">
        <w:t>, below that year’s average for sub-Sahara Africa of 43 percent.</w:t>
      </w:r>
      <w:r>
        <w:t xml:space="preserve"> </w:t>
      </w:r>
      <w:r w:rsidRPr="002C423F">
        <w:rPr>
          <w:lang w:val="en-US"/>
        </w:rPr>
        <w:t>World Bank (International Development Association), Guinea Electricity Access Scale Up Project Proposal, January 25, 2019,</w:t>
      </w:r>
      <w:r w:rsidR="00F933E6">
        <w:rPr>
          <w:lang w:val="en-US"/>
        </w:rPr>
        <w:t xml:space="preserve"> </w:t>
      </w:r>
      <w:r w:rsidRPr="002C423F">
        <w:rPr>
          <w:lang w:val="en-US"/>
        </w:rPr>
        <w:t>http://documents.worldbank.org/curated/en/869041550631657109/pdf/Guinea-Electricity-Access-Scale-Up-Project.pdf, paras 7-8 (accessed November 18, 2019).</w:t>
      </w:r>
    </w:p>
  </w:footnote>
  <w:footnote w:id="8">
    <w:p w14:paraId="2CC001DA" w14:textId="6B87E0C9" w:rsidR="00B4680F" w:rsidRPr="009A59A5" w:rsidRDefault="009A59A5" w:rsidP="00B4680F">
      <w:pPr>
        <w:pStyle w:val="FootnoteText"/>
      </w:pPr>
      <w:r>
        <w:rPr>
          <w:rStyle w:val="FootnoteReference"/>
        </w:rPr>
        <w:footnoteRef/>
      </w:r>
      <w:r>
        <w:t xml:space="preserve"> </w:t>
      </w:r>
      <w:r w:rsidR="00B4680F">
        <w:t xml:space="preserve">Human Rights Watch, “Guinea: Draconian Forced Evictions: Thousands of Homes Razed in Capital; Residents Denied Aid, Compensation,” </w:t>
      </w:r>
      <w:r w:rsidR="00FA29B2">
        <w:t xml:space="preserve">June 18, 2019, </w:t>
      </w:r>
      <w:r w:rsidR="00FA29B2" w:rsidRPr="00FA29B2">
        <w:t>https://www.hrw.org/news/2019/06/18/guinea-draconian-forced-evictions</w:t>
      </w:r>
    </w:p>
  </w:footnote>
  <w:footnote w:id="9">
    <w:p w14:paraId="23A0384D" w14:textId="14ED3B50" w:rsidR="00233D08" w:rsidRPr="00233D08" w:rsidRDefault="00233D08">
      <w:pPr>
        <w:pStyle w:val="FootnoteText"/>
      </w:pPr>
      <w:r>
        <w:rPr>
          <w:rStyle w:val="FootnoteReference"/>
        </w:rPr>
        <w:footnoteRef/>
      </w:r>
      <w:r>
        <w:t xml:space="preserve"> Ibid.</w:t>
      </w:r>
    </w:p>
  </w:footnote>
  <w:footnote w:id="10">
    <w:p w14:paraId="1E15D22A" w14:textId="65D3FC05" w:rsidR="00494328" w:rsidRPr="00494328" w:rsidRDefault="00494328">
      <w:pPr>
        <w:pStyle w:val="FootnoteText"/>
      </w:pPr>
      <w:r>
        <w:rPr>
          <w:rStyle w:val="FootnoteReference"/>
        </w:rPr>
        <w:footnoteRef/>
      </w:r>
      <w:r>
        <w:t xml:space="preserve"> </w:t>
      </w:r>
      <w:r w:rsidRPr="00494328">
        <w:t>International and African human rights instruments protect individuals and communities, including those with customary land tenure, from arbitrary interference with their rights to property and land.</w:t>
      </w:r>
      <w:r>
        <w:t xml:space="preserve"> </w:t>
      </w:r>
      <w:r w:rsidRPr="00494328">
        <w:t>The UN Basic Principles on Evictions state that, irrespective of whether people hold title to property, they are entitled to compensation for lost land as well as for material damage and loss of earnings.</w:t>
      </w:r>
      <w:r>
        <w:t xml:space="preserve"> See </w:t>
      </w:r>
      <w:r w:rsidRPr="00494328">
        <w:t>UN Human Rights Committee, “Basic Principles and Guidelines on Development-Based Evictions and Displacement,” A/HRC/4/18, p. 13.</w:t>
      </w:r>
    </w:p>
  </w:footnote>
  <w:footnote w:id="11">
    <w:p w14:paraId="623A3915" w14:textId="77777777" w:rsidR="004E65D3" w:rsidRPr="009224C5" w:rsidRDefault="004E65D3" w:rsidP="004E65D3">
      <w:pPr>
        <w:pStyle w:val="FootnoteText"/>
        <w:rPr>
          <w:lang w:val="en-US"/>
        </w:rPr>
      </w:pPr>
      <w:r>
        <w:rPr>
          <w:rStyle w:val="FootnoteReference"/>
        </w:rPr>
        <w:footnoteRef/>
      </w:r>
      <w:r>
        <w:t xml:space="preserve"> </w:t>
      </w:r>
      <w:r w:rsidRPr="009224C5">
        <w:t>Safe Schools Declaration, May 28, 2015, https://www.regjeringen.no/globalassets/departementene/ud/vedlegg/utvikling/safe_schools_declaration.p</w:t>
      </w:r>
      <w:r>
        <w:t>d</w:t>
      </w:r>
      <w:r w:rsidRPr="009224C5">
        <w:t xml:space="preserve">f (accessed </w:t>
      </w:r>
      <w:r>
        <w:t>December 20, 2019</w:t>
      </w:r>
      <w:r w:rsidRPr="009224C5">
        <w:t>).</w:t>
      </w:r>
    </w:p>
  </w:footnote>
  <w:footnote w:id="12">
    <w:p w14:paraId="6EACC9BF" w14:textId="77777777" w:rsidR="004E65D3" w:rsidRPr="009224C5" w:rsidRDefault="004E65D3" w:rsidP="004E65D3">
      <w:pPr>
        <w:pStyle w:val="FootnoteText"/>
        <w:rPr>
          <w:lang w:val="en-US"/>
        </w:rPr>
      </w:pPr>
      <w:r>
        <w:rPr>
          <w:rStyle w:val="FootnoteReference"/>
        </w:rPr>
        <w:footnoteRef/>
      </w:r>
      <w:r>
        <w:t xml:space="preserve"> </w:t>
      </w:r>
      <w:r w:rsidRPr="009224C5">
        <w:t xml:space="preserve">Guidelines for Protecting Schools and Universities from Military Use during Armed Conflict, March 18, 2014, http://protectingeducation.org/sites/default/files/documents/guidelines_en.pdf (accessed </w:t>
      </w:r>
      <w:r>
        <w:t>December 20, 2019</w:t>
      </w:r>
      <w:r w:rsidRPr="009224C5">
        <w:t>).</w:t>
      </w:r>
    </w:p>
  </w:footnote>
  <w:footnote w:id="13">
    <w:p w14:paraId="75C48C89" w14:textId="77777777" w:rsidR="004E65D3" w:rsidRPr="00073987" w:rsidRDefault="004E65D3" w:rsidP="004E65D3">
      <w:pPr>
        <w:pStyle w:val="FootnoteText"/>
      </w:pPr>
      <w:r>
        <w:rPr>
          <w:rStyle w:val="FootnoteReference"/>
        </w:rPr>
        <w:footnoteRef/>
      </w:r>
      <w:r>
        <w:t xml:space="preserve"> African Committee of Experts on the Rights and Welfare of the Child, “Outcome Statement for the Day of General Discussion on Children Affected by Armed Conflict,” November 26, 2019, </w:t>
      </w:r>
      <w:r w:rsidRPr="00073987">
        <w:t>https://www.acerwc.africa/wp-content/uploads/2019/12/Outcome-Statement_-ACERWC-Day-of-General-Discussion_-final.pdf</w:t>
      </w:r>
      <w:r>
        <w:t>.</w:t>
      </w:r>
    </w:p>
  </w:footnote>
  <w:footnote w:id="14">
    <w:p w14:paraId="10505032" w14:textId="77777777" w:rsidR="004E65D3" w:rsidRPr="00073987" w:rsidRDefault="004E65D3" w:rsidP="004E65D3">
      <w:pPr>
        <w:pStyle w:val="FootnoteText"/>
      </w:pPr>
      <w:r>
        <w:rPr>
          <w:rStyle w:val="FootnoteReference"/>
        </w:rPr>
        <w:footnoteRef/>
      </w:r>
      <w:r>
        <w:t xml:space="preserve"> African Union, </w:t>
      </w:r>
      <w:r w:rsidRPr="00073987">
        <w:t>Press Statement on the Peace and Security Council of the African Union’s 597th meeting on May 10, 2016: “Children in Armed Conflicts in Africa with particular focus on protecting schools from attacks during armed conflict</w:t>
      </w:r>
      <w:r>
        <w:t xml:space="preserve">;” </w:t>
      </w:r>
      <w:r w:rsidRPr="00073987">
        <w:t>Press Statement on the Peace and Security Council of the African Union’s 615th meeting on August 9,  2016: “Education of Refugees and Displaced Children in Africa</w:t>
      </w:r>
      <w:r>
        <w:t>;</w:t>
      </w:r>
      <w:r w:rsidRPr="00073987">
        <w:t>”</w:t>
      </w:r>
      <w:r>
        <w:t xml:space="preserve"> </w:t>
      </w:r>
      <w:r w:rsidRPr="00073987">
        <w:t>Press Statement on the Peace and Security Council of the 692nd meeting on June 13, 2017, of the PSC dedicated to an Open Session on the theme: “Ending Child Marriages</w:t>
      </w:r>
      <w:r>
        <w:t>;</w:t>
      </w:r>
      <w:r w:rsidRPr="00073987">
        <w:t>”</w:t>
      </w:r>
      <w:r>
        <w:t xml:space="preserve"> and </w:t>
      </w:r>
      <w:r w:rsidRPr="00073987">
        <w:t>Press Statement on the Peace and Security Council of the 706th meeting on July 26, 2017, of the PSC on the theme: “Child Soldiers/Out of School Children in Armed Conflict in Africa.”</w:t>
      </w:r>
    </w:p>
  </w:footnote>
  <w:footnote w:id="15">
    <w:p w14:paraId="74213B58" w14:textId="77777777" w:rsidR="004E65D3" w:rsidRPr="009224C5" w:rsidRDefault="004E65D3" w:rsidP="004E65D3">
      <w:pPr>
        <w:pStyle w:val="FootnoteText"/>
        <w:rPr>
          <w:lang w:val="en-US"/>
        </w:rPr>
      </w:pPr>
      <w:r>
        <w:rPr>
          <w:rStyle w:val="FootnoteReference"/>
        </w:rPr>
        <w:footnoteRef/>
      </w:r>
      <w:r>
        <w:t xml:space="preserve"> </w:t>
      </w:r>
      <w:r w:rsidRPr="009224C5">
        <w:t>“Safe School</w:t>
      </w:r>
      <w:r>
        <w:t>s</w:t>
      </w:r>
      <w:r w:rsidRPr="009224C5">
        <w:t xml:space="preserve"> Declaration Endorsements,” Global Coalition to Protect Education from Attack, </w:t>
      </w:r>
      <w:r w:rsidRPr="00385150">
        <w:t>http://www.protectingeducation.org/guidelines/support</w:t>
      </w:r>
      <w:r>
        <w:t xml:space="preserve"> (</w:t>
      </w:r>
      <w:r w:rsidRPr="00385150">
        <w:t>accessed June 29, 2019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391"/>
    <w:multiLevelType w:val="hybridMultilevel"/>
    <w:tmpl w:val="EE56FA2C"/>
    <w:lvl w:ilvl="0" w:tplc="2CB21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6048"/>
    <w:multiLevelType w:val="hybridMultilevel"/>
    <w:tmpl w:val="DB94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F78AE"/>
    <w:multiLevelType w:val="hybridMultilevel"/>
    <w:tmpl w:val="1F8E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705E8"/>
    <w:multiLevelType w:val="hybridMultilevel"/>
    <w:tmpl w:val="77B8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47C77"/>
    <w:multiLevelType w:val="hybridMultilevel"/>
    <w:tmpl w:val="49E8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D51FC"/>
    <w:multiLevelType w:val="hybridMultilevel"/>
    <w:tmpl w:val="32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D0461"/>
    <w:multiLevelType w:val="hybridMultilevel"/>
    <w:tmpl w:val="8D46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2"/>
    <w:rsid w:val="00065FBE"/>
    <w:rsid w:val="00073987"/>
    <w:rsid w:val="000A3051"/>
    <w:rsid w:val="000B4E87"/>
    <w:rsid w:val="000B7A6B"/>
    <w:rsid w:val="000F6DEB"/>
    <w:rsid w:val="00107761"/>
    <w:rsid w:val="00131336"/>
    <w:rsid w:val="00141136"/>
    <w:rsid w:val="00154203"/>
    <w:rsid w:val="00167E82"/>
    <w:rsid w:val="00184490"/>
    <w:rsid w:val="001A1371"/>
    <w:rsid w:val="001B5A7E"/>
    <w:rsid w:val="001C1B8E"/>
    <w:rsid w:val="001D63FC"/>
    <w:rsid w:val="001E7E24"/>
    <w:rsid w:val="00210813"/>
    <w:rsid w:val="00233D08"/>
    <w:rsid w:val="002C423F"/>
    <w:rsid w:val="0033675A"/>
    <w:rsid w:val="003453FB"/>
    <w:rsid w:val="00385150"/>
    <w:rsid w:val="003E06DB"/>
    <w:rsid w:val="00455E62"/>
    <w:rsid w:val="004877E8"/>
    <w:rsid w:val="00494328"/>
    <w:rsid w:val="004C62FE"/>
    <w:rsid w:val="004D61AF"/>
    <w:rsid w:val="004D6DC2"/>
    <w:rsid w:val="004E65D3"/>
    <w:rsid w:val="004F207F"/>
    <w:rsid w:val="00531D54"/>
    <w:rsid w:val="005329B5"/>
    <w:rsid w:val="00573F4D"/>
    <w:rsid w:val="005970B1"/>
    <w:rsid w:val="005A3EC8"/>
    <w:rsid w:val="005D5C3F"/>
    <w:rsid w:val="005D7C2C"/>
    <w:rsid w:val="00612ADD"/>
    <w:rsid w:val="006348B0"/>
    <w:rsid w:val="00646872"/>
    <w:rsid w:val="00646D6A"/>
    <w:rsid w:val="00647072"/>
    <w:rsid w:val="0067229D"/>
    <w:rsid w:val="00675261"/>
    <w:rsid w:val="00697461"/>
    <w:rsid w:val="00725FD7"/>
    <w:rsid w:val="00735E5F"/>
    <w:rsid w:val="00761FC7"/>
    <w:rsid w:val="007B4821"/>
    <w:rsid w:val="007E381A"/>
    <w:rsid w:val="0082728A"/>
    <w:rsid w:val="008430C4"/>
    <w:rsid w:val="00880619"/>
    <w:rsid w:val="00885C7C"/>
    <w:rsid w:val="00903E93"/>
    <w:rsid w:val="00916619"/>
    <w:rsid w:val="009224C5"/>
    <w:rsid w:val="0093413A"/>
    <w:rsid w:val="00976320"/>
    <w:rsid w:val="00982202"/>
    <w:rsid w:val="009905C9"/>
    <w:rsid w:val="009A59A5"/>
    <w:rsid w:val="009C02A0"/>
    <w:rsid w:val="009D0749"/>
    <w:rsid w:val="009D7B98"/>
    <w:rsid w:val="009E7716"/>
    <w:rsid w:val="00A369BA"/>
    <w:rsid w:val="00A67285"/>
    <w:rsid w:val="00A91B49"/>
    <w:rsid w:val="00A97EED"/>
    <w:rsid w:val="00AE389A"/>
    <w:rsid w:val="00B00244"/>
    <w:rsid w:val="00B24007"/>
    <w:rsid w:val="00B43C39"/>
    <w:rsid w:val="00B4680F"/>
    <w:rsid w:val="00B50EF7"/>
    <w:rsid w:val="00B66A23"/>
    <w:rsid w:val="00B8245C"/>
    <w:rsid w:val="00B82CAE"/>
    <w:rsid w:val="00B93E9D"/>
    <w:rsid w:val="00BD01F6"/>
    <w:rsid w:val="00BF07C6"/>
    <w:rsid w:val="00C03FF0"/>
    <w:rsid w:val="00C451B6"/>
    <w:rsid w:val="00C768A2"/>
    <w:rsid w:val="00C84ABE"/>
    <w:rsid w:val="00CA7AD1"/>
    <w:rsid w:val="00CF2526"/>
    <w:rsid w:val="00D06FE9"/>
    <w:rsid w:val="00D13FB9"/>
    <w:rsid w:val="00D32163"/>
    <w:rsid w:val="00D35094"/>
    <w:rsid w:val="00D516AD"/>
    <w:rsid w:val="00D5772D"/>
    <w:rsid w:val="00DA3C79"/>
    <w:rsid w:val="00DB5142"/>
    <w:rsid w:val="00DB519C"/>
    <w:rsid w:val="00DC7054"/>
    <w:rsid w:val="00DE4E82"/>
    <w:rsid w:val="00DF11F3"/>
    <w:rsid w:val="00E13916"/>
    <w:rsid w:val="00E2641B"/>
    <w:rsid w:val="00E31831"/>
    <w:rsid w:val="00E33546"/>
    <w:rsid w:val="00E403BD"/>
    <w:rsid w:val="00E61FE9"/>
    <w:rsid w:val="00EA2E8F"/>
    <w:rsid w:val="00EB5E69"/>
    <w:rsid w:val="00EF6D14"/>
    <w:rsid w:val="00F413D3"/>
    <w:rsid w:val="00F46B97"/>
    <w:rsid w:val="00F659C5"/>
    <w:rsid w:val="00F66624"/>
    <w:rsid w:val="00F90AC4"/>
    <w:rsid w:val="00F933E6"/>
    <w:rsid w:val="00F94574"/>
    <w:rsid w:val="00FA29B2"/>
    <w:rsid w:val="00FC2C56"/>
    <w:rsid w:val="00FE79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9078"/>
  <w15:chartTrackingRefBased/>
  <w15:docId w15:val="{78163A77-1BCF-4D1A-A455-EEDCADA9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14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007"/>
    <w:pPr>
      <w:spacing w:after="160" w:line="259" w:lineRule="auto"/>
      <w:ind w:left="720"/>
      <w:contextualSpacing/>
    </w:pPr>
    <w:rPr>
      <w:rFonts w:asciiTheme="minorHAnsi" w:hAnsiTheme="minorHAnsi" w:cstheme="minorBidi"/>
      <w:lang w:val="en-US" w:eastAsia="en-US"/>
    </w:rPr>
  </w:style>
  <w:style w:type="character" w:styleId="FootnoteReference">
    <w:name w:val="footnote reference"/>
    <w:basedOn w:val="DefaultParagraphFont"/>
    <w:uiPriority w:val="99"/>
    <w:semiHidden/>
    <w:unhideWhenUsed/>
    <w:rsid w:val="00B24007"/>
    <w:rPr>
      <w:vertAlign w:val="superscript"/>
    </w:rPr>
  </w:style>
  <w:style w:type="character" w:styleId="Hyperlink">
    <w:name w:val="Hyperlink"/>
    <w:basedOn w:val="DefaultParagraphFont"/>
    <w:uiPriority w:val="99"/>
    <w:unhideWhenUsed/>
    <w:rsid w:val="00B24007"/>
    <w:rPr>
      <w:color w:val="0563C1" w:themeColor="hyperlink"/>
      <w:u w:val="single"/>
    </w:rPr>
  </w:style>
  <w:style w:type="paragraph" w:styleId="NoSpacing">
    <w:name w:val="No Spacing"/>
    <w:uiPriority w:val="1"/>
    <w:qFormat/>
    <w:rsid w:val="00B24007"/>
    <w:pPr>
      <w:spacing w:after="0" w:line="240" w:lineRule="auto"/>
    </w:pPr>
  </w:style>
  <w:style w:type="paragraph" w:styleId="FootnoteText">
    <w:name w:val="footnote text"/>
    <w:basedOn w:val="Normal"/>
    <w:link w:val="FootnoteTextChar"/>
    <w:uiPriority w:val="99"/>
    <w:unhideWhenUsed/>
    <w:rsid w:val="00B24007"/>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24007"/>
    <w:rPr>
      <w:sz w:val="20"/>
      <w:szCs w:val="20"/>
    </w:rPr>
  </w:style>
  <w:style w:type="character" w:styleId="UnresolvedMention">
    <w:name w:val="Unresolved Mention"/>
    <w:basedOn w:val="DefaultParagraphFont"/>
    <w:uiPriority w:val="99"/>
    <w:semiHidden/>
    <w:unhideWhenUsed/>
    <w:rsid w:val="00E2641B"/>
    <w:rPr>
      <w:color w:val="605E5C"/>
      <w:shd w:val="clear" w:color="auto" w:fill="E1DFDD"/>
    </w:rPr>
  </w:style>
  <w:style w:type="paragraph" w:styleId="BalloonText">
    <w:name w:val="Balloon Text"/>
    <w:basedOn w:val="Normal"/>
    <w:link w:val="BalloonTextChar"/>
    <w:uiPriority w:val="99"/>
    <w:semiHidden/>
    <w:unhideWhenUsed/>
    <w:rsid w:val="00210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13"/>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D5772D"/>
    <w:rPr>
      <w:color w:val="954F72" w:themeColor="followedHyperlink"/>
      <w:u w:val="single"/>
    </w:rPr>
  </w:style>
  <w:style w:type="character" w:styleId="Emphasis">
    <w:name w:val="Emphasis"/>
    <w:basedOn w:val="DefaultParagraphFont"/>
    <w:uiPriority w:val="20"/>
    <w:qFormat/>
    <w:rsid w:val="009224C5"/>
    <w:rPr>
      <w:i/>
      <w:iCs/>
    </w:rPr>
  </w:style>
  <w:style w:type="paragraph" w:styleId="NormalWeb">
    <w:name w:val="Normal (Web)"/>
    <w:basedOn w:val="Normal"/>
    <w:uiPriority w:val="99"/>
    <w:semiHidden/>
    <w:unhideWhenUsed/>
    <w:rsid w:val="009224C5"/>
    <w:pPr>
      <w:spacing w:before="100" w:beforeAutospacing="1" w:after="100" w:afterAutospacing="1"/>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unhideWhenUsed/>
    <w:rsid w:val="00BF07C6"/>
    <w:rPr>
      <w:sz w:val="16"/>
      <w:szCs w:val="16"/>
    </w:rPr>
  </w:style>
  <w:style w:type="paragraph" w:styleId="CommentText">
    <w:name w:val="annotation text"/>
    <w:basedOn w:val="Normal"/>
    <w:link w:val="CommentTextChar"/>
    <w:uiPriority w:val="99"/>
    <w:semiHidden/>
    <w:unhideWhenUsed/>
    <w:rsid w:val="00BF07C6"/>
    <w:rPr>
      <w:sz w:val="20"/>
      <w:szCs w:val="20"/>
    </w:rPr>
  </w:style>
  <w:style w:type="character" w:customStyle="1" w:styleId="CommentTextChar">
    <w:name w:val="Comment Text Char"/>
    <w:basedOn w:val="DefaultParagraphFont"/>
    <w:link w:val="CommentText"/>
    <w:uiPriority w:val="99"/>
    <w:semiHidden/>
    <w:rsid w:val="00BF07C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F07C6"/>
    <w:rPr>
      <w:b/>
      <w:bCs/>
    </w:rPr>
  </w:style>
  <w:style w:type="character" w:customStyle="1" w:styleId="CommentSubjectChar">
    <w:name w:val="Comment Subject Char"/>
    <w:basedOn w:val="CommentTextChar"/>
    <w:link w:val="CommentSubject"/>
    <w:uiPriority w:val="99"/>
    <w:semiHidden/>
    <w:rsid w:val="00BF07C6"/>
    <w:rPr>
      <w:rFonts w:ascii="Calibri" w:hAnsi="Calibri" w:cs="Calibri"/>
      <w:b/>
      <w:bCs/>
      <w:sz w:val="20"/>
      <w:szCs w:val="20"/>
      <w:lang w:eastAsia="en-GB"/>
    </w:rPr>
  </w:style>
  <w:style w:type="paragraph" w:styleId="Header">
    <w:name w:val="header"/>
    <w:basedOn w:val="Normal"/>
    <w:link w:val="HeaderChar"/>
    <w:uiPriority w:val="99"/>
    <w:unhideWhenUsed/>
    <w:rsid w:val="004877E8"/>
    <w:pPr>
      <w:tabs>
        <w:tab w:val="center" w:pos="4513"/>
        <w:tab w:val="right" w:pos="9026"/>
      </w:tabs>
    </w:pPr>
  </w:style>
  <w:style w:type="character" w:customStyle="1" w:styleId="HeaderChar">
    <w:name w:val="Header Char"/>
    <w:basedOn w:val="DefaultParagraphFont"/>
    <w:link w:val="Header"/>
    <w:uiPriority w:val="99"/>
    <w:rsid w:val="004877E8"/>
    <w:rPr>
      <w:rFonts w:ascii="Calibri" w:hAnsi="Calibri" w:cs="Calibri"/>
      <w:lang w:eastAsia="en-GB"/>
    </w:rPr>
  </w:style>
  <w:style w:type="paragraph" w:styleId="Footer">
    <w:name w:val="footer"/>
    <w:basedOn w:val="Normal"/>
    <w:link w:val="FooterChar"/>
    <w:uiPriority w:val="99"/>
    <w:unhideWhenUsed/>
    <w:rsid w:val="004877E8"/>
    <w:pPr>
      <w:tabs>
        <w:tab w:val="center" w:pos="4513"/>
        <w:tab w:val="right" w:pos="9026"/>
      </w:tabs>
    </w:pPr>
  </w:style>
  <w:style w:type="character" w:customStyle="1" w:styleId="FooterChar">
    <w:name w:val="Footer Char"/>
    <w:basedOn w:val="DefaultParagraphFont"/>
    <w:link w:val="Footer"/>
    <w:uiPriority w:val="99"/>
    <w:rsid w:val="004877E8"/>
    <w:rPr>
      <w:rFonts w:ascii="Calibri" w:hAnsi="Calibri" w:cs="Calibri"/>
      <w:lang w:eastAsia="en-GB"/>
    </w:rPr>
  </w:style>
  <w:style w:type="paragraph" w:styleId="Revision">
    <w:name w:val="Revision"/>
    <w:hidden/>
    <w:uiPriority w:val="99"/>
    <w:semiHidden/>
    <w:rsid w:val="00C451B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7271">
      <w:bodyDiv w:val="1"/>
      <w:marLeft w:val="0"/>
      <w:marRight w:val="0"/>
      <w:marTop w:val="0"/>
      <w:marBottom w:val="0"/>
      <w:divBdr>
        <w:top w:val="none" w:sz="0" w:space="0" w:color="auto"/>
        <w:left w:val="none" w:sz="0" w:space="0" w:color="auto"/>
        <w:bottom w:val="none" w:sz="0" w:space="0" w:color="auto"/>
        <w:right w:val="none" w:sz="0" w:space="0" w:color="auto"/>
      </w:divBdr>
    </w:div>
    <w:div w:id="136920884">
      <w:bodyDiv w:val="1"/>
      <w:marLeft w:val="0"/>
      <w:marRight w:val="0"/>
      <w:marTop w:val="0"/>
      <w:marBottom w:val="0"/>
      <w:divBdr>
        <w:top w:val="none" w:sz="0" w:space="0" w:color="auto"/>
        <w:left w:val="none" w:sz="0" w:space="0" w:color="auto"/>
        <w:bottom w:val="none" w:sz="0" w:space="0" w:color="auto"/>
        <w:right w:val="none" w:sz="0" w:space="0" w:color="auto"/>
      </w:divBdr>
    </w:div>
    <w:div w:id="557206473">
      <w:bodyDiv w:val="1"/>
      <w:marLeft w:val="0"/>
      <w:marRight w:val="0"/>
      <w:marTop w:val="0"/>
      <w:marBottom w:val="0"/>
      <w:divBdr>
        <w:top w:val="none" w:sz="0" w:space="0" w:color="auto"/>
        <w:left w:val="none" w:sz="0" w:space="0" w:color="auto"/>
        <w:bottom w:val="none" w:sz="0" w:space="0" w:color="auto"/>
        <w:right w:val="none" w:sz="0" w:space="0" w:color="auto"/>
      </w:divBdr>
    </w:div>
    <w:div w:id="1002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0915-3A92-420C-A9C1-51815D60512D}">
  <ds:schemaRefs>
    <ds:schemaRef ds:uri="http://purl.org/dc/terms/"/>
    <ds:schemaRef ds:uri="http://www.w3.org/XML/1998/namespace"/>
    <ds:schemaRef ds:uri="4a51bc74-7550-49a6-8df5-01115651cbd9"/>
    <ds:schemaRef ds:uri="f8430ee3-c31c-4f62-9c8f-4c7bb84c5a87"/>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E89445C-8B69-4E2C-A6C9-A4AAEDCD5E2E}">
  <ds:schemaRefs>
    <ds:schemaRef ds:uri="http://schemas.microsoft.com/sharepoint/v3/contenttype/forms"/>
  </ds:schemaRefs>
</ds:datastoreItem>
</file>

<file path=customXml/itemProps3.xml><?xml version="1.0" encoding="utf-8"?>
<ds:datastoreItem xmlns:ds="http://schemas.openxmlformats.org/officeDocument/2006/customXml" ds:itemID="{4ED7E1BD-8AC5-4513-A78E-96500E3C4A5B}"/>
</file>

<file path=customXml/itemProps4.xml><?xml version="1.0" encoding="utf-8"?>
<ds:datastoreItem xmlns:ds="http://schemas.openxmlformats.org/officeDocument/2006/customXml" ds:itemID="{5AB8BBE0-C7F5-4070-831E-5E56B9B7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Firth</dc:creator>
  <cp:keywords/>
  <dc:description/>
  <cp:lastModifiedBy>Delphine Starr</cp:lastModifiedBy>
  <cp:revision>2</cp:revision>
  <dcterms:created xsi:type="dcterms:W3CDTF">2020-01-13T16:29:00Z</dcterms:created>
  <dcterms:modified xsi:type="dcterms:W3CDTF">2020-01-13T16:29:00Z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